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80A77" w14:textId="379B2A54" w:rsidR="003F3815" w:rsidRDefault="00402334" w:rsidP="003F3815">
      <w:pPr>
        <w:pStyle w:val="1-MainHeading"/>
      </w:pPr>
      <w:bookmarkStart w:id="0" w:name="_Toc193112841"/>
      <w:r>
        <w:t>5</w:t>
      </w:r>
      <w:r w:rsidR="00433044" w:rsidRPr="0098262F">
        <w:t>.</w:t>
      </w:r>
      <w:r>
        <w:t>07</w:t>
      </w:r>
      <w:r w:rsidR="00163F66" w:rsidRPr="0098262F">
        <w:tab/>
      </w:r>
      <w:r w:rsidR="00B6125F">
        <w:t>UBLITUXIMAB</w:t>
      </w:r>
      <w:r w:rsidR="00163F66" w:rsidRPr="0098262F">
        <w:t>,</w:t>
      </w:r>
      <w:r w:rsidR="00163F66" w:rsidRPr="0098262F">
        <w:br/>
      </w:r>
      <w:r w:rsidR="00AC72CC">
        <w:t>S</w:t>
      </w:r>
      <w:r w:rsidR="005F0E7A">
        <w:t>olution</w:t>
      </w:r>
      <w:r w:rsidR="00AC72CC">
        <w:t xml:space="preserve"> concentrate</w:t>
      </w:r>
      <w:r w:rsidR="00B6125F">
        <w:t xml:space="preserve"> for </w:t>
      </w:r>
      <w:r w:rsidR="00AC72CC">
        <w:t xml:space="preserve">I.V. infusion 150 mg in </w:t>
      </w:r>
      <w:r w:rsidR="006309C6">
        <w:t>6 </w:t>
      </w:r>
      <w:r w:rsidR="00AC72CC">
        <w:t>mL</w:t>
      </w:r>
      <w:r w:rsidR="0042069C">
        <w:t xml:space="preserve"> (25 mg per mL)</w:t>
      </w:r>
      <w:r w:rsidR="00163F66" w:rsidRPr="0098262F">
        <w:t>,</w:t>
      </w:r>
      <w:r w:rsidR="00163F66" w:rsidRPr="0098262F">
        <w:br/>
      </w:r>
      <w:proofErr w:type="spellStart"/>
      <w:r w:rsidR="00B6125F">
        <w:t>Briumvi</w:t>
      </w:r>
      <w:proofErr w:type="spellEnd"/>
      <w:r w:rsidR="00B60939" w:rsidRPr="0098262F">
        <w:rPr>
          <w:vertAlign w:val="superscript"/>
        </w:rPr>
        <w:t>®</w:t>
      </w:r>
      <w:r w:rsidR="004A6040" w:rsidRPr="0098262F">
        <w:t>,</w:t>
      </w:r>
      <w:r w:rsidR="004A6040" w:rsidRPr="0098262F">
        <w:br/>
      </w:r>
      <w:r w:rsidR="003F3815" w:rsidRPr="003F3815">
        <w:t>Kirchmann Enterprises Pty Ltd</w:t>
      </w:r>
      <w:bookmarkStart w:id="1" w:name="_Toc22897637"/>
      <w:bookmarkEnd w:id="0"/>
    </w:p>
    <w:p w14:paraId="11C00795" w14:textId="3DFB6D23" w:rsidR="00B50DB8" w:rsidRPr="0098262F" w:rsidRDefault="00B50DB8" w:rsidP="004A6040">
      <w:pPr>
        <w:pStyle w:val="2-SectionHeading"/>
      </w:pPr>
      <w:bookmarkStart w:id="2" w:name="_Toc193112844"/>
      <w:bookmarkEnd w:id="1"/>
      <w:r w:rsidRPr="0098262F">
        <w:t xml:space="preserve">Purpose of </w:t>
      </w:r>
      <w:r w:rsidR="00CD7193" w:rsidRPr="0098262F">
        <w:t>s</w:t>
      </w:r>
      <w:r w:rsidR="00BB3A45" w:rsidRPr="0098262F">
        <w:t>ubmission</w:t>
      </w:r>
      <w:bookmarkEnd w:id="2"/>
    </w:p>
    <w:p w14:paraId="19414AA1" w14:textId="5B430F75" w:rsidR="002C2775" w:rsidRPr="0098262F" w:rsidRDefault="007170DA" w:rsidP="00703400">
      <w:pPr>
        <w:pStyle w:val="3-BodyText"/>
      </w:pPr>
      <w:r w:rsidRPr="58C81D04">
        <w:t xml:space="preserve">The </w:t>
      </w:r>
      <w:r w:rsidR="00F73E08" w:rsidRPr="58C81D04">
        <w:t>Category</w:t>
      </w:r>
      <w:r w:rsidR="00B6125F" w:rsidRPr="58C81D04">
        <w:t xml:space="preserve"> 2 </w:t>
      </w:r>
      <w:r w:rsidRPr="58C81D04">
        <w:t xml:space="preserve">submission requested </w:t>
      </w:r>
      <w:r w:rsidR="008B1757" w:rsidRPr="58C81D04">
        <w:t>Section 100</w:t>
      </w:r>
      <w:r w:rsidR="00070537" w:rsidRPr="58C81D04">
        <w:t>,</w:t>
      </w:r>
      <w:r w:rsidR="00B6125F" w:rsidRPr="58C81D04">
        <w:t xml:space="preserve"> Highly Specialised Drugs Program</w:t>
      </w:r>
      <w:r w:rsidR="00070537" w:rsidRPr="58C81D04">
        <w:t xml:space="preserve"> (Public and Private Hospitals)</w:t>
      </w:r>
      <w:r w:rsidR="00B6125F" w:rsidRPr="58C81D04">
        <w:t xml:space="preserve"> listing for ublituximab </w:t>
      </w:r>
      <w:r w:rsidR="008B1757" w:rsidRPr="58C81D04">
        <w:t xml:space="preserve">for </w:t>
      </w:r>
      <w:r w:rsidR="0050174E" w:rsidRPr="58C81D04">
        <w:t xml:space="preserve">the </w:t>
      </w:r>
      <w:r w:rsidR="008B1757" w:rsidRPr="58C81D04">
        <w:t xml:space="preserve">treatment of </w:t>
      </w:r>
      <w:r w:rsidR="00B6125F" w:rsidRPr="58C81D04">
        <w:t>adult patients with relapsing-remitting multiple sclerosis</w:t>
      </w:r>
      <w:r w:rsidR="0096394D" w:rsidRPr="58C81D04">
        <w:t xml:space="preserve"> (RRMS). </w:t>
      </w:r>
    </w:p>
    <w:p w14:paraId="4E9FBCB5" w14:textId="0B6AD025" w:rsidR="00C2778B" w:rsidRPr="0098262F" w:rsidRDefault="005750C5" w:rsidP="004E18E9">
      <w:pPr>
        <w:pStyle w:val="3-BodyText"/>
      </w:pPr>
      <w:r w:rsidRPr="58C81D04">
        <w:t>Listing was requested on the basis of a cost-minimisation</w:t>
      </w:r>
      <w:r w:rsidR="001D71F4" w:rsidRPr="58C81D04">
        <w:t xml:space="preserve"> approach</w:t>
      </w:r>
      <w:r w:rsidR="0096394D" w:rsidRPr="58C81D04">
        <w:t xml:space="preserve"> and cost comparison analysis </w:t>
      </w:r>
      <w:r w:rsidRPr="58C81D04">
        <w:t xml:space="preserve">versus </w:t>
      </w:r>
      <w:r w:rsidR="0096394D" w:rsidRPr="58C81D04">
        <w:t>three comparators: ocrelizumab, ofatumumab and fi</w:t>
      </w:r>
      <w:r w:rsidR="00D9268F" w:rsidRPr="58C81D04">
        <w:t>n</w:t>
      </w:r>
      <w:r w:rsidR="0096394D" w:rsidRPr="58C81D04">
        <w:t>golimod</w:t>
      </w:r>
      <w:r w:rsidR="00705D84" w:rsidRPr="58C81D04">
        <w:t xml:space="preserve">. </w:t>
      </w:r>
    </w:p>
    <w:p w14:paraId="3718DE61" w14:textId="530EC538" w:rsidR="008B1757" w:rsidRPr="0098262F" w:rsidRDefault="00696EF9" w:rsidP="58C81D04">
      <w:pPr>
        <w:pStyle w:val="TableFigureHeading"/>
        <w:rPr>
          <w:rStyle w:val="CommentReference"/>
          <w:b/>
        </w:rPr>
      </w:pPr>
      <w:r w:rsidRPr="58C81D04">
        <w:t xml:space="preserve">Table </w:t>
      </w:r>
      <w:r w:rsidRPr="58C81D04">
        <w:fldChar w:fldCharType="begin"/>
      </w:r>
      <w:r>
        <w:instrText xml:space="preserve"> SEQ Table \* ARABIC </w:instrText>
      </w:r>
      <w:r w:rsidRPr="58C81D04">
        <w:fldChar w:fldCharType="separate"/>
      </w:r>
      <w:r w:rsidR="00D925D4">
        <w:rPr>
          <w:noProof/>
        </w:rPr>
        <w:t>1</w:t>
      </w:r>
      <w:r w:rsidRPr="58C81D04">
        <w:rPr>
          <w:noProof/>
        </w:rPr>
        <w:fldChar w:fldCharType="end"/>
      </w:r>
      <w:r w:rsidRPr="58C81D04">
        <w:t>:</w:t>
      </w:r>
      <w:r w:rsidR="00BC591F" w:rsidRPr="58C81D04">
        <w:rPr>
          <w:rStyle w:val="CommentReference"/>
          <w:b/>
        </w:rPr>
        <w:t xml:space="preserve"> </w:t>
      </w:r>
      <w:r w:rsidR="008B1757" w:rsidRPr="58C81D04">
        <w:rPr>
          <w:rStyle w:val="CommentReference"/>
          <w:b/>
        </w:rPr>
        <w:t>Key components of the clinical issue addressed by the submission</w:t>
      </w:r>
      <w:r w:rsidR="007170DA" w:rsidRPr="58C81D04">
        <w:rPr>
          <w:rStyle w:val="CommentReference"/>
          <w:b/>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58C81D04">
        <w:trPr>
          <w:cantSplit/>
          <w:tblHeader/>
        </w:trPr>
        <w:tc>
          <w:tcPr>
            <w:tcW w:w="924" w:type="pct"/>
            <w:shd w:val="clear" w:color="auto" w:fill="auto"/>
          </w:tcPr>
          <w:p w14:paraId="501803FB" w14:textId="77777777" w:rsidR="008B1757" w:rsidRPr="0098262F" w:rsidRDefault="008B1757" w:rsidP="0038000D">
            <w:pPr>
              <w:pStyle w:val="In-tableHeading"/>
              <w:rPr>
                <w:szCs w:val="20"/>
              </w:rPr>
            </w:pPr>
            <w:r w:rsidRPr="0098262F">
              <w:t>Component</w:t>
            </w:r>
          </w:p>
        </w:tc>
        <w:tc>
          <w:tcPr>
            <w:tcW w:w="4076" w:type="pct"/>
            <w:shd w:val="clear" w:color="auto" w:fill="auto"/>
          </w:tcPr>
          <w:p w14:paraId="445D9EBB" w14:textId="77777777" w:rsidR="008B1757" w:rsidRPr="0098262F" w:rsidRDefault="008B1757" w:rsidP="0038000D">
            <w:pPr>
              <w:pStyle w:val="In-tableHeading"/>
            </w:pPr>
            <w:r w:rsidRPr="0098262F">
              <w:t>Description</w:t>
            </w:r>
          </w:p>
        </w:tc>
      </w:tr>
      <w:tr w:rsidR="008B1757" w:rsidRPr="0098262F" w14:paraId="2EB546E2" w14:textId="77777777" w:rsidTr="58C81D04">
        <w:trPr>
          <w:cantSplit/>
        </w:trPr>
        <w:tc>
          <w:tcPr>
            <w:tcW w:w="924" w:type="pct"/>
            <w:shd w:val="clear" w:color="auto" w:fill="auto"/>
          </w:tcPr>
          <w:p w14:paraId="38F3BB34" w14:textId="77777777" w:rsidR="008B1757" w:rsidRPr="0098262F" w:rsidRDefault="008B1757" w:rsidP="004A6040">
            <w:pPr>
              <w:pStyle w:val="TableText0"/>
            </w:pPr>
            <w:r w:rsidRPr="0098262F">
              <w:t>Population</w:t>
            </w:r>
          </w:p>
        </w:tc>
        <w:tc>
          <w:tcPr>
            <w:tcW w:w="4076" w:type="pct"/>
            <w:shd w:val="clear" w:color="auto" w:fill="auto"/>
          </w:tcPr>
          <w:p w14:paraId="79618EEE" w14:textId="6EC93882" w:rsidR="00233C01" w:rsidRPr="0098262F" w:rsidRDefault="0096394D" w:rsidP="00233C01">
            <w:pPr>
              <w:pStyle w:val="TableText0"/>
              <w:rPr>
                <w:szCs w:val="20"/>
              </w:rPr>
            </w:pPr>
            <w:r>
              <w:t xml:space="preserve">Adult </w:t>
            </w:r>
            <w:r w:rsidR="0043157B">
              <w:t>p</w:t>
            </w:r>
            <w:r>
              <w:t>atients with relapsing-remitting multiple sclerosis (RRMS)</w:t>
            </w:r>
          </w:p>
        </w:tc>
      </w:tr>
      <w:tr w:rsidR="008B1757" w:rsidRPr="0098262F" w14:paraId="0CA523AF" w14:textId="77777777" w:rsidTr="58C81D04">
        <w:trPr>
          <w:cantSplit/>
        </w:trPr>
        <w:tc>
          <w:tcPr>
            <w:tcW w:w="924" w:type="pct"/>
            <w:shd w:val="clear" w:color="auto" w:fill="auto"/>
          </w:tcPr>
          <w:p w14:paraId="7B6D20D8" w14:textId="77777777" w:rsidR="008B1757" w:rsidRPr="0098262F" w:rsidRDefault="008B1757" w:rsidP="004A6040">
            <w:pPr>
              <w:pStyle w:val="TableText0"/>
            </w:pPr>
            <w:r w:rsidRPr="0098262F">
              <w:t>Intervention</w:t>
            </w:r>
          </w:p>
        </w:tc>
        <w:tc>
          <w:tcPr>
            <w:tcW w:w="4076" w:type="pct"/>
            <w:shd w:val="clear" w:color="auto" w:fill="auto"/>
          </w:tcPr>
          <w:p w14:paraId="2491E905" w14:textId="02EF40E8" w:rsidR="00233C01" w:rsidRPr="0098262F" w:rsidRDefault="0096394D" w:rsidP="00D43D83">
            <w:pPr>
              <w:pStyle w:val="TableText0"/>
            </w:pPr>
            <w:r w:rsidRPr="58C81D04">
              <w:t>Ublituximab 150mg/6mL vial for intravenous infusion 150mg initial infusion, followed by 450mg infusion at 2 weeks, then 450mg infusion every 24 weeks</w:t>
            </w:r>
            <w:r w:rsidR="00705D84">
              <w:t>.</w:t>
            </w:r>
          </w:p>
        </w:tc>
      </w:tr>
      <w:tr w:rsidR="008B1757" w:rsidRPr="0098262F" w14:paraId="0F81EBE4" w14:textId="77777777" w:rsidTr="58C81D04">
        <w:trPr>
          <w:cantSplit/>
          <w:trHeight w:val="363"/>
        </w:trPr>
        <w:tc>
          <w:tcPr>
            <w:tcW w:w="924" w:type="pct"/>
            <w:shd w:val="clear" w:color="auto" w:fill="auto"/>
          </w:tcPr>
          <w:p w14:paraId="3656B343" w14:textId="77777777" w:rsidR="008B1757" w:rsidRPr="0098262F" w:rsidRDefault="008B1757" w:rsidP="004A6040">
            <w:pPr>
              <w:pStyle w:val="TableText0"/>
            </w:pPr>
            <w:r w:rsidRPr="0098262F">
              <w:t>Comparator</w:t>
            </w:r>
          </w:p>
        </w:tc>
        <w:tc>
          <w:tcPr>
            <w:tcW w:w="4076" w:type="pct"/>
            <w:shd w:val="clear" w:color="auto" w:fill="auto"/>
          </w:tcPr>
          <w:p w14:paraId="51AA1FA9" w14:textId="17AEE66D" w:rsidR="00233C01" w:rsidRDefault="0096394D" w:rsidP="001E1E86">
            <w:pPr>
              <w:pStyle w:val="TableText0"/>
            </w:pPr>
            <w:r>
              <w:t xml:space="preserve">Ocrelizumab infusion </w:t>
            </w:r>
            <w:r w:rsidR="0043157B">
              <w:t>600m</w:t>
            </w:r>
            <w:r w:rsidR="00B35133">
              <w:t xml:space="preserve"> </w:t>
            </w:r>
            <w:r w:rsidR="0043157B">
              <w:t>giv</w:t>
            </w:r>
            <w:r w:rsidR="00B35133">
              <w:t>en</w:t>
            </w:r>
            <w:r w:rsidR="0043157B">
              <w:t xml:space="preserve"> every 6 </w:t>
            </w:r>
            <w:r w:rsidR="00705D84">
              <w:t>months.</w:t>
            </w:r>
          </w:p>
          <w:p w14:paraId="706D962B" w14:textId="2BCA9BCC" w:rsidR="0096394D" w:rsidRDefault="0096394D" w:rsidP="001E1E86">
            <w:pPr>
              <w:pStyle w:val="TableText0"/>
            </w:pPr>
            <w:r>
              <w:t>Ofatumumab subcutaneous injection</w:t>
            </w:r>
            <w:r w:rsidR="0043157B">
              <w:t xml:space="preserve"> 20mg at weeks 0, 1 and 2 then 20mg /month</w:t>
            </w:r>
            <w:r w:rsidR="00705D84">
              <w:t>.</w:t>
            </w:r>
          </w:p>
          <w:p w14:paraId="3727DE24" w14:textId="16C79D6E" w:rsidR="0096394D" w:rsidRPr="0098262F" w:rsidRDefault="0096394D" w:rsidP="001E1E86">
            <w:pPr>
              <w:pStyle w:val="TableText0"/>
            </w:pPr>
            <w:r>
              <w:t>Fingolim</w:t>
            </w:r>
            <w:r w:rsidR="0043157B">
              <w:t>od</w:t>
            </w:r>
            <w:r>
              <w:t xml:space="preserve"> oral</w:t>
            </w:r>
            <w:r w:rsidR="0043157B">
              <w:t xml:space="preserve"> 0.5mg daily</w:t>
            </w:r>
            <w:r w:rsidR="00705D84">
              <w:t>.</w:t>
            </w:r>
          </w:p>
        </w:tc>
      </w:tr>
      <w:tr w:rsidR="008B1757" w:rsidRPr="0098262F" w14:paraId="02F86F0D" w14:textId="77777777" w:rsidTr="58C81D04">
        <w:trPr>
          <w:cantSplit/>
        </w:trPr>
        <w:tc>
          <w:tcPr>
            <w:tcW w:w="924" w:type="pct"/>
            <w:shd w:val="clear" w:color="auto" w:fill="auto"/>
          </w:tcPr>
          <w:p w14:paraId="06433105" w14:textId="77777777" w:rsidR="008B1757" w:rsidRPr="0098262F" w:rsidRDefault="008B1757" w:rsidP="004A6040">
            <w:pPr>
              <w:pStyle w:val="TableText0"/>
            </w:pPr>
            <w:r w:rsidRPr="0098262F">
              <w:t>Outcomes</w:t>
            </w:r>
          </w:p>
        </w:tc>
        <w:tc>
          <w:tcPr>
            <w:tcW w:w="4076" w:type="pct"/>
            <w:shd w:val="clear" w:color="auto" w:fill="auto"/>
          </w:tcPr>
          <w:p w14:paraId="5ABC4037" w14:textId="2F99C3BF" w:rsidR="00233C01" w:rsidRPr="0098262F" w:rsidRDefault="0043157B" w:rsidP="58C81D04">
            <w:pPr>
              <w:pStyle w:val="TableText0"/>
              <w:rPr>
                <w:rFonts w:eastAsia="Times New Roman" w:cs="Arial"/>
                <w:snapToGrid w:val="0"/>
                <w:color w:val="0066FF"/>
              </w:rPr>
            </w:pPr>
            <w:r w:rsidRPr="58C81D04">
              <w:t>Annualised Relapse Rates (ARR), Confirmed Dis</w:t>
            </w:r>
            <w:r w:rsidR="0063611F" w:rsidRPr="58C81D04">
              <w:t xml:space="preserve">ability </w:t>
            </w:r>
            <w:r w:rsidRPr="58C81D04">
              <w:t>Progression at 3 and 6 months (CDP), Adverse Events</w:t>
            </w:r>
          </w:p>
        </w:tc>
      </w:tr>
      <w:tr w:rsidR="008B1757" w:rsidRPr="0098262F" w14:paraId="22223890" w14:textId="77777777" w:rsidTr="58C81D04">
        <w:trPr>
          <w:cantSplit/>
        </w:trPr>
        <w:tc>
          <w:tcPr>
            <w:tcW w:w="924" w:type="pct"/>
            <w:shd w:val="clear" w:color="auto" w:fill="auto"/>
          </w:tcPr>
          <w:p w14:paraId="0FC8FCE0" w14:textId="77777777" w:rsidR="008B1757" w:rsidRPr="0098262F" w:rsidRDefault="008B1757" w:rsidP="004A6040">
            <w:pPr>
              <w:pStyle w:val="TableText0"/>
            </w:pPr>
            <w:r w:rsidRPr="0098262F">
              <w:t>Clinical claim</w:t>
            </w:r>
          </w:p>
        </w:tc>
        <w:tc>
          <w:tcPr>
            <w:tcW w:w="4076" w:type="pct"/>
            <w:shd w:val="clear" w:color="auto" w:fill="auto"/>
          </w:tcPr>
          <w:p w14:paraId="2C99C4DE" w14:textId="7094FFF1" w:rsidR="00233C01" w:rsidRPr="0098262F" w:rsidRDefault="0043157B" w:rsidP="58C81D04">
            <w:pPr>
              <w:pStyle w:val="TableText0"/>
              <w:rPr>
                <w:rFonts w:eastAsia="Times New Roman" w:cs="Arial"/>
                <w:snapToGrid w:val="0"/>
                <w:color w:val="0066FF"/>
              </w:rPr>
            </w:pPr>
            <w:r w:rsidRPr="58C81D04">
              <w:rPr>
                <w:rFonts w:eastAsia="Times New Roman" w:cs="Arial"/>
                <w:snapToGrid w:val="0"/>
              </w:rPr>
              <w:t>Ublituximab is non-inferior in terms of efficacy and safety compared to ocrelizumab and ofatumumab for the treatment of RRMS. Ublituximab is superior to fingolimod in terms of efficacy and non-inferior in terms of safety.</w:t>
            </w:r>
          </w:p>
        </w:tc>
      </w:tr>
    </w:tbl>
    <w:p w14:paraId="527CA7F0" w14:textId="57CCE8D5" w:rsidR="004E43B2" w:rsidRPr="0098262F" w:rsidRDefault="008B1757" w:rsidP="004A6040">
      <w:pPr>
        <w:pStyle w:val="FooterTableFigure"/>
        <w:rPr>
          <w:sz w:val="20"/>
        </w:rPr>
      </w:pPr>
      <w:r w:rsidRPr="0098262F">
        <w:t>Source: Table</w:t>
      </w:r>
      <w:r w:rsidR="0043157B">
        <w:t>s 1.1, p2 and 1.6</w:t>
      </w:r>
      <w:r w:rsidRPr="0098262F">
        <w:t>, p</w:t>
      </w:r>
      <w:r w:rsidR="0043157B">
        <w:t xml:space="preserve">29 </w:t>
      </w:r>
      <w:r w:rsidRPr="0098262F">
        <w:t>of the submission.</w:t>
      </w:r>
    </w:p>
    <w:p w14:paraId="6B4AB6C2" w14:textId="7F01D731" w:rsidR="005C25FF" w:rsidRPr="0098262F" w:rsidRDefault="005C25FF" w:rsidP="004A6040">
      <w:pPr>
        <w:pStyle w:val="2-SectionHeading"/>
      </w:pPr>
      <w:bookmarkStart w:id="3" w:name="_Toc193112845"/>
      <w:r w:rsidRPr="0098262F">
        <w:t>Background</w:t>
      </w:r>
      <w:bookmarkEnd w:id="3"/>
    </w:p>
    <w:p w14:paraId="2C521D6D" w14:textId="78CF03EE" w:rsidR="005C25FF" w:rsidRPr="000B114D" w:rsidRDefault="005C25FF" w:rsidP="004A6040">
      <w:pPr>
        <w:pStyle w:val="4-SubsectionHeading"/>
        <w:rPr>
          <w:i w:val="0"/>
        </w:rPr>
      </w:pPr>
      <w:bookmarkStart w:id="4" w:name="_Toc22897638"/>
      <w:bookmarkStart w:id="5" w:name="_Toc193112846"/>
      <w:r w:rsidRPr="000B114D">
        <w:rPr>
          <w:i w:val="0"/>
        </w:rPr>
        <w:t>Registration status</w:t>
      </w:r>
      <w:bookmarkEnd w:id="4"/>
      <w:bookmarkEnd w:id="5"/>
    </w:p>
    <w:p w14:paraId="2AC17F8F" w14:textId="276A03A5" w:rsidR="00A00F2B" w:rsidRPr="00DA55CF" w:rsidRDefault="00327577">
      <w:pPr>
        <w:pStyle w:val="3-BodyText"/>
      </w:pPr>
      <w:r w:rsidRPr="0091026F">
        <w:rPr>
          <w:rFonts w:ascii="Calibri" w:eastAsia="Calibri" w:hAnsi="Calibri"/>
          <w:bCs/>
        </w:rPr>
        <w:t xml:space="preserve">TGA status at time of </w:t>
      </w:r>
      <w:r w:rsidR="00CB1942" w:rsidRPr="0091026F">
        <w:rPr>
          <w:rFonts w:ascii="Calibri" w:eastAsia="Calibri" w:hAnsi="Calibri"/>
          <w:bCs/>
        </w:rPr>
        <w:t>PBAC consideration</w:t>
      </w:r>
      <w:r w:rsidRPr="0091026F">
        <w:rPr>
          <w:rFonts w:ascii="Calibri" w:eastAsia="Calibri" w:hAnsi="Calibri"/>
          <w:bCs/>
        </w:rPr>
        <w:t>:</w:t>
      </w:r>
      <w:r w:rsidRPr="0091026F">
        <w:rPr>
          <w:rFonts w:ascii="Calibri" w:eastAsia="Calibri" w:hAnsi="Calibri"/>
        </w:rPr>
        <w:t xml:space="preserve"> </w:t>
      </w:r>
      <w:r w:rsidR="005C25FF" w:rsidRPr="0091026F">
        <w:t>The</w:t>
      </w:r>
      <w:r w:rsidR="005C25FF" w:rsidRPr="00DA55CF">
        <w:t xml:space="preserve"> submission was made under </w:t>
      </w:r>
      <w:r w:rsidR="00E244F6" w:rsidRPr="00DA55CF">
        <w:t xml:space="preserve">the </w:t>
      </w:r>
      <w:r w:rsidR="005C25FF" w:rsidRPr="00DA55CF">
        <w:t>TGA/PBAC Parallel Process. At the time of PBAC consideration,</w:t>
      </w:r>
      <w:r w:rsidR="00BB5340">
        <w:t xml:space="preserve"> a positive TGA Delegate’s Overview has been </w:t>
      </w:r>
      <w:r w:rsidR="0091026F">
        <w:t>received. The</w:t>
      </w:r>
      <w:r w:rsidR="005E5BCD">
        <w:rPr>
          <w:rFonts w:eastAsia="Calibri"/>
        </w:rPr>
        <w:t xml:space="preserve"> </w:t>
      </w:r>
      <w:r w:rsidR="008A089E">
        <w:rPr>
          <w:rFonts w:eastAsia="Calibri"/>
        </w:rPr>
        <w:t xml:space="preserve">Product Information is currently being finalised between the TGA and the sponsor. </w:t>
      </w:r>
    </w:p>
    <w:p w14:paraId="365F74BB" w14:textId="77777777" w:rsidR="00442207" w:rsidRDefault="005F0E7A" w:rsidP="001F3B2D">
      <w:pPr>
        <w:pStyle w:val="3-BodyText"/>
      </w:pPr>
      <w:r w:rsidRPr="58C81D04">
        <w:t>Ublituximab was approved in the USA in 2022</w:t>
      </w:r>
      <w:r w:rsidR="00A00F2B" w:rsidRPr="58C81D04">
        <w:t>, for the indication "treatment of relapsing forms of multiple sclerosis, to include clinically isolated syndrome, relapsing-remitting disease, and active secondary progressive disease, in adults".</w:t>
      </w:r>
      <w:r w:rsidRPr="58C81D04">
        <w:t xml:space="preserve"> </w:t>
      </w:r>
    </w:p>
    <w:p w14:paraId="3D3BE597" w14:textId="153F3EF8" w:rsidR="001F3B2D" w:rsidRPr="006F273B" w:rsidRDefault="00A00F2B" w:rsidP="001F3B2D">
      <w:pPr>
        <w:pStyle w:val="3-BodyText"/>
      </w:pPr>
      <w:r w:rsidRPr="58C81D04">
        <w:t>Ublituximab was approved by the European Medicines Agency</w:t>
      </w:r>
      <w:r w:rsidR="001F3B2D" w:rsidRPr="58C81D04">
        <w:t xml:space="preserve"> (EMA)</w:t>
      </w:r>
      <w:r w:rsidRPr="58C81D04">
        <w:t xml:space="preserve"> in 2023, for the narrower indication "treatment of adult patients with relapsing forms of multiple sclerosis with active disease defined by clinical or imaging features"</w:t>
      </w:r>
      <w:r w:rsidR="005F0E7A" w:rsidRPr="58C81D04">
        <w:t>.</w:t>
      </w:r>
      <w:r w:rsidR="001F3B2D" w:rsidRPr="58C81D04">
        <w:t xml:space="preserve"> </w:t>
      </w:r>
    </w:p>
    <w:p w14:paraId="1F9D75AF" w14:textId="2DC2F5BD" w:rsidR="00004D7E" w:rsidRPr="00004D7E" w:rsidRDefault="001F3B2D" w:rsidP="00004D7E">
      <w:pPr>
        <w:pStyle w:val="3-BodyText"/>
        <w:rPr>
          <w:rFonts w:ascii="Helvetica" w:hAnsi="Helvetica" w:cs="Times New Roman"/>
          <w:sz w:val="17"/>
          <w:szCs w:val="17"/>
        </w:rPr>
      </w:pPr>
      <w:r w:rsidRPr="58C81D04">
        <w:lastRenderedPageBreak/>
        <w:t>The proposed TGA approved indication is the same as the EMA wording: "Treatment of adult patients with relapsing forms of multiple sclerosis (RMS) with active disease defined by clinical or imaging features"</w:t>
      </w:r>
      <w:r w:rsidR="000129A9" w:rsidRPr="58C81D04">
        <w:t>.</w:t>
      </w:r>
    </w:p>
    <w:p w14:paraId="3E2A6EAB" w14:textId="469C8C0C" w:rsidR="005C25FF" w:rsidRPr="000B114D" w:rsidRDefault="005C25FF" w:rsidP="004E18E9">
      <w:pPr>
        <w:pStyle w:val="4-SubsectionHeading"/>
        <w:rPr>
          <w:i w:val="0"/>
        </w:rPr>
      </w:pPr>
      <w:bookmarkStart w:id="6" w:name="_Toc22897639"/>
      <w:bookmarkStart w:id="7" w:name="_Toc193112847"/>
      <w:r w:rsidRPr="000B114D">
        <w:rPr>
          <w:i w:val="0"/>
        </w:rPr>
        <w:t>Previous PBAC consideration</w:t>
      </w:r>
      <w:bookmarkEnd w:id="6"/>
      <w:bookmarkEnd w:id="7"/>
    </w:p>
    <w:p w14:paraId="4BCC1842" w14:textId="77777777" w:rsidR="00E040AB" w:rsidRPr="006F273B" w:rsidRDefault="005F0E7A" w:rsidP="005F0E7A">
      <w:pPr>
        <w:pStyle w:val="3-BodyText"/>
      </w:pPr>
      <w:r w:rsidRPr="58C81D04">
        <w:t xml:space="preserve">The PBAC has not previously considered ublituximab. </w:t>
      </w:r>
    </w:p>
    <w:p w14:paraId="039FBDB0" w14:textId="7BC7FB20" w:rsidR="001D6606" w:rsidRDefault="005F0E7A" w:rsidP="005F0E7A">
      <w:pPr>
        <w:pStyle w:val="3-BodyText"/>
      </w:pPr>
      <w:r w:rsidRPr="58C81D04">
        <w:t xml:space="preserve">The most recent PBAC consideration </w:t>
      </w:r>
      <w:r w:rsidR="000273B8" w:rsidRPr="58C81D04">
        <w:t>for</w:t>
      </w:r>
      <w:r w:rsidR="007D3E5A" w:rsidRPr="58C81D04">
        <w:t xml:space="preserve"> relapsing-remitting multiple sclerosis (RRMS)</w:t>
      </w:r>
      <w:r w:rsidR="00C92605" w:rsidRPr="58C81D04">
        <w:t xml:space="preserve"> </w:t>
      </w:r>
      <w:r w:rsidR="00D9268F" w:rsidRPr="58C81D04">
        <w:t>was in March 2024</w:t>
      </w:r>
      <w:r w:rsidR="00DB59B7" w:rsidRPr="58C81D04">
        <w:t xml:space="preserve"> </w:t>
      </w:r>
      <w:r w:rsidR="005540D5" w:rsidRPr="58C81D04">
        <w:t>in relation to ofatumumab</w:t>
      </w:r>
      <w:r w:rsidR="00D9268F" w:rsidRPr="58C81D04">
        <w:t xml:space="preserve">. </w:t>
      </w:r>
      <w:r w:rsidR="001D6606" w:rsidRPr="58C81D04">
        <w:t xml:space="preserve">In </w:t>
      </w:r>
      <w:r w:rsidR="00705D84" w:rsidRPr="58C81D04">
        <w:t>March 2021,</w:t>
      </w:r>
      <w:r w:rsidR="001D6606" w:rsidRPr="58C81D04">
        <w:t xml:space="preserve"> the PBAC recommended the listing of ofatumumab on the basis of a claim of non-inferiority to fingolimod, and the March 2024 submission sought to substitute a claim of superiority of ofatumumab to fingolimod. </w:t>
      </w:r>
    </w:p>
    <w:p w14:paraId="3EF56340" w14:textId="72AF03F7" w:rsidR="009213B3" w:rsidRPr="006F273B" w:rsidRDefault="009213B3" w:rsidP="009213B3">
      <w:pPr>
        <w:pStyle w:val="3-BodyText"/>
      </w:pPr>
      <w:r w:rsidRPr="006F273B">
        <w:t xml:space="preserve">The PBAC did </w:t>
      </w:r>
      <w:r w:rsidRPr="00A40A8D">
        <w:rPr>
          <w:u w:val="single"/>
        </w:rPr>
        <w:t>not</w:t>
      </w:r>
      <w:r w:rsidRPr="000B114D">
        <w:t xml:space="preserve"> </w:t>
      </w:r>
      <w:r w:rsidRPr="006F273B">
        <w:t xml:space="preserve">support </w:t>
      </w:r>
      <w:r>
        <w:t>the ofatumumab March 2024</w:t>
      </w:r>
      <w:r w:rsidRPr="006F273B">
        <w:t xml:space="preserve"> proposal, because "</w:t>
      </w:r>
      <w:r w:rsidRPr="006F273B">
        <w:rPr>
          <w:snapToGrid w:val="0"/>
          <w:lang w:val="en-GB" w:eastAsia="en-US"/>
        </w:rPr>
        <w:t>the clinical evidence presented did not adequately support the submission’s underlying claim that ofatumumab (proposed as a high-efficacy tier DMT</w:t>
      </w:r>
      <w:r w:rsidRPr="006F273B">
        <w:rPr>
          <w:rStyle w:val="FootnoteReference"/>
          <w:snapToGrid w:val="0"/>
          <w:lang w:val="en-GB" w:eastAsia="en-US"/>
        </w:rPr>
        <w:footnoteReference w:id="2"/>
      </w:r>
      <w:r w:rsidRPr="006F273B">
        <w:rPr>
          <w:snapToGrid w:val="0"/>
          <w:lang w:val="en-GB" w:eastAsia="en-US"/>
        </w:rPr>
        <w:t xml:space="preserve">) has superior comparative effectiveness versus fingolimod (as a proxy for the proposed mid-efficacy tier DMTs)" (paragraph 7.1, ofatumumab </w:t>
      </w:r>
      <w:r w:rsidR="00B5426D">
        <w:rPr>
          <w:snapToGrid w:val="0"/>
          <w:lang w:val="en-GB" w:eastAsia="en-US"/>
        </w:rPr>
        <w:t>Public Summary Document (</w:t>
      </w:r>
      <w:r w:rsidRPr="006F273B">
        <w:rPr>
          <w:snapToGrid w:val="0"/>
          <w:lang w:val="en-GB" w:eastAsia="en-US"/>
        </w:rPr>
        <w:t>PSD</w:t>
      </w:r>
      <w:r w:rsidR="00B5426D">
        <w:rPr>
          <w:snapToGrid w:val="0"/>
          <w:lang w:val="en-GB" w:eastAsia="en-US"/>
        </w:rPr>
        <w:t>)</w:t>
      </w:r>
      <w:r w:rsidRPr="006F273B">
        <w:rPr>
          <w:snapToGrid w:val="0"/>
          <w:lang w:val="en-GB" w:eastAsia="en-US"/>
        </w:rPr>
        <w:t>, March 2024 PBAC Meeting).</w:t>
      </w:r>
    </w:p>
    <w:p w14:paraId="00D58667" w14:textId="07FFDF7D" w:rsidR="009C417C" w:rsidRDefault="00D9268F" w:rsidP="001D6606">
      <w:pPr>
        <w:pStyle w:val="3-BodyText"/>
      </w:pPr>
      <w:r w:rsidRPr="58C81D04">
        <w:t>At present, treatments for multiple sclerosis (MS) are divided</w:t>
      </w:r>
      <w:r w:rsidR="001D6606" w:rsidRPr="58C81D04">
        <w:t xml:space="preserve"> by the PBAC</w:t>
      </w:r>
      <w:r w:rsidRPr="58C81D04">
        <w:t xml:space="preserve"> into two tiers: </w:t>
      </w:r>
      <w:r w:rsidR="00823AD9">
        <w:t xml:space="preserve">a </w:t>
      </w:r>
      <w:r w:rsidRPr="58C81D04">
        <w:t>high-efficacy</w:t>
      </w:r>
      <w:r w:rsidR="00823AD9">
        <w:t xml:space="preserve"> tier</w:t>
      </w:r>
      <w:r w:rsidRPr="58C81D04">
        <w:t xml:space="preserve"> (fingolimod, cladribine, ozanimod, natalizumab, alemtuzumab, ocrelizumab, ofatumumab</w:t>
      </w:r>
      <w:r w:rsidR="005006ED" w:rsidRPr="58C81D04">
        <w:rPr>
          <w:rStyle w:val="FootnoteReference"/>
        </w:rPr>
        <w:footnoteReference w:id="3"/>
      </w:r>
      <w:r w:rsidRPr="58C81D04">
        <w:t>) and low-efficacy</w:t>
      </w:r>
      <w:r w:rsidR="00823AD9">
        <w:t xml:space="preserve"> tier</w:t>
      </w:r>
      <w:r w:rsidRPr="58C81D04">
        <w:t xml:space="preserve"> (interferons, dimethyl fumarate,</w:t>
      </w:r>
      <w:r w:rsidR="00F11F11" w:rsidRPr="58C81D04">
        <w:t xml:space="preserve"> diroxime</w:t>
      </w:r>
      <w:r w:rsidR="009B5AF1" w:rsidRPr="58C81D04">
        <w:t>l</w:t>
      </w:r>
      <w:r w:rsidR="00F11F11" w:rsidRPr="58C81D04">
        <w:t xml:space="preserve"> fumarate</w:t>
      </w:r>
      <w:r w:rsidR="00380457" w:rsidRPr="58C81D04">
        <w:t>,</w:t>
      </w:r>
      <w:r w:rsidRPr="58C81D04">
        <w:t xml:space="preserve"> glatiramer acetate and teriflunomide). The </w:t>
      </w:r>
      <w:r w:rsidR="00D63E32" w:rsidRPr="58C81D04">
        <w:t xml:space="preserve">ofatumumab </w:t>
      </w:r>
      <w:r w:rsidR="002640A4" w:rsidRPr="58C81D04">
        <w:t xml:space="preserve">March 2024 </w:t>
      </w:r>
      <w:r w:rsidRPr="58C81D04">
        <w:t>submission proposed</w:t>
      </w:r>
      <w:r w:rsidR="001D6606" w:rsidRPr="58C81D04">
        <w:t>, on the basis of the claim of superiority of ofatumumab to fingolimod,</w:t>
      </w:r>
      <w:r w:rsidRPr="58C81D04">
        <w:t xml:space="preserve"> that the high-efficacy tier b</w:t>
      </w:r>
      <w:r w:rsidR="00E040AB" w:rsidRPr="58C81D04">
        <w:t>e</w:t>
      </w:r>
      <w:r w:rsidRPr="58C81D04">
        <w:t xml:space="preserve"> sub-divided, with natalizumab, alemtuzumab, ocrelizumab</w:t>
      </w:r>
      <w:r w:rsidR="00E040AB" w:rsidRPr="58C81D04">
        <w:t xml:space="preserve"> and </w:t>
      </w:r>
      <w:r w:rsidRPr="58C81D04">
        <w:t xml:space="preserve">ofatumumab remaining high-efficacy and fingolimod, cladribine and ozanimod </w:t>
      </w:r>
      <w:r w:rsidR="00E040AB" w:rsidRPr="58C81D04">
        <w:t xml:space="preserve">being </w:t>
      </w:r>
      <w:r w:rsidRPr="58C81D04">
        <w:t>re-classified as mid-efficacy</w:t>
      </w:r>
      <w:r w:rsidR="00705D84" w:rsidRPr="58C81D04">
        <w:t xml:space="preserve">. </w:t>
      </w:r>
    </w:p>
    <w:p w14:paraId="3ACD38FD" w14:textId="459E1A22" w:rsidR="00004D7E" w:rsidRDefault="00004D7E" w:rsidP="00004D7E">
      <w:pPr>
        <w:pStyle w:val="3-BodyText"/>
        <w:numPr>
          <w:ilvl w:val="0"/>
          <w:numId w:val="0"/>
        </w:numPr>
        <w:ind w:left="720"/>
        <w:rPr>
          <w:i/>
        </w:rPr>
      </w:pPr>
      <w:r w:rsidRPr="00C33D30">
        <w:rPr>
          <w:i/>
        </w:rPr>
        <w:t>For more detail on PBAC’s view, see section 7 PBAC outcome.</w:t>
      </w:r>
    </w:p>
    <w:p w14:paraId="76E4EF3C" w14:textId="13040F70" w:rsidR="00B60939" w:rsidRDefault="00B50DB8" w:rsidP="004E18E9">
      <w:pPr>
        <w:pStyle w:val="2-SectionHeading"/>
      </w:pPr>
      <w:bookmarkStart w:id="8" w:name="_Toc107902078"/>
      <w:bookmarkStart w:id="9" w:name="_Toc193112848"/>
      <w:bookmarkEnd w:id="8"/>
      <w:r w:rsidRPr="0098262F">
        <w:t>Requested listing</w:t>
      </w:r>
      <w:bookmarkEnd w:id="9"/>
    </w:p>
    <w:p w14:paraId="6CAA1FB1" w14:textId="5693E823" w:rsidR="003877BA" w:rsidRPr="00810481" w:rsidRDefault="007B1996" w:rsidP="003877BA">
      <w:pPr>
        <w:pStyle w:val="3-BodyText"/>
      </w:pPr>
      <w:r w:rsidRPr="00F91542">
        <w:rPr>
          <w:rFonts w:cstheme="minorHAnsi"/>
          <w:iCs/>
        </w:rPr>
        <w:t>Suggestions and additions proposed by the Secretariat are added in italics and suggested deletions are crossed out with strikethrough</w:t>
      </w:r>
      <w:r>
        <w:rPr>
          <w:rFonts w:cstheme="minorHAns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211"/>
        <w:gridCol w:w="812"/>
        <w:gridCol w:w="811"/>
        <w:gridCol w:w="812"/>
        <w:gridCol w:w="1824"/>
        <w:gridCol w:w="7"/>
      </w:tblGrid>
      <w:tr w:rsidR="00EC4804" w:rsidRPr="001428E9" w14:paraId="7CC2C12E" w14:textId="77777777" w:rsidTr="00EC4804">
        <w:trPr>
          <w:cantSplit/>
          <w:trHeight w:val="20"/>
        </w:trPr>
        <w:tc>
          <w:tcPr>
            <w:tcW w:w="3540" w:type="dxa"/>
            <w:vAlign w:val="center"/>
          </w:tcPr>
          <w:p w14:paraId="2E0F96D4" w14:textId="77777777" w:rsidR="00EC4804" w:rsidRPr="001428E9" w:rsidRDefault="00EC4804" w:rsidP="005217FC">
            <w:pPr>
              <w:keepNext/>
              <w:keepLines/>
              <w:rPr>
                <w:rFonts w:ascii="Arial Narrow" w:hAnsi="Arial Narrow"/>
                <w:b/>
                <w:bCs/>
                <w:sz w:val="20"/>
                <w:szCs w:val="20"/>
              </w:rPr>
            </w:pPr>
            <w:r w:rsidRPr="001428E9">
              <w:rPr>
                <w:rFonts w:ascii="Arial Narrow" w:hAnsi="Arial Narrow"/>
                <w:b/>
                <w:bCs/>
                <w:sz w:val="20"/>
                <w:szCs w:val="20"/>
              </w:rPr>
              <w:t>MEDICINAL PRODUCT</w:t>
            </w:r>
          </w:p>
          <w:p w14:paraId="271A0BB3" w14:textId="77777777" w:rsidR="00EC4804" w:rsidRPr="001428E9" w:rsidRDefault="00EC4804" w:rsidP="005217FC">
            <w:pPr>
              <w:keepNext/>
              <w:keepLines/>
              <w:rPr>
                <w:rFonts w:ascii="Arial Narrow" w:hAnsi="Arial Narrow"/>
                <w:b/>
                <w:sz w:val="20"/>
                <w:szCs w:val="20"/>
              </w:rPr>
            </w:pPr>
            <w:r w:rsidRPr="001428E9">
              <w:rPr>
                <w:rFonts w:ascii="Arial Narrow" w:hAnsi="Arial Narrow"/>
                <w:b/>
                <w:bCs/>
                <w:sz w:val="20"/>
                <w:szCs w:val="20"/>
              </w:rPr>
              <w:t>medicinal product pack</w:t>
            </w:r>
          </w:p>
        </w:tc>
        <w:tc>
          <w:tcPr>
            <w:tcW w:w="1211" w:type="dxa"/>
            <w:vAlign w:val="center"/>
          </w:tcPr>
          <w:p w14:paraId="2D3F8CD9" w14:textId="77777777" w:rsidR="00EC4804" w:rsidRPr="001428E9" w:rsidRDefault="00EC4804" w:rsidP="005217FC">
            <w:pPr>
              <w:keepNext/>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7A0B2ADC" w14:textId="77777777" w:rsidR="00EC4804" w:rsidRPr="001428E9" w:rsidRDefault="00EC4804" w:rsidP="005217FC">
            <w:pPr>
              <w:keepNext/>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19782572" w14:textId="77777777" w:rsidR="00EC4804" w:rsidRPr="001428E9" w:rsidRDefault="00EC4804" w:rsidP="005217FC">
            <w:pPr>
              <w:keepNext/>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31415311" w14:textId="77777777" w:rsidR="00EC4804" w:rsidRPr="001428E9" w:rsidRDefault="00EC4804" w:rsidP="005217FC">
            <w:pPr>
              <w:keepNext/>
              <w:keepLines/>
              <w:jc w:val="center"/>
              <w:rPr>
                <w:rFonts w:ascii="Arial Narrow" w:hAnsi="Arial Narrow"/>
                <w:b/>
                <w:sz w:val="20"/>
                <w:szCs w:val="20"/>
              </w:rPr>
            </w:pPr>
            <w:r w:rsidRPr="001428E9">
              <w:rPr>
                <w:rFonts w:ascii="Arial Narrow" w:hAnsi="Arial Narrow"/>
                <w:b/>
                <w:sz w:val="20"/>
                <w:szCs w:val="20"/>
              </w:rPr>
              <w:t>№. of</w:t>
            </w:r>
          </w:p>
          <w:p w14:paraId="321C860C" w14:textId="77777777" w:rsidR="00EC4804" w:rsidRPr="001428E9" w:rsidRDefault="00EC4804" w:rsidP="005217FC">
            <w:pPr>
              <w:keepNext/>
              <w:keepLines/>
              <w:jc w:val="center"/>
              <w:rPr>
                <w:rFonts w:ascii="Arial Narrow" w:hAnsi="Arial Narrow"/>
                <w:b/>
                <w:sz w:val="20"/>
                <w:szCs w:val="20"/>
              </w:rPr>
            </w:pPr>
            <w:proofErr w:type="spellStart"/>
            <w:r w:rsidRPr="001428E9">
              <w:rPr>
                <w:rFonts w:ascii="Arial Narrow" w:hAnsi="Arial Narrow"/>
                <w:b/>
                <w:sz w:val="20"/>
                <w:szCs w:val="20"/>
              </w:rPr>
              <w:t>Rpts</w:t>
            </w:r>
            <w:proofErr w:type="spellEnd"/>
          </w:p>
        </w:tc>
        <w:tc>
          <w:tcPr>
            <w:tcW w:w="1831" w:type="dxa"/>
            <w:gridSpan w:val="2"/>
            <w:vAlign w:val="center"/>
          </w:tcPr>
          <w:p w14:paraId="0B4F5028" w14:textId="77777777" w:rsidR="00EC4804" w:rsidRPr="001428E9" w:rsidRDefault="00EC4804" w:rsidP="005217FC">
            <w:pPr>
              <w:keepNext/>
              <w:keepLines/>
              <w:rPr>
                <w:rFonts w:ascii="Arial Narrow" w:hAnsi="Arial Narrow"/>
                <w:b/>
                <w:sz w:val="20"/>
                <w:szCs w:val="20"/>
                <w:lang w:val="fr-FR"/>
              </w:rPr>
            </w:pPr>
            <w:r w:rsidRPr="001428E9">
              <w:rPr>
                <w:rFonts w:ascii="Arial Narrow" w:hAnsi="Arial Narrow"/>
                <w:b/>
                <w:sz w:val="20"/>
                <w:szCs w:val="20"/>
              </w:rPr>
              <w:t>Available brands</w:t>
            </w:r>
          </w:p>
        </w:tc>
      </w:tr>
      <w:tr w:rsidR="00EC4804" w:rsidRPr="001428E9" w14:paraId="2071CDB9" w14:textId="77777777" w:rsidTr="00EC4804">
        <w:trPr>
          <w:cantSplit/>
          <w:trHeight w:val="20"/>
        </w:trPr>
        <w:tc>
          <w:tcPr>
            <w:tcW w:w="9017" w:type="dxa"/>
            <w:gridSpan w:val="7"/>
            <w:vAlign w:val="center"/>
          </w:tcPr>
          <w:p w14:paraId="5679F9D2" w14:textId="77777777" w:rsidR="00EC4804" w:rsidRPr="001428E9" w:rsidRDefault="00EC4804">
            <w:pPr>
              <w:keepLines/>
              <w:rPr>
                <w:rFonts w:ascii="Arial Narrow" w:hAnsi="Arial Narrow"/>
                <w:sz w:val="20"/>
                <w:szCs w:val="20"/>
              </w:rPr>
            </w:pPr>
            <w:r>
              <w:rPr>
                <w:rFonts w:ascii="Arial Narrow" w:hAnsi="Arial Narrow"/>
                <w:sz w:val="20"/>
                <w:szCs w:val="20"/>
              </w:rPr>
              <w:t>UBLITUXIMAB</w:t>
            </w:r>
          </w:p>
        </w:tc>
      </w:tr>
      <w:tr w:rsidR="00EC4804" w:rsidRPr="001428E9" w14:paraId="469C2359" w14:textId="77777777" w:rsidTr="00EC4804">
        <w:trPr>
          <w:cantSplit/>
          <w:trHeight w:val="20"/>
        </w:trPr>
        <w:tc>
          <w:tcPr>
            <w:tcW w:w="3540" w:type="dxa"/>
            <w:vAlign w:val="center"/>
          </w:tcPr>
          <w:p w14:paraId="48EE0347" w14:textId="77777777" w:rsidR="00EC4804" w:rsidRPr="001428E9" w:rsidRDefault="00EC4804">
            <w:pPr>
              <w:keepLines/>
              <w:rPr>
                <w:rFonts w:ascii="Arial Narrow" w:hAnsi="Arial Narrow"/>
                <w:sz w:val="20"/>
                <w:szCs w:val="20"/>
              </w:rPr>
            </w:pPr>
            <w:r w:rsidRPr="6BEAC95C">
              <w:rPr>
                <w:rFonts w:ascii="Arial Narrow" w:hAnsi="Arial Narrow"/>
                <w:sz w:val="20"/>
                <w:szCs w:val="20"/>
              </w:rPr>
              <w:t>ublituximab 150 mg in 6 mL solution for injection, 1 vial</w:t>
            </w:r>
          </w:p>
        </w:tc>
        <w:tc>
          <w:tcPr>
            <w:tcW w:w="1211" w:type="dxa"/>
            <w:vAlign w:val="center"/>
          </w:tcPr>
          <w:p w14:paraId="6E00A929" w14:textId="77777777" w:rsidR="00EC4804" w:rsidRPr="001428E9" w:rsidRDefault="00EC4804">
            <w:pPr>
              <w:keepLines/>
              <w:jc w:val="center"/>
              <w:rPr>
                <w:rFonts w:ascii="Arial Narrow" w:hAnsi="Arial Narrow"/>
                <w:sz w:val="20"/>
                <w:szCs w:val="20"/>
              </w:rPr>
            </w:pPr>
            <w:r>
              <w:rPr>
                <w:rFonts w:ascii="Arial Narrow" w:hAnsi="Arial Narrow"/>
                <w:sz w:val="20"/>
                <w:szCs w:val="20"/>
              </w:rPr>
              <w:t>NEW S100 Public (HB)</w:t>
            </w:r>
          </w:p>
        </w:tc>
        <w:tc>
          <w:tcPr>
            <w:tcW w:w="812" w:type="dxa"/>
            <w:vAlign w:val="center"/>
          </w:tcPr>
          <w:p w14:paraId="2A667917" w14:textId="77777777" w:rsidR="00EC4804" w:rsidRPr="001428E9" w:rsidRDefault="00EC4804">
            <w:pPr>
              <w:keepLines/>
              <w:jc w:val="center"/>
              <w:rPr>
                <w:rFonts w:ascii="Arial Narrow" w:hAnsi="Arial Narrow"/>
                <w:sz w:val="20"/>
                <w:szCs w:val="20"/>
              </w:rPr>
            </w:pPr>
            <w:r>
              <w:rPr>
                <w:rFonts w:ascii="Arial Narrow" w:hAnsi="Arial Narrow"/>
                <w:sz w:val="20"/>
                <w:szCs w:val="20"/>
              </w:rPr>
              <w:t>4</w:t>
            </w:r>
          </w:p>
        </w:tc>
        <w:tc>
          <w:tcPr>
            <w:tcW w:w="811" w:type="dxa"/>
            <w:vAlign w:val="center"/>
          </w:tcPr>
          <w:p w14:paraId="3840301D" w14:textId="77777777" w:rsidR="00EC4804" w:rsidRPr="001428E9" w:rsidRDefault="00EC4804">
            <w:pPr>
              <w:keepLines/>
              <w:jc w:val="center"/>
              <w:rPr>
                <w:rFonts w:ascii="Arial Narrow" w:hAnsi="Arial Narrow"/>
                <w:sz w:val="20"/>
                <w:szCs w:val="20"/>
              </w:rPr>
            </w:pPr>
            <w:r>
              <w:rPr>
                <w:rFonts w:ascii="Arial Narrow" w:hAnsi="Arial Narrow"/>
                <w:sz w:val="20"/>
                <w:szCs w:val="20"/>
              </w:rPr>
              <w:t>4</w:t>
            </w:r>
          </w:p>
        </w:tc>
        <w:tc>
          <w:tcPr>
            <w:tcW w:w="812" w:type="dxa"/>
            <w:vAlign w:val="center"/>
          </w:tcPr>
          <w:p w14:paraId="11828A53" w14:textId="77777777" w:rsidR="00EC4804" w:rsidRPr="001428E9" w:rsidRDefault="00EC4804">
            <w:pPr>
              <w:keepLines/>
              <w:jc w:val="center"/>
              <w:rPr>
                <w:rFonts w:ascii="Arial Narrow" w:hAnsi="Arial Narrow"/>
                <w:sz w:val="20"/>
                <w:szCs w:val="20"/>
              </w:rPr>
            </w:pPr>
            <w:r>
              <w:rPr>
                <w:rFonts w:ascii="Arial Narrow" w:hAnsi="Arial Narrow"/>
                <w:sz w:val="20"/>
                <w:szCs w:val="20"/>
              </w:rPr>
              <w:t>0</w:t>
            </w:r>
          </w:p>
        </w:tc>
        <w:tc>
          <w:tcPr>
            <w:tcW w:w="1831" w:type="dxa"/>
            <w:gridSpan w:val="2"/>
            <w:vAlign w:val="center"/>
          </w:tcPr>
          <w:p w14:paraId="5801580F" w14:textId="77777777" w:rsidR="00EC4804" w:rsidRPr="001428E9" w:rsidRDefault="00EC4804">
            <w:pPr>
              <w:keepLines/>
              <w:rPr>
                <w:rFonts w:ascii="Arial Narrow" w:hAnsi="Arial Narrow"/>
                <w:sz w:val="20"/>
                <w:szCs w:val="20"/>
              </w:rPr>
            </w:pPr>
            <w:proofErr w:type="spellStart"/>
            <w:r>
              <w:rPr>
                <w:rFonts w:ascii="Arial Narrow" w:hAnsi="Arial Narrow"/>
                <w:sz w:val="20"/>
                <w:szCs w:val="20"/>
              </w:rPr>
              <w:t>Briumvi</w:t>
            </w:r>
            <w:proofErr w:type="spellEnd"/>
          </w:p>
        </w:tc>
      </w:tr>
      <w:tr w:rsidR="00EC4804" w:rsidRPr="001428E9" w14:paraId="60A3BB76" w14:textId="77777777" w:rsidTr="00EC4804">
        <w:trPr>
          <w:cantSplit/>
          <w:trHeight w:val="20"/>
        </w:trPr>
        <w:tc>
          <w:tcPr>
            <w:tcW w:w="3540" w:type="dxa"/>
            <w:vAlign w:val="center"/>
          </w:tcPr>
          <w:p w14:paraId="6F04D662" w14:textId="77777777" w:rsidR="00EC4804" w:rsidRPr="001428E9" w:rsidRDefault="00EC4804">
            <w:pPr>
              <w:keepLines/>
              <w:rPr>
                <w:rFonts w:ascii="Arial Narrow" w:hAnsi="Arial Narrow"/>
                <w:sz w:val="20"/>
                <w:szCs w:val="20"/>
              </w:rPr>
            </w:pPr>
            <w:r>
              <w:rPr>
                <w:rFonts w:ascii="Arial Narrow" w:hAnsi="Arial Narrow"/>
                <w:sz w:val="20"/>
                <w:szCs w:val="20"/>
              </w:rPr>
              <w:t>u</w:t>
            </w:r>
            <w:r w:rsidRPr="002C5390">
              <w:rPr>
                <w:rFonts w:ascii="Arial Narrow" w:hAnsi="Arial Narrow"/>
                <w:sz w:val="20"/>
                <w:szCs w:val="20"/>
              </w:rPr>
              <w:t>blituximab 150 mg in 6 mL solution for injection, 1 vial</w:t>
            </w:r>
          </w:p>
        </w:tc>
        <w:tc>
          <w:tcPr>
            <w:tcW w:w="1211" w:type="dxa"/>
            <w:vAlign w:val="center"/>
          </w:tcPr>
          <w:p w14:paraId="27A171A1" w14:textId="77777777" w:rsidR="00EC4804" w:rsidRPr="001428E9" w:rsidRDefault="00EC4804">
            <w:pPr>
              <w:keepLines/>
              <w:jc w:val="center"/>
              <w:rPr>
                <w:rFonts w:ascii="Arial Narrow" w:hAnsi="Arial Narrow"/>
                <w:sz w:val="20"/>
                <w:szCs w:val="20"/>
              </w:rPr>
            </w:pPr>
            <w:r>
              <w:rPr>
                <w:rFonts w:ascii="Arial Narrow" w:hAnsi="Arial Narrow"/>
                <w:sz w:val="20"/>
                <w:szCs w:val="20"/>
              </w:rPr>
              <w:t>NEW S100 Private (HS)</w:t>
            </w:r>
          </w:p>
        </w:tc>
        <w:tc>
          <w:tcPr>
            <w:tcW w:w="812" w:type="dxa"/>
            <w:vAlign w:val="center"/>
          </w:tcPr>
          <w:p w14:paraId="7790E30F" w14:textId="77777777" w:rsidR="00EC4804" w:rsidRPr="001428E9" w:rsidRDefault="00EC4804">
            <w:pPr>
              <w:keepLines/>
              <w:jc w:val="center"/>
              <w:rPr>
                <w:rFonts w:ascii="Arial Narrow" w:hAnsi="Arial Narrow"/>
                <w:sz w:val="20"/>
                <w:szCs w:val="20"/>
              </w:rPr>
            </w:pPr>
            <w:r>
              <w:rPr>
                <w:rFonts w:ascii="Arial Narrow" w:hAnsi="Arial Narrow"/>
                <w:sz w:val="20"/>
                <w:szCs w:val="20"/>
              </w:rPr>
              <w:t>4</w:t>
            </w:r>
          </w:p>
        </w:tc>
        <w:tc>
          <w:tcPr>
            <w:tcW w:w="811" w:type="dxa"/>
            <w:vAlign w:val="center"/>
          </w:tcPr>
          <w:p w14:paraId="0C63B1C9" w14:textId="77777777" w:rsidR="00EC4804" w:rsidRPr="001428E9" w:rsidRDefault="00EC4804">
            <w:pPr>
              <w:keepLines/>
              <w:jc w:val="center"/>
              <w:rPr>
                <w:rFonts w:ascii="Arial Narrow" w:hAnsi="Arial Narrow"/>
                <w:sz w:val="20"/>
                <w:szCs w:val="20"/>
              </w:rPr>
            </w:pPr>
            <w:r>
              <w:rPr>
                <w:rFonts w:ascii="Arial Narrow" w:hAnsi="Arial Narrow"/>
                <w:sz w:val="20"/>
                <w:szCs w:val="20"/>
              </w:rPr>
              <w:t>4</w:t>
            </w:r>
          </w:p>
        </w:tc>
        <w:tc>
          <w:tcPr>
            <w:tcW w:w="812" w:type="dxa"/>
            <w:vAlign w:val="center"/>
          </w:tcPr>
          <w:p w14:paraId="67A81EE5" w14:textId="77777777" w:rsidR="00EC4804" w:rsidRPr="001428E9" w:rsidRDefault="00EC4804">
            <w:pPr>
              <w:keepLines/>
              <w:jc w:val="center"/>
              <w:rPr>
                <w:rFonts w:ascii="Arial Narrow" w:hAnsi="Arial Narrow"/>
                <w:sz w:val="20"/>
                <w:szCs w:val="20"/>
              </w:rPr>
            </w:pPr>
            <w:r>
              <w:rPr>
                <w:rFonts w:ascii="Arial Narrow" w:hAnsi="Arial Narrow"/>
                <w:sz w:val="20"/>
                <w:szCs w:val="20"/>
              </w:rPr>
              <w:t>0</w:t>
            </w:r>
          </w:p>
        </w:tc>
        <w:tc>
          <w:tcPr>
            <w:tcW w:w="1831" w:type="dxa"/>
            <w:gridSpan w:val="2"/>
            <w:vAlign w:val="center"/>
          </w:tcPr>
          <w:p w14:paraId="37B61DD8" w14:textId="77777777" w:rsidR="00EC4804" w:rsidRPr="001428E9" w:rsidRDefault="00EC4804">
            <w:pPr>
              <w:keepLines/>
              <w:rPr>
                <w:rFonts w:ascii="Arial Narrow" w:hAnsi="Arial Narrow"/>
                <w:sz w:val="20"/>
                <w:szCs w:val="20"/>
              </w:rPr>
            </w:pPr>
            <w:proofErr w:type="spellStart"/>
            <w:r>
              <w:rPr>
                <w:rFonts w:ascii="Arial Narrow" w:hAnsi="Arial Narrow"/>
                <w:sz w:val="20"/>
                <w:szCs w:val="20"/>
              </w:rPr>
              <w:t>Briumvi</w:t>
            </w:r>
            <w:proofErr w:type="spellEnd"/>
          </w:p>
        </w:tc>
      </w:tr>
      <w:tr w:rsidR="00EC4804" w:rsidRPr="001428E9" w14:paraId="479B636E" w14:textId="77777777" w:rsidTr="00EC4804">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045B8F76" w14:textId="77777777" w:rsidR="00EC4804" w:rsidRPr="001428E9" w:rsidRDefault="00EC4804">
            <w:pPr>
              <w:rPr>
                <w:rFonts w:ascii="Arial Narrow" w:hAnsi="Arial Narrow"/>
                <w:sz w:val="20"/>
                <w:szCs w:val="20"/>
              </w:rPr>
            </w:pPr>
          </w:p>
        </w:tc>
      </w:tr>
      <w:tr w:rsidR="00EC4804" w:rsidRPr="001428E9" w14:paraId="1D2A4A6A" w14:textId="77777777" w:rsidTr="00EC4804">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2F424A54" w14:textId="77777777" w:rsidR="00EC4804" w:rsidRPr="001428E9" w:rsidRDefault="00EC4804">
            <w:pPr>
              <w:keepLines/>
              <w:rPr>
                <w:rFonts w:ascii="Arial Narrow" w:hAnsi="Arial Narrow"/>
                <w:b/>
                <w:sz w:val="20"/>
                <w:szCs w:val="20"/>
              </w:rPr>
            </w:pPr>
            <w:r w:rsidRPr="001428E9">
              <w:rPr>
                <w:rFonts w:ascii="Arial Narrow" w:hAnsi="Arial Narrow"/>
                <w:b/>
                <w:sz w:val="20"/>
                <w:szCs w:val="20"/>
              </w:rPr>
              <w:t>Restriction Summary [new</w:t>
            </w:r>
            <w:r>
              <w:rPr>
                <w:rFonts w:ascii="Arial Narrow" w:hAnsi="Arial Narrow"/>
                <w:b/>
                <w:sz w:val="20"/>
                <w:szCs w:val="20"/>
              </w:rPr>
              <w:t xml:space="preserve"> variation of 9523</w:t>
            </w:r>
            <w:r w:rsidRPr="001428E9">
              <w:rPr>
                <w:rFonts w:ascii="Arial Narrow" w:hAnsi="Arial Narrow"/>
                <w:b/>
                <w:sz w:val="20"/>
                <w:szCs w:val="20"/>
              </w:rPr>
              <w:t>] / Treatment of Concept: [new</w:t>
            </w:r>
            <w:r>
              <w:rPr>
                <w:rFonts w:ascii="Arial Narrow" w:hAnsi="Arial Narrow"/>
                <w:b/>
                <w:sz w:val="20"/>
                <w:szCs w:val="20"/>
              </w:rPr>
              <w:t xml:space="preserve"> variation of 9523</w:t>
            </w:r>
            <w:r w:rsidRPr="001428E9">
              <w:rPr>
                <w:rFonts w:ascii="Arial Narrow" w:hAnsi="Arial Narrow"/>
                <w:b/>
                <w:sz w:val="20"/>
                <w:szCs w:val="20"/>
              </w:rPr>
              <w:t xml:space="preserve">] </w:t>
            </w:r>
          </w:p>
        </w:tc>
      </w:tr>
      <w:tr w:rsidR="000111C3" w:rsidRPr="001428E9" w14:paraId="3FBFB9F6"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0A998CEB" w14:textId="77777777" w:rsidR="000111C3" w:rsidRPr="001428E9" w:rsidRDefault="000111C3">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Section 100 – Highly Specialised Drugs Program – Public (Code HB)</w:t>
            </w:r>
            <w:r w:rsidRPr="001428E9">
              <w:rPr>
                <w:rFonts w:ascii="Arial Narrow" w:eastAsia="Calibri" w:hAnsi="Arial Narrow"/>
                <w:color w:val="FF0000"/>
                <w:sz w:val="20"/>
                <w:szCs w:val="20"/>
              </w:rPr>
              <w:t xml:space="preserve"> </w:t>
            </w:r>
            <w:r>
              <w:rPr>
                <w:rFonts w:ascii="Arial Narrow" w:eastAsia="Calibri" w:hAnsi="Arial Narrow"/>
                <w:sz w:val="20"/>
                <w:szCs w:val="20"/>
              </w:rPr>
              <w:t>/ Private (Code HS)</w:t>
            </w:r>
          </w:p>
        </w:tc>
      </w:tr>
      <w:tr w:rsidR="000111C3" w:rsidRPr="001428E9" w14:paraId="41DAC2F6"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7ACDBD0E" w14:textId="77777777" w:rsidR="000111C3" w:rsidRPr="001428E9" w:rsidRDefault="000111C3">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0111C3" w:rsidRPr="001428E9" w14:paraId="3FE9A8DF"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3B773FE" w14:textId="77777777" w:rsidR="000111C3" w:rsidRPr="00D56F94" w:rsidRDefault="000111C3">
            <w:pPr>
              <w:keepLines/>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(Streamlined) [</w:t>
            </w:r>
            <w:r>
              <w:rPr>
                <w:rFonts w:ascii="Arial Narrow" w:eastAsia="Calibri" w:hAnsi="Arial Narrow"/>
                <w:sz w:val="20"/>
                <w:szCs w:val="20"/>
              </w:rPr>
              <w:t>NEW</w:t>
            </w:r>
            <w:r w:rsidRPr="001428E9">
              <w:rPr>
                <w:rFonts w:ascii="Arial Narrow" w:eastAsia="Calibri" w:hAnsi="Arial Narrow"/>
                <w:sz w:val="20"/>
                <w:szCs w:val="20"/>
              </w:rPr>
              <w:t>]</w:t>
            </w:r>
          </w:p>
        </w:tc>
      </w:tr>
      <w:tr w:rsidR="000111C3" w:rsidRPr="001428E9" w14:paraId="7C4E2C22"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12C51E2" w14:textId="77777777" w:rsidR="000111C3" w:rsidRPr="00A65248" w:rsidRDefault="000111C3">
            <w:pPr>
              <w:keepLines/>
              <w:rPr>
                <w:rFonts w:ascii="Arial Narrow" w:hAnsi="Arial Narrow"/>
                <w:b/>
                <w:color w:val="FF0000"/>
                <w:sz w:val="20"/>
                <w:szCs w:val="20"/>
              </w:rPr>
            </w:pPr>
            <w:r>
              <w:rPr>
                <w:rFonts w:ascii="Arial Narrow" w:hAnsi="Arial Narrow"/>
                <w:b/>
                <w:sz w:val="20"/>
                <w:szCs w:val="20"/>
              </w:rPr>
              <w:t xml:space="preserve">Authority type: </w:t>
            </w:r>
            <w:r>
              <w:rPr>
                <w:rFonts w:ascii="Arial Narrow" w:eastAsia="Calibri" w:hAnsi="Arial Narrow"/>
                <w:sz w:val="20"/>
                <w:szCs w:val="20"/>
              </w:rPr>
              <w:fldChar w:fldCharType="begin">
                <w:ffData>
                  <w:name w:val="Check1"/>
                  <w:enabled/>
                  <w:calcOnExit w:val="0"/>
                  <w:checkBox>
                    <w:sizeAuto/>
                    <w:default w:val="1"/>
                  </w:checkBox>
                </w:ffData>
              </w:fldChar>
            </w:r>
            <w:bookmarkStart w:id="10" w:name="Check1"/>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bookmarkEnd w:id="10"/>
            <w:r>
              <w:rPr>
                <w:rFonts w:ascii="Arial Narrow" w:eastAsia="Calibri" w:hAnsi="Arial Narrow"/>
                <w:sz w:val="20"/>
                <w:szCs w:val="20"/>
              </w:rPr>
              <w:t xml:space="preserve"> Non-complex Authority Required (non-CAR)</w:t>
            </w:r>
          </w:p>
        </w:tc>
      </w:tr>
      <w:tr w:rsidR="000111C3" w:rsidRPr="001428E9" w14:paraId="1AB8CA05"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0A452C15" w14:textId="77777777" w:rsidR="000111C3" w:rsidRPr="001428E9" w:rsidRDefault="000111C3">
            <w:pPr>
              <w:rPr>
                <w:rFonts w:ascii="Arial Narrow" w:hAnsi="Arial Narrow"/>
                <w:color w:val="333333"/>
                <w:sz w:val="20"/>
                <w:szCs w:val="20"/>
              </w:rPr>
            </w:pPr>
            <w:r w:rsidRPr="001428E9">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8B2B98">
              <w:rPr>
                <w:rFonts w:ascii="Arial Narrow" w:hAnsi="Arial Narrow"/>
                <w:sz w:val="20"/>
                <w:szCs w:val="20"/>
              </w:rPr>
              <w:t>No increase in the maximum quantity or number of units may be authorised.</w:t>
            </w:r>
          </w:p>
        </w:tc>
      </w:tr>
      <w:tr w:rsidR="000111C3" w:rsidRPr="001428E9" w14:paraId="32DBA421"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43691F1E" w14:textId="77777777" w:rsidR="000111C3" w:rsidRPr="001428E9" w:rsidRDefault="000111C3">
            <w:pPr>
              <w:rPr>
                <w:rFonts w:ascii="Arial Narrow" w:hAnsi="Arial Narrow"/>
                <w:b/>
                <w:bCs/>
                <w:color w:val="333333"/>
                <w:sz w:val="20"/>
                <w:szCs w:val="20"/>
              </w:rPr>
            </w:pPr>
            <w:r w:rsidRPr="001428E9">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8B2B98">
              <w:rPr>
                <w:rFonts w:ascii="Arial Narrow" w:hAnsi="Arial Narrow"/>
                <w:color w:val="333333"/>
                <w:sz w:val="20"/>
                <w:szCs w:val="20"/>
              </w:rPr>
              <w:t>No increase in the maximum number of repeats may be authorised.</w:t>
            </w:r>
          </w:p>
        </w:tc>
      </w:tr>
      <w:tr w:rsidR="000111C3" w:rsidRPr="001428E9" w14:paraId="75C5B853"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104D0501" w14:textId="77777777" w:rsidR="000111C3" w:rsidRPr="001428E9" w:rsidRDefault="000111C3">
            <w:pPr>
              <w:rPr>
                <w:rFonts w:ascii="Arial Narrow" w:hAnsi="Arial Narrow"/>
                <w:b/>
                <w:bCs/>
                <w:color w:val="333333"/>
                <w:sz w:val="20"/>
                <w:szCs w:val="20"/>
              </w:rPr>
            </w:pPr>
            <w:r w:rsidRPr="001428E9">
              <w:rPr>
                <w:rFonts w:ascii="Arial Narrow" w:hAnsi="Arial Narrow"/>
                <w:b/>
                <w:bCs/>
                <w:color w:val="333333"/>
                <w:sz w:val="20"/>
                <w:szCs w:val="20"/>
              </w:rPr>
              <w:t>Administrative Advice:</w:t>
            </w:r>
            <w:r w:rsidRPr="008B2B98">
              <w:rPr>
                <w:rFonts w:ascii="Arial Narrow" w:hAnsi="Arial Narrow"/>
                <w:color w:val="333333"/>
                <w:sz w:val="20"/>
                <w:szCs w:val="20"/>
              </w:rPr>
              <w:t xml:space="preserve"> Special Pricing Arrangements apply.</w:t>
            </w:r>
          </w:p>
        </w:tc>
      </w:tr>
      <w:tr w:rsidR="000111C3" w:rsidRPr="001428E9" w14:paraId="4564AE0A"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7013DF26" w14:textId="77777777" w:rsidR="000111C3" w:rsidRPr="001428E9" w:rsidRDefault="000111C3">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Multiple sclerosis</w:t>
            </w:r>
          </w:p>
        </w:tc>
      </w:tr>
      <w:tr w:rsidR="000111C3" w:rsidRPr="001428E9" w14:paraId="51080590"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2786D5B" w14:textId="77777777" w:rsidR="000111C3" w:rsidRPr="003C47C9" w:rsidRDefault="000111C3">
            <w:pPr>
              <w:keepLines/>
              <w:rPr>
                <w:rFonts w:ascii="Arial Narrow" w:hAnsi="Arial Narrow"/>
                <w:color w:val="333333"/>
                <w:sz w:val="20"/>
                <w:szCs w:val="20"/>
              </w:rPr>
            </w:pPr>
            <w:r>
              <w:rPr>
                <w:rFonts w:ascii="Arial Narrow" w:hAnsi="Arial Narrow"/>
                <w:b/>
                <w:bCs/>
                <w:color w:val="333333"/>
                <w:sz w:val="20"/>
                <w:szCs w:val="20"/>
              </w:rPr>
              <w:t xml:space="preserve">Treatment phase: </w:t>
            </w:r>
            <w:r>
              <w:rPr>
                <w:rFonts w:ascii="Arial Narrow" w:hAnsi="Arial Narrow"/>
                <w:color w:val="333333"/>
                <w:sz w:val="20"/>
                <w:szCs w:val="20"/>
              </w:rPr>
              <w:t>Initial treatment</w:t>
            </w:r>
          </w:p>
        </w:tc>
      </w:tr>
      <w:tr w:rsidR="000111C3" w:rsidRPr="001428E9" w14:paraId="42070CE4"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9FC604B" w14:textId="77777777" w:rsidR="000111C3" w:rsidRPr="001428E9" w:rsidRDefault="000111C3">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0111C3" w:rsidRPr="001428E9" w14:paraId="003A6A0A"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32C2954" w14:textId="77777777" w:rsidR="000111C3" w:rsidRPr="007D6F87" w:rsidRDefault="000111C3">
            <w:pPr>
              <w:keepLines/>
              <w:rPr>
                <w:rFonts w:ascii="Arial Narrow" w:hAnsi="Arial Narrow"/>
                <w:b/>
                <w:bCs/>
                <w:color w:val="333333"/>
                <w:sz w:val="20"/>
                <w:szCs w:val="20"/>
              </w:rPr>
            </w:pPr>
            <w:r w:rsidRPr="00A3617C">
              <w:rPr>
                <w:rFonts w:ascii="Arial Narrow" w:hAnsi="Arial Narrow"/>
                <w:color w:val="333333"/>
                <w:sz w:val="20"/>
                <w:szCs w:val="20"/>
              </w:rPr>
              <w:t xml:space="preserve">The condition must be diagnosed as clinically definite relapsing-remitting multiple sclerosis by magnetic resonance imaging of the brain and/or spinal cord; </w:t>
            </w:r>
            <w:r>
              <w:rPr>
                <w:rFonts w:ascii="Arial Narrow" w:hAnsi="Arial Narrow"/>
                <w:b/>
                <w:bCs/>
                <w:color w:val="333333"/>
                <w:sz w:val="20"/>
                <w:szCs w:val="20"/>
              </w:rPr>
              <w:t>OR</w:t>
            </w:r>
          </w:p>
        </w:tc>
      </w:tr>
      <w:tr w:rsidR="000111C3" w:rsidRPr="001428E9" w14:paraId="048DEE9F"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6E77CA04" w14:textId="77777777" w:rsidR="000111C3" w:rsidRPr="00A3617C" w:rsidRDefault="000111C3">
            <w:pPr>
              <w:keepLines/>
              <w:rPr>
                <w:rFonts w:ascii="Arial Narrow" w:hAnsi="Arial Narrow"/>
                <w:color w:val="333333"/>
                <w:sz w:val="20"/>
                <w:szCs w:val="20"/>
              </w:rPr>
            </w:pPr>
            <w:r w:rsidRPr="00A3617C">
              <w:rPr>
                <w:rFonts w:ascii="Arial Narrow" w:hAnsi="Arial Narrow"/>
                <w:color w:val="333333"/>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tc>
      </w:tr>
      <w:tr w:rsidR="000111C3" w:rsidRPr="001428E9" w14:paraId="556E4C7D"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29912AD" w14:textId="77777777" w:rsidR="000111C3" w:rsidRPr="00AC0F60" w:rsidRDefault="000111C3">
            <w:pPr>
              <w:keepLines/>
              <w:rPr>
                <w:rFonts w:ascii="Arial Narrow" w:hAnsi="Arial Narrow"/>
                <w:b/>
                <w:bCs/>
                <w:color w:val="333333"/>
                <w:sz w:val="20"/>
                <w:szCs w:val="20"/>
              </w:rPr>
            </w:pPr>
            <w:r>
              <w:rPr>
                <w:rFonts w:ascii="Arial Narrow" w:hAnsi="Arial Narrow"/>
                <w:b/>
                <w:bCs/>
                <w:color w:val="333333"/>
                <w:sz w:val="20"/>
                <w:szCs w:val="20"/>
              </w:rPr>
              <w:t>AND</w:t>
            </w:r>
          </w:p>
        </w:tc>
      </w:tr>
      <w:tr w:rsidR="000111C3" w:rsidRPr="001428E9" w14:paraId="38BCC3AF"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EECAD2F" w14:textId="77777777" w:rsidR="000111C3" w:rsidRPr="001428E9" w:rsidRDefault="000111C3">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0111C3" w:rsidRPr="001428E9" w14:paraId="640DE0C8"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28FF452F" w14:textId="77777777" w:rsidR="000111C3" w:rsidRPr="007255D8" w:rsidRDefault="000111C3">
            <w:pPr>
              <w:keepLines/>
              <w:rPr>
                <w:rFonts w:ascii="Arial Narrow" w:hAnsi="Arial Narrow"/>
                <w:color w:val="333333"/>
                <w:sz w:val="20"/>
                <w:szCs w:val="20"/>
              </w:rPr>
            </w:pPr>
            <w:r w:rsidRPr="007255D8">
              <w:rPr>
                <w:rFonts w:ascii="Arial Narrow" w:hAnsi="Arial Narrow"/>
                <w:color w:val="333333"/>
                <w:sz w:val="20"/>
                <w:szCs w:val="20"/>
              </w:rPr>
              <w:t>The treatment must be the sole PBS-subsidised disease modifying therapy for this condition</w:t>
            </w:r>
          </w:p>
        </w:tc>
      </w:tr>
      <w:tr w:rsidR="000111C3" w:rsidRPr="001428E9" w14:paraId="385F7FFE"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455DBE6F" w14:textId="77777777" w:rsidR="000111C3" w:rsidRPr="001428E9" w:rsidRDefault="000111C3">
            <w:pPr>
              <w:keepLines/>
              <w:rPr>
                <w:rFonts w:ascii="Arial Narrow" w:hAnsi="Arial Narrow"/>
                <w:b/>
                <w:bCs/>
                <w:color w:val="333333"/>
                <w:sz w:val="20"/>
                <w:szCs w:val="20"/>
              </w:rPr>
            </w:pPr>
            <w:r>
              <w:rPr>
                <w:rFonts w:ascii="Arial Narrow" w:hAnsi="Arial Narrow"/>
                <w:b/>
                <w:bCs/>
                <w:color w:val="333333"/>
                <w:sz w:val="20"/>
                <w:szCs w:val="20"/>
              </w:rPr>
              <w:t>AND</w:t>
            </w:r>
          </w:p>
        </w:tc>
      </w:tr>
      <w:tr w:rsidR="000111C3" w:rsidRPr="001428E9" w14:paraId="6EB4808A"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0D46C306" w14:textId="77777777" w:rsidR="000111C3" w:rsidRPr="001428E9" w:rsidRDefault="000111C3">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0111C3" w:rsidRPr="001428E9" w14:paraId="6D66D99B"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2054B9C1" w14:textId="77777777" w:rsidR="000111C3" w:rsidRPr="007255D8" w:rsidRDefault="000111C3">
            <w:pPr>
              <w:keepLines/>
              <w:rPr>
                <w:rFonts w:ascii="Arial Narrow" w:hAnsi="Arial Narrow"/>
                <w:color w:val="333333"/>
                <w:sz w:val="20"/>
                <w:szCs w:val="20"/>
              </w:rPr>
            </w:pPr>
            <w:r w:rsidRPr="007255D8">
              <w:rPr>
                <w:rFonts w:ascii="Arial Narrow" w:hAnsi="Arial Narrow"/>
                <w:color w:val="333333"/>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0111C3" w:rsidRPr="001428E9" w14:paraId="78B63801"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29BA92F" w14:textId="77777777" w:rsidR="000111C3" w:rsidRPr="001428E9" w:rsidRDefault="000111C3">
            <w:pPr>
              <w:keepLines/>
              <w:rPr>
                <w:rFonts w:ascii="Arial Narrow" w:hAnsi="Arial Narrow"/>
                <w:b/>
                <w:bCs/>
                <w:color w:val="333333"/>
                <w:sz w:val="20"/>
                <w:szCs w:val="20"/>
              </w:rPr>
            </w:pPr>
            <w:r>
              <w:rPr>
                <w:rFonts w:ascii="Arial Narrow" w:hAnsi="Arial Narrow"/>
                <w:b/>
                <w:bCs/>
                <w:color w:val="333333"/>
                <w:sz w:val="20"/>
                <w:szCs w:val="20"/>
              </w:rPr>
              <w:t>AND</w:t>
            </w:r>
          </w:p>
        </w:tc>
      </w:tr>
      <w:tr w:rsidR="000111C3" w:rsidRPr="001428E9" w14:paraId="6B1D7C94"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55F7BCE" w14:textId="77777777" w:rsidR="000111C3" w:rsidRPr="001428E9" w:rsidRDefault="000111C3">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0111C3" w:rsidRPr="001428E9" w14:paraId="64E06595"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100C05D" w14:textId="77777777" w:rsidR="000111C3" w:rsidRPr="00423EF9" w:rsidRDefault="000111C3">
            <w:pPr>
              <w:keepLines/>
              <w:rPr>
                <w:rFonts w:ascii="Arial Narrow" w:hAnsi="Arial Narrow"/>
                <w:color w:val="333333"/>
                <w:sz w:val="20"/>
                <w:szCs w:val="20"/>
              </w:rPr>
            </w:pPr>
            <w:r w:rsidRPr="00423EF9">
              <w:rPr>
                <w:rFonts w:ascii="Arial Narrow" w:hAnsi="Arial Narrow"/>
                <w:color w:val="333333"/>
                <w:sz w:val="20"/>
                <w:szCs w:val="20"/>
              </w:rPr>
              <w:t xml:space="preserve">Patient must be ambulatory </w:t>
            </w:r>
            <w:r w:rsidRPr="00423EF9">
              <w:rPr>
                <w:rFonts w:ascii="Arial Narrow" w:hAnsi="Arial Narrow"/>
                <w:i/>
                <w:iCs/>
                <w:color w:val="333333"/>
                <w:sz w:val="20"/>
                <w:szCs w:val="20"/>
              </w:rPr>
              <w:t>(without assistance or support)</w:t>
            </w:r>
          </w:p>
        </w:tc>
      </w:tr>
      <w:tr w:rsidR="000111C3" w:rsidRPr="001428E9" w14:paraId="76923A31"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6BCEC616" w14:textId="77777777" w:rsidR="000111C3" w:rsidRPr="00423EF9" w:rsidRDefault="000111C3">
            <w:pPr>
              <w:keepLines/>
              <w:rPr>
                <w:rFonts w:ascii="Arial Narrow" w:hAnsi="Arial Narrow"/>
                <w:color w:val="333333"/>
                <w:sz w:val="20"/>
                <w:szCs w:val="20"/>
              </w:rPr>
            </w:pPr>
            <w:r>
              <w:rPr>
                <w:rFonts w:ascii="Arial Narrow" w:hAnsi="Arial Narrow"/>
                <w:b/>
                <w:bCs/>
                <w:color w:val="333333"/>
                <w:sz w:val="20"/>
                <w:szCs w:val="20"/>
              </w:rPr>
              <w:t>AND</w:t>
            </w:r>
          </w:p>
        </w:tc>
      </w:tr>
      <w:tr w:rsidR="000111C3" w:rsidRPr="001428E9" w14:paraId="21FEB857"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48EC0814" w14:textId="77777777" w:rsidR="000111C3" w:rsidRPr="001428E9" w:rsidRDefault="000111C3">
            <w:pPr>
              <w:keepLines/>
              <w:rPr>
                <w:rFonts w:ascii="Arial Narrow" w:hAnsi="Arial Narrow"/>
                <w:b/>
                <w:bCs/>
                <w:color w:val="333333"/>
                <w:sz w:val="20"/>
                <w:szCs w:val="20"/>
              </w:rPr>
            </w:pPr>
            <w:r>
              <w:rPr>
                <w:rFonts w:ascii="Arial Narrow" w:hAnsi="Arial Narrow"/>
                <w:b/>
                <w:bCs/>
                <w:color w:val="333333"/>
                <w:sz w:val="20"/>
                <w:szCs w:val="20"/>
              </w:rPr>
              <w:t>Treatment criteria</w:t>
            </w:r>
          </w:p>
        </w:tc>
      </w:tr>
      <w:tr w:rsidR="000111C3" w:rsidRPr="001428E9" w14:paraId="72647167"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4F61B4DD" w14:textId="77777777" w:rsidR="000111C3" w:rsidRPr="006D4CB7" w:rsidRDefault="000111C3">
            <w:pPr>
              <w:keepLines/>
              <w:rPr>
                <w:rFonts w:ascii="Arial Narrow" w:hAnsi="Arial Narrow"/>
                <w:color w:val="333333"/>
                <w:sz w:val="20"/>
                <w:szCs w:val="20"/>
              </w:rPr>
            </w:pPr>
            <w:r w:rsidRPr="006D4CB7">
              <w:rPr>
                <w:rFonts w:ascii="Arial Narrow" w:hAnsi="Arial Narrow"/>
                <w:color w:val="333333"/>
                <w:sz w:val="20"/>
                <w:szCs w:val="20"/>
              </w:rPr>
              <w:t>Must be treated by a neurologist</w:t>
            </w:r>
          </w:p>
        </w:tc>
      </w:tr>
      <w:tr w:rsidR="000111C3" w:rsidRPr="001428E9" w14:paraId="3050258D"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0A1FB18" w14:textId="77777777" w:rsidR="000111C3" w:rsidRDefault="000111C3">
            <w:pPr>
              <w:keepLines/>
              <w:rPr>
                <w:rFonts w:ascii="Arial Narrow" w:hAnsi="Arial Narrow"/>
                <w:b/>
                <w:bCs/>
                <w:color w:val="333333"/>
                <w:sz w:val="20"/>
                <w:szCs w:val="20"/>
              </w:rPr>
            </w:pPr>
            <w:r w:rsidRPr="00E96089">
              <w:rPr>
                <w:rFonts w:ascii="Arial Narrow" w:hAnsi="Arial Narrow"/>
                <w:b/>
                <w:bCs/>
                <w:color w:val="333333"/>
                <w:sz w:val="20"/>
                <w:szCs w:val="20"/>
              </w:rPr>
              <w:t xml:space="preserve">Prescribing </w:t>
            </w:r>
            <w:r>
              <w:rPr>
                <w:rFonts w:ascii="Arial Narrow" w:hAnsi="Arial Narrow"/>
                <w:b/>
                <w:bCs/>
                <w:color w:val="333333"/>
                <w:sz w:val="20"/>
                <w:szCs w:val="20"/>
              </w:rPr>
              <w:t>i</w:t>
            </w:r>
            <w:r w:rsidRPr="00E96089">
              <w:rPr>
                <w:rFonts w:ascii="Arial Narrow" w:hAnsi="Arial Narrow"/>
                <w:b/>
                <w:bCs/>
                <w:color w:val="333333"/>
                <w:sz w:val="20"/>
                <w:szCs w:val="20"/>
              </w:rPr>
              <w:t>nstructions:</w:t>
            </w:r>
          </w:p>
          <w:p w14:paraId="112AC18E" w14:textId="77777777" w:rsidR="000111C3" w:rsidRPr="000E47C8" w:rsidRDefault="000111C3">
            <w:pPr>
              <w:keepLines/>
              <w:rPr>
                <w:rFonts w:ascii="Arial Narrow" w:hAnsi="Arial Narrow"/>
                <w:color w:val="333333"/>
                <w:sz w:val="20"/>
                <w:szCs w:val="20"/>
              </w:rPr>
            </w:pPr>
            <w:r w:rsidRPr="000E47C8">
              <w:rPr>
                <w:rFonts w:ascii="Arial Narrow" w:hAnsi="Arial Narrow"/>
                <w:color w:val="333333"/>
                <w:sz w:val="20"/>
                <w:szCs w:val="20"/>
              </w:rPr>
              <w:t>Where applicable, the date of the magnetic resonance imaging scan must be recorded in the patient's medical records.</w:t>
            </w:r>
          </w:p>
        </w:tc>
      </w:tr>
    </w:tbl>
    <w:p w14:paraId="42197DC3" w14:textId="303CCEFF" w:rsidR="00EC4804" w:rsidRPr="00D37726" w:rsidRDefault="00EC4804" w:rsidP="005217FC">
      <w:pPr>
        <w:pStyle w:val="3-BodyText"/>
        <w:numPr>
          <w:ilvl w:val="0"/>
          <w:numId w:val="0"/>
        </w:numPr>
        <w:spacing w:before="0" w:after="0"/>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211"/>
        <w:gridCol w:w="812"/>
        <w:gridCol w:w="811"/>
        <w:gridCol w:w="812"/>
        <w:gridCol w:w="1824"/>
        <w:gridCol w:w="7"/>
      </w:tblGrid>
      <w:tr w:rsidR="00EC4804" w:rsidRPr="001428E9" w14:paraId="7A7AEF7D" w14:textId="77777777" w:rsidTr="000556A7">
        <w:trPr>
          <w:cantSplit/>
          <w:trHeight w:val="20"/>
        </w:trPr>
        <w:tc>
          <w:tcPr>
            <w:tcW w:w="3540" w:type="dxa"/>
            <w:vAlign w:val="center"/>
          </w:tcPr>
          <w:p w14:paraId="66FA6C9E" w14:textId="77777777" w:rsidR="00EC4804" w:rsidRPr="001428E9" w:rsidRDefault="00EC4804">
            <w:pPr>
              <w:keepLines/>
              <w:rPr>
                <w:rFonts w:ascii="Arial Narrow" w:hAnsi="Arial Narrow"/>
                <w:b/>
                <w:bCs/>
                <w:sz w:val="20"/>
                <w:szCs w:val="20"/>
              </w:rPr>
            </w:pPr>
            <w:r w:rsidRPr="001428E9">
              <w:rPr>
                <w:rFonts w:ascii="Arial Narrow" w:hAnsi="Arial Narrow"/>
                <w:b/>
                <w:bCs/>
                <w:sz w:val="20"/>
                <w:szCs w:val="20"/>
              </w:rPr>
              <w:t>MEDICINAL PRODUCT</w:t>
            </w:r>
          </w:p>
          <w:p w14:paraId="3025CDE1" w14:textId="77777777" w:rsidR="00EC4804" w:rsidRPr="001428E9" w:rsidRDefault="00EC4804">
            <w:pPr>
              <w:keepLines/>
              <w:rPr>
                <w:rFonts w:ascii="Arial Narrow" w:hAnsi="Arial Narrow"/>
                <w:b/>
                <w:sz w:val="20"/>
                <w:szCs w:val="20"/>
              </w:rPr>
            </w:pPr>
            <w:r w:rsidRPr="001428E9">
              <w:rPr>
                <w:rFonts w:ascii="Arial Narrow" w:hAnsi="Arial Narrow"/>
                <w:b/>
                <w:bCs/>
                <w:sz w:val="20"/>
                <w:szCs w:val="20"/>
              </w:rPr>
              <w:t>medicinal product pack</w:t>
            </w:r>
          </w:p>
        </w:tc>
        <w:tc>
          <w:tcPr>
            <w:tcW w:w="1211" w:type="dxa"/>
            <w:vAlign w:val="center"/>
          </w:tcPr>
          <w:p w14:paraId="3557FA78" w14:textId="77777777" w:rsidR="00EC4804" w:rsidRPr="001428E9" w:rsidRDefault="00EC4804">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0B309D3F" w14:textId="77777777" w:rsidR="00EC4804" w:rsidRPr="001428E9" w:rsidRDefault="00EC4804">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630D3095" w14:textId="77777777" w:rsidR="00EC4804" w:rsidRPr="001428E9" w:rsidRDefault="00EC4804">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0C0DB4E6" w14:textId="77777777" w:rsidR="00EC4804" w:rsidRPr="001428E9" w:rsidRDefault="00EC4804">
            <w:pPr>
              <w:keepLines/>
              <w:jc w:val="center"/>
              <w:rPr>
                <w:rFonts w:ascii="Arial Narrow" w:hAnsi="Arial Narrow"/>
                <w:b/>
                <w:sz w:val="20"/>
                <w:szCs w:val="20"/>
              </w:rPr>
            </w:pPr>
            <w:r w:rsidRPr="001428E9">
              <w:rPr>
                <w:rFonts w:ascii="Arial Narrow" w:hAnsi="Arial Narrow"/>
                <w:b/>
                <w:sz w:val="20"/>
                <w:szCs w:val="20"/>
              </w:rPr>
              <w:t>№. of</w:t>
            </w:r>
          </w:p>
          <w:p w14:paraId="04E19D32" w14:textId="77777777" w:rsidR="00EC4804" w:rsidRPr="001428E9" w:rsidRDefault="00EC4804">
            <w:pPr>
              <w:keepLines/>
              <w:jc w:val="center"/>
              <w:rPr>
                <w:rFonts w:ascii="Arial Narrow" w:hAnsi="Arial Narrow"/>
                <w:b/>
                <w:sz w:val="20"/>
                <w:szCs w:val="20"/>
              </w:rPr>
            </w:pPr>
            <w:proofErr w:type="spellStart"/>
            <w:r w:rsidRPr="001428E9">
              <w:rPr>
                <w:rFonts w:ascii="Arial Narrow" w:hAnsi="Arial Narrow"/>
                <w:b/>
                <w:sz w:val="20"/>
                <w:szCs w:val="20"/>
              </w:rPr>
              <w:t>Rpts</w:t>
            </w:r>
            <w:proofErr w:type="spellEnd"/>
          </w:p>
        </w:tc>
        <w:tc>
          <w:tcPr>
            <w:tcW w:w="1831" w:type="dxa"/>
            <w:gridSpan w:val="2"/>
            <w:vAlign w:val="center"/>
          </w:tcPr>
          <w:p w14:paraId="5E583F22" w14:textId="77777777" w:rsidR="00EC4804" w:rsidRPr="001428E9" w:rsidRDefault="00EC4804">
            <w:pPr>
              <w:keepLines/>
              <w:rPr>
                <w:rFonts w:ascii="Arial Narrow" w:hAnsi="Arial Narrow"/>
                <w:b/>
                <w:sz w:val="20"/>
                <w:szCs w:val="20"/>
                <w:lang w:val="fr-FR"/>
              </w:rPr>
            </w:pPr>
            <w:r w:rsidRPr="001428E9">
              <w:rPr>
                <w:rFonts w:ascii="Arial Narrow" w:hAnsi="Arial Narrow"/>
                <w:b/>
                <w:sz w:val="20"/>
                <w:szCs w:val="20"/>
              </w:rPr>
              <w:t>Available brands</w:t>
            </w:r>
          </w:p>
        </w:tc>
      </w:tr>
      <w:tr w:rsidR="00EC4804" w:rsidRPr="001428E9" w14:paraId="66C54D0B" w14:textId="77777777" w:rsidTr="000556A7">
        <w:trPr>
          <w:cantSplit/>
          <w:trHeight w:val="20"/>
        </w:trPr>
        <w:tc>
          <w:tcPr>
            <w:tcW w:w="9017" w:type="dxa"/>
            <w:gridSpan w:val="7"/>
            <w:vAlign w:val="center"/>
          </w:tcPr>
          <w:p w14:paraId="59427D14" w14:textId="77777777" w:rsidR="00EC4804" w:rsidRPr="001428E9" w:rsidRDefault="00EC4804">
            <w:pPr>
              <w:keepLines/>
              <w:rPr>
                <w:rFonts w:ascii="Arial Narrow" w:hAnsi="Arial Narrow"/>
                <w:sz w:val="20"/>
                <w:szCs w:val="20"/>
              </w:rPr>
            </w:pPr>
            <w:r>
              <w:rPr>
                <w:rFonts w:ascii="Arial Narrow" w:hAnsi="Arial Narrow"/>
                <w:sz w:val="20"/>
                <w:szCs w:val="20"/>
              </w:rPr>
              <w:t>UBLITUXIMAB</w:t>
            </w:r>
          </w:p>
        </w:tc>
      </w:tr>
      <w:tr w:rsidR="00EC4804" w:rsidRPr="001428E9" w14:paraId="56F58D78" w14:textId="77777777" w:rsidTr="000556A7">
        <w:trPr>
          <w:cantSplit/>
          <w:trHeight w:val="20"/>
        </w:trPr>
        <w:tc>
          <w:tcPr>
            <w:tcW w:w="3540" w:type="dxa"/>
            <w:vAlign w:val="center"/>
          </w:tcPr>
          <w:p w14:paraId="3A298499" w14:textId="77777777" w:rsidR="00EC4804" w:rsidRPr="001428E9" w:rsidRDefault="00EC4804">
            <w:pPr>
              <w:keepLines/>
              <w:rPr>
                <w:rFonts w:ascii="Arial Narrow" w:hAnsi="Arial Narrow"/>
                <w:sz w:val="20"/>
                <w:szCs w:val="20"/>
              </w:rPr>
            </w:pPr>
            <w:r>
              <w:rPr>
                <w:rFonts w:ascii="Arial Narrow" w:hAnsi="Arial Narrow"/>
                <w:sz w:val="20"/>
                <w:szCs w:val="20"/>
              </w:rPr>
              <w:t>u</w:t>
            </w:r>
            <w:r w:rsidRPr="002C5390">
              <w:rPr>
                <w:rFonts w:ascii="Arial Narrow" w:hAnsi="Arial Narrow"/>
                <w:sz w:val="20"/>
                <w:szCs w:val="20"/>
              </w:rPr>
              <w:t>blituximab 150 mg in 6 mL solution for injection, 1 vial</w:t>
            </w:r>
          </w:p>
        </w:tc>
        <w:tc>
          <w:tcPr>
            <w:tcW w:w="1211" w:type="dxa"/>
            <w:vAlign w:val="center"/>
          </w:tcPr>
          <w:p w14:paraId="65D0C71C" w14:textId="77777777" w:rsidR="00EC4804" w:rsidRPr="001428E9" w:rsidRDefault="00EC4804">
            <w:pPr>
              <w:keepLines/>
              <w:jc w:val="center"/>
              <w:rPr>
                <w:rFonts w:ascii="Arial Narrow" w:hAnsi="Arial Narrow"/>
                <w:sz w:val="20"/>
                <w:szCs w:val="20"/>
              </w:rPr>
            </w:pPr>
            <w:r>
              <w:rPr>
                <w:rFonts w:ascii="Arial Narrow" w:hAnsi="Arial Narrow"/>
                <w:sz w:val="20"/>
                <w:szCs w:val="20"/>
              </w:rPr>
              <w:t>NEW S100 Public (HB)</w:t>
            </w:r>
          </w:p>
        </w:tc>
        <w:tc>
          <w:tcPr>
            <w:tcW w:w="812" w:type="dxa"/>
            <w:vAlign w:val="center"/>
          </w:tcPr>
          <w:p w14:paraId="15735BBC" w14:textId="77777777" w:rsidR="00EC4804" w:rsidRPr="001428E9" w:rsidRDefault="00EC4804">
            <w:pPr>
              <w:keepLines/>
              <w:jc w:val="center"/>
              <w:rPr>
                <w:rFonts w:ascii="Arial Narrow" w:hAnsi="Arial Narrow"/>
                <w:sz w:val="20"/>
                <w:szCs w:val="20"/>
              </w:rPr>
            </w:pPr>
            <w:r>
              <w:rPr>
                <w:rFonts w:ascii="Arial Narrow" w:hAnsi="Arial Narrow"/>
                <w:sz w:val="20"/>
                <w:szCs w:val="20"/>
              </w:rPr>
              <w:t>3</w:t>
            </w:r>
          </w:p>
        </w:tc>
        <w:tc>
          <w:tcPr>
            <w:tcW w:w="811" w:type="dxa"/>
            <w:vAlign w:val="center"/>
          </w:tcPr>
          <w:p w14:paraId="0592F79E" w14:textId="77777777" w:rsidR="00EC4804" w:rsidRPr="001428E9" w:rsidRDefault="00EC4804">
            <w:pPr>
              <w:keepLines/>
              <w:jc w:val="center"/>
              <w:rPr>
                <w:rFonts w:ascii="Arial Narrow" w:hAnsi="Arial Narrow"/>
                <w:sz w:val="20"/>
                <w:szCs w:val="20"/>
              </w:rPr>
            </w:pPr>
            <w:r>
              <w:rPr>
                <w:rFonts w:ascii="Arial Narrow" w:hAnsi="Arial Narrow"/>
                <w:sz w:val="20"/>
                <w:szCs w:val="20"/>
              </w:rPr>
              <w:t>3</w:t>
            </w:r>
          </w:p>
        </w:tc>
        <w:tc>
          <w:tcPr>
            <w:tcW w:w="812" w:type="dxa"/>
            <w:vAlign w:val="center"/>
          </w:tcPr>
          <w:p w14:paraId="72322457" w14:textId="77777777" w:rsidR="00EC4804" w:rsidRPr="001428E9" w:rsidRDefault="00EC4804">
            <w:pPr>
              <w:keepLines/>
              <w:jc w:val="center"/>
              <w:rPr>
                <w:rFonts w:ascii="Arial Narrow" w:hAnsi="Arial Narrow"/>
                <w:sz w:val="20"/>
                <w:szCs w:val="20"/>
              </w:rPr>
            </w:pPr>
            <w:r>
              <w:rPr>
                <w:rFonts w:ascii="Arial Narrow" w:hAnsi="Arial Narrow"/>
                <w:sz w:val="20"/>
                <w:szCs w:val="20"/>
              </w:rPr>
              <w:t>0</w:t>
            </w:r>
          </w:p>
        </w:tc>
        <w:tc>
          <w:tcPr>
            <w:tcW w:w="1831" w:type="dxa"/>
            <w:gridSpan w:val="2"/>
            <w:vAlign w:val="center"/>
          </w:tcPr>
          <w:p w14:paraId="08A90370" w14:textId="77777777" w:rsidR="00EC4804" w:rsidRPr="001428E9" w:rsidRDefault="00EC4804">
            <w:pPr>
              <w:keepLines/>
              <w:rPr>
                <w:rFonts w:ascii="Arial Narrow" w:hAnsi="Arial Narrow"/>
                <w:sz w:val="20"/>
                <w:szCs w:val="20"/>
              </w:rPr>
            </w:pPr>
            <w:proofErr w:type="spellStart"/>
            <w:r>
              <w:rPr>
                <w:rFonts w:ascii="Arial Narrow" w:hAnsi="Arial Narrow"/>
                <w:sz w:val="20"/>
                <w:szCs w:val="20"/>
              </w:rPr>
              <w:t>Briumvi</w:t>
            </w:r>
            <w:proofErr w:type="spellEnd"/>
          </w:p>
        </w:tc>
      </w:tr>
      <w:tr w:rsidR="00EC4804" w:rsidRPr="001428E9" w14:paraId="4AD7DFB2" w14:textId="77777777" w:rsidTr="000556A7">
        <w:trPr>
          <w:cantSplit/>
          <w:trHeight w:val="20"/>
        </w:trPr>
        <w:tc>
          <w:tcPr>
            <w:tcW w:w="3540" w:type="dxa"/>
            <w:vAlign w:val="center"/>
          </w:tcPr>
          <w:p w14:paraId="25410DC3" w14:textId="77777777" w:rsidR="00EC4804" w:rsidRPr="001428E9" w:rsidRDefault="00EC4804">
            <w:pPr>
              <w:keepLines/>
              <w:rPr>
                <w:rFonts w:ascii="Arial Narrow" w:hAnsi="Arial Narrow"/>
                <w:sz w:val="20"/>
                <w:szCs w:val="20"/>
              </w:rPr>
            </w:pPr>
            <w:r>
              <w:rPr>
                <w:rFonts w:ascii="Arial Narrow" w:hAnsi="Arial Narrow"/>
                <w:sz w:val="20"/>
                <w:szCs w:val="20"/>
              </w:rPr>
              <w:t>u</w:t>
            </w:r>
            <w:r w:rsidRPr="002C5390">
              <w:rPr>
                <w:rFonts w:ascii="Arial Narrow" w:hAnsi="Arial Narrow"/>
                <w:sz w:val="20"/>
                <w:szCs w:val="20"/>
              </w:rPr>
              <w:t>blituximab 150 mg in 6 mL solution for injection, 1 vial</w:t>
            </w:r>
          </w:p>
        </w:tc>
        <w:tc>
          <w:tcPr>
            <w:tcW w:w="1211" w:type="dxa"/>
            <w:vAlign w:val="center"/>
          </w:tcPr>
          <w:p w14:paraId="4BB9AB29" w14:textId="77777777" w:rsidR="00EC4804" w:rsidRPr="001428E9" w:rsidRDefault="00EC4804">
            <w:pPr>
              <w:keepLines/>
              <w:jc w:val="center"/>
              <w:rPr>
                <w:rFonts w:ascii="Arial Narrow" w:hAnsi="Arial Narrow"/>
                <w:sz w:val="20"/>
                <w:szCs w:val="20"/>
              </w:rPr>
            </w:pPr>
            <w:r>
              <w:rPr>
                <w:rFonts w:ascii="Arial Narrow" w:hAnsi="Arial Narrow"/>
                <w:sz w:val="20"/>
                <w:szCs w:val="20"/>
              </w:rPr>
              <w:t>NEW S100 Private (HS)</w:t>
            </w:r>
          </w:p>
        </w:tc>
        <w:tc>
          <w:tcPr>
            <w:tcW w:w="812" w:type="dxa"/>
            <w:vAlign w:val="center"/>
          </w:tcPr>
          <w:p w14:paraId="2CE81C03" w14:textId="77777777" w:rsidR="00EC4804" w:rsidRPr="001428E9" w:rsidRDefault="00EC4804">
            <w:pPr>
              <w:keepLines/>
              <w:jc w:val="center"/>
              <w:rPr>
                <w:rFonts w:ascii="Arial Narrow" w:hAnsi="Arial Narrow"/>
                <w:sz w:val="20"/>
                <w:szCs w:val="20"/>
              </w:rPr>
            </w:pPr>
            <w:r>
              <w:rPr>
                <w:rFonts w:ascii="Arial Narrow" w:hAnsi="Arial Narrow"/>
                <w:sz w:val="20"/>
                <w:szCs w:val="20"/>
              </w:rPr>
              <w:t>3</w:t>
            </w:r>
          </w:p>
        </w:tc>
        <w:tc>
          <w:tcPr>
            <w:tcW w:w="811" w:type="dxa"/>
            <w:vAlign w:val="center"/>
          </w:tcPr>
          <w:p w14:paraId="5F8769F1" w14:textId="77777777" w:rsidR="00EC4804" w:rsidRPr="001428E9" w:rsidRDefault="00EC4804">
            <w:pPr>
              <w:keepLines/>
              <w:jc w:val="center"/>
              <w:rPr>
                <w:rFonts w:ascii="Arial Narrow" w:hAnsi="Arial Narrow"/>
                <w:sz w:val="20"/>
                <w:szCs w:val="20"/>
              </w:rPr>
            </w:pPr>
            <w:r>
              <w:rPr>
                <w:rFonts w:ascii="Arial Narrow" w:hAnsi="Arial Narrow"/>
                <w:sz w:val="20"/>
                <w:szCs w:val="20"/>
              </w:rPr>
              <w:t>3</w:t>
            </w:r>
          </w:p>
        </w:tc>
        <w:tc>
          <w:tcPr>
            <w:tcW w:w="812" w:type="dxa"/>
            <w:vAlign w:val="center"/>
          </w:tcPr>
          <w:p w14:paraId="68F82DFF" w14:textId="77777777" w:rsidR="00EC4804" w:rsidRPr="001428E9" w:rsidRDefault="00EC4804">
            <w:pPr>
              <w:keepLines/>
              <w:jc w:val="center"/>
              <w:rPr>
                <w:rFonts w:ascii="Arial Narrow" w:hAnsi="Arial Narrow"/>
                <w:sz w:val="20"/>
                <w:szCs w:val="20"/>
              </w:rPr>
            </w:pPr>
            <w:r>
              <w:rPr>
                <w:rFonts w:ascii="Arial Narrow" w:hAnsi="Arial Narrow"/>
                <w:sz w:val="20"/>
                <w:szCs w:val="20"/>
              </w:rPr>
              <w:t>0</w:t>
            </w:r>
          </w:p>
        </w:tc>
        <w:tc>
          <w:tcPr>
            <w:tcW w:w="1831" w:type="dxa"/>
            <w:gridSpan w:val="2"/>
            <w:vAlign w:val="center"/>
          </w:tcPr>
          <w:p w14:paraId="14097B9D" w14:textId="77777777" w:rsidR="00EC4804" w:rsidRPr="001428E9" w:rsidRDefault="00EC4804">
            <w:pPr>
              <w:keepLines/>
              <w:rPr>
                <w:rFonts w:ascii="Arial Narrow" w:hAnsi="Arial Narrow"/>
                <w:sz w:val="20"/>
                <w:szCs w:val="20"/>
              </w:rPr>
            </w:pPr>
            <w:proofErr w:type="spellStart"/>
            <w:r>
              <w:rPr>
                <w:rFonts w:ascii="Arial Narrow" w:hAnsi="Arial Narrow"/>
                <w:sz w:val="20"/>
                <w:szCs w:val="20"/>
              </w:rPr>
              <w:t>Briumvi</w:t>
            </w:r>
            <w:proofErr w:type="spellEnd"/>
          </w:p>
        </w:tc>
      </w:tr>
      <w:tr w:rsidR="00EC4804" w:rsidRPr="001428E9" w14:paraId="5A756C0D" w14:textId="77777777" w:rsidTr="000556A7">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56AD8934" w14:textId="77777777" w:rsidR="00EC4804" w:rsidRPr="001428E9" w:rsidRDefault="00EC4804">
            <w:pPr>
              <w:rPr>
                <w:rFonts w:ascii="Arial Narrow" w:hAnsi="Arial Narrow"/>
                <w:sz w:val="20"/>
                <w:szCs w:val="20"/>
              </w:rPr>
            </w:pPr>
          </w:p>
        </w:tc>
      </w:tr>
      <w:tr w:rsidR="00EC4804" w:rsidRPr="001428E9" w14:paraId="6F1F724E" w14:textId="77777777" w:rsidTr="000556A7">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65BF1898" w14:textId="77777777" w:rsidR="00EC4804" w:rsidRPr="001428E9" w:rsidRDefault="00EC4804">
            <w:pPr>
              <w:keepLines/>
              <w:rPr>
                <w:rFonts w:ascii="Arial Narrow" w:hAnsi="Arial Narrow"/>
                <w:b/>
                <w:sz w:val="20"/>
                <w:szCs w:val="20"/>
              </w:rPr>
            </w:pPr>
            <w:r w:rsidRPr="001428E9">
              <w:rPr>
                <w:rFonts w:ascii="Arial Narrow" w:hAnsi="Arial Narrow"/>
                <w:b/>
                <w:sz w:val="20"/>
                <w:szCs w:val="20"/>
              </w:rPr>
              <w:t>Restriction Summary [new</w:t>
            </w:r>
            <w:r>
              <w:rPr>
                <w:rFonts w:ascii="Arial Narrow" w:hAnsi="Arial Narrow"/>
                <w:b/>
                <w:sz w:val="20"/>
                <w:szCs w:val="20"/>
              </w:rPr>
              <w:t xml:space="preserve"> variation of 9635</w:t>
            </w:r>
            <w:r w:rsidRPr="001428E9">
              <w:rPr>
                <w:rFonts w:ascii="Arial Narrow" w:hAnsi="Arial Narrow"/>
                <w:b/>
                <w:sz w:val="20"/>
                <w:szCs w:val="20"/>
              </w:rPr>
              <w:t>] / Treatment of Concept: [new</w:t>
            </w:r>
            <w:r>
              <w:rPr>
                <w:rFonts w:ascii="Arial Narrow" w:hAnsi="Arial Narrow"/>
                <w:b/>
                <w:sz w:val="20"/>
                <w:szCs w:val="20"/>
              </w:rPr>
              <w:t xml:space="preserve"> variation of 9635</w:t>
            </w:r>
            <w:r w:rsidRPr="001428E9">
              <w:rPr>
                <w:rFonts w:ascii="Arial Narrow" w:hAnsi="Arial Narrow"/>
                <w:b/>
                <w:sz w:val="20"/>
                <w:szCs w:val="20"/>
              </w:rPr>
              <w:t xml:space="preserve">] </w:t>
            </w:r>
          </w:p>
        </w:tc>
      </w:tr>
      <w:tr w:rsidR="000556A7" w:rsidRPr="001428E9" w14:paraId="72332518"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2213F1E2" w14:textId="77777777" w:rsidR="000556A7" w:rsidRPr="001428E9" w:rsidRDefault="000556A7">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Section 100 – Highly Specialised Drugs Program – Public (Code HB)</w:t>
            </w:r>
            <w:r w:rsidRPr="001428E9">
              <w:rPr>
                <w:rFonts w:ascii="Arial Narrow" w:eastAsia="Calibri" w:hAnsi="Arial Narrow"/>
                <w:color w:val="FF0000"/>
                <w:sz w:val="20"/>
                <w:szCs w:val="20"/>
              </w:rPr>
              <w:t xml:space="preserve"> </w:t>
            </w:r>
            <w:r>
              <w:rPr>
                <w:rFonts w:ascii="Arial Narrow" w:eastAsia="Calibri" w:hAnsi="Arial Narrow"/>
                <w:sz w:val="20"/>
                <w:szCs w:val="20"/>
              </w:rPr>
              <w:t>/ Private (Code HS)</w:t>
            </w:r>
          </w:p>
        </w:tc>
      </w:tr>
      <w:tr w:rsidR="000556A7" w:rsidRPr="001428E9" w14:paraId="43FE9601"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BE4CFA3" w14:textId="77777777" w:rsidR="000556A7" w:rsidRPr="001428E9" w:rsidRDefault="000556A7">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0556A7" w:rsidRPr="001428E9" w14:paraId="093B6982"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BC90116" w14:textId="77777777" w:rsidR="000556A7" w:rsidRPr="00D56F94" w:rsidRDefault="000556A7">
            <w:pPr>
              <w:keepLines/>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(Streamlined) [</w:t>
            </w:r>
            <w:r>
              <w:rPr>
                <w:rFonts w:ascii="Arial Narrow" w:eastAsia="Calibri" w:hAnsi="Arial Narrow"/>
                <w:sz w:val="20"/>
                <w:szCs w:val="20"/>
              </w:rPr>
              <w:t>NEW</w:t>
            </w:r>
            <w:r w:rsidRPr="001428E9">
              <w:rPr>
                <w:rFonts w:ascii="Arial Narrow" w:eastAsia="Calibri" w:hAnsi="Arial Narrow"/>
                <w:sz w:val="20"/>
                <w:szCs w:val="20"/>
              </w:rPr>
              <w:t>]</w:t>
            </w:r>
          </w:p>
        </w:tc>
      </w:tr>
      <w:tr w:rsidR="000556A7" w:rsidRPr="001428E9" w14:paraId="795A4D39"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3218B812" w14:textId="77777777" w:rsidR="000556A7" w:rsidRPr="00A65248" w:rsidRDefault="000556A7">
            <w:pPr>
              <w:keepLines/>
              <w:rPr>
                <w:rFonts w:ascii="Arial Narrow" w:hAnsi="Arial Narrow"/>
                <w:b/>
                <w:color w:val="FF0000"/>
                <w:sz w:val="20"/>
                <w:szCs w:val="20"/>
              </w:rPr>
            </w:pPr>
            <w:r>
              <w:rPr>
                <w:rFonts w:ascii="Arial Narrow" w:hAnsi="Arial Narrow"/>
                <w:b/>
                <w:sz w:val="20"/>
                <w:szCs w:val="20"/>
              </w:rPr>
              <w:t xml:space="preserve">Authority type: </w:t>
            </w:r>
            <w:r>
              <w:rPr>
                <w:rFonts w:ascii="Arial Narrow" w:eastAsia="Calibri" w:hAnsi="Arial Narrow"/>
                <w:sz w:val="20"/>
                <w:szCs w:val="20"/>
              </w:rPr>
              <w:fldChar w:fldCharType="begin">
                <w:ffData>
                  <w:name w:val="Check1"/>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Non-complex Authority Required (non-CAR)</w:t>
            </w:r>
          </w:p>
        </w:tc>
      </w:tr>
      <w:tr w:rsidR="000556A7" w:rsidRPr="001428E9" w14:paraId="5445BDC2"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20360AB6" w14:textId="77777777" w:rsidR="000556A7" w:rsidRPr="001428E9" w:rsidRDefault="000556A7">
            <w:pPr>
              <w:rPr>
                <w:rFonts w:ascii="Arial Narrow" w:hAnsi="Arial Narrow"/>
                <w:color w:val="333333"/>
                <w:sz w:val="20"/>
                <w:szCs w:val="20"/>
              </w:rPr>
            </w:pPr>
            <w:r w:rsidRPr="001428E9">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8B2B98">
              <w:rPr>
                <w:rFonts w:ascii="Arial Narrow" w:hAnsi="Arial Narrow"/>
                <w:sz w:val="20"/>
                <w:szCs w:val="20"/>
              </w:rPr>
              <w:t>No increase in the maximum quantity or number of units may be authorised.</w:t>
            </w:r>
          </w:p>
        </w:tc>
      </w:tr>
      <w:tr w:rsidR="000556A7" w:rsidRPr="001428E9" w14:paraId="3C421E0E"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1B4EE208" w14:textId="77777777" w:rsidR="000556A7" w:rsidRPr="001428E9" w:rsidRDefault="000556A7">
            <w:pPr>
              <w:rPr>
                <w:rFonts w:ascii="Arial Narrow" w:hAnsi="Arial Narrow"/>
                <w:b/>
                <w:bCs/>
                <w:color w:val="333333"/>
                <w:sz w:val="20"/>
                <w:szCs w:val="20"/>
              </w:rPr>
            </w:pPr>
            <w:r w:rsidRPr="001428E9">
              <w:rPr>
                <w:rFonts w:ascii="Arial Narrow" w:hAnsi="Arial Narrow"/>
                <w:b/>
                <w:bCs/>
                <w:color w:val="333333"/>
                <w:sz w:val="20"/>
                <w:szCs w:val="20"/>
              </w:rPr>
              <w:t>Administrative Advice:</w:t>
            </w:r>
            <w:r>
              <w:rPr>
                <w:rFonts w:ascii="Arial Narrow" w:hAnsi="Arial Narrow"/>
                <w:b/>
                <w:bCs/>
                <w:color w:val="333333"/>
                <w:sz w:val="20"/>
                <w:szCs w:val="20"/>
              </w:rPr>
              <w:t xml:space="preserve"> </w:t>
            </w:r>
            <w:r w:rsidRPr="008B2B98">
              <w:rPr>
                <w:rFonts w:ascii="Arial Narrow" w:hAnsi="Arial Narrow"/>
                <w:color w:val="333333"/>
                <w:sz w:val="20"/>
                <w:szCs w:val="20"/>
              </w:rPr>
              <w:t>No increase in the maximum number of repeats may be authorised.</w:t>
            </w:r>
          </w:p>
        </w:tc>
      </w:tr>
      <w:tr w:rsidR="000556A7" w:rsidRPr="001428E9" w14:paraId="0E6B32D5"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1695DDD0" w14:textId="77777777" w:rsidR="000556A7" w:rsidRPr="001428E9" w:rsidRDefault="000556A7">
            <w:pPr>
              <w:rPr>
                <w:rFonts w:ascii="Arial Narrow" w:hAnsi="Arial Narrow"/>
                <w:b/>
                <w:bCs/>
                <w:color w:val="333333"/>
                <w:sz w:val="20"/>
                <w:szCs w:val="20"/>
              </w:rPr>
            </w:pPr>
            <w:r w:rsidRPr="001428E9">
              <w:rPr>
                <w:rFonts w:ascii="Arial Narrow" w:hAnsi="Arial Narrow"/>
                <w:b/>
                <w:bCs/>
                <w:color w:val="333333"/>
                <w:sz w:val="20"/>
                <w:szCs w:val="20"/>
              </w:rPr>
              <w:lastRenderedPageBreak/>
              <w:t>Administrative Advice:</w:t>
            </w:r>
            <w:r w:rsidRPr="008B2B98">
              <w:rPr>
                <w:rFonts w:ascii="Arial Narrow" w:hAnsi="Arial Narrow"/>
                <w:color w:val="333333"/>
                <w:sz w:val="20"/>
                <w:szCs w:val="20"/>
              </w:rPr>
              <w:t xml:space="preserve"> Special Pricing Arrangements apply.</w:t>
            </w:r>
          </w:p>
        </w:tc>
      </w:tr>
      <w:tr w:rsidR="000556A7" w:rsidRPr="001428E9" w14:paraId="28B7F0FF"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5D97EEFB" w14:textId="77777777" w:rsidR="000556A7" w:rsidRPr="001428E9" w:rsidRDefault="000556A7">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Multiple sclerosis</w:t>
            </w:r>
          </w:p>
        </w:tc>
      </w:tr>
      <w:tr w:rsidR="000556A7" w:rsidRPr="001428E9" w14:paraId="25B02777"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624900CA" w14:textId="77777777" w:rsidR="000556A7" w:rsidRPr="003C47C9" w:rsidRDefault="000556A7">
            <w:pPr>
              <w:keepLines/>
              <w:rPr>
                <w:rFonts w:ascii="Arial Narrow" w:hAnsi="Arial Narrow"/>
                <w:color w:val="333333"/>
                <w:sz w:val="20"/>
                <w:szCs w:val="20"/>
              </w:rPr>
            </w:pPr>
            <w:r>
              <w:rPr>
                <w:rFonts w:ascii="Arial Narrow" w:hAnsi="Arial Narrow"/>
                <w:b/>
                <w:bCs/>
                <w:color w:val="333333"/>
                <w:sz w:val="20"/>
                <w:szCs w:val="20"/>
              </w:rPr>
              <w:t xml:space="preserve">Treatment phase: </w:t>
            </w:r>
            <w:r>
              <w:rPr>
                <w:rFonts w:ascii="Arial Narrow" w:hAnsi="Arial Narrow"/>
                <w:color w:val="333333"/>
                <w:sz w:val="20"/>
                <w:szCs w:val="20"/>
              </w:rPr>
              <w:t>Continuation treatment</w:t>
            </w:r>
          </w:p>
        </w:tc>
      </w:tr>
      <w:tr w:rsidR="000556A7" w:rsidRPr="001428E9" w14:paraId="7DC7D617"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EF2A59A" w14:textId="77777777" w:rsidR="000556A7" w:rsidRPr="001428E9" w:rsidRDefault="000556A7">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0556A7" w:rsidRPr="001428E9" w14:paraId="7E3E05D1"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44BE286" w14:textId="77777777" w:rsidR="000556A7" w:rsidRPr="007771CB" w:rsidRDefault="000556A7">
            <w:pPr>
              <w:keepLines/>
              <w:rPr>
                <w:rFonts w:ascii="Arial Narrow" w:hAnsi="Arial Narrow"/>
                <w:color w:val="333333"/>
                <w:sz w:val="20"/>
                <w:szCs w:val="20"/>
              </w:rPr>
            </w:pPr>
            <w:r w:rsidRPr="007771CB">
              <w:rPr>
                <w:rFonts w:ascii="Arial Narrow" w:hAnsi="Arial Narrow"/>
                <w:color w:val="333333"/>
                <w:sz w:val="20"/>
                <w:szCs w:val="20"/>
              </w:rPr>
              <w:t>Patient must have previously received PBS-subsidised treatment with this drug for this condition</w:t>
            </w:r>
          </w:p>
        </w:tc>
      </w:tr>
      <w:tr w:rsidR="000556A7" w:rsidRPr="001428E9" w14:paraId="0EF4C6A5"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3278A63" w14:textId="77777777" w:rsidR="000556A7" w:rsidRPr="00AC0F60" w:rsidRDefault="000556A7">
            <w:pPr>
              <w:keepLines/>
              <w:rPr>
                <w:rFonts w:ascii="Arial Narrow" w:hAnsi="Arial Narrow"/>
                <w:b/>
                <w:bCs/>
                <w:color w:val="333333"/>
                <w:sz w:val="20"/>
                <w:szCs w:val="20"/>
              </w:rPr>
            </w:pPr>
            <w:r>
              <w:rPr>
                <w:rFonts w:ascii="Arial Narrow" w:hAnsi="Arial Narrow"/>
                <w:b/>
                <w:bCs/>
                <w:color w:val="333333"/>
                <w:sz w:val="20"/>
                <w:szCs w:val="20"/>
              </w:rPr>
              <w:t>AND</w:t>
            </w:r>
          </w:p>
        </w:tc>
      </w:tr>
      <w:tr w:rsidR="000556A7" w:rsidRPr="001428E9" w14:paraId="0E3D966A"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2A8BBE9" w14:textId="77777777" w:rsidR="000556A7" w:rsidRPr="001428E9" w:rsidRDefault="000556A7">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0556A7" w:rsidRPr="001428E9" w14:paraId="11250E6D"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449487A8" w14:textId="77777777" w:rsidR="000556A7" w:rsidRPr="00AE263A" w:rsidRDefault="000556A7">
            <w:pPr>
              <w:keepLines/>
              <w:rPr>
                <w:rFonts w:ascii="Arial Narrow" w:hAnsi="Arial Narrow"/>
                <w:color w:val="333333"/>
                <w:sz w:val="20"/>
                <w:szCs w:val="20"/>
              </w:rPr>
            </w:pPr>
            <w:r w:rsidRPr="00AE263A">
              <w:rPr>
                <w:rFonts w:ascii="Arial Narrow" w:hAnsi="Arial Narrow"/>
                <w:color w:val="333333"/>
                <w:sz w:val="20"/>
                <w:szCs w:val="20"/>
              </w:rPr>
              <w:t>Patient must not show continuing progression of disability while on treatment with this drug</w:t>
            </w:r>
          </w:p>
        </w:tc>
      </w:tr>
      <w:tr w:rsidR="000556A7" w:rsidRPr="001428E9" w14:paraId="38F363A1"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09DB30FF" w14:textId="77777777" w:rsidR="000556A7" w:rsidRDefault="000556A7">
            <w:pPr>
              <w:keepLines/>
              <w:rPr>
                <w:rFonts w:ascii="Arial Narrow" w:hAnsi="Arial Narrow"/>
                <w:b/>
                <w:bCs/>
                <w:color w:val="333333"/>
                <w:sz w:val="20"/>
                <w:szCs w:val="20"/>
              </w:rPr>
            </w:pPr>
            <w:r>
              <w:rPr>
                <w:rFonts w:ascii="Arial Narrow" w:hAnsi="Arial Narrow"/>
                <w:b/>
                <w:bCs/>
                <w:color w:val="333333"/>
                <w:sz w:val="20"/>
                <w:szCs w:val="20"/>
              </w:rPr>
              <w:t>AND</w:t>
            </w:r>
          </w:p>
        </w:tc>
      </w:tr>
      <w:tr w:rsidR="000556A7" w:rsidRPr="001428E9" w14:paraId="56176FEB"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7FF3EC2" w14:textId="77777777" w:rsidR="000556A7" w:rsidRDefault="000556A7">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0556A7" w:rsidRPr="001428E9" w14:paraId="712AB8B1"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444DEF8" w14:textId="77777777" w:rsidR="000556A7" w:rsidRPr="007255D8" w:rsidRDefault="000556A7">
            <w:pPr>
              <w:keepLines/>
              <w:rPr>
                <w:rFonts w:ascii="Arial Narrow" w:hAnsi="Arial Narrow"/>
                <w:color w:val="333333"/>
                <w:sz w:val="20"/>
                <w:szCs w:val="20"/>
              </w:rPr>
            </w:pPr>
            <w:r w:rsidRPr="007255D8">
              <w:rPr>
                <w:rFonts w:ascii="Arial Narrow" w:hAnsi="Arial Narrow"/>
                <w:color w:val="333333"/>
                <w:sz w:val="20"/>
                <w:szCs w:val="20"/>
              </w:rPr>
              <w:t>The treatment must be the sole PBS-subsidised disease modifying therapy for this condition</w:t>
            </w:r>
          </w:p>
        </w:tc>
      </w:tr>
      <w:tr w:rsidR="000556A7" w:rsidRPr="001428E9" w14:paraId="2E7EDD16"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0049E911" w14:textId="77777777" w:rsidR="000556A7" w:rsidRPr="001428E9" w:rsidRDefault="000556A7">
            <w:pPr>
              <w:keepLines/>
              <w:rPr>
                <w:rFonts w:ascii="Arial Narrow" w:hAnsi="Arial Narrow"/>
                <w:b/>
                <w:bCs/>
                <w:color w:val="333333"/>
                <w:sz w:val="20"/>
                <w:szCs w:val="20"/>
              </w:rPr>
            </w:pPr>
            <w:r>
              <w:rPr>
                <w:rFonts w:ascii="Arial Narrow" w:hAnsi="Arial Narrow"/>
                <w:b/>
                <w:bCs/>
                <w:color w:val="333333"/>
                <w:sz w:val="20"/>
                <w:szCs w:val="20"/>
              </w:rPr>
              <w:t>AND</w:t>
            </w:r>
          </w:p>
        </w:tc>
      </w:tr>
      <w:tr w:rsidR="000556A7" w:rsidRPr="001428E9" w14:paraId="5FFB6D8D"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6016A66C" w14:textId="77777777" w:rsidR="000556A7" w:rsidRPr="001428E9" w:rsidRDefault="000556A7">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0556A7" w:rsidRPr="001428E9" w14:paraId="1833C3CE"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22608FD" w14:textId="77777777" w:rsidR="000556A7" w:rsidRPr="007255D8" w:rsidRDefault="000556A7">
            <w:pPr>
              <w:keepLines/>
              <w:rPr>
                <w:rFonts w:ascii="Arial Narrow" w:hAnsi="Arial Narrow"/>
                <w:color w:val="333333"/>
                <w:sz w:val="20"/>
                <w:szCs w:val="20"/>
              </w:rPr>
            </w:pPr>
            <w:r w:rsidRPr="00044191">
              <w:rPr>
                <w:rFonts w:ascii="Arial Narrow" w:hAnsi="Arial Narrow"/>
                <w:color w:val="333333"/>
                <w:sz w:val="20"/>
                <w:szCs w:val="20"/>
              </w:rPr>
              <w:t>Patient must have demonstrated compliance with, and an ability to tolerate this therapy</w:t>
            </w:r>
          </w:p>
        </w:tc>
      </w:tr>
      <w:tr w:rsidR="000556A7" w:rsidRPr="001428E9" w14:paraId="5F4E2770"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26BDED87" w14:textId="77777777" w:rsidR="000556A7" w:rsidRPr="00423EF9" w:rsidRDefault="000556A7">
            <w:pPr>
              <w:keepLines/>
              <w:rPr>
                <w:rFonts w:ascii="Arial Narrow" w:hAnsi="Arial Narrow"/>
                <w:color w:val="333333"/>
                <w:sz w:val="20"/>
                <w:szCs w:val="20"/>
              </w:rPr>
            </w:pPr>
            <w:r>
              <w:rPr>
                <w:rFonts w:ascii="Arial Narrow" w:hAnsi="Arial Narrow"/>
                <w:b/>
                <w:bCs/>
                <w:color w:val="333333"/>
                <w:sz w:val="20"/>
                <w:szCs w:val="20"/>
              </w:rPr>
              <w:t>AND</w:t>
            </w:r>
          </w:p>
        </w:tc>
      </w:tr>
      <w:tr w:rsidR="000556A7" w:rsidRPr="001428E9" w14:paraId="142FBF94"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C0CDAB8" w14:textId="77777777" w:rsidR="000556A7" w:rsidRPr="001428E9" w:rsidRDefault="000556A7">
            <w:pPr>
              <w:keepLines/>
              <w:rPr>
                <w:rFonts w:ascii="Arial Narrow" w:hAnsi="Arial Narrow"/>
                <w:b/>
                <w:bCs/>
                <w:color w:val="333333"/>
                <w:sz w:val="20"/>
                <w:szCs w:val="20"/>
              </w:rPr>
            </w:pPr>
            <w:r>
              <w:rPr>
                <w:rFonts w:ascii="Arial Narrow" w:hAnsi="Arial Narrow"/>
                <w:b/>
                <w:bCs/>
                <w:color w:val="333333"/>
                <w:sz w:val="20"/>
                <w:szCs w:val="20"/>
              </w:rPr>
              <w:t>Treatment criteria</w:t>
            </w:r>
          </w:p>
        </w:tc>
      </w:tr>
      <w:tr w:rsidR="000556A7" w:rsidRPr="001428E9" w14:paraId="71BB69D0" w14:textId="77777777" w:rsidTr="000556A7">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41B5AD05" w14:textId="77777777" w:rsidR="000556A7" w:rsidRPr="006D4CB7" w:rsidRDefault="000556A7">
            <w:pPr>
              <w:keepLines/>
              <w:rPr>
                <w:rFonts w:ascii="Arial Narrow" w:hAnsi="Arial Narrow"/>
                <w:color w:val="333333"/>
                <w:sz w:val="20"/>
                <w:szCs w:val="20"/>
              </w:rPr>
            </w:pPr>
            <w:r w:rsidRPr="006D4CB7">
              <w:rPr>
                <w:rFonts w:ascii="Arial Narrow" w:hAnsi="Arial Narrow"/>
                <w:color w:val="333333"/>
                <w:sz w:val="20"/>
                <w:szCs w:val="20"/>
              </w:rPr>
              <w:t>Must be treated by a neurologist</w:t>
            </w:r>
          </w:p>
        </w:tc>
      </w:tr>
    </w:tbl>
    <w:p w14:paraId="4A1EEF5A" w14:textId="4093480A" w:rsidR="00386E9B" w:rsidRPr="00B223FA" w:rsidRDefault="00E729ED" w:rsidP="58C81D04">
      <w:pPr>
        <w:pStyle w:val="3-BodyText"/>
      </w:pPr>
      <w:r w:rsidRPr="004B18E9">
        <w:t>The submission proposed an initial and a continuing restriction</w:t>
      </w:r>
      <w:r w:rsidR="004B18E9">
        <w:t>.</w:t>
      </w:r>
      <w:r w:rsidR="00CA7DE4" w:rsidRPr="004B18E9">
        <w:t xml:space="preserve"> </w:t>
      </w:r>
      <w:r w:rsidR="00C4147B" w:rsidRPr="004B18E9">
        <w:t>Both</w:t>
      </w:r>
      <w:r w:rsidR="00C4147B" w:rsidRPr="00B223FA">
        <w:t xml:space="preserve"> were modelled on the current restrictions for </w:t>
      </w:r>
      <w:r w:rsidR="00656DC6" w:rsidRPr="00B223FA">
        <w:t>other DMTs for RRMS. The requirement for "at least 2 documented attacks of neurological dysfunction [...]</w:t>
      </w:r>
      <w:r w:rsidR="00656DC6" w:rsidRPr="00B223FA">
        <w:rPr>
          <w:rFonts w:ascii="Calibri" w:eastAsia="Times New Roman" w:hAnsi="Calibri" w:cs="Arial"/>
        </w:rPr>
        <w:t xml:space="preserve"> </w:t>
      </w:r>
      <w:r w:rsidR="00656DC6" w:rsidRPr="00B223FA">
        <w:t>in the preceding 2 years of commencing</w:t>
      </w:r>
      <w:r w:rsidR="00656DC6" w:rsidRPr="004A5D86">
        <w:t xml:space="preserve"> a</w:t>
      </w:r>
      <w:r w:rsidR="00656DC6" w:rsidRPr="00B223FA">
        <w:t xml:space="preserve"> PBS-subsidised disease modifying therapy [emphasis added] </w:t>
      </w:r>
      <w:r w:rsidR="000672D2" w:rsidRPr="00B223FA">
        <w:t>is interpreted to</w:t>
      </w:r>
      <w:r w:rsidR="00656DC6" w:rsidRPr="00B223FA">
        <w:t xml:space="preserve"> </w:t>
      </w:r>
      <w:r w:rsidR="000672D2" w:rsidRPr="00B223FA">
        <w:t>mean</w:t>
      </w:r>
      <w:r w:rsidR="00656DC6" w:rsidRPr="00B223FA">
        <w:t xml:space="preserve"> that this requirement applies only to the first use of a DMT, after which patients can switch to another therapy without meeting the requirement for recent acute attacks - because of adverse events,</w:t>
      </w:r>
      <w:r w:rsidR="00B314D5" w:rsidRPr="00B223FA">
        <w:t xml:space="preserve"> or needing to </w:t>
      </w:r>
      <w:r w:rsidR="000B43E3" w:rsidRPr="00B223FA">
        <w:t>cease treatment with the current DMT due to continuing progression of disease,</w:t>
      </w:r>
      <w:r w:rsidR="00656DC6" w:rsidRPr="00B223FA">
        <w:t xml:space="preserve"> for example. </w:t>
      </w:r>
    </w:p>
    <w:p w14:paraId="55B2EAF6" w14:textId="4909A067" w:rsidR="00790C75" w:rsidRDefault="00E729ED" w:rsidP="00790C75">
      <w:pPr>
        <w:pStyle w:val="3-BodyText"/>
      </w:pPr>
      <w:r w:rsidRPr="00B223FA">
        <w:t>The submission requested a Special Pricing Arrangement</w:t>
      </w:r>
      <w:r w:rsidR="00EB292B" w:rsidRPr="00B223FA">
        <w:t xml:space="preserve"> but did not propose </w:t>
      </w:r>
      <w:r w:rsidR="00AE1060" w:rsidRPr="00B223FA">
        <w:t>a</w:t>
      </w:r>
      <w:r w:rsidR="0099434B" w:rsidRPr="00B223FA">
        <w:t xml:space="preserve">n effective </w:t>
      </w:r>
      <w:r w:rsidR="00F86259" w:rsidRPr="00B223FA">
        <w:t>price</w:t>
      </w:r>
      <w:r w:rsidRPr="00B223FA">
        <w:t xml:space="preserve">. </w:t>
      </w:r>
    </w:p>
    <w:p w14:paraId="1B76BAF2" w14:textId="2CBC0E07" w:rsidR="00790C75" w:rsidRDefault="00790C75" w:rsidP="00790C75">
      <w:pPr>
        <w:pStyle w:val="3-BodyText"/>
      </w:pPr>
      <w:r w:rsidRPr="000B114D">
        <w:t>The Pre-Sub-Committee</w:t>
      </w:r>
      <w:r w:rsidR="006F53ED" w:rsidRPr="000B114D">
        <w:t xml:space="preserve"> Response (PSCR</w:t>
      </w:r>
      <w:r w:rsidR="00B5426D">
        <w:t>)</w:t>
      </w:r>
      <w:r w:rsidR="006F53ED" w:rsidRPr="000B114D">
        <w:t xml:space="preserve"> noted the requirement in the </w:t>
      </w:r>
      <w:r w:rsidR="00644C38" w:rsidRPr="000B114D">
        <w:t>draft Product Information for co-administration with a H1 receptor</w:t>
      </w:r>
      <w:r w:rsidR="00222097" w:rsidRPr="000B114D">
        <w:t xml:space="preserve"> antagonist</w:t>
      </w:r>
      <w:r w:rsidR="00644C38" w:rsidRPr="000B114D">
        <w:t xml:space="preserve"> such as diphenhydramine</w:t>
      </w:r>
      <w:r w:rsidR="000613EC" w:rsidRPr="000B114D">
        <w:t>, however requested the PBAC consider whether a broader restriction that</w:t>
      </w:r>
      <w:r w:rsidR="00222097" w:rsidRPr="000B114D">
        <w:t xml:space="preserve"> is not restricted </w:t>
      </w:r>
      <w:r w:rsidR="00C606BF" w:rsidRPr="000B114D">
        <w:t>by</w:t>
      </w:r>
      <w:r w:rsidR="00222097" w:rsidRPr="000B114D">
        <w:t xml:space="preserve"> the </w:t>
      </w:r>
      <w:r w:rsidR="00C606BF" w:rsidRPr="000B114D">
        <w:t>class</w:t>
      </w:r>
      <w:r w:rsidR="00222097" w:rsidRPr="000B114D">
        <w:t xml:space="preserve"> of antihistamine </w:t>
      </w:r>
      <w:r w:rsidR="00EA3D95" w:rsidRPr="000B114D">
        <w:t xml:space="preserve">may be acceptable, as no H1 receptor </w:t>
      </w:r>
      <w:r w:rsidR="00EE09CB" w:rsidRPr="000B114D">
        <w:t xml:space="preserve">antagonists are currently listed on the PBS and would have to be accessed privately. </w:t>
      </w:r>
    </w:p>
    <w:p w14:paraId="712A4FC6" w14:textId="4DF43795" w:rsidR="00844A1B" w:rsidRDefault="00004D7E" w:rsidP="00B747C2">
      <w:pPr>
        <w:pStyle w:val="3-BodyText"/>
        <w:numPr>
          <w:ilvl w:val="0"/>
          <w:numId w:val="0"/>
        </w:numPr>
        <w:ind w:left="720"/>
        <w:rPr>
          <w:i/>
        </w:rPr>
      </w:pPr>
      <w:r w:rsidRPr="00C33D30">
        <w:rPr>
          <w:i/>
        </w:rPr>
        <w:t>For more detail on PBAC’s view, see section 7 PBAC outcome.</w:t>
      </w:r>
    </w:p>
    <w:p w14:paraId="7075B85C" w14:textId="62A47B7B" w:rsidR="00B50DB8" w:rsidRPr="0098262F" w:rsidDel="00195452" w:rsidRDefault="00203181" w:rsidP="004E18E9">
      <w:pPr>
        <w:pStyle w:val="2-SectionHeading"/>
      </w:pPr>
      <w:bookmarkStart w:id="11" w:name="_Toc193112849"/>
      <w:r w:rsidRPr="0098262F" w:rsidDel="00195452">
        <w:t xml:space="preserve">Population and </w:t>
      </w:r>
      <w:r w:rsidR="008E0D3C" w:rsidRPr="0098262F" w:rsidDel="00195452">
        <w:t>d</w:t>
      </w:r>
      <w:r w:rsidRPr="0098262F" w:rsidDel="00195452">
        <w:t>isease</w:t>
      </w:r>
      <w:bookmarkEnd w:id="11"/>
    </w:p>
    <w:p w14:paraId="21FDD135" w14:textId="31FB8957" w:rsidR="00894489" w:rsidRPr="006F273B" w:rsidDel="00195452" w:rsidRDefault="00257BC0" w:rsidP="004E18E9">
      <w:pPr>
        <w:pStyle w:val="3-BodyText"/>
      </w:pPr>
      <w:r w:rsidRPr="58C81D04">
        <w:t xml:space="preserve">MS is a disorder of the central nervous system (CNS), in which immune-mediated inflammation, demyelination and neuronal destruction lead to functional deficits and disability. </w:t>
      </w:r>
      <w:r w:rsidR="00F60C9E" w:rsidRPr="58C81D04">
        <w:t>Most patients are young adults at onset</w:t>
      </w:r>
      <w:r w:rsidR="00C84F97" w:rsidRPr="58C81D04">
        <w:t xml:space="preserve"> </w:t>
      </w:r>
      <w:r w:rsidRPr="58C81D04">
        <w:t xml:space="preserve">and </w:t>
      </w:r>
      <w:r w:rsidR="00D511E8" w:rsidRPr="58C81D04">
        <w:t xml:space="preserve">in about 85% of patients </w:t>
      </w:r>
      <w:r w:rsidR="00F60C9E" w:rsidRPr="58C81D04">
        <w:t xml:space="preserve">the disease follows a </w:t>
      </w:r>
      <w:r w:rsidRPr="58C81D04">
        <w:t xml:space="preserve">course of </w:t>
      </w:r>
      <w:r w:rsidR="00C84F97" w:rsidRPr="58C81D04">
        <w:t xml:space="preserve">repeated </w:t>
      </w:r>
      <w:r w:rsidR="00D511E8" w:rsidRPr="58C81D04">
        <w:t xml:space="preserve">acute </w:t>
      </w:r>
      <w:r w:rsidR="00C84F97" w:rsidRPr="58C81D04">
        <w:t xml:space="preserve">episodes with at least partial resolution (relapsing or relapsing-remitting multiple sclerosis, RMS or RRMS). </w:t>
      </w:r>
      <w:r w:rsidR="00F60C9E" w:rsidRPr="58C81D04">
        <w:t xml:space="preserve">Resolution of relapses is commonly incomplete, and accumulating deficits </w:t>
      </w:r>
      <w:r w:rsidR="00D511E8" w:rsidRPr="58C81D04">
        <w:t xml:space="preserve">may </w:t>
      </w:r>
      <w:r w:rsidR="00F60C9E" w:rsidRPr="58C81D04">
        <w:t xml:space="preserve">lead to long-term </w:t>
      </w:r>
      <w:r w:rsidR="00F60C9E" w:rsidRPr="58C81D04">
        <w:lastRenderedPageBreak/>
        <w:t xml:space="preserve">disability. </w:t>
      </w:r>
      <w:r w:rsidR="00D511E8" w:rsidRPr="58C81D04">
        <w:t>A</w:t>
      </w:r>
      <w:r w:rsidR="00F60C9E" w:rsidRPr="58C81D04">
        <w:t xml:space="preserve"> reduced frequency of relapses is</w:t>
      </w:r>
      <w:r w:rsidR="00D511E8" w:rsidRPr="58C81D04">
        <w:t>, therefore,</w:t>
      </w:r>
      <w:r w:rsidR="00F60C9E" w:rsidRPr="58C81D04">
        <w:t xml:space="preserve"> expected to reduce accumulated disability. However, </w:t>
      </w:r>
      <w:r w:rsidR="00681C75" w:rsidRPr="58C81D04">
        <w:t xml:space="preserve">of the five major health problems associated with RRMS (motor control, fatigue, other neurological symptoms, continence problems and neuropsychological symptoms) </w:t>
      </w:r>
      <w:r w:rsidR="00F60C9E" w:rsidRPr="58C81D04">
        <w:t xml:space="preserve">some, </w:t>
      </w:r>
      <w:r w:rsidR="00B458DE" w:rsidRPr="58C81D04">
        <w:t>notably</w:t>
      </w:r>
      <w:r w:rsidR="00F60C9E" w:rsidRPr="58C81D04">
        <w:t xml:space="preserve"> fatigue</w:t>
      </w:r>
      <w:r w:rsidR="00D511E8" w:rsidRPr="58C81D04">
        <w:t xml:space="preserve"> and depression,</w:t>
      </w:r>
      <w:r w:rsidR="00F60C9E" w:rsidRPr="58C81D04">
        <w:t xml:space="preserve"> are not </w:t>
      </w:r>
      <w:r w:rsidR="00B458DE" w:rsidRPr="58C81D04">
        <w:t xml:space="preserve">straightforwardly </w:t>
      </w:r>
      <w:r w:rsidR="00F60C9E" w:rsidRPr="58C81D04">
        <w:t>related to incomplete resolution of acute relapses</w:t>
      </w:r>
      <w:r w:rsidR="00B41824" w:rsidRPr="58C81D04">
        <w:t xml:space="preserve">. </w:t>
      </w:r>
    </w:p>
    <w:p w14:paraId="34F9A011" w14:textId="237A6492" w:rsidR="002C2775" w:rsidRPr="006F273B" w:rsidRDefault="00D511E8" w:rsidP="004E18E9">
      <w:pPr>
        <w:pStyle w:val="3-BodyText"/>
      </w:pPr>
      <w:r w:rsidRPr="58C81D04">
        <w:t xml:space="preserve">The submission did not propose that listing of ublituximab would change the treatment algorithm for RRMS. </w:t>
      </w:r>
    </w:p>
    <w:p w14:paraId="5CA5E496" w14:textId="72ECDC2A" w:rsidR="00004D7E" w:rsidRDefault="00D511E8" w:rsidP="007211A9">
      <w:pPr>
        <w:pStyle w:val="3-BodyText"/>
      </w:pPr>
      <w:r w:rsidRPr="58C81D04">
        <w:t xml:space="preserve">Ublituximab is a monoclonal antibody to the </w:t>
      </w:r>
      <w:r w:rsidR="00042158" w:rsidRPr="58C81D04">
        <w:t xml:space="preserve">B </w:t>
      </w:r>
      <w:r w:rsidRPr="58C81D04">
        <w:t>cell antigen CD20</w:t>
      </w:r>
      <w:r w:rsidR="000221D3" w:rsidRPr="58C81D04">
        <w:t>, as are ocrelizumab and ofatumumab</w:t>
      </w:r>
      <w:r w:rsidRPr="58C81D04">
        <w:t>.</w:t>
      </w:r>
      <w:r w:rsidR="000221D3" w:rsidRPr="58C81D04">
        <w:t xml:space="preserve"> When antibody is bound to the CD20 antigen, natural killer (NK) cells bind to the antibody's Fc segment and destroy the B cells (antibody dependent cellular cytolysis, ADCC)</w:t>
      </w:r>
      <w:r w:rsidR="00B41824" w:rsidRPr="58C81D04">
        <w:t xml:space="preserve">. </w:t>
      </w:r>
      <w:r w:rsidR="000221D3" w:rsidRPr="58C81D04">
        <w:t>Ublituximab</w:t>
      </w:r>
      <w:r w:rsidRPr="58C81D04">
        <w:t xml:space="preserve"> differs from </w:t>
      </w:r>
      <w:r w:rsidR="001D6606" w:rsidRPr="58C81D04">
        <w:t>ocrelizumab and ofatumumab</w:t>
      </w:r>
      <w:r w:rsidRPr="58C81D04">
        <w:t xml:space="preserve"> primarily </w:t>
      </w:r>
      <w:r w:rsidR="000221D3" w:rsidRPr="58C81D04">
        <w:t xml:space="preserve">by the </w:t>
      </w:r>
      <w:r w:rsidR="00042158" w:rsidRPr="58C81D04">
        <w:t>sugar content</w:t>
      </w:r>
      <w:r w:rsidRPr="58C81D04">
        <w:t xml:space="preserve"> of its Fc </w:t>
      </w:r>
      <w:r w:rsidR="000221D3" w:rsidRPr="58C81D04">
        <w:t>segment being lower</w:t>
      </w:r>
      <w:r w:rsidR="00042158" w:rsidRPr="58C81D04">
        <w:t xml:space="preserve"> (</w:t>
      </w:r>
      <w:r w:rsidR="000221D3" w:rsidRPr="58C81D04">
        <w:t xml:space="preserve">referred to as </w:t>
      </w:r>
      <w:r w:rsidR="00042158" w:rsidRPr="58C81D04">
        <w:t>"glycoengineer</w:t>
      </w:r>
      <w:r w:rsidR="000221D3" w:rsidRPr="58C81D04">
        <w:t>ing</w:t>
      </w:r>
      <w:r w:rsidR="00042158" w:rsidRPr="58C81D04">
        <w:t>")</w:t>
      </w:r>
      <w:r w:rsidR="000221D3" w:rsidRPr="58C81D04">
        <w:t xml:space="preserve">, which increases the affinity of the Fc segment for the NK cell receptor. </w:t>
      </w:r>
    </w:p>
    <w:p w14:paraId="3EF7EC1D" w14:textId="4829E229" w:rsidR="00004D7E" w:rsidRPr="006F273B" w:rsidDel="00195452" w:rsidRDefault="00004D7E" w:rsidP="00004D7E">
      <w:pPr>
        <w:pStyle w:val="3-BodyText"/>
        <w:numPr>
          <w:ilvl w:val="0"/>
          <w:numId w:val="0"/>
        </w:numPr>
        <w:ind w:left="720"/>
      </w:pPr>
      <w:r w:rsidRPr="00C33D30">
        <w:rPr>
          <w:i/>
        </w:rPr>
        <w:t>For more detail on PBAC’s view, see section 7 PBAC outcome.</w:t>
      </w:r>
    </w:p>
    <w:p w14:paraId="51E5AE96" w14:textId="136A63B1" w:rsidR="00B50DB8" w:rsidRPr="0098262F" w:rsidRDefault="00B50DB8" w:rsidP="004E18E9">
      <w:pPr>
        <w:pStyle w:val="2-SectionHeading"/>
      </w:pPr>
      <w:bookmarkStart w:id="12" w:name="_Toc193112850"/>
      <w:r w:rsidRPr="0098262F">
        <w:t>Comparator</w:t>
      </w:r>
      <w:bookmarkEnd w:id="12"/>
    </w:p>
    <w:p w14:paraId="136370E2" w14:textId="58DFAA4A" w:rsidR="00816F2E" w:rsidRDefault="0057514F" w:rsidP="00882E3C">
      <w:pPr>
        <w:pStyle w:val="3-BodyText"/>
      </w:pPr>
      <w:r w:rsidRPr="58C81D04">
        <w:rPr>
          <w:color w:val="000000" w:themeColor="text1"/>
        </w:rPr>
        <w:t>The submission nominated as comparators ocrelizumab, o</w:t>
      </w:r>
      <w:r w:rsidR="00816F2E" w:rsidRPr="58C81D04">
        <w:rPr>
          <w:color w:val="000000" w:themeColor="text1"/>
        </w:rPr>
        <w:t>f</w:t>
      </w:r>
      <w:r w:rsidRPr="58C81D04">
        <w:rPr>
          <w:color w:val="000000" w:themeColor="text1"/>
        </w:rPr>
        <w:t>atu</w:t>
      </w:r>
      <w:r w:rsidR="00816F2E" w:rsidRPr="58C81D04">
        <w:rPr>
          <w:color w:val="000000" w:themeColor="text1"/>
        </w:rPr>
        <w:t>m</w:t>
      </w:r>
      <w:r w:rsidRPr="58C81D04">
        <w:rPr>
          <w:color w:val="000000" w:themeColor="text1"/>
        </w:rPr>
        <w:t xml:space="preserve">umab and fingolimod. </w:t>
      </w:r>
      <w:r w:rsidR="001D6606" w:rsidRPr="58C81D04">
        <w:rPr>
          <w:color w:val="000000" w:themeColor="text1"/>
        </w:rPr>
        <w:t>Ocrelizumab and ofat</w:t>
      </w:r>
      <w:r w:rsidR="00816F2E" w:rsidRPr="58C81D04">
        <w:rPr>
          <w:color w:val="000000" w:themeColor="text1"/>
        </w:rPr>
        <w:t>u</w:t>
      </w:r>
      <w:r w:rsidR="001D6606" w:rsidRPr="58C81D04">
        <w:rPr>
          <w:color w:val="000000" w:themeColor="text1"/>
        </w:rPr>
        <w:t>mumab have very similar mechanism</w:t>
      </w:r>
      <w:r w:rsidR="00816F2E" w:rsidRPr="58C81D04">
        <w:rPr>
          <w:color w:val="000000" w:themeColor="text1"/>
        </w:rPr>
        <w:t>s</w:t>
      </w:r>
      <w:r w:rsidR="001D6606" w:rsidRPr="58C81D04">
        <w:rPr>
          <w:color w:val="000000" w:themeColor="text1"/>
        </w:rPr>
        <w:t xml:space="preserve"> of action, and</w:t>
      </w:r>
      <w:r w:rsidR="00816F2E" w:rsidRPr="58C81D04">
        <w:rPr>
          <w:color w:val="000000" w:themeColor="text1"/>
        </w:rPr>
        <w:t xml:space="preserve"> in the case of ocrelizumab the same route and frequency of administration</w:t>
      </w:r>
      <w:r w:rsidR="00C951B2" w:rsidRPr="58C81D04">
        <w:rPr>
          <w:color w:val="000000" w:themeColor="text1"/>
        </w:rPr>
        <w:t xml:space="preserve"> as ublituximab</w:t>
      </w:r>
      <w:r w:rsidR="00816F2E" w:rsidRPr="58C81D04">
        <w:rPr>
          <w:color w:val="000000" w:themeColor="text1"/>
        </w:rPr>
        <w:t>. The submission proposed fingolimod as a comparator "</w:t>
      </w:r>
      <w:r w:rsidR="00816F2E" w:rsidRPr="58C81D04">
        <w:t xml:space="preserve">as it is the most frequently used oral treatment" but noted that fingolimod was </w:t>
      </w:r>
      <w:r w:rsidR="001A1BD6" w:rsidRPr="58C81D04">
        <w:t xml:space="preserve">most often </w:t>
      </w:r>
      <w:r w:rsidR="00816F2E" w:rsidRPr="58C81D04">
        <w:t xml:space="preserve">used for patients with less severe disease who did not wish to have injected treatment, so it was unlikely to be replaced by ublituximab. </w:t>
      </w:r>
    </w:p>
    <w:p w14:paraId="5130B731" w14:textId="41429D80" w:rsidR="006B428C" w:rsidRPr="00B223FA" w:rsidRDefault="006B428C" w:rsidP="58C81D04">
      <w:pPr>
        <w:pStyle w:val="3-BodyText"/>
      </w:pPr>
      <w:bookmarkStart w:id="13" w:name="_Ref107305379"/>
      <w:r w:rsidRPr="00B223FA">
        <w:t>The proposed comparators were appropriate</w:t>
      </w:r>
      <w:r w:rsidR="00371C33" w:rsidRPr="00B223FA">
        <w:t>, however</w:t>
      </w:r>
      <w:r w:rsidR="00A24133" w:rsidRPr="00B223FA">
        <w:t xml:space="preserve"> additional therapies were also listed on a cost minimisation basis with one or more of the nominated comparators</w:t>
      </w:r>
      <w:r w:rsidR="008E4318" w:rsidRPr="00B223FA">
        <w:t xml:space="preserve"> (</w:t>
      </w:r>
      <w:r w:rsidR="00197594" w:rsidRPr="00B223FA">
        <w:t>see</w:t>
      </w:r>
      <w:r w:rsidR="008E4318" w:rsidRPr="00B223FA">
        <w:t xml:space="preserve"> paragraph </w:t>
      </w:r>
      <w:r w:rsidR="008E4318" w:rsidRPr="00B223FA">
        <w:fldChar w:fldCharType="begin"/>
      </w:r>
      <w:r w:rsidR="008E4318" w:rsidRPr="00B223FA">
        <w:instrText xml:space="preserve"> REF _Ref190248778 \r \h </w:instrText>
      </w:r>
      <w:r w:rsidR="00B223FA">
        <w:instrText xml:space="preserve"> \* MERGEFORMAT </w:instrText>
      </w:r>
      <w:r w:rsidR="008E4318" w:rsidRPr="00B223FA">
        <w:fldChar w:fldCharType="separate"/>
      </w:r>
      <w:r w:rsidR="00D925D4">
        <w:t>5.4</w:t>
      </w:r>
      <w:r w:rsidR="008E4318" w:rsidRPr="00B223FA">
        <w:fldChar w:fldCharType="end"/>
      </w:r>
      <w:r w:rsidR="008E4318" w:rsidRPr="00B223FA">
        <w:t>).</w:t>
      </w:r>
      <w:r w:rsidR="008535DF" w:rsidRPr="00B223FA">
        <w:t xml:space="preserve"> </w:t>
      </w:r>
    </w:p>
    <w:p w14:paraId="1E5CA968" w14:textId="650AF699" w:rsidR="002E1071" w:rsidRPr="00B223FA" w:rsidRDefault="00AA6BD8" w:rsidP="002E1071">
      <w:pPr>
        <w:pStyle w:val="3-BodyText"/>
      </w:pPr>
      <w:r w:rsidRPr="00B223FA">
        <w:t xml:space="preserve">In the context of the cost-minimisation approach taken by the submission, a further consideration for PBAC is that, under Section 101(3B) of the </w:t>
      </w:r>
      <w:r w:rsidRPr="00B747C2">
        <w:rPr>
          <w:i/>
          <w:iCs/>
        </w:rPr>
        <w:t>National Health Act 1953</w:t>
      </w:r>
      <w:r w:rsidRPr="00B747C2">
        <w:t xml:space="preserve">, </w:t>
      </w:r>
      <w:r w:rsidRPr="00B223FA">
        <w:t>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3"/>
      <w:r w:rsidR="004859E1" w:rsidRPr="00B223FA">
        <w:t xml:space="preserve"> </w:t>
      </w:r>
    </w:p>
    <w:p w14:paraId="580CD218" w14:textId="106963B6" w:rsidR="00996A7F" w:rsidRDefault="00996A7F" w:rsidP="00996A7F">
      <w:pPr>
        <w:pStyle w:val="3-BodyText"/>
      </w:pPr>
      <w:bookmarkStart w:id="14" w:name="_Ref195097423"/>
      <w:bookmarkStart w:id="15" w:name="_Ref107305381"/>
      <w:bookmarkStart w:id="16" w:name="_Ref190248778"/>
      <w:r w:rsidRPr="00B223FA">
        <w:t xml:space="preserve">The PBAC has </w:t>
      </w:r>
      <w:r w:rsidR="00371C33" w:rsidRPr="00B223FA">
        <w:t xml:space="preserve">advised </w:t>
      </w:r>
      <w:r w:rsidRPr="00B223FA">
        <w:t xml:space="preserve">that fingolimod, cladribine, ozanimod, natalizumab, alemtuzumab, ocrelizumab, and ofatumumab should be considered </w:t>
      </w:r>
      <w:r w:rsidR="00AD72EA" w:rsidRPr="00B223FA">
        <w:t>alternative therapies</w:t>
      </w:r>
      <w:r w:rsidR="001844F7" w:rsidRPr="00B223FA">
        <w:t xml:space="preserve"> to one another</w:t>
      </w:r>
      <w:r w:rsidR="002863A5" w:rsidRPr="00B223FA">
        <w:t xml:space="preserve"> and are superior to the lower tier therapies in RRMS</w:t>
      </w:r>
      <w:r w:rsidR="00AD72EA" w:rsidRPr="00B223FA">
        <w:t xml:space="preserve"> </w:t>
      </w:r>
      <w:r w:rsidRPr="00B223FA">
        <w:t xml:space="preserve">(paragraph </w:t>
      </w:r>
      <w:r w:rsidR="002863A5" w:rsidRPr="00B223FA">
        <w:t>7.3-</w:t>
      </w:r>
      <w:r w:rsidRPr="00B223FA">
        <w:t>7.</w:t>
      </w:r>
      <w:r w:rsidR="008E66AA" w:rsidRPr="00B223FA">
        <w:t>4</w:t>
      </w:r>
      <w:r w:rsidRPr="00B223FA">
        <w:t>, ofatumumab PSD, March 2021 PBAC Meeting</w:t>
      </w:r>
      <w:r w:rsidR="00FF0182" w:rsidRPr="00B223FA">
        <w:t>).</w:t>
      </w:r>
      <w:bookmarkEnd w:id="14"/>
      <w:r w:rsidR="00FF0182" w:rsidRPr="00B223FA">
        <w:t xml:space="preserve"> </w:t>
      </w:r>
      <w:bookmarkStart w:id="17" w:name="_Toc22897640"/>
      <w:bookmarkEnd w:id="15"/>
      <w:bookmarkEnd w:id="16"/>
    </w:p>
    <w:p w14:paraId="46F2D7C7" w14:textId="60556E65" w:rsidR="00004D7E" w:rsidRDefault="009B7065" w:rsidP="007211A9">
      <w:pPr>
        <w:pStyle w:val="3-BodyText"/>
      </w:pPr>
      <w:r w:rsidRPr="000B114D">
        <w:t>The ESC</w:t>
      </w:r>
      <w:r w:rsidR="00EE09CB" w:rsidRPr="000B114D">
        <w:t xml:space="preserve"> recalled a </w:t>
      </w:r>
      <w:r w:rsidR="003C7045" w:rsidRPr="000B114D">
        <w:t>submission</w:t>
      </w:r>
      <w:r w:rsidR="0006123D" w:rsidRPr="000B114D">
        <w:t xml:space="preserve"> was made </w:t>
      </w:r>
      <w:r w:rsidR="003C7045" w:rsidRPr="000B114D">
        <w:t>for</w:t>
      </w:r>
      <w:r w:rsidR="0006123D" w:rsidRPr="000B114D">
        <w:t xml:space="preserve"> ofatumumab </w:t>
      </w:r>
      <w:r w:rsidR="00774693" w:rsidRPr="000B114D">
        <w:t>to the</w:t>
      </w:r>
      <w:r w:rsidR="0006123D" w:rsidRPr="000B114D">
        <w:t xml:space="preserve"> March 2024</w:t>
      </w:r>
      <w:r w:rsidR="00774693" w:rsidRPr="000B114D">
        <w:t xml:space="preserve"> PBAC meeting</w:t>
      </w:r>
      <w:r w:rsidR="0006123D" w:rsidRPr="000B114D">
        <w:t xml:space="preserve">, and </w:t>
      </w:r>
      <w:r w:rsidR="0098471D" w:rsidRPr="000B114D">
        <w:t>noted</w:t>
      </w:r>
      <w:r w:rsidR="0006123D" w:rsidRPr="000B114D">
        <w:t xml:space="preserve"> the PBAC did not recommend the </w:t>
      </w:r>
      <w:r w:rsidR="002E66BF" w:rsidRPr="000B114D">
        <w:t xml:space="preserve">formation of three efficacy tiers </w:t>
      </w:r>
      <w:r w:rsidR="002E66BF" w:rsidRPr="000B114D">
        <w:lastRenderedPageBreak/>
        <w:t xml:space="preserve">at that time, as </w:t>
      </w:r>
      <w:r w:rsidR="003D094D" w:rsidRPr="000B114D">
        <w:t xml:space="preserve">the clinical evidence did not adequately support the submission’s underlying claim that ofatumumab has superior comparative effectiveness to fingolimod (paragraph </w:t>
      </w:r>
      <w:r w:rsidR="00B65EB2" w:rsidRPr="000B114D">
        <w:t xml:space="preserve">7.1, ofatumumab PSD, March 2024 PBAC meeting). </w:t>
      </w:r>
      <w:r w:rsidR="00EF64FF" w:rsidRPr="000B114D">
        <w:t>The ESC therefore advised that all</w:t>
      </w:r>
      <w:r w:rsidR="007C1AEE" w:rsidRPr="000B114D">
        <w:t xml:space="preserve"> therapies described in paragraph </w:t>
      </w:r>
      <w:r w:rsidR="007C1AEE" w:rsidRPr="000B114D">
        <w:fldChar w:fldCharType="begin"/>
      </w:r>
      <w:r w:rsidR="007C1AEE" w:rsidRPr="000B114D">
        <w:instrText xml:space="preserve"> REF _Ref195097423 \r \h </w:instrText>
      </w:r>
      <w:r w:rsidR="007C1AEE" w:rsidRPr="000B114D">
        <w:fldChar w:fldCharType="separate"/>
      </w:r>
      <w:r w:rsidR="00D925D4">
        <w:t>5.4</w:t>
      </w:r>
      <w:r w:rsidR="007C1AEE" w:rsidRPr="000B114D">
        <w:fldChar w:fldCharType="end"/>
      </w:r>
      <w:r w:rsidR="007C1AEE" w:rsidRPr="000B114D">
        <w:t xml:space="preserve"> </w:t>
      </w:r>
      <w:r w:rsidR="000F39F8" w:rsidRPr="000B114D">
        <w:t>could reasonably</w:t>
      </w:r>
      <w:r w:rsidR="0014024B" w:rsidRPr="000B114D">
        <w:t xml:space="preserve"> be considered alternative therapies to ublituximab. </w:t>
      </w:r>
    </w:p>
    <w:p w14:paraId="6D438B69" w14:textId="53482C10" w:rsidR="00004D7E" w:rsidRDefault="00004D7E" w:rsidP="00004D7E">
      <w:pPr>
        <w:pStyle w:val="3-BodyText"/>
        <w:numPr>
          <w:ilvl w:val="0"/>
          <w:numId w:val="0"/>
        </w:numPr>
        <w:ind w:left="720"/>
        <w:rPr>
          <w:i/>
        </w:rPr>
      </w:pPr>
      <w:r w:rsidRPr="00C33D30">
        <w:rPr>
          <w:i/>
        </w:rPr>
        <w:t>For more detail on PBAC’s view, see section 7 PBAC outcome.</w:t>
      </w:r>
    </w:p>
    <w:p w14:paraId="7F9C27C8" w14:textId="007D0A9D" w:rsidR="00223D5A" w:rsidRPr="0098262F" w:rsidRDefault="00223D5A" w:rsidP="00996A7F">
      <w:pPr>
        <w:pStyle w:val="2-SectionHeading"/>
      </w:pPr>
      <w:bookmarkStart w:id="18" w:name="_Toc193112851"/>
      <w:r w:rsidRPr="0098262F">
        <w:t>Consideration of the evidence</w:t>
      </w:r>
      <w:bookmarkEnd w:id="18"/>
    </w:p>
    <w:p w14:paraId="6B0A81DC" w14:textId="77777777" w:rsidR="001E57DC" w:rsidRPr="0086092C" w:rsidRDefault="001E57DC" w:rsidP="009F295D">
      <w:pPr>
        <w:pStyle w:val="4-SubsectionHeading"/>
      </w:pPr>
      <w:bookmarkStart w:id="19" w:name="_Hlk76375935"/>
      <w:bookmarkStart w:id="20" w:name="_Toc193112852"/>
      <w:r w:rsidRPr="0086092C">
        <w:t>Sponsor hearing</w:t>
      </w:r>
    </w:p>
    <w:p w14:paraId="05C3F503" w14:textId="60563A15" w:rsidR="00E83B29" w:rsidRPr="00E238F7" w:rsidDel="007D1153" w:rsidRDefault="001E57DC" w:rsidP="009F295D">
      <w:pPr>
        <w:widowControl w:val="0"/>
        <w:numPr>
          <w:ilvl w:val="1"/>
          <w:numId w:val="6"/>
        </w:numPr>
        <w:spacing w:after="120"/>
        <w:rPr>
          <w:rFonts w:asciiTheme="minorHAnsi" w:hAnsiTheme="minorHAnsi"/>
          <w:bCs/>
          <w:snapToGrid w:val="0"/>
        </w:rPr>
      </w:pPr>
      <w:bookmarkStart w:id="21" w:name="_Hlk76382586"/>
      <w:r w:rsidRPr="0086092C">
        <w:rPr>
          <w:rFonts w:asciiTheme="minorHAnsi" w:hAnsiTheme="minorHAnsi"/>
          <w:bCs/>
          <w:snapToGrid w:val="0"/>
        </w:rPr>
        <w:t xml:space="preserve">The sponsor requested a hearing for this item. The clinician presented </w:t>
      </w:r>
      <w:r w:rsidR="00011FBC" w:rsidRPr="0086092C">
        <w:rPr>
          <w:rFonts w:asciiTheme="minorHAnsi" w:hAnsiTheme="minorHAnsi"/>
          <w:bCs/>
          <w:snapToGrid w:val="0"/>
        </w:rPr>
        <w:t xml:space="preserve">a history of treating MS patients </w:t>
      </w:r>
      <w:r w:rsidR="00F06169" w:rsidRPr="0086092C">
        <w:rPr>
          <w:rFonts w:asciiTheme="minorHAnsi" w:hAnsiTheme="minorHAnsi"/>
          <w:bCs/>
          <w:snapToGrid w:val="0"/>
        </w:rPr>
        <w:t xml:space="preserve">focusing on </w:t>
      </w:r>
      <w:r w:rsidR="00E346E8" w:rsidRPr="0086092C">
        <w:rPr>
          <w:rFonts w:asciiTheme="minorHAnsi" w:hAnsiTheme="minorHAnsi"/>
          <w:bCs/>
          <w:snapToGrid w:val="0"/>
        </w:rPr>
        <w:t>the</w:t>
      </w:r>
      <w:r w:rsidR="00CB6E25" w:rsidRPr="0086092C">
        <w:rPr>
          <w:rFonts w:asciiTheme="minorHAnsi" w:hAnsiTheme="minorHAnsi"/>
          <w:bCs/>
          <w:snapToGrid w:val="0"/>
        </w:rPr>
        <w:t xml:space="preserve"> evolution </w:t>
      </w:r>
      <w:r w:rsidR="00E346E8" w:rsidRPr="0086092C">
        <w:rPr>
          <w:rFonts w:asciiTheme="minorHAnsi" w:hAnsiTheme="minorHAnsi"/>
          <w:bCs/>
          <w:snapToGrid w:val="0"/>
        </w:rPr>
        <w:t xml:space="preserve">of </w:t>
      </w:r>
      <w:r w:rsidR="00862494" w:rsidRPr="0086092C">
        <w:rPr>
          <w:rFonts w:asciiTheme="minorHAnsi" w:hAnsiTheme="minorHAnsi"/>
          <w:bCs/>
          <w:snapToGrid w:val="0"/>
        </w:rPr>
        <w:t>clinical diagnosis</w:t>
      </w:r>
      <w:r w:rsidR="00E55DD4" w:rsidRPr="0086092C">
        <w:rPr>
          <w:rFonts w:asciiTheme="minorHAnsi" w:hAnsiTheme="minorHAnsi"/>
          <w:bCs/>
          <w:snapToGrid w:val="0"/>
        </w:rPr>
        <w:t xml:space="preserve"> led by </w:t>
      </w:r>
      <w:r w:rsidR="00996034" w:rsidRPr="0086092C">
        <w:rPr>
          <w:rFonts w:asciiTheme="minorHAnsi" w:hAnsiTheme="minorHAnsi"/>
          <w:bCs/>
          <w:snapToGrid w:val="0"/>
        </w:rPr>
        <w:t>lesion load and nature of relapse</w:t>
      </w:r>
      <w:r w:rsidR="00813FBE" w:rsidRPr="0086092C">
        <w:rPr>
          <w:rFonts w:asciiTheme="minorHAnsi" w:hAnsiTheme="minorHAnsi"/>
          <w:bCs/>
          <w:snapToGrid w:val="0"/>
        </w:rPr>
        <w:t xml:space="preserve">, where high effectiveness therapies </w:t>
      </w:r>
      <w:r w:rsidR="006749D7" w:rsidRPr="0086092C">
        <w:rPr>
          <w:rFonts w:asciiTheme="minorHAnsi" w:hAnsiTheme="minorHAnsi"/>
          <w:bCs/>
          <w:snapToGrid w:val="0"/>
        </w:rPr>
        <w:t xml:space="preserve">are often preferred as </w:t>
      </w:r>
      <w:r w:rsidR="007819C1" w:rsidRPr="0086092C">
        <w:rPr>
          <w:rFonts w:asciiTheme="minorHAnsi" w:hAnsiTheme="minorHAnsi"/>
          <w:bCs/>
          <w:snapToGrid w:val="0"/>
        </w:rPr>
        <w:t>early interventio</w:t>
      </w:r>
      <w:r w:rsidR="0028220C">
        <w:rPr>
          <w:rFonts w:asciiTheme="minorHAnsi" w:hAnsiTheme="minorHAnsi"/>
          <w:bCs/>
          <w:snapToGrid w:val="0"/>
        </w:rPr>
        <w:t xml:space="preserve">n, and discussed longer-term </w:t>
      </w:r>
      <w:r w:rsidR="004D025F">
        <w:rPr>
          <w:rFonts w:asciiTheme="minorHAnsi" w:hAnsiTheme="minorHAnsi"/>
          <w:bCs/>
          <w:snapToGrid w:val="0"/>
        </w:rPr>
        <w:t>real-world data for relapse and ‘no evidence of disease activity’ supports</w:t>
      </w:r>
      <w:r w:rsidR="00E238F7">
        <w:rPr>
          <w:rFonts w:asciiTheme="minorHAnsi" w:hAnsiTheme="minorHAnsi"/>
          <w:bCs/>
          <w:snapToGrid w:val="0"/>
        </w:rPr>
        <w:t xml:space="preserve"> the anti-CD20 class of therapies as being highly effective.</w:t>
      </w:r>
    </w:p>
    <w:bookmarkEnd w:id="21"/>
    <w:p w14:paraId="134B0C6B" w14:textId="178FE153" w:rsidR="001E57DC" w:rsidRPr="0086092C" w:rsidRDefault="001E57DC" w:rsidP="009F295D">
      <w:pPr>
        <w:pStyle w:val="4-SubsectionHeading"/>
      </w:pPr>
      <w:r w:rsidRPr="0086092C">
        <w:t>Consumer comments</w:t>
      </w:r>
    </w:p>
    <w:p w14:paraId="41282F33" w14:textId="66FF0F11" w:rsidR="001E57DC" w:rsidRDefault="001E57DC" w:rsidP="001E57DC">
      <w:pPr>
        <w:widowControl w:val="0"/>
        <w:numPr>
          <w:ilvl w:val="1"/>
          <w:numId w:val="6"/>
        </w:numPr>
        <w:spacing w:after="120"/>
        <w:rPr>
          <w:rFonts w:asciiTheme="minorHAnsi" w:hAnsiTheme="minorHAnsi"/>
          <w:bCs/>
          <w:snapToGrid w:val="0"/>
        </w:rPr>
      </w:pPr>
      <w:bookmarkStart w:id="22" w:name="_Hlk76382618"/>
      <w:r w:rsidRPr="0086092C">
        <w:rPr>
          <w:rFonts w:asciiTheme="minorHAnsi" w:hAnsiTheme="minorHAnsi"/>
          <w:bCs/>
          <w:snapToGrid w:val="0"/>
        </w:rPr>
        <w:t>The PBAC noted and welcomed the input from</w:t>
      </w:r>
      <w:r w:rsidR="00BD5EEB" w:rsidRPr="0086092C">
        <w:rPr>
          <w:rFonts w:asciiTheme="minorHAnsi" w:hAnsiTheme="minorHAnsi"/>
          <w:bCs/>
          <w:snapToGrid w:val="0"/>
        </w:rPr>
        <w:t xml:space="preserve"> an</w:t>
      </w:r>
      <w:r w:rsidRPr="0086092C">
        <w:rPr>
          <w:rFonts w:asciiTheme="minorHAnsi" w:hAnsiTheme="minorHAnsi"/>
          <w:bCs/>
          <w:snapToGrid w:val="0"/>
        </w:rPr>
        <w:t xml:space="preserve"> individual (</w:t>
      </w:r>
      <w:r w:rsidR="00BD5EEB" w:rsidRPr="0086092C">
        <w:rPr>
          <w:rFonts w:asciiTheme="minorHAnsi" w:hAnsiTheme="minorHAnsi"/>
          <w:bCs/>
          <w:snapToGrid w:val="0"/>
        </w:rPr>
        <w:t>1</w:t>
      </w:r>
      <w:r w:rsidRPr="0086092C">
        <w:rPr>
          <w:rFonts w:asciiTheme="minorHAnsi" w:hAnsiTheme="minorHAnsi"/>
          <w:bCs/>
          <w:snapToGrid w:val="0"/>
        </w:rPr>
        <w:t>), and</w:t>
      </w:r>
      <w:r w:rsidR="00BD5EEB" w:rsidRPr="0086092C">
        <w:rPr>
          <w:rFonts w:asciiTheme="minorHAnsi" w:hAnsiTheme="minorHAnsi"/>
          <w:bCs/>
          <w:snapToGrid w:val="0"/>
        </w:rPr>
        <w:t xml:space="preserve"> a</w:t>
      </w:r>
      <w:r w:rsidR="003C28AE">
        <w:rPr>
          <w:rFonts w:asciiTheme="minorHAnsi" w:hAnsiTheme="minorHAnsi"/>
          <w:bCs/>
          <w:snapToGrid w:val="0"/>
        </w:rPr>
        <w:t xml:space="preserve"> </w:t>
      </w:r>
      <w:r w:rsidR="00B53CF0">
        <w:rPr>
          <w:rFonts w:asciiTheme="minorHAnsi" w:hAnsiTheme="minorHAnsi"/>
          <w:bCs/>
          <w:snapToGrid w:val="0"/>
        </w:rPr>
        <w:t>consumer</w:t>
      </w:r>
      <w:r w:rsidRPr="0086092C">
        <w:rPr>
          <w:rFonts w:asciiTheme="minorHAnsi" w:hAnsiTheme="minorHAnsi"/>
          <w:bCs/>
          <w:snapToGrid w:val="0"/>
        </w:rPr>
        <w:t xml:space="preserve"> organisation (1) via the Consumer Comments facility on the PBS website. The comments described</w:t>
      </w:r>
      <w:r w:rsidR="00B653CC" w:rsidRPr="0086092C">
        <w:rPr>
          <w:rFonts w:asciiTheme="minorHAnsi" w:hAnsiTheme="minorHAnsi"/>
          <w:bCs/>
          <w:snapToGrid w:val="0"/>
        </w:rPr>
        <w:t xml:space="preserve"> disease burden</w:t>
      </w:r>
      <w:r w:rsidR="009F295D">
        <w:rPr>
          <w:rFonts w:asciiTheme="minorHAnsi" w:hAnsiTheme="minorHAnsi"/>
          <w:bCs/>
          <w:snapToGrid w:val="0"/>
        </w:rPr>
        <w:t xml:space="preserve">, </w:t>
      </w:r>
      <w:r w:rsidRPr="0086092C">
        <w:rPr>
          <w:rFonts w:asciiTheme="minorHAnsi" w:hAnsiTheme="minorHAnsi"/>
          <w:bCs/>
          <w:snapToGrid w:val="0"/>
        </w:rPr>
        <w:t xml:space="preserve">including the </w:t>
      </w:r>
      <w:r w:rsidR="002A3354" w:rsidRPr="0086092C">
        <w:rPr>
          <w:rFonts w:asciiTheme="minorHAnsi" w:hAnsiTheme="minorHAnsi"/>
          <w:bCs/>
          <w:snapToGrid w:val="0"/>
        </w:rPr>
        <w:t>in</w:t>
      </w:r>
      <w:r w:rsidRPr="0086092C">
        <w:rPr>
          <w:rFonts w:asciiTheme="minorHAnsi" w:hAnsiTheme="minorHAnsi"/>
          <w:bCs/>
          <w:snapToGrid w:val="0"/>
        </w:rPr>
        <w:t>ability to return to work</w:t>
      </w:r>
      <w:r w:rsidR="002A3354" w:rsidRPr="0086092C">
        <w:rPr>
          <w:rFonts w:asciiTheme="minorHAnsi" w:hAnsiTheme="minorHAnsi"/>
          <w:bCs/>
          <w:snapToGrid w:val="0"/>
        </w:rPr>
        <w:t xml:space="preserve"> and the challenges of continuing disability impacting daily life. </w:t>
      </w:r>
    </w:p>
    <w:p w14:paraId="23C225EE" w14:textId="4CA2AF99" w:rsidR="003C28AE" w:rsidRPr="0086092C" w:rsidRDefault="003C28AE" w:rsidP="001E57DC">
      <w:pPr>
        <w:widowControl w:val="0"/>
        <w:numPr>
          <w:ilvl w:val="1"/>
          <w:numId w:val="6"/>
        </w:numPr>
        <w:spacing w:after="120"/>
        <w:rPr>
          <w:rFonts w:asciiTheme="minorHAnsi" w:hAnsiTheme="minorHAnsi"/>
          <w:bCs/>
          <w:snapToGrid w:val="0"/>
        </w:rPr>
      </w:pPr>
      <w:r>
        <w:rPr>
          <w:rFonts w:asciiTheme="minorHAnsi" w:hAnsiTheme="minorHAnsi"/>
          <w:bCs/>
          <w:snapToGrid w:val="0"/>
        </w:rPr>
        <w:t xml:space="preserve">The PBAC welcomed the input from MS Australia supporting the listing </w:t>
      </w:r>
      <w:r w:rsidR="00385385">
        <w:rPr>
          <w:rFonts w:asciiTheme="minorHAnsi" w:hAnsiTheme="minorHAnsi"/>
          <w:bCs/>
          <w:snapToGrid w:val="0"/>
        </w:rPr>
        <w:t>of ublituximab, and noted the input</w:t>
      </w:r>
      <w:r w:rsidR="00810851">
        <w:rPr>
          <w:rFonts w:asciiTheme="minorHAnsi" w:hAnsiTheme="minorHAnsi"/>
          <w:bCs/>
          <w:snapToGrid w:val="0"/>
        </w:rPr>
        <w:t xml:space="preserve"> stressed the importance of having more treatment options available for patients </w:t>
      </w:r>
      <w:r w:rsidR="00EC4497">
        <w:rPr>
          <w:rFonts w:asciiTheme="minorHAnsi" w:hAnsiTheme="minorHAnsi"/>
          <w:bCs/>
          <w:snapToGrid w:val="0"/>
        </w:rPr>
        <w:t>as due to the varied nature of the disease, no one treatment suited all</w:t>
      </w:r>
      <w:r w:rsidR="0050289C">
        <w:rPr>
          <w:rFonts w:asciiTheme="minorHAnsi" w:hAnsiTheme="minorHAnsi"/>
          <w:bCs/>
          <w:snapToGrid w:val="0"/>
        </w:rPr>
        <w:t xml:space="preserve">. It also </w:t>
      </w:r>
      <w:r w:rsidR="00385385">
        <w:rPr>
          <w:rFonts w:asciiTheme="minorHAnsi" w:hAnsiTheme="minorHAnsi"/>
          <w:bCs/>
          <w:snapToGrid w:val="0"/>
        </w:rPr>
        <w:t xml:space="preserve">discussed the mechanism of action of ublituximab, </w:t>
      </w:r>
      <w:r w:rsidR="00EA2DC0">
        <w:rPr>
          <w:rFonts w:asciiTheme="minorHAnsi" w:hAnsiTheme="minorHAnsi"/>
          <w:bCs/>
          <w:snapToGrid w:val="0"/>
        </w:rPr>
        <w:t>the positive results of the clinical trials and the results of a systematic review that indicated i</w:t>
      </w:r>
      <w:r w:rsidR="00810851">
        <w:rPr>
          <w:rFonts w:asciiTheme="minorHAnsi" w:hAnsiTheme="minorHAnsi"/>
          <w:bCs/>
          <w:snapToGrid w:val="0"/>
        </w:rPr>
        <w:t xml:space="preserve">t offers comparable efficacy to other high-efficacy monoclonal antibody therapies. </w:t>
      </w:r>
    </w:p>
    <w:bookmarkEnd w:id="19"/>
    <w:bookmarkEnd w:id="22"/>
    <w:p w14:paraId="609C0765" w14:textId="267DC40D" w:rsidR="00B60939" w:rsidRPr="00004D7E" w:rsidRDefault="00B60939" w:rsidP="00004D7E">
      <w:pPr>
        <w:pStyle w:val="4-SubsectionHeading"/>
      </w:pPr>
      <w:r w:rsidRPr="00004D7E">
        <w:t>Clinical trials</w:t>
      </w:r>
      <w:bookmarkEnd w:id="17"/>
      <w:bookmarkEnd w:id="20"/>
    </w:p>
    <w:p w14:paraId="4154C975" w14:textId="0D36CD04" w:rsidR="00A5554F" w:rsidRPr="006F273B" w:rsidRDefault="00291936" w:rsidP="002E4F02">
      <w:pPr>
        <w:pStyle w:val="3-BodyText"/>
      </w:pPr>
      <w:r w:rsidRPr="58C81D04">
        <w:t xml:space="preserve">No head-to-head trials of ublituximab versus any of the comparators were identified. </w:t>
      </w:r>
      <w:r w:rsidR="00163EE1" w:rsidRPr="58C81D04">
        <w:t>The submission</w:t>
      </w:r>
      <w:r w:rsidR="00A5554F" w:rsidRPr="58C81D04">
        <w:t xml:space="preserve"> </w:t>
      </w:r>
      <w:r w:rsidR="00163EE1" w:rsidRPr="58C81D04">
        <w:t>relied</w:t>
      </w:r>
      <w:r w:rsidR="00510CD1" w:rsidRPr="58C81D04">
        <w:t xml:space="preserve"> on </w:t>
      </w:r>
      <w:r w:rsidR="009E773F" w:rsidRPr="58C81D04">
        <w:t>in</w:t>
      </w:r>
      <w:r w:rsidR="000C2189" w:rsidRPr="58C81D04">
        <w:t>direct treatment comparisons</w:t>
      </w:r>
      <w:r w:rsidR="00163EE1" w:rsidRPr="58C81D04">
        <w:t xml:space="preserve"> (ITC)</w:t>
      </w:r>
      <w:r w:rsidR="00A5554F" w:rsidRPr="58C81D04">
        <w:t xml:space="preserve">, using: </w:t>
      </w:r>
    </w:p>
    <w:p w14:paraId="4106C6B5" w14:textId="3BC45EF8" w:rsidR="00A5554F" w:rsidRPr="006F273B" w:rsidRDefault="00A5554F" w:rsidP="58C81D04">
      <w:pPr>
        <w:pStyle w:val="3-BodyText"/>
      </w:pPr>
      <w:r w:rsidRPr="58C81D04">
        <w:t xml:space="preserve">two randomised controlled trials (RCTs) of ublituximab vs teriflunomide (ULTIMATE I/II); </w:t>
      </w:r>
    </w:p>
    <w:p w14:paraId="36F6D002" w14:textId="76182E08" w:rsidR="00A5554F" w:rsidRDefault="00A5554F" w:rsidP="00777DDD">
      <w:pPr>
        <w:pStyle w:val="ListParagraph"/>
        <w:jc w:val="both"/>
      </w:pPr>
      <w:r w:rsidRPr="006F273B">
        <w:t>two RCTs of ofatumumab vs teriflunomide (ASCLEPIOS I/II);</w:t>
      </w:r>
    </w:p>
    <w:p w14:paraId="725BE68D" w14:textId="1830FE3D" w:rsidR="002230FE" w:rsidRPr="006F273B" w:rsidRDefault="002230FE" w:rsidP="00777DDD">
      <w:pPr>
        <w:pStyle w:val="ListParagraph"/>
        <w:jc w:val="both"/>
      </w:pPr>
      <w:r>
        <w:t>two RCTs of ocrelizumab vs interferon beta (OPERA I/II)</w:t>
      </w:r>
      <w:r w:rsidR="00B41824">
        <w:t>;</w:t>
      </w:r>
    </w:p>
    <w:p w14:paraId="3C668084" w14:textId="77777777" w:rsidR="00A5554F" w:rsidRPr="006F273B" w:rsidRDefault="00A5554F" w:rsidP="00777DDD">
      <w:pPr>
        <w:pStyle w:val="ListParagraph"/>
        <w:jc w:val="both"/>
      </w:pPr>
      <w:r w:rsidRPr="006F273B">
        <w:t xml:space="preserve">two RCTs of fingolimod vs placebo (FREEDOMS I/II); </w:t>
      </w:r>
    </w:p>
    <w:p w14:paraId="3764DDDA" w14:textId="77777777" w:rsidR="00A5554F" w:rsidRPr="006F273B" w:rsidRDefault="00A5554F" w:rsidP="00777DDD">
      <w:pPr>
        <w:pStyle w:val="ListParagraph"/>
        <w:jc w:val="both"/>
      </w:pPr>
      <w:r w:rsidRPr="006F273B">
        <w:t xml:space="preserve">one RCT of ocrelizumab vs interferon beta; </w:t>
      </w:r>
      <w:r w:rsidRPr="001E5758">
        <w:t>and to link these,</w:t>
      </w:r>
      <w:r w:rsidRPr="006F273B">
        <w:t xml:space="preserve"> </w:t>
      </w:r>
    </w:p>
    <w:p w14:paraId="2925ADE9" w14:textId="5D99B543" w:rsidR="00A5554F" w:rsidRPr="006F273B" w:rsidRDefault="00A5554F" w:rsidP="58C81D04">
      <w:pPr>
        <w:pStyle w:val="3-BodyText"/>
      </w:pPr>
      <w:r w:rsidRPr="58C81D04">
        <w:t>two RCTs of teriflunomide vs placebo (TEMSO and TOWER), and one RCT of teriflunomide vs interferon beta (TENERE)</w:t>
      </w:r>
      <w:r w:rsidR="00B41824" w:rsidRPr="58C81D04">
        <w:t xml:space="preserve">. </w:t>
      </w:r>
    </w:p>
    <w:p w14:paraId="304EDB67" w14:textId="72FD75AF" w:rsidR="00540336" w:rsidRPr="00A5554F" w:rsidRDefault="00A5554F" w:rsidP="00860271">
      <w:pPr>
        <w:pStyle w:val="3-BodyText"/>
      </w:pPr>
      <w:r>
        <w:lastRenderedPageBreak/>
        <w:t>This is shown diagrammatically in</w:t>
      </w:r>
      <w:r w:rsidR="00B734B3">
        <w:t xml:space="preserve"> </w:t>
      </w:r>
      <w:r w:rsidR="00B734B3">
        <w:fldChar w:fldCharType="begin"/>
      </w:r>
      <w:r w:rsidR="00B734B3">
        <w:instrText xml:space="preserve"> REF _Ref188175929 \h </w:instrText>
      </w:r>
      <w:r w:rsidR="00B734B3">
        <w:fldChar w:fldCharType="separate"/>
      </w:r>
      <w:r w:rsidR="00D925D4" w:rsidRPr="58C81D04">
        <w:t xml:space="preserve">Figure </w:t>
      </w:r>
      <w:r w:rsidR="00D925D4">
        <w:rPr>
          <w:noProof/>
        </w:rPr>
        <w:t>1</w:t>
      </w:r>
      <w:r w:rsidR="00B734B3">
        <w:fldChar w:fldCharType="end"/>
      </w:r>
      <w:r>
        <w:t xml:space="preserve">. </w:t>
      </w:r>
    </w:p>
    <w:p w14:paraId="3CB62111" w14:textId="1377DD5C" w:rsidR="000C2189" w:rsidRDefault="00B734B3" w:rsidP="00B734B3">
      <w:pPr>
        <w:pStyle w:val="Caption"/>
      </w:pPr>
      <w:bookmarkStart w:id="23" w:name="_Ref188175929"/>
      <w:r w:rsidRPr="58C81D04">
        <w:t xml:space="preserve">Figure </w:t>
      </w:r>
      <w:r w:rsidRPr="58C81D04">
        <w:fldChar w:fldCharType="begin"/>
      </w:r>
      <w:r>
        <w:instrText xml:space="preserve"> SEQ Figure \* ARABIC </w:instrText>
      </w:r>
      <w:r w:rsidRPr="58C81D04">
        <w:fldChar w:fldCharType="separate"/>
      </w:r>
      <w:r w:rsidR="00D925D4">
        <w:rPr>
          <w:noProof/>
        </w:rPr>
        <w:t>1</w:t>
      </w:r>
      <w:r w:rsidRPr="58C81D04">
        <w:rPr>
          <w:noProof/>
        </w:rPr>
        <w:fldChar w:fldCharType="end"/>
      </w:r>
      <w:bookmarkEnd w:id="23"/>
      <w:r w:rsidRPr="58C81D04">
        <w:t xml:space="preserve">: </w:t>
      </w:r>
      <w:r w:rsidR="000C2189" w:rsidRPr="58C81D04">
        <w:t xml:space="preserve">Trials used </w:t>
      </w:r>
      <w:r w:rsidR="005004AB" w:rsidRPr="58C81D04">
        <w:t xml:space="preserve">in the submission </w:t>
      </w:r>
      <w:r w:rsidR="000C2189" w:rsidRPr="58C81D04">
        <w:t xml:space="preserve">for </w:t>
      </w:r>
      <w:r w:rsidR="005004AB" w:rsidRPr="58C81D04">
        <w:t>indirect treatment comparisons</w:t>
      </w:r>
      <w:r w:rsidR="000C2189" w:rsidRPr="58C81D04">
        <w:t xml:space="preserve"> of ublituximab vs comparators. </w:t>
      </w:r>
    </w:p>
    <w:p w14:paraId="25482AAC" w14:textId="7F68FFE0" w:rsidR="005004AB" w:rsidRDefault="005004AB" w:rsidP="00860271">
      <w:pPr>
        <w:pStyle w:val="3-BodyText"/>
        <w:numPr>
          <w:ilvl w:val="0"/>
          <w:numId w:val="0"/>
        </w:numPr>
        <w:spacing w:before="0" w:after="0"/>
      </w:pPr>
      <w:r>
        <w:rPr>
          <w:noProof/>
        </w:rPr>
        <w:drawing>
          <wp:inline distT="0" distB="0" distL="0" distR="0" wp14:anchorId="3870BAA6" wp14:editId="53333035">
            <wp:extent cx="4419600" cy="2845575"/>
            <wp:effectExtent l="0" t="0" r="0" b="0"/>
            <wp:docPr id="1553956700" name="Picture 1" descr="A diagram of different types of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56700" name="Picture 1" descr="A diagram of different types of data"/>
                    <pic:cNvPicPr/>
                  </pic:nvPicPr>
                  <pic:blipFill>
                    <a:blip r:embed="rId8"/>
                    <a:stretch>
                      <a:fillRect/>
                    </a:stretch>
                  </pic:blipFill>
                  <pic:spPr>
                    <a:xfrm>
                      <a:off x="0" y="0"/>
                      <a:ext cx="4429371" cy="2851866"/>
                    </a:xfrm>
                    <a:prstGeom prst="rect">
                      <a:avLst/>
                    </a:prstGeom>
                  </pic:spPr>
                </pic:pic>
              </a:graphicData>
            </a:graphic>
          </wp:inline>
        </w:drawing>
      </w:r>
    </w:p>
    <w:p w14:paraId="09848184" w14:textId="4BACA180" w:rsidR="007249B3" w:rsidRDefault="007249B3" w:rsidP="00D119BE">
      <w:pPr>
        <w:pStyle w:val="TableFigureFooter"/>
      </w:pPr>
      <w:r w:rsidRPr="58C81D04">
        <w:t xml:space="preserve">Source: Figure ES.3, </w:t>
      </w:r>
      <w:proofErr w:type="spellStart"/>
      <w:r w:rsidRPr="58C81D04">
        <w:t>p</w:t>
      </w:r>
      <w:r w:rsidR="000F4CBA" w:rsidRPr="58C81D04">
        <w:t>.</w:t>
      </w:r>
      <w:r w:rsidRPr="58C81D04">
        <w:t>v</w:t>
      </w:r>
      <w:proofErr w:type="spellEnd"/>
      <w:r w:rsidRPr="58C81D04">
        <w:t xml:space="preserve"> of the submission. </w:t>
      </w:r>
    </w:p>
    <w:p w14:paraId="10F7BC1A" w14:textId="68F482D0" w:rsidR="005004AB" w:rsidRDefault="00E53803" w:rsidP="00E53803">
      <w:pPr>
        <w:pStyle w:val="3-BodyText"/>
      </w:pPr>
      <w:r>
        <w:t xml:space="preserve">The published reports for the trials used and their key features are shown in </w:t>
      </w:r>
      <w:r w:rsidR="002E3D3E">
        <w:fldChar w:fldCharType="begin"/>
      </w:r>
      <w:r w:rsidR="002E3D3E">
        <w:instrText xml:space="preserve"> REF _Ref188176803 \h </w:instrText>
      </w:r>
      <w:r w:rsidR="002E3D3E">
        <w:fldChar w:fldCharType="separate"/>
      </w:r>
      <w:r w:rsidR="00D925D4">
        <w:t xml:space="preserve">Table </w:t>
      </w:r>
      <w:r w:rsidR="00D925D4">
        <w:rPr>
          <w:noProof/>
        </w:rPr>
        <w:t>2</w:t>
      </w:r>
      <w:r w:rsidR="002E3D3E">
        <w:fldChar w:fldCharType="end"/>
      </w:r>
      <w:r w:rsidR="002E3D3E">
        <w:t xml:space="preserve"> and </w:t>
      </w:r>
      <w:r w:rsidR="002E3D3E">
        <w:fldChar w:fldCharType="begin"/>
      </w:r>
      <w:r w:rsidR="002E3D3E">
        <w:instrText xml:space="preserve"> REF _Ref188176806 \h </w:instrText>
      </w:r>
      <w:r w:rsidR="002E3D3E">
        <w:fldChar w:fldCharType="separate"/>
      </w:r>
      <w:r w:rsidR="00D925D4">
        <w:t xml:space="preserve">Table </w:t>
      </w:r>
      <w:r w:rsidR="00D925D4">
        <w:rPr>
          <w:noProof/>
        </w:rPr>
        <w:t>3</w:t>
      </w:r>
      <w:r w:rsidR="002E3D3E">
        <w:fldChar w:fldCharType="end"/>
      </w:r>
      <w:r>
        <w:t xml:space="preserve">. </w:t>
      </w:r>
    </w:p>
    <w:p w14:paraId="0431C877" w14:textId="36D6FE12" w:rsidR="004F32C6" w:rsidRPr="00AE74F3" w:rsidRDefault="002E3D3E" w:rsidP="002E3D3E">
      <w:pPr>
        <w:pStyle w:val="Caption"/>
        <w:rPr>
          <w:rStyle w:val="CommentReference"/>
          <w:b/>
          <w:szCs w:val="20"/>
        </w:rPr>
      </w:pPr>
      <w:bookmarkStart w:id="24" w:name="_Ref188176803"/>
      <w:r>
        <w:lastRenderedPageBreak/>
        <w:t xml:space="preserve">Table </w:t>
      </w:r>
      <w:r w:rsidR="0010534F">
        <w:fldChar w:fldCharType="begin"/>
      </w:r>
      <w:r w:rsidR="0010534F">
        <w:instrText xml:space="preserve"> SEQ Table \* ARABIC </w:instrText>
      </w:r>
      <w:r w:rsidR="0010534F">
        <w:fldChar w:fldCharType="separate"/>
      </w:r>
      <w:r w:rsidR="00D925D4">
        <w:rPr>
          <w:noProof/>
        </w:rPr>
        <w:t>2</w:t>
      </w:r>
      <w:r w:rsidR="0010534F">
        <w:rPr>
          <w:noProof/>
        </w:rPr>
        <w:fldChar w:fldCharType="end"/>
      </w:r>
      <w:bookmarkEnd w:id="24"/>
      <w:r>
        <w:t xml:space="preserve">: </w:t>
      </w:r>
      <w:r w:rsidR="004F32C6" w:rsidRPr="00AE74F3">
        <w:rPr>
          <w:rStyle w:val="CommentReference"/>
          <w:b/>
          <w:szCs w:val="20"/>
        </w:rPr>
        <w:t xml:space="preserve">Trials and associated reports presented in the </w:t>
      </w:r>
      <w:r w:rsidR="00A16518" w:rsidRPr="00AE74F3">
        <w:rPr>
          <w:rStyle w:val="CommentReference"/>
          <w:b/>
          <w:szCs w:val="20"/>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9"/>
        <w:gridCol w:w="6227"/>
        <w:gridCol w:w="1621"/>
      </w:tblGrid>
      <w:tr w:rsidR="004F32C6" w:rsidRPr="00AE74F3" w14:paraId="17096A9F" w14:textId="77777777" w:rsidTr="006200F9">
        <w:trPr>
          <w:trHeight w:val="20"/>
          <w:tblHeader/>
        </w:trPr>
        <w:tc>
          <w:tcPr>
            <w:tcW w:w="626" w:type="pct"/>
            <w:tcBorders>
              <w:top w:val="single" w:sz="4" w:space="0" w:color="auto"/>
              <w:left w:val="single" w:sz="4" w:space="0" w:color="auto"/>
              <w:bottom w:val="single" w:sz="4" w:space="0" w:color="auto"/>
              <w:right w:val="single" w:sz="4" w:space="0" w:color="auto"/>
            </w:tcBorders>
            <w:vAlign w:val="center"/>
            <w:hideMark/>
          </w:tcPr>
          <w:p w14:paraId="04E43DD3" w14:textId="77777777" w:rsidR="004F32C6" w:rsidRPr="00AE74F3" w:rsidRDefault="004F32C6">
            <w:pPr>
              <w:pStyle w:val="Tabletext"/>
              <w:keepNext/>
              <w:keepLines/>
              <w:rPr>
                <w:b/>
                <w:szCs w:val="22"/>
              </w:rPr>
            </w:pPr>
            <w:r w:rsidRPr="00AE74F3">
              <w:rPr>
                <w:b/>
              </w:rPr>
              <w:t>Trial ID</w:t>
            </w:r>
          </w:p>
        </w:tc>
        <w:tc>
          <w:tcPr>
            <w:tcW w:w="3464" w:type="pct"/>
            <w:tcBorders>
              <w:top w:val="single" w:sz="4" w:space="0" w:color="auto"/>
              <w:left w:val="single" w:sz="4" w:space="0" w:color="auto"/>
              <w:bottom w:val="single" w:sz="4" w:space="0" w:color="auto"/>
              <w:right w:val="single" w:sz="4" w:space="0" w:color="auto"/>
            </w:tcBorders>
            <w:vAlign w:val="center"/>
            <w:hideMark/>
          </w:tcPr>
          <w:p w14:paraId="43246ACB" w14:textId="77777777" w:rsidR="004F32C6" w:rsidRPr="00AE74F3" w:rsidRDefault="004F32C6">
            <w:pPr>
              <w:pStyle w:val="Tabletext"/>
              <w:keepNext/>
              <w:keepLines/>
              <w:rPr>
                <w:b/>
              </w:rPr>
            </w:pPr>
            <w:r w:rsidRPr="00AE74F3">
              <w:rPr>
                <w:b/>
              </w:rPr>
              <w:t>Protocol title/ Publication title</w:t>
            </w:r>
          </w:p>
        </w:tc>
        <w:tc>
          <w:tcPr>
            <w:tcW w:w="910" w:type="pct"/>
            <w:tcBorders>
              <w:top w:val="single" w:sz="4" w:space="0" w:color="auto"/>
              <w:left w:val="single" w:sz="4" w:space="0" w:color="auto"/>
              <w:bottom w:val="single" w:sz="4" w:space="0" w:color="auto"/>
              <w:right w:val="single" w:sz="4" w:space="0" w:color="auto"/>
            </w:tcBorders>
            <w:vAlign w:val="center"/>
            <w:hideMark/>
          </w:tcPr>
          <w:p w14:paraId="6721CEDA" w14:textId="77777777" w:rsidR="004F32C6" w:rsidRPr="00AE74F3" w:rsidRDefault="004F32C6">
            <w:pPr>
              <w:pStyle w:val="Tabletext"/>
              <w:keepNext/>
              <w:keepLines/>
              <w:rPr>
                <w:b/>
              </w:rPr>
            </w:pPr>
            <w:r w:rsidRPr="00AE74F3">
              <w:rPr>
                <w:b/>
              </w:rPr>
              <w:t>Publication citation</w:t>
            </w:r>
          </w:p>
        </w:tc>
      </w:tr>
      <w:tr w:rsidR="00F1376F" w:rsidRPr="00AE74F3" w14:paraId="302A75B9" w14:textId="77777777" w:rsidTr="006200F9">
        <w:trPr>
          <w:trHeight w:val="20"/>
          <w:tblHead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A761C5A" w14:textId="416B3446" w:rsidR="00F1376F" w:rsidRPr="00AE74F3" w:rsidRDefault="00F1376F" w:rsidP="58C81D04">
            <w:pPr>
              <w:pStyle w:val="Tabletext"/>
              <w:keepNext/>
              <w:keepLines/>
              <w:rPr>
                <w:b/>
                <w:bCs/>
              </w:rPr>
            </w:pPr>
            <w:r w:rsidRPr="58C81D04">
              <w:rPr>
                <w:b/>
                <w:bCs/>
              </w:rPr>
              <w:t>Ublituximab</w:t>
            </w:r>
          </w:p>
        </w:tc>
      </w:tr>
      <w:tr w:rsidR="00F1376F" w:rsidRPr="00AE74F3" w14:paraId="0108F800" w14:textId="77777777" w:rsidTr="006200F9">
        <w:trPr>
          <w:trHeight w:val="20"/>
          <w:tblHeader/>
        </w:trPr>
        <w:tc>
          <w:tcPr>
            <w:tcW w:w="626" w:type="pct"/>
            <w:tcBorders>
              <w:top w:val="single" w:sz="4" w:space="0" w:color="auto"/>
              <w:left w:val="single" w:sz="4" w:space="0" w:color="auto"/>
              <w:bottom w:val="single" w:sz="4" w:space="0" w:color="auto"/>
              <w:right w:val="single" w:sz="4" w:space="0" w:color="auto"/>
            </w:tcBorders>
            <w:vAlign w:val="center"/>
          </w:tcPr>
          <w:p w14:paraId="2AA9F790" w14:textId="77777777" w:rsidR="00F1376F" w:rsidRDefault="00F1376F">
            <w:pPr>
              <w:pStyle w:val="Tabletext"/>
              <w:keepNext/>
              <w:keepLines/>
              <w:rPr>
                <w:bCs/>
              </w:rPr>
            </w:pPr>
            <w:r w:rsidRPr="00F1376F">
              <w:rPr>
                <w:bCs/>
              </w:rPr>
              <w:t>ULTIMATE I</w:t>
            </w:r>
          </w:p>
          <w:p w14:paraId="0DBE2387" w14:textId="24EE7751" w:rsidR="00F1376F" w:rsidRPr="00F1376F" w:rsidRDefault="00F1376F">
            <w:pPr>
              <w:pStyle w:val="Tabletext"/>
              <w:keepNext/>
              <w:keepLines/>
              <w:rPr>
                <w:bCs/>
              </w:rPr>
            </w:pPr>
            <w:r w:rsidRPr="00F1376F">
              <w:rPr>
                <w:bCs/>
              </w:rPr>
              <w:t>NCT03277261</w:t>
            </w:r>
          </w:p>
        </w:tc>
        <w:tc>
          <w:tcPr>
            <w:tcW w:w="3464" w:type="pct"/>
            <w:tcBorders>
              <w:top w:val="single" w:sz="4" w:space="0" w:color="auto"/>
              <w:left w:val="single" w:sz="4" w:space="0" w:color="auto"/>
              <w:bottom w:val="single" w:sz="4" w:space="0" w:color="auto"/>
              <w:right w:val="single" w:sz="4" w:space="0" w:color="auto"/>
            </w:tcBorders>
            <w:vAlign w:val="center"/>
          </w:tcPr>
          <w:p w14:paraId="28058BD5" w14:textId="77777777" w:rsidR="00F1376F" w:rsidRDefault="00F1376F" w:rsidP="00F1376F">
            <w:pPr>
              <w:pStyle w:val="KMC16-Tablecontent"/>
            </w:pPr>
            <w:r w:rsidRPr="0048398D">
              <w:t xml:space="preserve">TG Therapeutics Inc. (2021). TG1101-RMS301 Phase III: </w:t>
            </w:r>
            <w:proofErr w:type="spellStart"/>
            <w:r w:rsidRPr="0048398D">
              <w:t>UbLiTuximab</w:t>
            </w:r>
            <w:proofErr w:type="spellEnd"/>
            <w:r w:rsidRPr="0048398D">
              <w:t xml:space="preserve"> </w:t>
            </w:r>
            <w:proofErr w:type="gramStart"/>
            <w:r w:rsidRPr="0048398D">
              <w:t>In</w:t>
            </w:r>
            <w:proofErr w:type="gramEnd"/>
            <w:r w:rsidRPr="0048398D">
              <w:t xml:space="preserve"> Multiple Sclerosis Treatment Effects (ULTIMATE I STUDY).</w:t>
            </w:r>
          </w:p>
          <w:p w14:paraId="526598B5" w14:textId="705F534B" w:rsidR="00F1376F" w:rsidRPr="00F1376F" w:rsidRDefault="00F1376F" w:rsidP="00F1376F">
            <w:pPr>
              <w:pStyle w:val="KMC16-Tablecontent"/>
              <w:rPr>
                <w:color w:val="403152" w:themeColor="accent4" w:themeShade="80"/>
              </w:rPr>
            </w:pPr>
            <w:r>
              <w:t xml:space="preserve">Steinman L, et al. </w:t>
            </w:r>
            <w:r w:rsidRPr="00967E03">
              <w:t>Ublituximab versus Teriflunomide in Relapsing Multiple Sclerosis</w:t>
            </w:r>
            <w:r>
              <w:t>.</w:t>
            </w:r>
          </w:p>
        </w:tc>
        <w:tc>
          <w:tcPr>
            <w:tcW w:w="910" w:type="pct"/>
            <w:tcBorders>
              <w:top w:val="single" w:sz="4" w:space="0" w:color="auto"/>
              <w:left w:val="single" w:sz="4" w:space="0" w:color="auto"/>
              <w:bottom w:val="single" w:sz="4" w:space="0" w:color="auto"/>
              <w:right w:val="single" w:sz="4" w:space="0" w:color="auto"/>
            </w:tcBorders>
            <w:vAlign w:val="center"/>
          </w:tcPr>
          <w:p w14:paraId="100030A8" w14:textId="77777777" w:rsidR="00F1376F" w:rsidRDefault="00F1376F">
            <w:pPr>
              <w:pStyle w:val="Tabletext"/>
              <w:keepNext/>
              <w:keepLines/>
              <w:rPr>
                <w:bCs/>
              </w:rPr>
            </w:pPr>
            <w:r w:rsidRPr="00F1376F">
              <w:rPr>
                <w:bCs/>
              </w:rPr>
              <w:t xml:space="preserve"> 2017</w:t>
            </w:r>
          </w:p>
          <w:p w14:paraId="631CF06C" w14:textId="77777777" w:rsidR="00746CCC" w:rsidRPr="000B114D" w:rsidRDefault="00746CCC">
            <w:pPr>
              <w:pStyle w:val="Tabletext"/>
              <w:keepNext/>
              <w:keepLines/>
              <w:rPr>
                <w:bCs/>
              </w:rPr>
            </w:pPr>
          </w:p>
          <w:p w14:paraId="1EA0271B" w14:textId="5DC82AC0" w:rsidR="00F1376F" w:rsidRPr="00F1376F" w:rsidRDefault="00F1376F">
            <w:pPr>
              <w:pStyle w:val="Tabletext"/>
              <w:keepNext/>
              <w:keepLines/>
              <w:rPr>
                <w:bCs/>
              </w:rPr>
            </w:pPr>
            <w:r w:rsidRPr="000B114D">
              <w:rPr>
                <w:bCs/>
              </w:rPr>
              <w:t>N Engl J Med</w:t>
            </w:r>
            <w:r>
              <w:rPr>
                <w:bCs/>
              </w:rPr>
              <w:t xml:space="preserve"> 2022, 387:704-714. </w:t>
            </w:r>
          </w:p>
        </w:tc>
      </w:tr>
      <w:tr w:rsidR="00F1376F" w:rsidRPr="00AE74F3" w14:paraId="23CD40C8" w14:textId="77777777" w:rsidTr="006200F9">
        <w:trPr>
          <w:trHeight w:val="20"/>
          <w:tblHeader/>
        </w:trPr>
        <w:tc>
          <w:tcPr>
            <w:tcW w:w="626" w:type="pct"/>
            <w:tcBorders>
              <w:top w:val="single" w:sz="4" w:space="0" w:color="auto"/>
              <w:left w:val="single" w:sz="4" w:space="0" w:color="auto"/>
              <w:bottom w:val="single" w:sz="4" w:space="0" w:color="auto"/>
              <w:right w:val="single" w:sz="4" w:space="0" w:color="auto"/>
            </w:tcBorders>
            <w:vAlign w:val="center"/>
          </w:tcPr>
          <w:p w14:paraId="57B23EDF" w14:textId="77777777" w:rsidR="00F1376F" w:rsidRDefault="00F1376F">
            <w:pPr>
              <w:pStyle w:val="Tabletext"/>
              <w:keepNext/>
              <w:keepLines/>
              <w:rPr>
                <w:bCs/>
              </w:rPr>
            </w:pPr>
            <w:r w:rsidRPr="00F1376F">
              <w:rPr>
                <w:bCs/>
              </w:rPr>
              <w:t>ULTIMATE II</w:t>
            </w:r>
          </w:p>
          <w:p w14:paraId="1330B40A" w14:textId="17348E70" w:rsidR="00F1376F" w:rsidRPr="00F1376F" w:rsidRDefault="00F1376F">
            <w:pPr>
              <w:pStyle w:val="Tabletext"/>
              <w:keepNext/>
              <w:keepLines/>
              <w:rPr>
                <w:bCs/>
              </w:rPr>
            </w:pPr>
            <w:r w:rsidRPr="00F1376F">
              <w:rPr>
                <w:bCs/>
              </w:rPr>
              <w:t>NCT03277248</w:t>
            </w:r>
          </w:p>
        </w:tc>
        <w:tc>
          <w:tcPr>
            <w:tcW w:w="3464" w:type="pct"/>
            <w:tcBorders>
              <w:top w:val="single" w:sz="4" w:space="0" w:color="auto"/>
              <w:left w:val="single" w:sz="4" w:space="0" w:color="auto"/>
              <w:bottom w:val="single" w:sz="4" w:space="0" w:color="auto"/>
              <w:right w:val="single" w:sz="4" w:space="0" w:color="auto"/>
            </w:tcBorders>
            <w:vAlign w:val="center"/>
          </w:tcPr>
          <w:p w14:paraId="471D695D" w14:textId="77777777" w:rsidR="00F1376F" w:rsidRDefault="00F1376F" w:rsidP="00F1376F">
            <w:pPr>
              <w:pStyle w:val="KMC16-Tablecontent"/>
            </w:pPr>
            <w:r w:rsidRPr="00921C68">
              <w:t xml:space="preserve">TG Therapeutics Inc. (2021). TG1101-RMS302 Phase III: </w:t>
            </w:r>
            <w:proofErr w:type="spellStart"/>
            <w:r w:rsidRPr="00921C68">
              <w:t>UbLiTuximab</w:t>
            </w:r>
            <w:proofErr w:type="spellEnd"/>
            <w:r w:rsidRPr="00921C68">
              <w:t xml:space="preserve"> </w:t>
            </w:r>
            <w:proofErr w:type="gramStart"/>
            <w:r w:rsidRPr="00921C68">
              <w:t>In</w:t>
            </w:r>
            <w:proofErr w:type="gramEnd"/>
            <w:r w:rsidRPr="00921C68">
              <w:t xml:space="preserve"> Multiple Sclerosis Treatment Effects (ULTIMATE II STUDY).</w:t>
            </w:r>
          </w:p>
          <w:p w14:paraId="4E7793BC" w14:textId="365A72B4" w:rsidR="00F1376F" w:rsidRPr="00F1376F" w:rsidRDefault="00F1376F" w:rsidP="00F1376F">
            <w:pPr>
              <w:pStyle w:val="KMC16-Tablecontent"/>
            </w:pPr>
            <w:r>
              <w:t xml:space="preserve">Steinman L, et al. </w:t>
            </w:r>
            <w:r w:rsidRPr="00967E03">
              <w:t>Ublituximab versus Teriflunomide in Relapsing Multiple Sclerosis</w:t>
            </w:r>
            <w:r>
              <w:t>.</w:t>
            </w:r>
          </w:p>
        </w:tc>
        <w:tc>
          <w:tcPr>
            <w:tcW w:w="910" w:type="pct"/>
            <w:tcBorders>
              <w:top w:val="single" w:sz="4" w:space="0" w:color="auto"/>
              <w:left w:val="single" w:sz="4" w:space="0" w:color="auto"/>
              <w:bottom w:val="single" w:sz="4" w:space="0" w:color="auto"/>
              <w:right w:val="single" w:sz="4" w:space="0" w:color="auto"/>
            </w:tcBorders>
            <w:vAlign w:val="center"/>
          </w:tcPr>
          <w:p w14:paraId="6CCE16C4" w14:textId="77777777" w:rsidR="00F1376F" w:rsidRDefault="00F1376F">
            <w:pPr>
              <w:pStyle w:val="Tabletext"/>
              <w:keepNext/>
              <w:keepLines/>
              <w:rPr>
                <w:bCs/>
              </w:rPr>
            </w:pPr>
            <w:r w:rsidRPr="00F1376F">
              <w:rPr>
                <w:bCs/>
              </w:rPr>
              <w:t>2017</w:t>
            </w:r>
          </w:p>
          <w:p w14:paraId="072D0DCA" w14:textId="77777777" w:rsidR="00746CCC" w:rsidRPr="000B114D" w:rsidRDefault="00746CCC">
            <w:pPr>
              <w:pStyle w:val="Tabletext"/>
              <w:keepNext/>
              <w:keepLines/>
              <w:rPr>
                <w:bCs/>
              </w:rPr>
            </w:pPr>
          </w:p>
          <w:p w14:paraId="5C6B84A9" w14:textId="684055EB" w:rsidR="00F1376F" w:rsidRPr="00F1376F" w:rsidRDefault="00F1376F">
            <w:pPr>
              <w:pStyle w:val="Tabletext"/>
              <w:keepNext/>
              <w:keepLines/>
              <w:rPr>
                <w:bCs/>
              </w:rPr>
            </w:pPr>
            <w:r w:rsidRPr="000B114D">
              <w:rPr>
                <w:bCs/>
              </w:rPr>
              <w:t>N Engl J Med</w:t>
            </w:r>
            <w:r>
              <w:rPr>
                <w:bCs/>
              </w:rPr>
              <w:t xml:space="preserve"> 2022, 387:704-714.</w:t>
            </w:r>
          </w:p>
        </w:tc>
      </w:tr>
      <w:tr w:rsidR="00EA731F" w:rsidRPr="00AE74F3" w14:paraId="23FFBB46" w14:textId="77777777" w:rsidTr="006200F9">
        <w:trPr>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CBDD90" w14:textId="520B2E60" w:rsidR="00EA731F" w:rsidRPr="00EA731F" w:rsidRDefault="00EA731F">
            <w:pPr>
              <w:pStyle w:val="Tabletext"/>
              <w:keepNext/>
              <w:keepLines/>
              <w:rPr>
                <w:b/>
              </w:rPr>
            </w:pPr>
            <w:r w:rsidRPr="00EA731F">
              <w:rPr>
                <w:b/>
              </w:rPr>
              <w:t>Ocrelizumab</w:t>
            </w:r>
          </w:p>
        </w:tc>
      </w:tr>
      <w:tr w:rsidR="00EA731F" w:rsidRPr="00AE74F3" w14:paraId="2D99B3A8" w14:textId="77777777" w:rsidTr="006200F9">
        <w:trPr>
          <w:trHeight w:val="20"/>
          <w:tblHeader/>
        </w:trPr>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7CBE8" w14:textId="1C8D0A83" w:rsidR="00EA731F" w:rsidRPr="00F1376F" w:rsidRDefault="00EA731F">
            <w:pPr>
              <w:pStyle w:val="Tabletext"/>
              <w:keepNext/>
              <w:keepLines/>
              <w:rPr>
                <w:bCs/>
              </w:rPr>
            </w:pPr>
            <w:r>
              <w:rPr>
                <w:bCs/>
              </w:rPr>
              <w:t>OPERA I/II</w:t>
            </w:r>
          </w:p>
        </w:tc>
        <w:tc>
          <w:tcPr>
            <w:tcW w:w="34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667D5" w14:textId="009E807A" w:rsidR="00EA731F" w:rsidRPr="00921C68" w:rsidRDefault="00EA731F" w:rsidP="00F1376F">
            <w:pPr>
              <w:pStyle w:val="KMC16-Tablecontent"/>
            </w:pPr>
            <w:r>
              <w:t xml:space="preserve">Hauser S, et al. </w:t>
            </w:r>
            <w:r w:rsidRPr="00DD5D3F">
              <w:t>Ocrelizumab versus Interferon Beta-1a in Relapsing Multiple Sclerosis</w:t>
            </w:r>
            <w:r>
              <w:t>.</w:t>
            </w:r>
          </w:p>
        </w:tc>
        <w:tc>
          <w:tcPr>
            <w:tcW w:w="9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A4D71" w14:textId="20F2B5CD" w:rsidR="00EA731F" w:rsidRPr="00F1376F" w:rsidRDefault="00EA731F">
            <w:pPr>
              <w:pStyle w:val="Tabletext"/>
              <w:keepNext/>
              <w:keepLines/>
              <w:rPr>
                <w:bCs/>
              </w:rPr>
            </w:pPr>
            <w:r w:rsidRPr="000B114D">
              <w:rPr>
                <w:bCs/>
              </w:rPr>
              <w:t>N Engl J Med</w:t>
            </w:r>
            <w:r>
              <w:rPr>
                <w:bCs/>
              </w:rPr>
              <w:t xml:space="preserve"> 2017; 376:221-234. </w:t>
            </w:r>
          </w:p>
        </w:tc>
      </w:tr>
      <w:tr w:rsidR="004F32C6" w:rsidRPr="00AE74F3" w14:paraId="064FB534" w14:textId="77777777" w:rsidTr="006200F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4C1F0A" w14:textId="77777777" w:rsidR="004F32C6" w:rsidRPr="00AE74F3" w:rsidRDefault="004F32C6">
            <w:pPr>
              <w:pStyle w:val="Tabletext"/>
              <w:keepNext/>
              <w:keepLines/>
              <w:rPr>
                <w:b/>
              </w:rPr>
            </w:pPr>
            <w:r w:rsidRPr="00AE74F3">
              <w:rPr>
                <w:b/>
              </w:rPr>
              <w:t>Ofatumumab</w:t>
            </w:r>
          </w:p>
        </w:tc>
      </w:tr>
      <w:tr w:rsidR="004F32C6" w:rsidRPr="00AE74F3" w14:paraId="7E3D5C40" w14:textId="77777777" w:rsidTr="006200F9">
        <w:trPr>
          <w:trHeight w:val="20"/>
        </w:trPr>
        <w:tc>
          <w:tcPr>
            <w:tcW w:w="626"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3AE734F4" w14:textId="77777777" w:rsidR="004F32C6" w:rsidRPr="00AE74F3" w:rsidRDefault="004F32C6">
            <w:pPr>
              <w:pStyle w:val="Tabletext"/>
              <w:keepNext/>
              <w:keepLines/>
              <w:rPr>
                <w:rFonts w:ascii="Times" w:hAnsi="Times"/>
              </w:rPr>
            </w:pPr>
          </w:p>
        </w:tc>
        <w:tc>
          <w:tcPr>
            <w:tcW w:w="3464"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52E73CCC" w14:textId="77777777" w:rsidR="004F32C6" w:rsidRPr="00AE74F3" w:rsidRDefault="004F32C6">
            <w:pPr>
              <w:pStyle w:val="Tabletext"/>
              <w:keepNext/>
              <w:keepLines/>
              <w:rPr>
                <w:szCs w:val="18"/>
              </w:rPr>
            </w:pPr>
            <w:r w:rsidRPr="00AE74F3">
              <w:rPr>
                <w:szCs w:val="18"/>
              </w:rPr>
              <w:t>COMB157G2301. A randomized, double-blind, double-dummy, parallel-group study comparing the efficacy and safety of ofatumumab versus teriflunomide in patients with relapsing multiple sclerosis (ASCLEPIOS I).</w:t>
            </w:r>
          </w:p>
        </w:tc>
        <w:tc>
          <w:tcPr>
            <w:tcW w:w="910"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0C1434E1" w14:textId="77777777" w:rsidR="004F32C6" w:rsidRPr="00AE74F3" w:rsidRDefault="004F32C6">
            <w:pPr>
              <w:pStyle w:val="Tabletext"/>
              <w:keepNext/>
              <w:keepLines/>
              <w:rPr>
                <w:rFonts w:ascii="Times" w:hAnsi="Times"/>
                <w:szCs w:val="22"/>
              </w:rPr>
            </w:pPr>
            <w:r w:rsidRPr="00AE74F3">
              <w:rPr>
                <w:szCs w:val="18"/>
              </w:rPr>
              <w:t>December 2019</w:t>
            </w:r>
          </w:p>
        </w:tc>
      </w:tr>
      <w:tr w:rsidR="004F32C6" w:rsidRPr="00AE74F3" w14:paraId="06F37DCF" w14:textId="77777777" w:rsidTr="006200F9">
        <w:trPr>
          <w:trHeight w:val="20"/>
        </w:trPr>
        <w:tc>
          <w:tcPr>
            <w:tcW w:w="626" w:type="pct"/>
            <w:tcBorders>
              <w:top w:val="nil"/>
              <w:left w:val="single" w:sz="4" w:space="0" w:color="auto"/>
              <w:bottom w:val="nil"/>
              <w:right w:val="single" w:sz="4" w:space="0" w:color="auto"/>
            </w:tcBorders>
            <w:shd w:val="clear" w:color="auto" w:fill="DBE5F1" w:themeFill="accent1" w:themeFillTint="33"/>
            <w:vAlign w:val="center"/>
            <w:hideMark/>
          </w:tcPr>
          <w:p w14:paraId="1308EC27" w14:textId="77777777" w:rsidR="004F32C6" w:rsidRPr="00AE74F3" w:rsidRDefault="004F32C6">
            <w:pPr>
              <w:pStyle w:val="Tabletext"/>
              <w:keepNext/>
              <w:keepLines/>
            </w:pPr>
            <w:r w:rsidRPr="00AE74F3">
              <w:t>ASCLEPIOSI/II</w:t>
            </w:r>
          </w:p>
        </w:tc>
        <w:tc>
          <w:tcPr>
            <w:tcW w:w="3464" w:type="pct"/>
            <w:tcBorders>
              <w:top w:val="nil"/>
              <w:left w:val="single" w:sz="4" w:space="0" w:color="auto"/>
              <w:bottom w:val="nil"/>
              <w:right w:val="single" w:sz="4" w:space="0" w:color="auto"/>
            </w:tcBorders>
            <w:shd w:val="clear" w:color="auto" w:fill="DBE5F1" w:themeFill="accent1" w:themeFillTint="33"/>
            <w:vAlign w:val="center"/>
            <w:hideMark/>
          </w:tcPr>
          <w:p w14:paraId="58585308" w14:textId="77777777" w:rsidR="004F32C6" w:rsidRPr="00AE74F3" w:rsidRDefault="004F32C6">
            <w:pPr>
              <w:pStyle w:val="Tabletext"/>
              <w:keepNext/>
              <w:keepLines/>
              <w:rPr>
                <w:szCs w:val="18"/>
              </w:rPr>
            </w:pPr>
            <w:r w:rsidRPr="00AE74F3">
              <w:rPr>
                <w:szCs w:val="18"/>
              </w:rPr>
              <w:t>COMB157G2302. A randomized, double-blind, double-dummy, parallel-group study comparing the efficacy and safety of ofatumumab versus teriflunomide in patients with relapsing multiple sclerosis (ASCLEPIOS II)</w:t>
            </w:r>
          </w:p>
        </w:tc>
        <w:tc>
          <w:tcPr>
            <w:tcW w:w="910" w:type="pct"/>
            <w:tcBorders>
              <w:top w:val="nil"/>
              <w:left w:val="single" w:sz="4" w:space="0" w:color="auto"/>
              <w:bottom w:val="nil"/>
              <w:right w:val="single" w:sz="4" w:space="0" w:color="auto"/>
            </w:tcBorders>
            <w:shd w:val="clear" w:color="auto" w:fill="DBE5F1" w:themeFill="accent1" w:themeFillTint="33"/>
            <w:vAlign w:val="center"/>
            <w:hideMark/>
          </w:tcPr>
          <w:p w14:paraId="4F7642F5" w14:textId="77777777" w:rsidR="004F32C6" w:rsidRPr="00AE74F3" w:rsidRDefault="004F32C6">
            <w:pPr>
              <w:pStyle w:val="Tabletext"/>
              <w:keepNext/>
              <w:keepLines/>
              <w:rPr>
                <w:szCs w:val="18"/>
              </w:rPr>
            </w:pPr>
            <w:r w:rsidRPr="00AE74F3">
              <w:rPr>
                <w:szCs w:val="18"/>
              </w:rPr>
              <w:t>December 2019</w:t>
            </w:r>
          </w:p>
        </w:tc>
      </w:tr>
      <w:tr w:rsidR="004F32C6" w:rsidRPr="00AE74F3" w14:paraId="4FB32ED6" w14:textId="77777777" w:rsidTr="006200F9">
        <w:trPr>
          <w:trHeight w:val="20"/>
        </w:trPr>
        <w:tc>
          <w:tcPr>
            <w:tcW w:w="626" w:type="pct"/>
            <w:tcBorders>
              <w:top w:val="nil"/>
              <w:left w:val="single" w:sz="4" w:space="0" w:color="auto"/>
              <w:bottom w:val="nil"/>
              <w:right w:val="single" w:sz="4" w:space="0" w:color="auto"/>
            </w:tcBorders>
            <w:shd w:val="clear" w:color="auto" w:fill="DBE5F1" w:themeFill="accent1" w:themeFillTint="33"/>
            <w:vAlign w:val="center"/>
          </w:tcPr>
          <w:p w14:paraId="462E28A5" w14:textId="77777777" w:rsidR="004F32C6" w:rsidRPr="00AE74F3" w:rsidRDefault="004F32C6">
            <w:pPr>
              <w:pStyle w:val="Tabletext"/>
              <w:keepNext/>
              <w:keepLines/>
              <w:rPr>
                <w:szCs w:val="22"/>
                <w:lang w:eastAsia="en-US"/>
              </w:rPr>
            </w:pPr>
          </w:p>
        </w:tc>
        <w:tc>
          <w:tcPr>
            <w:tcW w:w="3464" w:type="pct"/>
            <w:tcBorders>
              <w:top w:val="nil"/>
              <w:left w:val="single" w:sz="4" w:space="0" w:color="auto"/>
              <w:bottom w:val="nil"/>
              <w:right w:val="single" w:sz="4" w:space="0" w:color="auto"/>
            </w:tcBorders>
            <w:shd w:val="clear" w:color="auto" w:fill="DBE5F1" w:themeFill="accent1" w:themeFillTint="33"/>
            <w:vAlign w:val="center"/>
          </w:tcPr>
          <w:p w14:paraId="73DA0F7D" w14:textId="77777777" w:rsidR="004F32C6" w:rsidRPr="00AE74F3" w:rsidRDefault="004F32C6">
            <w:pPr>
              <w:pStyle w:val="Tabletext"/>
              <w:keepNext/>
              <w:keepLines/>
              <w:rPr>
                <w:rFonts w:cs="Segoe UI"/>
              </w:rPr>
            </w:pPr>
            <w:r w:rsidRPr="00AE74F3">
              <w:rPr>
                <w:rFonts w:cs="Segoe UI"/>
              </w:rPr>
              <w:t>COMB157G2301: A randomized, double-blind, double-dummy, parallel-group study comparing the efficacy and safety of ofatumumab versus teriflunomide in patients with relapsing multiple sclerosis (ASCLEPIOS I/II)</w:t>
            </w:r>
          </w:p>
        </w:tc>
        <w:tc>
          <w:tcPr>
            <w:tcW w:w="910" w:type="pct"/>
            <w:tcBorders>
              <w:top w:val="nil"/>
              <w:left w:val="single" w:sz="4" w:space="0" w:color="auto"/>
              <w:bottom w:val="nil"/>
              <w:right w:val="single" w:sz="4" w:space="0" w:color="auto"/>
            </w:tcBorders>
            <w:shd w:val="clear" w:color="auto" w:fill="DBE5F1" w:themeFill="accent1" w:themeFillTint="33"/>
            <w:vAlign w:val="center"/>
          </w:tcPr>
          <w:p w14:paraId="0F912E8A" w14:textId="77777777" w:rsidR="004F32C6" w:rsidRPr="00AE74F3" w:rsidRDefault="004F32C6">
            <w:pPr>
              <w:pStyle w:val="Tabletext"/>
              <w:keepNext/>
              <w:keepLines/>
              <w:rPr>
                <w:szCs w:val="18"/>
              </w:rPr>
            </w:pPr>
            <w:r w:rsidRPr="00AE74F3">
              <w:rPr>
                <w:szCs w:val="18"/>
              </w:rPr>
              <w:t>NR</w:t>
            </w:r>
          </w:p>
        </w:tc>
      </w:tr>
      <w:tr w:rsidR="004F32C6" w:rsidRPr="00AE74F3" w14:paraId="284F2573" w14:textId="77777777" w:rsidTr="006200F9">
        <w:trPr>
          <w:trHeight w:val="20"/>
        </w:trPr>
        <w:tc>
          <w:tcPr>
            <w:tcW w:w="626"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2818A541" w14:textId="77777777" w:rsidR="004F32C6" w:rsidRPr="00AE74F3" w:rsidRDefault="004F32C6">
            <w:pPr>
              <w:pStyle w:val="Tabletext"/>
              <w:keepNext/>
              <w:keepLines/>
              <w:rPr>
                <w:szCs w:val="22"/>
                <w:lang w:eastAsia="en-US"/>
              </w:rPr>
            </w:pPr>
          </w:p>
        </w:tc>
        <w:tc>
          <w:tcPr>
            <w:tcW w:w="3464"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4887C76" w14:textId="77777777" w:rsidR="004F32C6" w:rsidRPr="00AE74F3" w:rsidRDefault="004F32C6">
            <w:pPr>
              <w:pStyle w:val="Tabletext"/>
              <w:keepNext/>
              <w:keepLines/>
              <w:rPr>
                <w:szCs w:val="18"/>
              </w:rPr>
            </w:pPr>
            <w:r w:rsidRPr="00AE74F3">
              <w:rPr>
                <w:rFonts w:cs="Segoe UI"/>
              </w:rPr>
              <w:t xml:space="preserve">Hauser, S. L., et al. Ofatumumab versus Teriflunomide in Multiple Sclerosis. </w:t>
            </w:r>
          </w:p>
        </w:tc>
        <w:tc>
          <w:tcPr>
            <w:tcW w:w="910"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31BB082" w14:textId="236D8314" w:rsidR="004F32C6" w:rsidRPr="00AE74F3" w:rsidRDefault="004F32C6">
            <w:pPr>
              <w:pStyle w:val="Tabletext"/>
              <w:keepNext/>
              <w:keepLines/>
              <w:rPr>
                <w:szCs w:val="18"/>
              </w:rPr>
            </w:pPr>
            <w:r w:rsidRPr="000B114D">
              <w:rPr>
                <w:szCs w:val="18"/>
              </w:rPr>
              <w:t>N</w:t>
            </w:r>
            <w:r w:rsidR="00746CCC" w:rsidRPr="000B114D">
              <w:rPr>
                <w:szCs w:val="18"/>
              </w:rPr>
              <w:t xml:space="preserve"> </w:t>
            </w:r>
            <w:r w:rsidRPr="000B114D">
              <w:rPr>
                <w:szCs w:val="18"/>
              </w:rPr>
              <w:t>E</w:t>
            </w:r>
            <w:r w:rsidR="00746CCC" w:rsidRPr="000B114D">
              <w:rPr>
                <w:szCs w:val="18"/>
              </w:rPr>
              <w:t xml:space="preserve">ngl </w:t>
            </w:r>
            <w:r w:rsidRPr="000B114D">
              <w:rPr>
                <w:szCs w:val="18"/>
              </w:rPr>
              <w:t>J</w:t>
            </w:r>
            <w:r w:rsidR="00746CCC" w:rsidRPr="000B114D">
              <w:rPr>
                <w:szCs w:val="18"/>
              </w:rPr>
              <w:t xml:space="preserve"> </w:t>
            </w:r>
            <w:r w:rsidRPr="000B114D">
              <w:rPr>
                <w:szCs w:val="18"/>
              </w:rPr>
              <w:t>M</w:t>
            </w:r>
            <w:r w:rsidR="00746CCC" w:rsidRPr="000B114D">
              <w:rPr>
                <w:szCs w:val="18"/>
              </w:rPr>
              <w:t>ed</w:t>
            </w:r>
            <w:r w:rsidRPr="00AE74F3">
              <w:rPr>
                <w:szCs w:val="18"/>
              </w:rPr>
              <w:t>. 2020; 383(6): 546-557</w:t>
            </w:r>
          </w:p>
        </w:tc>
      </w:tr>
      <w:tr w:rsidR="004F32C6" w:rsidRPr="00AE74F3" w14:paraId="435562BB" w14:textId="77777777" w:rsidTr="006200F9">
        <w:trPr>
          <w:trHeight w:val="20"/>
        </w:trPr>
        <w:tc>
          <w:tcPr>
            <w:tcW w:w="626" w:type="pct"/>
            <w:tcBorders>
              <w:top w:val="single" w:sz="4" w:space="0" w:color="auto"/>
              <w:left w:val="single" w:sz="4" w:space="0" w:color="auto"/>
              <w:bottom w:val="single" w:sz="4" w:space="0" w:color="auto"/>
              <w:right w:val="nil"/>
            </w:tcBorders>
            <w:shd w:val="clear" w:color="auto" w:fill="auto"/>
            <w:vAlign w:val="center"/>
            <w:hideMark/>
          </w:tcPr>
          <w:p w14:paraId="7F5C656B" w14:textId="77777777" w:rsidR="004F32C6" w:rsidRPr="00AE74F3" w:rsidRDefault="004F32C6">
            <w:pPr>
              <w:pStyle w:val="Tabletext"/>
              <w:keepNext/>
              <w:keepLines/>
              <w:rPr>
                <w:b/>
                <w:bCs/>
              </w:rPr>
            </w:pPr>
            <w:r w:rsidRPr="00AE74F3">
              <w:rPr>
                <w:b/>
                <w:bCs/>
              </w:rPr>
              <w:t>Fingolimod</w:t>
            </w:r>
          </w:p>
        </w:tc>
        <w:tc>
          <w:tcPr>
            <w:tcW w:w="3464" w:type="pct"/>
            <w:tcBorders>
              <w:top w:val="single" w:sz="4" w:space="0" w:color="auto"/>
              <w:left w:val="nil"/>
              <w:bottom w:val="single" w:sz="4" w:space="0" w:color="auto"/>
              <w:right w:val="nil"/>
            </w:tcBorders>
            <w:shd w:val="clear" w:color="auto" w:fill="auto"/>
            <w:vAlign w:val="center"/>
          </w:tcPr>
          <w:p w14:paraId="16ABC65D" w14:textId="77777777" w:rsidR="004F32C6" w:rsidRPr="00AE74F3" w:rsidRDefault="004F32C6">
            <w:pPr>
              <w:pStyle w:val="Tabletext"/>
              <w:keepNext/>
              <w:keepLines/>
              <w:rPr>
                <w:b/>
                <w:bCs/>
                <w:szCs w:val="18"/>
              </w:rPr>
            </w:pPr>
          </w:p>
        </w:tc>
        <w:tc>
          <w:tcPr>
            <w:tcW w:w="910" w:type="pct"/>
            <w:tcBorders>
              <w:top w:val="single" w:sz="4" w:space="0" w:color="auto"/>
              <w:left w:val="nil"/>
              <w:bottom w:val="single" w:sz="4" w:space="0" w:color="auto"/>
              <w:right w:val="single" w:sz="4" w:space="0" w:color="auto"/>
            </w:tcBorders>
            <w:shd w:val="clear" w:color="auto" w:fill="auto"/>
            <w:vAlign w:val="center"/>
          </w:tcPr>
          <w:p w14:paraId="56E5A770" w14:textId="77777777" w:rsidR="004F32C6" w:rsidRPr="00AE74F3" w:rsidRDefault="004F32C6">
            <w:pPr>
              <w:pStyle w:val="Tabletext"/>
              <w:keepNext/>
              <w:keepLines/>
              <w:rPr>
                <w:b/>
                <w:bCs/>
                <w:szCs w:val="22"/>
              </w:rPr>
            </w:pPr>
          </w:p>
        </w:tc>
      </w:tr>
      <w:tr w:rsidR="004F32C6" w:rsidRPr="00AE74F3" w14:paraId="5B580056" w14:textId="77777777" w:rsidTr="006200F9">
        <w:trPr>
          <w:trHeight w:val="20"/>
        </w:trPr>
        <w:tc>
          <w:tcPr>
            <w:tcW w:w="626"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3DB9811E" w14:textId="77777777" w:rsidR="004F32C6" w:rsidRPr="00AE74F3" w:rsidRDefault="004F32C6">
            <w:pPr>
              <w:pStyle w:val="Tabletext"/>
              <w:keepNext/>
              <w:keepLines/>
            </w:pPr>
            <w:r w:rsidRPr="00AE74F3">
              <w:t>FREEDOMS I</w:t>
            </w:r>
          </w:p>
        </w:tc>
        <w:tc>
          <w:tcPr>
            <w:tcW w:w="3464"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109B25EE" w14:textId="77777777" w:rsidR="004F32C6" w:rsidRPr="00AE74F3" w:rsidRDefault="004F32C6">
            <w:pPr>
              <w:pStyle w:val="Tabletext"/>
              <w:keepNext/>
              <w:keepLines/>
            </w:pPr>
            <w:r w:rsidRPr="58C81D04">
              <w:t xml:space="preserve">FTY720D2301. A 24-month double-blind, randomized, </w:t>
            </w:r>
            <w:proofErr w:type="spellStart"/>
            <w:r w:rsidRPr="58C81D04">
              <w:t>multicenter</w:t>
            </w:r>
            <w:proofErr w:type="spellEnd"/>
            <w:r w:rsidRPr="58C81D04">
              <w:t xml:space="preserve">, placebo controlled, parallel-group study comparing the efficacy and safety of FTY720 1.25 mg and 0.5 mg administered orally once daily versus placebo in patients with relapsing-remitting multiple sclerosis. </w:t>
            </w:r>
          </w:p>
        </w:tc>
        <w:tc>
          <w:tcPr>
            <w:tcW w:w="910"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2B0AE09F" w14:textId="77777777" w:rsidR="004F32C6" w:rsidRPr="00AE74F3" w:rsidRDefault="004F32C6">
            <w:pPr>
              <w:pStyle w:val="Tabletext"/>
              <w:keepNext/>
              <w:keepLines/>
              <w:rPr>
                <w:szCs w:val="22"/>
              </w:rPr>
            </w:pPr>
            <w:r w:rsidRPr="00AE74F3">
              <w:t>NR</w:t>
            </w:r>
          </w:p>
        </w:tc>
      </w:tr>
      <w:tr w:rsidR="004F32C6" w:rsidRPr="00AE74F3" w14:paraId="7BBB772F" w14:textId="77777777" w:rsidTr="006200F9">
        <w:trPr>
          <w:trHeight w:val="20"/>
        </w:trPr>
        <w:tc>
          <w:tcPr>
            <w:tcW w:w="626"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5A11D582" w14:textId="77777777" w:rsidR="004F32C6" w:rsidRPr="00AE74F3" w:rsidRDefault="004F32C6">
            <w:pPr>
              <w:pStyle w:val="Tabletext"/>
              <w:keepNext/>
              <w:keepLines/>
            </w:pPr>
          </w:p>
        </w:tc>
        <w:tc>
          <w:tcPr>
            <w:tcW w:w="3464"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938B623" w14:textId="77777777" w:rsidR="004F32C6" w:rsidRPr="00AE74F3" w:rsidRDefault="004F32C6">
            <w:pPr>
              <w:pStyle w:val="Tabletext"/>
              <w:keepNext/>
              <w:keepLines/>
              <w:rPr>
                <w:szCs w:val="18"/>
              </w:rPr>
            </w:pPr>
            <w:r w:rsidRPr="00AE74F3">
              <w:rPr>
                <w:szCs w:val="18"/>
              </w:rPr>
              <w:t xml:space="preserve">Kappos, L., et al. A placebo-controlled trial of oral fingolimod in relapsing multiple sclerosis. </w:t>
            </w:r>
          </w:p>
        </w:tc>
        <w:tc>
          <w:tcPr>
            <w:tcW w:w="910"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FB05BB9" w14:textId="122B89AC" w:rsidR="004F32C6" w:rsidRPr="00AE74F3" w:rsidRDefault="004F32C6">
            <w:pPr>
              <w:pStyle w:val="Tabletext"/>
              <w:keepNext/>
              <w:keepLines/>
              <w:rPr>
                <w:szCs w:val="18"/>
              </w:rPr>
            </w:pPr>
            <w:r w:rsidRPr="000B114D">
              <w:rPr>
                <w:szCs w:val="18"/>
              </w:rPr>
              <w:t>N</w:t>
            </w:r>
            <w:r w:rsidR="00746CCC" w:rsidRPr="000B114D">
              <w:rPr>
                <w:szCs w:val="18"/>
              </w:rPr>
              <w:t xml:space="preserve"> </w:t>
            </w:r>
            <w:r w:rsidRPr="000B114D">
              <w:rPr>
                <w:szCs w:val="18"/>
              </w:rPr>
              <w:t>E</w:t>
            </w:r>
            <w:r w:rsidR="00746CCC" w:rsidRPr="000B114D">
              <w:rPr>
                <w:szCs w:val="18"/>
              </w:rPr>
              <w:t xml:space="preserve">ngl </w:t>
            </w:r>
            <w:r w:rsidRPr="000B114D">
              <w:rPr>
                <w:szCs w:val="18"/>
              </w:rPr>
              <w:t>J</w:t>
            </w:r>
            <w:r w:rsidR="00746CCC" w:rsidRPr="000B114D">
              <w:rPr>
                <w:szCs w:val="18"/>
              </w:rPr>
              <w:t xml:space="preserve"> </w:t>
            </w:r>
            <w:r w:rsidRPr="000B114D">
              <w:rPr>
                <w:szCs w:val="18"/>
              </w:rPr>
              <w:t>M</w:t>
            </w:r>
            <w:r w:rsidR="00746CCC" w:rsidRPr="000B114D">
              <w:rPr>
                <w:szCs w:val="18"/>
              </w:rPr>
              <w:t>ed</w:t>
            </w:r>
            <w:r w:rsidRPr="00AE74F3">
              <w:rPr>
                <w:szCs w:val="18"/>
              </w:rPr>
              <w:t>. 2010; 362(5): 387-401</w:t>
            </w:r>
          </w:p>
        </w:tc>
      </w:tr>
      <w:tr w:rsidR="004F32C6" w:rsidRPr="00AE74F3" w14:paraId="3AD5376E" w14:textId="77777777" w:rsidTr="006200F9">
        <w:trPr>
          <w:trHeight w:val="20"/>
        </w:trPr>
        <w:tc>
          <w:tcPr>
            <w:tcW w:w="626"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61D84201" w14:textId="77777777" w:rsidR="004F32C6" w:rsidRPr="00AE74F3" w:rsidRDefault="004F32C6">
            <w:pPr>
              <w:pStyle w:val="Tabletext"/>
              <w:keepNext/>
              <w:keepLines/>
              <w:rPr>
                <w:szCs w:val="22"/>
              </w:rPr>
            </w:pPr>
            <w:r w:rsidRPr="00AE74F3">
              <w:t>FREEDOMS II</w:t>
            </w:r>
          </w:p>
        </w:tc>
        <w:tc>
          <w:tcPr>
            <w:tcW w:w="3464"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40690AD6" w14:textId="77777777" w:rsidR="004F32C6" w:rsidRPr="00AE74F3" w:rsidRDefault="004F32C6">
            <w:pPr>
              <w:pStyle w:val="Tabletext"/>
              <w:keepNext/>
              <w:keepLines/>
            </w:pPr>
            <w:r w:rsidRPr="58C81D04">
              <w:t xml:space="preserve">FTY720D2309. A 24-month double-blind, randomized, </w:t>
            </w:r>
            <w:proofErr w:type="spellStart"/>
            <w:r w:rsidRPr="58C81D04">
              <w:t>multicenter</w:t>
            </w:r>
            <w:proofErr w:type="spellEnd"/>
            <w:r w:rsidRPr="58C81D04">
              <w:t xml:space="preserve">, placebo controlled, parallel-group study comparing the efficacy and safety of 0.5 mg and 1.25 mg fingolimod (FTY720) administered orally once daily versus placebo in patients with relapsing-remitting multiple sclerosis. </w:t>
            </w:r>
          </w:p>
        </w:tc>
        <w:tc>
          <w:tcPr>
            <w:tcW w:w="910"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18D191DB" w14:textId="77777777" w:rsidR="004F32C6" w:rsidRPr="00AE74F3" w:rsidRDefault="004F32C6">
            <w:pPr>
              <w:pStyle w:val="Tabletext"/>
              <w:keepNext/>
              <w:keepLines/>
              <w:rPr>
                <w:rFonts w:ascii="Times" w:hAnsi="Times"/>
              </w:rPr>
            </w:pPr>
            <w:r w:rsidRPr="00AE74F3">
              <w:t>13 January 2012</w:t>
            </w:r>
          </w:p>
        </w:tc>
      </w:tr>
      <w:tr w:rsidR="004F32C6" w:rsidRPr="00AE74F3" w14:paraId="6A60599C" w14:textId="77777777" w:rsidTr="006200F9">
        <w:trPr>
          <w:trHeight w:val="20"/>
        </w:trPr>
        <w:tc>
          <w:tcPr>
            <w:tcW w:w="626"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20BC4BA2" w14:textId="77777777" w:rsidR="004F32C6" w:rsidRPr="00AE74F3" w:rsidRDefault="004F32C6">
            <w:pPr>
              <w:pStyle w:val="Tabletext"/>
              <w:keepNext/>
              <w:keepLines/>
            </w:pPr>
          </w:p>
        </w:tc>
        <w:tc>
          <w:tcPr>
            <w:tcW w:w="3464"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2AE4311" w14:textId="77777777" w:rsidR="004F32C6" w:rsidRPr="00AE74F3" w:rsidRDefault="004F32C6">
            <w:pPr>
              <w:pStyle w:val="Tabletext"/>
              <w:keepNext/>
              <w:keepLines/>
              <w:rPr>
                <w:szCs w:val="18"/>
              </w:rPr>
            </w:pPr>
            <w:r w:rsidRPr="00AE74F3">
              <w:rPr>
                <w:szCs w:val="18"/>
              </w:rPr>
              <w:t xml:space="preserve">Calabresi, P. A., et al. Safety and efficacy of fingolimod in patients with relapsing-remitting multiple sclerosis (FREEDOMS II): a double-blind, randomised, placebo-controlled, phase 3 trial. </w:t>
            </w:r>
          </w:p>
        </w:tc>
        <w:tc>
          <w:tcPr>
            <w:tcW w:w="910"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24FCC61" w14:textId="2B4D4601" w:rsidR="004F32C6" w:rsidRPr="00AE74F3" w:rsidRDefault="004F32C6">
            <w:pPr>
              <w:pStyle w:val="Tabletext"/>
              <w:keepNext/>
              <w:keepLines/>
              <w:rPr>
                <w:szCs w:val="22"/>
              </w:rPr>
            </w:pPr>
            <w:r w:rsidRPr="000B114D">
              <w:rPr>
                <w:szCs w:val="18"/>
              </w:rPr>
              <w:t>Lancet Neurology</w:t>
            </w:r>
            <w:r w:rsidRPr="00AE74F3">
              <w:rPr>
                <w:szCs w:val="18"/>
              </w:rPr>
              <w:t>. 2014; 13(6): 545</w:t>
            </w:r>
            <w:r w:rsidRPr="00AE74F3">
              <w:rPr>
                <w:rFonts w:ascii="Cambria Math" w:hAnsi="Cambria Math" w:cs="Cambria Math"/>
                <w:szCs w:val="18"/>
              </w:rPr>
              <w:t>‐</w:t>
            </w:r>
            <w:r w:rsidRPr="00AE74F3">
              <w:rPr>
                <w:szCs w:val="18"/>
              </w:rPr>
              <w:t>556.</w:t>
            </w:r>
          </w:p>
        </w:tc>
      </w:tr>
      <w:tr w:rsidR="004F32C6" w:rsidRPr="00AE74F3" w14:paraId="4476BD17" w14:textId="77777777" w:rsidTr="006200F9">
        <w:trPr>
          <w:trHeight w:val="20"/>
        </w:trPr>
        <w:tc>
          <w:tcPr>
            <w:tcW w:w="626" w:type="pct"/>
            <w:tcBorders>
              <w:top w:val="single" w:sz="4" w:space="0" w:color="auto"/>
              <w:left w:val="single" w:sz="4" w:space="0" w:color="auto"/>
              <w:bottom w:val="single" w:sz="4" w:space="0" w:color="auto"/>
              <w:right w:val="nil"/>
            </w:tcBorders>
            <w:shd w:val="clear" w:color="auto" w:fill="auto"/>
            <w:vAlign w:val="center"/>
            <w:hideMark/>
          </w:tcPr>
          <w:p w14:paraId="41E19D4D" w14:textId="77777777" w:rsidR="004F32C6" w:rsidRPr="00AE74F3" w:rsidRDefault="004F32C6">
            <w:pPr>
              <w:pStyle w:val="Tabletext"/>
              <w:keepNext/>
              <w:keepLines/>
              <w:rPr>
                <w:b/>
                <w:bCs/>
                <w:szCs w:val="22"/>
              </w:rPr>
            </w:pPr>
            <w:r w:rsidRPr="00AE74F3">
              <w:rPr>
                <w:b/>
                <w:bCs/>
              </w:rPr>
              <w:t>Teriflunomide</w:t>
            </w:r>
          </w:p>
        </w:tc>
        <w:tc>
          <w:tcPr>
            <w:tcW w:w="3464" w:type="pct"/>
            <w:tcBorders>
              <w:top w:val="single" w:sz="4" w:space="0" w:color="auto"/>
              <w:left w:val="nil"/>
              <w:bottom w:val="single" w:sz="4" w:space="0" w:color="auto"/>
              <w:right w:val="nil"/>
            </w:tcBorders>
            <w:shd w:val="clear" w:color="auto" w:fill="auto"/>
            <w:vAlign w:val="center"/>
          </w:tcPr>
          <w:p w14:paraId="075C63F9" w14:textId="77777777" w:rsidR="004F32C6" w:rsidRPr="00AE74F3" w:rsidRDefault="004F32C6">
            <w:pPr>
              <w:pStyle w:val="Tabletext"/>
              <w:keepNext/>
              <w:keepLines/>
              <w:rPr>
                <w:szCs w:val="18"/>
              </w:rPr>
            </w:pPr>
          </w:p>
        </w:tc>
        <w:tc>
          <w:tcPr>
            <w:tcW w:w="910" w:type="pct"/>
            <w:tcBorders>
              <w:top w:val="single" w:sz="4" w:space="0" w:color="auto"/>
              <w:left w:val="nil"/>
              <w:bottom w:val="single" w:sz="4" w:space="0" w:color="auto"/>
              <w:right w:val="single" w:sz="4" w:space="0" w:color="auto"/>
            </w:tcBorders>
            <w:shd w:val="clear" w:color="auto" w:fill="auto"/>
            <w:vAlign w:val="center"/>
          </w:tcPr>
          <w:p w14:paraId="7E74087E" w14:textId="77777777" w:rsidR="004F32C6" w:rsidRPr="00AE74F3" w:rsidRDefault="004F32C6">
            <w:pPr>
              <w:pStyle w:val="Tabletext"/>
              <w:keepNext/>
              <w:keepLines/>
              <w:rPr>
                <w:szCs w:val="18"/>
              </w:rPr>
            </w:pPr>
          </w:p>
        </w:tc>
      </w:tr>
      <w:tr w:rsidR="004F32C6" w:rsidRPr="00AE74F3" w14:paraId="0C0E668A" w14:textId="77777777" w:rsidTr="006200F9">
        <w:trPr>
          <w:trHeight w:val="20"/>
        </w:trPr>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40E3D0" w14:textId="77777777" w:rsidR="004F32C6" w:rsidRPr="00AE74F3" w:rsidRDefault="004F32C6">
            <w:pPr>
              <w:pStyle w:val="Tabletext"/>
              <w:keepNext/>
              <w:keepLines/>
              <w:rPr>
                <w:szCs w:val="22"/>
              </w:rPr>
            </w:pPr>
            <w:r w:rsidRPr="00AE74F3">
              <w:t>TEMSO</w:t>
            </w:r>
          </w:p>
        </w:tc>
        <w:tc>
          <w:tcPr>
            <w:tcW w:w="34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706ED7" w14:textId="77777777" w:rsidR="004F32C6" w:rsidRPr="00AE74F3" w:rsidRDefault="004F32C6">
            <w:pPr>
              <w:pStyle w:val="Tabletext"/>
              <w:keepNext/>
              <w:keepLines/>
              <w:rPr>
                <w:szCs w:val="18"/>
              </w:rPr>
            </w:pPr>
            <w:r w:rsidRPr="00AE74F3">
              <w:rPr>
                <w:szCs w:val="18"/>
              </w:rPr>
              <w:t xml:space="preserve">O'Connor, P., et al. Randomized trial of oral teriflunomide for relapsing multiple sclerosis. </w:t>
            </w:r>
          </w:p>
        </w:tc>
        <w:tc>
          <w:tcPr>
            <w:tcW w:w="9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59047F" w14:textId="65F91454" w:rsidR="004F32C6" w:rsidRPr="00AE74F3" w:rsidRDefault="00501778">
            <w:pPr>
              <w:pStyle w:val="Tabletext"/>
              <w:keepNext/>
              <w:keepLines/>
              <w:rPr>
                <w:szCs w:val="18"/>
              </w:rPr>
            </w:pPr>
            <w:r w:rsidRPr="000B114D">
              <w:rPr>
                <w:szCs w:val="18"/>
              </w:rPr>
              <w:t>N Engl J Med</w:t>
            </w:r>
            <w:r w:rsidRPr="00AE74F3">
              <w:rPr>
                <w:szCs w:val="18"/>
              </w:rPr>
              <w:t xml:space="preserve">. </w:t>
            </w:r>
            <w:r w:rsidR="004F32C6" w:rsidRPr="00AE74F3">
              <w:rPr>
                <w:szCs w:val="18"/>
              </w:rPr>
              <w:t>2011; 365(14): 1293-1303.</w:t>
            </w:r>
          </w:p>
        </w:tc>
      </w:tr>
      <w:tr w:rsidR="004F32C6" w:rsidRPr="00AE74F3" w14:paraId="21BA0259" w14:textId="77777777" w:rsidTr="006200F9">
        <w:trPr>
          <w:trHeight w:val="20"/>
        </w:trPr>
        <w:tc>
          <w:tcPr>
            <w:tcW w:w="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806CEA" w14:textId="77777777" w:rsidR="004F32C6" w:rsidRPr="00AE74F3" w:rsidRDefault="004F32C6">
            <w:pPr>
              <w:pStyle w:val="Tabletext"/>
              <w:keepNext/>
              <w:keepLines/>
              <w:rPr>
                <w:szCs w:val="22"/>
              </w:rPr>
            </w:pPr>
            <w:r w:rsidRPr="00AE74F3">
              <w:t>TOWER</w:t>
            </w:r>
          </w:p>
        </w:tc>
        <w:tc>
          <w:tcPr>
            <w:tcW w:w="34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DF0A00" w14:textId="77777777" w:rsidR="004F32C6" w:rsidRPr="00AE74F3" w:rsidRDefault="004F32C6">
            <w:pPr>
              <w:pStyle w:val="Tabletext"/>
              <w:keepNext/>
              <w:keepLines/>
            </w:pPr>
            <w:proofErr w:type="spellStart"/>
            <w:r w:rsidRPr="58C81D04">
              <w:t>Confavreux</w:t>
            </w:r>
            <w:proofErr w:type="spellEnd"/>
            <w:r w:rsidRPr="58C81D04">
              <w:t>, C., et al. Oral teriflunomide for patients with relapsing multiple sclerosis (TOWER): a randomised, double-blind, placebo-controlled, phase 3 trial.</w:t>
            </w:r>
          </w:p>
        </w:tc>
        <w:tc>
          <w:tcPr>
            <w:tcW w:w="9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8F764C" w14:textId="65328293" w:rsidR="004F32C6" w:rsidRPr="00AE74F3" w:rsidRDefault="004F32C6">
            <w:pPr>
              <w:pStyle w:val="Tabletext"/>
              <w:keepNext/>
              <w:keepLines/>
              <w:rPr>
                <w:szCs w:val="18"/>
              </w:rPr>
            </w:pPr>
            <w:r w:rsidRPr="000B114D">
              <w:rPr>
                <w:szCs w:val="18"/>
              </w:rPr>
              <w:t>Lancet</w:t>
            </w:r>
            <w:r w:rsidR="00746CCC" w:rsidRPr="000B114D">
              <w:rPr>
                <w:szCs w:val="18"/>
              </w:rPr>
              <w:t xml:space="preserve"> Neurology</w:t>
            </w:r>
            <w:r w:rsidRPr="00AE74F3">
              <w:rPr>
                <w:szCs w:val="18"/>
              </w:rPr>
              <w:t>. 2014;</w:t>
            </w:r>
            <w:r w:rsidR="00746CCC">
              <w:rPr>
                <w:szCs w:val="18"/>
              </w:rPr>
              <w:t xml:space="preserve"> </w:t>
            </w:r>
            <w:r w:rsidRPr="00AE74F3">
              <w:rPr>
                <w:szCs w:val="18"/>
              </w:rPr>
              <w:t>13(3): 247</w:t>
            </w:r>
            <w:r w:rsidRPr="00AE74F3">
              <w:rPr>
                <w:rFonts w:ascii="Cambria Math" w:hAnsi="Cambria Math" w:cs="Cambria Math"/>
                <w:szCs w:val="18"/>
              </w:rPr>
              <w:t>‐</w:t>
            </w:r>
            <w:r w:rsidRPr="00AE74F3">
              <w:rPr>
                <w:szCs w:val="18"/>
              </w:rPr>
              <w:t>256</w:t>
            </w:r>
          </w:p>
        </w:tc>
      </w:tr>
      <w:tr w:rsidR="00F1376F" w:rsidRPr="00AE74F3" w14:paraId="689A26DE" w14:textId="77777777" w:rsidTr="006200F9">
        <w:trPr>
          <w:trHeight w:val="20"/>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8528DD8" w14:textId="77777777" w:rsidR="00F1376F" w:rsidRDefault="00F1376F">
            <w:pPr>
              <w:pStyle w:val="Tabletext"/>
              <w:keepNext/>
              <w:keepLines/>
            </w:pPr>
            <w:r>
              <w:t>TENERE</w:t>
            </w:r>
          </w:p>
          <w:p w14:paraId="51B61D8E" w14:textId="158FAABC" w:rsidR="00003ED9" w:rsidRPr="00AE74F3" w:rsidRDefault="00003ED9">
            <w:pPr>
              <w:pStyle w:val="Tabletext"/>
              <w:keepNext/>
              <w:keepLines/>
            </w:pPr>
            <w:r w:rsidRPr="00003ED9">
              <w:rPr>
                <w:lang w:val="en-GB"/>
              </w:rPr>
              <w:t>NCT00883337</w:t>
            </w:r>
          </w:p>
        </w:tc>
        <w:tc>
          <w:tcPr>
            <w:tcW w:w="3464" w:type="pct"/>
            <w:tcBorders>
              <w:top w:val="single" w:sz="4" w:space="0" w:color="auto"/>
              <w:left w:val="single" w:sz="4" w:space="0" w:color="auto"/>
              <w:bottom w:val="single" w:sz="4" w:space="0" w:color="auto"/>
              <w:right w:val="single" w:sz="4" w:space="0" w:color="auto"/>
            </w:tcBorders>
            <w:shd w:val="clear" w:color="auto" w:fill="auto"/>
            <w:vAlign w:val="center"/>
          </w:tcPr>
          <w:p w14:paraId="5298B729" w14:textId="3F6D371C" w:rsidR="00F1376F" w:rsidRPr="00AE74F3" w:rsidRDefault="00F1376F">
            <w:pPr>
              <w:pStyle w:val="Tabletext"/>
              <w:keepNext/>
              <w:keepLines/>
            </w:pPr>
            <w:proofErr w:type="spellStart"/>
            <w:r w:rsidRPr="58C81D04">
              <w:t>Vermersch</w:t>
            </w:r>
            <w:proofErr w:type="spellEnd"/>
            <w:r w:rsidRPr="58C81D04">
              <w:t xml:space="preserve">, P., et al. Teriflunomide versus subcutaneous interferon beta-1a in patients with relapsing multiple sclerosis: a randomised, controlled phase 3 trial. </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47B79349" w14:textId="218B1BDD" w:rsidR="00F1376F" w:rsidRPr="00AE74F3" w:rsidRDefault="00F1376F">
            <w:pPr>
              <w:pStyle w:val="Tabletext"/>
              <w:keepNext/>
              <w:keepLines/>
            </w:pPr>
            <w:r w:rsidRPr="000B114D">
              <w:t>Multiple sclerosis (</w:t>
            </w:r>
            <w:proofErr w:type="spellStart"/>
            <w:r w:rsidRPr="000B114D">
              <w:t>Houndmills</w:t>
            </w:r>
            <w:proofErr w:type="spellEnd"/>
            <w:r w:rsidRPr="000B114D">
              <w:t>, Basingstoke, England)</w:t>
            </w:r>
            <w:r w:rsidRPr="58C81D04">
              <w:t xml:space="preserve"> 2014; 20(6): 705-716.</w:t>
            </w:r>
          </w:p>
        </w:tc>
      </w:tr>
    </w:tbl>
    <w:p w14:paraId="29E543E8" w14:textId="3B0D9B14" w:rsidR="00403409" w:rsidRPr="00C35B71" w:rsidRDefault="00EA731F" w:rsidP="00C35B71">
      <w:pPr>
        <w:pStyle w:val="TableFooter"/>
        <w:rPr>
          <w:sz w:val="20"/>
          <w:szCs w:val="22"/>
        </w:rPr>
      </w:pPr>
      <w:r w:rsidRPr="00AE74F3">
        <w:t xml:space="preserve">Source: Table </w:t>
      </w:r>
      <w:r>
        <w:t>2-5</w:t>
      </w:r>
      <w:r w:rsidRPr="00AE74F3">
        <w:t>, pp</w:t>
      </w:r>
      <w:r>
        <w:t xml:space="preserve">49-52 </w:t>
      </w:r>
      <w:r w:rsidRPr="00AE74F3">
        <w:t>of the submission</w:t>
      </w:r>
      <w:r w:rsidR="00746CCC">
        <w:t xml:space="preserve">. NR = not reported. </w:t>
      </w:r>
      <w:r w:rsidR="00746CCC" w:rsidRPr="00AE74F3">
        <w:t xml:space="preserve">Blue shaded trials </w:t>
      </w:r>
      <w:r w:rsidR="00746CCC">
        <w:t>have been</w:t>
      </w:r>
      <w:r w:rsidR="00746CCC" w:rsidRPr="00AE74F3">
        <w:t xml:space="preserve"> considered </w:t>
      </w:r>
      <w:r w:rsidR="00746CCC">
        <w:t xml:space="preserve">recently </w:t>
      </w:r>
      <w:r w:rsidR="00746CCC" w:rsidRPr="00AE74F3">
        <w:t>by the PBAC</w:t>
      </w:r>
      <w:r w:rsidR="006B428C">
        <w:t xml:space="preserve"> (March 2024)</w:t>
      </w:r>
      <w:r w:rsidR="00746CCC">
        <w:t>.</w:t>
      </w:r>
      <w:bookmarkStart w:id="25" w:name="_Ref104803956"/>
    </w:p>
    <w:p w14:paraId="18B3FD85" w14:textId="5E926968" w:rsidR="00746CCC" w:rsidRPr="0098262F" w:rsidRDefault="002E3D3E" w:rsidP="002E3D3E">
      <w:pPr>
        <w:pStyle w:val="Caption"/>
        <w:rPr>
          <w:rStyle w:val="CommentReference"/>
          <w:b/>
          <w:szCs w:val="24"/>
        </w:rPr>
      </w:pPr>
      <w:bookmarkStart w:id="26" w:name="_Ref188176806"/>
      <w:bookmarkEnd w:id="25"/>
      <w:r>
        <w:lastRenderedPageBreak/>
        <w:t xml:space="preserve">Table </w:t>
      </w:r>
      <w:r w:rsidR="0010534F">
        <w:fldChar w:fldCharType="begin"/>
      </w:r>
      <w:r w:rsidR="0010534F">
        <w:instrText xml:space="preserve"> SEQ Table \* ARABIC </w:instrText>
      </w:r>
      <w:r w:rsidR="0010534F">
        <w:fldChar w:fldCharType="separate"/>
      </w:r>
      <w:r w:rsidR="00D925D4">
        <w:rPr>
          <w:noProof/>
        </w:rPr>
        <w:t>3</w:t>
      </w:r>
      <w:r w:rsidR="0010534F">
        <w:rPr>
          <w:noProof/>
        </w:rPr>
        <w:fldChar w:fldCharType="end"/>
      </w:r>
      <w:bookmarkEnd w:id="26"/>
      <w:r>
        <w:t xml:space="preserve">: </w:t>
      </w:r>
      <w:r w:rsidR="00746CCC" w:rsidRPr="0098262F">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8"/>
        <w:gridCol w:w="835"/>
        <w:gridCol w:w="1403"/>
        <w:gridCol w:w="1115"/>
        <w:gridCol w:w="2168"/>
        <w:gridCol w:w="2218"/>
      </w:tblGrid>
      <w:tr w:rsidR="00003ED9" w:rsidRPr="0098262F" w14:paraId="12B068C3" w14:textId="77777777" w:rsidTr="58C81D04">
        <w:trPr>
          <w:cantSplit/>
          <w:tblHeader/>
        </w:trPr>
        <w:tc>
          <w:tcPr>
            <w:tcW w:w="709" w:type="pct"/>
            <w:shd w:val="clear" w:color="auto" w:fill="auto"/>
            <w:vAlign w:val="center"/>
          </w:tcPr>
          <w:p w14:paraId="4C119AAD" w14:textId="77777777" w:rsidR="00003ED9" w:rsidRPr="0098262F" w:rsidRDefault="00003ED9" w:rsidP="0038000D">
            <w:pPr>
              <w:pStyle w:val="In-tableHeading"/>
            </w:pPr>
            <w:r w:rsidRPr="0098262F">
              <w:t>Trial</w:t>
            </w:r>
          </w:p>
        </w:tc>
        <w:tc>
          <w:tcPr>
            <w:tcW w:w="463" w:type="pct"/>
            <w:shd w:val="clear" w:color="auto" w:fill="auto"/>
            <w:vAlign w:val="center"/>
          </w:tcPr>
          <w:p w14:paraId="5A67C400" w14:textId="77777777" w:rsidR="00003ED9" w:rsidRPr="0098262F" w:rsidRDefault="00003ED9" w:rsidP="0038000D">
            <w:pPr>
              <w:pStyle w:val="In-tableHeading"/>
            </w:pPr>
            <w:r w:rsidRPr="0098262F">
              <w:t>N</w:t>
            </w:r>
          </w:p>
        </w:tc>
        <w:tc>
          <w:tcPr>
            <w:tcW w:w="778" w:type="pct"/>
            <w:shd w:val="clear" w:color="auto" w:fill="auto"/>
            <w:vAlign w:val="center"/>
          </w:tcPr>
          <w:p w14:paraId="59D71614" w14:textId="38730067" w:rsidR="00003ED9" w:rsidRPr="0098262F" w:rsidRDefault="00003ED9" w:rsidP="0038000D">
            <w:pPr>
              <w:pStyle w:val="In-tableHeading"/>
            </w:pPr>
            <w:r w:rsidRPr="0098262F">
              <w:t>Design/duration</w:t>
            </w:r>
          </w:p>
        </w:tc>
        <w:tc>
          <w:tcPr>
            <w:tcW w:w="618" w:type="pct"/>
            <w:shd w:val="clear" w:color="auto" w:fill="auto"/>
            <w:vAlign w:val="center"/>
          </w:tcPr>
          <w:p w14:paraId="2B76F48E" w14:textId="77777777" w:rsidR="00003ED9" w:rsidRPr="0098262F" w:rsidRDefault="00003ED9" w:rsidP="0038000D">
            <w:pPr>
              <w:pStyle w:val="In-tableHeading"/>
            </w:pPr>
            <w:r w:rsidRPr="0098262F">
              <w:t>Risk of bias</w:t>
            </w:r>
          </w:p>
        </w:tc>
        <w:tc>
          <w:tcPr>
            <w:tcW w:w="1202" w:type="pct"/>
            <w:shd w:val="clear" w:color="auto" w:fill="auto"/>
            <w:vAlign w:val="center"/>
          </w:tcPr>
          <w:p w14:paraId="0D90A5A9" w14:textId="77777777" w:rsidR="00003ED9" w:rsidRPr="0098262F" w:rsidRDefault="00003ED9" w:rsidP="0038000D">
            <w:pPr>
              <w:pStyle w:val="In-tableHeading"/>
            </w:pPr>
            <w:r w:rsidRPr="0098262F">
              <w:t>Patient population</w:t>
            </w:r>
          </w:p>
        </w:tc>
        <w:tc>
          <w:tcPr>
            <w:tcW w:w="1230" w:type="pct"/>
            <w:shd w:val="clear" w:color="auto" w:fill="auto"/>
            <w:vAlign w:val="center"/>
          </w:tcPr>
          <w:p w14:paraId="012FEF1C" w14:textId="77777777" w:rsidR="00003ED9" w:rsidRPr="0098262F" w:rsidRDefault="00003ED9" w:rsidP="0038000D">
            <w:pPr>
              <w:pStyle w:val="In-tableHeading"/>
            </w:pPr>
            <w:r w:rsidRPr="0098262F">
              <w:t>Outcome(s)</w:t>
            </w:r>
          </w:p>
        </w:tc>
      </w:tr>
      <w:tr w:rsidR="00DC3D46" w:rsidRPr="0098262F" w14:paraId="59A9C941" w14:textId="77777777" w:rsidTr="58C81D04">
        <w:trPr>
          <w:cantSplit/>
        </w:trPr>
        <w:tc>
          <w:tcPr>
            <w:tcW w:w="5000" w:type="pct"/>
            <w:gridSpan w:val="6"/>
            <w:shd w:val="clear" w:color="auto" w:fill="auto"/>
            <w:vAlign w:val="center"/>
          </w:tcPr>
          <w:p w14:paraId="29B68219" w14:textId="5CF00BA3" w:rsidR="00DC3D46" w:rsidRPr="00DC3D46" w:rsidRDefault="00DC3D46" w:rsidP="58C81D04">
            <w:pPr>
              <w:pStyle w:val="TableText0"/>
              <w:rPr>
                <w:b/>
              </w:rPr>
            </w:pPr>
            <w:r w:rsidRPr="58C81D04">
              <w:rPr>
                <w:b/>
              </w:rPr>
              <w:t>Ublituximab vs teriflunomide</w:t>
            </w:r>
          </w:p>
        </w:tc>
      </w:tr>
      <w:tr w:rsidR="00003ED9" w:rsidRPr="0098262F" w14:paraId="6D0E1C2D" w14:textId="77777777" w:rsidTr="58C81D04">
        <w:trPr>
          <w:cantSplit/>
        </w:trPr>
        <w:tc>
          <w:tcPr>
            <w:tcW w:w="709" w:type="pct"/>
            <w:shd w:val="clear" w:color="auto" w:fill="auto"/>
            <w:vAlign w:val="center"/>
          </w:tcPr>
          <w:p w14:paraId="51DA1C9E" w14:textId="6B807C3A" w:rsidR="00003ED9" w:rsidRPr="0098262F" w:rsidRDefault="00003ED9">
            <w:pPr>
              <w:pStyle w:val="TableText0"/>
            </w:pPr>
            <w:r>
              <w:t>ULTIMATE I</w:t>
            </w:r>
          </w:p>
        </w:tc>
        <w:tc>
          <w:tcPr>
            <w:tcW w:w="463" w:type="pct"/>
            <w:shd w:val="clear" w:color="auto" w:fill="auto"/>
            <w:vAlign w:val="center"/>
          </w:tcPr>
          <w:p w14:paraId="3788B214" w14:textId="2119E950" w:rsidR="00003ED9" w:rsidRPr="0098262F" w:rsidRDefault="00003ED9">
            <w:pPr>
              <w:pStyle w:val="TableText0"/>
              <w:jc w:val="center"/>
            </w:pPr>
            <w:r>
              <w:t>545</w:t>
            </w:r>
          </w:p>
        </w:tc>
        <w:tc>
          <w:tcPr>
            <w:tcW w:w="778" w:type="pct"/>
            <w:shd w:val="clear" w:color="auto" w:fill="auto"/>
            <w:vAlign w:val="center"/>
          </w:tcPr>
          <w:p w14:paraId="1ABE5767" w14:textId="7E5B737E" w:rsidR="00003ED9" w:rsidRPr="0098262F" w:rsidRDefault="00003ED9">
            <w:pPr>
              <w:pStyle w:val="TableText0"/>
              <w:jc w:val="center"/>
            </w:pPr>
            <w:r w:rsidRPr="0098262F">
              <w:t>R, DB</w:t>
            </w:r>
            <w:r>
              <w:t>, 96 weeks</w:t>
            </w:r>
          </w:p>
        </w:tc>
        <w:tc>
          <w:tcPr>
            <w:tcW w:w="618" w:type="pct"/>
            <w:vMerge w:val="restart"/>
            <w:shd w:val="clear" w:color="auto" w:fill="auto"/>
            <w:vAlign w:val="center"/>
          </w:tcPr>
          <w:p w14:paraId="132BBD99" w14:textId="3E5C7FDF" w:rsidR="00003ED9" w:rsidRPr="000B114D" w:rsidRDefault="00003ED9">
            <w:pPr>
              <w:pStyle w:val="TableText0"/>
              <w:jc w:val="center"/>
            </w:pPr>
            <w:r w:rsidRPr="000B114D">
              <w:t>Low</w:t>
            </w:r>
          </w:p>
        </w:tc>
        <w:tc>
          <w:tcPr>
            <w:tcW w:w="1202" w:type="pct"/>
            <w:vMerge w:val="restart"/>
            <w:shd w:val="clear" w:color="auto" w:fill="auto"/>
            <w:vAlign w:val="center"/>
          </w:tcPr>
          <w:p w14:paraId="10154C62" w14:textId="5284D82E" w:rsidR="00003ED9" w:rsidRPr="0098262F" w:rsidRDefault="00003ED9" w:rsidP="00003ED9">
            <w:pPr>
              <w:pStyle w:val="TableText0"/>
            </w:pPr>
            <w:r>
              <w:t>RRMS or SPMS; 98% RRMS</w:t>
            </w:r>
          </w:p>
        </w:tc>
        <w:tc>
          <w:tcPr>
            <w:tcW w:w="1230" w:type="pct"/>
            <w:vMerge w:val="restart"/>
            <w:shd w:val="clear" w:color="auto" w:fill="auto"/>
            <w:vAlign w:val="center"/>
          </w:tcPr>
          <w:p w14:paraId="1C200F1D" w14:textId="2A774B3C" w:rsidR="00003ED9" w:rsidRPr="0098262F" w:rsidRDefault="00003ED9" w:rsidP="00003ED9">
            <w:pPr>
              <w:pStyle w:val="TableText0"/>
            </w:pPr>
            <w:r>
              <w:t xml:space="preserve">ARR, CDP </w:t>
            </w:r>
            <w:r w:rsidR="00D14E98">
              <w:t xml:space="preserve">for </w:t>
            </w:r>
            <w:r>
              <w:t>3 and 6 months</w:t>
            </w:r>
          </w:p>
        </w:tc>
      </w:tr>
      <w:tr w:rsidR="00003ED9" w:rsidRPr="0098262F" w14:paraId="65376723" w14:textId="77777777" w:rsidTr="58C81D04">
        <w:trPr>
          <w:cantSplit/>
        </w:trPr>
        <w:tc>
          <w:tcPr>
            <w:tcW w:w="709" w:type="pct"/>
            <w:shd w:val="clear" w:color="auto" w:fill="auto"/>
            <w:vAlign w:val="center"/>
          </w:tcPr>
          <w:p w14:paraId="515BE262" w14:textId="00543E1F" w:rsidR="00003ED9" w:rsidRPr="0098262F" w:rsidRDefault="00003ED9">
            <w:pPr>
              <w:pStyle w:val="TableText0"/>
            </w:pPr>
            <w:r>
              <w:t>ULTIMATE II</w:t>
            </w:r>
          </w:p>
        </w:tc>
        <w:tc>
          <w:tcPr>
            <w:tcW w:w="463" w:type="pct"/>
            <w:shd w:val="clear" w:color="auto" w:fill="auto"/>
            <w:vAlign w:val="center"/>
          </w:tcPr>
          <w:p w14:paraId="4D08A2FE" w14:textId="2552F6C5" w:rsidR="00003ED9" w:rsidRPr="0098262F" w:rsidRDefault="00003ED9">
            <w:pPr>
              <w:pStyle w:val="TableText0"/>
              <w:jc w:val="center"/>
            </w:pPr>
            <w:r>
              <w:t>544</w:t>
            </w:r>
          </w:p>
        </w:tc>
        <w:tc>
          <w:tcPr>
            <w:tcW w:w="778" w:type="pct"/>
            <w:shd w:val="clear" w:color="auto" w:fill="auto"/>
            <w:vAlign w:val="center"/>
          </w:tcPr>
          <w:p w14:paraId="42EFD241" w14:textId="5261B119" w:rsidR="00003ED9" w:rsidRPr="0098262F" w:rsidRDefault="00003ED9" w:rsidP="00746CCC">
            <w:pPr>
              <w:pStyle w:val="TableText0"/>
              <w:jc w:val="center"/>
            </w:pPr>
            <w:r w:rsidRPr="0098262F">
              <w:t xml:space="preserve">R, </w:t>
            </w:r>
            <w:r>
              <w:t>DB, 96 weeks</w:t>
            </w:r>
          </w:p>
        </w:tc>
        <w:tc>
          <w:tcPr>
            <w:tcW w:w="618" w:type="pct"/>
            <w:vMerge/>
            <w:vAlign w:val="center"/>
          </w:tcPr>
          <w:p w14:paraId="0561D398" w14:textId="77C6F1FC" w:rsidR="00003ED9" w:rsidRPr="000B114D" w:rsidRDefault="00003ED9">
            <w:pPr>
              <w:pStyle w:val="TableText0"/>
              <w:jc w:val="center"/>
            </w:pPr>
          </w:p>
        </w:tc>
        <w:tc>
          <w:tcPr>
            <w:tcW w:w="1202" w:type="pct"/>
            <w:vMerge/>
            <w:vAlign w:val="center"/>
          </w:tcPr>
          <w:p w14:paraId="14FF28BE" w14:textId="57C757A7" w:rsidR="00003ED9" w:rsidRPr="0098262F" w:rsidRDefault="00003ED9" w:rsidP="00003ED9">
            <w:pPr>
              <w:pStyle w:val="TableText0"/>
            </w:pPr>
          </w:p>
        </w:tc>
        <w:tc>
          <w:tcPr>
            <w:tcW w:w="1230" w:type="pct"/>
            <w:vMerge/>
            <w:vAlign w:val="center"/>
          </w:tcPr>
          <w:p w14:paraId="1BCAAF2F" w14:textId="2F19457F" w:rsidR="00003ED9" w:rsidRPr="0098262F" w:rsidRDefault="00003ED9" w:rsidP="00003ED9">
            <w:pPr>
              <w:pStyle w:val="TableText0"/>
            </w:pPr>
          </w:p>
        </w:tc>
      </w:tr>
      <w:tr w:rsidR="00DC3D46" w:rsidRPr="0098262F" w14:paraId="52321D99" w14:textId="77777777" w:rsidTr="58C81D04">
        <w:trPr>
          <w:cantSplit/>
        </w:trPr>
        <w:tc>
          <w:tcPr>
            <w:tcW w:w="5000" w:type="pct"/>
            <w:gridSpan w:val="6"/>
            <w:shd w:val="clear" w:color="auto" w:fill="DBE5F1" w:themeFill="accent1" w:themeFillTint="33"/>
            <w:vAlign w:val="center"/>
          </w:tcPr>
          <w:p w14:paraId="2BE6D97B" w14:textId="6F3C754C" w:rsidR="00DC3D46" w:rsidRPr="00130213" w:rsidRDefault="00130213" w:rsidP="00003ED9">
            <w:pPr>
              <w:pStyle w:val="TableText0"/>
              <w:rPr>
                <w:b/>
                <w:bCs w:val="0"/>
              </w:rPr>
            </w:pPr>
            <w:r w:rsidRPr="00130213">
              <w:rPr>
                <w:b/>
                <w:bCs w:val="0"/>
              </w:rPr>
              <w:t>Ocrelizumab vs interferon beta</w:t>
            </w:r>
          </w:p>
        </w:tc>
      </w:tr>
      <w:tr w:rsidR="00003ED9" w:rsidRPr="0098262F" w14:paraId="34075296" w14:textId="77777777" w:rsidTr="58C81D04">
        <w:trPr>
          <w:cantSplit/>
        </w:trPr>
        <w:tc>
          <w:tcPr>
            <w:tcW w:w="709" w:type="pct"/>
            <w:shd w:val="clear" w:color="auto" w:fill="DBE5F1" w:themeFill="accent1" w:themeFillTint="33"/>
            <w:vAlign w:val="center"/>
          </w:tcPr>
          <w:p w14:paraId="6E1089F4" w14:textId="63742F3B" w:rsidR="00003ED9" w:rsidRPr="0098262F" w:rsidRDefault="00003ED9">
            <w:pPr>
              <w:pStyle w:val="TableText0"/>
            </w:pPr>
            <w:r>
              <w:t>OPERA I</w:t>
            </w:r>
          </w:p>
        </w:tc>
        <w:tc>
          <w:tcPr>
            <w:tcW w:w="463" w:type="pct"/>
            <w:shd w:val="clear" w:color="auto" w:fill="auto"/>
            <w:vAlign w:val="center"/>
          </w:tcPr>
          <w:p w14:paraId="0B893600" w14:textId="68CBCD80" w:rsidR="00003ED9" w:rsidRPr="0098262F" w:rsidRDefault="00003ED9">
            <w:pPr>
              <w:pStyle w:val="TableText0"/>
              <w:jc w:val="center"/>
            </w:pPr>
            <w:r>
              <w:t>821</w:t>
            </w:r>
          </w:p>
        </w:tc>
        <w:tc>
          <w:tcPr>
            <w:tcW w:w="778" w:type="pct"/>
            <w:shd w:val="clear" w:color="auto" w:fill="auto"/>
            <w:vAlign w:val="center"/>
          </w:tcPr>
          <w:p w14:paraId="29E9681B" w14:textId="70402559" w:rsidR="00003ED9" w:rsidRPr="0098262F" w:rsidRDefault="00003ED9">
            <w:pPr>
              <w:pStyle w:val="TableText0"/>
              <w:jc w:val="center"/>
            </w:pPr>
            <w:r>
              <w:t>R, DB, 96 weeks</w:t>
            </w:r>
          </w:p>
        </w:tc>
        <w:tc>
          <w:tcPr>
            <w:tcW w:w="618" w:type="pct"/>
            <w:vMerge w:val="restart"/>
            <w:shd w:val="clear" w:color="auto" w:fill="auto"/>
            <w:vAlign w:val="center"/>
          </w:tcPr>
          <w:p w14:paraId="7A4B9FEF" w14:textId="238DFCC4" w:rsidR="00003ED9" w:rsidRPr="000B114D" w:rsidRDefault="00003ED9">
            <w:pPr>
              <w:pStyle w:val="TableText0"/>
              <w:jc w:val="center"/>
            </w:pPr>
            <w:r w:rsidRPr="000B114D">
              <w:t>Low</w:t>
            </w:r>
          </w:p>
        </w:tc>
        <w:tc>
          <w:tcPr>
            <w:tcW w:w="1202" w:type="pct"/>
            <w:vMerge w:val="restart"/>
            <w:shd w:val="clear" w:color="auto" w:fill="auto"/>
            <w:vAlign w:val="center"/>
          </w:tcPr>
          <w:p w14:paraId="424382A5" w14:textId="294F241F" w:rsidR="00003ED9" w:rsidRPr="0098262F" w:rsidRDefault="00DC3D46" w:rsidP="00003ED9">
            <w:pPr>
              <w:pStyle w:val="TableText0"/>
            </w:pPr>
            <w:r w:rsidRPr="58C81D04">
              <w:t>RM</w:t>
            </w:r>
            <w:r w:rsidR="00130213" w:rsidRPr="58C81D04">
              <w:t>S; % with RRMS not stated.</w:t>
            </w:r>
          </w:p>
        </w:tc>
        <w:tc>
          <w:tcPr>
            <w:tcW w:w="1230" w:type="pct"/>
            <w:vMerge w:val="restart"/>
            <w:shd w:val="clear" w:color="auto" w:fill="auto"/>
            <w:vAlign w:val="center"/>
          </w:tcPr>
          <w:p w14:paraId="32F7C04B" w14:textId="377334A9" w:rsidR="00003ED9" w:rsidRPr="0098262F" w:rsidRDefault="00003ED9" w:rsidP="00003ED9">
            <w:pPr>
              <w:pStyle w:val="TableText0"/>
            </w:pPr>
            <w:r>
              <w:t xml:space="preserve">ARR, CDP </w:t>
            </w:r>
            <w:r w:rsidR="00D14E98">
              <w:t>for</w:t>
            </w:r>
            <w:r>
              <w:t xml:space="preserve"> 3 and 6 months, % relapse free</w:t>
            </w:r>
          </w:p>
        </w:tc>
      </w:tr>
      <w:tr w:rsidR="00003ED9" w:rsidRPr="0098262F" w14:paraId="1340F4C4" w14:textId="77777777" w:rsidTr="58C81D04">
        <w:trPr>
          <w:cantSplit/>
        </w:trPr>
        <w:tc>
          <w:tcPr>
            <w:tcW w:w="709" w:type="pct"/>
            <w:shd w:val="clear" w:color="auto" w:fill="DBE5F1" w:themeFill="accent1" w:themeFillTint="33"/>
            <w:vAlign w:val="center"/>
          </w:tcPr>
          <w:p w14:paraId="17F81C03" w14:textId="6C3CD152" w:rsidR="00003ED9" w:rsidRPr="0098262F" w:rsidRDefault="00003ED9">
            <w:pPr>
              <w:pStyle w:val="TableText0"/>
            </w:pPr>
            <w:r>
              <w:t>OPERA II</w:t>
            </w:r>
          </w:p>
        </w:tc>
        <w:tc>
          <w:tcPr>
            <w:tcW w:w="463" w:type="pct"/>
            <w:shd w:val="clear" w:color="auto" w:fill="auto"/>
            <w:vAlign w:val="center"/>
          </w:tcPr>
          <w:p w14:paraId="24575890" w14:textId="25298065" w:rsidR="00003ED9" w:rsidRPr="0098262F" w:rsidRDefault="00003ED9">
            <w:pPr>
              <w:pStyle w:val="TableText0"/>
              <w:jc w:val="center"/>
            </w:pPr>
            <w:r>
              <w:t>835</w:t>
            </w:r>
          </w:p>
        </w:tc>
        <w:tc>
          <w:tcPr>
            <w:tcW w:w="778" w:type="pct"/>
            <w:shd w:val="clear" w:color="auto" w:fill="auto"/>
            <w:vAlign w:val="center"/>
          </w:tcPr>
          <w:p w14:paraId="45ED4C00" w14:textId="5C81C5C5" w:rsidR="00003ED9" w:rsidRPr="0098262F" w:rsidRDefault="00003ED9">
            <w:pPr>
              <w:pStyle w:val="TableText0"/>
              <w:jc w:val="center"/>
            </w:pPr>
            <w:r>
              <w:t>R, DB, 96 weeks</w:t>
            </w:r>
          </w:p>
        </w:tc>
        <w:tc>
          <w:tcPr>
            <w:tcW w:w="618" w:type="pct"/>
            <w:vMerge/>
            <w:vAlign w:val="center"/>
          </w:tcPr>
          <w:p w14:paraId="3B8984FA" w14:textId="291EFF28" w:rsidR="00003ED9" w:rsidRPr="0098262F" w:rsidRDefault="00003ED9">
            <w:pPr>
              <w:pStyle w:val="TableText0"/>
              <w:jc w:val="center"/>
            </w:pPr>
          </w:p>
        </w:tc>
        <w:tc>
          <w:tcPr>
            <w:tcW w:w="1202" w:type="pct"/>
            <w:vMerge/>
            <w:vAlign w:val="center"/>
          </w:tcPr>
          <w:p w14:paraId="25BF30A8" w14:textId="77777777" w:rsidR="00003ED9" w:rsidRPr="0098262F" w:rsidRDefault="00003ED9" w:rsidP="00003ED9">
            <w:pPr>
              <w:pStyle w:val="TableText0"/>
            </w:pPr>
          </w:p>
        </w:tc>
        <w:tc>
          <w:tcPr>
            <w:tcW w:w="1230" w:type="pct"/>
            <w:vMerge/>
            <w:vAlign w:val="center"/>
          </w:tcPr>
          <w:p w14:paraId="32BA5B99" w14:textId="77777777" w:rsidR="00003ED9" w:rsidRPr="0098262F" w:rsidRDefault="00003ED9" w:rsidP="00003ED9">
            <w:pPr>
              <w:pStyle w:val="TableText0"/>
            </w:pPr>
          </w:p>
        </w:tc>
      </w:tr>
      <w:tr w:rsidR="00130213" w:rsidRPr="0098262F" w14:paraId="2ECBD30A" w14:textId="77777777" w:rsidTr="58C81D04">
        <w:trPr>
          <w:cantSplit/>
        </w:trPr>
        <w:tc>
          <w:tcPr>
            <w:tcW w:w="5000" w:type="pct"/>
            <w:gridSpan w:val="6"/>
            <w:shd w:val="clear" w:color="auto" w:fill="DBE5F1" w:themeFill="accent1" w:themeFillTint="33"/>
            <w:vAlign w:val="center"/>
          </w:tcPr>
          <w:p w14:paraId="47C6C04B" w14:textId="44E92321" w:rsidR="00130213" w:rsidRPr="00130213" w:rsidRDefault="00130213" w:rsidP="00003ED9">
            <w:pPr>
              <w:pStyle w:val="TableText0"/>
              <w:rPr>
                <w:b/>
                <w:bCs w:val="0"/>
              </w:rPr>
            </w:pPr>
            <w:r w:rsidRPr="00130213">
              <w:rPr>
                <w:b/>
                <w:bCs w:val="0"/>
              </w:rPr>
              <w:t xml:space="preserve">Ofatumumab vs teriflunomide </w:t>
            </w:r>
          </w:p>
        </w:tc>
      </w:tr>
      <w:tr w:rsidR="00003ED9" w:rsidRPr="0098262F" w14:paraId="1394C24B" w14:textId="77777777" w:rsidTr="58C81D04">
        <w:trPr>
          <w:cantSplit/>
        </w:trPr>
        <w:tc>
          <w:tcPr>
            <w:tcW w:w="709" w:type="pct"/>
            <w:shd w:val="clear" w:color="auto" w:fill="DBE5F1" w:themeFill="accent1" w:themeFillTint="33"/>
            <w:vAlign w:val="center"/>
          </w:tcPr>
          <w:p w14:paraId="23870CEE" w14:textId="615A6C93" w:rsidR="00003ED9" w:rsidRDefault="00003ED9">
            <w:pPr>
              <w:pStyle w:val="TableText0"/>
            </w:pPr>
            <w:r>
              <w:t>ASCLEPIOS I</w:t>
            </w:r>
          </w:p>
        </w:tc>
        <w:tc>
          <w:tcPr>
            <w:tcW w:w="463" w:type="pct"/>
            <w:shd w:val="clear" w:color="auto" w:fill="auto"/>
            <w:vAlign w:val="center"/>
          </w:tcPr>
          <w:p w14:paraId="0F07C27B" w14:textId="53EAD669" w:rsidR="00003ED9" w:rsidRDefault="00003ED9">
            <w:pPr>
              <w:pStyle w:val="TableText0"/>
              <w:jc w:val="center"/>
            </w:pPr>
            <w:r>
              <w:t>927</w:t>
            </w:r>
          </w:p>
        </w:tc>
        <w:tc>
          <w:tcPr>
            <w:tcW w:w="778" w:type="pct"/>
            <w:shd w:val="clear" w:color="auto" w:fill="auto"/>
            <w:vAlign w:val="center"/>
          </w:tcPr>
          <w:p w14:paraId="37BCAF1E" w14:textId="7CE11365" w:rsidR="00003ED9" w:rsidRDefault="00003ED9">
            <w:pPr>
              <w:pStyle w:val="TableText0"/>
              <w:jc w:val="center"/>
            </w:pPr>
            <w:r>
              <w:t>R, DB, 30 months</w:t>
            </w:r>
          </w:p>
        </w:tc>
        <w:tc>
          <w:tcPr>
            <w:tcW w:w="618" w:type="pct"/>
            <w:vMerge w:val="restart"/>
            <w:shd w:val="clear" w:color="auto" w:fill="auto"/>
            <w:vAlign w:val="center"/>
          </w:tcPr>
          <w:p w14:paraId="5C96E1D8" w14:textId="3787453B" w:rsidR="00003ED9" w:rsidRPr="000B114D" w:rsidRDefault="00003ED9">
            <w:pPr>
              <w:pStyle w:val="TableText0"/>
              <w:jc w:val="center"/>
            </w:pPr>
            <w:r w:rsidRPr="000B114D">
              <w:t>Low</w:t>
            </w:r>
          </w:p>
        </w:tc>
        <w:tc>
          <w:tcPr>
            <w:tcW w:w="1202" w:type="pct"/>
            <w:shd w:val="clear" w:color="auto" w:fill="auto"/>
            <w:vAlign w:val="center"/>
          </w:tcPr>
          <w:p w14:paraId="23631468" w14:textId="35FC8734" w:rsidR="00003ED9" w:rsidRPr="0098262F" w:rsidRDefault="00003ED9" w:rsidP="00003ED9">
            <w:pPr>
              <w:pStyle w:val="TableText0"/>
            </w:pPr>
            <w:r w:rsidRPr="00AE74F3">
              <w:t>RRMS or SPMS</w:t>
            </w:r>
            <w:r>
              <w:t xml:space="preserve">; </w:t>
            </w:r>
            <w:r w:rsidRPr="00AE74F3">
              <w:t>94% RRMS</w:t>
            </w:r>
          </w:p>
        </w:tc>
        <w:tc>
          <w:tcPr>
            <w:tcW w:w="1230" w:type="pct"/>
            <w:vMerge w:val="restart"/>
            <w:shd w:val="clear" w:color="auto" w:fill="auto"/>
            <w:vAlign w:val="center"/>
          </w:tcPr>
          <w:p w14:paraId="2B1293B4" w14:textId="1E1F851A" w:rsidR="00003ED9" w:rsidRPr="0098262F" w:rsidRDefault="00003ED9" w:rsidP="00003ED9">
            <w:pPr>
              <w:pStyle w:val="TableText0"/>
            </w:pPr>
            <w:r w:rsidRPr="00AE74F3">
              <w:t>ARR, CDP</w:t>
            </w:r>
            <w:r>
              <w:t xml:space="preserve"> </w:t>
            </w:r>
            <w:r w:rsidR="00D14E98">
              <w:t>for</w:t>
            </w:r>
            <w:r>
              <w:t xml:space="preserve"> 3 and 6 months</w:t>
            </w:r>
            <w:r w:rsidRPr="00AE74F3">
              <w:t xml:space="preserve">, </w:t>
            </w:r>
            <w:r>
              <w:t>%</w:t>
            </w:r>
            <w:r w:rsidRPr="00AE74F3">
              <w:t xml:space="preserve"> relapse free</w:t>
            </w:r>
          </w:p>
        </w:tc>
      </w:tr>
      <w:tr w:rsidR="00003ED9" w:rsidRPr="0098262F" w14:paraId="2D7A6CDE" w14:textId="77777777" w:rsidTr="58C81D04">
        <w:trPr>
          <w:cantSplit/>
        </w:trPr>
        <w:tc>
          <w:tcPr>
            <w:tcW w:w="709" w:type="pct"/>
            <w:shd w:val="clear" w:color="auto" w:fill="DBE5F1" w:themeFill="accent1" w:themeFillTint="33"/>
            <w:vAlign w:val="center"/>
          </w:tcPr>
          <w:p w14:paraId="7F945E6C" w14:textId="0B4F6112" w:rsidR="00003ED9" w:rsidRDefault="00003ED9">
            <w:pPr>
              <w:pStyle w:val="TableText0"/>
            </w:pPr>
            <w:r>
              <w:t>ASCLEPIOS II</w:t>
            </w:r>
          </w:p>
        </w:tc>
        <w:tc>
          <w:tcPr>
            <w:tcW w:w="463" w:type="pct"/>
            <w:shd w:val="clear" w:color="auto" w:fill="auto"/>
            <w:vAlign w:val="center"/>
          </w:tcPr>
          <w:p w14:paraId="79F74ED7" w14:textId="7038293A" w:rsidR="00003ED9" w:rsidRDefault="00003ED9">
            <w:pPr>
              <w:pStyle w:val="TableText0"/>
              <w:jc w:val="center"/>
            </w:pPr>
            <w:r>
              <w:t>955</w:t>
            </w:r>
          </w:p>
        </w:tc>
        <w:tc>
          <w:tcPr>
            <w:tcW w:w="778" w:type="pct"/>
            <w:shd w:val="clear" w:color="auto" w:fill="auto"/>
            <w:vAlign w:val="center"/>
          </w:tcPr>
          <w:p w14:paraId="1F9886D1" w14:textId="1E8A7E0B" w:rsidR="00003ED9" w:rsidRDefault="00003ED9">
            <w:pPr>
              <w:pStyle w:val="TableText0"/>
              <w:jc w:val="center"/>
            </w:pPr>
            <w:r>
              <w:t>R, DB, 30 months</w:t>
            </w:r>
          </w:p>
        </w:tc>
        <w:tc>
          <w:tcPr>
            <w:tcW w:w="618" w:type="pct"/>
            <w:vMerge/>
            <w:vAlign w:val="center"/>
          </w:tcPr>
          <w:p w14:paraId="3978CB61" w14:textId="77777777" w:rsidR="00003ED9" w:rsidRPr="0098262F" w:rsidRDefault="00003ED9">
            <w:pPr>
              <w:pStyle w:val="TableText0"/>
              <w:jc w:val="center"/>
            </w:pPr>
          </w:p>
        </w:tc>
        <w:tc>
          <w:tcPr>
            <w:tcW w:w="1202" w:type="pct"/>
            <w:shd w:val="clear" w:color="auto" w:fill="auto"/>
            <w:vAlign w:val="center"/>
          </w:tcPr>
          <w:p w14:paraId="6A1F1EB4" w14:textId="799E26EC" w:rsidR="00003ED9" w:rsidRPr="0098262F" w:rsidRDefault="00003ED9" w:rsidP="00003ED9">
            <w:pPr>
              <w:pStyle w:val="TableText0"/>
            </w:pPr>
            <w:r w:rsidRPr="00AE74F3">
              <w:t>RRMS, SPMS, or PRMS</w:t>
            </w:r>
            <w:r>
              <w:t xml:space="preserve">; </w:t>
            </w:r>
            <w:r w:rsidRPr="00AE74F3">
              <w:t>97% RRMS</w:t>
            </w:r>
          </w:p>
        </w:tc>
        <w:tc>
          <w:tcPr>
            <w:tcW w:w="1230" w:type="pct"/>
            <w:vMerge/>
            <w:vAlign w:val="center"/>
          </w:tcPr>
          <w:p w14:paraId="46E9D0C2" w14:textId="77777777" w:rsidR="00003ED9" w:rsidRPr="0098262F" w:rsidRDefault="00003ED9" w:rsidP="00003ED9">
            <w:pPr>
              <w:pStyle w:val="TableText0"/>
            </w:pPr>
          </w:p>
        </w:tc>
      </w:tr>
      <w:tr w:rsidR="00130213" w:rsidRPr="0098262F" w14:paraId="719F9172" w14:textId="77777777" w:rsidTr="58C81D04">
        <w:trPr>
          <w:cantSplit/>
        </w:trPr>
        <w:tc>
          <w:tcPr>
            <w:tcW w:w="5000" w:type="pct"/>
            <w:gridSpan w:val="6"/>
            <w:shd w:val="clear" w:color="auto" w:fill="DBE5F1" w:themeFill="accent1" w:themeFillTint="33"/>
            <w:vAlign w:val="center"/>
          </w:tcPr>
          <w:p w14:paraId="29A6733C" w14:textId="14A6EA3C" w:rsidR="00130213" w:rsidRPr="00130213" w:rsidRDefault="00130213" w:rsidP="00003ED9">
            <w:pPr>
              <w:pStyle w:val="TableText0"/>
              <w:rPr>
                <w:b/>
                <w:bCs w:val="0"/>
              </w:rPr>
            </w:pPr>
            <w:r w:rsidRPr="00130213">
              <w:rPr>
                <w:b/>
                <w:bCs w:val="0"/>
              </w:rPr>
              <w:t>Fingolimod vs placebo</w:t>
            </w:r>
          </w:p>
        </w:tc>
      </w:tr>
      <w:tr w:rsidR="00003ED9" w:rsidRPr="0098262F" w14:paraId="42649D06" w14:textId="77777777" w:rsidTr="58C81D04">
        <w:trPr>
          <w:cantSplit/>
        </w:trPr>
        <w:tc>
          <w:tcPr>
            <w:tcW w:w="709" w:type="pct"/>
            <w:shd w:val="clear" w:color="auto" w:fill="DBE5F1" w:themeFill="accent1" w:themeFillTint="33"/>
            <w:vAlign w:val="center"/>
          </w:tcPr>
          <w:p w14:paraId="69E239CD" w14:textId="070AB442" w:rsidR="00003ED9" w:rsidRDefault="00003ED9">
            <w:pPr>
              <w:pStyle w:val="TableText0"/>
            </w:pPr>
            <w:r>
              <w:t>FREEDOMS I</w:t>
            </w:r>
          </w:p>
        </w:tc>
        <w:tc>
          <w:tcPr>
            <w:tcW w:w="463" w:type="pct"/>
            <w:shd w:val="clear" w:color="auto" w:fill="auto"/>
            <w:vAlign w:val="center"/>
          </w:tcPr>
          <w:p w14:paraId="26D055DA" w14:textId="152CB180" w:rsidR="00003ED9" w:rsidRDefault="00003ED9">
            <w:pPr>
              <w:pStyle w:val="TableText0"/>
              <w:jc w:val="center"/>
            </w:pPr>
            <w:r>
              <w:t>1272</w:t>
            </w:r>
          </w:p>
        </w:tc>
        <w:tc>
          <w:tcPr>
            <w:tcW w:w="778" w:type="pct"/>
            <w:shd w:val="clear" w:color="auto" w:fill="auto"/>
            <w:vAlign w:val="center"/>
          </w:tcPr>
          <w:p w14:paraId="217A40A6" w14:textId="7224FE5E" w:rsidR="00003ED9" w:rsidRDefault="00003ED9">
            <w:pPr>
              <w:pStyle w:val="TableText0"/>
              <w:jc w:val="center"/>
            </w:pPr>
            <w:r>
              <w:t>R, DB, 24 months</w:t>
            </w:r>
          </w:p>
        </w:tc>
        <w:tc>
          <w:tcPr>
            <w:tcW w:w="618" w:type="pct"/>
            <w:vMerge w:val="restart"/>
            <w:shd w:val="clear" w:color="auto" w:fill="auto"/>
            <w:vAlign w:val="center"/>
          </w:tcPr>
          <w:p w14:paraId="6A0ED979" w14:textId="2F0ABEBA" w:rsidR="00003ED9" w:rsidRPr="000B114D" w:rsidRDefault="00003ED9">
            <w:pPr>
              <w:pStyle w:val="TableText0"/>
              <w:jc w:val="center"/>
            </w:pPr>
            <w:r w:rsidRPr="000B114D">
              <w:t>Low</w:t>
            </w:r>
          </w:p>
        </w:tc>
        <w:tc>
          <w:tcPr>
            <w:tcW w:w="1202" w:type="pct"/>
            <w:shd w:val="clear" w:color="auto" w:fill="auto"/>
            <w:vAlign w:val="center"/>
          </w:tcPr>
          <w:p w14:paraId="56B9E780" w14:textId="33106D39" w:rsidR="00003ED9" w:rsidRPr="0098262F" w:rsidRDefault="00003ED9" w:rsidP="00003ED9">
            <w:pPr>
              <w:pStyle w:val="TableText0"/>
            </w:pPr>
            <w:r>
              <w:t>RRMS</w:t>
            </w:r>
          </w:p>
        </w:tc>
        <w:tc>
          <w:tcPr>
            <w:tcW w:w="1230" w:type="pct"/>
            <w:vMerge w:val="restart"/>
            <w:shd w:val="clear" w:color="auto" w:fill="auto"/>
            <w:vAlign w:val="center"/>
          </w:tcPr>
          <w:p w14:paraId="34F2EC99" w14:textId="09810B0A" w:rsidR="00003ED9" w:rsidRPr="0098262F" w:rsidRDefault="00003ED9" w:rsidP="00003ED9">
            <w:pPr>
              <w:pStyle w:val="TableText0"/>
            </w:pPr>
            <w:r w:rsidRPr="00AE74F3">
              <w:t>ARR, CDP</w:t>
            </w:r>
            <w:r>
              <w:t xml:space="preserve"> </w:t>
            </w:r>
            <w:r w:rsidR="00D14E98">
              <w:t>for</w:t>
            </w:r>
            <w:r>
              <w:t xml:space="preserve"> 3 and 6 months</w:t>
            </w:r>
            <w:r w:rsidRPr="00AE74F3">
              <w:t xml:space="preserve">, </w:t>
            </w:r>
            <w:r>
              <w:t>%</w:t>
            </w:r>
            <w:r w:rsidRPr="00AE74F3">
              <w:t xml:space="preserve"> relapse free</w:t>
            </w:r>
          </w:p>
        </w:tc>
      </w:tr>
      <w:tr w:rsidR="00003ED9" w:rsidRPr="0098262F" w14:paraId="7DE919E7" w14:textId="77777777" w:rsidTr="58C81D04">
        <w:trPr>
          <w:cantSplit/>
        </w:trPr>
        <w:tc>
          <w:tcPr>
            <w:tcW w:w="709" w:type="pct"/>
            <w:shd w:val="clear" w:color="auto" w:fill="DBE5F1" w:themeFill="accent1" w:themeFillTint="33"/>
            <w:vAlign w:val="center"/>
          </w:tcPr>
          <w:p w14:paraId="15DF63F8" w14:textId="41CBD767" w:rsidR="00003ED9" w:rsidRDefault="00003ED9">
            <w:pPr>
              <w:pStyle w:val="TableText0"/>
            </w:pPr>
            <w:r>
              <w:t>FREEDOMS II</w:t>
            </w:r>
          </w:p>
        </w:tc>
        <w:tc>
          <w:tcPr>
            <w:tcW w:w="463" w:type="pct"/>
            <w:shd w:val="clear" w:color="auto" w:fill="auto"/>
            <w:vAlign w:val="center"/>
          </w:tcPr>
          <w:p w14:paraId="360AED60" w14:textId="02F31BCC" w:rsidR="00003ED9" w:rsidRDefault="00003ED9">
            <w:pPr>
              <w:pStyle w:val="TableText0"/>
              <w:jc w:val="center"/>
            </w:pPr>
            <w:r>
              <w:t>1083</w:t>
            </w:r>
          </w:p>
        </w:tc>
        <w:tc>
          <w:tcPr>
            <w:tcW w:w="778" w:type="pct"/>
            <w:shd w:val="clear" w:color="auto" w:fill="auto"/>
            <w:vAlign w:val="center"/>
          </w:tcPr>
          <w:p w14:paraId="5C4142E8" w14:textId="1E2BD99D" w:rsidR="00003ED9" w:rsidRDefault="00003ED9">
            <w:pPr>
              <w:pStyle w:val="TableText0"/>
              <w:jc w:val="center"/>
            </w:pPr>
            <w:r>
              <w:t>R, DB, 24 months</w:t>
            </w:r>
          </w:p>
        </w:tc>
        <w:tc>
          <w:tcPr>
            <w:tcW w:w="618" w:type="pct"/>
            <w:vMerge/>
            <w:vAlign w:val="center"/>
          </w:tcPr>
          <w:p w14:paraId="4EB09F9D" w14:textId="77777777" w:rsidR="00003ED9" w:rsidRPr="0098262F" w:rsidRDefault="00003ED9">
            <w:pPr>
              <w:pStyle w:val="TableText0"/>
              <w:jc w:val="center"/>
            </w:pPr>
          </w:p>
        </w:tc>
        <w:tc>
          <w:tcPr>
            <w:tcW w:w="1202" w:type="pct"/>
            <w:shd w:val="clear" w:color="auto" w:fill="auto"/>
            <w:vAlign w:val="center"/>
          </w:tcPr>
          <w:p w14:paraId="68E82200" w14:textId="0CDC2941" w:rsidR="00003ED9" w:rsidRPr="0098262F" w:rsidRDefault="00003ED9" w:rsidP="00003ED9">
            <w:pPr>
              <w:pStyle w:val="TableText0"/>
            </w:pPr>
            <w:r>
              <w:t>RRMS</w:t>
            </w:r>
          </w:p>
        </w:tc>
        <w:tc>
          <w:tcPr>
            <w:tcW w:w="1230" w:type="pct"/>
            <w:vMerge/>
            <w:vAlign w:val="center"/>
          </w:tcPr>
          <w:p w14:paraId="2C6D3D48" w14:textId="77777777" w:rsidR="00003ED9" w:rsidRPr="0098262F" w:rsidRDefault="00003ED9" w:rsidP="00003ED9">
            <w:pPr>
              <w:pStyle w:val="TableText0"/>
            </w:pPr>
          </w:p>
        </w:tc>
      </w:tr>
      <w:tr w:rsidR="00130213" w:rsidRPr="0098262F" w14:paraId="27112BCA" w14:textId="77777777" w:rsidTr="58C81D04">
        <w:trPr>
          <w:cantSplit/>
        </w:trPr>
        <w:tc>
          <w:tcPr>
            <w:tcW w:w="5000" w:type="pct"/>
            <w:gridSpan w:val="6"/>
            <w:shd w:val="clear" w:color="auto" w:fill="auto"/>
            <w:vAlign w:val="center"/>
          </w:tcPr>
          <w:p w14:paraId="700FBEA1" w14:textId="5A0D7224" w:rsidR="00130213" w:rsidRPr="00130213" w:rsidRDefault="00130213" w:rsidP="00003ED9">
            <w:pPr>
              <w:pStyle w:val="TableText0"/>
              <w:rPr>
                <w:b/>
                <w:bCs w:val="0"/>
              </w:rPr>
            </w:pPr>
            <w:r w:rsidRPr="00130213">
              <w:rPr>
                <w:b/>
                <w:bCs w:val="0"/>
              </w:rPr>
              <w:t>Teriflunomide vs interferon beta</w:t>
            </w:r>
          </w:p>
        </w:tc>
      </w:tr>
      <w:tr w:rsidR="00003ED9" w:rsidRPr="0098262F" w14:paraId="08749419" w14:textId="77777777" w:rsidTr="58C81D04">
        <w:trPr>
          <w:cantSplit/>
        </w:trPr>
        <w:tc>
          <w:tcPr>
            <w:tcW w:w="709" w:type="pct"/>
            <w:shd w:val="clear" w:color="auto" w:fill="auto"/>
            <w:vAlign w:val="center"/>
          </w:tcPr>
          <w:p w14:paraId="02B0FD27" w14:textId="1B4475F7" w:rsidR="00003ED9" w:rsidRDefault="00003ED9">
            <w:pPr>
              <w:pStyle w:val="TableText0"/>
            </w:pPr>
            <w:r>
              <w:t>TENERE</w:t>
            </w:r>
          </w:p>
        </w:tc>
        <w:tc>
          <w:tcPr>
            <w:tcW w:w="463" w:type="pct"/>
            <w:shd w:val="clear" w:color="auto" w:fill="auto"/>
            <w:vAlign w:val="center"/>
          </w:tcPr>
          <w:p w14:paraId="5AEC7D1C" w14:textId="5AC42A48" w:rsidR="00003ED9" w:rsidRDefault="00003ED9">
            <w:pPr>
              <w:pStyle w:val="TableText0"/>
              <w:jc w:val="center"/>
            </w:pPr>
            <w:r>
              <w:t>324</w:t>
            </w:r>
            <w:r w:rsidR="00DC2D74" w:rsidRPr="00DC2D74">
              <w:rPr>
                <w:vertAlign w:val="superscript"/>
              </w:rPr>
              <w:t>1</w:t>
            </w:r>
          </w:p>
        </w:tc>
        <w:tc>
          <w:tcPr>
            <w:tcW w:w="778" w:type="pct"/>
            <w:shd w:val="clear" w:color="auto" w:fill="auto"/>
            <w:vAlign w:val="center"/>
          </w:tcPr>
          <w:p w14:paraId="3D888101" w14:textId="6FE096F0" w:rsidR="00003ED9" w:rsidRDefault="00003ED9">
            <w:pPr>
              <w:pStyle w:val="TableText0"/>
              <w:jc w:val="center"/>
            </w:pPr>
            <w:r>
              <w:t>R, OL</w:t>
            </w:r>
            <w:r w:rsidR="00827EE7">
              <w:t>, 48-115 weeks</w:t>
            </w:r>
          </w:p>
        </w:tc>
        <w:tc>
          <w:tcPr>
            <w:tcW w:w="618" w:type="pct"/>
            <w:shd w:val="clear" w:color="auto" w:fill="auto"/>
            <w:vAlign w:val="center"/>
          </w:tcPr>
          <w:p w14:paraId="38C9C813" w14:textId="2E64D9D4" w:rsidR="00003ED9" w:rsidRPr="000B114D" w:rsidRDefault="00003ED9">
            <w:pPr>
              <w:pStyle w:val="TableText0"/>
              <w:jc w:val="center"/>
            </w:pPr>
            <w:r w:rsidRPr="000B114D">
              <w:t>High</w:t>
            </w:r>
          </w:p>
        </w:tc>
        <w:tc>
          <w:tcPr>
            <w:tcW w:w="1202" w:type="pct"/>
            <w:shd w:val="clear" w:color="auto" w:fill="auto"/>
            <w:vAlign w:val="center"/>
          </w:tcPr>
          <w:p w14:paraId="300D4A09" w14:textId="3A620523" w:rsidR="00003ED9" w:rsidRPr="0098262F" w:rsidRDefault="00827EE7" w:rsidP="00003ED9">
            <w:pPr>
              <w:pStyle w:val="TableText0"/>
            </w:pPr>
            <w:r>
              <w:t>RRMS, SPMS, or PRMS; 99% RRMS</w:t>
            </w:r>
          </w:p>
        </w:tc>
        <w:tc>
          <w:tcPr>
            <w:tcW w:w="1230" w:type="pct"/>
            <w:shd w:val="clear" w:color="auto" w:fill="auto"/>
            <w:vAlign w:val="center"/>
          </w:tcPr>
          <w:p w14:paraId="08DDF98A" w14:textId="62475817" w:rsidR="00003ED9" w:rsidRPr="0098262F" w:rsidRDefault="00003ED9" w:rsidP="00003ED9">
            <w:pPr>
              <w:pStyle w:val="TableText0"/>
            </w:pPr>
            <w:r>
              <w:t xml:space="preserve">Time to failure (relapse or treatment discontinuation from any cause); ARR secondary. </w:t>
            </w:r>
          </w:p>
        </w:tc>
      </w:tr>
      <w:tr w:rsidR="00130213" w:rsidRPr="0098262F" w14:paraId="2CE37ECC" w14:textId="77777777" w:rsidTr="58C81D04">
        <w:trPr>
          <w:cantSplit/>
        </w:trPr>
        <w:tc>
          <w:tcPr>
            <w:tcW w:w="5000" w:type="pct"/>
            <w:gridSpan w:val="6"/>
            <w:shd w:val="clear" w:color="auto" w:fill="DBE5F1" w:themeFill="accent1" w:themeFillTint="33"/>
            <w:vAlign w:val="center"/>
          </w:tcPr>
          <w:p w14:paraId="5E20D6F6" w14:textId="3B3ECE31" w:rsidR="00130213" w:rsidRPr="00130213" w:rsidRDefault="00130213" w:rsidP="00003ED9">
            <w:pPr>
              <w:pStyle w:val="TableText0"/>
              <w:rPr>
                <w:b/>
                <w:bCs w:val="0"/>
              </w:rPr>
            </w:pPr>
            <w:r w:rsidRPr="00130213">
              <w:rPr>
                <w:b/>
                <w:bCs w:val="0"/>
              </w:rPr>
              <w:t>Teriflunomide vs placebo</w:t>
            </w:r>
          </w:p>
        </w:tc>
      </w:tr>
      <w:tr w:rsidR="00003ED9" w:rsidRPr="0098262F" w14:paraId="0678ABFE" w14:textId="77777777" w:rsidTr="58C81D04">
        <w:trPr>
          <w:cantSplit/>
        </w:trPr>
        <w:tc>
          <w:tcPr>
            <w:tcW w:w="709" w:type="pct"/>
            <w:shd w:val="clear" w:color="auto" w:fill="DBE5F1" w:themeFill="accent1" w:themeFillTint="33"/>
            <w:vAlign w:val="center"/>
          </w:tcPr>
          <w:p w14:paraId="17A87C47" w14:textId="5C6FF0A5" w:rsidR="00003ED9" w:rsidRDefault="00003ED9">
            <w:pPr>
              <w:pStyle w:val="TableText0"/>
            </w:pPr>
            <w:r>
              <w:t>TEMSO</w:t>
            </w:r>
          </w:p>
        </w:tc>
        <w:tc>
          <w:tcPr>
            <w:tcW w:w="463" w:type="pct"/>
            <w:shd w:val="clear" w:color="auto" w:fill="auto"/>
            <w:vAlign w:val="center"/>
          </w:tcPr>
          <w:p w14:paraId="35B46E19" w14:textId="47CD6463" w:rsidR="00003ED9" w:rsidRDefault="00003ED9">
            <w:pPr>
              <w:pStyle w:val="TableText0"/>
              <w:jc w:val="center"/>
            </w:pPr>
            <w:r>
              <w:t>1088</w:t>
            </w:r>
          </w:p>
        </w:tc>
        <w:tc>
          <w:tcPr>
            <w:tcW w:w="778" w:type="pct"/>
            <w:shd w:val="clear" w:color="auto" w:fill="auto"/>
            <w:vAlign w:val="center"/>
          </w:tcPr>
          <w:p w14:paraId="65F07D0C" w14:textId="5424EF62" w:rsidR="00003ED9" w:rsidRDefault="00003ED9">
            <w:pPr>
              <w:pStyle w:val="TableText0"/>
              <w:jc w:val="center"/>
            </w:pPr>
            <w:r>
              <w:t>R, DB, 96 weeks</w:t>
            </w:r>
          </w:p>
        </w:tc>
        <w:tc>
          <w:tcPr>
            <w:tcW w:w="618" w:type="pct"/>
            <w:shd w:val="clear" w:color="auto" w:fill="auto"/>
            <w:vAlign w:val="center"/>
          </w:tcPr>
          <w:p w14:paraId="55FA3449" w14:textId="31D36181" w:rsidR="00003ED9" w:rsidRPr="000B114D" w:rsidRDefault="00003ED9">
            <w:pPr>
              <w:pStyle w:val="TableText0"/>
              <w:jc w:val="center"/>
            </w:pPr>
            <w:r w:rsidRPr="000B114D">
              <w:t>High</w:t>
            </w:r>
          </w:p>
        </w:tc>
        <w:tc>
          <w:tcPr>
            <w:tcW w:w="1202" w:type="pct"/>
            <w:shd w:val="clear" w:color="auto" w:fill="auto"/>
            <w:vAlign w:val="center"/>
          </w:tcPr>
          <w:p w14:paraId="7AB4C92E" w14:textId="0F18C223" w:rsidR="00003ED9" w:rsidRPr="0098262F" w:rsidRDefault="00003ED9" w:rsidP="00003ED9">
            <w:pPr>
              <w:pStyle w:val="TableText0"/>
            </w:pPr>
            <w:r w:rsidRPr="00AE74F3">
              <w:t>RRMS, SPMS, or PRMS</w:t>
            </w:r>
            <w:r w:rsidR="00827EE7">
              <w:t>;</w:t>
            </w:r>
            <w:r>
              <w:t xml:space="preserve"> </w:t>
            </w:r>
            <w:r w:rsidRPr="00AE74F3">
              <w:t>91% RRMS</w:t>
            </w:r>
          </w:p>
        </w:tc>
        <w:tc>
          <w:tcPr>
            <w:tcW w:w="1230" w:type="pct"/>
            <w:vMerge w:val="restart"/>
            <w:shd w:val="clear" w:color="auto" w:fill="auto"/>
            <w:vAlign w:val="center"/>
          </w:tcPr>
          <w:p w14:paraId="0496E2CD" w14:textId="5DF410BE" w:rsidR="00003ED9" w:rsidRPr="0098262F" w:rsidRDefault="00003ED9" w:rsidP="00003ED9">
            <w:pPr>
              <w:pStyle w:val="TableText0"/>
            </w:pPr>
            <w:r w:rsidRPr="00AE74F3">
              <w:t xml:space="preserve">ARR, </w:t>
            </w:r>
            <w:r>
              <w:t xml:space="preserve">% </w:t>
            </w:r>
            <w:r w:rsidRPr="00AE74F3">
              <w:t>relapse free</w:t>
            </w:r>
          </w:p>
        </w:tc>
      </w:tr>
      <w:tr w:rsidR="00003ED9" w:rsidRPr="0098262F" w14:paraId="15466118" w14:textId="77777777" w:rsidTr="58C81D04">
        <w:trPr>
          <w:cantSplit/>
        </w:trPr>
        <w:tc>
          <w:tcPr>
            <w:tcW w:w="709" w:type="pct"/>
            <w:shd w:val="clear" w:color="auto" w:fill="DBE5F1" w:themeFill="accent1" w:themeFillTint="33"/>
            <w:vAlign w:val="center"/>
          </w:tcPr>
          <w:p w14:paraId="1B74523B" w14:textId="7993AD57" w:rsidR="00003ED9" w:rsidRDefault="00003ED9">
            <w:pPr>
              <w:pStyle w:val="TableText0"/>
            </w:pPr>
            <w:r>
              <w:t>TOWER</w:t>
            </w:r>
          </w:p>
        </w:tc>
        <w:tc>
          <w:tcPr>
            <w:tcW w:w="463" w:type="pct"/>
            <w:shd w:val="clear" w:color="auto" w:fill="auto"/>
            <w:vAlign w:val="center"/>
          </w:tcPr>
          <w:p w14:paraId="58837308" w14:textId="36E6EBE7" w:rsidR="00003ED9" w:rsidRDefault="00003ED9">
            <w:pPr>
              <w:pStyle w:val="TableText0"/>
              <w:jc w:val="center"/>
            </w:pPr>
            <w:r>
              <w:t>1169</w:t>
            </w:r>
          </w:p>
        </w:tc>
        <w:tc>
          <w:tcPr>
            <w:tcW w:w="778" w:type="pct"/>
            <w:shd w:val="clear" w:color="auto" w:fill="auto"/>
            <w:vAlign w:val="center"/>
          </w:tcPr>
          <w:p w14:paraId="45E0CC54" w14:textId="4666D4CE" w:rsidR="00003ED9" w:rsidRDefault="00003ED9">
            <w:pPr>
              <w:pStyle w:val="TableText0"/>
              <w:jc w:val="center"/>
            </w:pPr>
            <w:r>
              <w:t>R DB, 48+ weeks</w:t>
            </w:r>
          </w:p>
        </w:tc>
        <w:tc>
          <w:tcPr>
            <w:tcW w:w="618" w:type="pct"/>
            <w:shd w:val="clear" w:color="auto" w:fill="auto"/>
            <w:vAlign w:val="center"/>
          </w:tcPr>
          <w:p w14:paraId="5C0B84DC" w14:textId="5C546845" w:rsidR="00003ED9" w:rsidRPr="000B114D" w:rsidRDefault="00003ED9">
            <w:pPr>
              <w:pStyle w:val="TableText0"/>
              <w:jc w:val="center"/>
            </w:pPr>
            <w:r w:rsidRPr="000B114D">
              <w:t>High</w:t>
            </w:r>
          </w:p>
        </w:tc>
        <w:tc>
          <w:tcPr>
            <w:tcW w:w="1202" w:type="pct"/>
            <w:shd w:val="clear" w:color="auto" w:fill="auto"/>
            <w:vAlign w:val="center"/>
          </w:tcPr>
          <w:p w14:paraId="40F4DDAA" w14:textId="645FB839" w:rsidR="00003ED9" w:rsidRPr="0098262F" w:rsidRDefault="00003ED9" w:rsidP="00003ED9">
            <w:pPr>
              <w:pStyle w:val="TableText0"/>
            </w:pPr>
            <w:r w:rsidRPr="00AE74F3">
              <w:t>RRMS, SPMS, or PRMS</w:t>
            </w:r>
            <w:r>
              <w:t>;</w:t>
            </w:r>
            <w:r w:rsidRPr="00AE74F3">
              <w:t xml:space="preserve"> 97% RRMS</w:t>
            </w:r>
          </w:p>
        </w:tc>
        <w:tc>
          <w:tcPr>
            <w:tcW w:w="1230" w:type="pct"/>
            <w:vMerge/>
            <w:vAlign w:val="center"/>
          </w:tcPr>
          <w:p w14:paraId="0CE89243" w14:textId="77777777" w:rsidR="00003ED9" w:rsidRPr="0098262F" w:rsidRDefault="00003ED9">
            <w:pPr>
              <w:pStyle w:val="TableText0"/>
              <w:jc w:val="center"/>
            </w:pPr>
          </w:p>
        </w:tc>
      </w:tr>
    </w:tbl>
    <w:p w14:paraId="4A1B6CC6" w14:textId="11F34DDC" w:rsidR="00003ED9" w:rsidRDefault="00746CCC" w:rsidP="00DF37D4">
      <w:pPr>
        <w:pStyle w:val="TableFooter"/>
      </w:pPr>
      <w:r w:rsidRPr="0098262F">
        <w:t xml:space="preserve">Source: </w:t>
      </w:r>
      <w:r w:rsidR="00F069F9">
        <w:t>Table 2-8, pp59-60</w:t>
      </w:r>
      <w:r w:rsidRPr="0098262F">
        <w:t xml:space="preserve"> of the submission.</w:t>
      </w:r>
      <w:r w:rsidR="00003ED9">
        <w:t>; Table 3, paragraph 6.8, ofatumumab PSD, March 2024 PBAC Meeting</w:t>
      </w:r>
      <w:r w:rsidR="00E53803">
        <w:t xml:space="preserve">; trials recently reviewed by PBAC are highlighted in light blue. </w:t>
      </w:r>
    </w:p>
    <w:p w14:paraId="663828CF" w14:textId="41E6AA73" w:rsidR="00DC2D74" w:rsidRDefault="00DC2D74" w:rsidP="00DF37D4">
      <w:pPr>
        <w:pStyle w:val="TableFooter"/>
      </w:pPr>
      <w:r w:rsidRPr="58C81D04">
        <w:rPr>
          <w:vertAlign w:val="superscript"/>
        </w:rPr>
        <w:t>1</w:t>
      </w:r>
      <w:r w:rsidRPr="58C81D04">
        <w:t xml:space="preserve"> Patients were randomised 1:1:1 to IFN or teriflunomide 7 mg or 14 mg daily; the figure of 215 given in the submission (Table 2-8, p60) is the number allocated to IFN or teriflunomide 14 mg, the dose used in the ULTIMATE I/II and ASCLEPIOS I/II trials. </w:t>
      </w:r>
    </w:p>
    <w:p w14:paraId="664B8D61" w14:textId="5216A982" w:rsidR="00540336" w:rsidRDefault="00DF37D4" w:rsidP="006200F9">
      <w:pPr>
        <w:pStyle w:val="TableFooter"/>
        <w:spacing w:after="120"/>
        <w:rPr>
          <w:color w:val="0066FF"/>
        </w:rPr>
      </w:pPr>
      <w:r w:rsidRPr="58C81D04">
        <w:t>ARR = annualised relapse rate; CDP = confirmed dis</w:t>
      </w:r>
      <w:r w:rsidR="00D14E98" w:rsidRPr="58C81D04">
        <w:t>ability</w:t>
      </w:r>
      <w:r w:rsidRPr="58C81D04">
        <w:t xml:space="preserve"> progression; </w:t>
      </w:r>
      <w:r w:rsidR="00746CCC" w:rsidRPr="58C81D04">
        <w:t xml:space="preserve">DB = double blind; </w:t>
      </w:r>
      <w:r w:rsidR="00DC3D46" w:rsidRPr="58C81D04">
        <w:t xml:space="preserve">IFN = interferon beta; </w:t>
      </w:r>
      <w:r w:rsidR="00D71B29" w:rsidRPr="58C81D04">
        <w:t xml:space="preserve">PPMS = primary progressive multiple sclerosis; PRMS = progressive-relapsing multiple sclerosis; </w:t>
      </w:r>
      <w:r w:rsidR="00746CCC" w:rsidRPr="58C81D04">
        <w:t>R = randomised</w:t>
      </w:r>
      <w:r w:rsidRPr="58C81D04">
        <w:t xml:space="preserve">; </w:t>
      </w:r>
      <w:r w:rsidR="00130213" w:rsidRPr="58C81D04">
        <w:t>RMS= relapsing multiple sclerosis (</w:t>
      </w:r>
      <w:r w:rsidR="00A16518" w:rsidRPr="58C81D04">
        <w:t>i.e.</w:t>
      </w:r>
      <w:r w:rsidR="00130213" w:rsidRPr="58C81D04">
        <w:t xml:space="preserve">, RRMS, PRMS and SPMS included; PPMS excluded); </w:t>
      </w:r>
      <w:r w:rsidRPr="58C81D04">
        <w:t xml:space="preserve">RRMS = relapsing-remitting multiple sclerosis; </w:t>
      </w:r>
      <w:r w:rsidR="00D71B29" w:rsidRPr="58C81D04">
        <w:t xml:space="preserve">SPMS = secondary progressive multiple sclerosis. </w:t>
      </w:r>
    </w:p>
    <w:p w14:paraId="3836A586" w14:textId="5216E75A" w:rsidR="00E53803" w:rsidRPr="008F34E1" w:rsidRDefault="00E53803" w:rsidP="00E53803">
      <w:pPr>
        <w:pStyle w:val="3-BodyText"/>
      </w:pPr>
      <w:r w:rsidRPr="008F34E1">
        <w:t xml:space="preserve">The </w:t>
      </w:r>
      <w:r w:rsidR="00D51227" w:rsidRPr="008F34E1">
        <w:t xml:space="preserve">previous </w:t>
      </w:r>
      <w:r w:rsidRPr="008F34E1">
        <w:t>submissions to the PBAC for the listing of ocrelizumab</w:t>
      </w:r>
      <w:r w:rsidR="00C02AD0" w:rsidRPr="008F34E1">
        <w:t xml:space="preserve"> (July 2020)</w:t>
      </w:r>
      <w:r w:rsidRPr="008F34E1">
        <w:t xml:space="preserve"> and ofatumumab</w:t>
      </w:r>
      <w:r w:rsidR="008D3999" w:rsidRPr="008F34E1">
        <w:t xml:space="preserve"> (March 2021)</w:t>
      </w:r>
      <w:r w:rsidRPr="008F34E1">
        <w:t xml:space="preserve">, and the March 2024 ofatumumab submission, all relied on indirect treatment comparisons against fingolimod using the same data as the present submission. </w:t>
      </w:r>
    </w:p>
    <w:p w14:paraId="2378D82E" w14:textId="5DC69A94" w:rsidR="00E53803" w:rsidRPr="008F34E1" w:rsidRDefault="00E53803" w:rsidP="00E53803">
      <w:pPr>
        <w:pStyle w:val="3-BodyText"/>
      </w:pPr>
      <w:r w:rsidRPr="008F34E1">
        <w:t xml:space="preserve">The </w:t>
      </w:r>
      <w:r w:rsidR="00B734B3" w:rsidRPr="008F34E1">
        <w:t xml:space="preserve">present </w:t>
      </w:r>
      <w:r w:rsidRPr="008F34E1">
        <w:t>submission also presented a network meta-analysis (NMA)</w:t>
      </w:r>
      <w:r w:rsidR="00A16518" w:rsidRPr="008F34E1">
        <w:t xml:space="preserve">. </w:t>
      </w:r>
      <w:r w:rsidRPr="008F34E1">
        <w:t>PBAC noted in March 2024 that only one NMA was presented by the submission then under consideration, although eight published NMAs had been identified (paragraph 6.37, ofatumumab PSD, March 2024 PBAC Meeting). The present submission also presented only one NMA (ICER, 202</w:t>
      </w:r>
      <w:r w:rsidR="00A63A56" w:rsidRPr="008F34E1">
        <w:t>3</w:t>
      </w:r>
      <w:r w:rsidRPr="008F34E1">
        <w:t>)</w:t>
      </w:r>
      <w:r w:rsidR="00A63A56" w:rsidRPr="008F34E1">
        <w:t xml:space="preserve">; this NMA was among those </w:t>
      </w:r>
      <w:r w:rsidR="002230FE" w:rsidRPr="008F34E1">
        <w:t xml:space="preserve">not presented in March 2024 but </w:t>
      </w:r>
      <w:r w:rsidR="00A63A56" w:rsidRPr="008F34E1">
        <w:t xml:space="preserve">briefly considered by PBAC (paragraph 6.52, 6.53, </w:t>
      </w:r>
      <w:r w:rsidR="00820F9C" w:rsidRPr="008F34E1">
        <w:t>o</w:t>
      </w:r>
      <w:r w:rsidR="00A63A56" w:rsidRPr="008F34E1">
        <w:t xml:space="preserve">fatumumab PSD, </w:t>
      </w:r>
      <w:r w:rsidR="006C5B56" w:rsidRPr="008F34E1">
        <w:t>M</w:t>
      </w:r>
      <w:r w:rsidR="00A63A56" w:rsidRPr="008F34E1">
        <w:t>arch 2024 PBAC Meeting)</w:t>
      </w:r>
      <w:r w:rsidR="00540336" w:rsidRPr="008F34E1">
        <w:t xml:space="preserve">. </w:t>
      </w:r>
    </w:p>
    <w:p w14:paraId="6E0A0FA9" w14:textId="10679782" w:rsidR="00E53803" w:rsidRPr="008F34E1" w:rsidRDefault="00E53803" w:rsidP="58C81D04">
      <w:pPr>
        <w:pStyle w:val="3-BodyText"/>
      </w:pPr>
      <w:r w:rsidRPr="008F34E1">
        <w:t xml:space="preserve">The trials of teriflunomide versus placebo (TOWER and TEMSO) </w:t>
      </w:r>
      <w:r w:rsidR="003831E4" w:rsidRPr="008F34E1">
        <w:t xml:space="preserve">and the trial of teriflunomide versus interferon beta (TENERE) </w:t>
      </w:r>
      <w:r w:rsidRPr="008F34E1">
        <w:t xml:space="preserve">are central to indirect treatment comparisons of ocrelizumab, ofatumumab and ublituximab with fingolimod. At its March 2021 and March 2024 meetings the PBAC determined that </w:t>
      </w:r>
      <w:r w:rsidR="003831E4" w:rsidRPr="008F34E1">
        <w:t>TOWER and TEMSO</w:t>
      </w:r>
      <w:r w:rsidRPr="008F34E1">
        <w:t xml:space="preserve"> </w:t>
      </w:r>
      <w:r w:rsidRPr="008F34E1">
        <w:lastRenderedPageBreak/>
        <w:t>had a high overall risk of bias, and that for this reason indirect treatment comparisons depending on those trials were difficult to interpret (paragraph 6.9, ofatumumab PSD, March 2024 PBAC Meeting).</w:t>
      </w:r>
    </w:p>
    <w:p w14:paraId="1307B405" w14:textId="5EB7D537" w:rsidR="00E53803" w:rsidRPr="008F34E1" w:rsidRDefault="00E53803" w:rsidP="00E53803">
      <w:pPr>
        <w:pStyle w:val="3-BodyText"/>
      </w:pPr>
      <w:r w:rsidRPr="008F34E1">
        <w:t xml:space="preserve">The </w:t>
      </w:r>
      <w:r w:rsidR="00B734B3" w:rsidRPr="008F34E1">
        <w:t xml:space="preserve">present </w:t>
      </w:r>
      <w:r w:rsidRPr="008F34E1">
        <w:t xml:space="preserve">submission took issue with PBAC's assessment of TEMSO and TOWER as having a high overall risk of bias. </w:t>
      </w:r>
      <w:r w:rsidR="005B5A22" w:rsidRPr="008F34E1">
        <w:t xml:space="preserve">These issues </w:t>
      </w:r>
      <w:r w:rsidR="00E9086C" w:rsidRPr="008F34E1">
        <w:t xml:space="preserve">are summarised and discussed below. </w:t>
      </w:r>
    </w:p>
    <w:p w14:paraId="2991CD67" w14:textId="45DEAC93" w:rsidR="00E53803" w:rsidRPr="008F34E1" w:rsidRDefault="00E53803" w:rsidP="58C81D04">
      <w:pPr>
        <w:pStyle w:val="3-BodyText"/>
      </w:pPr>
      <w:r w:rsidRPr="008F34E1">
        <w:t>The PBAC assessed TEMSO as having a high risk of detection bias, "as relapse outcomes identified by a blinded assessor had to be confirmed by an unblinded treating neurologist, meaning that the assessment was effectively unblinded"</w:t>
      </w:r>
      <w:r w:rsidR="00C951B2" w:rsidRPr="008F34E1">
        <w:t xml:space="preserve"> </w:t>
      </w:r>
      <w:r w:rsidRPr="008F34E1">
        <w:t xml:space="preserve">(paragraph 6.15, ofatumumab PSD, March 2021 PBAC Meeting; paragraph 6.9, ofatumumab PSD, March 2024 PBAC Meeting). The </w:t>
      </w:r>
      <w:r w:rsidR="00501778" w:rsidRPr="008F34E1">
        <w:t xml:space="preserve">present </w:t>
      </w:r>
      <w:r w:rsidRPr="008F34E1">
        <w:t xml:space="preserve">submission correctly noted that the study protocol does not state that the treating neurologist was unblinded to </w:t>
      </w:r>
      <w:r w:rsidRPr="008F34E1">
        <w:rPr>
          <w:u w:val="single"/>
        </w:rPr>
        <w:t>treatment allocation</w:t>
      </w:r>
      <w:r w:rsidRPr="008F34E1">
        <w:t xml:space="preserve"> and suggested that for this reason PBAC's reference to effective unblinding and its assessment of the risk of detection bias in TEMSO as high was erroneous</w:t>
      </w:r>
      <w:r w:rsidR="00A16518" w:rsidRPr="008F34E1">
        <w:t xml:space="preserve">. </w:t>
      </w:r>
      <w:r w:rsidRPr="008F34E1">
        <w:t xml:space="preserve">However, blinding of treatment allocation was not the issue: </w:t>
      </w:r>
      <w:r w:rsidR="00621ADF" w:rsidRPr="008F34E1">
        <w:t>a</w:t>
      </w:r>
      <w:r w:rsidR="00D45D61" w:rsidRPr="008F34E1">
        <w:t>s</w:t>
      </w:r>
      <w:r w:rsidR="00621ADF" w:rsidRPr="008F34E1">
        <w:t xml:space="preserve"> noted in a Cochrane </w:t>
      </w:r>
      <w:r w:rsidR="00B708E5" w:rsidRPr="008F34E1">
        <w:t>review of teriflunomide for multiple sclerosis</w:t>
      </w:r>
      <w:r w:rsidR="00B708E5" w:rsidRPr="008F34E1">
        <w:rPr>
          <w:rStyle w:val="FootnoteReference"/>
        </w:rPr>
        <w:footnoteReference w:id="4"/>
      </w:r>
      <w:r w:rsidR="00B708E5" w:rsidRPr="008F34E1">
        <w:t xml:space="preserve">, </w:t>
      </w:r>
      <w:r w:rsidR="007249B3" w:rsidRPr="008F34E1">
        <w:t>a</w:t>
      </w:r>
      <w:r w:rsidRPr="008F34E1">
        <w:t xml:space="preserve"> high risk of detection bias</w:t>
      </w:r>
      <w:r w:rsidR="007249B3" w:rsidRPr="008F34E1">
        <w:t xml:space="preserve"> was considered to </w:t>
      </w:r>
      <w:r w:rsidRPr="008F34E1">
        <w:t>ar</w:t>
      </w:r>
      <w:r w:rsidR="007249B3" w:rsidRPr="008F34E1">
        <w:t>i</w:t>
      </w:r>
      <w:r w:rsidRPr="008F34E1">
        <w:t>se because the treating neurologist, who decided whether a relapse had occurred, was not blinded to the patient's history of adverse events and concomitant medications, including steroid treatment for relapse</w:t>
      </w:r>
      <w:r w:rsidR="00C951B2" w:rsidRPr="008F34E1">
        <w:t>s</w:t>
      </w:r>
      <w:r w:rsidRPr="008F34E1">
        <w:t>. The examining neurologist (the "blinded assessor") was blinded to those results (O'Connor, 2011), but this was assessed as inadequate blinding of outcome assessment, since the</w:t>
      </w:r>
      <w:r w:rsidR="00D14E98" w:rsidRPr="008F34E1">
        <w:t xml:space="preserve"> blinded assessor</w:t>
      </w:r>
      <w:r w:rsidRPr="008F34E1">
        <w:t xml:space="preserve"> did not make the relevant decision.</w:t>
      </w:r>
      <w:r w:rsidR="003971AD" w:rsidRPr="008F34E1">
        <w:t xml:space="preserve"> In the case of the TENERE study</w:t>
      </w:r>
      <w:r w:rsidR="009A7F16" w:rsidRPr="008F34E1">
        <w:t xml:space="preserve"> of teriflunomide</w:t>
      </w:r>
      <w:r w:rsidR="00876F87" w:rsidRPr="008F34E1">
        <w:t xml:space="preserve">, which was open label, </w:t>
      </w:r>
      <w:r w:rsidR="00D171A2" w:rsidRPr="008F34E1">
        <w:t xml:space="preserve">the treating neurologist who made the decision as to whether a relapse occurred was </w:t>
      </w:r>
      <w:r w:rsidR="00D171A2" w:rsidRPr="008F34E1">
        <w:rPr>
          <w:u w:val="single"/>
        </w:rPr>
        <w:t>not</w:t>
      </w:r>
      <w:r w:rsidR="00D171A2" w:rsidRPr="008F34E1">
        <w:t xml:space="preserve"> blinded to treatment allocation. </w:t>
      </w:r>
    </w:p>
    <w:p w14:paraId="5981BAFD" w14:textId="388BAA1C" w:rsidR="00E53803" w:rsidRPr="008F34E1" w:rsidRDefault="00E53803" w:rsidP="58C81D04">
      <w:pPr>
        <w:pStyle w:val="3-BodyText"/>
      </w:pPr>
      <w:r w:rsidRPr="008F34E1">
        <w:t xml:space="preserve">In OPERA I/II, ASCLEPIUS I/II and ULTIMATE I/II a similar system of blinded examining neurologists was used, but protocol-defined relapses were adjudicated centrally, rather than by treating neurologists, </w:t>
      </w:r>
      <w:r w:rsidR="00D233EE" w:rsidRPr="008F34E1">
        <w:t xml:space="preserve">which effectively eliminated the risk of detection bias </w:t>
      </w:r>
      <w:r w:rsidR="00F17143" w:rsidRPr="008F34E1">
        <w:t>considered to arise</w:t>
      </w:r>
      <w:r w:rsidR="00D233EE" w:rsidRPr="008F34E1">
        <w:t xml:space="preserve"> in TEMSO and TOWER</w:t>
      </w:r>
      <w:r w:rsidR="00A16518" w:rsidRPr="008F34E1">
        <w:t xml:space="preserve">. </w:t>
      </w:r>
    </w:p>
    <w:p w14:paraId="3C74ADC2" w14:textId="4D7B94FE" w:rsidR="00273025" w:rsidRPr="008F34E1" w:rsidRDefault="00E53803" w:rsidP="58C81D04">
      <w:pPr>
        <w:pStyle w:val="3-BodyText"/>
      </w:pPr>
      <w:r w:rsidRPr="008F34E1">
        <w:t>The risk of attrition bias was rated as high in TOWER because the dropout rate was very high (29.8%), and as unclear in TEMSO because, although the dropout rate was lower (20.1%) the reasons for dropouts were</w:t>
      </w:r>
      <w:r w:rsidR="003831E4" w:rsidRPr="008F34E1">
        <w:t>, in the PBAC's judgement,</w:t>
      </w:r>
      <w:r w:rsidRPr="008F34E1">
        <w:t xml:space="preserve"> not adequately described. The submission disputed the PBAC's assessment on the ground that dropout rates were similar in all study arms but discrepancies between the arms were not the reason for the risk of attrition bias being rated high or unclear</w:t>
      </w:r>
      <w:r w:rsidR="00A16518" w:rsidRPr="008F34E1">
        <w:t xml:space="preserve">. </w:t>
      </w:r>
    </w:p>
    <w:p w14:paraId="01450D90" w14:textId="444E3DCD" w:rsidR="00D241C1" w:rsidRDefault="00D34763" w:rsidP="58C81D04">
      <w:pPr>
        <w:pStyle w:val="3-BodyText"/>
      </w:pPr>
      <w:r w:rsidRPr="008F34E1">
        <w:t xml:space="preserve">There </w:t>
      </w:r>
      <w:r w:rsidR="00F17143" w:rsidRPr="008F34E1">
        <w:t>wa</w:t>
      </w:r>
      <w:r w:rsidRPr="008F34E1">
        <w:t>s a noteworthy difference in discontinuation rates for teriflunomide across trials where it was the intervention or active comparator. In the pivotal ublituximab trials (ULTIMATE I/II), discontinuation of teriflunomide</w:t>
      </w:r>
      <w:r w:rsidR="009047E3" w:rsidRPr="008F34E1">
        <w:t xml:space="preserve"> was 8.4% </w:t>
      </w:r>
      <w:r w:rsidR="00F525FB" w:rsidRPr="008F34E1">
        <w:t xml:space="preserve">and 12.5%, </w:t>
      </w:r>
      <w:r w:rsidR="00F525FB" w:rsidRPr="008F34E1">
        <w:lastRenderedPageBreak/>
        <w:t>respectively</w:t>
      </w:r>
      <w:r w:rsidR="00CA7060" w:rsidRPr="008F34E1">
        <w:t xml:space="preserve">. </w:t>
      </w:r>
      <w:r w:rsidRPr="008F34E1">
        <w:t>Thi</w:t>
      </w:r>
      <w:r w:rsidR="00CA7060" w:rsidRPr="008F34E1">
        <w:t>s</w:t>
      </w:r>
      <w:r w:rsidRPr="008F34E1">
        <w:t xml:space="preserve"> was lower than that observed in other trials</w:t>
      </w:r>
      <w:r w:rsidR="00453501" w:rsidRPr="008F34E1">
        <w:t>, with</w:t>
      </w:r>
      <w:r w:rsidR="00F525FB" w:rsidRPr="008F34E1">
        <w:t xml:space="preserve"> overall teriflunomide discontinuation rates of </w:t>
      </w:r>
      <w:r w:rsidR="00D34C67" w:rsidRPr="008F34E1">
        <w:t>17.5% and 17.7% in ASCLEPIOS I/II (ofatumumab trials)</w:t>
      </w:r>
      <w:r w:rsidR="00DF6702" w:rsidRPr="008F34E1">
        <w:t xml:space="preserve"> and</w:t>
      </w:r>
      <w:r w:rsidR="00453501" w:rsidRPr="008F34E1">
        <w:t xml:space="preserve"> discontinuation rates</w:t>
      </w:r>
      <w:r w:rsidR="00CA7060" w:rsidRPr="008F34E1">
        <w:t xml:space="preserve"> </w:t>
      </w:r>
      <w:r w:rsidR="00DF6702" w:rsidRPr="008F34E1">
        <w:t>in the teriflunomide</w:t>
      </w:r>
      <w:r w:rsidR="00F17143" w:rsidRPr="008F34E1">
        <w:t xml:space="preserve"> vs placebo</w:t>
      </w:r>
      <w:r w:rsidR="00DF6702" w:rsidRPr="008F34E1">
        <w:t xml:space="preserve"> trials </w:t>
      </w:r>
      <w:r w:rsidR="00453501" w:rsidRPr="008F34E1">
        <w:t>of 26.5% in TEMSO, 33.9% in TOWER, and 19.8% in TENERE</w:t>
      </w:r>
      <w:r w:rsidR="00DF6702" w:rsidRPr="008F34E1">
        <w:t xml:space="preserve">. </w:t>
      </w:r>
    </w:p>
    <w:p w14:paraId="109249EC" w14:textId="793FECBB" w:rsidR="00734757" w:rsidRDefault="00734757" w:rsidP="58C81D04">
      <w:pPr>
        <w:pStyle w:val="3-BodyText"/>
      </w:pPr>
      <w:r w:rsidRPr="000B114D">
        <w:t xml:space="preserve">The ESC considered the risk of bias issues for the teriflunomide bridging studies (TEMSO, TOWER and TENERE) introduced significant uncertainty to the multi-step indirect treatment comparisons of </w:t>
      </w:r>
      <w:r w:rsidR="0001101A" w:rsidRPr="000B114D">
        <w:t>ublituximab to fingolimod and ocrelizumab, which compounded the inherent uncertainty of</w:t>
      </w:r>
      <w:r w:rsidR="00F306C9" w:rsidRPr="000B114D">
        <w:t xml:space="preserve"> such multi-step comparisons. Given these issues, the ESC </w:t>
      </w:r>
      <w:r w:rsidR="00482DC8" w:rsidRPr="000B114D">
        <w:t>was concerned the comparisons to ocrelizumab and fingolimod may not be robust</w:t>
      </w:r>
      <w:r w:rsidR="007D05A0" w:rsidRPr="000B114D">
        <w:t>, particularly in the case of fingolimod given the comparisons were relied upon for a claim of superior comparative effectiveness</w:t>
      </w:r>
      <w:r w:rsidR="004E6558" w:rsidRPr="000B114D">
        <w:t xml:space="preserve">. </w:t>
      </w:r>
      <w:r w:rsidR="00E158CA" w:rsidRPr="000B114D">
        <w:t>However,</w:t>
      </w:r>
      <w:r w:rsidR="004E6558" w:rsidRPr="000B114D">
        <w:t xml:space="preserve"> the ESC also noted the indirect comparison with ofatumumab was based on a single-step indirect comparison with teriflunomide as the common comparator, and the ULTIMATE I/II </w:t>
      </w:r>
      <w:r w:rsidR="00FC3530" w:rsidRPr="000B114D">
        <w:t xml:space="preserve">(ublituximab) </w:t>
      </w:r>
      <w:r w:rsidR="004E6558" w:rsidRPr="000B114D">
        <w:t xml:space="preserve">and ASCLEPIOS I/II </w:t>
      </w:r>
      <w:r w:rsidR="00FC3530" w:rsidRPr="000B114D">
        <w:t xml:space="preserve">(ofatumumab) </w:t>
      </w:r>
      <w:r w:rsidR="004E6558" w:rsidRPr="000B114D">
        <w:t xml:space="preserve">trials appeared to be of high quality, with a low risk of bias. </w:t>
      </w:r>
    </w:p>
    <w:p w14:paraId="4F7B3E9A" w14:textId="4572F8DC" w:rsidR="0098783B" w:rsidRPr="008F34E1" w:rsidRDefault="0098783B" w:rsidP="58C81D04">
      <w:pPr>
        <w:pStyle w:val="3-BodyText"/>
      </w:pPr>
      <w:r>
        <w:t xml:space="preserve">The Pre-PBAC Response </w:t>
      </w:r>
      <w:r w:rsidR="009E0291">
        <w:t xml:space="preserve">argued the risk of bias </w:t>
      </w:r>
      <w:r w:rsidR="006C31DE">
        <w:t xml:space="preserve">impact due to potential unblinding in </w:t>
      </w:r>
      <w:r w:rsidR="009D4A60">
        <w:t>TOWER was overstated</w:t>
      </w:r>
      <w:r w:rsidR="00FE7430">
        <w:t xml:space="preserve"> </w:t>
      </w:r>
      <w:r w:rsidR="00887AF4">
        <w:t>a</w:t>
      </w:r>
      <w:r w:rsidR="00CC77DD">
        <w:t xml:space="preserve">nd </w:t>
      </w:r>
      <w:r w:rsidR="006304CF">
        <w:t xml:space="preserve">should not invalidate the complete indirect treatment comparison results, including the </w:t>
      </w:r>
      <w:r w:rsidR="00112049">
        <w:t xml:space="preserve">claim of superiority of ublituximab over fingolimod made in the submission. </w:t>
      </w:r>
    </w:p>
    <w:p w14:paraId="6296489E" w14:textId="71361BE7" w:rsidR="001113FE" w:rsidRPr="008F34E1" w:rsidRDefault="00470AE8" w:rsidP="00EC5836">
      <w:pPr>
        <w:pStyle w:val="3-BodyText"/>
        <w:rPr>
          <w:color w:val="000000" w:themeColor="text1"/>
        </w:rPr>
      </w:pPr>
      <w:r w:rsidRPr="008F34E1">
        <w:rPr>
          <w:color w:val="000000" w:themeColor="text1"/>
        </w:rPr>
        <w:t xml:space="preserve">ULTIMATE I/II had a lower mean age and fewer female patients than other trials, especially compared to FREEDOMS I/II, which also had a </w:t>
      </w:r>
      <w:r w:rsidR="00E57CE9" w:rsidRPr="008F34E1">
        <w:rPr>
          <w:color w:val="000000" w:themeColor="text1"/>
        </w:rPr>
        <w:t xml:space="preserve">significantly </w:t>
      </w:r>
      <w:r w:rsidRPr="008F34E1">
        <w:rPr>
          <w:color w:val="000000" w:themeColor="text1"/>
        </w:rPr>
        <w:t>longer time between symptom onset and the trial</w:t>
      </w:r>
      <w:r w:rsidR="009E0984" w:rsidRPr="008F34E1">
        <w:rPr>
          <w:color w:val="000000" w:themeColor="text1"/>
        </w:rPr>
        <w:t xml:space="preserve"> but</w:t>
      </w:r>
      <w:r w:rsidRPr="008F34E1">
        <w:rPr>
          <w:color w:val="000000" w:themeColor="text1"/>
        </w:rPr>
        <w:t xml:space="preserve"> </w:t>
      </w:r>
      <w:r w:rsidR="00E169AB" w:rsidRPr="008F34E1">
        <w:rPr>
          <w:color w:val="000000" w:themeColor="text1"/>
        </w:rPr>
        <w:t xml:space="preserve">despite this </w:t>
      </w:r>
      <w:r w:rsidRPr="008F34E1">
        <w:rPr>
          <w:color w:val="000000" w:themeColor="text1"/>
        </w:rPr>
        <w:t>a lower mean baseline EDSS (paragraph 6.11, ofatumumab PSD, March 2024 PBAC Meeting). Patients in TENERE had lower mean baseline EDSS than patients in other trials, including FREEDOMS I/II</w:t>
      </w:r>
      <w:r w:rsidR="00E57CE9" w:rsidRPr="008F34E1">
        <w:rPr>
          <w:color w:val="000000" w:themeColor="text1"/>
        </w:rPr>
        <w:t xml:space="preserve">, despite similar duration of disease. </w:t>
      </w:r>
    </w:p>
    <w:p w14:paraId="484D839A" w14:textId="2E58C25D" w:rsidR="00287CAE" w:rsidRPr="008F34E1" w:rsidRDefault="00287CAE" w:rsidP="58C81D04">
      <w:pPr>
        <w:pStyle w:val="3-BodyText"/>
        <w:rPr>
          <w:color w:val="000000" w:themeColor="text1"/>
        </w:rPr>
      </w:pPr>
      <w:r w:rsidRPr="008F34E1">
        <w:rPr>
          <w:color w:val="000000" w:themeColor="text1"/>
        </w:rPr>
        <w:t xml:space="preserve">The proportion of patients with prior use of disease-modifying therapies was lower in ULTIMATE I/II </w:t>
      </w:r>
      <w:r w:rsidR="000A54B7" w:rsidRPr="008F34E1">
        <w:rPr>
          <w:color w:val="000000" w:themeColor="text1"/>
        </w:rPr>
        <w:t>(</w:t>
      </w:r>
      <w:r w:rsidR="00724DA6" w:rsidRPr="008F34E1">
        <w:rPr>
          <w:rFonts w:ascii="Symbol" w:eastAsia="Symbol" w:hAnsi="Symbol" w:cs="Symbol"/>
          <w:color w:val="000000" w:themeColor="text1"/>
        </w:rPr>
        <w:t>»</w:t>
      </w:r>
      <w:r w:rsidR="000A54B7" w:rsidRPr="008F34E1">
        <w:rPr>
          <w:color w:val="000000" w:themeColor="text1"/>
        </w:rPr>
        <w:t xml:space="preserve">40%) </w:t>
      </w:r>
      <w:r w:rsidRPr="008F34E1">
        <w:rPr>
          <w:color w:val="000000" w:themeColor="text1"/>
        </w:rPr>
        <w:t>than in ASCLEPIOS I/II (</w:t>
      </w:r>
      <w:r w:rsidR="00724DA6" w:rsidRPr="008F34E1">
        <w:rPr>
          <w:rFonts w:ascii="Symbol" w:eastAsia="Symbol" w:hAnsi="Symbol" w:cs="Symbol"/>
          <w:color w:val="000000" w:themeColor="text1"/>
        </w:rPr>
        <w:t>»</w:t>
      </w:r>
      <w:r w:rsidRPr="008F34E1">
        <w:rPr>
          <w:color w:val="000000" w:themeColor="text1"/>
        </w:rPr>
        <w:t>60%) and FREEDOMS II (74%), but higher than in OPERA I/II (&lt;30%), TEMSO, TOWER and TENERE</w:t>
      </w:r>
      <w:r w:rsidR="0072293F" w:rsidRPr="008F34E1">
        <w:rPr>
          <w:color w:val="000000" w:themeColor="text1"/>
        </w:rPr>
        <w:t>. It is notable that in TE</w:t>
      </w:r>
      <w:r w:rsidR="000A54B7" w:rsidRPr="008F34E1">
        <w:rPr>
          <w:color w:val="000000" w:themeColor="text1"/>
        </w:rPr>
        <w:t>N</w:t>
      </w:r>
      <w:r w:rsidR="0072293F" w:rsidRPr="008F34E1">
        <w:rPr>
          <w:color w:val="000000" w:themeColor="text1"/>
        </w:rPr>
        <w:t xml:space="preserve">ERE the proportion with prior use of disease-modifying therapies was clearly lower among patients allocated to teriflunomide (11.7%) than among patients allocated to interferon (24%). </w:t>
      </w:r>
    </w:p>
    <w:p w14:paraId="5FDF78E2" w14:textId="7F3AC2E2" w:rsidR="00744B2D" w:rsidRPr="007E7A5E" w:rsidRDefault="0072293F" w:rsidP="00402011">
      <w:pPr>
        <w:pStyle w:val="3-BodyText"/>
      </w:pPr>
      <w:r w:rsidRPr="00402011">
        <w:t>These baseline differences are similar to those previously determined by PBAC to raise transitivity issues with indirect treatment comparisons using this data set (paragraph 6.15, ofatumumab PSD, March 2024 PBAC Meeting</w:t>
      </w:r>
      <w:r w:rsidR="006C791A" w:rsidRPr="00402011">
        <w:t>)</w:t>
      </w:r>
      <w:r w:rsidRPr="00402011">
        <w:t xml:space="preserve">. </w:t>
      </w:r>
      <w:r w:rsidR="00E82239" w:rsidRPr="00402011">
        <w:t>The evaluation considered p</w:t>
      </w:r>
      <w:r w:rsidR="00581ACB" w:rsidRPr="00402011">
        <w:t>rior use of DMTs may be particularly important</w:t>
      </w:r>
      <w:r w:rsidR="00E169AB" w:rsidRPr="00402011">
        <w:t xml:space="preserve"> as a transitivity issue</w:t>
      </w:r>
      <w:r w:rsidR="00581ACB" w:rsidRPr="00402011">
        <w:t xml:space="preserve">. </w:t>
      </w:r>
    </w:p>
    <w:p w14:paraId="4A4FE085" w14:textId="1C5613CC" w:rsidR="00B60939" w:rsidRPr="00004D7E" w:rsidRDefault="00B60939" w:rsidP="00004D7E">
      <w:pPr>
        <w:pStyle w:val="4-SubsectionHeading"/>
      </w:pPr>
      <w:bookmarkStart w:id="27" w:name="_Toc22897641"/>
      <w:bookmarkStart w:id="28" w:name="_Toc193112853"/>
      <w:r w:rsidRPr="00004D7E">
        <w:t>Comparative effectiveness</w:t>
      </w:r>
      <w:bookmarkEnd w:id="27"/>
      <w:bookmarkEnd w:id="28"/>
    </w:p>
    <w:p w14:paraId="16CBB3FF" w14:textId="32E8F248" w:rsidR="00A7486B" w:rsidRPr="00F0682C" w:rsidRDefault="00CE36BA" w:rsidP="58C81D04">
      <w:pPr>
        <w:pStyle w:val="3-BodyText"/>
        <w:rPr>
          <w:lang w:eastAsia="en-US"/>
        </w:rPr>
      </w:pPr>
      <w:r w:rsidRPr="00F0682C">
        <w:rPr>
          <w:lang w:eastAsia="en-US"/>
        </w:rPr>
        <w:t>Efficacy results for ULTIMATE I and II are shown in</w:t>
      </w:r>
      <w:r w:rsidR="00757615" w:rsidRPr="00F0682C">
        <w:rPr>
          <w:lang w:eastAsia="en-US"/>
        </w:rPr>
        <w:t xml:space="preserve"> </w:t>
      </w:r>
      <w:r w:rsidR="002C2AE5" w:rsidRPr="00F0682C">
        <w:rPr>
          <w:lang w:eastAsia="en-US"/>
        </w:rPr>
        <w:fldChar w:fldCharType="begin"/>
      </w:r>
      <w:r w:rsidR="002C2AE5" w:rsidRPr="00F0682C">
        <w:rPr>
          <w:lang w:eastAsia="en-US"/>
        </w:rPr>
        <w:instrText xml:space="preserve"> REF _Ref190519345 \h </w:instrText>
      </w:r>
      <w:r w:rsidR="008F34E1" w:rsidRPr="00F0682C">
        <w:rPr>
          <w:lang w:eastAsia="en-US"/>
        </w:rPr>
        <w:instrText xml:space="preserve"> \* MERGEFORMAT </w:instrText>
      </w:r>
      <w:r w:rsidR="002C2AE5" w:rsidRPr="00F0682C">
        <w:rPr>
          <w:lang w:eastAsia="en-US"/>
        </w:rPr>
      </w:r>
      <w:r w:rsidR="002C2AE5" w:rsidRPr="00F0682C">
        <w:rPr>
          <w:lang w:eastAsia="en-US"/>
        </w:rPr>
        <w:fldChar w:fldCharType="separate"/>
      </w:r>
      <w:r w:rsidR="00D925D4">
        <w:t xml:space="preserve">Table </w:t>
      </w:r>
      <w:r w:rsidR="00D925D4">
        <w:rPr>
          <w:noProof/>
        </w:rPr>
        <w:t>4</w:t>
      </w:r>
      <w:r w:rsidR="002C2AE5" w:rsidRPr="00F0682C">
        <w:rPr>
          <w:lang w:eastAsia="en-US"/>
        </w:rPr>
        <w:fldChar w:fldCharType="end"/>
      </w:r>
      <w:r w:rsidR="0010257B" w:rsidRPr="00F0682C">
        <w:rPr>
          <w:lang w:eastAsia="en-US"/>
        </w:rPr>
        <w:t>.</w:t>
      </w:r>
      <w:r w:rsidR="002C2AE5" w:rsidRPr="00F0682C">
        <w:rPr>
          <w:lang w:eastAsia="en-US"/>
        </w:rPr>
        <w:t xml:space="preserve"> </w:t>
      </w:r>
    </w:p>
    <w:p w14:paraId="3136EA62" w14:textId="38A3712D" w:rsidR="00CE36BA" w:rsidRPr="008F34E1" w:rsidRDefault="00CE36BA" w:rsidP="58C81D04">
      <w:pPr>
        <w:pStyle w:val="3-BodyText"/>
        <w:rPr>
          <w:lang w:eastAsia="en-US"/>
        </w:rPr>
      </w:pPr>
      <w:r w:rsidRPr="008F34E1">
        <w:rPr>
          <w:lang w:eastAsia="en-US"/>
        </w:rPr>
        <w:t xml:space="preserve">Data for confirmed disability progression for 12 and 24 weeks were presented </w:t>
      </w:r>
      <w:r w:rsidR="00273025" w:rsidRPr="008F34E1">
        <w:rPr>
          <w:lang w:eastAsia="en-US"/>
        </w:rPr>
        <w:t xml:space="preserve">in the CSRs </w:t>
      </w:r>
      <w:r w:rsidRPr="008F34E1">
        <w:rPr>
          <w:lang w:eastAsia="en-US"/>
        </w:rPr>
        <w:t>only for the pooled trials</w:t>
      </w:r>
      <w:r w:rsidR="00273025" w:rsidRPr="008F34E1">
        <w:rPr>
          <w:lang w:eastAsia="en-US"/>
        </w:rPr>
        <w:t xml:space="preserve"> </w:t>
      </w:r>
      <w:r w:rsidRPr="008F34E1">
        <w:rPr>
          <w:lang w:eastAsia="en-US"/>
        </w:rPr>
        <w:t xml:space="preserve">and are shown </w:t>
      </w:r>
      <w:r w:rsidR="00AC7272" w:rsidRPr="008F34E1">
        <w:rPr>
          <w:lang w:eastAsia="en-US"/>
        </w:rPr>
        <w:t xml:space="preserve">separately </w:t>
      </w:r>
      <w:r w:rsidRPr="008F34E1">
        <w:rPr>
          <w:lang w:eastAsia="en-US"/>
        </w:rPr>
        <w:t>in</w:t>
      </w:r>
      <w:r w:rsidR="002C2AE5" w:rsidRPr="008F34E1">
        <w:rPr>
          <w:lang w:eastAsia="en-US"/>
        </w:rPr>
        <w:t xml:space="preserve"> </w:t>
      </w:r>
      <w:r w:rsidR="002C2AE5" w:rsidRPr="008F34E1">
        <w:rPr>
          <w:lang w:eastAsia="en-US"/>
        </w:rPr>
        <w:fldChar w:fldCharType="begin"/>
      </w:r>
      <w:r w:rsidR="002C2AE5" w:rsidRPr="008F34E1">
        <w:rPr>
          <w:lang w:eastAsia="en-US"/>
        </w:rPr>
        <w:instrText xml:space="preserve"> REF _Ref190519524 \h </w:instrText>
      </w:r>
      <w:r w:rsidR="008F34E1" w:rsidRPr="008F34E1">
        <w:rPr>
          <w:lang w:eastAsia="en-US"/>
        </w:rPr>
        <w:instrText xml:space="preserve"> \* MERGEFORMAT </w:instrText>
      </w:r>
      <w:r w:rsidR="002C2AE5" w:rsidRPr="008F34E1">
        <w:rPr>
          <w:lang w:eastAsia="en-US"/>
        </w:rPr>
      </w:r>
      <w:r w:rsidR="002C2AE5" w:rsidRPr="008F34E1">
        <w:rPr>
          <w:lang w:eastAsia="en-US"/>
        </w:rPr>
        <w:fldChar w:fldCharType="separate"/>
      </w:r>
      <w:r w:rsidR="00D925D4">
        <w:t xml:space="preserve">Table </w:t>
      </w:r>
      <w:r w:rsidR="00D925D4">
        <w:rPr>
          <w:noProof/>
        </w:rPr>
        <w:t>5</w:t>
      </w:r>
      <w:r w:rsidR="002C2AE5" w:rsidRPr="008F34E1">
        <w:rPr>
          <w:lang w:eastAsia="en-US"/>
        </w:rPr>
        <w:fldChar w:fldCharType="end"/>
      </w:r>
      <w:r w:rsidR="00A16518" w:rsidRPr="008F34E1">
        <w:rPr>
          <w:lang w:eastAsia="en-US"/>
        </w:rPr>
        <w:t xml:space="preserve">. </w:t>
      </w:r>
      <w:r w:rsidR="00A7486B" w:rsidRPr="008F34E1">
        <w:rPr>
          <w:lang w:eastAsia="en-US"/>
        </w:rPr>
        <w:t>Disability progression was defined as an increase in EDSS score of at least 1.0</w:t>
      </w:r>
      <w:r w:rsidR="00273025" w:rsidRPr="008F34E1">
        <w:rPr>
          <w:lang w:eastAsia="en-US"/>
        </w:rPr>
        <w:t xml:space="preserve"> from the week 12 </w:t>
      </w:r>
      <w:r w:rsidR="00273025" w:rsidRPr="008F34E1">
        <w:rPr>
          <w:lang w:eastAsia="en-US"/>
        </w:rPr>
        <w:lastRenderedPageBreak/>
        <w:t>assessment or the previous observation</w:t>
      </w:r>
      <w:r w:rsidR="00D233EE" w:rsidRPr="008F34E1">
        <w:rPr>
          <w:lang w:eastAsia="en-US"/>
        </w:rPr>
        <w:t xml:space="preserve">, and sustained progression was </w:t>
      </w:r>
      <w:r w:rsidR="00C46CFA" w:rsidRPr="008F34E1">
        <w:rPr>
          <w:lang w:eastAsia="en-US"/>
        </w:rPr>
        <w:t>defined as the increase in EDSS being confirmed at scheduled visits at least 12 and 24 weeks after the increase had been reported</w:t>
      </w:r>
      <w:r w:rsidR="00273025" w:rsidRPr="008F34E1">
        <w:rPr>
          <w:lang w:eastAsia="en-US"/>
        </w:rPr>
        <w:t xml:space="preserve"> (Steinman, 2022, Protocol Supplement, p13/378)</w:t>
      </w:r>
      <w:r w:rsidR="00A7486B" w:rsidRPr="008F34E1">
        <w:rPr>
          <w:lang w:eastAsia="en-US"/>
        </w:rPr>
        <w:t xml:space="preserve">. </w:t>
      </w:r>
    </w:p>
    <w:p w14:paraId="230ADB48" w14:textId="77777777" w:rsidR="00E665C2" w:rsidRPr="008F34E1" w:rsidRDefault="00CE36BA" w:rsidP="58C81D04">
      <w:pPr>
        <w:pStyle w:val="3-BodyText"/>
      </w:pPr>
      <w:r w:rsidRPr="008F34E1">
        <w:rPr>
          <w:lang w:eastAsia="en-US"/>
        </w:rPr>
        <w:t>There were fewer relapses among patients randomised to ublituximab</w:t>
      </w:r>
      <w:r w:rsidR="003F0025" w:rsidRPr="008F34E1">
        <w:rPr>
          <w:lang w:eastAsia="en-US"/>
        </w:rPr>
        <w:t xml:space="preserve">. The annualised rate of relapse (ARR) was about twice as high in patients allocated to teriflunomide, and the difference in ARR was statistically significant. </w:t>
      </w:r>
    </w:p>
    <w:p w14:paraId="663155E2" w14:textId="610551E2" w:rsidR="006C791A" w:rsidRPr="008F34E1" w:rsidRDefault="00D07E34" w:rsidP="58C81D04">
      <w:pPr>
        <w:pStyle w:val="3-BodyText"/>
      </w:pPr>
      <w:r w:rsidRPr="008F34E1">
        <w:rPr>
          <w:lang w:eastAsia="en-US"/>
        </w:rPr>
        <w:t>Relapses requiring hospitalisation were less frequent in ublituximab-treated patients, but most patients in both treatment groups did not require hospitalisation for a relapse during the study</w:t>
      </w:r>
      <w:r w:rsidR="00A16518" w:rsidRPr="008F34E1">
        <w:rPr>
          <w:lang w:eastAsia="en-US"/>
        </w:rPr>
        <w:t xml:space="preserve">. </w:t>
      </w:r>
    </w:p>
    <w:p w14:paraId="5A1E0F9E" w14:textId="0C534C3E" w:rsidR="003F0025" w:rsidRDefault="00CC1DFB" w:rsidP="58C81D04">
      <w:pPr>
        <w:pStyle w:val="3-BodyText"/>
      </w:pPr>
      <w:r w:rsidRPr="008F34E1">
        <w:rPr>
          <w:lang w:eastAsia="en-US"/>
        </w:rPr>
        <w:t>T</w:t>
      </w:r>
      <w:r w:rsidR="00E665C2" w:rsidRPr="008F34E1">
        <w:rPr>
          <w:lang w:eastAsia="en-US"/>
        </w:rPr>
        <w:t>he proportion of patients who were relapse free was</w:t>
      </w:r>
      <w:r w:rsidR="00BE634E" w:rsidRPr="008F34E1">
        <w:rPr>
          <w:lang w:eastAsia="en-US"/>
        </w:rPr>
        <w:t xml:space="preserve"> high in both treatment groups, but</w:t>
      </w:r>
      <w:r w:rsidR="00E665C2" w:rsidRPr="008F34E1">
        <w:rPr>
          <w:lang w:eastAsia="en-US"/>
        </w:rPr>
        <w:t xml:space="preserve"> higher in the ublituximab-treated group at all time periods</w:t>
      </w:r>
      <w:r w:rsidR="00BE634E" w:rsidRPr="008F34E1">
        <w:rPr>
          <w:lang w:eastAsia="en-US"/>
        </w:rPr>
        <w:t>. The difference was in the range usually considered to be clinically meaningful, with one extra patient relapse free for</w:t>
      </w:r>
      <w:r w:rsidRPr="008F34E1">
        <w:rPr>
          <w:lang w:eastAsia="en-US"/>
        </w:rPr>
        <w:t xml:space="preserve"> </w:t>
      </w:r>
      <w:r w:rsidR="00BE634E" w:rsidRPr="008F34E1">
        <w:rPr>
          <w:lang w:eastAsia="en-US"/>
        </w:rPr>
        <w:t>every 2</w:t>
      </w:r>
      <w:r w:rsidRPr="008F34E1">
        <w:rPr>
          <w:lang w:eastAsia="en-US"/>
        </w:rPr>
        <w:t>7</w:t>
      </w:r>
      <w:r w:rsidR="00BE634E" w:rsidRPr="008F34E1">
        <w:rPr>
          <w:lang w:eastAsia="en-US"/>
        </w:rPr>
        <w:t xml:space="preserve"> </w:t>
      </w:r>
      <w:r w:rsidR="00154C43" w:rsidRPr="008F34E1">
        <w:rPr>
          <w:lang w:eastAsia="en-US"/>
        </w:rPr>
        <w:t xml:space="preserve">patients </w:t>
      </w:r>
      <w:r w:rsidR="00BE634E" w:rsidRPr="008F34E1">
        <w:rPr>
          <w:lang w:eastAsia="en-US"/>
        </w:rPr>
        <w:t xml:space="preserve">treated for 24 weeks, for every </w:t>
      </w:r>
      <w:r w:rsidRPr="008F34E1">
        <w:rPr>
          <w:lang w:eastAsia="en-US"/>
        </w:rPr>
        <w:t xml:space="preserve">12 </w:t>
      </w:r>
      <w:r w:rsidR="00154C43" w:rsidRPr="008F34E1">
        <w:rPr>
          <w:lang w:eastAsia="en-US"/>
        </w:rPr>
        <w:t xml:space="preserve">patients </w:t>
      </w:r>
      <w:r w:rsidRPr="008F34E1">
        <w:rPr>
          <w:lang w:eastAsia="en-US"/>
        </w:rPr>
        <w:t>treated for 48</w:t>
      </w:r>
      <w:r w:rsidR="00402011">
        <w:rPr>
          <w:lang w:eastAsia="en-US"/>
        </w:rPr>
        <w:t> </w:t>
      </w:r>
      <w:r w:rsidRPr="008F34E1">
        <w:rPr>
          <w:lang w:eastAsia="en-US"/>
        </w:rPr>
        <w:t xml:space="preserve">weeks, and for </w:t>
      </w:r>
      <w:r w:rsidR="00154C43" w:rsidRPr="008F34E1">
        <w:rPr>
          <w:lang w:eastAsia="en-US"/>
        </w:rPr>
        <w:t xml:space="preserve">every </w:t>
      </w:r>
      <w:r w:rsidRPr="008F34E1">
        <w:rPr>
          <w:lang w:eastAsia="en-US"/>
        </w:rPr>
        <w:t xml:space="preserve">seven </w:t>
      </w:r>
      <w:r w:rsidR="00154C43" w:rsidRPr="008F34E1">
        <w:rPr>
          <w:lang w:eastAsia="en-US"/>
        </w:rPr>
        <w:t xml:space="preserve">patients </w:t>
      </w:r>
      <w:r w:rsidRPr="008F34E1">
        <w:rPr>
          <w:lang w:eastAsia="en-US"/>
        </w:rPr>
        <w:t>treated for 96 weeks</w:t>
      </w:r>
      <w:r w:rsidR="00BE634E" w:rsidRPr="008F34E1">
        <w:rPr>
          <w:lang w:eastAsia="en-US"/>
        </w:rPr>
        <w:t xml:space="preserve">. </w:t>
      </w:r>
    </w:p>
    <w:p w14:paraId="14273652" w14:textId="65AE593D" w:rsidR="00480739" w:rsidRDefault="002C2AE5" w:rsidP="00B60C6F">
      <w:pPr>
        <w:pStyle w:val="Caption"/>
      </w:pPr>
      <w:bookmarkStart w:id="29" w:name="_Ref190519345"/>
      <w:r>
        <w:lastRenderedPageBreak/>
        <w:t xml:space="preserve">Table </w:t>
      </w:r>
      <w:r>
        <w:fldChar w:fldCharType="begin"/>
      </w:r>
      <w:r>
        <w:instrText xml:space="preserve"> SEQ Table \* ARABIC </w:instrText>
      </w:r>
      <w:r>
        <w:fldChar w:fldCharType="separate"/>
      </w:r>
      <w:r w:rsidR="00D925D4">
        <w:rPr>
          <w:noProof/>
        </w:rPr>
        <w:t>4</w:t>
      </w:r>
      <w:r>
        <w:rPr>
          <w:noProof/>
        </w:rPr>
        <w:fldChar w:fldCharType="end"/>
      </w:r>
      <w:bookmarkEnd w:id="29"/>
      <w:r>
        <w:t xml:space="preserve">: </w:t>
      </w:r>
      <w:r w:rsidR="00BC2FEF">
        <w:t>Efficacy outcomes</w:t>
      </w:r>
      <w:r w:rsidR="00480739">
        <w:t xml:space="preserve"> in ULTIMATE I and II</w:t>
      </w:r>
    </w:p>
    <w:tbl>
      <w:tblPr>
        <w:tblStyle w:val="TableGrid"/>
        <w:tblW w:w="0" w:type="auto"/>
        <w:tblLook w:val="04A0" w:firstRow="1" w:lastRow="0" w:firstColumn="1" w:lastColumn="0" w:noHBand="0" w:noVBand="1"/>
      </w:tblPr>
      <w:tblGrid>
        <w:gridCol w:w="1980"/>
        <w:gridCol w:w="1559"/>
        <w:gridCol w:w="1701"/>
        <w:gridCol w:w="1701"/>
        <w:gridCol w:w="1843"/>
      </w:tblGrid>
      <w:tr w:rsidR="00BC2FEF" w14:paraId="56F4984F" w14:textId="77777777" w:rsidTr="58C81D04">
        <w:tc>
          <w:tcPr>
            <w:tcW w:w="1980" w:type="dxa"/>
          </w:tcPr>
          <w:p w14:paraId="081FEC86" w14:textId="77777777" w:rsidR="00BC2FEF" w:rsidRDefault="00BC2FEF" w:rsidP="00B60C6F">
            <w:pPr>
              <w:pStyle w:val="TableFigureHeading"/>
              <w:keepLines/>
            </w:pPr>
          </w:p>
        </w:tc>
        <w:tc>
          <w:tcPr>
            <w:tcW w:w="3260" w:type="dxa"/>
            <w:gridSpan w:val="2"/>
          </w:tcPr>
          <w:p w14:paraId="5CE32294" w14:textId="63349DBB" w:rsidR="00BC2FEF" w:rsidRDefault="00BC2FEF" w:rsidP="00B60C6F">
            <w:pPr>
              <w:pStyle w:val="TableFigureHeading"/>
              <w:keepLines/>
            </w:pPr>
            <w:r>
              <w:t>ULTIMATE I</w:t>
            </w:r>
          </w:p>
        </w:tc>
        <w:tc>
          <w:tcPr>
            <w:tcW w:w="3544" w:type="dxa"/>
            <w:gridSpan w:val="2"/>
          </w:tcPr>
          <w:p w14:paraId="26AD851A" w14:textId="608F9F07" w:rsidR="00BC2FEF" w:rsidRDefault="00BC2FEF" w:rsidP="00B60C6F">
            <w:pPr>
              <w:pStyle w:val="TableFigureHeading"/>
              <w:keepLines/>
            </w:pPr>
            <w:r>
              <w:t>ULTIMATE II</w:t>
            </w:r>
          </w:p>
        </w:tc>
      </w:tr>
      <w:tr w:rsidR="00BC2FEF" w14:paraId="278F2229" w14:textId="77777777" w:rsidTr="58C81D04">
        <w:tc>
          <w:tcPr>
            <w:tcW w:w="1980" w:type="dxa"/>
          </w:tcPr>
          <w:p w14:paraId="6FFD2C36" w14:textId="77777777" w:rsidR="00BC2FEF" w:rsidRDefault="00BC2FEF" w:rsidP="00B60C6F">
            <w:pPr>
              <w:pStyle w:val="TableFigureHeading"/>
              <w:keepLines/>
            </w:pPr>
          </w:p>
        </w:tc>
        <w:tc>
          <w:tcPr>
            <w:tcW w:w="1559" w:type="dxa"/>
          </w:tcPr>
          <w:p w14:paraId="101FC8A6" w14:textId="666847B7" w:rsidR="00BC2FEF" w:rsidRDefault="00BC2FEF" w:rsidP="00B60C6F">
            <w:pPr>
              <w:pStyle w:val="TableFigureHeading"/>
              <w:keepLines/>
            </w:pPr>
            <w:r w:rsidRPr="58C81D04">
              <w:t>U</w:t>
            </w:r>
            <w:r w:rsidR="007A51BC" w:rsidRPr="58C81D04">
              <w:t>blituximab</w:t>
            </w:r>
          </w:p>
          <w:p w14:paraId="5E95F9D1" w14:textId="3E98E373" w:rsidR="00BC2FEF" w:rsidRDefault="00BC2FEF" w:rsidP="00B60C6F">
            <w:pPr>
              <w:pStyle w:val="TableFigureHeading"/>
              <w:keepLines/>
            </w:pPr>
            <w:r>
              <w:t xml:space="preserve">N = </w:t>
            </w:r>
            <w:r w:rsidR="00BC679C">
              <w:t>271</w:t>
            </w:r>
          </w:p>
        </w:tc>
        <w:tc>
          <w:tcPr>
            <w:tcW w:w="1701" w:type="dxa"/>
          </w:tcPr>
          <w:p w14:paraId="4ACBC841" w14:textId="68E4E2F3" w:rsidR="00BC2FEF" w:rsidRDefault="00BC2FEF" w:rsidP="00B60C6F">
            <w:pPr>
              <w:pStyle w:val="TableFigureHeading"/>
              <w:keepLines/>
            </w:pPr>
            <w:r>
              <w:t>T</w:t>
            </w:r>
            <w:r w:rsidR="007A51BC">
              <w:t>eriflunomide</w:t>
            </w:r>
          </w:p>
          <w:p w14:paraId="3A9DBDD6" w14:textId="130BA578" w:rsidR="00BC2FEF" w:rsidRDefault="00BC2FEF" w:rsidP="00B60C6F">
            <w:pPr>
              <w:pStyle w:val="TableFigureHeading"/>
              <w:keepLines/>
            </w:pPr>
            <w:r>
              <w:t xml:space="preserve">N = </w:t>
            </w:r>
            <w:r w:rsidR="00BC679C">
              <w:t>274</w:t>
            </w:r>
          </w:p>
        </w:tc>
        <w:tc>
          <w:tcPr>
            <w:tcW w:w="1701" w:type="dxa"/>
          </w:tcPr>
          <w:p w14:paraId="753E1E38" w14:textId="7E935604" w:rsidR="00BC2FEF" w:rsidRDefault="00BC2FEF" w:rsidP="00B60C6F">
            <w:pPr>
              <w:pStyle w:val="TableFigureHeading"/>
              <w:keepLines/>
            </w:pPr>
            <w:r w:rsidRPr="58C81D04">
              <w:t>U</w:t>
            </w:r>
            <w:r w:rsidR="007A51BC" w:rsidRPr="58C81D04">
              <w:t>blituximab</w:t>
            </w:r>
          </w:p>
          <w:p w14:paraId="50889EB2" w14:textId="65AC8B9C" w:rsidR="00BC2FEF" w:rsidRDefault="00BC2FEF" w:rsidP="00B60C6F">
            <w:pPr>
              <w:pStyle w:val="TableFigureHeading"/>
              <w:keepLines/>
            </w:pPr>
            <w:r>
              <w:t>N = 272</w:t>
            </w:r>
          </w:p>
        </w:tc>
        <w:tc>
          <w:tcPr>
            <w:tcW w:w="1843" w:type="dxa"/>
          </w:tcPr>
          <w:p w14:paraId="45707794" w14:textId="6839E71E" w:rsidR="00BC2FEF" w:rsidRDefault="00BC2FEF" w:rsidP="00B60C6F">
            <w:pPr>
              <w:pStyle w:val="TableFigureHeading"/>
              <w:keepLines/>
            </w:pPr>
            <w:r>
              <w:t>T</w:t>
            </w:r>
            <w:r w:rsidR="007A51BC">
              <w:t>eriflunomide</w:t>
            </w:r>
          </w:p>
          <w:p w14:paraId="243CF858" w14:textId="456CECDF" w:rsidR="00BC2FEF" w:rsidRDefault="00BC2FEF" w:rsidP="00B60C6F">
            <w:pPr>
              <w:pStyle w:val="TableFigureHeading"/>
              <w:keepLines/>
            </w:pPr>
            <w:r>
              <w:t>N = 272</w:t>
            </w:r>
          </w:p>
        </w:tc>
      </w:tr>
      <w:tr w:rsidR="00BC2FEF" w14:paraId="3C64AC63" w14:textId="77777777" w:rsidTr="58C81D04">
        <w:tc>
          <w:tcPr>
            <w:tcW w:w="1980" w:type="dxa"/>
          </w:tcPr>
          <w:p w14:paraId="0083FCB3" w14:textId="0434FC36" w:rsidR="00BC2FEF" w:rsidRPr="0087531F" w:rsidRDefault="00BC2FEF" w:rsidP="00B60C6F">
            <w:pPr>
              <w:pStyle w:val="TableFigureHeading"/>
              <w:keepLines/>
              <w:rPr>
                <w:b w:val="0"/>
                <w:bCs w:val="0"/>
              </w:rPr>
            </w:pPr>
            <w:r w:rsidRPr="0087531F">
              <w:rPr>
                <w:b w:val="0"/>
                <w:bCs w:val="0"/>
              </w:rPr>
              <w:t>Relapses to 96 weeks</w:t>
            </w:r>
            <w:r>
              <w:rPr>
                <w:b w:val="0"/>
                <w:bCs w:val="0"/>
              </w:rPr>
              <w:t>, n</w:t>
            </w:r>
          </w:p>
        </w:tc>
        <w:tc>
          <w:tcPr>
            <w:tcW w:w="1559" w:type="dxa"/>
          </w:tcPr>
          <w:p w14:paraId="62820504" w14:textId="133BE3B1" w:rsidR="00BC2FEF" w:rsidRPr="0087531F" w:rsidRDefault="00BC2FEF" w:rsidP="00B60C6F">
            <w:pPr>
              <w:pStyle w:val="TableFigureHeading"/>
              <w:keepLines/>
              <w:rPr>
                <w:b w:val="0"/>
                <w:bCs w:val="0"/>
              </w:rPr>
            </w:pPr>
            <w:r w:rsidRPr="0087531F">
              <w:rPr>
                <w:b w:val="0"/>
                <w:bCs w:val="0"/>
              </w:rPr>
              <w:t>44</w:t>
            </w:r>
          </w:p>
        </w:tc>
        <w:tc>
          <w:tcPr>
            <w:tcW w:w="1701" w:type="dxa"/>
          </w:tcPr>
          <w:p w14:paraId="310747D1" w14:textId="6C1D481B" w:rsidR="00BC2FEF" w:rsidRPr="0087531F" w:rsidRDefault="00BC2FEF" w:rsidP="00B60C6F">
            <w:pPr>
              <w:pStyle w:val="TableFigureHeading"/>
              <w:keepLines/>
              <w:rPr>
                <w:b w:val="0"/>
                <w:bCs w:val="0"/>
              </w:rPr>
            </w:pPr>
            <w:r w:rsidRPr="0087531F">
              <w:rPr>
                <w:b w:val="0"/>
                <w:bCs w:val="0"/>
              </w:rPr>
              <w:t>111</w:t>
            </w:r>
          </w:p>
        </w:tc>
        <w:tc>
          <w:tcPr>
            <w:tcW w:w="1701" w:type="dxa"/>
          </w:tcPr>
          <w:p w14:paraId="7F5AE84D" w14:textId="54E75746" w:rsidR="00BC2FEF" w:rsidRPr="0087531F" w:rsidRDefault="00BC2FEF" w:rsidP="00B60C6F">
            <w:pPr>
              <w:pStyle w:val="TableFigureHeading"/>
              <w:keepLines/>
              <w:rPr>
                <w:b w:val="0"/>
                <w:bCs w:val="0"/>
              </w:rPr>
            </w:pPr>
            <w:r>
              <w:rPr>
                <w:b w:val="0"/>
                <w:bCs w:val="0"/>
              </w:rPr>
              <w:t>53</w:t>
            </w:r>
          </w:p>
        </w:tc>
        <w:tc>
          <w:tcPr>
            <w:tcW w:w="1843" w:type="dxa"/>
          </w:tcPr>
          <w:p w14:paraId="5D8EC7D5" w14:textId="6F4E6495" w:rsidR="00BC2FEF" w:rsidRPr="0087531F" w:rsidRDefault="00BC2FEF" w:rsidP="00B60C6F">
            <w:pPr>
              <w:pStyle w:val="TableFigureHeading"/>
              <w:keepLines/>
              <w:rPr>
                <w:b w:val="0"/>
                <w:bCs w:val="0"/>
              </w:rPr>
            </w:pPr>
            <w:r>
              <w:rPr>
                <w:b w:val="0"/>
                <w:bCs w:val="0"/>
              </w:rPr>
              <w:t>102</w:t>
            </w:r>
          </w:p>
        </w:tc>
      </w:tr>
      <w:tr w:rsidR="00BC2FEF" w14:paraId="297DA161" w14:textId="77777777" w:rsidTr="58C81D04">
        <w:tc>
          <w:tcPr>
            <w:tcW w:w="1980" w:type="dxa"/>
          </w:tcPr>
          <w:p w14:paraId="06C91457" w14:textId="029F517E" w:rsidR="00BC2FEF" w:rsidRDefault="00BC2FEF" w:rsidP="00B60C6F">
            <w:pPr>
              <w:pStyle w:val="TableFigureHeading"/>
              <w:keepLines/>
              <w:rPr>
                <w:b w:val="0"/>
                <w:bCs w:val="0"/>
              </w:rPr>
            </w:pPr>
            <w:r>
              <w:rPr>
                <w:b w:val="0"/>
                <w:bCs w:val="0"/>
              </w:rPr>
              <w:t>Relapses per patient to 96 weeks</w:t>
            </w:r>
          </w:p>
          <w:p w14:paraId="1161B1DF" w14:textId="77777777" w:rsidR="00BC2FEF" w:rsidRDefault="00BC2FEF" w:rsidP="00B60C6F">
            <w:pPr>
              <w:pStyle w:val="TableFigureHeading"/>
              <w:keepLines/>
              <w:rPr>
                <w:b w:val="0"/>
                <w:bCs w:val="0"/>
              </w:rPr>
            </w:pPr>
            <w:r>
              <w:rPr>
                <w:b w:val="0"/>
                <w:bCs w:val="0"/>
              </w:rPr>
              <w:t>Mean (SD)</w:t>
            </w:r>
          </w:p>
          <w:p w14:paraId="647D2927" w14:textId="77777777" w:rsidR="00BC2FEF" w:rsidRDefault="00BC2FEF" w:rsidP="00B60C6F">
            <w:pPr>
              <w:pStyle w:val="TableFigureHeading"/>
              <w:keepLines/>
              <w:rPr>
                <w:b w:val="0"/>
                <w:bCs w:val="0"/>
              </w:rPr>
            </w:pPr>
            <w:r>
              <w:rPr>
                <w:b w:val="0"/>
                <w:bCs w:val="0"/>
              </w:rPr>
              <w:t>Median (IQR)</w:t>
            </w:r>
          </w:p>
          <w:p w14:paraId="1A91624B" w14:textId="7A83B794" w:rsidR="00BC2FEF" w:rsidRPr="0087531F" w:rsidRDefault="00BC2FEF" w:rsidP="00B60C6F">
            <w:pPr>
              <w:pStyle w:val="TableFigureHeading"/>
              <w:keepLines/>
              <w:rPr>
                <w:b w:val="0"/>
                <w:bCs w:val="0"/>
              </w:rPr>
            </w:pPr>
            <w:r>
              <w:rPr>
                <w:b w:val="0"/>
                <w:bCs w:val="0"/>
              </w:rPr>
              <w:t>Range</w:t>
            </w:r>
          </w:p>
        </w:tc>
        <w:tc>
          <w:tcPr>
            <w:tcW w:w="1559" w:type="dxa"/>
          </w:tcPr>
          <w:p w14:paraId="7B8FA0A9" w14:textId="77777777" w:rsidR="00BC2FEF" w:rsidRDefault="00BC2FEF" w:rsidP="00B60C6F">
            <w:pPr>
              <w:pStyle w:val="TableFigureHeading"/>
              <w:keepLines/>
              <w:rPr>
                <w:b w:val="0"/>
                <w:bCs w:val="0"/>
              </w:rPr>
            </w:pPr>
          </w:p>
          <w:p w14:paraId="11EB0CED" w14:textId="77777777" w:rsidR="00BC2FEF" w:rsidRDefault="00BC2FEF" w:rsidP="00B60C6F">
            <w:pPr>
              <w:pStyle w:val="TableFigureHeading"/>
              <w:keepLines/>
              <w:rPr>
                <w:b w:val="0"/>
                <w:bCs w:val="0"/>
              </w:rPr>
            </w:pPr>
          </w:p>
          <w:p w14:paraId="3907C2A4" w14:textId="77777777" w:rsidR="00BC2FEF" w:rsidRDefault="00BC2FEF" w:rsidP="00B60C6F">
            <w:pPr>
              <w:pStyle w:val="TableFigureHeading"/>
              <w:keepLines/>
              <w:rPr>
                <w:b w:val="0"/>
                <w:bCs w:val="0"/>
              </w:rPr>
            </w:pPr>
            <w:r>
              <w:rPr>
                <w:b w:val="0"/>
                <w:bCs w:val="0"/>
              </w:rPr>
              <w:t>0.2 (0.5)</w:t>
            </w:r>
          </w:p>
          <w:p w14:paraId="158B14F3" w14:textId="77777777" w:rsidR="00BC2FEF" w:rsidRDefault="00BC2FEF" w:rsidP="00B60C6F">
            <w:pPr>
              <w:pStyle w:val="TableFigureHeading"/>
              <w:keepLines/>
              <w:rPr>
                <w:b w:val="0"/>
                <w:bCs w:val="0"/>
              </w:rPr>
            </w:pPr>
            <w:r>
              <w:rPr>
                <w:b w:val="0"/>
                <w:bCs w:val="0"/>
              </w:rPr>
              <w:t>0.0 (0, 0)</w:t>
            </w:r>
          </w:p>
          <w:p w14:paraId="5674894C" w14:textId="4FF6B50C" w:rsidR="00BC2FEF" w:rsidRPr="0087531F" w:rsidRDefault="00BC2FEF" w:rsidP="00B60C6F">
            <w:pPr>
              <w:pStyle w:val="TableFigureHeading"/>
              <w:keepLines/>
              <w:rPr>
                <w:b w:val="0"/>
                <w:bCs w:val="0"/>
              </w:rPr>
            </w:pPr>
            <w:r>
              <w:rPr>
                <w:b w:val="0"/>
                <w:bCs w:val="0"/>
              </w:rPr>
              <w:t>0 - 3</w:t>
            </w:r>
          </w:p>
        </w:tc>
        <w:tc>
          <w:tcPr>
            <w:tcW w:w="1701" w:type="dxa"/>
          </w:tcPr>
          <w:p w14:paraId="15204D07" w14:textId="77777777" w:rsidR="00BC2FEF" w:rsidRDefault="00BC2FEF" w:rsidP="00B60C6F">
            <w:pPr>
              <w:pStyle w:val="TableFigureHeading"/>
              <w:keepLines/>
              <w:rPr>
                <w:b w:val="0"/>
                <w:bCs w:val="0"/>
              </w:rPr>
            </w:pPr>
          </w:p>
          <w:p w14:paraId="5D14F73A" w14:textId="77777777" w:rsidR="00BC2FEF" w:rsidRDefault="00BC2FEF" w:rsidP="00B60C6F">
            <w:pPr>
              <w:pStyle w:val="TableFigureHeading"/>
              <w:keepLines/>
              <w:rPr>
                <w:b w:val="0"/>
                <w:bCs w:val="0"/>
              </w:rPr>
            </w:pPr>
          </w:p>
          <w:p w14:paraId="757007E2" w14:textId="77777777" w:rsidR="00BC2FEF" w:rsidRDefault="00BC2FEF" w:rsidP="00B60C6F">
            <w:pPr>
              <w:pStyle w:val="TableFigureHeading"/>
              <w:keepLines/>
              <w:rPr>
                <w:b w:val="0"/>
                <w:bCs w:val="0"/>
              </w:rPr>
            </w:pPr>
            <w:r>
              <w:rPr>
                <w:b w:val="0"/>
                <w:bCs w:val="0"/>
              </w:rPr>
              <w:t>0.4 (0.8)</w:t>
            </w:r>
          </w:p>
          <w:p w14:paraId="1D35335C" w14:textId="77777777" w:rsidR="00BC2FEF" w:rsidRDefault="00BC2FEF" w:rsidP="00B60C6F">
            <w:pPr>
              <w:pStyle w:val="TableFigureHeading"/>
              <w:keepLines/>
              <w:rPr>
                <w:b w:val="0"/>
                <w:bCs w:val="0"/>
              </w:rPr>
            </w:pPr>
            <w:r>
              <w:rPr>
                <w:b w:val="0"/>
                <w:bCs w:val="0"/>
              </w:rPr>
              <w:t>0.0 (0, 0)</w:t>
            </w:r>
          </w:p>
          <w:p w14:paraId="4FC40F56" w14:textId="0F056232" w:rsidR="00BC2FEF" w:rsidRPr="0087531F" w:rsidRDefault="00BC2FEF" w:rsidP="00B60C6F">
            <w:pPr>
              <w:pStyle w:val="TableFigureHeading"/>
              <w:keepLines/>
              <w:rPr>
                <w:b w:val="0"/>
                <w:bCs w:val="0"/>
              </w:rPr>
            </w:pPr>
            <w:r>
              <w:rPr>
                <w:b w:val="0"/>
                <w:bCs w:val="0"/>
              </w:rPr>
              <w:t>0 - 4</w:t>
            </w:r>
          </w:p>
        </w:tc>
        <w:tc>
          <w:tcPr>
            <w:tcW w:w="1701" w:type="dxa"/>
          </w:tcPr>
          <w:p w14:paraId="24810E0F" w14:textId="77777777" w:rsidR="00BC2FEF" w:rsidRDefault="00BC2FEF" w:rsidP="00B60C6F">
            <w:pPr>
              <w:pStyle w:val="TableFigureHeading"/>
              <w:keepLines/>
              <w:rPr>
                <w:b w:val="0"/>
                <w:bCs w:val="0"/>
              </w:rPr>
            </w:pPr>
          </w:p>
          <w:p w14:paraId="4529250D" w14:textId="77777777" w:rsidR="00BC2FEF" w:rsidRDefault="00BC2FEF" w:rsidP="00B60C6F">
            <w:pPr>
              <w:pStyle w:val="TableFigureHeading"/>
              <w:keepLines/>
              <w:rPr>
                <w:b w:val="0"/>
                <w:bCs w:val="0"/>
              </w:rPr>
            </w:pPr>
          </w:p>
          <w:p w14:paraId="4017A0CC" w14:textId="567F34DE" w:rsidR="00BC2FEF" w:rsidRDefault="00BC2FEF" w:rsidP="00B60C6F">
            <w:pPr>
              <w:pStyle w:val="TableFigureHeading"/>
              <w:keepLines/>
              <w:rPr>
                <w:b w:val="0"/>
                <w:bCs w:val="0"/>
              </w:rPr>
            </w:pPr>
            <w:r>
              <w:rPr>
                <w:b w:val="0"/>
                <w:bCs w:val="0"/>
              </w:rPr>
              <w:t>0.2 (0.6)</w:t>
            </w:r>
          </w:p>
          <w:p w14:paraId="176019CC" w14:textId="77777777" w:rsidR="00BC2FEF" w:rsidRDefault="00BC2FEF" w:rsidP="00B60C6F">
            <w:pPr>
              <w:pStyle w:val="TableFigureHeading"/>
              <w:keepLines/>
              <w:rPr>
                <w:b w:val="0"/>
                <w:bCs w:val="0"/>
              </w:rPr>
            </w:pPr>
            <w:r>
              <w:rPr>
                <w:b w:val="0"/>
                <w:bCs w:val="0"/>
              </w:rPr>
              <w:t>0.0 (0, 0)</w:t>
            </w:r>
          </w:p>
          <w:p w14:paraId="2F8D3135" w14:textId="39823775" w:rsidR="00BC2FEF" w:rsidRDefault="00BC2FEF" w:rsidP="00B60C6F">
            <w:pPr>
              <w:pStyle w:val="TableFigureHeading"/>
              <w:keepLines/>
              <w:rPr>
                <w:b w:val="0"/>
                <w:bCs w:val="0"/>
              </w:rPr>
            </w:pPr>
            <w:r>
              <w:rPr>
                <w:b w:val="0"/>
                <w:bCs w:val="0"/>
              </w:rPr>
              <w:t>0 - 4</w:t>
            </w:r>
          </w:p>
        </w:tc>
        <w:tc>
          <w:tcPr>
            <w:tcW w:w="1843" w:type="dxa"/>
          </w:tcPr>
          <w:p w14:paraId="4BC3FC6A" w14:textId="77777777" w:rsidR="00BC2FEF" w:rsidRDefault="00BC2FEF" w:rsidP="00B60C6F">
            <w:pPr>
              <w:pStyle w:val="TableFigureHeading"/>
              <w:keepLines/>
              <w:rPr>
                <w:b w:val="0"/>
                <w:bCs w:val="0"/>
              </w:rPr>
            </w:pPr>
          </w:p>
          <w:p w14:paraId="6B5C449F" w14:textId="77777777" w:rsidR="00BC2FEF" w:rsidRDefault="00BC2FEF" w:rsidP="00B60C6F">
            <w:pPr>
              <w:pStyle w:val="TableFigureHeading"/>
              <w:keepLines/>
              <w:rPr>
                <w:b w:val="0"/>
                <w:bCs w:val="0"/>
              </w:rPr>
            </w:pPr>
          </w:p>
          <w:p w14:paraId="483FCE07" w14:textId="76B7379E" w:rsidR="00BC2FEF" w:rsidRDefault="00BC2FEF" w:rsidP="00B60C6F">
            <w:pPr>
              <w:pStyle w:val="TableFigureHeading"/>
              <w:keepLines/>
              <w:rPr>
                <w:b w:val="0"/>
                <w:bCs w:val="0"/>
              </w:rPr>
            </w:pPr>
            <w:r>
              <w:rPr>
                <w:b w:val="0"/>
                <w:bCs w:val="0"/>
              </w:rPr>
              <w:t>0.38 (0.7)</w:t>
            </w:r>
          </w:p>
          <w:p w14:paraId="7C7A581C" w14:textId="7C932F9E" w:rsidR="00BC2FEF" w:rsidRDefault="00BC2FEF" w:rsidP="00B60C6F">
            <w:pPr>
              <w:pStyle w:val="TableFigureHeading"/>
              <w:keepLines/>
              <w:rPr>
                <w:b w:val="0"/>
                <w:bCs w:val="0"/>
              </w:rPr>
            </w:pPr>
            <w:r>
              <w:rPr>
                <w:b w:val="0"/>
                <w:bCs w:val="0"/>
              </w:rPr>
              <w:t>0.0 (0, 1)</w:t>
            </w:r>
          </w:p>
          <w:p w14:paraId="56A5855C" w14:textId="47DC22E7" w:rsidR="00BC2FEF" w:rsidRDefault="00BC2FEF" w:rsidP="00B60C6F">
            <w:pPr>
              <w:pStyle w:val="TableFigureHeading"/>
              <w:keepLines/>
              <w:rPr>
                <w:b w:val="0"/>
                <w:bCs w:val="0"/>
              </w:rPr>
            </w:pPr>
            <w:r>
              <w:rPr>
                <w:b w:val="0"/>
                <w:bCs w:val="0"/>
              </w:rPr>
              <w:t>0 - 5</w:t>
            </w:r>
          </w:p>
        </w:tc>
      </w:tr>
      <w:tr w:rsidR="00E665C2" w14:paraId="0803CE26" w14:textId="77777777" w:rsidTr="58C81D04">
        <w:tc>
          <w:tcPr>
            <w:tcW w:w="1980" w:type="dxa"/>
          </w:tcPr>
          <w:p w14:paraId="678C41F9" w14:textId="1BC62750" w:rsidR="00E665C2" w:rsidRDefault="00E665C2" w:rsidP="00B60C6F">
            <w:pPr>
              <w:pStyle w:val="TableFigureHeading"/>
              <w:keepLines/>
              <w:rPr>
                <w:b w:val="0"/>
                <w:bCs w:val="0"/>
              </w:rPr>
            </w:pPr>
            <w:r>
              <w:rPr>
                <w:b w:val="0"/>
                <w:bCs w:val="0"/>
              </w:rPr>
              <w:t>Number of patients with at least 1 relapse, n (%)</w:t>
            </w:r>
          </w:p>
        </w:tc>
        <w:tc>
          <w:tcPr>
            <w:tcW w:w="1559" w:type="dxa"/>
          </w:tcPr>
          <w:p w14:paraId="0ACBE3FF" w14:textId="0861D031" w:rsidR="00E665C2" w:rsidRDefault="00E665C2" w:rsidP="00B60C6F">
            <w:pPr>
              <w:pStyle w:val="TableFigureHeading"/>
              <w:keepLines/>
              <w:rPr>
                <w:b w:val="0"/>
                <w:bCs w:val="0"/>
              </w:rPr>
            </w:pPr>
            <w:r>
              <w:rPr>
                <w:b w:val="0"/>
                <w:bCs w:val="0"/>
              </w:rPr>
              <w:t>36 (13.3%)</w:t>
            </w:r>
          </w:p>
        </w:tc>
        <w:tc>
          <w:tcPr>
            <w:tcW w:w="1701" w:type="dxa"/>
          </w:tcPr>
          <w:p w14:paraId="4AF66EC0" w14:textId="20F6B6AF" w:rsidR="00E665C2" w:rsidRDefault="00E665C2" w:rsidP="00B60C6F">
            <w:pPr>
              <w:pStyle w:val="TableFigureHeading"/>
              <w:keepLines/>
              <w:rPr>
                <w:b w:val="0"/>
                <w:bCs w:val="0"/>
              </w:rPr>
            </w:pPr>
            <w:r>
              <w:rPr>
                <w:b w:val="0"/>
                <w:bCs w:val="0"/>
              </w:rPr>
              <w:t>68 (24.8%)</w:t>
            </w:r>
          </w:p>
        </w:tc>
        <w:tc>
          <w:tcPr>
            <w:tcW w:w="1701" w:type="dxa"/>
          </w:tcPr>
          <w:p w14:paraId="6B038FAB" w14:textId="5C799373" w:rsidR="00E665C2" w:rsidRDefault="00E665C2" w:rsidP="00B60C6F">
            <w:pPr>
              <w:pStyle w:val="TableFigureHeading"/>
              <w:keepLines/>
              <w:rPr>
                <w:b w:val="0"/>
                <w:bCs w:val="0"/>
              </w:rPr>
            </w:pPr>
            <w:r>
              <w:rPr>
                <w:b w:val="0"/>
                <w:bCs w:val="0"/>
              </w:rPr>
              <w:t>34 (12.5%)</w:t>
            </w:r>
          </w:p>
        </w:tc>
        <w:tc>
          <w:tcPr>
            <w:tcW w:w="1843" w:type="dxa"/>
          </w:tcPr>
          <w:p w14:paraId="02AB7DC0" w14:textId="1BA9824C" w:rsidR="00E665C2" w:rsidRDefault="00E665C2" w:rsidP="00B60C6F">
            <w:pPr>
              <w:pStyle w:val="TableFigureHeading"/>
              <w:keepLines/>
              <w:rPr>
                <w:b w:val="0"/>
                <w:bCs w:val="0"/>
              </w:rPr>
            </w:pPr>
            <w:r>
              <w:rPr>
                <w:b w:val="0"/>
                <w:bCs w:val="0"/>
              </w:rPr>
              <w:t>72 (26.5%)</w:t>
            </w:r>
          </w:p>
        </w:tc>
      </w:tr>
      <w:tr w:rsidR="00BC2FEF" w14:paraId="13FBB4C4" w14:textId="77777777" w:rsidTr="58C81D04">
        <w:tc>
          <w:tcPr>
            <w:tcW w:w="1980" w:type="dxa"/>
          </w:tcPr>
          <w:p w14:paraId="7D3637CA" w14:textId="5287CBE4" w:rsidR="00BC2FEF" w:rsidRPr="0087531F" w:rsidRDefault="00BC2FEF" w:rsidP="00B60C6F">
            <w:pPr>
              <w:pStyle w:val="TableFigureHeading"/>
              <w:keepLines/>
              <w:rPr>
                <w:b w:val="0"/>
                <w:bCs w:val="0"/>
              </w:rPr>
            </w:pPr>
            <w:r w:rsidRPr="0087531F">
              <w:rPr>
                <w:b w:val="0"/>
                <w:bCs w:val="0"/>
              </w:rPr>
              <w:t>ARR</w:t>
            </w:r>
            <w:r>
              <w:rPr>
                <w:b w:val="0"/>
                <w:bCs w:val="0"/>
              </w:rPr>
              <w:t>, LS mean (95% CI)</w:t>
            </w:r>
          </w:p>
        </w:tc>
        <w:tc>
          <w:tcPr>
            <w:tcW w:w="1559" w:type="dxa"/>
          </w:tcPr>
          <w:p w14:paraId="24073AD1" w14:textId="728324B1" w:rsidR="00BC2FEF" w:rsidRPr="0087531F" w:rsidRDefault="00BC2FEF" w:rsidP="00B60C6F">
            <w:pPr>
              <w:pStyle w:val="TableFigureHeading"/>
              <w:keepLines/>
              <w:rPr>
                <w:b w:val="0"/>
                <w:bCs w:val="0"/>
              </w:rPr>
            </w:pPr>
            <w:r w:rsidRPr="0087531F">
              <w:rPr>
                <w:b w:val="0"/>
                <w:bCs w:val="0"/>
              </w:rPr>
              <w:t>0.0</w:t>
            </w:r>
            <w:r w:rsidR="00CE36BA">
              <w:rPr>
                <w:b w:val="0"/>
                <w:bCs w:val="0"/>
              </w:rPr>
              <w:t>8 (0.04, 0.14)</w:t>
            </w:r>
          </w:p>
        </w:tc>
        <w:tc>
          <w:tcPr>
            <w:tcW w:w="1701" w:type="dxa"/>
          </w:tcPr>
          <w:p w14:paraId="4468361F" w14:textId="28CDF785" w:rsidR="00BC2FEF" w:rsidRPr="0087531F" w:rsidRDefault="00BC2FEF" w:rsidP="00B60C6F">
            <w:pPr>
              <w:pStyle w:val="TableFigureHeading"/>
              <w:keepLines/>
              <w:rPr>
                <w:b w:val="0"/>
                <w:bCs w:val="0"/>
              </w:rPr>
            </w:pPr>
            <w:r w:rsidRPr="0087531F">
              <w:rPr>
                <w:b w:val="0"/>
                <w:bCs w:val="0"/>
              </w:rPr>
              <w:t>0.</w:t>
            </w:r>
            <w:r w:rsidR="00CE36BA">
              <w:rPr>
                <w:b w:val="0"/>
                <w:bCs w:val="0"/>
              </w:rPr>
              <w:t>19 (0.12, 0.28)</w:t>
            </w:r>
          </w:p>
        </w:tc>
        <w:tc>
          <w:tcPr>
            <w:tcW w:w="1701" w:type="dxa"/>
          </w:tcPr>
          <w:p w14:paraId="6CF12710" w14:textId="0530A86E" w:rsidR="00BC2FEF" w:rsidRPr="0087531F" w:rsidRDefault="00BC2FEF" w:rsidP="00B60C6F">
            <w:pPr>
              <w:pStyle w:val="TableFigureHeading"/>
              <w:keepLines/>
              <w:rPr>
                <w:b w:val="0"/>
                <w:bCs w:val="0"/>
              </w:rPr>
            </w:pPr>
            <w:r>
              <w:rPr>
                <w:b w:val="0"/>
                <w:bCs w:val="0"/>
              </w:rPr>
              <w:t>0.09 (0.05, 0.17)</w:t>
            </w:r>
          </w:p>
        </w:tc>
        <w:tc>
          <w:tcPr>
            <w:tcW w:w="1843" w:type="dxa"/>
          </w:tcPr>
          <w:p w14:paraId="7A748EEA" w14:textId="779747CF" w:rsidR="00BC2FEF" w:rsidRPr="0087531F" w:rsidRDefault="00BC2FEF" w:rsidP="00B60C6F">
            <w:pPr>
              <w:pStyle w:val="TableFigureHeading"/>
              <w:keepLines/>
              <w:rPr>
                <w:b w:val="0"/>
                <w:bCs w:val="0"/>
              </w:rPr>
            </w:pPr>
            <w:r>
              <w:rPr>
                <w:b w:val="0"/>
                <w:bCs w:val="0"/>
              </w:rPr>
              <w:t>0.18 (0.11, 0.29)</w:t>
            </w:r>
          </w:p>
        </w:tc>
      </w:tr>
      <w:tr w:rsidR="00CE36BA" w14:paraId="1A4D8776" w14:textId="77777777" w:rsidTr="58C81D04">
        <w:tc>
          <w:tcPr>
            <w:tcW w:w="1980" w:type="dxa"/>
          </w:tcPr>
          <w:p w14:paraId="7F240B0D" w14:textId="7A6E03B0" w:rsidR="00CE36BA" w:rsidRPr="0087531F" w:rsidRDefault="00CE36BA" w:rsidP="00B60C6F">
            <w:pPr>
              <w:pStyle w:val="TableFigureHeading"/>
              <w:keepLines/>
              <w:rPr>
                <w:b w:val="0"/>
                <w:bCs w:val="0"/>
              </w:rPr>
            </w:pPr>
            <w:r>
              <w:rPr>
                <w:b w:val="0"/>
                <w:bCs w:val="0"/>
              </w:rPr>
              <w:t>Difference in ARR, UBLI-TER (95% CI)</w:t>
            </w:r>
          </w:p>
        </w:tc>
        <w:tc>
          <w:tcPr>
            <w:tcW w:w="3260" w:type="dxa"/>
            <w:gridSpan w:val="2"/>
          </w:tcPr>
          <w:p w14:paraId="49FA898F" w14:textId="59B747E6" w:rsidR="00CE36BA" w:rsidRPr="00CE36BA" w:rsidRDefault="00CE36BA" w:rsidP="00B60C6F">
            <w:pPr>
              <w:pStyle w:val="TableFigureHeading"/>
              <w:keepLines/>
              <w:jc w:val="center"/>
            </w:pPr>
            <w:r w:rsidRPr="00CE36BA">
              <w:t>-0.11 (-0.17, -0.06)</w:t>
            </w:r>
          </w:p>
        </w:tc>
        <w:tc>
          <w:tcPr>
            <w:tcW w:w="3544" w:type="dxa"/>
            <w:gridSpan w:val="2"/>
          </w:tcPr>
          <w:p w14:paraId="50319C7F" w14:textId="56AE6F6E" w:rsidR="00CE36BA" w:rsidRPr="003F0025" w:rsidRDefault="00CE36BA" w:rsidP="00B60C6F">
            <w:pPr>
              <w:pStyle w:val="TableFigureHeading"/>
              <w:keepLines/>
              <w:jc w:val="center"/>
            </w:pPr>
            <w:r w:rsidRPr="003F0025">
              <w:t>-0.09 (-0.15, -0.03)</w:t>
            </w:r>
          </w:p>
        </w:tc>
      </w:tr>
      <w:tr w:rsidR="00CE36BA" w14:paraId="79E1E3E1" w14:textId="77777777" w:rsidTr="58C81D04">
        <w:tc>
          <w:tcPr>
            <w:tcW w:w="1980" w:type="dxa"/>
          </w:tcPr>
          <w:p w14:paraId="6795B838" w14:textId="27DDD715" w:rsidR="00CE36BA" w:rsidRPr="0087531F" w:rsidRDefault="00CE36BA" w:rsidP="00B60C6F">
            <w:pPr>
              <w:pStyle w:val="TableFigureHeading"/>
              <w:keepLines/>
              <w:rPr>
                <w:b w:val="0"/>
                <w:bCs w:val="0"/>
              </w:rPr>
            </w:pPr>
            <w:r>
              <w:rPr>
                <w:b w:val="0"/>
                <w:bCs w:val="0"/>
              </w:rPr>
              <w:t>Rate ratio (95% CI)</w:t>
            </w:r>
          </w:p>
        </w:tc>
        <w:tc>
          <w:tcPr>
            <w:tcW w:w="3260" w:type="dxa"/>
            <w:gridSpan w:val="2"/>
          </w:tcPr>
          <w:p w14:paraId="42F3E63D" w14:textId="2692D900" w:rsidR="00CE36BA" w:rsidRPr="00CE36BA" w:rsidRDefault="00CE36BA" w:rsidP="00B60C6F">
            <w:pPr>
              <w:pStyle w:val="TableFigureHeading"/>
              <w:keepLines/>
              <w:jc w:val="center"/>
            </w:pPr>
            <w:r w:rsidRPr="00CE36BA">
              <w:t>0.41 (0.27, 0.62)</w:t>
            </w:r>
          </w:p>
        </w:tc>
        <w:tc>
          <w:tcPr>
            <w:tcW w:w="3544" w:type="dxa"/>
            <w:gridSpan w:val="2"/>
          </w:tcPr>
          <w:p w14:paraId="743394D7" w14:textId="726A83CB" w:rsidR="00CE36BA" w:rsidRPr="003F0025" w:rsidRDefault="00CE36BA" w:rsidP="00B60C6F">
            <w:pPr>
              <w:pStyle w:val="TableFigureHeading"/>
              <w:keepLines/>
              <w:jc w:val="center"/>
            </w:pPr>
            <w:r w:rsidRPr="003F0025">
              <w:t xml:space="preserve">0.51 (0.33, </w:t>
            </w:r>
            <w:r w:rsidR="003F0025" w:rsidRPr="003F0025">
              <w:t>0.78)</w:t>
            </w:r>
          </w:p>
        </w:tc>
      </w:tr>
      <w:tr w:rsidR="00F245F1" w14:paraId="5D763BE2" w14:textId="77777777" w:rsidTr="58C81D04">
        <w:tc>
          <w:tcPr>
            <w:tcW w:w="1980" w:type="dxa"/>
          </w:tcPr>
          <w:p w14:paraId="709DC88D" w14:textId="77777777" w:rsidR="00F245F1" w:rsidRDefault="00F245F1" w:rsidP="00B60C6F">
            <w:pPr>
              <w:pStyle w:val="TableFigureHeading"/>
              <w:keepLines/>
              <w:rPr>
                <w:b w:val="0"/>
                <w:bCs w:val="0"/>
              </w:rPr>
            </w:pPr>
            <w:r>
              <w:rPr>
                <w:b w:val="0"/>
                <w:bCs w:val="0"/>
              </w:rPr>
              <w:t>Proportion free of relapse, % (95% CI)</w:t>
            </w:r>
          </w:p>
          <w:p w14:paraId="75ACD3AA" w14:textId="77777777" w:rsidR="00F245F1" w:rsidRDefault="00F245F1" w:rsidP="00B60C6F">
            <w:pPr>
              <w:pStyle w:val="TableFigureHeading"/>
              <w:keepLines/>
              <w:jc w:val="right"/>
              <w:rPr>
                <w:b w:val="0"/>
                <w:bCs w:val="0"/>
              </w:rPr>
            </w:pPr>
            <w:r>
              <w:rPr>
                <w:b w:val="0"/>
                <w:bCs w:val="0"/>
              </w:rPr>
              <w:t>24 weeks</w:t>
            </w:r>
          </w:p>
          <w:p w14:paraId="5276E1BF" w14:textId="77777777" w:rsidR="00F245F1" w:rsidRDefault="00F245F1" w:rsidP="00B60C6F">
            <w:pPr>
              <w:pStyle w:val="TableFigureHeading"/>
              <w:keepLines/>
              <w:jc w:val="right"/>
              <w:rPr>
                <w:b w:val="0"/>
                <w:bCs w:val="0"/>
              </w:rPr>
            </w:pPr>
            <w:r>
              <w:rPr>
                <w:b w:val="0"/>
                <w:bCs w:val="0"/>
              </w:rPr>
              <w:t>48 weeks</w:t>
            </w:r>
          </w:p>
          <w:p w14:paraId="43945279" w14:textId="56C4A440" w:rsidR="00F245F1" w:rsidRDefault="00F245F1" w:rsidP="00B60C6F">
            <w:pPr>
              <w:pStyle w:val="TableFigureHeading"/>
              <w:keepLines/>
              <w:jc w:val="right"/>
              <w:rPr>
                <w:b w:val="0"/>
                <w:bCs w:val="0"/>
              </w:rPr>
            </w:pPr>
            <w:r>
              <w:rPr>
                <w:b w:val="0"/>
                <w:bCs w:val="0"/>
              </w:rPr>
              <w:t>96 weeks</w:t>
            </w:r>
          </w:p>
        </w:tc>
        <w:tc>
          <w:tcPr>
            <w:tcW w:w="1559" w:type="dxa"/>
          </w:tcPr>
          <w:p w14:paraId="226374BF" w14:textId="77777777" w:rsidR="00F245F1" w:rsidRDefault="00F245F1" w:rsidP="00B60C6F">
            <w:pPr>
              <w:pStyle w:val="TableFigureHeading"/>
              <w:keepLines/>
              <w:rPr>
                <w:b w:val="0"/>
                <w:bCs w:val="0"/>
              </w:rPr>
            </w:pPr>
          </w:p>
          <w:p w14:paraId="1489C8C9" w14:textId="77777777" w:rsidR="00F245F1" w:rsidRDefault="00F245F1" w:rsidP="00B60C6F">
            <w:pPr>
              <w:pStyle w:val="TableFigureHeading"/>
              <w:keepLines/>
              <w:rPr>
                <w:b w:val="0"/>
                <w:bCs w:val="0"/>
              </w:rPr>
            </w:pPr>
          </w:p>
          <w:p w14:paraId="1184AB9A" w14:textId="42A62246" w:rsidR="00E665C2" w:rsidRDefault="00E665C2" w:rsidP="00B60C6F">
            <w:pPr>
              <w:pStyle w:val="TableFigureHeading"/>
              <w:keepLines/>
              <w:rPr>
                <w:b w:val="0"/>
                <w:bCs w:val="0"/>
              </w:rPr>
            </w:pPr>
            <w:r>
              <w:rPr>
                <w:b w:val="0"/>
                <w:bCs w:val="0"/>
              </w:rPr>
              <w:t>96.2 (93.1, 98.0)</w:t>
            </w:r>
          </w:p>
          <w:p w14:paraId="42993AA7" w14:textId="00F1F968" w:rsidR="00E665C2" w:rsidRDefault="00E665C2" w:rsidP="00B60C6F">
            <w:pPr>
              <w:pStyle w:val="TableFigureHeading"/>
              <w:keepLines/>
              <w:rPr>
                <w:b w:val="0"/>
                <w:bCs w:val="0"/>
              </w:rPr>
            </w:pPr>
            <w:r>
              <w:rPr>
                <w:b w:val="0"/>
                <w:bCs w:val="0"/>
              </w:rPr>
              <w:t>92.4 (88.4, 95.0)</w:t>
            </w:r>
          </w:p>
          <w:p w14:paraId="678D841C" w14:textId="718E789D" w:rsidR="00F245F1" w:rsidRPr="00E665C2" w:rsidRDefault="00E665C2" w:rsidP="00B60C6F">
            <w:pPr>
              <w:pStyle w:val="TableFigureHeading"/>
              <w:keepLines/>
              <w:rPr>
                <w:b w:val="0"/>
                <w:bCs w:val="0"/>
              </w:rPr>
            </w:pPr>
            <w:r>
              <w:rPr>
                <w:b w:val="0"/>
                <w:bCs w:val="0"/>
              </w:rPr>
              <w:t>86.0 (81.2, 89.7)</w:t>
            </w:r>
          </w:p>
        </w:tc>
        <w:tc>
          <w:tcPr>
            <w:tcW w:w="1701" w:type="dxa"/>
          </w:tcPr>
          <w:p w14:paraId="435F6F22" w14:textId="77777777" w:rsidR="00F245F1" w:rsidRPr="00E665C2" w:rsidRDefault="00F245F1" w:rsidP="00B60C6F">
            <w:pPr>
              <w:pStyle w:val="TableFigureHeading"/>
              <w:keepLines/>
              <w:rPr>
                <w:b w:val="0"/>
                <w:bCs w:val="0"/>
              </w:rPr>
            </w:pPr>
          </w:p>
          <w:p w14:paraId="489F60DE" w14:textId="77777777" w:rsidR="00F245F1" w:rsidRPr="00E665C2" w:rsidRDefault="00F245F1" w:rsidP="00B60C6F">
            <w:pPr>
              <w:pStyle w:val="TableFigureHeading"/>
              <w:keepLines/>
              <w:rPr>
                <w:b w:val="0"/>
                <w:bCs w:val="0"/>
              </w:rPr>
            </w:pPr>
          </w:p>
          <w:p w14:paraId="3E474D78" w14:textId="49ADCE07" w:rsidR="00E665C2" w:rsidRPr="00E665C2" w:rsidRDefault="00E665C2" w:rsidP="00B60C6F">
            <w:pPr>
              <w:pStyle w:val="TableFigureHeading"/>
              <w:keepLines/>
              <w:rPr>
                <w:b w:val="0"/>
                <w:bCs w:val="0"/>
              </w:rPr>
            </w:pPr>
            <w:r w:rsidRPr="00E665C2">
              <w:rPr>
                <w:b w:val="0"/>
                <w:bCs w:val="0"/>
              </w:rPr>
              <w:t>90.8 (86.6, 93.7)</w:t>
            </w:r>
          </w:p>
          <w:p w14:paraId="0BFF73C9" w14:textId="2C9A0C5E" w:rsidR="00E665C2" w:rsidRPr="00E665C2" w:rsidRDefault="00E665C2" w:rsidP="00B60C6F">
            <w:pPr>
              <w:pStyle w:val="TableFigureHeading"/>
              <w:keepLines/>
              <w:rPr>
                <w:b w:val="0"/>
                <w:bCs w:val="0"/>
              </w:rPr>
            </w:pPr>
            <w:r w:rsidRPr="00E665C2">
              <w:rPr>
                <w:b w:val="0"/>
                <w:bCs w:val="0"/>
              </w:rPr>
              <w:t>83.6 (78.6, 87.5)</w:t>
            </w:r>
          </w:p>
          <w:p w14:paraId="2C2CBF0E" w14:textId="18DFFBA4" w:rsidR="00F245F1" w:rsidRPr="00E665C2" w:rsidRDefault="00E665C2" w:rsidP="00B60C6F">
            <w:pPr>
              <w:pStyle w:val="TableFigureHeading"/>
              <w:keepLines/>
              <w:rPr>
                <w:b w:val="0"/>
                <w:bCs w:val="0"/>
              </w:rPr>
            </w:pPr>
            <w:r w:rsidRPr="00E665C2">
              <w:rPr>
                <w:b w:val="0"/>
                <w:bCs w:val="0"/>
              </w:rPr>
              <w:t>74.4 (68.7, 79.2)</w:t>
            </w:r>
          </w:p>
        </w:tc>
        <w:tc>
          <w:tcPr>
            <w:tcW w:w="1701" w:type="dxa"/>
          </w:tcPr>
          <w:p w14:paraId="2F3E7A9F" w14:textId="77777777" w:rsidR="00E665C2" w:rsidRPr="00E665C2" w:rsidRDefault="00E665C2" w:rsidP="00B60C6F">
            <w:pPr>
              <w:pStyle w:val="TableFigureHeading"/>
              <w:keepLines/>
              <w:rPr>
                <w:b w:val="0"/>
                <w:bCs w:val="0"/>
              </w:rPr>
            </w:pPr>
          </w:p>
          <w:p w14:paraId="231A1899" w14:textId="77777777" w:rsidR="00E665C2" w:rsidRPr="00E665C2" w:rsidRDefault="00E665C2" w:rsidP="00B60C6F">
            <w:pPr>
              <w:pStyle w:val="TableFigureHeading"/>
              <w:keepLines/>
              <w:rPr>
                <w:b w:val="0"/>
                <w:bCs w:val="0"/>
              </w:rPr>
            </w:pPr>
          </w:p>
          <w:p w14:paraId="0D1DDFAE" w14:textId="0AF2E3CE" w:rsidR="00E665C2" w:rsidRPr="00E665C2" w:rsidRDefault="00E665C2" w:rsidP="00B60C6F">
            <w:pPr>
              <w:pStyle w:val="TableFigureHeading"/>
              <w:keepLines/>
              <w:rPr>
                <w:b w:val="0"/>
                <w:bCs w:val="0"/>
              </w:rPr>
            </w:pPr>
            <w:r w:rsidRPr="00E665C2">
              <w:rPr>
                <w:b w:val="0"/>
                <w:bCs w:val="0"/>
              </w:rPr>
              <w:t>92.6 (88.8, 95.2)</w:t>
            </w:r>
          </w:p>
          <w:p w14:paraId="4E1AC929" w14:textId="77777777" w:rsidR="00E665C2" w:rsidRPr="00E665C2" w:rsidRDefault="00E665C2" w:rsidP="00B60C6F">
            <w:pPr>
              <w:pStyle w:val="TableFigureHeading"/>
              <w:keepLines/>
              <w:rPr>
                <w:b w:val="0"/>
                <w:bCs w:val="0"/>
              </w:rPr>
            </w:pPr>
            <w:r w:rsidRPr="00E665C2">
              <w:rPr>
                <w:b w:val="0"/>
                <w:bCs w:val="0"/>
              </w:rPr>
              <w:t>90.0 (85.8, 93.1)</w:t>
            </w:r>
          </w:p>
          <w:p w14:paraId="7CE57CA7" w14:textId="74A41783" w:rsidR="00F245F1" w:rsidRPr="00E665C2" w:rsidRDefault="00E665C2" w:rsidP="00B60C6F">
            <w:pPr>
              <w:pStyle w:val="TableFigureHeading"/>
              <w:keepLines/>
              <w:rPr>
                <w:b w:val="0"/>
                <w:bCs w:val="0"/>
              </w:rPr>
            </w:pPr>
            <w:r w:rsidRPr="00E665C2">
              <w:rPr>
                <w:b w:val="0"/>
                <w:bCs w:val="0"/>
              </w:rPr>
              <w:t>87.4 (82.8, 90.8)</w:t>
            </w:r>
          </w:p>
        </w:tc>
        <w:tc>
          <w:tcPr>
            <w:tcW w:w="1843" w:type="dxa"/>
          </w:tcPr>
          <w:p w14:paraId="7485B68D" w14:textId="77777777" w:rsidR="00F245F1" w:rsidRPr="00E665C2" w:rsidRDefault="00F245F1" w:rsidP="00B60C6F">
            <w:pPr>
              <w:pStyle w:val="TableFigureHeading"/>
              <w:keepLines/>
              <w:rPr>
                <w:b w:val="0"/>
                <w:bCs w:val="0"/>
              </w:rPr>
            </w:pPr>
          </w:p>
          <w:p w14:paraId="0316E921" w14:textId="77777777" w:rsidR="00E665C2" w:rsidRPr="00E665C2" w:rsidRDefault="00E665C2" w:rsidP="00B60C6F">
            <w:pPr>
              <w:pStyle w:val="TableFigureHeading"/>
              <w:keepLines/>
              <w:rPr>
                <w:b w:val="0"/>
                <w:bCs w:val="0"/>
              </w:rPr>
            </w:pPr>
          </w:p>
          <w:p w14:paraId="20FA405A" w14:textId="77777777" w:rsidR="00E665C2" w:rsidRPr="00E665C2" w:rsidRDefault="00E665C2" w:rsidP="00B60C6F">
            <w:pPr>
              <w:pStyle w:val="TableFigureHeading"/>
              <w:keepLines/>
              <w:rPr>
                <w:b w:val="0"/>
                <w:bCs w:val="0"/>
              </w:rPr>
            </w:pPr>
            <w:r w:rsidRPr="00E665C2">
              <w:rPr>
                <w:b w:val="0"/>
                <w:bCs w:val="0"/>
              </w:rPr>
              <w:t>90.7 (86.5, 93.6)</w:t>
            </w:r>
          </w:p>
          <w:p w14:paraId="3B837A5D" w14:textId="77777777" w:rsidR="00E665C2" w:rsidRPr="00E665C2" w:rsidRDefault="00E665C2" w:rsidP="00B60C6F">
            <w:pPr>
              <w:pStyle w:val="TableFigureHeading"/>
              <w:keepLines/>
              <w:rPr>
                <w:b w:val="0"/>
                <w:bCs w:val="0"/>
              </w:rPr>
            </w:pPr>
            <w:r w:rsidRPr="00E665C2">
              <w:rPr>
                <w:b w:val="0"/>
                <w:bCs w:val="0"/>
              </w:rPr>
              <w:t>82.2 (77.0, 86.3)</w:t>
            </w:r>
          </w:p>
          <w:p w14:paraId="4BAA406C" w14:textId="3DFA1F12" w:rsidR="00E665C2" w:rsidRPr="00E665C2" w:rsidRDefault="00E665C2" w:rsidP="00B60C6F">
            <w:pPr>
              <w:pStyle w:val="TableFigureHeading"/>
              <w:keepLines/>
              <w:rPr>
                <w:b w:val="0"/>
                <w:bCs w:val="0"/>
              </w:rPr>
            </w:pPr>
            <w:r w:rsidRPr="00E665C2">
              <w:rPr>
                <w:b w:val="0"/>
                <w:bCs w:val="0"/>
              </w:rPr>
              <w:t>72.1 (66.2, 77.2)</w:t>
            </w:r>
          </w:p>
        </w:tc>
      </w:tr>
      <w:tr w:rsidR="00BC2FEF" w14:paraId="4670451E" w14:textId="77777777" w:rsidTr="58C81D04">
        <w:tc>
          <w:tcPr>
            <w:tcW w:w="1980" w:type="dxa"/>
          </w:tcPr>
          <w:p w14:paraId="4DB6A873" w14:textId="63E84C21" w:rsidR="00BC2FEF" w:rsidRDefault="00BC2FEF" w:rsidP="00B60C6F">
            <w:pPr>
              <w:pStyle w:val="TableFigureHeading"/>
              <w:keepLines/>
              <w:rPr>
                <w:b w:val="0"/>
                <w:bCs w:val="0"/>
              </w:rPr>
            </w:pPr>
            <w:r>
              <w:rPr>
                <w:b w:val="0"/>
                <w:bCs w:val="0"/>
              </w:rPr>
              <w:t>EDSS change from baseline to 96 weeks</w:t>
            </w:r>
          </w:p>
          <w:p w14:paraId="24B5FECB" w14:textId="77777777" w:rsidR="00BC2FEF" w:rsidRDefault="00BC2FEF" w:rsidP="00B60C6F">
            <w:pPr>
              <w:pStyle w:val="TableFigureHeading"/>
              <w:keepLines/>
              <w:rPr>
                <w:b w:val="0"/>
                <w:bCs w:val="0"/>
              </w:rPr>
            </w:pPr>
            <w:r>
              <w:rPr>
                <w:b w:val="0"/>
                <w:bCs w:val="0"/>
              </w:rPr>
              <w:t>Mean (SD)</w:t>
            </w:r>
          </w:p>
          <w:p w14:paraId="42F55762" w14:textId="77777777" w:rsidR="00BC2FEF" w:rsidRDefault="00BC2FEF" w:rsidP="00B60C6F">
            <w:pPr>
              <w:pStyle w:val="TableFigureHeading"/>
              <w:keepLines/>
              <w:rPr>
                <w:b w:val="0"/>
                <w:bCs w:val="0"/>
              </w:rPr>
            </w:pPr>
            <w:r>
              <w:rPr>
                <w:b w:val="0"/>
                <w:bCs w:val="0"/>
              </w:rPr>
              <w:t>Median (IQR)</w:t>
            </w:r>
          </w:p>
          <w:p w14:paraId="65E28740" w14:textId="698C5DD0" w:rsidR="00BC2FEF" w:rsidRDefault="00BC2FEF" w:rsidP="00B60C6F">
            <w:pPr>
              <w:pStyle w:val="TableFigureHeading"/>
              <w:keepLines/>
              <w:rPr>
                <w:b w:val="0"/>
                <w:bCs w:val="0"/>
              </w:rPr>
            </w:pPr>
            <w:r>
              <w:rPr>
                <w:b w:val="0"/>
                <w:bCs w:val="0"/>
              </w:rPr>
              <w:t xml:space="preserve">Range </w:t>
            </w:r>
          </w:p>
        </w:tc>
        <w:tc>
          <w:tcPr>
            <w:tcW w:w="1559" w:type="dxa"/>
          </w:tcPr>
          <w:p w14:paraId="6D7A697B" w14:textId="77777777" w:rsidR="00BC2FEF" w:rsidRDefault="00BC2FEF" w:rsidP="00B60C6F">
            <w:pPr>
              <w:pStyle w:val="TableFigureHeading"/>
              <w:keepLines/>
              <w:rPr>
                <w:b w:val="0"/>
                <w:bCs w:val="0"/>
              </w:rPr>
            </w:pPr>
          </w:p>
          <w:p w14:paraId="493C37E8" w14:textId="77777777" w:rsidR="00BC2FEF" w:rsidRDefault="00BC2FEF" w:rsidP="00B60C6F">
            <w:pPr>
              <w:pStyle w:val="TableFigureHeading"/>
              <w:keepLines/>
              <w:rPr>
                <w:b w:val="0"/>
                <w:bCs w:val="0"/>
              </w:rPr>
            </w:pPr>
          </w:p>
          <w:p w14:paraId="27E409A3" w14:textId="77777777" w:rsidR="00BC2FEF" w:rsidRDefault="00BC2FEF" w:rsidP="00B60C6F">
            <w:pPr>
              <w:pStyle w:val="TableFigureHeading"/>
              <w:keepLines/>
              <w:rPr>
                <w:b w:val="0"/>
                <w:bCs w:val="0"/>
              </w:rPr>
            </w:pPr>
            <w:r>
              <w:rPr>
                <w:b w:val="0"/>
                <w:bCs w:val="0"/>
              </w:rPr>
              <w:t>-0.2 (0.6)</w:t>
            </w:r>
          </w:p>
          <w:p w14:paraId="2BD9A135" w14:textId="77777777" w:rsidR="00BC2FEF" w:rsidRDefault="00BC2FEF" w:rsidP="00B60C6F">
            <w:pPr>
              <w:pStyle w:val="TableFigureHeading"/>
              <w:keepLines/>
              <w:rPr>
                <w:b w:val="0"/>
                <w:bCs w:val="0"/>
              </w:rPr>
            </w:pPr>
            <w:r>
              <w:rPr>
                <w:b w:val="0"/>
                <w:bCs w:val="0"/>
              </w:rPr>
              <w:t>0.0 (-0.5, 0.0)</w:t>
            </w:r>
          </w:p>
          <w:p w14:paraId="3E6B9D6F" w14:textId="071FD115" w:rsidR="00BC2FEF" w:rsidRDefault="00BC2FEF" w:rsidP="00B60C6F">
            <w:pPr>
              <w:pStyle w:val="TableFigureHeading"/>
              <w:keepLines/>
              <w:rPr>
                <w:b w:val="0"/>
                <w:bCs w:val="0"/>
              </w:rPr>
            </w:pPr>
            <w:r>
              <w:rPr>
                <w:b w:val="0"/>
                <w:bCs w:val="0"/>
              </w:rPr>
              <w:t>-2.0 - 2.5</w:t>
            </w:r>
          </w:p>
        </w:tc>
        <w:tc>
          <w:tcPr>
            <w:tcW w:w="1701" w:type="dxa"/>
          </w:tcPr>
          <w:p w14:paraId="4F4AE03A" w14:textId="77777777" w:rsidR="00BC2FEF" w:rsidRDefault="00BC2FEF" w:rsidP="00B60C6F">
            <w:pPr>
              <w:pStyle w:val="TableFigureHeading"/>
              <w:keepLines/>
              <w:rPr>
                <w:b w:val="0"/>
                <w:bCs w:val="0"/>
              </w:rPr>
            </w:pPr>
          </w:p>
          <w:p w14:paraId="515A73C4" w14:textId="77777777" w:rsidR="00BC2FEF" w:rsidRDefault="00BC2FEF" w:rsidP="00B60C6F">
            <w:pPr>
              <w:pStyle w:val="TableFigureHeading"/>
              <w:keepLines/>
              <w:rPr>
                <w:b w:val="0"/>
                <w:bCs w:val="0"/>
              </w:rPr>
            </w:pPr>
          </w:p>
          <w:p w14:paraId="1475097E" w14:textId="77777777" w:rsidR="00BC2FEF" w:rsidRDefault="00BC2FEF" w:rsidP="00B60C6F">
            <w:pPr>
              <w:pStyle w:val="TableFigureHeading"/>
              <w:keepLines/>
              <w:rPr>
                <w:b w:val="0"/>
                <w:bCs w:val="0"/>
              </w:rPr>
            </w:pPr>
            <w:r>
              <w:rPr>
                <w:b w:val="0"/>
                <w:bCs w:val="0"/>
              </w:rPr>
              <w:t>0.0 (0.7)</w:t>
            </w:r>
          </w:p>
          <w:p w14:paraId="7417E9CB" w14:textId="77777777" w:rsidR="00BC2FEF" w:rsidRDefault="00BC2FEF" w:rsidP="00B60C6F">
            <w:pPr>
              <w:pStyle w:val="TableFigureHeading"/>
              <w:keepLines/>
              <w:rPr>
                <w:b w:val="0"/>
                <w:bCs w:val="0"/>
              </w:rPr>
            </w:pPr>
            <w:r>
              <w:rPr>
                <w:b w:val="0"/>
                <w:bCs w:val="0"/>
              </w:rPr>
              <w:t>0.0 (0.0, 0.0)</w:t>
            </w:r>
          </w:p>
          <w:p w14:paraId="4183767A" w14:textId="47925ACE" w:rsidR="00BC2FEF" w:rsidRDefault="00BC2FEF" w:rsidP="00B60C6F">
            <w:pPr>
              <w:pStyle w:val="TableFigureHeading"/>
              <w:keepLines/>
              <w:rPr>
                <w:b w:val="0"/>
                <w:bCs w:val="0"/>
              </w:rPr>
            </w:pPr>
            <w:r>
              <w:rPr>
                <w:b w:val="0"/>
                <w:bCs w:val="0"/>
              </w:rPr>
              <w:t>-2.5, 3.5</w:t>
            </w:r>
          </w:p>
        </w:tc>
        <w:tc>
          <w:tcPr>
            <w:tcW w:w="1701" w:type="dxa"/>
          </w:tcPr>
          <w:p w14:paraId="238285EE" w14:textId="77777777" w:rsidR="00BC2FEF" w:rsidRDefault="00BC2FEF" w:rsidP="00B60C6F">
            <w:pPr>
              <w:pStyle w:val="TableFigureHeading"/>
              <w:keepLines/>
              <w:rPr>
                <w:b w:val="0"/>
                <w:bCs w:val="0"/>
              </w:rPr>
            </w:pPr>
          </w:p>
          <w:p w14:paraId="25373AE9" w14:textId="77777777" w:rsidR="00BC2FEF" w:rsidRDefault="00BC2FEF" w:rsidP="00B60C6F">
            <w:pPr>
              <w:pStyle w:val="TableFigureHeading"/>
              <w:keepLines/>
              <w:rPr>
                <w:b w:val="0"/>
                <w:bCs w:val="0"/>
              </w:rPr>
            </w:pPr>
          </w:p>
          <w:p w14:paraId="3183E309" w14:textId="77777777" w:rsidR="00BC2FEF" w:rsidRDefault="00BC2FEF" w:rsidP="00B60C6F">
            <w:pPr>
              <w:pStyle w:val="TableFigureHeading"/>
              <w:keepLines/>
              <w:rPr>
                <w:b w:val="0"/>
                <w:bCs w:val="0"/>
              </w:rPr>
            </w:pPr>
            <w:r>
              <w:rPr>
                <w:b w:val="0"/>
                <w:bCs w:val="0"/>
              </w:rPr>
              <w:t>-0.1 (0.6)</w:t>
            </w:r>
          </w:p>
          <w:p w14:paraId="62DD10BA" w14:textId="77777777" w:rsidR="00BC2FEF" w:rsidRDefault="00BC2FEF" w:rsidP="00B60C6F">
            <w:pPr>
              <w:pStyle w:val="TableFigureHeading"/>
              <w:keepLines/>
              <w:rPr>
                <w:b w:val="0"/>
                <w:bCs w:val="0"/>
              </w:rPr>
            </w:pPr>
            <w:r>
              <w:rPr>
                <w:b w:val="0"/>
                <w:bCs w:val="0"/>
              </w:rPr>
              <w:t>0.0 (0, 0)</w:t>
            </w:r>
          </w:p>
          <w:p w14:paraId="6B650746" w14:textId="1FEF93B5" w:rsidR="00BC2FEF" w:rsidRPr="0087531F" w:rsidRDefault="00BC2FEF" w:rsidP="00B60C6F">
            <w:pPr>
              <w:pStyle w:val="TableFigureHeading"/>
              <w:keepLines/>
              <w:rPr>
                <w:b w:val="0"/>
                <w:bCs w:val="0"/>
              </w:rPr>
            </w:pPr>
            <w:r>
              <w:rPr>
                <w:b w:val="0"/>
                <w:bCs w:val="0"/>
              </w:rPr>
              <w:t>-3.0, 1.5</w:t>
            </w:r>
          </w:p>
        </w:tc>
        <w:tc>
          <w:tcPr>
            <w:tcW w:w="1843" w:type="dxa"/>
          </w:tcPr>
          <w:p w14:paraId="022D335A" w14:textId="77777777" w:rsidR="00BC2FEF" w:rsidRDefault="00BC2FEF" w:rsidP="00B60C6F">
            <w:pPr>
              <w:pStyle w:val="TableFigureHeading"/>
              <w:keepLines/>
              <w:rPr>
                <w:b w:val="0"/>
                <w:bCs w:val="0"/>
              </w:rPr>
            </w:pPr>
          </w:p>
          <w:p w14:paraId="753A42EB" w14:textId="77777777" w:rsidR="00BC2FEF" w:rsidRDefault="00BC2FEF" w:rsidP="00B60C6F">
            <w:pPr>
              <w:pStyle w:val="TableFigureHeading"/>
              <w:keepLines/>
              <w:rPr>
                <w:b w:val="0"/>
                <w:bCs w:val="0"/>
              </w:rPr>
            </w:pPr>
          </w:p>
          <w:p w14:paraId="11A3F831" w14:textId="3800AA8C" w:rsidR="00BC2FEF" w:rsidRDefault="00BC2FEF" w:rsidP="00B60C6F">
            <w:pPr>
              <w:pStyle w:val="TableFigureHeading"/>
              <w:keepLines/>
              <w:rPr>
                <w:b w:val="0"/>
                <w:bCs w:val="0"/>
              </w:rPr>
            </w:pPr>
            <w:r>
              <w:rPr>
                <w:b w:val="0"/>
                <w:bCs w:val="0"/>
              </w:rPr>
              <w:t>-0.0 (0.6)</w:t>
            </w:r>
          </w:p>
          <w:p w14:paraId="750B276C" w14:textId="77777777" w:rsidR="00BC2FEF" w:rsidRDefault="00BC2FEF" w:rsidP="00B60C6F">
            <w:pPr>
              <w:pStyle w:val="TableFigureHeading"/>
              <w:keepLines/>
              <w:rPr>
                <w:b w:val="0"/>
                <w:bCs w:val="0"/>
              </w:rPr>
            </w:pPr>
            <w:r>
              <w:rPr>
                <w:b w:val="0"/>
                <w:bCs w:val="0"/>
              </w:rPr>
              <w:t>0.0 (0, 0)</w:t>
            </w:r>
          </w:p>
          <w:p w14:paraId="1DD50A48" w14:textId="385A39F0" w:rsidR="00BC2FEF" w:rsidRPr="0087531F" w:rsidRDefault="00BC2FEF" w:rsidP="00B60C6F">
            <w:pPr>
              <w:pStyle w:val="TableFigureHeading"/>
              <w:keepLines/>
              <w:rPr>
                <w:b w:val="0"/>
                <w:bCs w:val="0"/>
              </w:rPr>
            </w:pPr>
            <w:r>
              <w:rPr>
                <w:b w:val="0"/>
                <w:bCs w:val="0"/>
              </w:rPr>
              <w:t>-3.0, 3.0</w:t>
            </w:r>
          </w:p>
        </w:tc>
      </w:tr>
      <w:tr w:rsidR="00BC2FEF" w14:paraId="6E295347" w14:textId="77777777" w:rsidTr="58C81D04">
        <w:tc>
          <w:tcPr>
            <w:tcW w:w="1980" w:type="dxa"/>
          </w:tcPr>
          <w:p w14:paraId="5AEADCDD" w14:textId="36EC0C6D" w:rsidR="00BC2FEF" w:rsidRPr="0087531F" w:rsidRDefault="00BC2FEF" w:rsidP="00B60C6F">
            <w:pPr>
              <w:pStyle w:val="TableFigureHeading"/>
              <w:keepLines/>
              <w:rPr>
                <w:b w:val="0"/>
                <w:bCs w:val="0"/>
              </w:rPr>
            </w:pPr>
            <w:r w:rsidRPr="0087531F">
              <w:rPr>
                <w:b w:val="0"/>
                <w:bCs w:val="0"/>
              </w:rPr>
              <w:t>G</w:t>
            </w:r>
            <w:r w:rsidR="00BD0CC6">
              <w:rPr>
                <w:b w:val="0"/>
                <w:bCs w:val="0"/>
              </w:rPr>
              <w:t>d</w:t>
            </w:r>
            <w:r w:rsidRPr="0087531F">
              <w:rPr>
                <w:b w:val="0"/>
                <w:bCs w:val="0"/>
              </w:rPr>
              <w:t>-enhancing MRI lesions at 96 weeks</w:t>
            </w:r>
          </w:p>
          <w:p w14:paraId="262CF33E" w14:textId="77777777" w:rsidR="00BC2FEF" w:rsidRPr="0087531F" w:rsidRDefault="00BC2FEF" w:rsidP="00B60C6F">
            <w:pPr>
              <w:pStyle w:val="TableFigureHeading"/>
              <w:keepLines/>
              <w:rPr>
                <w:b w:val="0"/>
                <w:bCs w:val="0"/>
              </w:rPr>
            </w:pPr>
            <w:r w:rsidRPr="0087531F">
              <w:rPr>
                <w:b w:val="0"/>
                <w:bCs w:val="0"/>
              </w:rPr>
              <w:t>Mean (SD)</w:t>
            </w:r>
          </w:p>
          <w:p w14:paraId="36D25FBF" w14:textId="77777777" w:rsidR="00BC2FEF" w:rsidRPr="0087531F" w:rsidRDefault="00BC2FEF" w:rsidP="00B60C6F">
            <w:pPr>
              <w:pStyle w:val="TableFigureHeading"/>
              <w:keepLines/>
              <w:rPr>
                <w:b w:val="0"/>
                <w:bCs w:val="0"/>
              </w:rPr>
            </w:pPr>
            <w:r w:rsidRPr="0087531F">
              <w:rPr>
                <w:b w:val="0"/>
                <w:bCs w:val="0"/>
              </w:rPr>
              <w:t>Median (IQR)</w:t>
            </w:r>
          </w:p>
          <w:p w14:paraId="5F2479D5" w14:textId="07EC9C05" w:rsidR="00BC2FEF" w:rsidRPr="0087531F" w:rsidRDefault="00BC2FEF" w:rsidP="00B60C6F">
            <w:pPr>
              <w:pStyle w:val="TableFigureHeading"/>
              <w:keepLines/>
              <w:rPr>
                <w:b w:val="0"/>
                <w:bCs w:val="0"/>
              </w:rPr>
            </w:pPr>
            <w:r w:rsidRPr="0087531F">
              <w:rPr>
                <w:b w:val="0"/>
                <w:bCs w:val="0"/>
              </w:rPr>
              <w:t>Range</w:t>
            </w:r>
          </w:p>
        </w:tc>
        <w:tc>
          <w:tcPr>
            <w:tcW w:w="1559" w:type="dxa"/>
          </w:tcPr>
          <w:p w14:paraId="301DBB00" w14:textId="77777777" w:rsidR="00BC2FEF" w:rsidRPr="0087531F" w:rsidRDefault="00BC2FEF" w:rsidP="00B60C6F">
            <w:pPr>
              <w:pStyle w:val="TableFigureHeading"/>
              <w:keepLines/>
              <w:rPr>
                <w:b w:val="0"/>
                <w:bCs w:val="0"/>
              </w:rPr>
            </w:pPr>
          </w:p>
          <w:p w14:paraId="16271546" w14:textId="77777777" w:rsidR="00BC2FEF" w:rsidRPr="0087531F" w:rsidRDefault="00BC2FEF" w:rsidP="00B60C6F">
            <w:pPr>
              <w:pStyle w:val="TableFigureHeading"/>
              <w:keepLines/>
              <w:rPr>
                <w:b w:val="0"/>
                <w:bCs w:val="0"/>
              </w:rPr>
            </w:pPr>
          </w:p>
          <w:p w14:paraId="4E747346" w14:textId="48F7DEBC" w:rsidR="00BC2FEF" w:rsidRPr="0087531F" w:rsidRDefault="00BC2FEF" w:rsidP="00B60C6F">
            <w:pPr>
              <w:pStyle w:val="TableFigureHeading"/>
              <w:keepLines/>
              <w:rPr>
                <w:b w:val="0"/>
                <w:bCs w:val="0"/>
              </w:rPr>
            </w:pPr>
            <w:r w:rsidRPr="0087531F">
              <w:rPr>
                <w:b w:val="0"/>
                <w:bCs w:val="0"/>
              </w:rPr>
              <w:t>0.0 (0.1)</w:t>
            </w:r>
          </w:p>
          <w:p w14:paraId="01B7E758" w14:textId="77777777" w:rsidR="00BC2FEF" w:rsidRPr="0087531F" w:rsidRDefault="00BC2FEF" w:rsidP="00B60C6F">
            <w:pPr>
              <w:pStyle w:val="TableFigureHeading"/>
              <w:keepLines/>
              <w:rPr>
                <w:b w:val="0"/>
                <w:bCs w:val="0"/>
              </w:rPr>
            </w:pPr>
            <w:r w:rsidRPr="0087531F">
              <w:rPr>
                <w:b w:val="0"/>
                <w:bCs w:val="0"/>
              </w:rPr>
              <w:t>0 (0, 0)</w:t>
            </w:r>
          </w:p>
          <w:p w14:paraId="1562D725" w14:textId="7659347A" w:rsidR="00BC2FEF" w:rsidRPr="0087531F" w:rsidRDefault="00BC2FEF" w:rsidP="00B60C6F">
            <w:pPr>
              <w:pStyle w:val="TableFigureHeading"/>
              <w:keepLines/>
              <w:rPr>
                <w:b w:val="0"/>
                <w:bCs w:val="0"/>
              </w:rPr>
            </w:pPr>
            <w:r w:rsidRPr="0087531F">
              <w:rPr>
                <w:b w:val="0"/>
                <w:bCs w:val="0"/>
              </w:rPr>
              <w:t>0 - 1</w:t>
            </w:r>
          </w:p>
        </w:tc>
        <w:tc>
          <w:tcPr>
            <w:tcW w:w="1701" w:type="dxa"/>
          </w:tcPr>
          <w:p w14:paraId="2B5CFC4B" w14:textId="77777777" w:rsidR="00BC2FEF" w:rsidRPr="0087531F" w:rsidRDefault="00BC2FEF" w:rsidP="00B60C6F">
            <w:pPr>
              <w:pStyle w:val="TableFigureHeading"/>
              <w:keepLines/>
              <w:rPr>
                <w:b w:val="0"/>
                <w:bCs w:val="0"/>
              </w:rPr>
            </w:pPr>
          </w:p>
          <w:p w14:paraId="3A4B8B8E" w14:textId="77777777" w:rsidR="00BC2FEF" w:rsidRPr="0087531F" w:rsidRDefault="00BC2FEF" w:rsidP="00B60C6F">
            <w:pPr>
              <w:pStyle w:val="TableFigureHeading"/>
              <w:keepLines/>
              <w:rPr>
                <w:b w:val="0"/>
                <w:bCs w:val="0"/>
              </w:rPr>
            </w:pPr>
          </w:p>
          <w:p w14:paraId="4DAB75F5" w14:textId="77777777" w:rsidR="00BC2FEF" w:rsidRPr="0087531F" w:rsidRDefault="00BC2FEF" w:rsidP="00B60C6F">
            <w:pPr>
              <w:pStyle w:val="TableFigureHeading"/>
              <w:keepLines/>
              <w:rPr>
                <w:b w:val="0"/>
                <w:bCs w:val="0"/>
              </w:rPr>
            </w:pPr>
            <w:r w:rsidRPr="0087531F">
              <w:rPr>
                <w:b w:val="0"/>
                <w:bCs w:val="0"/>
              </w:rPr>
              <w:t>0.7 (1.6)</w:t>
            </w:r>
          </w:p>
          <w:p w14:paraId="18E260F6" w14:textId="77777777" w:rsidR="00BC2FEF" w:rsidRPr="0087531F" w:rsidRDefault="00BC2FEF" w:rsidP="00B60C6F">
            <w:pPr>
              <w:pStyle w:val="TableFigureHeading"/>
              <w:keepLines/>
              <w:rPr>
                <w:b w:val="0"/>
                <w:bCs w:val="0"/>
              </w:rPr>
            </w:pPr>
            <w:r w:rsidRPr="0087531F">
              <w:rPr>
                <w:b w:val="0"/>
                <w:bCs w:val="0"/>
              </w:rPr>
              <w:t>0 (0, 1)</w:t>
            </w:r>
          </w:p>
          <w:p w14:paraId="0BE45619" w14:textId="6070FE4B" w:rsidR="00BC2FEF" w:rsidRPr="0087531F" w:rsidRDefault="00BC2FEF" w:rsidP="00B60C6F">
            <w:pPr>
              <w:pStyle w:val="TableFigureHeading"/>
              <w:keepLines/>
              <w:rPr>
                <w:b w:val="0"/>
                <w:bCs w:val="0"/>
              </w:rPr>
            </w:pPr>
            <w:r w:rsidRPr="0087531F">
              <w:rPr>
                <w:b w:val="0"/>
                <w:bCs w:val="0"/>
              </w:rPr>
              <w:t>0 - 8</w:t>
            </w:r>
          </w:p>
        </w:tc>
        <w:tc>
          <w:tcPr>
            <w:tcW w:w="1701" w:type="dxa"/>
          </w:tcPr>
          <w:p w14:paraId="3B75011B" w14:textId="77777777" w:rsidR="00BC2FEF" w:rsidRPr="0087531F" w:rsidRDefault="00BC2FEF" w:rsidP="00B60C6F">
            <w:pPr>
              <w:pStyle w:val="TableFigureHeading"/>
              <w:keepLines/>
              <w:rPr>
                <w:b w:val="0"/>
                <w:bCs w:val="0"/>
              </w:rPr>
            </w:pPr>
          </w:p>
          <w:p w14:paraId="42042A6D" w14:textId="77777777" w:rsidR="00BC2FEF" w:rsidRPr="0087531F" w:rsidRDefault="00BC2FEF" w:rsidP="00B60C6F">
            <w:pPr>
              <w:pStyle w:val="TableFigureHeading"/>
              <w:keepLines/>
              <w:rPr>
                <w:b w:val="0"/>
                <w:bCs w:val="0"/>
              </w:rPr>
            </w:pPr>
          </w:p>
          <w:p w14:paraId="65197ED6" w14:textId="12DD9AA7" w:rsidR="00BC2FEF" w:rsidRPr="0087531F" w:rsidRDefault="00BC2FEF" w:rsidP="00B60C6F">
            <w:pPr>
              <w:pStyle w:val="TableFigureHeading"/>
              <w:keepLines/>
              <w:rPr>
                <w:b w:val="0"/>
                <w:bCs w:val="0"/>
              </w:rPr>
            </w:pPr>
            <w:r w:rsidRPr="0087531F">
              <w:rPr>
                <w:b w:val="0"/>
                <w:bCs w:val="0"/>
              </w:rPr>
              <w:t>0 (0)</w:t>
            </w:r>
          </w:p>
          <w:p w14:paraId="395E017E" w14:textId="77777777" w:rsidR="00BC2FEF" w:rsidRPr="0087531F" w:rsidRDefault="00BC2FEF" w:rsidP="00B60C6F">
            <w:pPr>
              <w:pStyle w:val="TableFigureHeading"/>
              <w:keepLines/>
              <w:rPr>
                <w:b w:val="0"/>
                <w:bCs w:val="0"/>
              </w:rPr>
            </w:pPr>
            <w:r w:rsidRPr="0087531F">
              <w:rPr>
                <w:b w:val="0"/>
                <w:bCs w:val="0"/>
              </w:rPr>
              <w:t>0 (0,0)</w:t>
            </w:r>
          </w:p>
          <w:p w14:paraId="51C7C4A3" w14:textId="341891EF" w:rsidR="00BC2FEF" w:rsidRPr="0087531F" w:rsidRDefault="00BC2FEF" w:rsidP="00B60C6F">
            <w:pPr>
              <w:pStyle w:val="TableFigureHeading"/>
              <w:keepLines/>
              <w:rPr>
                <w:b w:val="0"/>
                <w:bCs w:val="0"/>
              </w:rPr>
            </w:pPr>
            <w:r w:rsidRPr="0087531F">
              <w:rPr>
                <w:b w:val="0"/>
                <w:bCs w:val="0"/>
              </w:rPr>
              <w:t>0 - 1</w:t>
            </w:r>
          </w:p>
        </w:tc>
        <w:tc>
          <w:tcPr>
            <w:tcW w:w="1843" w:type="dxa"/>
          </w:tcPr>
          <w:p w14:paraId="6A61D4BA" w14:textId="77777777" w:rsidR="00BC2FEF" w:rsidRPr="0087531F" w:rsidRDefault="00BC2FEF" w:rsidP="00B60C6F">
            <w:pPr>
              <w:pStyle w:val="TableFigureHeading"/>
              <w:keepLines/>
              <w:rPr>
                <w:b w:val="0"/>
                <w:bCs w:val="0"/>
              </w:rPr>
            </w:pPr>
          </w:p>
          <w:p w14:paraId="73409954" w14:textId="77777777" w:rsidR="00BC2FEF" w:rsidRPr="0087531F" w:rsidRDefault="00BC2FEF" w:rsidP="00B60C6F">
            <w:pPr>
              <w:pStyle w:val="TableFigureHeading"/>
              <w:keepLines/>
              <w:rPr>
                <w:b w:val="0"/>
                <w:bCs w:val="0"/>
              </w:rPr>
            </w:pPr>
          </w:p>
          <w:p w14:paraId="5B42E185" w14:textId="77777777" w:rsidR="00BC2FEF" w:rsidRPr="0087531F" w:rsidRDefault="00BC2FEF" w:rsidP="00B60C6F">
            <w:pPr>
              <w:pStyle w:val="TableFigureHeading"/>
              <w:keepLines/>
              <w:rPr>
                <w:b w:val="0"/>
                <w:bCs w:val="0"/>
              </w:rPr>
            </w:pPr>
            <w:r w:rsidRPr="0087531F">
              <w:rPr>
                <w:b w:val="0"/>
                <w:bCs w:val="0"/>
              </w:rPr>
              <w:t>0.7 (1.8)</w:t>
            </w:r>
          </w:p>
          <w:p w14:paraId="779AB9FD" w14:textId="77777777" w:rsidR="00BC2FEF" w:rsidRPr="0087531F" w:rsidRDefault="00BC2FEF" w:rsidP="00B60C6F">
            <w:pPr>
              <w:pStyle w:val="TableFigureHeading"/>
              <w:keepLines/>
              <w:rPr>
                <w:b w:val="0"/>
                <w:bCs w:val="0"/>
              </w:rPr>
            </w:pPr>
            <w:r w:rsidRPr="0087531F">
              <w:rPr>
                <w:b w:val="0"/>
                <w:bCs w:val="0"/>
              </w:rPr>
              <w:t>0 (0, 1)</w:t>
            </w:r>
          </w:p>
          <w:p w14:paraId="77CF8CF5" w14:textId="6423083E" w:rsidR="00BC2FEF" w:rsidRPr="0087531F" w:rsidRDefault="00BC2FEF" w:rsidP="00B60C6F">
            <w:pPr>
              <w:pStyle w:val="TableFigureHeading"/>
              <w:keepLines/>
              <w:rPr>
                <w:b w:val="0"/>
                <w:bCs w:val="0"/>
              </w:rPr>
            </w:pPr>
            <w:r w:rsidRPr="0087531F">
              <w:rPr>
                <w:b w:val="0"/>
                <w:bCs w:val="0"/>
              </w:rPr>
              <w:t>0 - 13</w:t>
            </w:r>
          </w:p>
        </w:tc>
      </w:tr>
    </w:tbl>
    <w:p w14:paraId="4F735290" w14:textId="2DA296AF" w:rsidR="00CC1DFB" w:rsidRDefault="007A4F57" w:rsidP="00B60C6F">
      <w:pPr>
        <w:pStyle w:val="TableFigureFooter"/>
        <w:keepNext/>
        <w:jc w:val="both"/>
      </w:pPr>
      <w:r w:rsidRPr="00414AB7">
        <w:t>Source: ULTIMATE I CSR,</w:t>
      </w:r>
      <w:r w:rsidR="000A0A5B" w:rsidRPr="00414AB7">
        <w:t xml:space="preserve"> Table 20, p74; Table 22, pp79-80;</w:t>
      </w:r>
      <w:r w:rsidRPr="00414AB7">
        <w:t xml:space="preserve"> </w:t>
      </w:r>
      <w:r w:rsidR="000A0A5B" w:rsidRPr="00414AB7">
        <w:t>Table 24, pp84-85</w:t>
      </w:r>
      <w:r w:rsidRPr="00414AB7">
        <w:t>; Table 27, pp91-93</w:t>
      </w:r>
      <w:r w:rsidR="000A0A5B" w:rsidRPr="00414AB7">
        <w:t>; Table 36, pp115-119</w:t>
      </w:r>
      <w:r w:rsidR="00CC1DFB">
        <w:t>; Table 40, p132</w:t>
      </w:r>
      <w:r w:rsidR="00C36297">
        <w:t>, pp120-121</w:t>
      </w:r>
      <w:r w:rsidR="000A0A5B" w:rsidRPr="00414AB7">
        <w:t xml:space="preserve">. ULTIMATE II CSR, Table 20, p75; </w:t>
      </w:r>
      <w:r w:rsidR="0067513E" w:rsidRPr="00414AB7">
        <w:t xml:space="preserve">Table 24, pp85-86; </w:t>
      </w:r>
      <w:r w:rsidR="00F01C53" w:rsidRPr="00414AB7">
        <w:t>Table 27, pp92-94; Table 36, pp117-120</w:t>
      </w:r>
      <w:r w:rsidR="00CC1DFB">
        <w:t>; Table 40, p133</w:t>
      </w:r>
      <w:r w:rsidR="00C36297">
        <w:t>, pp121-122</w:t>
      </w:r>
      <w:r w:rsidR="00F01C53" w:rsidRPr="00414AB7">
        <w:t xml:space="preserve">. </w:t>
      </w:r>
    </w:p>
    <w:p w14:paraId="408BBA8E" w14:textId="4F945537" w:rsidR="00F8398C" w:rsidRPr="00F8398C" w:rsidRDefault="00BD0CC6" w:rsidP="00382FEC">
      <w:pPr>
        <w:pStyle w:val="TableFigureFooter"/>
        <w:jc w:val="both"/>
      </w:pPr>
      <w:r w:rsidRPr="58C81D04">
        <w:t>ARR = annualised relapse rate; CI = confidence interval; EDSS = expanded disability status scale</w:t>
      </w:r>
      <w:r w:rsidR="00A7486B" w:rsidRPr="58C81D04">
        <w:t>, scored from 0 to 10, with higher scores indicating greater disability</w:t>
      </w:r>
      <w:r w:rsidRPr="58C81D04">
        <w:t>; Gd = gadolinium; IQR = inter-quartile range; LS = least squares; MRI = magnetic resonance imaging; SD = standard deviation</w:t>
      </w:r>
      <w:r w:rsidR="00950A70" w:rsidRPr="58C81D04">
        <w:t>.</w:t>
      </w:r>
    </w:p>
    <w:p w14:paraId="0F6079C9" w14:textId="2025A8AF" w:rsidR="007A4F57" w:rsidRDefault="002C2AE5" w:rsidP="002C2AE5">
      <w:pPr>
        <w:pStyle w:val="Caption"/>
      </w:pPr>
      <w:bookmarkStart w:id="30" w:name="_Ref190519524"/>
      <w:r>
        <w:t xml:space="preserve">Table </w:t>
      </w:r>
      <w:r>
        <w:fldChar w:fldCharType="begin"/>
      </w:r>
      <w:r>
        <w:instrText xml:space="preserve"> SEQ Table \* ARABIC </w:instrText>
      </w:r>
      <w:r>
        <w:fldChar w:fldCharType="separate"/>
      </w:r>
      <w:r w:rsidR="00D925D4">
        <w:rPr>
          <w:noProof/>
        </w:rPr>
        <w:t>5</w:t>
      </w:r>
      <w:r>
        <w:rPr>
          <w:noProof/>
        </w:rPr>
        <w:fldChar w:fldCharType="end"/>
      </w:r>
      <w:bookmarkEnd w:id="30"/>
      <w:r>
        <w:t xml:space="preserve">: </w:t>
      </w:r>
      <w:r w:rsidR="00BC679C">
        <w:t>Confirmed disability progression for 12 and 24 weeks in pooled ULTIMATE I/II</w:t>
      </w:r>
    </w:p>
    <w:tbl>
      <w:tblPr>
        <w:tblStyle w:val="TableGrid"/>
        <w:tblW w:w="8784" w:type="dxa"/>
        <w:tblLook w:val="04A0" w:firstRow="1" w:lastRow="0" w:firstColumn="1" w:lastColumn="0" w:noHBand="0" w:noVBand="1"/>
      </w:tblPr>
      <w:tblGrid>
        <w:gridCol w:w="3539"/>
        <w:gridCol w:w="2410"/>
        <w:gridCol w:w="2835"/>
      </w:tblGrid>
      <w:tr w:rsidR="002E3D3E" w14:paraId="79511888" w14:textId="77777777" w:rsidTr="00137C05">
        <w:tc>
          <w:tcPr>
            <w:tcW w:w="3539" w:type="dxa"/>
          </w:tcPr>
          <w:p w14:paraId="127FECC4" w14:textId="77777777" w:rsidR="002E3D3E" w:rsidRDefault="002E3D3E" w:rsidP="00BC679C">
            <w:pPr>
              <w:pStyle w:val="TableFigureHeading"/>
            </w:pPr>
          </w:p>
        </w:tc>
        <w:tc>
          <w:tcPr>
            <w:tcW w:w="2410" w:type="dxa"/>
          </w:tcPr>
          <w:p w14:paraId="57DC3E43" w14:textId="77777777" w:rsidR="002E3D3E" w:rsidRDefault="002E3D3E" w:rsidP="58C81D04">
            <w:pPr>
              <w:pStyle w:val="TableFigureHeading"/>
            </w:pPr>
            <w:r w:rsidRPr="58C81D04">
              <w:t>Ublituximab</w:t>
            </w:r>
          </w:p>
          <w:p w14:paraId="50AAE801" w14:textId="27B0F7C2" w:rsidR="002E3D3E" w:rsidRDefault="002E3D3E" w:rsidP="00BC679C">
            <w:pPr>
              <w:pStyle w:val="TableFigureHeading"/>
            </w:pPr>
            <w:r>
              <w:t>N = 543</w:t>
            </w:r>
          </w:p>
        </w:tc>
        <w:tc>
          <w:tcPr>
            <w:tcW w:w="2835" w:type="dxa"/>
          </w:tcPr>
          <w:p w14:paraId="481C48F7" w14:textId="77777777" w:rsidR="002E3D3E" w:rsidRDefault="002E3D3E" w:rsidP="00BC679C">
            <w:pPr>
              <w:pStyle w:val="TableFigureHeading"/>
            </w:pPr>
            <w:r>
              <w:t xml:space="preserve">Teriflunomide </w:t>
            </w:r>
          </w:p>
          <w:p w14:paraId="47934F2C" w14:textId="0C555B9C" w:rsidR="002E3D3E" w:rsidRDefault="002E3D3E" w:rsidP="00BC679C">
            <w:pPr>
              <w:pStyle w:val="TableFigureHeading"/>
            </w:pPr>
            <w:r>
              <w:t>N = 546</w:t>
            </w:r>
          </w:p>
        </w:tc>
      </w:tr>
      <w:tr w:rsidR="002E3D3E" w14:paraId="5E3A4B71" w14:textId="647843F0" w:rsidTr="00137C05">
        <w:tc>
          <w:tcPr>
            <w:tcW w:w="3539" w:type="dxa"/>
          </w:tcPr>
          <w:p w14:paraId="37271989" w14:textId="7B844132" w:rsidR="002E3D3E" w:rsidRDefault="002E3D3E" w:rsidP="00BC679C">
            <w:pPr>
              <w:pStyle w:val="TableFigureHeading"/>
            </w:pPr>
            <w:r>
              <w:rPr>
                <w:b w:val="0"/>
                <w:bCs w:val="0"/>
              </w:rPr>
              <w:t xml:space="preserve">Patients with </w:t>
            </w:r>
            <w:r w:rsidRPr="0087531F">
              <w:rPr>
                <w:b w:val="0"/>
                <w:bCs w:val="0"/>
              </w:rPr>
              <w:t xml:space="preserve">CDP </w:t>
            </w:r>
            <w:r>
              <w:rPr>
                <w:b w:val="0"/>
                <w:bCs w:val="0"/>
              </w:rPr>
              <w:t>for 12 weeks, n (%)</w:t>
            </w:r>
          </w:p>
        </w:tc>
        <w:tc>
          <w:tcPr>
            <w:tcW w:w="2410" w:type="dxa"/>
          </w:tcPr>
          <w:p w14:paraId="720B6778" w14:textId="1BC60DA8" w:rsidR="002E3D3E" w:rsidRDefault="002E3D3E" w:rsidP="00BC679C">
            <w:pPr>
              <w:pStyle w:val="TableFigureHeading"/>
            </w:pPr>
            <w:r>
              <w:rPr>
                <w:b w:val="0"/>
                <w:bCs w:val="0"/>
              </w:rPr>
              <w:t>28 (5.2%)</w:t>
            </w:r>
          </w:p>
        </w:tc>
        <w:tc>
          <w:tcPr>
            <w:tcW w:w="2835" w:type="dxa"/>
          </w:tcPr>
          <w:p w14:paraId="3A8D6A78" w14:textId="1806AE7D" w:rsidR="002E3D3E" w:rsidRDefault="002E3D3E" w:rsidP="00BC679C">
            <w:pPr>
              <w:pStyle w:val="TableFigureHeading"/>
            </w:pPr>
            <w:r>
              <w:rPr>
                <w:b w:val="0"/>
                <w:bCs w:val="0"/>
              </w:rPr>
              <w:t>32 (5.9%)</w:t>
            </w:r>
          </w:p>
        </w:tc>
      </w:tr>
      <w:tr w:rsidR="002E3D3E" w14:paraId="54362F6D" w14:textId="77777777" w:rsidTr="00137C05">
        <w:tc>
          <w:tcPr>
            <w:tcW w:w="3539" w:type="dxa"/>
          </w:tcPr>
          <w:p w14:paraId="03C3B64B" w14:textId="286DAAC8" w:rsidR="002E3D3E" w:rsidRDefault="002E3D3E" w:rsidP="00BC679C">
            <w:pPr>
              <w:pStyle w:val="TableFigureHeading"/>
              <w:rPr>
                <w:b w:val="0"/>
                <w:bCs w:val="0"/>
              </w:rPr>
            </w:pPr>
            <w:r>
              <w:rPr>
                <w:b w:val="0"/>
                <w:bCs w:val="0"/>
              </w:rPr>
              <w:t>Hazard ratio (95% CI)</w:t>
            </w:r>
          </w:p>
        </w:tc>
        <w:tc>
          <w:tcPr>
            <w:tcW w:w="5245" w:type="dxa"/>
            <w:gridSpan w:val="2"/>
          </w:tcPr>
          <w:p w14:paraId="399462A2" w14:textId="54EDAEBF" w:rsidR="002E3D3E" w:rsidRDefault="002E3D3E" w:rsidP="00BD0CC6">
            <w:pPr>
              <w:pStyle w:val="TableFigureHeading"/>
              <w:jc w:val="center"/>
              <w:rPr>
                <w:b w:val="0"/>
                <w:bCs w:val="0"/>
              </w:rPr>
            </w:pPr>
            <w:r>
              <w:rPr>
                <w:b w:val="0"/>
                <w:bCs w:val="0"/>
              </w:rPr>
              <w:t>0.86 (0.52, 1.44)</w:t>
            </w:r>
          </w:p>
        </w:tc>
      </w:tr>
      <w:tr w:rsidR="002E3D3E" w14:paraId="6FFF9E26" w14:textId="2FD983EA" w:rsidTr="00137C05">
        <w:tc>
          <w:tcPr>
            <w:tcW w:w="3539" w:type="dxa"/>
          </w:tcPr>
          <w:p w14:paraId="7D6D23AF" w14:textId="586DD130" w:rsidR="002E3D3E" w:rsidRDefault="002E3D3E" w:rsidP="00BC679C">
            <w:pPr>
              <w:pStyle w:val="TableFigureHeading"/>
            </w:pPr>
            <w:r>
              <w:rPr>
                <w:b w:val="0"/>
                <w:bCs w:val="0"/>
              </w:rPr>
              <w:t xml:space="preserve">Patients with </w:t>
            </w:r>
            <w:r w:rsidRPr="0087531F">
              <w:rPr>
                <w:b w:val="0"/>
                <w:bCs w:val="0"/>
              </w:rPr>
              <w:t xml:space="preserve">CDP </w:t>
            </w:r>
            <w:r>
              <w:rPr>
                <w:b w:val="0"/>
                <w:bCs w:val="0"/>
              </w:rPr>
              <w:t>for 24</w:t>
            </w:r>
            <w:r w:rsidRPr="0087531F">
              <w:rPr>
                <w:b w:val="0"/>
                <w:bCs w:val="0"/>
              </w:rPr>
              <w:t xml:space="preserve"> </w:t>
            </w:r>
            <w:r>
              <w:rPr>
                <w:b w:val="0"/>
                <w:bCs w:val="0"/>
              </w:rPr>
              <w:t>weeks, n (%)</w:t>
            </w:r>
          </w:p>
        </w:tc>
        <w:tc>
          <w:tcPr>
            <w:tcW w:w="2410" w:type="dxa"/>
          </w:tcPr>
          <w:p w14:paraId="5EFEF785" w14:textId="07FF059E" w:rsidR="002E3D3E" w:rsidRDefault="002E3D3E" w:rsidP="00BC679C">
            <w:pPr>
              <w:pStyle w:val="TableFigureHeading"/>
            </w:pPr>
            <w:r>
              <w:rPr>
                <w:b w:val="0"/>
                <w:bCs w:val="0"/>
              </w:rPr>
              <w:t>18 (3.3%)</w:t>
            </w:r>
          </w:p>
        </w:tc>
        <w:tc>
          <w:tcPr>
            <w:tcW w:w="2835" w:type="dxa"/>
          </w:tcPr>
          <w:p w14:paraId="766A8866" w14:textId="5D873671" w:rsidR="002E3D3E" w:rsidRDefault="002E3D3E" w:rsidP="00BC679C">
            <w:pPr>
              <w:pStyle w:val="TableFigureHeading"/>
            </w:pPr>
            <w:r>
              <w:rPr>
                <w:b w:val="0"/>
                <w:bCs w:val="0"/>
              </w:rPr>
              <w:t>26 (4.8%)</w:t>
            </w:r>
          </w:p>
        </w:tc>
      </w:tr>
      <w:tr w:rsidR="002E3D3E" w14:paraId="69873D38" w14:textId="77777777" w:rsidTr="00137C05">
        <w:tc>
          <w:tcPr>
            <w:tcW w:w="3539" w:type="dxa"/>
          </w:tcPr>
          <w:p w14:paraId="39249B01" w14:textId="2C71075F" w:rsidR="002E3D3E" w:rsidRDefault="002E3D3E" w:rsidP="00BC679C">
            <w:pPr>
              <w:pStyle w:val="TableFigureHeading"/>
              <w:rPr>
                <w:b w:val="0"/>
                <w:bCs w:val="0"/>
              </w:rPr>
            </w:pPr>
            <w:r>
              <w:rPr>
                <w:b w:val="0"/>
                <w:bCs w:val="0"/>
              </w:rPr>
              <w:t>Hazard ratio (95% CI)</w:t>
            </w:r>
          </w:p>
        </w:tc>
        <w:tc>
          <w:tcPr>
            <w:tcW w:w="5245" w:type="dxa"/>
            <w:gridSpan w:val="2"/>
          </w:tcPr>
          <w:p w14:paraId="64D23CE2" w14:textId="60A9DB6D" w:rsidR="002E3D3E" w:rsidRDefault="002E3D3E" w:rsidP="00BD0CC6">
            <w:pPr>
              <w:pStyle w:val="TableFigureHeading"/>
              <w:jc w:val="center"/>
              <w:rPr>
                <w:b w:val="0"/>
                <w:bCs w:val="0"/>
              </w:rPr>
            </w:pPr>
            <w:r>
              <w:rPr>
                <w:b w:val="0"/>
                <w:bCs w:val="0"/>
              </w:rPr>
              <w:t>0.68 (0.37, 1.24)</w:t>
            </w:r>
          </w:p>
        </w:tc>
      </w:tr>
    </w:tbl>
    <w:p w14:paraId="37071099" w14:textId="77777777" w:rsidR="00BD0CC6" w:rsidRPr="00414AB7" w:rsidRDefault="00BD0CC6" w:rsidP="00D119BE">
      <w:pPr>
        <w:pStyle w:val="TableFigureFooter"/>
      </w:pPr>
      <w:r w:rsidRPr="00414AB7">
        <w:t xml:space="preserve">Source: ULTIMATE I CSR, Table 26, p89, Table 33, p110. </w:t>
      </w:r>
    </w:p>
    <w:p w14:paraId="77E82387" w14:textId="4DEC71CB" w:rsidR="00BC679C" w:rsidRPr="00414AB7" w:rsidRDefault="00BD0CC6" w:rsidP="00D119BE">
      <w:pPr>
        <w:pStyle w:val="TableFigureFooter"/>
      </w:pPr>
      <w:r w:rsidRPr="00414AB7">
        <w:t>CDP = confirmed disability progression; CI = confidence interval.</w:t>
      </w:r>
    </w:p>
    <w:p w14:paraId="38514B07" w14:textId="0895EC3C" w:rsidR="0023616E" w:rsidRPr="00E50470" w:rsidRDefault="0023616E" w:rsidP="0023616E">
      <w:pPr>
        <w:pStyle w:val="3-BodyText"/>
      </w:pPr>
      <w:r w:rsidRPr="00E50470">
        <w:rPr>
          <w:lang w:eastAsia="en-US"/>
        </w:rPr>
        <w:t>In the pooled analysis, there was no statistically significant difference in the proportion of patients with confirmed disability progression lasting 12 or 24 weeks. Extended disability status scale (EDSS) scores did not change meaningfully in either treatment group. Time to confirmed disability progression lasting at least 12 weeks was no</w:t>
      </w:r>
      <w:r w:rsidR="000672D2" w:rsidRPr="00E50470">
        <w:rPr>
          <w:lang w:eastAsia="en-US"/>
        </w:rPr>
        <w:t xml:space="preserve">t </w:t>
      </w:r>
      <w:r w:rsidRPr="00E50470">
        <w:rPr>
          <w:lang w:eastAsia="en-US"/>
        </w:rPr>
        <w:t>different between groups</w:t>
      </w:r>
      <w:r w:rsidR="001A65BB" w:rsidRPr="00E50470">
        <w:rPr>
          <w:lang w:eastAsia="en-US"/>
        </w:rPr>
        <w:t>.</w:t>
      </w:r>
      <w:r w:rsidR="00F067CC">
        <w:rPr>
          <w:lang w:eastAsia="en-US"/>
        </w:rPr>
        <w:t xml:space="preserve"> </w:t>
      </w:r>
      <w:r w:rsidR="00F067CC" w:rsidRPr="000B114D">
        <w:rPr>
          <w:lang w:eastAsia="en-US"/>
        </w:rPr>
        <w:t xml:space="preserve">The PSCR argued 3-month and 6-month CDP was </w:t>
      </w:r>
      <w:r w:rsidR="00F067CC" w:rsidRPr="000B114D">
        <w:rPr>
          <w:lang w:eastAsia="en-US"/>
        </w:rPr>
        <w:lastRenderedPageBreak/>
        <w:t>numerically greater for teriflunomide compared to ublituximab, and that while not statistically significant, based on an exploratory endpoint, nearly double the number of patients in the ublituximab arm reported lessening of disability at both 3 and 6</w:t>
      </w:r>
      <w:r w:rsidR="00743ABF">
        <w:rPr>
          <w:lang w:eastAsia="en-US"/>
        </w:rPr>
        <w:t> </w:t>
      </w:r>
      <w:r w:rsidR="00F067CC" w:rsidRPr="000B114D">
        <w:rPr>
          <w:lang w:eastAsia="en-US"/>
        </w:rPr>
        <w:t>months.</w:t>
      </w:r>
    </w:p>
    <w:p w14:paraId="12B48F77" w14:textId="677C0BB8" w:rsidR="00BE23EA" w:rsidRPr="00BE23EA" w:rsidRDefault="00BA5899" w:rsidP="00BE23EA">
      <w:pPr>
        <w:pStyle w:val="5-SubsectionSubheading"/>
      </w:pPr>
      <w:bookmarkStart w:id="31" w:name="_Toc193112854"/>
      <w:r>
        <w:t>QoL and MRI outcomes in ITT population</w:t>
      </w:r>
      <w:bookmarkEnd w:id="31"/>
    </w:p>
    <w:p w14:paraId="45DA8457" w14:textId="3AA7B7B6" w:rsidR="0023616E" w:rsidRPr="00E50470" w:rsidRDefault="0023616E" w:rsidP="58C81D04">
      <w:pPr>
        <w:pStyle w:val="3-BodyText"/>
      </w:pPr>
      <w:r w:rsidRPr="00E50470">
        <w:t>SF-36 mental and physical component summary scores in a reference population have a mean of 50 and a standard deviation of 10; higher scores indicate improvement, and the minimum clinically important difference is about 5 points.</w:t>
      </w:r>
      <w:r w:rsidRPr="00E50470">
        <w:rPr>
          <w:lang w:eastAsia="en-US"/>
        </w:rPr>
        <w:t xml:space="preserve"> In ULTIMATE I/II mean score was within the normal range at baseline and did not change meaningfully during treatment. </w:t>
      </w:r>
    </w:p>
    <w:p w14:paraId="7492FAD3" w14:textId="38005FB6" w:rsidR="002C4E38" w:rsidRPr="00E50470" w:rsidRDefault="002C4E38" w:rsidP="58C81D04">
      <w:pPr>
        <w:pStyle w:val="3-BodyText"/>
      </w:pPr>
      <w:r w:rsidRPr="00E50470">
        <w:rPr>
          <w:lang w:eastAsia="en-US"/>
        </w:rPr>
        <w:t xml:space="preserve">Average cumulative lost time at work over 96 weeks was 2-3 weeks, with no difference between ublituximab-treated and teriflunomide-treated patients. </w:t>
      </w:r>
    </w:p>
    <w:p w14:paraId="223A796F" w14:textId="073596E1" w:rsidR="0023616E" w:rsidRDefault="0023616E" w:rsidP="58C81D04">
      <w:pPr>
        <w:pStyle w:val="3-BodyText"/>
      </w:pPr>
      <w:r w:rsidRPr="00E50470">
        <w:rPr>
          <w:lang w:eastAsia="en-US"/>
        </w:rPr>
        <w:t>Imaging indicators of disease activity improved in both treatment groups. Most patients in both groups had none or very few unresolved gadolinium-enhancing lesions or new T2-hyperintense lesions on MRI, but fewer patients in the ublituximab-treated group had large numbers of unresolved or new lesions</w:t>
      </w:r>
      <w:r w:rsidR="00E158CA" w:rsidRPr="00E50470">
        <w:rPr>
          <w:lang w:eastAsia="en-US"/>
        </w:rPr>
        <w:t xml:space="preserve">. </w:t>
      </w:r>
    </w:p>
    <w:p w14:paraId="7223D2D4" w14:textId="085BFFFD" w:rsidR="00A47763" w:rsidRPr="000B114D" w:rsidRDefault="00A47763" w:rsidP="58C81D04">
      <w:pPr>
        <w:pStyle w:val="3-BodyText"/>
      </w:pPr>
      <w:r w:rsidRPr="000B114D">
        <w:t>The PSCR</w:t>
      </w:r>
      <w:r w:rsidR="00216708">
        <w:t xml:space="preserve"> </w:t>
      </w:r>
      <w:r w:rsidRPr="000B114D">
        <w:t>reiterated the observed ARR ratio of 0.453 for ublituximab over teriflunomide in the</w:t>
      </w:r>
      <w:r w:rsidR="001A08B5" w:rsidRPr="000B114D">
        <w:t xml:space="preserve"> pooled</w:t>
      </w:r>
      <w:r w:rsidRPr="000B114D">
        <w:t xml:space="preserve"> ULTIMATE trial</w:t>
      </w:r>
      <w:r w:rsidR="001A08B5" w:rsidRPr="000B114D">
        <w:t xml:space="preserve"> dataset</w:t>
      </w:r>
      <w:r w:rsidRPr="000B114D">
        <w:t xml:space="preserve"> and</w:t>
      </w:r>
      <w:r w:rsidR="006A05E5" w:rsidRPr="000B114D">
        <w:t xml:space="preserve"> argued</w:t>
      </w:r>
      <w:r w:rsidRPr="000B114D">
        <w:t xml:space="preserve"> that result is both statistically and clinically </w:t>
      </w:r>
      <w:r w:rsidR="001A08B5" w:rsidRPr="000B114D">
        <w:t>significant</w:t>
      </w:r>
      <w:r w:rsidRPr="000B114D">
        <w:t>, and that</w:t>
      </w:r>
      <w:r w:rsidR="00FC4C62" w:rsidRPr="000B114D">
        <w:t xml:space="preserve"> clear</w:t>
      </w:r>
      <w:r w:rsidRPr="000B114D">
        <w:t xml:space="preserve"> benefits were also seen for MRI and quality of life outcomes.</w:t>
      </w:r>
      <w:r w:rsidR="0054683C" w:rsidRPr="000B114D">
        <w:t xml:space="preserve"> The PSCR </w:t>
      </w:r>
      <w:r w:rsidR="00554AB5" w:rsidRPr="000B114D">
        <w:t>also</w:t>
      </w:r>
      <w:r w:rsidR="0054683C" w:rsidRPr="000B114D">
        <w:t xml:space="preserve"> argued the </w:t>
      </w:r>
      <w:r w:rsidR="006E69D5" w:rsidRPr="000B114D">
        <w:t>results for the SF-36 physical component summary (PCS) from baseline to week 96 statistically significantly favoured ublituximab</w:t>
      </w:r>
      <w:r w:rsidR="0027107D" w:rsidRPr="000B114D">
        <w:t xml:space="preserve"> (PCS score difference 1.12, 95% CI 0.26, 1.98, p=0.01)</w:t>
      </w:r>
      <w:r w:rsidR="006E69D5" w:rsidRPr="000B114D">
        <w:t xml:space="preserve"> and was comparable to that observed </w:t>
      </w:r>
      <w:r w:rsidR="0027107D" w:rsidRPr="000B114D">
        <w:t xml:space="preserve">in a pooled analysis </w:t>
      </w:r>
      <w:r w:rsidR="00625A71" w:rsidRPr="000B114D">
        <w:t>of the ocrelizumab (OPERA I/II) trials, which reported a PCS score difference (versus interferon beta-1a) of 0.92 (95% CI</w:t>
      </w:r>
      <w:r w:rsidR="00A227A9" w:rsidRPr="000B114D">
        <w:t xml:space="preserve"> 0.14, 1.70, p=0.02)</w:t>
      </w:r>
      <w:r w:rsidR="00A227A9" w:rsidRPr="000B114D">
        <w:rPr>
          <w:rStyle w:val="FootnoteReference"/>
        </w:rPr>
        <w:footnoteReference w:id="5"/>
      </w:r>
      <w:r w:rsidR="00A227A9" w:rsidRPr="000B114D">
        <w:t>.</w:t>
      </w:r>
      <w:r w:rsidR="00BA754F" w:rsidRPr="000B114D">
        <w:t xml:space="preserve"> The PSCR also argu</w:t>
      </w:r>
      <w:r w:rsidR="00C31044" w:rsidRPr="000B114D">
        <w:t xml:space="preserve">ed </w:t>
      </w:r>
      <w:r w:rsidR="00F64C3D" w:rsidRPr="000B114D">
        <w:t xml:space="preserve">mean SF-36 </w:t>
      </w:r>
      <w:r w:rsidR="000E291C" w:rsidRPr="000B114D">
        <w:t>scores at baseline for the ublituximab trials were consistent with the overall RRMS population</w:t>
      </w:r>
      <w:r w:rsidR="00554AB5" w:rsidRPr="000B114D">
        <w:t>.</w:t>
      </w:r>
    </w:p>
    <w:p w14:paraId="5E55BA21" w14:textId="2F4D4E52" w:rsidR="007E71D8" w:rsidRPr="0023616E" w:rsidRDefault="007E71D8" w:rsidP="007E71D8">
      <w:pPr>
        <w:pStyle w:val="5-SubsectionSubheading"/>
      </w:pPr>
      <w:bookmarkStart w:id="32" w:name="_Toc193112855"/>
      <w:r>
        <w:t xml:space="preserve">Subgroup analyses </w:t>
      </w:r>
      <w:r w:rsidR="00C91BFB">
        <w:t>for annualised relapse rate</w:t>
      </w:r>
      <w:bookmarkEnd w:id="32"/>
      <w:r>
        <w:t xml:space="preserve"> </w:t>
      </w:r>
    </w:p>
    <w:p w14:paraId="4CC0B343" w14:textId="33A4026F" w:rsidR="00E903B8" w:rsidRPr="0043575D" w:rsidRDefault="00AA1A42" w:rsidP="58C81D04">
      <w:pPr>
        <w:pStyle w:val="3-BodyText"/>
        <w:rPr>
          <w:color w:val="000000" w:themeColor="text1"/>
        </w:rPr>
      </w:pPr>
      <w:r w:rsidRPr="0043575D">
        <w:rPr>
          <w:color w:val="000000" w:themeColor="text1"/>
        </w:rPr>
        <w:t xml:space="preserve">In both trials, the superiority of ublituximab relative to teriflunomide </w:t>
      </w:r>
      <w:r w:rsidR="00335635" w:rsidRPr="0043575D">
        <w:rPr>
          <w:color w:val="000000" w:themeColor="text1"/>
        </w:rPr>
        <w:t>was less and not statistically significant in</w:t>
      </w:r>
      <w:r w:rsidRPr="0043575D">
        <w:rPr>
          <w:color w:val="000000" w:themeColor="text1"/>
        </w:rPr>
        <w:t xml:space="preserve"> patients with EDSS scores </w:t>
      </w:r>
      <w:r w:rsidR="00335635" w:rsidRPr="0043575D">
        <w:rPr>
          <w:color w:val="000000" w:themeColor="text1"/>
        </w:rPr>
        <w:t xml:space="preserve">greater than 3.5 </w:t>
      </w:r>
      <w:r w:rsidRPr="0043575D">
        <w:rPr>
          <w:color w:val="000000" w:themeColor="text1"/>
        </w:rPr>
        <w:t>at baseline</w:t>
      </w:r>
      <w:r w:rsidR="00335635" w:rsidRPr="0043575D">
        <w:rPr>
          <w:color w:val="000000" w:themeColor="text1"/>
        </w:rPr>
        <w:t>.</w:t>
      </w:r>
      <w:r w:rsidR="00FD653F" w:rsidRPr="0043575D">
        <w:rPr>
          <w:color w:val="000000" w:themeColor="text1"/>
        </w:rPr>
        <w:t xml:space="preserve"> </w:t>
      </w:r>
      <w:r w:rsidR="00514480" w:rsidRPr="0043575D">
        <w:rPr>
          <w:color w:val="000000" w:themeColor="text1"/>
        </w:rPr>
        <w:t>However, mean baseline EDSS was between 2.8 and 3.0 for all ublituximab and teriflunomide arms across the ULTIMATE I/II trials. The size of the EDSS &gt;3.5 subgroups to inform this subgroup comparison is unknown and may be small.</w:t>
      </w:r>
    </w:p>
    <w:p w14:paraId="76AB8F82" w14:textId="4C783E5D" w:rsidR="006346BA" w:rsidRPr="0043575D" w:rsidRDefault="006346BA" w:rsidP="58C81D04">
      <w:pPr>
        <w:pStyle w:val="3-BodyText"/>
        <w:rPr>
          <w:color w:val="000000" w:themeColor="text1"/>
        </w:rPr>
      </w:pPr>
      <w:r w:rsidRPr="0043575D">
        <w:rPr>
          <w:color w:val="000000" w:themeColor="text1"/>
        </w:rPr>
        <w:t xml:space="preserve">There was no consistent difference in the effect of ublituximab in patients who had or had not received a disease-modifying therapy (DMT) before enrolment. The submission asserts that this should counter concerns that differences among trials in rates of prior DMT and the DMTs used raise transitivity issues for the indirect </w:t>
      </w:r>
      <w:r w:rsidRPr="0043575D">
        <w:rPr>
          <w:color w:val="000000" w:themeColor="text1"/>
        </w:rPr>
        <w:lastRenderedPageBreak/>
        <w:t>treatment comparisons</w:t>
      </w:r>
      <w:r w:rsidR="006C791A" w:rsidRPr="0043575D">
        <w:rPr>
          <w:color w:val="000000" w:themeColor="text1"/>
        </w:rPr>
        <w:t xml:space="preserve"> </w:t>
      </w:r>
      <w:r w:rsidRPr="0043575D">
        <w:rPr>
          <w:color w:val="000000" w:themeColor="text1"/>
        </w:rPr>
        <w:t xml:space="preserve">. However, the results of the open-label extension of ULTIMATE I/II reinforce the transitivity concerns arising from prior DMT. </w:t>
      </w:r>
      <w:r w:rsidR="00A71C3C" w:rsidRPr="000B114D">
        <w:rPr>
          <w:color w:val="000000" w:themeColor="text1"/>
        </w:rPr>
        <w:t>The PSCR argued that as there was no consistent difference in the effect of ublituximab in patients who had or had not received a prior DMT, the validity of the indirect treatment comparison was not adversely impacted by differences in prior use of DMTs observed across trials.</w:t>
      </w:r>
    </w:p>
    <w:p w14:paraId="136CDFED" w14:textId="49C16BF2" w:rsidR="00392216" w:rsidRPr="00F76B57" w:rsidRDefault="00392216" w:rsidP="00F76B57">
      <w:pPr>
        <w:rPr>
          <w:b/>
          <w:bCs/>
        </w:rPr>
      </w:pPr>
      <w:r w:rsidRPr="00F76B57">
        <w:rPr>
          <w:b/>
          <w:bCs/>
        </w:rPr>
        <w:t>Open Label Extension of ULTIMATE I/II</w:t>
      </w:r>
    </w:p>
    <w:p w14:paraId="702A694B" w14:textId="7A9477AF" w:rsidR="00392216" w:rsidRPr="0043575D" w:rsidRDefault="008F7581" w:rsidP="00392216">
      <w:pPr>
        <w:pStyle w:val="3-BodyText"/>
      </w:pPr>
      <w:r w:rsidRPr="0043575D">
        <w:t xml:space="preserve">Patients completing the double-blind phase of ULTIMATE I/II were eligible to continue open-label ublituximab. Of 494 patients allocated to ublituximab who completed the double-blind phase, 422 (85.4%) entered the open-label phase, and 297 (70.4% of those entering the open-label phase) </w:t>
      </w:r>
      <w:r w:rsidR="006C791A" w:rsidRPr="0043575D">
        <w:t>had completed three years open-label treatment at the data cut-off of</w:t>
      </w:r>
      <w:r w:rsidRPr="0043575D">
        <w:t xml:space="preserve"> 1 January 2024. Of 491 patients allocated to teriflunomide who completed the double-blind phase 429 (87.4%) entered the open-label phase and 327 (76.2%) </w:t>
      </w:r>
      <w:r w:rsidR="006C791A" w:rsidRPr="0043575D">
        <w:t xml:space="preserve">had completed three years open-label treatment at the data cut-off of </w:t>
      </w:r>
      <w:r w:rsidRPr="0043575D">
        <w:t>1</w:t>
      </w:r>
      <w:r w:rsidR="00237DC6">
        <w:t> </w:t>
      </w:r>
      <w:r w:rsidRPr="0043575D">
        <w:t xml:space="preserve">January 2024. </w:t>
      </w:r>
    </w:p>
    <w:p w14:paraId="61E765A8" w14:textId="52645142" w:rsidR="008F7581" w:rsidRPr="0043575D" w:rsidRDefault="00DA6B1D" w:rsidP="58C81D04">
      <w:pPr>
        <w:pStyle w:val="3-BodyText"/>
        <w:rPr>
          <w:rFonts w:ascii="Arial Narrow" w:eastAsia="Times New Roman" w:hAnsi="Arial Narrow" w:cs="Arial"/>
          <w:b/>
          <w:bCs/>
          <w:sz w:val="20"/>
          <w:szCs w:val="20"/>
        </w:rPr>
      </w:pPr>
      <w:r w:rsidRPr="0043575D">
        <w:t xml:space="preserve">Annualised relapse rate fell over the treatment period, and after three </w:t>
      </w:r>
      <w:r w:rsidR="006C791A" w:rsidRPr="0043575D">
        <w:t xml:space="preserve">years </w:t>
      </w:r>
      <w:r w:rsidRPr="0043575D">
        <w:t>of open-label treatment w</w:t>
      </w:r>
      <w:r w:rsidR="00BB627A" w:rsidRPr="0043575D">
        <w:t>as</w:t>
      </w:r>
      <w:r w:rsidRPr="0043575D">
        <w:t xml:space="preserve"> about one-third of the rate in the second year of the double-blind phase. </w:t>
      </w:r>
      <w:r w:rsidR="008F7581" w:rsidRPr="0043575D">
        <w:t xml:space="preserve">Patients switching from teriflunomide to ublituximab had lower annualised relapse rates </w:t>
      </w:r>
      <w:r w:rsidRPr="0043575D">
        <w:t xml:space="preserve">than during the double-blind </w:t>
      </w:r>
      <w:proofErr w:type="gramStart"/>
      <w:r w:rsidRPr="0043575D">
        <w:t>phase, but</w:t>
      </w:r>
      <w:proofErr w:type="gramEnd"/>
      <w:r w:rsidRPr="0043575D">
        <w:t xml:space="preserve"> </w:t>
      </w:r>
      <w:r w:rsidR="0099501C" w:rsidRPr="0043575D">
        <w:t xml:space="preserve">never </w:t>
      </w:r>
      <w:r w:rsidRPr="0043575D">
        <w:t>achieved the same rate as those allocated to ublituximab in the double-blind phase. This is shown in</w:t>
      </w:r>
      <w:r w:rsidR="00DE5637" w:rsidRPr="0043575D">
        <w:t xml:space="preserve"> </w:t>
      </w:r>
      <w:r w:rsidR="00DE5637" w:rsidRPr="0043575D">
        <w:rPr>
          <w:highlight w:val="yellow"/>
        </w:rPr>
        <w:fldChar w:fldCharType="begin"/>
      </w:r>
      <w:r w:rsidR="00DE5637" w:rsidRPr="0043575D">
        <w:instrText xml:space="preserve"> REF _Ref190519796 \h </w:instrText>
      </w:r>
      <w:r w:rsidR="00DE5637" w:rsidRPr="0043575D">
        <w:rPr>
          <w:highlight w:val="yellow"/>
        </w:rPr>
        <w:instrText xml:space="preserve"> \* MERGEFORMAT </w:instrText>
      </w:r>
      <w:r w:rsidR="00DE5637" w:rsidRPr="0043575D">
        <w:rPr>
          <w:highlight w:val="yellow"/>
        </w:rPr>
      </w:r>
      <w:r w:rsidR="00DE5637" w:rsidRPr="0043575D">
        <w:rPr>
          <w:highlight w:val="yellow"/>
        </w:rPr>
        <w:fldChar w:fldCharType="separate"/>
      </w:r>
      <w:r w:rsidR="00D925D4">
        <w:t xml:space="preserve">Figure </w:t>
      </w:r>
      <w:r w:rsidR="00DE5637" w:rsidRPr="0043575D">
        <w:rPr>
          <w:highlight w:val="yellow"/>
        </w:rPr>
        <w:fldChar w:fldCharType="end"/>
      </w:r>
      <w:r w:rsidR="0014249F" w:rsidRPr="0043575D">
        <w:t>2</w:t>
      </w:r>
      <w:r w:rsidR="00DE5637" w:rsidRPr="0043575D">
        <w:rPr>
          <w:rFonts w:ascii="Arial Narrow" w:eastAsia="Times New Roman" w:hAnsi="Arial Narrow" w:cs="Arial"/>
          <w:b/>
          <w:bCs/>
          <w:sz w:val="20"/>
          <w:szCs w:val="20"/>
        </w:rPr>
        <w:t>.</w:t>
      </w:r>
    </w:p>
    <w:p w14:paraId="2EAA313B" w14:textId="2BEBC384" w:rsidR="00DA6B1D" w:rsidRDefault="0010534F" w:rsidP="0010534F">
      <w:pPr>
        <w:pStyle w:val="Caption"/>
      </w:pPr>
      <w:bookmarkStart w:id="33" w:name="_Ref190519796"/>
      <w:r>
        <w:t xml:space="preserve">Figure </w:t>
      </w:r>
      <w:bookmarkEnd w:id="33"/>
      <w:r w:rsidR="0014249F">
        <w:t>2</w:t>
      </w:r>
      <w:r>
        <w:t xml:space="preserve">: </w:t>
      </w:r>
      <w:r w:rsidR="00DA6B1D">
        <w:t>ARR in the double-blind and open-label phases of ULTIMATE I/II</w:t>
      </w:r>
    </w:p>
    <w:p w14:paraId="490CF270" w14:textId="2145F285" w:rsidR="00DA6B1D" w:rsidRPr="00392216" w:rsidRDefault="00DA6B1D" w:rsidP="00DA6B1D">
      <w:pPr>
        <w:pStyle w:val="TableFigureHeading"/>
      </w:pPr>
      <w:r w:rsidRPr="00F819A0">
        <w:rPr>
          <w:noProof/>
        </w:rPr>
        <w:drawing>
          <wp:inline distT="0" distB="0" distL="0" distR="0" wp14:anchorId="13758E45" wp14:editId="46A28208">
            <wp:extent cx="5539563" cy="2633391"/>
            <wp:effectExtent l="0" t="0" r="4445" b="0"/>
            <wp:docPr id="939679135" name="Picture 1" descr="A graph of a number of relap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79135" name="Picture 1" descr="A graph of a number of relapsed"/>
                    <pic:cNvPicPr/>
                  </pic:nvPicPr>
                  <pic:blipFill>
                    <a:blip r:embed="rId9"/>
                    <a:stretch>
                      <a:fillRect/>
                    </a:stretch>
                  </pic:blipFill>
                  <pic:spPr>
                    <a:xfrm>
                      <a:off x="0" y="0"/>
                      <a:ext cx="5550000" cy="2638352"/>
                    </a:xfrm>
                    <a:prstGeom prst="rect">
                      <a:avLst/>
                    </a:prstGeom>
                  </pic:spPr>
                </pic:pic>
              </a:graphicData>
            </a:graphic>
          </wp:inline>
        </w:drawing>
      </w:r>
    </w:p>
    <w:p w14:paraId="2FC75FB7" w14:textId="47B3505D" w:rsidR="00DF3633" w:rsidRPr="00DA6B1D" w:rsidRDefault="00DA6B1D" w:rsidP="58C81D04">
      <w:pPr>
        <w:pStyle w:val="FooterTableFigure"/>
        <w:rPr>
          <w:rStyle w:val="TableFigureFooterChar"/>
          <w:b/>
          <w:bCs/>
          <w:color w:val="000000" w:themeColor="text1"/>
        </w:rPr>
      </w:pPr>
      <w:r w:rsidRPr="58C81D04">
        <w:rPr>
          <w:rStyle w:val="TableFigureFooterChar"/>
          <w:color w:val="000000" w:themeColor="text1"/>
        </w:rPr>
        <w:t xml:space="preserve">Source: Figure 2-17, p166 of the submission. ARR = annualised relapse rate; OLE = open-label extension; TER = </w:t>
      </w:r>
      <w:r w:rsidR="00A16518" w:rsidRPr="58C81D04">
        <w:rPr>
          <w:rStyle w:val="TableFigureFooterChar"/>
          <w:color w:val="000000" w:themeColor="text1"/>
        </w:rPr>
        <w:t>teriflunomide</w:t>
      </w:r>
      <w:r w:rsidRPr="58C81D04">
        <w:rPr>
          <w:rStyle w:val="TableFigureFooterChar"/>
          <w:color w:val="000000" w:themeColor="text1"/>
        </w:rPr>
        <w:t xml:space="preserve">; UBL = ublituximab. </w:t>
      </w:r>
    </w:p>
    <w:p w14:paraId="06AAD969" w14:textId="170BD54F" w:rsidR="00DA6B1D" w:rsidRDefault="00DA6B1D" w:rsidP="58C81D04">
      <w:pPr>
        <w:pStyle w:val="3-BodyText"/>
      </w:pPr>
      <w:r w:rsidRPr="0043575D">
        <w:t>Time to confirmed disability progression lasting 24 weeks or longer</w:t>
      </w:r>
      <w:r w:rsidR="0099501C" w:rsidRPr="0043575D">
        <w:t xml:space="preserve"> (</w:t>
      </w:r>
      <w:r w:rsidR="0099501C" w:rsidRPr="0043575D">
        <w:rPr>
          <w:u w:val="single"/>
        </w:rPr>
        <w:t>not</w:t>
      </w:r>
      <w:r w:rsidR="0099501C" w:rsidRPr="0043575D">
        <w:t xml:space="preserve"> "at 24 weeks")</w:t>
      </w:r>
      <w:r w:rsidRPr="0043575D">
        <w:t xml:space="preserve"> during the open-label phase is shown in</w:t>
      </w:r>
      <w:r w:rsidR="0023616E" w:rsidRPr="0043575D">
        <w:t xml:space="preserve"> </w:t>
      </w:r>
      <w:r w:rsidR="002C4E38" w:rsidRPr="0043575D">
        <w:t xml:space="preserve">Figure </w:t>
      </w:r>
      <w:r w:rsidR="004A7AA0" w:rsidRPr="0043575D">
        <w:t>3</w:t>
      </w:r>
      <w:r w:rsidRPr="0043575D">
        <w:t xml:space="preserve">. Consistent with the results for annualised relapse rate, more patients allocated to teriflunomide in the double-blind phase had </w:t>
      </w:r>
      <w:r w:rsidR="00A40A8D" w:rsidRPr="0043575D">
        <w:t xml:space="preserve">long-lasting </w:t>
      </w:r>
      <w:r w:rsidRPr="0043575D">
        <w:t xml:space="preserve">confirmed disability progression during the open label phase (14.3% - 5.9% = 8.4% vs 8.0% - 3.9% = </w:t>
      </w:r>
      <w:r w:rsidR="006346BA" w:rsidRPr="0043575D">
        <w:t xml:space="preserve">4.1%). </w:t>
      </w:r>
    </w:p>
    <w:p w14:paraId="47E28DFF" w14:textId="57698A7E" w:rsidR="006346BA" w:rsidRDefault="0023616E" w:rsidP="0023616E">
      <w:pPr>
        <w:pStyle w:val="Caption"/>
      </w:pPr>
      <w:bookmarkStart w:id="34" w:name="_Ref188177462"/>
      <w:r>
        <w:lastRenderedPageBreak/>
        <w:t xml:space="preserve">Figure </w:t>
      </w:r>
      <w:bookmarkEnd w:id="34"/>
      <w:r w:rsidR="004A7AA0">
        <w:t>3</w:t>
      </w:r>
      <w:r>
        <w:t xml:space="preserve">: </w:t>
      </w:r>
      <w:r w:rsidR="006346BA">
        <w:t>Time to CDP lasting 24 weeks or longer in the double-blind and open-label phases of ULTIMATE I/II</w:t>
      </w:r>
    </w:p>
    <w:p w14:paraId="467ED992" w14:textId="38ABED92" w:rsidR="006346BA" w:rsidRDefault="006346BA" w:rsidP="006346BA">
      <w:pPr>
        <w:pStyle w:val="TableFigureHeading"/>
      </w:pPr>
      <w:r w:rsidRPr="0001639D">
        <w:rPr>
          <w:noProof/>
        </w:rPr>
        <w:drawing>
          <wp:inline distT="0" distB="0" distL="0" distR="0" wp14:anchorId="5AB3A29E" wp14:editId="79509923">
            <wp:extent cx="5635256" cy="2833861"/>
            <wp:effectExtent l="0" t="0" r="3810" b="5080"/>
            <wp:docPr id="470356110" name="Picture 1" descr="A graph showing the number of people in the number of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56110" name="Picture 1" descr="A graph showing the number of people in the number of years"/>
                    <pic:cNvPicPr/>
                  </pic:nvPicPr>
                  <pic:blipFill>
                    <a:blip r:embed="rId10"/>
                    <a:stretch>
                      <a:fillRect/>
                    </a:stretch>
                  </pic:blipFill>
                  <pic:spPr>
                    <a:xfrm>
                      <a:off x="0" y="0"/>
                      <a:ext cx="5643373" cy="2837943"/>
                    </a:xfrm>
                    <a:prstGeom prst="rect">
                      <a:avLst/>
                    </a:prstGeom>
                  </pic:spPr>
                </pic:pic>
              </a:graphicData>
            </a:graphic>
          </wp:inline>
        </w:drawing>
      </w:r>
    </w:p>
    <w:p w14:paraId="034FB245" w14:textId="56BF27EE" w:rsidR="006346BA" w:rsidRDefault="006346BA" w:rsidP="00D119BE">
      <w:pPr>
        <w:pStyle w:val="TableFigureFooter"/>
      </w:pPr>
      <w:r w:rsidRPr="58C81D04">
        <w:t>Source: Figure 2-18, p157 of the submission. CDP = confirmed disability progression; TER = teriflunomide; UBL = ublituximab</w:t>
      </w:r>
      <w:r w:rsidR="00A16518" w:rsidRPr="58C81D04">
        <w:t xml:space="preserve">. </w:t>
      </w:r>
    </w:p>
    <w:p w14:paraId="1C73AD5B" w14:textId="58F1B300" w:rsidR="006346BA" w:rsidRDefault="006346BA" w:rsidP="58C81D04">
      <w:pPr>
        <w:pStyle w:val="3-BodyText"/>
      </w:pPr>
      <w:r w:rsidRPr="0043575D">
        <w:t>The</w:t>
      </w:r>
      <w:r w:rsidR="00C6580A">
        <w:t xml:space="preserve"> evaluation considered these</w:t>
      </w:r>
      <w:r w:rsidRPr="0043575D">
        <w:t xml:space="preserve"> results suggest that prior teriflunomide treatment had a clinically relevant effect on the efficacy of ublituximab. </w:t>
      </w:r>
      <w:r w:rsidR="00581ACB" w:rsidRPr="0043575D">
        <w:t xml:space="preserve">If this were to apply to other DMTs, the differences in the proportions of patients with prior DMT use in the trials used in the ITCs would be a major transitivity issue. </w:t>
      </w:r>
    </w:p>
    <w:p w14:paraId="6A3016DC" w14:textId="23606010" w:rsidR="000B10E1" w:rsidRPr="0043575D" w:rsidRDefault="000B10E1" w:rsidP="58C81D04">
      <w:pPr>
        <w:pStyle w:val="3-BodyText"/>
      </w:pPr>
      <w:r w:rsidRPr="000B114D">
        <w:t xml:space="preserve">The PSCR </w:t>
      </w:r>
      <w:r w:rsidR="003904EB" w:rsidRPr="000B114D">
        <w:t xml:space="preserve">argued </w:t>
      </w:r>
      <w:r w:rsidR="004A1ACA" w:rsidRPr="000B114D">
        <w:t>that outcomes in the open label extension do not negate the lack of impact of use vs.</w:t>
      </w:r>
      <w:r w:rsidR="002B33A9" w:rsidRPr="000B114D">
        <w:t xml:space="preserve"> no use of prior DMTs on the effectiveness </w:t>
      </w:r>
      <w:r w:rsidR="00FB3317" w:rsidRPr="000B114D">
        <w:t xml:space="preserve">ublituximab versus teriflunomide, and </w:t>
      </w:r>
      <w:r w:rsidR="0097566C" w:rsidRPr="000B114D">
        <w:t xml:space="preserve">further argued that in </w:t>
      </w:r>
      <w:proofErr w:type="gramStart"/>
      <w:r w:rsidR="0097566C" w:rsidRPr="000B114D">
        <w:t>high risk</w:t>
      </w:r>
      <w:proofErr w:type="gramEnd"/>
      <w:r w:rsidR="0097566C" w:rsidRPr="000B114D">
        <w:t xml:space="preserve"> patients, earlier </w:t>
      </w:r>
      <w:r w:rsidR="00DE2E54" w:rsidRPr="000B114D">
        <w:t xml:space="preserve">and more aggressive DMT treatment leads to a reduced risk of relapse and disability accumulation over the longer term. </w:t>
      </w:r>
      <w:r w:rsidR="004921DA" w:rsidRPr="000B114D">
        <w:t xml:space="preserve">The ESC </w:t>
      </w:r>
      <w:r w:rsidR="00681EC1" w:rsidRPr="000B114D">
        <w:t>considered</w:t>
      </w:r>
      <w:r w:rsidR="00584B2E" w:rsidRPr="000B114D">
        <w:t xml:space="preserve"> clinical preference </w:t>
      </w:r>
      <w:r w:rsidR="00A214CC" w:rsidRPr="000B114D">
        <w:t xml:space="preserve">would ultimately depend on lesion load and the nature of the </w:t>
      </w:r>
      <w:r w:rsidR="003B71DE" w:rsidRPr="000B114D">
        <w:t>relapse</w:t>
      </w:r>
      <w:r w:rsidR="006D59CD" w:rsidRPr="000B114D">
        <w:t>. In cases o</w:t>
      </w:r>
      <w:r w:rsidR="00EC355C" w:rsidRPr="000B114D">
        <w:t>f</w:t>
      </w:r>
      <w:r w:rsidR="006D59CD" w:rsidRPr="000B114D">
        <w:t xml:space="preserve"> mild tingling with very low lesion load,</w:t>
      </w:r>
      <w:r w:rsidR="00FC5F7C" w:rsidRPr="000B114D">
        <w:t xml:space="preserve"> </w:t>
      </w:r>
      <w:r w:rsidR="00D66A69" w:rsidRPr="000B114D">
        <w:t>therapies considered to have lower efficacy</w:t>
      </w:r>
      <w:r w:rsidR="00FC5F7C" w:rsidRPr="000B114D">
        <w:t xml:space="preserve"> </w:t>
      </w:r>
      <w:r w:rsidR="00F65604" w:rsidRPr="000B114D">
        <w:t xml:space="preserve">may be </w:t>
      </w:r>
      <w:r w:rsidR="00D66A69" w:rsidRPr="000B114D">
        <w:t>preferred for some patients</w:t>
      </w:r>
      <w:r w:rsidR="004436D0" w:rsidRPr="000B114D">
        <w:t xml:space="preserve">, </w:t>
      </w:r>
      <w:r w:rsidR="008B3E53" w:rsidRPr="000B114D">
        <w:t xml:space="preserve">as opposed to </w:t>
      </w:r>
      <w:r w:rsidR="0072355F" w:rsidRPr="000B114D">
        <w:t>cases with high lesion load and significant motor weakness</w:t>
      </w:r>
      <w:r w:rsidR="00D66A69" w:rsidRPr="000B114D">
        <w:t xml:space="preserve">, where </w:t>
      </w:r>
      <w:r w:rsidR="00681EC1" w:rsidRPr="000B114D">
        <w:t>early treatment with high efficacy therapies would be considered</w:t>
      </w:r>
      <w:r w:rsidR="0034781A" w:rsidRPr="000B114D">
        <w:t>.</w:t>
      </w:r>
      <w:r w:rsidR="001221ED">
        <w:t xml:space="preserve"> The Pre-PBAC Response </w:t>
      </w:r>
      <w:r w:rsidR="00662402">
        <w:t>acknowledged this and argued that</w:t>
      </w:r>
      <w:r w:rsidR="00376EA4">
        <w:t xml:space="preserve"> it was reasonable to re</w:t>
      </w:r>
      <w:r w:rsidR="00C6580A">
        <w:t>-</w:t>
      </w:r>
      <w:r w:rsidR="00376EA4">
        <w:t xml:space="preserve">consider </w:t>
      </w:r>
      <w:r w:rsidR="00DA1AFB">
        <w:t xml:space="preserve">the established relativities in RRMS, in recognition </w:t>
      </w:r>
      <w:r w:rsidR="00DB4926">
        <w:t xml:space="preserve">of emerging evidence </w:t>
      </w:r>
      <w:r w:rsidR="00676810">
        <w:t>of an evolution in the classification of RRMS treatments</w:t>
      </w:r>
      <w:r w:rsidR="00B50472">
        <w:t xml:space="preserve"> and the shift towards early use of high efficacy therapies. </w:t>
      </w:r>
    </w:p>
    <w:p w14:paraId="22BC8FAD" w14:textId="252BCD67" w:rsidR="00D07E34" w:rsidRDefault="00D07E34" w:rsidP="00D07E34">
      <w:pPr>
        <w:pStyle w:val="5-SubsectionSubheading"/>
      </w:pPr>
      <w:bookmarkStart w:id="35" w:name="_Toc193112856"/>
      <w:r w:rsidRPr="58C81D04">
        <w:t>Efficacy Summary</w:t>
      </w:r>
      <w:r w:rsidR="00D7592F" w:rsidRPr="58C81D04">
        <w:t xml:space="preserve"> for</w:t>
      </w:r>
      <w:r w:rsidRPr="58C81D04">
        <w:t xml:space="preserve"> Ublituximab vs Teriflunomide</w:t>
      </w:r>
      <w:bookmarkEnd w:id="35"/>
    </w:p>
    <w:p w14:paraId="733C0D05" w14:textId="741612D3" w:rsidR="00D07E34" w:rsidRPr="0043575D" w:rsidRDefault="00D07E34" w:rsidP="58C81D04">
      <w:pPr>
        <w:pStyle w:val="3-BodyText"/>
      </w:pPr>
      <w:r w:rsidRPr="0043575D">
        <w:t xml:space="preserve">Ublituximab reduced the number of relapses and increased the number of patients free of relapse over 96 weeks compared to teriflunomide. </w:t>
      </w:r>
      <w:r w:rsidR="00D7592F" w:rsidRPr="000B114D">
        <w:t>The</w:t>
      </w:r>
      <w:r w:rsidR="005F315F" w:rsidRPr="000B114D">
        <w:t xml:space="preserve"> evaluation considered </w:t>
      </w:r>
      <w:r w:rsidR="005F315F">
        <w:t>there</w:t>
      </w:r>
      <w:r w:rsidR="00D7592F" w:rsidRPr="0043575D">
        <w:t xml:space="preserve"> was no</w:t>
      </w:r>
      <w:r w:rsidR="005F315F">
        <w:t xml:space="preserve"> </w:t>
      </w:r>
      <w:r w:rsidR="005F315F" w:rsidRPr="000B114D">
        <w:t>clear</w:t>
      </w:r>
      <w:r w:rsidR="00CA22C6">
        <w:t xml:space="preserve"> </w:t>
      </w:r>
      <w:r w:rsidR="00D7592F" w:rsidRPr="0043575D">
        <w:t xml:space="preserve">difference in patients' level of disability, chance of experiencing significant worsening of disability, quality of life, or missed work time. </w:t>
      </w:r>
    </w:p>
    <w:p w14:paraId="76F44299" w14:textId="6C400CAF" w:rsidR="004F751C" w:rsidRPr="00D07E34" w:rsidRDefault="00D07E34" w:rsidP="00D07E34">
      <w:pPr>
        <w:pStyle w:val="5-SubsectionSubheading"/>
        <w:rPr>
          <w:color w:val="0066FF"/>
        </w:rPr>
      </w:pPr>
      <w:r>
        <w:lastRenderedPageBreak/>
        <w:t xml:space="preserve"> </w:t>
      </w:r>
      <w:bookmarkStart w:id="36" w:name="_Toc193112857"/>
      <w:r w:rsidR="004F751C">
        <w:t>Indirect Treatment Comparisons</w:t>
      </w:r>
      <w:bookmarkEnd w:id="36"/>
    </w:p>
    <w:p w14:paraId="116A1780" w14:textId="049869FE" w:rsidR="002A212B" w:rsidRPr="0043575D" w:rsidRDefault="002A212B" w:rsidP="00EC5836">
      <w:pPr>
        <w:pStyle w:val="3-BodyText"/>
      </w:pPr>
      <w:r w:rsidRPr="0043575D">
        <w:t xml:space="preserve">Three indirect treatment comparisons (ITCs) were </w:t>
      </w:r>
      <w:r w:rsidR="009A0E13" w:rsidRPr="0043575D">
        <w:t>undertaken in the submission</w:t>
      </w:r>
      <w:r w:rsidRPr="0043575D">
        <w:t>: ublituximab versus ofatumumab using teriflunomide as common comparator; ublituximab versus ocrelizumab, using teriflunomide and interferon beta as intermediate comparators</w:t>
      </w:r>
      <w:r w:rsidR="00FF1966" w:rsidRPr="0043575D">
        <w:t>; and ublituximab versus fingolimod using teriflunomide and placebo as intermediate comparators</w:t>
      </w:r>
      <w:r w:rsidR="00A16518" w:rsidRPr="0043575D">
        <w:t xml:space="preserve">. </w:t>
      </w:r>
    </w:p>
    <w:p w14:paraId="1465BE6A" w14:textId="196CB5D9" w:rsidR="00D7592F" w:rsidRPr="0043575D" w:rsidRDefault="00D7592F" w:rsidP="00EC5836">
      <w:pPr>
        <w:pStyle w:val="3-BodyText"/>
      </w:pPr>
      <w:r w:rsidRPr="0043575D">
        <w:t xml:space="preserve">These indirect treatment comparisons are compromised by the weaknesses of the trials of teriflunomide vs placebo (TEMSO and TOWER) and teriflunomide vs interferon beta (TENERE) previously noted by the PBAC as compromising comparisons of ofatumumab with fingolimod. </w:t>
      </w:r>
    </w:p>
    <w:p w14:paraId="07B8E9A9" w14:textId="649BE736" w:rsidR="004F751C" w:rsidRPr="0043575D" w:rsidRDefault="004F751C" w:rsidP="00EC5836">
      <w:pPr>
        <w:pStyle w:val="3-BodyText"/>
      </w:pPr>
      <w:r w:rsidRPr="0043575D">
        <w:t xml:space="preserve">Results for ublituximab versus ofatumumab for annualised relapse rate and confirmed disability progression at 12 and 24 weeks are shown in </w:t>
      </w:r>
      <w:r w:rsidRPr="0043575D">
        <w:fldChar w:fldCharType="begin"/>
      </w:r>
      <w:r w:rsidRPr="0043575D">
        <w:instrText xml:space="preserve"> REF _Ref190519922 \h </w:instrText>
      </w:r>
      <w:r w:rsidR="0043575D" w:rsidRPr="0043575D">
        <w:instrText xml:space="preserve"> \* MERGEFORMAT </w:instrText>
      </w:r>
      <w:r w:rsidRPr="0043575D">
        <w:fldChar w:fldCharType="separate"/>
      </w:r>
      <w:r w:rsidR="00D925D4" w:rsidRPr="58C81D04">
        <w:t xml:space="preserve">Table </w:t>
      </w:r>
      <w:r w:rsidR="00D925D4">
        <w:rPr>
          <w:noProof/>
        </w:rPr>
        <w:t>6</w:t>
      </w:r>
      <w:r w:rsidRPr="0043575D">
        <w:fldChar w:fldCharType="end"/>
      </w:r>
      <w:r w:rsidR="0010534F" w:rsidRPr="0043575D">
        <w:t>.</w:t>
      </w:r>
    </w:p>
    <w:p w14:paraId="69ABD251" w14:textId="4B4CDC60" w:rsidR="008A3EBB" w:rsidRDefault="0010534F" w:rsidP="0010534F">
      <w:pPr>
        <w:pStyle w:val="Caption"/>
      </w:pPr>
      <w:bookmarkStart w:id="37" w:name="_Ref190519922"/>
      <w:r w:rsidRPr="58C81D04">
        <w:t xml:space="preserve">Table </w:t>
      </w:r>
      <w:r>
        <w:fldChar w:fldCharType="begin"/>
      </w:r>
      <w:r>
        <w:instrText xml:space="preserve"> SEQ Table \* ARABIC </w:instrText>
      </w:r>
      <w:r>
        <w:fldChar w:fldCharType="separate"/>
      </w:r>
      <w:r w:rsidR="00D925D4">
        <w:rPr>
          <w:noProof/>
        </w:rPr>
        <w:t>6</w:t>
      </w:r>
      <w:r>
        <w:rPr>
          <w:noProof/>
        </w:rPr>
        <w:fldChar w:fldCharType="end"/>
      </w:r>
      <w:bookmarkEnd w:id="37"/>
      <w:r w:rsidRPr="58C81D04">
        <w:t xml:space="preserve">: </w:t>
      </w:r>
      <w:r w:rsidR="008A3EBB" w:rsidRPr="58C81D04">
        <w:t>ITC ublituximab vs ofatumumab</w:t>
      </w:r>
    </w:p>
    <w:tbl>
      <w:tblPr>
        <w:tblStyle w:val="TableGrid"/>
        <w:tblW w:w="0" w:type="auto"/>
        <w:tblLook w:val="04A0" w:firstRow="1" w:lastRow="0" w:firstColumn="1" w:lastColumn="0" w:noHBand="0" w:noVBand="1"/>
      </w:tblPr>
      <w:tblGrid>
        <w:gridCol w:w="1980"/>
        <w:gridCol w:w="1559"/>
        <w:gridCol w:w="1559"/>
        <w:gridCol w:w="1985"/>
        <w:gridCol w:w="1934"/>
      </w:tblGrid>
      <w:tr w:rsidR="00B939BC" w14:paraId="38C1C63B" w14:textId="77777777" w:rsidTr="00806E4D">
        <w:tc>
          <w:tcPr>
            <w:tcW w:w="1980" w:type="dxa"/>
          </w:tcPr>
          <w:p w14:paraId="1DD3D9D1" w14:textId="77777777" w:rsidR="00B939BC" w:rsidRDefault="00B939BC" w:rsidP="00AF6953">
            <w:pPr>
              <w:pStyle w:val="TableText0"/>
            </w:pPr>
          </w:p>
        </w:tc>
        <w:tc>
          <w:tcPr>
            <w:tcW w:w="1559" w:type="dxa"/>
          </w:tcPr>
          <w:p w14:paraId="6357F8BF" w14:textId="570E9447" w:rsidR="00B939BC" w:rsidRPr="003A357E" w:rsidRDefault="00B939BC" w:rsidP="00AF6953">
            <w:pPr>
              <w:pStyle w:val="TableText0"/>
              <w:rPr>
                <w:b/>
                <w:bCs w:val="0"/>
              </w:rPr>
            </w:pPr>
            <w:r w:rsidRPr="003A357E">
              <w:rPr>
                <w:b/>
                <w:bCs w:val="0"/>
              </w:rPr>
              <w:t>ARR (95% CI)</w:t>
            </w:r>
          </w:p>
        </w:tc>
        <w:tc>
          <w:tcPr>
            <w:tcW w:w="1559" w:type="dxa"/>
          </w:tcPr>
          <w:p w14:paraId="40EE9EB7" w14:textId="67A92997" w:rsidR="00B939BC" w:rsidRPr="003A357E" w:rsidRDefault="00B939BC" w:rsidP="00AF6953">
            <w:pPr>
              <w:pStyle w:val="TableText0"/>
              <w:rPr>
                <w:b/>
                <w:bCs w:val="0"/>
              </w:rPr>
            </w:pPr>
            <w:r w:rsidRPr="003A357E">
              <w:rPr>
                <w:b/>
                <w:bCs w:val="0"/>
              </w:rPr>
              <w:t>ARR ratio (95% CI)</w:t>
            </w:r>
          </w:p>
        </w:tc>
        <w:tc>
          <w:tcPr>
            <w:tcW w:w="1985" w:type="dxa"/>
          </w:tcPr>
          <w:p w14:paraId="1D4B9877" w14:textId="2AF745AC" w:rsidR="00B939BC" w:rsidRPr="003A357E" w:rsidRDefault="00B939BC" w:rsidP="00AF6953">
            <w:pPr>
              <w:pStyle w:val="TableText0"/>
              <w:rPr>
                <w:b/>
                <w:bCs w:val="0"/>
              </w:rPr>
            </w:pPr>
            <w:r w:rsidRPr="003A357E">
              <w:rPr>
                <w:b/>
                <w:bCs w:val="0"/>
              </w:rPr>
              <w:t>CDP 12 weeks</w:t>
            </w:r>
            <w:r w:rsidR="006954C0" w:rsidRPr="003A357E">
              <w:rPr>
                <w:b/>
                <w:bCs w:val="0"/>
              </w:rPr>
              <w:t>, Hazard Ratio (95% CI)</w:t>
            </w:r>
          </w:p>
        </w:tc>
        <w:tc>
          <w:tcPr>
            <w:tcW w:w="1934" w:type="dxa"/>
          </w:tcPr>
          <w:p w14:paraId="7824D9BB" w14:textId="0E7A7B82" w:rsidR="00B939BC" w:rsidRPr="003A357E" w:rsidRDefault="00B939BC" w:rsidP="00AF6953">
            <w:pPr>
              <w:pStyle w:val="TableText0"/>
              <w:rPr>
                <w:b/>
                <w:bCs w:val="0"/>
              </w:rPr>
            </w:pPr>
            <w:r w:rsidRPr="003A357E">
              <w:rPr>
                <w:b/>
                <w:bCs w:val="0"/>
              </w:rPr>
              <w:t>CDP 24 weeks</w:t>
            </w:r>
            <w:r w:rsidR="006954C0" w:rsidRPr="003A357E">
              <w:rPr>
                <w:b/>
                <w:bCs w:val="0"/>
              </w:rPr>
              <w:t>, Hazard Ratio (95% CI)</w:t>
            </w:r>
          </w:p>
        </w:tc>
      </w:tr>
      <w:tr w:rsidR="00B939BC" w14:paraId="525F73A5" w14:textId="77777777" w:rsidTr="58C81D04">
        <w:tc>
          <w:tcPr>
            <w:tcW w:w="9017" w:type="dxa"/>
            <w:gridSpan w:val="5"/>
          </w:tcPr>
          <w:p w14:paraId="33189D83" w14:textId="66B1BE82" w:rsidR="00B939BC" w:rsidRPr="003A357E" w:rsidRDefault="00B939BC" w:rsidP="00AF6953">
            <w:pPr>
              <w:pStyle w:val="TableText0"/>
              <w:rPr>
                <w:b/>
                <w:bCs w:val="0"/>
              </w:rPr>
            </w:pPr>
            <w:r w:rsidRPr="003A357E">
              <w:rPr>
                <w:b/>
                <w:bCs w:val="0"/>
              </w:rPr>
              <w:t>ULTIMATE I</w:t>
            </w:r>
          </w:p>
        </w:tc>
      </w:tr>
      <w:tr w:rsidR="006954C0" w14:paraId="15C11443" w14:textId="77777777" w:rsidTr="00806E4D">
        <w:tc>
          <w:tcPr>
            <w:tcW w:w="1980" w:type="dxa"/>
          </w:tcPr>
          <w:p w14:paraId="210312A4" w14:textId="0DEECE82" w:rsidR="006954C0" w:rsidRDefault="006954C0" w:rsidP="00AF6953">
            <w:pPr>
              <w:pStyle w:val="TableText0"/>
            </w:pPr>
            <w:r w:rsidRPr="58C81D04">
              <w:t xml:space="preserve">Ublituximab  </w:t>
            </w:r>
          </w:p>
          <w:p w14:paraId="32E45E9A" w14:textId="7E7C5B6D" w:rsidR="006954C0" w:rsidRDefault="006954C0" w:rsidP="00AF6953">
            <w:pPr>
              <w:pStyle w:val="TableText0"/>
            </w:pPr>
            <w:r>
              <w:t>N = 271</w:t>
            </w:r>
          </w:p>
        </w:tc>
        <w:tc>
          <w:tcPr>
            <w:tcW w:w="1559" w:type="dxa"/>
          </w:tcPr>
          <w:p w14:paraId="7E0E15BB" w14:textId="169AF294" w:rsidR="006954C0" w:rsidRDefault="006954C0" w:rsidP="00AF6953">
            <w:pPr>
              <w:pStyle w:val="TableText0"/>
            </w:pPr>
            <w:r>
              <w:t>0.08 (0.04, 0.14)</w:t>
            </w:r>
          </w:p>
        </w:tc>
        <w:tc>
          <w:tcPr>
            <w:tcW w:w="1559" w:type="dxa"/>
            <w:vMerge w:val="restart"/>
          </w:tcPr>
          <w:p w14:paraId="7D649453" w14:textId="4A305916" w:rsidR="006954C0" w:rsidRPr="000320BC" w:rsidRDefault="006954C0" w:rsidP="00AF6953">
            <w:pPr>
              <w:pStyle w:val="TableText0"/>
              <w:rPr>
                <w:b/>
                <w:bCs w:val="0"/>
              </w:rPr>
            </w:pPr>
            <w:r w:rsidRPr="000320BC">
              <w:rPr>
                <w:b/>
                <w:bCs w:val="0"/>
              </w:rPr>
              <w:t>0.41 (0.27, 0.62)</w:t>
            </w:r>
          </w:p>
        </w:tc>
        <w:tc>
          <w:tcPr>
            <w:tcW w:w="1985" w:type="dxa"/>
            <w:vMerge w:val="restart"/>
          </w:tcPr>
          <w:p w14:paraId="169B3BDA" w14:textId="13724345" w:rsidR="006954C0" w:rsidRDefault="006954C0" w:rsidP="00AF6953">
            <w:pPr>
              <w:pStyle w:val="TableText0"/>
            </w:pPr>
            <w:r>
              <w:t>NR</w:t>
            </w:r>
          </w:p>
        </w:tc>
        <w:tc>
          <w:tcPr>
            <w:tcW w:w="1934" w:type="dxa"/>
            <w:vMerge w:val="restart"/>
          </w:tcPr>
          <w:p w14:paraId="5C53CBDF" w14:textId="6A87B8C7" w:rsidR="006954C0" w:rsidRDefault="006954C0" w:rsidP="00AF6953">
            <w:pPr>
              <w:pStyle w:val="TableText0"/>
            </w:pPr>
            <w:r>
              <w:t>NR</w:t>
            </w:r>
          </w:p>
        </w:tc>
      </w:tr>
      <w:tr w:rsidR="006954C0" w14:paraId="21CFEA5D" w14:textId="77777777" w:rsidTr="00806E4D">
        <w:tc>
          <w:tcPr>
            <w:tcW w:w="1980" w:type="dxa"/>
          </w:tcPr>
          <w:p w14:paraId="359199FB" w14:textId="77777777" w:rsidR="006954C0" w:rsidRDefault="006954C0" w:rsidP="00AF6953">
            <w:pPr>
              <w:pStyle w:val="TableText0"/>
            </w:pPr>
            <w:r>
              <w:t xml:space="preserve">Teriflunomide </w:t>
            </w:r>
          </w:p>
          <w:p w14:paraId="2B33178C" w14:textId="294A27FE" w:rsidR="006954C0" w:rsidRDefault="006954C0" w:rsidP="00AF6953">
            <w:pPr>
              <w:pStyle w:val="TableText0"/>
            </w:pPr>
            <w:r>
              <w:t>N = 274</w:t>
            </w:r>
          </w:p>
        </w:tc>
        <w:tc>
          <w:tcPr>
            <w:tcW w:w="1559" w:type="dxa"/>
          </w:tcPr>
          <w:p w14:paraId="621B1B17" w14:textId="34173BF9" w:rsidR="006954C0" w:rsidRDefault="006954C0" w:rsidP="00AF6953">
            <w:pPr>
              <w:pStyle w:val="TableText0"/>
            </w:pPr>
            <w:r>
              <w:t>0.19 (0.12, 0.28)</w:t>
            </w:r>
          </w:p>
        </w:tc>
        <w:tc>
          <w:tcPr>
            <w:tcW w:w="1559" w:type="dxa"/>
            <w:vMerge/>
          </w:tcPr>
          <w:p w14:paraId="44EB3B44" w14:textId="77777777" w:rsidR="006954C0" w:rsidRDefault="006954C0" w:rsidP="00AF6953">
            <w:pPr>
              <w:pStyle w:val="TableText0"/>
            </w:pPr>
          </w:p>
        </w:tc>
        <w:tc>
          <w:tcPr>
            <w:tcW w:w="1985" w:type="dxa"/>
            <w:vMerge/>
          </w:tcPr>
          <w:p w14:paraId="0F4D677D" w14:textId="77777777" w:rsidR="006954C0" w:rsidRDefault="006954C0" w:rsidP="00AF6953">
            <w:pPr>
              <w:pStyle w:val="TableText0"/>
            </w:pPr>
          </w:p>
        </w:tc>
        <w:tc>
          <w:tcPr>
            <w:tcW w:w="1934" w:type="dxa"/>
            <w:vMerge/>
          </w:tcPr>
          <w:p w14:paraId="2787DA56" w14:textId="77777777" w:rsidR="006954C0" w:rsidRDefault="006954C0" w:rsidP="00AF6953">
            <w:pPr>
              <w:pStyle w:val="TableText0"/>
            </w:pPr>
          </w:p>
        </w:tc>
      </w:tr>
      <w:tr w:rsidR="00B939BC" w14:paraId="13302792" w14:textId="77777777" w:rsidTr="58C81D04">
        <w:tc>
          <w:tcPr>
            <w:tcW w:w="9017" w:type="dxa"/>
            <w:gridSpan w:val="5"/>
          </w:tcPr>
          <w:p w14:paraId="628B4057" w14:textId="1E74A013" w:rsidR="00B939BC" w:rsidRPr="003A357E" w:rsidRDefault="00B939BC" w:rsidP="00AF6953">
            <w:pPr>
              <w:pStyle w:val="TableText0"/>
              <w:rPr>
                <w:b/>
                <w:bCs w:val="0"/>
              </w:rPr>
            </w:pPr>
            <w:r w:rsidRPr="003A357E">
              <w:rPr>
                <w:b/>
                <w:bCs w:val="0"/>
              </w:rPr>
              <w:t>ULTIMATE II</w:t>
            </w:r>
          </w:p>
        </w:tc>
      </w:tr>
      <w:tr w:rsidR="006954C0" w14:paraId="5C0266F2" w14:textId="77777777" w:rsidTr="00806E4D">
        <w:tc>
          <w:tcPr>
            <w:tcW w:w="1980" w:type="dxa"/>
          </w:tcPr>
          <w:p w14:paraId="7D854D5C" w14:textId="77777777" w:rsidR="006954C0" w:rsidRDefault="006954C0" w:rsidP="00AF6953">
            <w:pPr>
              <w:pStyle w:val="TableText0"/>
            </w:pPr>
            <w:r w:rsidRPr="58C81D04">
              <w:t xml:space="preserve">Ublituximab  </w:t>
            </w:r>
          </w:p>
          <w:p w14:paraId="396AB6F9" w14:textId="2C5F0927" w:rsidR="006954C0" w:rsidRDefault="006954C0" w:rsidP="00AF6953">
            <w:pPr>
              <w:pStyle w:val="TableText0"/>
            </w:pPr>
            <w:r>
              <w:t>N = 272</w:t>
            </w:r>
          </w:p>
        </w:tc>
        <w:tc>
          <w:tcPr>
            <w:tcW w:w="1559" w:type="dxa"/>
          </w:tcPr>
          <w:p w14:paraId="4DFA4B5E" w14:textId="2F891FAA" w:rsidR="006954C0" w:rsidRDefault="006954C0" w:rsidP="00AF6953">
            <w:pPr>
              <w:pStyle w:val="TableText0"/>
            </w:pPr>
            <w:r>
              <w:t>0.09 (0.05, 0.17)</w:t>
            </w:r>
          </w:p>
        </w:tc>
        <w:tc>
          <w:tcPr>
            <w:tcW w:w="1559" w:type="dxa"/>
            <w:vMerge w:val="restart"/>
          </w:tcPr>
          <w:p w14:paraId="162A37FB" w14:textId="3D9CAC62" w:rsidR="006954C0" w:rsidRPr="000320BC" w:rsidRDefault="006954C0" w:rsidP="00AF6953">
            <w:pPr>
              <w:pStyle w:val="TableText0"/>
              <w:rPr>
                <w:b/>
                <w:bCs w:val="0"/>
              </w:rPr>
            </w:pPr>
            <w:r w:rsidRPr="000320BC">
              <w:rPr>
                <w:b/>
                <w:bCs w:val="0"/>
              </w:rPr>
              <w:t>0.51 (0.33, 0.78)</w:t>
            </w:r>
          </w:p>
        </w:tc>
        <w:tc>
          <w:tcPr>
            <w:tcW w:w="1985" w:type="dxa"/>
            <w:vMerge w:val="restart"/>
          </w:tcPr>
          <w:p w14:paraId="6CB2620F" w14:textId="16D6EDCE" w:rsidR="006954C0" w:rsidRDefault="006954C0" w:rsidP="00AF6953">
            <w:pPr>
              <w:pStyle w:val="TableText0"/>
            </w:pPr>
            <w:r>
              <w:t>NR</w:t>
            </w:r>
          </w:p>
        </w:tc>
        <w:tc>
          <w:tcPr>
            <w:tcW w:w="1934" w:type="dxa"/>
            <w:vMerge w:val="restart"/>
          </w:tcPr>
          <w:p w14:paraId="1268DD67" w14:textId="2605334E" w:rsidR="006954C0" w:rsidRDefault="006954C0" w:rsidP="00AF6953">
            <w:pPr>
              <w:pStyle w:val="TableText0"/>
            </w:pPr>
            <w:r>
              <w:t>NR</w:t>
            </w:r>
          </w:p>
        </w:tc>
      </w:tr>
      <w:tr w:rsidR="006954C0" w14:paraId="6E59176A" w14:textId="77777777" w:rsidTr="00806E4D">
        <w:tc>
          <w:tcPr>
            <w:tcW w:w="1980" w:type="dxa"/>
          </w:tcPr>
          <w:p w14:paraId="68C3906C" w14:textId="77777777" w:rsidR="006954C0" w:rsidRDefault="006954C0" w:rsidP="00AF6953">
            <w:pPr>
              <w:pStyle w:val="TableText0"/>
            </w:pPr>
            <w:r>
              <w:t xml:space="preserve">Teriflunomide </w:t>
            </w:r>
          </w:p>
          <w:p w14:paraId="63344A66" w14:textId="13C3C7D3" w:rsidR="006954C0" w:rsidRDefault="006954C0" w:rsidP="00AF6953">
            <w:pPr>
              <w:pStyle w:val="TableText0"/>
            </w:pPr>
            <w:r>
              <w:t>N = 272</w:t>
            </w:r>
          </w:p>
        </w:tc>
        <w:tc>
          <w:tcPr>
            <w:tcW w:w="1559" w:type="dxa"/>
          </w:tcPr>
          <w:p w14:paraId="681707E4" w14:textId="1D225DB3" w:rsidR="006954C0" w:rsidRDefault="006954C0" w:rsidP="00AF6953">
            <w:pPr>
              <w:pStyle w:val="TableText0"/>
            </w:pPr>
            <w:r>
              <w:t>0.18 (0.11, 0.29)</w:t>
            </w:r>
          </w:p>
        </w:tc>
        <w:tc>
          <w:tcPr>
            <w:tcW w:w="1559" w:type="dxa"/>
            <w:vMerge/>
          </w:tcPr>
          <w:p w14:paraId="569691B0" w14:textId="77777777" w:rsidR="006954C0" w:rsidRDefault="006954C0" w:rsidP="00AF6953">
            <w:pPr>
              <w:pStyle w:val="TableText0"/>
            </w:pPr>
          </w:p>
        </w:tc>
        <w:tc>
          <w:tcPr>
            <w:tcW w:w="1985" w:type="dxa"/>
            <w:vMerge/>
          </w:tcPr>
          <w:p w14:paraId="6960014D" w14:textId="77777777" w:rsidR="006954C0" w:rsidRDefault="006954C0" w:rsidP="00AF6953">
            <w:pPr>
              <w:pStyle w:val="TableText0"/>
            </w:pPr>
          </w:p>
        </w:tc>
        <w:tc>
          <w:tcPr>
            <w:tcW w:w="1934" w:type="dxa"/>
            <w:vMerge/>
          </w:tcPr>
          <w:p w14:paraId="231EC42F" w14:textId="77777777" w:rsidR="006954C0" w:rsidRDefault="006954C0" w:rsidP="00AF6953">
            <w:pPr>
              <w:pStyle w:val="TableText0"/>
            </w:pPr>
          </w:p>
        </w:tc>
      </w:tr>
      <w:tr w:rsidR="00B939BC" w14:paraId="2603E436" w14:textId="77777777" w:rsidTr="58C81D04">
        <w:tc>
          <w:tcPr>
            <w:tcW w:w="9017" w:type="dxa"/>
            <w:gridSpan w:val="5"/>
          </w:tcPr>
          <w:p w14:paraId="13790D67" w14:textId="50C4053A" w:rsidR="00B939BC" w:rsidRPr="003A357E" w:rsidRDefault="00B939BC" w:rsidP="00AF6953">
            <w:pPr>
              <w:pStyle w:val="TableText0"/>
              <w:rPr>
                <w:b/>
                <w:bCs w:val="0"/>
              </w:rPr>
            </w:pPr>
            <w:r w:rsidRPr="003A357E">
              <w:rPr>
                <w:b/>
                <w:bCs w:val="0"/>
              </w:rPr>
              <w:t>ASCLEPIOS I</w:t>
            </w:r>
          </w:p>
        </w:tc>
      </w:tr>
      <w:tr w:rsidR="000320BC" w14:paraId="1CD5E2D5" w14:textId="77777777" w:rsidTr="00806E4D">
        <w:tc>
          <w:tcPr>
            <w:tcW w:w="1980" w:type="dxa"/>
          </w:tcPr>
          <w:p w14:paraId="2BCD99E0" w14:textId="77777777" w:rsidR="000320BC" w:rsidRDefault="000320BC" w:rsidP="00AF6953">
            <w:pPr>
              <w:pStyle w:val="TableText0"/>
            </w:pPr>
            <w:r>
              <w:t xml:space="preserve">Ofatumumab </w:t>
            </w:r>
          </w:p>
          <w:p w14:paraId="7E56C381" w14:textId="2B46FF24" w:rsidR="000320BC" w:rsidRDefault="000320BC" w:rsidP="00AF6953">
            <w:pPr>
              <w:pStyle w:val="TableText0"/>
            </w:pPr>
            <w:r>
              <w:t>N = 454</w:t>
            </w:r>
          </w:p>
        </w:tc>
        <w:tc>
          <w:tcPr>
            <w:tcW w:w="1559" w:type="dxa"/>
          </w:tcPr>
          <w:p w14:paraId="61972E89" w14:textId="6D047767" w:rsidR="000320BC" w:rsidRDefault="000320BC" w:rsidP="00AF6953">
            <w:pPr>
              <w:pStyle w:val="TableText0"/>
            </w:pPr>
            <w:r>
              <w:t>0.11 (0.09, 0.14)</w:t>
            </w:r>
          </w:p>
        </w:tc>
        <w:tc>
          <w:tcPr>
            <w:tcW w:w="1559" w:type="dxa"/>
            <w:vMerge w:val="restart"/>
          </w:tcPr>
          <w:p w14:paraId="7FE13594" w14:textId="7084A4FF" w:rsidR="000320BC" w:rsidRPr="000320BC" w:rsidRDefault="000320BC" w:rsidP="00AF6953">
            <w:pPr>
              <w:pStyle w:val="TableText0"/>
              <w:rPr>
                <w:b/>
                <w:bCs w:val="0"/>
              </w:rPr>
            </w:pPr>
            <w:r w:rsidRPr="000320BC">
              <w:rPr>
                <w:b/>
                <w:bCs w:val="0"/>
              </w:rPr>
              <w:t>0.50 (0.37, 0.65)</w:t>
            </w:r>
          </w:p>
        </w:tc>
        <w:tc>
          <w:tcPr>
            <w:tcW w:w="1985" w:type="dxa"/>
            <w:vMerge w:val="restart"/>
          </w:tcPr>
          <w:p w14:paraId="7DD1599C" w14:textId="767A3327" w:rsidR="000320BC" w:rsidRPr="000320BC" w:rsidRDefault="000320BC" w:rsidP="00AF6953">
            <w:pPr>
              <w:pStyle w:val="TableText0"/>
              <w:rPr>
                <w:b/>
                <w:bCs w:val="0"/>
              </w:rPr>
            </w:pPr>
            <w:r w:rsidRPr="000320BC">
              <w:rPr>
                <w:b/>
                <w:bCs w:val="0"/>
              </w:rPr>
              <w:t>0.65 (0.45, 0.81)</w:t>
            </w:r>
          </w:p>
        </w:tc>
        <w:tc>
          <w:tcPr>
            <w:tcW w:w="1934" w:type="dxa"/>
            <w:vMerge w:val="restart"/>
          </w:tcPr>
          <w:p w14:paraId="6367B69F" w14:textId="35047FD2" w:rsidR="000320BC" w:rsidRPr="000320BC" w:rsidRDefault="000320BC" w:rsidP="00AF6953">
            <w:pPr>
              <w:pStyle w:val="TableText0"/>
              <w:rPr>
                <w:b/>
                <w:bCs w:val="0"/>
              </w:rPr>
            </w:pPr>
            <w:r w:rsidRPr="000320BC">
              <w:rPr>
                <w:b/>
                <w:bCs w:val="0"/>
              </w:rPr>
              <w:t>0.61 (0.40, 0.93)</w:t>
            </w:r>
          </w:p>
        </w:tc>
      </w:tr>
      <w:tr w:rsidR="000320BC" w14:paraId="3C469A0A" w14:textId="77777777" w:rsidTr="00806E4D">
        <w:tc>
          <w:tcPr>
            <w:tcW w:w="1980" w:type="dxa"/>
          </w:tcPr>
          <w:p w14:paraId="1D37FBF0" w14:textId="77777777" w:rsidR="000320BC" w:rsidRDefault="000320BC" w:rsidP="00AF6953">
            <w:pPr>
              <w:pStyle w:val="TableText0"/>
            </w:pPr>
            <w:r>
              <w:t xml:space="preserve">Teriflunomide </w:t>
            </w:r>
          </w:p>
          <w:p w14:paraId="546BBC86" w14:textId="1B39026F" w:rsidR="000320BC" w:rsidRDefault="000320BC" w:rsidP="00AF6953">
            <w:pPr>
              <w:pStyle w:val="TableText0"/>
            </w:pPr>
            <w:r>
              <w:t>N = 452</w:t>
            </w:r>
          </w:p>
        </w:tc>
        <w:tc>
          <w:tcPr>
            <w:tcW w:w="1559" w:type="dxa"/>
          </w:tcPr>
          <w:p w14:paraId="442C54E5" w14:textId="2B1BB5BF" w:rsidR="000320BC" w:rsidRDefault="000320BC" w:rsidP="00AF6953">
            <w:pPr>
              <w:pStyle w:val="TableText0"/>
            </w:pPr>
            <w:r>
              <w:t>0.22 (0.18, 0.26)</w:t>
            </w:r>
          </w:p>
        </w:tc>
        <w:tc>
          <w:tcPr>
            <w:tcW w:w="1559" w:type="dxa"/>
            <w:vMerge/>
          </w:tcPr>
          <w:p w14:paraId="73C1A476" w14:textId="77777777" w:rsidR="000320BC" w:rsidRDefault="000320BC" w:rsidP="00AF6953">
            <w:pPr>
              <w:pStyle w:val="TableText0"/>
            </w:pPr>
          </w:p>
        </w:tc>
        <w:tc>
          <w:tcPr>
            <w:tcW w:w="1985" w:type="dxa"/>
            <w:vMerge/>
          </w:tcPr>
          <w:p w14:paraId="66CF49D0" w14:textId="77777777" w:rsidR="000320BC" w:rsidRDefault="000320BC" w:rsidP="00AF6953">
            <w:pPr>
              <w:pStyle w:val="TableText0"/>
            </w:pPr>
          </w:p>
        </w:tc>
        <w:tc>
          <w:tcPr>
            <w:tcW w:w="1934" w:type="dxa"/>
            <w:vMerge/>
          </w:tcPr>
          <w:p w14:paraId="394F8FA6" w14:textId="77777777" w:rsidR="000320BC" w:rsidRDefault="000320BC" w:rsidP="00AF6953">
            <w:pPr>
              <w:pStyle w:val="TableText0"/>
            </w:pPr>
          </w:p>
        </w:tc>
      </w:tr>
      <w:tr w:rsidR="00B939BC" w14:paraId="51F59979" w14:textId="77777777" w:rsidTr="58C81D04">
        <w:tc>
          <w:tcPr>
            <w:tcW w:w="9017" w:type="dxa"/>
            <w:gridSpan w:val="5"/>
          </w:tcPr>
          <w:p w14:paraId="083AC71F" w14:textId="6656228C" w:rsidR="00B939BC" w:rsidRPr="003A357E" w:rsidRDefault="00B939BC" w:rsidP="00AF6953">
            <w:pPr>
              <w:pStyle w:val="TableText0"/>
              <w:rPr>
                <w:b/>
                <w:bCs w:val="0"/>
              </w:rPr>
            </w:pPr>
            <w:r w:rsidRPr="003A357E">
              <w:rPr>
                <w:b/>
                <w:bCs w:val="0"/>
              </w:rPr>
              <w:t>ASCLEPIOS II</w:t>
            </w:r>
          </w:p>
        </w:tc>
      </w:tr>
      <w:tr w:rsidR="000320BC" w14:paraId="10EFC08C" w14:textId="77777777" w:rsidTr="00806E4D">
        <w:tc>
          <w:tcPr>
            <w:tcW w:w="1980" w:type="dxa"/>
          </w:tcPr>
          <w:p w14:paraId="2A067D7F" w14:textId="77777777" w:rsidR="000320BC" w:rsidRDefault="000320BC" w:rsidP="00AF6953">
            <w:pPr>
              <w:pStyle w:val="TableText0"/>
            </w:pPr>
            <w:r>
              <w:t xml:space="preserve">Ofatumumab </w:t>
            </w:r>
          </w:p>
          <w:p w14:paraId="560D8D0C" w14:textId="389E43C1" w:rsidR="000320BC" w:rsidRDefault="000320BC" w:rsidP="00AF6953">
            <w:pPr>
              <w:pStyle w:val="TableText0"/>
            </w:pPr>
            <w:r>
              <w:t>N = 469</w:t>
            </w:r>
          </w:p>
        </w:tc>
        <w:tc>
          <w:tcPr>
            <w:tcW w:w="1559" w:type="dxa"/>
          </w:tcPr>
          <w:p w14:paraId="60E8FA3F" w14:textId="61967DF5" w:rsidR="000320BC" w:rsidRDefault="000320BC" w:rsidP="00AF6953">
            <w:pPr>
              <w:pStyle w:val="TableText0"/>
            </w:pPr>
            <w:r>
              <w:t>0.11 (0.08, 0.13)</w:t>
            </w:r>
          </w:p>
        </w:tc>
        <w:tc>
          <w:tcPr>
            <w:tcW w:w="1559" w:type="dxa"/>
            <w:vMerge w:val="restart"/>
          </w:tcPr>
          <w:p w14:paraId="64D52A83" w14:textId="642B0BDD" w:rsidR="000320BC" w:rsidRPr="000320BC" w:rsidRDefault="000320BC" w:rsidP="00AF6953">
            <w:pPr>
              <w:pStyle w:val="TableText0"/>
              <w:rPr>
                <w:b/>
                <w:bCs w:val="0"/>
              </w:rPr>
            </w:pPr>
            <w:r w:rsidRPr="000320BC">
              <w:rPr>
                <w:b/>
                <w:bCs w:val="0"/>
              </w:rPr>
              <w:t>0.42 (0.31, 0.56)</w:t>
            </w:r>
          </w:p>
        </w:tc>
        <w:tc>
          <w:tcPr>
            <w:tcW w:w="1985" w:type="dxa"/>
            <w:vMerge w:val="restart"/>
          </w:tcPr>
          <w:p w14:paraId="60CCC572" w14:textId="4B13ACE8" w:rsidR="000320BC" w:rsidRPr="000320BC" w:rsidRDefault="000320BC" w:rsidP="00AF6953">
            <w:pPr>
              <w:pStyle w:val="TableText0"/>
              <w:rPr>
                <w:b/>
                <w:bCs w:val="0"/>
              </w:rPr>
            </w:pPr>
            <w:r w:rsidRPr="000320BC">
              <w:rPr>
                <w:b/>
                <w:bCs w:val="0"/>
              </w:rPr>
              <w:t>0.66 (0.45, 0.97)</w:t>
            </w:r>
          </w:p>
        </w:tc>
        <w:tc>
          <w:tcPr>
            <w:tcW w:w="1934" w:type="dxa"/>
            <w:vMerge w:val="restart"/>
          </w:tcPr>
          <w:p w14:paraId="2ABF88CC" w14:textId="03B8C32C" w:rsidR="000320BC" w:rsidRDefault="000320BC" w:rsidP="00AF6953">
            <w:pPr>
              <w:pStyle w:val="TableText0"/>
            </w:pPr>
            <w:r>
              <w:t>0.76 (0.49, 1.17)</w:t>
            </w:r>
          </w:p>
        </w:tc>
      </w:tr>
      <w:tr w:rsidR="000320BC" w14:paraId="6E273B44" w14:textId="77777777" w:rsidTr="00806E4D">
        <w:tc>
          <w:tcPr>
            <w:tcW w:w="1980" w:type="dxa"/>
          </w:tcPr>
          <w:p w14:paraId="3AE4E925" w14:textId="77777777" w:rsidR="000320BC" w:rsidRDefault="000320BC" w:rsidP="00AF6953">
            <w:pPr>
              <w:pStyle w:val="TableText0"/>
            </w:pPr>
            <w:r>
              <w:t xml:space="preserve">Teriflunomide </w:t>
            </w:r>
          </w:p>
          <w:p w14:paraId="58BA6472" w14:textId="4F187CCA" w:rsidR="000320BC" w:rsidRDefault="000320BC" w:rsidP="00AF6953">
            <w:pPr>
              <w:pStyle w:val="TableText0"/>
            </w:pPr>
            <w:r>
              <w:t>N = 469</w:t>
            </w:r>
          </w:p>
        </w:tc>
        <w:tc>
          <w:tcPr>
            <w:tcW w:w="1559" w:type="dxa"/>
          </w:tcPr>
          <w:p w14:paraId="01AC3BFD" w14:textId="3B5AE8BE" w:rsidR="000320BC" w:rsidRDefault="000320BC" w:rsidP="00AF6953">
            <w:pPr>
              <w:pStyle w:val="TableText0"/>
            </w:pPr>
            <w:r>
              <w:t>0.25 (0.21, 0.30)</w:t>
            </w:r>
          </w:p>
        </w:tc>
        <w:tc>
          <w:tcPr>
            <w:tcW w:w="1559" w:type="dxa"/>
            <w:vMerge/>
          </w:tcPr>
          <w:p w14:paraId="478612D4" w14:textId="77777777" w:rsidR="000320BC" w:rsidRDefault="000320BC" w:rsidP="00AF6953">
            <w:pPr>
              <w:pStyle w:val="TableText0"/>
            </w:pPr>
          </w:p>
        </w:tc>
        <w:tc>
          <w:tcPr>
            <w:tcW w:w="1985" w:type="dxa"/>
            <w:vMerge/>
          </w:tcPr>
          <w:p w14:paraId="7D8D3883" w14:textId="77777777" w:rsidR="000320BC" w:rsidRDefault="000320BC" w:rsidP="00AF6953">
            <w:pPr>
              <w:pStyle w:val="TableText0"/>
            </w:pPr>
          </w:p>
        </w:tc>
        <w:tc>
          <w:tcPr>
            <w:tcW w:w="1934" w:type="dxa"/>
            <w:vMerge/>
          </w:tcPr>
          <w:p w14:paraId="2DBE0735" w14:textId="77777777" w:rsidR="000320BC" w:rsidRDefault="000320BC" w:rsidP="00AF6953">
            <w:pPr>
              <w:pStyle w:val="TableText0"/>
            </w:pPr>
          </w:p>
        </w:tc>
      </w:tr>
      <w:tr w:rsidR="00B939BC" w14:paraId="225D8980" w14:textId="77777777" w:rsidTr="00806E4D">
        <w:tc>
          <w:tcPr>
            <w:tcW w:w="1980" w:type="dxa"/>
          </w:tcPr>
          <w:p w14:paraId="721996B0" w14:textId="0A92716A" w:rsidR="00B939BC" w:rsidRDefault="00FF1966" w:rsidP="00AF6953">
            <w:pPr>
              <w:pStyle w:val="TableText0"/>
            </w:pPr>
            <w:r>
              <w:t xml:space="preserve">Pooled </w:t>
            </w:r>
            <w:r w:rsidR="00AF6953">
              <w:t>ULTIMATE I/II</w:t>
            </w:r>
          </w:p>
        </w:tc>
        <w:tc>
          <w:tcPr>
            <w:tcW w:w="1559" w:type="dxa"/>
          </w:tcPr>
          <w:p w14:paraId="5AB6C8DC" w14:textId="6A653DAD" w:rsidR="00B939BC" w:rsidRDefault="00AF6953" w:rsidP="00AF6953">
            <w:pPr>
              <w:pStyle w:val="TableText0"/>
            </w:pPr>
            <w:r>
              <w:t>-</w:t>
            </w:r>
          </w:p>
        </w:tc>
        <w:tc>
          <w:tcPr>
            <w:tcW w:w="1559" w:type="dxa"/>
          </w:tcPr>
          <w:p w14:paraId="3144818E" w14:textId="5A46158C" w:rsidR="00B939BC" w:rsidRPr="000320BC" w:rsidRDefault="00AF6953" w:rsidP="00AF6953">
            <w:pPr>
              <w:pStyle w:val="TableText0"/>
              <w:rPr>
                <w:b/>
                <w:bCs w:val="0"/>
              </w:rPr>
            </w:pPr>
            <w:r w:rsidRPr="000320BC">
              <w:rPr>
                <w:b/>
                <w:bCs w:val="0"/>
              </w:rPr>
              <w:t>0.45 (0.34, 0.61)</w:t>
            </w:r>
          </w:p>
        </w:tc>
        <w:tc>
          <w:tcPr>
            <w:tcW w:w="1985" w:type="dxa"/>
          </w:tcPr>
          <w:p w14:paraId="2C2AF210" w14:textId="66F68125" w:rsidR="00B939BC" w:rsidRDefault="006954C0" w:rsidP="00AF6953">
            <w:pPr>
              <w:pStyle w:val="TableText0"/>
            </w:pPr>
            <w:r>
              <w:t>0.8</w:t>
            </w:r>
            <w:r w:rsidR="000320BC">
              <w:t>4</w:t>
            </w:r>
            <w:r>
              <w:t xml:space="preserve"> (0.5</w:t>
            </w:r>
            <w:r w:rsidR="000320BC">
              <w:t>0</w:t>
            </w:r>
            <w:r>
              <w:t>, 1.4</w:t>
            </w:r>
            <w:r w:rsidR="000320BC">
              <w:t>1</w:t>
            </w:r>
            <w:r>
              <w:t>)</w:t>
            </w:r>
          </w:p>
        </w:tc>
        <w:tc>
          <w:tcPr>
            <w:tcW w:w="1934" w:type="dxa"/>
          </w:tcPr>
          <w:p w14:paraId="0695229D" w14:textId="6A231165" w:rsidR="00B939BC" w:rsidRDefault="006954C0" w:rsidP="00AF6953">
            <w:pPr>
              <w:pStyle w:val="TableText0"/>
            </w:pPr>
            <w:r>
              <w:t>0.6</w:t>
            </w:r>
            <w:r w:rsidR="000320BC">
              <w:t>6</w:t>
            </w:r>
            <w:r>
              <w:t xml:space="preserve"> (0.3</w:t>
            </w:r>
            <w:r w:rsidR="000320BC">
              <w:t>6</w:t>
            </w:r>
            <w:r>
              <w:t>, 1.2</w:t>
            </w:r>
            <w:r w:rsidR="000320BC">
              <w:t>0</w:t>
            </w:r>
            <w:r>
              <w:t>)</w:t>
            </w:r>
          </w:p>
        </w:tc>
      </w:tr>
      <w:tr w:rsidR="00AF6953" w14:paraId="5D0C0C39" w14:textId="77777777" w:rsidTr="00806E4D">
        <w:tc>
          <w:tcPr>
            <w:tcW w:w="1980" w:type="dxa"/>
          </w:tcPr>
          <w:p w14:paraId="7970AA45" w14:textId="2EC7C6BD" w:rsidR="00AF6953" w:rsidRDefault="00AF6953" w:rsidP="00AF6953">
            <w:pPr>
              <w:pStyle w:val="TableText0"/>
            </w:pPr>
            <w:r>
              <w:t>Pooled ASCLEPIOS I/II</w:t>
            </w:r>
          </w:p>
        </w:tc>
        <w:tc>
          <w:tcPr>
            <w:tcW w:w="1559" w:type="dxa"/>
          </w:tcPr>
          <w:p w14:paraId="724110CD" w14:textId="48FBF335" w:rsidR="00AF6953" w:rsidRDefault="00AF6953" w:rsidP="00AF6953">
            <w:pPr>
              <w:pStyle w:val="TableText0"/>
            </w:pPr>
            <w:r>
              <w:t>-</w:t>
            </w:r>
          </w:p>
        </w:tc>
        <w:tc>
          <w:tcPr>
            <w:tcW w:w="1559" w:type="dxa"/>
          </w:tcPr>
          <w:p w14:paraId="452E6C5A" w14:textId="473BAE9A" w:rsidR="00AF6953" w:rsidRPr="000320BC" w:rsidRDefault="00AF6953" w:rsidP="00AF6953">
            <w:pPr>
              <w:pStyle w:val="TableText0"/>
              <w:rPr>
                <w:b/>
                <w:bCs w:val="0"/>
              </w:rPr>
            </w:pPr>
            <w:r w:rsidRPr="000320BC">
              <w:rPr>
                <w:b/>
                <w:bCs w:val="0"/>
              </w:rPr>
              <w:t>0.46 (0.38, 0.57)</w:t>
            </w:r>
          </w:p>
        </w:tc>
        <w:tc>
          <w:tcPr>
            <w:tcW w:w="1985" w:type="dxa"/>
          </w:tcPr>
          <w:p w14:paraId="20FF977B" w14:textId="5BD0875F" w:rsidR="00AF6953" w:rsidRPr="000320BC" w:rsidRDefault="000320BC" w:rsidP="00AF6953">
            <w:pPr>
              <w:pStyle w:val="TableText0"/>
              <w:rPr>
                <w:b/>
                <w:bCs w:val="0"/>
              </w:rPr>
            </w:pPr>
            <w:r w:rsidRPr="000320BC">
              <w:rPr>
                <w:b/>
                <w:bCs w:val="0"/>
              </w:rPr>
              <w:t>0.66 (0.50, 0.86)</w:t>
            </w:r>
          </w:p>
        </w:tc>
        <w:tc>
          <w:tcPr>
            <w:tcW w:w="1934" w:type="dxa"/>
          </w:tcPr>
          <w:p w14:paraId="08631AE9" w14:textId="15009AD1" w:rsidR="00AF6953" w:rsidRPr="000320BC" w:rsidRDefault="000320BC" w:rsidP="00AF6953">
            <w:pPr>
              <w:pStyle w:val="TableText0"/>
              <w:rPr>
                <w:b/>
                <w:bCs w:val="0"/>
              </w:rPr>
            </w:pPr>
            <w:r w:rsidRPr="000320BC">
              <w:rPr>
                <w:b/>
                <w:bCs w:val="0"/>
              </w:rPr>
              <w:t>0.68 (0.50, 0.92)</w:t>
            </w:r>
          </w:p>
        </w:tc>
      </w:tr>
      <w:tr w:rsidR="00AF6953" w14:paraId="4F0452E6" w14:textId="77777777" w:rsidTr="00A55510">
        <w:trPr>
          <w:trHeight w:val="567"/>
        </w:trPr>
        <w:tc>
          <w:tcPr>
            <w:tcW w:w="1980" w:type="dxa"/>
            <w:vAlign w:val="center"/>
          </w:tcPr>
          <w:p w14:paraId="23A78F04" w14:textId="2E2B9B3A" w:rsidR="000B7C38" w:rsidRPr="0023616E" w:rsidRDefault="00AF6953" w:rsidP="00806E4D">
            <w:pPr>
              <w:pStyle w:val="TableText0"/>
            </w:pPr>
            <w:r w:rsidRPr="58C81D04">
              <w:t xml:space="preserve">ITC </w:t>
            </w:r>
            <w:proofErr w:type="spellStart"/>
            <w:r w:rsidR="006954C0" w:rsidRPr="58C81D04">
              <w:t>Ubli</w:t>
            </w:r>
            <w:proofErr w:type="spellEnd"/>
            <w:r w:rsidR="006954C0" w:rsidRPr="58C81D04">
              <w:t>/Ofa</w:t>
            </w:r>
          </w:p>
        </w:tc>
        <w:tc>
          <w:tcPr>
            <w:tcW w:w="1559" w:type="dxa"/>
          </w:tcPr>
          <w:p w14:paraId="6E2647A5" w14:textId="77777777" w:rsidR="00AF6953" w:rsidRPr="0023616E" w:rsidRDefault="00AF6953" w:rsidP="0023616E">
            <w:pPr>
              <w:pStyle w:val="TableText0"/>
            </w:pPr>
          </w:p>
        </w:tc>
        <w:tc>
          <w:tcPr>
            <w:tcW w:w="1559" w:type="dxa"/>
            <w:vAlign w:val="center"/>
          </w:tcPr>
          <w:p w14:paraId="4D9771D0" w14:textId="5FB1FAE0" w:rsidR="00AF6953" w:rsidRPr="0023616E" w:rsidRDefault="006954C0" w:rsidP="00806E4D">
            <w:pPr>
              <w:pStyle w:val="TableText0"/>
            </w:pPr>
            <w:r w:rsidRPr="0023616E">
              <w:t>0.98 (0.68, 1.40)</w:t>
            </w:r>
          </w:p>
        </w:tc>
        <w:tc>
          <w:tcPr>
            <w:tcW w:w="1985" w:type="dxa"/>
            <w:vAlign w:val="center"/>
          </w:tcPr>
          <w:p w14:paraId="45F60F8E" w14:textId="6CF53AB8" w:rsidR="00AF6953" w:rsidRPr="0023616E" w:rsidRDefault="000320BC" w:rsidP="00806E4D">
            <w:pPr>
              <w:pStyle w:val="TableText0"/>
            </w:pPr>
            <w:r w:rsidRPr="0023616E">
              <w:t>1.29 (0.72, 2.30)</w:t>
            </w:r>
          </w:p>
        </w:tc>
        <w:tc>
          <w:tcPr>
            <w:tcW w:w="1934" w:type="dxa"/>
            <w:vAlign w:val="center"/>
          </w:tcPr>
          <w:p w14:paraId="0BBF9002" w14:textId="5B4B6281" w:rsidR="00AF6953" w:rsidRPr="0023616E" w:rsidRDefault="000320BC" w:rsidP="00806E4D">
            <w:pPr>
              <w:pStyle w:val="TableText0"/>
            </w:pPr>
            <w:r w:rsidRPr="0023616E">
              <w:t>0.97 (0.49, 1.92)</w:t>
            </w:r>
          </w:p>
        </w:tc>
      </w:tr>
    </w:tbl>
    <w:p w14:paraId="06E23B34" w14:textId="046AB4B6" w:rsidR="007434D0" w:rsidRPr="007434D0" w:rsidRDefault="006954C0" w:rsidP="006D1C2F">
      <w:pPr>
        <w:pStyle w:val="TableFigureFooter"/>
      </w:pPr>
      <w:r w:rsidRPr="58C81D04">
        <w:t>Source: Table</w:t>
      </w:r>
      <w:r w:rsidR="000320BC" w:rsidRPr="58C81D04">
        <w:t>s</w:t>
      </w:r>
      <w:r w:rsidRPr="58C81D04">
        <w:t xml:space="preserve"> 2-27, pp115-116; </w:t>
      </w:r>
      <w:r w:rsidR="000320BC" w:rsidRPr="58C81D04">
        <w:t xml:space="preserve">2-29, pp118-119; 2-30, pp119-120; </w:t>
      </w:r>
      <w:r w:rsidRPr="58C81D04">
        <w:t>2-37, p133 of the submission.</w:t>
      </w:r>
      <w:r w:rsidR="000320BC" w:rsidRPr="58C81D04">
        <w:t xml:space="preserve"> ARR = annualised relapse rate; </w:t>
      </w:r>
      <w:r w:rsidR="0076365D" w:rsidRPr="58C81D04">
        <w:t>CDP = confirmed dis</w:t>
      </w:r>
      <w:r w:rsidR="00D7592F" w:rsidRPr="58C81D04">
        <w:t>ability</w:t>
      </w:r>
      <w:r w:rsidR="0076365D" w:rsidRPr="58C81D04">
        <w:t xml:space="preserve"> progression; CI = confidence interval; Ofa = ofatumumab; </w:t>
      </w:r>
      <w:proofErr w:type="spellStart"/>
      <w:r w:rsidR="0076365D" w:rsidRPr="58C81D04">
        <w:t>Ubli</w:t>
      </w:r>
      <w:proofErr w:type="spellEnd"/>
      <w:r w:rsidR="0076365D" w:rsidRPr="58C81D04">
        <w:t xml:space="preserve"> = </w:t>
      </w:r>
      <w:proofErr w:type="spellStart"/>
      <w:r w:rsidR="0076365D" w:rsidRPr="58C81D04">
        <w:t>ublitux</w:t>
      </w:r>
      <w:r w:rsidR="00E158CA">
        <w:t>i</w:t>
      </w:r>
      <w:r w:rsidR="0076365D" w:rsidRPr="58C81D04">
        <w:t>mab</w:t>
      </w:r>
      <w:proofErr w:type="spellEnd"/>
      <w:r w:rsidR="0076365D" w:rsidRPr="58C81D04">
        <w:t xml:space="preserve">. </w:t>
      </w:r>
    </w:p>
    <w:p w14:paraId="14214920" w14:textId="6FA0B7CD" w:rsidR="00DA3167" w:rsidRPr="0043575D" w:rsidRDefault="000842D3" w:rsidP="58C81D04">
      <w:pPr>
        <w:pStyle w:val="3-BodyText"/>
        <w:rPr>
          <w:color w:val="000000" w:themeColor="text1"/>
        </w:rPr>
      </w:pPr>
      <w:r w:rsidRPr="0043575D">
        <w:rPr>
          <w:color w:val="000000" w:themeColor="text1"/>
        </w:rPr>
        <w:t>The indirect treatment comparison of ublitux</w:t>
      </w:r>
      <w:r w:rsidR="0061086C" w:rsidRPr="0043575D">
        <w:rPr>
          <w:color w:val="000000" w:themeColor="text1"/>
        </w:rPr>
        <w:t>i</w:t>
      </w:r>
      <w:r w:rsidRPr="0043575D">
        <w:rPr>
          <w:color w:val="000000" w:themeColor="text1"/>
        </w:rPr>
        <w:t>mab versus ocrelizumab via teriflunomide and interferon beta is shown in</w:t>
      </w:r>
      <w:r w:rsidR="0010534F" w:rsidRPr="0043575D">
        <w:rPr>
          <w:color w:val="000000" w:themeColor="text1"/>
        </w:rPr>
        <w:t xml:space="preserve"> </w:t>
      </w:r>
      <w:r w:rsidR="0010534F" w:rsidRPr="0043575D">
        <w:rPr>
          <w:color w:val="000000" w:themeColor="text1"/>
        </w:rPr>
        <w:fldChar w:fldCharType="begin"/>
      </w:r>
      <w:r w:rsidR="0010534F" w:rsidRPr="0043575D">
        <w:rPr>
          <w:color w:val="000000" w:themeColor="text1"/>
        </w:rPr>
        <w:instrText xml:space="preserve"> REF _Ref190520035 \h </w:instrText>
      </w:r>
      <w:r w:rsidR="0043575D" w:rsidRPr="0043575D">
        <w:rPr>
          <w:color w:val="000000" w:themeColor="text1"/>
        </w:rPr>
        <w:instrText xml:space="preserve"> \* MERGEFORMAT </w:instrText>
      </w:r>
      <w:r w:rsidR="0010534F" w:rsidRPr="0043575D">
        <w:rPr>
          <w:color w:val="000000" w:themeColor="text1"/>
        </w:rPr>
      </w:r>
      <w:r w:rsidR="0010534F" w:rsidRPr="0043575D">
        <w:rPr>
          <w:color w:val="000000" w:themeColor="text1"/>
        </w:rPr>
        <w:fldChar w:fldCharType="separate"/>
      </w:r>
      <w:r w:rsidR="00D925D4" w:rsidRPr="58C81D04">
        <w:t xml:space="preserve">Table </w:t>
      </w:r>
      <w:r w:rsidR="00D925D4">
        <w:rPr>
          <w:noProof/>
        </w:rPr>
        <w:t>7</w:t>
      </w:r>
      <w:r w:rsidR="0010534F" w:rsidRPr="0043575D">
        <w:rPr>
          <w:color w:val="000000" w:themeColor="text1"/>
        </w:rPr>
        <w:fldChar w:fldCharType="end"/>
      </w:r>
      <w:r w:rsidR="0010534F" w:rsidRPr="0043575D">
        <w:rPr>
          <w:color w:val="000000" w:themeColor="text1"/>
        </w:rPr>
        <w:t>.</w:t>
      </w:r>
      <w:r w:rsidRPr="0043575D">
        <w:rPr>
          <w:color w:val="000000" w:themeColor="text1"/>
        </w:rPr>
        <w:t xml:space="preserve"> The submission presented only annualised relapse rate data for this comparison</w:t>
      </w:r>
      <w:r w:rsidR="000B7C38" w:rsidRPr="0043575D">
        <w:rPr>
          <w:color w:val="000000" w:themeColor="text1"/>
        </w:rPr>
        <w:t xml:space="preserve"> (TENERE did not report results for confirmed dis</w:t>
      </w:r>
      <w:r w:rsidR="00BB627A" w:rsidRPr="0043575D">
        <w:rPr>
          <w:color w:val="000000" w:themeColor="text1"/>
        </w:rPr>
        <w:t>ability</w:t>
      </w:r>
      <w:r w:rsidR="000B7C38" w:rsidRPr="0043575D">
        <w:rPr>
          <w:color w:val="000000" w:themeColor="text1"/>
        </w:rPr>
        <w:t xml:space="preserve"> progression)</w:t>
      </w:r>
      <w:r w:rsidR="00A16518" w:rsidRPr="0043575D">
        <w:rPr>
          <w:color w:val="000000" w:themeColor="text1"/>
        </w:rPr>
        <w:t xml:space="preserve">. </w:t>
      </w:r>
      <w:r w:rsidR="003F01A6" w:rsidRPr="0043575D">
        <w:rPr>
          <w:color w:val="000000" w:themeColor="text1"/>
        </w:rPr>
        <w:t xml:space="preserve">Although the submission stated that it reported </w:t>
      </w:r>
      <w:r w:rsidR="009C0A3B" w:rsidRPr="0043575D">
        <w:rPr>
          <w:color w:val="000000" w:themeColor="text1"/>
        </w:rPr>
        <w:t>"[t]</w:t>
      </w:r>
      <w:r w:rsidR="003F01A6" w:rsidRPr="0043575D">
        <w:t xml:space="preserve">he results of each stepwise comparison used to provide the multistep indirect </w:t>
      </w:r>
      <w:r w:rsidR="003F01A6" w:rsidRPr="0043575D">
        <w:lastRenderedPageBreak/>
        <w:t xml:space="preserve">ublituximab vs. ocrelizumab comparison" the </w:t>
      </w:r>
      <w:r w:rsidR="00A16CFF" w:rsidRPr="0043575D">
        <w:t>estimate</w:t>
      </w:r>
      <w:r w:rsidR="00FF1966" w:rsidRPr="0043575D">
        <w:t xml:space="preserve">s for the </w:t>
      </w:r>
      <w:r w:rsidR="003F01A6" w:rsidRPr="0043575D">
        <w:t xml:space="preserve">comparison of </w:t>
      </w:r>
      <w:r w:rsidR="00E22FCF" w:rsidRPr="0043575D">
        <w:t>ocrelizumab</w:t>
      </w:r>
      <w:r w:rsidR="003F01A6" w:rsidRPr="0043575D">
        <w:t xml:space="preserve"> and teriflunomide w</w:t>
      </w:r>
      <w:r w:rsidR="00FF1966" w:rsidRPr="0043575D">
        <w:t>ere</w:t>
      </w:r>
      <w:r w:rsidR="003F01A6" w:rsidRPr="0043575D">
        <w:t xml:space="preserve"> not </w:t>
      </w:r>
      <w:r w:rsidR="00FF1966" w:rsidRPr="0043575D">
        <w:t>provided</w:t>
      </w:r>
      <w:r w:rsidR="003F01A6" w:rsidRPr="0043575D">
        <w:t xml:space="preserve">. </w:t>
      </w:r>
    </w:p>
    <w:p w14:paraId="316B0C68" w14:textId="3A6DB0DE" w:rsidR="000842D3" w:rsidRDefault="0010534F" w:rsidP="0010534F">
      <w:pPr>
        <w:pStyle w:val="Caption"/>
      </w:pPr>
      <w:bookmarkStart w:id="38" w:name="_Ref190520035"/>
      <w:r w:rsidRPr="58C81D04">
        <w:t xml:space="preserve">Table </w:t>
      </w:r>
      <w:r>
        <w:fldChar w:fldCharType="begin"/>
      </w:r>
      <w:r>
        <w:instrText xml:space="preserve"> SEQ Table \* ARABIC </w:instrText>
      </w:r>
      <w:r>
        <w:fldChar w:fldCharType="separate"/>
      </w:r>
      <w:r w:rsidR="00D925D4">
        <w:rPr>
          <w:noProof/>
        </w:rPr>
        <w:t>7</w:t>
      </w:r>
      <w:r>
        <w:rPr>
          <w:noProof/>
        </w:rPr>
        <w:fldChar w:fldCharType="end"/>
      </w:r>
      <w:bookmarkEnd w:id="38"/>
      <w:r w:rsidRPr="58C81D04">
        <w:t xml:space="preserve">: </w:t>
      </w:r>
      <w:r w:rsidR="000842D3" w:rsidRPr="58C81D04">
        <w:t>ITC ublitux</w:t>
      </w:r>
      <w:r w:rsidR="0061086C" w:rsidRPr="58C81D04">
        <w:t>i</w:t>
      </w:r>
      <w:r w:rsidR="000842D3" w:rsidRPr="58C81D04">
        <w:t>mab vs ocrelizumab</w:t>
      </w:r>
    </w:p>
    <w:tbl>
      <w:tblPr>
        <w:tblStyle w:val="TableGrid"/>
        <w:tblW w:w="0" w:type="auto"/>
        <w:tblLook w:val="04A0" w:firstRow="1" w:lastRow="0" w:firstColumn="1" w:lastColumn="0" w:noHBand="0" w:noVBand="1"/>
      </w:tblPr>
      <w:tblGrid>
        <w:gridCol w:w="3005"/>
        <w:gridCol w:w="3006"/>
        <w:gridCol w:w="3006"/>
      </w:tblGrid>
      <w:tr w:rsidR="000842D3" w14:paraId="3BA53016" w14:textId="77777777" w:rsidTr="58C81D04">
        <w:tc>
          <w:tcPr>
            <w:tcW w:w="3005" w:type="dxa"/>
          </w:tcPr>
          <w:p w14:paraId="6942E3D6" w14:textId="77777777" w:rsidR="000842D3" w:rsidRDefault="000842D3" w:rsidP="000842D3">
            <w:pPr>
              <w:pStyle w:val="TableFigureHeading"/>
            </w:pPr>
          </w:p>
        </w:tc>
        <w:tc>
          <w:tcPr>
            <w:tcW w:w="3006" w:type="dxa"/>
          </w:tcPr>
          <w:p w14:paraId="462B881F" w14:textId="55CEF44A" w:rsidR="000842D3" w:rsidRDefault="000842D3" w:rsidP="000842D3">
            <w:pPr>
              <w:pStyle w:val="TableFigureHeading"/>
            </w:pPr>
            <w:r>
              <w:t>ARR (95% CI)</w:t>
            </w:r>
          </w:p>
        </w:tc>
        <w:tc>
          <w:tcPr>
            <w:tcW w:w="3006" w:type="dxa"/>
          </w:tcPr>
          <w:p w14:paraId="0F11DF03" w14:textId="75872454" w:rsidR="000842D3" w:rsidRDefault="000842D3" w:rsidP="000842D3">
            <w:pPr>
              <w:pStyle w:val="TableFigureHeading"/>
            </w:pPr>
            <w:r>
              <w:t>ARR ratio (95% CI)</w:t>
            </w:r>
          </w:p>
        </w:tc>
      </w:tr>
      <w:tr w:rsidR="000B7C38" w14:paraId="192DC642" w14:textId="77777777" w:rsidTr="58C81D04">
        <w:tc>
          <w:tcPr>
            <w:tcW w:w="9017" w:type="dxa"/>
            <w:gridSpan w:val="3"/>
          </w:tcPr>
          <w:p w14:paraId="36529513" w14:textId="0F157ED8" w:rsidR="000B7C38" w:rsidRDefault="000B7C38" w:rsidP="003F01A6">
            <w:pPr>
              <w:pStyle w:val="TableText0"/>
            </w:pPr>
            <w:r>
              <w:t>TENERE</w:t>
            </w:r>
          </w:p>
        </w:tc>
      </w:tr>
      <w:tr w:rsidR="000B7C38" w14:paraId="1C983066" w14:textId="77777777" w:rsidTr="58C81D04">
        <w:tc>
          <w:tcPr>
            <w:tcW w:w="3005" w:type="dxa"/>
          </w:tcPr>
          <w:p w14:paraId="6C092286" w14:textId="77777777" w:rsidR="000B7C38" w:rsidRDefault="000B7C38" w:rsidP="003F01A6">
            <w:pPr>
              <w:pStyle w:val="TableText0"/>
            </w:pPr>
            <w:r>
              <w:t xml:space="preserve">Teriflunomide </w:t>
            </w:r>
          </w:p>
          <w:p w14:paraId="0C1B88FA" w14:textId="27DF1F70" w:rsidR="000B7C38" w:rsidRDefault="000B7C38" w:rsidP="003F01A6">
            <w:pPr>
              <w:pStyle w:val="TableText0"/>
            </w:pPr>
            <w:r>
              <w:t>N = 111</w:t>
            </w:r>
          </w:p>
        </w:tc>
        <w:tc>
          <w:tcPr>
            <w:tcW w:w="3006" w:type="dxa"/>
          </w:tcPr>
          <w:p w14:paraId="17629EBD" w14:textId="5C79CA54" w:rsidR="000B7C38" w:rsidRPr="0061086C" w:rsidRDefault="000B7C38" w:rsidP="003F01A6">
            <w:pPr>
              <w:pStyle w:val="TableText0"/>
            </w:pPr>
            <w:r w:rsidRPr="0061086C">
              <w:t>0.26 (0.15, 0.44)</w:t>
            </w:r>
          </w:p>
        </w:tc>
        <w:tc>
          <w:tcPr>
            <w:tcW w:w="3006" w:type="dxa"/>
            <w:vMerge w:val="restart"/>
          </w:tcPr>
          <w:p w14:paraId="3D7069D0" w14:textId="629B4E28" w:rsidR="000B7C38" w:rsidRDefault="000B7C38" w:rsidP="003F01A6">
            <w:pPr>
              <w:pStyle w:val="TableText0"/>
            </w:pPr>
            <w:r>
              <w:t>1.20 (0.62, 2.30)</w:t>
            </w:r>
          </w:p>
        </w:tc>
      </w:tr>
      <w:tr w:rsidR="000B7C38" w14:paraId="6C41AB4E" w14:textId="77777777" w:rsidTr="58C81D04">
        <w:tc>
          <w:tcPr>
            <w:tcW w:w="3005" w:type="dxa"/>
          </w:tcPr>
          <w:p w14:paraId="0A9F3855" w14:textId="77777777" w:rsidR="000B7C38" w:rsidRDefault="000B7C38" w:rsidP="003F01A6">
            <w:pPr>
              <w:pStyle w:val="TableText0"/>
            </w:pPr>
            <w:r>
              <w:t>Interferon beta</w:t>
            </w:r>
          </w:p>
          <w:p w14:paraId="158578BF" w14:textId="4D30ACA6" w:rsidR="000B7C38" w:rsidRDefault="000B7C38" w:rsidP="003F01A6">
            <w:pPr>
              <w:pStyle w:val="TableText0"/>
            </w:pPr>
            <w:r>
              <w:t>N = 104</w:t>
            </w:r>
          </w:p>
        </w:tc>
        <w:tc>
          <w:tcPr>
            <w:tcW w:w="3006" w:type="dxa"/>
          </w:tcPr>
          <w:p w14:paraId="3C75FA00" w14:textId="02FD1571" w:rsidR="000B7C38" w:rsidRPr="0061086C" w:rsidRDefault="000B7C38" w:rsidP="003F01A6">
            <w:pPr>
              <w:pStyle w:val="TableText0"/>
            </w:pPr>
            <w:r w:rsidRPr="0061086C">
              <w:t>0.22 (0.11, 0.42)</w:t>
            </w:r>
          </w:p>
        </w:tc>
        <w:tc>
          <w:tcPr>
            <w:tcW w:w="3006" w:type="dxa"/>
            <w:vMerge/>
          </w:tcPr>
          <w:p w14:paraId="150497D6" w14:textId="77777777" w:rsidR="000B7C38" w:rsidRDefault="000B7C38" w:rsidP="003F01A6">
            <w:pPr>
              <w:pStyle w:val="TableText0"/>
            </w:pPr>
          </w:p>
        </w:tc>
      </w:tr>
      <w:tr w:rsidR="000B7C38" w14:paraId="215B2708" w14:textId="77777777" w:rsidTr="58C81D04">
        <w:tc>
          <w:tcPr>
            <w:tcW w:w="9017" w:type="dxa"/>
            <w:gridSpan w:val="3"/>
          </w:tcPr>
          <w:p w14:paraId="4EE77AB4" w14:textId="656FD829" w:rsidR="000B7C38" w:rsidRDefault="000B7C38" w:rsidP="003F01A6">
            <w:pPr>
              <w:pStyle w:val="TableText0"/>
            </w:pPr>
            <w:r>
              <w:t>OPERA I</w:t>
            </w:r>
          </w:p>
        </w:tc>
      </w:tr>
      <w:tr w:rsidR="000B7C38" w14:paraId="73ACA1B8" w14:textId="77777777" w:rsidTr="58C81D04">
        <w:tc>
          <w:tcPr>
            <w:tcW w:w="3005" w:type="dxa"/>
          </w:tcPr>
          <w:p w14:paraId="0FECB998" w14:textId="18315F57" w:rsidR="000B7C38" w:rsidRDefault="000B7C38" w:rsidP="003F01A6">
            <w:pPr>
              <w:pStyle w:val="TableText0"/>
            </w:pPr>
            <w:r>
              <w:t>Ocrelizumab</w:t>
            </w:r>
          </w:p>
          <w:p w14:paraId="40F51700" w14:textId="15590C60" w:rsidR="000B7C38" w:rsidRDefault="000B7C38" w:rsidP="003F01A6">
            <w:pPr>
              <w:pStyle w:val="TableText0"/>
            </w:pPr>
            <w:r>
              <w:t>N = 410</w:t>
            </w:r>
          </w:p>
        </w:tc>
        <w:tc>
          <w:tcPr>
            <w:tcW w:w="3006" w:type="dxa"/>
          </w:tcPr>
          <w:p w14:paraId="15804494" w14:textId="4EB2329A" w:rsidR="000B7C38" w:rsidRDefault="000B7C38" w:rsidP="003F01A6">
            <w:pPr>
              <w:pStyle w:val="TableText0"/>
            </w:pPr>
            <w:r>
              <w:t>0.16 (0.12, 0.20)</w:t>
            </w:r>
          </w:p>
        </w:tc>
        <w:tc>
          <w:tcPr>
            <w:tcW w:w="3006" w:type="dxa"/>
            <w:vMerge w:val="restart"/>
          </w:tcPr>
          <w:p w14:paraId="74D3929E" w14:textId="17C25118" w:rsidR="000B7C38" w:rsidRPr="0061086C" w:rsidRDefault="000B7C38" w:rsidP="003F01A6">
            <w:pPr>
              <w:pStyle w:val="TableText0"/>
              <w:rPr>
                <w:b/>
                <w:bCs w:val="0"/>
              </w:rPr>
            </w:pPr>
            <w:r w:rsidRPr="0061086C">
              <w:rPr>
                <w:b/>
                <w:bCs w:val="0"/>
              </w:rPr>
              <w:t>0.53 (0.40, 0.72)</w:t>
            </w:r>
          </w:p>
        </w:tc>
      </w:tr>
      <w:tr w:rsidR="000B7C38" w14:paraId="20923BC6" w14:textId="77777777" w:rsidTr="58C81D04">
        <w:tc>
          <w:tcPr>
            <w:tcW w:w="3005" w:type="dxa"/>
          </w:tcPr>
          <w:p w14:paraId="694562D1" w14:textId="77777777" w:rsidR="000B7C38" w:rsidRDefault="000B7C38" w:rsidP="003F01A6">
            <w:pPr>
              <w:pStyle w:val="TableText0"/>
            </w:pPr>
            <w:r>
              <w:t xml:space="preserve">Interferon beta </w:t>
            </w:r>
          </w:p>
          <w:p w14:paraId="40C50675" w14:textId="275758F3" w:rsidR="000B7C38" w:rsidRDefault="000B7C38" w:rsidP="003F01A6">
            <w:pPr>
              <w:pStyle w:val="TableText0"/>
            </w:pPr>
            <w:r>
              <w:t>N = 411</w:t>
            </w:r>
          </w:p>
        </w:tc>
        <w:tc>
          <w:tcPr>
            <w:tcW w:w="3006" w:type="dxa"/>
          </w:tcPr>
          <w:p w14:paraId="61957EA8" w14:textId="28D2D193" w:rsidR="000B7C38" w:rsidRDefault="000B7C38" w:rsidP="003F01A6">
            <w:pPr>
              <w:pStyle w:val="TableText0"/>
            </w:pPr>
            <w:r>
              <w:t>0.29 (0.24, 0.36)</w:t>
            </w:r>
          </w:p>
        </w:tc>
        <w:tc>
          <w:tcPr>
            <w:tcW w:w="3006" w:type="dxa"/>
            <w:vMerge/>
          </w:tcPr>
          <w:p w14:paraId="3F28F029" w14:textId="77777777" w:rsidR="000B7C38" w:rsidRDefault="000B7C38" w:rsidP="003F01A6">
            <w:pPr>
              <w:pStyle w:val="TableText0"/>
            </w:pPr>
          </w:p>
        </w:tc>
      </w:tr>
      <w:tr w:rsidR="000B7C38" w14:paraId="5F4C7C63" w14:textId="77777777" w:rsidTr="58C81D04">
        <w:tc>
          <w:tcPr>
            <w:tcW w:w="9017" w:type="dxa"/>
            <w:gridSpan w:val="3"/>
          </w:tcPr>
          <w:p w14:paraId="405D888E" w14:textId="06799361" w:rsidR="000B7C38" w:rsidRDefault="000B7C38" w:rsidP="003F01A6">
            <w:pPr>
              <w:pStyle w:val="TableText0"/>
            </w:pPr>
            <w:r>
              <w:t>OPERA II</w:t>
            </w:r>
          </w:p>
        </w:tc>
      </w:tr>
      <w:tr w:rsidR="000B7C38" w14:paraId="53E8F97B" w14:textId="77777777" w:rsidTr="58C81D04">
        <w:tc>
          <w:tcPr>
            <w:tcW w:w="3005" w:type="dxa"/>
          </w:tcPr>
          <w:p w14:paraId="1E949B32" w14:textId="77777777" w:rsidR="000B7C38" w:rsidRDefault="000B7C38" w:rsidP="003F01A6">
            <w:pPr>
              <w:pStyle w:val="TableText0"/>
            </w:pPr>
            <w:r>
              <w:t>Ocrelizumab</w:t>
            </w:r>
          </w:p>
          <w:p w14:paraId="144CC2C6" w14:textId="46128356" w:rsidR="000B7C38" w:rsidRDefault="000B7C38" w:rsidP="003F01A6">
            <w:pPr>
              <w:pStyle w:val="TableText0"/>
            </w:pPr>
            <w:r>
              <w:t>N = 417</w:t>
            </w:r>
          </w:p>
        </w:tc>
        <w:tc>
          <w:tcPr>
            <w:tcW w:w="3006" w:type="dxa"/>
          </w:tcPr>
          <w:p w14:paraId="5FD8F37B" w14:textId="65F00E40" w:rsidR="000B7C38" w:rsidRDefault="000B7C38" w:rsidP="003F01A6">
            <w:pPr>
              <w:pStyle w:val="TableText0"/>
            </w:pPr>
            <w:r>
              <w:t>0.16 (0.12, 0.20)</w:t>
            </w:r>
          </w:p>
        </w:tc>
        <w:tc>
          <w:tcPr>
            <w:tcW w:w="3006" w:type="dxa"/>
            <w:vMerge w:val="restart"/>
          </w:tcPr>
          <w:p w14:paraId="21018F73" w14:textId="08877AAD" w:rsidR="000B7C38" w:rsidRPr="0061086C" w:rsidRDefault="000B7C38" w:rsidP="003F01A6">
            <w:pPr>
              <w:pStyle w:val="TableText0"/>
              <w:rPr>
                <w:b/>
                <w:bCs w:val="0"/>
              </w:rPr>
            </w:pPr>
            <w:r w:rsidRPr="0061086C">
              <w:rPr>
                <w:b/>
                <w:bCs w:val="0"/>
              </w:rPr>
              <w:t>0.53 (0.40, 0.71)</w:t>
            </w:r>
          </w:p>
        </w:tc>
      </w:tr>
      <w:tr w:rsidR="000B7C38" w14:paraId="5BE1F927" w14:textId="77777777" w:rsidTr="58C81D04">
        <w:tc>
          <w:tcPr>
            <w:tcW w:w="3005" w:type="dxa"/>
          </w:tcPr>
          <w:p w14:paraId="4F456098" w14:textId="77777777" w:rsidR="000B7C38" w:rsidRDefault="000B7C38" w:rsidP="003F01A6">
            <w:pPr>
              <w:pStyle w:val="TableText0"/>
            </w:pPr>
            <w:r>
              <w:t xml:space="preserve">Interferon beta </w:t>
            </w:r>
          </w:p>
          <w:p w14:paraId="2BB7C132" w14:textId="71D5AC01" w:rsidR="000B7C38" w:rsidRDefault="000B7C38" w:rsidP="003F01A6">
            <w:pPr>
              <w:pStyle w:val="TableText0"/>
            </w:pPr>
            <w:r>
              <w:t>N = 418</w:t>
            </w:r>
          </w:p>
        </w:tc>
        <w:tc>
          <w:tcPr>
            <w:tcW w:w="3006" w:type="dxa"/>
          </w:tcPr>
          <w:p w14:paraId="437B6904" w14:textId="69C0FC21" w:rsidR="000B7C38" w:rsidRDefault="000B7C38" w:rsidP="003F01A6">
            <w:pPr>
              <w:pStyle w:val="TableText0"/>
            </w:pPr>
            <w:r>
              <w:t>0.29 (0.23, 0.36)</w:t>
            </w:r>
          </w:p>
        </w:tc>
        <w:tc>
          <w:tcPr>
            <w:tcW w:w="3006" w:type="dxa"/>
            <w:vMerge/>
          </w:tcPr>
          <w:p w14:paraId="70788DBA" w14:textId="77777777" w:rsidR="000B7C38" w:rsidRDefault="000B7C38" w:rsidP="003F01A6">
            <w:pPr>
              <w:pStyle w:val="TableText0"/>
            </w:pPr>
          </w:p>
        </w:tc>
      </w:tr>
      <w:tr w:rsidR="000B7C38" w14:paraId="3DCB7CE9" w14:textId="77777777" w:rsidTr="58C81D04">
        <w:tc>
          <w:tcPr>
            <w:tcW w:w="3005" w:type="dxa"/>
          </w:tcPr>
          <w:p w14:paraId="07202C41" w14:textId="49714F28" w:rsidR="000B7C38" w:rsidRPr="003F01A6" w:rsidRDefault="003F01A6" w:rsidP="003F01A6">
            <w:pPr>
              <w:pStyle w:val="TableText0"/>
            </w:pPr>
            <w:r w:rsidRPr="003F01A6">
              <w:t>OPERA Meta-Analysis</w:t>
            </w:r>
          </w:p>
        </w:tc>
        <w:tc>
          <w:tcPr>
            <w:tcW w:w="3006" w:type="dxa"/>
          </w:tcPr>
          <w:p w14:paraId="784E8058" w14:textId="73B8A6E8" w:rsidR="000B7C38" w:rsidRPr="003F01A6" w:rsidRDefault="003F01A6" w:rsidP="003F01A6">
            <w:pPr>
              <w:pStyle w:val="TableText0"/>
            </w:pPr>
            <w:r w:rsidRPr="003F01A6">
              <w:t>-</w:t>
            </w:r>
          </w:p>
        </w:tc>
        <w:tc>
          <w:tcPr>
            <w:tcW w:w="3006" w:type="dxa"/>
          </w:tcPr>
          <w:p w14:paraId="769E9BCA" w14:textId="761D420D" w:rsidR="000B7C38" w:rsidRPr="0061086C" w:rsidRDefault="003F01A6" w:rsidP="003F01A6">
            <w:pPr>
              <w:pStyle w:val="TableText0"/>
              <w:rPr>
                <w:b/>
                <w:bCs w:val="0"/>
              </w:rPr>
            </w:pPr>
            <w:r w:rsidRPr="0061086C">
              <w:rPr>
                <w:b/>
                <w:bCs w:val="0"/>
              </w:rPr>
              <w:t>0.54 (0.44, 0.66)</w:t>
            </w:r>
          </w:p>
        </w:tc>
      </w:tr>
      <w:tr w:rsidR="00A16CFF" w14:paraId="63BE4C46" w14:textId="77777777" w:rsidTr="58C81D04">
        <w:tc>
          <w:tcPr>
            <w:tcW w:w="3005" w:type="dxa"/>
          </w:tcPr>
          <w:p w14:paraId="2B0C9372" w14:textId="30A37BF9" w:rsidR="00A16CFF" w:rsidRPr="003F01A6" w:rsidRDefault="00A16CFF" w:rsidP="003F01A6">
            <w:pPr>
              <w:pStyle w:val="TableText0"/>
            </w:pPr>
            <w:r>
              <w:t>ULTIMATE I/II Meta-Analysis</w:t>
            </w:r>
          </w:p>
        </w:tc>
        <w:tc>
          <w:tcPr>
            <w:tcW w:w="3006" w:type="dxa"/>
          </w:tcPr>
          <w:p w14:paraId="1C8144DF" w14:textId="79D0967C" w:rsidR="00A16CFF" w:rsidRPr="003F01A6" w:rsidRDefault="00A16CFF" w:rsidP="003F01A6">
            <w:pPr>
              <w:pStyle w:val="TableText0"/>
            </w:pPr>
            <w:r>
              <w:t>-</w:t>
            </w:r>
          </w:p>
        </w:tc>
        <w:tc>
          <w:tcPr>
            <w:tcW w:w="3006" w:type="dxa"/>
          </w:tcPr>
          <w:p w14:paraId="263BEB4A" w14:textId="29E6C74A" w:rsidR="00A16CFF" w:rsidRPr="0061086C" w:rsidRDefault="00A16CFF" w:rsidP="003F01A6">
            <w:pPr>
              <w:pStyle w:val="TableText0"/>
              <w:rPr>
                <w:b/>
                <w:bCs w:val="0"/>
              </w:rPr>
            </w:pPr>
            <w:r w:rsidRPr="0061086C">
              <w:rPr>
                <w:b/>
                <w:bCs w:val="0"/>
              </w:rPr>
              <w:t>0.45 (0.34, 0.61)</w:t>
            </w:r>
          </w:p>
        </w:tc>
      </w:tr>
      <w:tr w:rsidR="003F01A6" w14:paraId="0E90A44F" w14:textId="77777777" w:rsidTr="00A55510">
        <w:trPr>
          <w:trHeight w:val="567"/>
        </w:trPr>
        <w:tc>
          <w:tcPr>
            <w:tcW w:w="3005" w:type="dxa"/>
            <w:vAlign w:val="center"/>
          </w:tcPr>
          <w:p w14:paraId="03B0BC12" w14:textId="433F249A" w:rsidR="003F01A6" w:rsidRPr="0023616E" w:rsidRDefault="003F01A6" w:rsidP="00A55510">
            <w:pPr>
              <w:pStyle w:val="TableText0"/>
            </w:pPr>
            <w:r w:rsidRPr="58C81D04">
              <w:t xml:space="preserve">ITC </w:t>
            </w:r>
            <w:proofErr w:type="spellStart"/>
            <w:r w:rsidRPr="58C81D04">
              <w:t>Ubli</w:t>
            </w:r>
            <w:proofErr w:type="spellEnd"/>
            <w:r w:rsidRPr="58C81D04">
              <w:t>/</w:t>
            </w:r>
            <w:proofErr w:type="spellStart"/>
            <w:r w:rsidRPr="58C81D04">
              <w:t>Ocre</w:t>
            </w:r>
            <w:proofErr w:type="spellEnd"/>
          </w:p>
        </w:tc>
        <w:tc>
          <w:tcPr>
            <w:tcW w:w="3006" w:type="dxa"/>
            <w:vAlign w:val="center"/>
          </w:tcPr>
          <w:p w14:paraId="2E2BA6DA" w14:textId="5B0C7B7A" w:rsidR="003F01A6" w:rsidRPr="0023616E" w:rsidRDefault="003F01A6" w:rsidP="00A55510">
            <w:pPr>
              <w:pStyle w:val="TableText0"/>
            </w:pPr>
            <w:r w:rsidRPr="0023616E">
              <w:t>-</w:t>
            </w:r>
          </w:p>
        </w:tc>
        <w:tc>
          <w:tcPr>
            <w:tcW w:w="3006" w:type="dxa"/>
            <w:vAlign w:val="center"/>
          </w:tcPr>
          <w:p w14:paraId="5BACC865" w14:textId="08E9ECA9" w:rsidR="003F01A6" w:rsidRPr="0023616E" w:rsidRDefault="003F01A6" w:rsidP="00A55510">
            <w:pPr>
              <w:pStyle w:val="TableText0"/>
            </w:pPr>
            <w:r w:rsidRPr="0023616E">
              <w:t>1.02 (0.48, 2.15)</w:t>
            </w:r>
          </w:p>
        </w:tc>
      </w:tr>
    </w:tbl>
    <w:p w14:paraId="703BEC20" w14:textId="7FEF2FCE" w:rsidR="007434D0" w:rsidRPr="007434D0" w:rsidRDefault="00A16CFF" w:rsidP="00F94B2A">
      <w:pPr>
        <w:pStyle w:val="TableFigureFooter"/>
      </w:pPr>
      <w:r w:rsidRPr="58C81D04">
        <w:t xml:space="preserve">Source: Tables 2-27, pp115-116, 2-38, p135, 2-39, p135 2-40, p136, 2-45, p142 of the submission. ARR = annualised relapse rate; CI = confidence interval; ITC. = indirect treatment comparison; </w:t>
      </w:r>
      <w:proofErr w:type="spellStart"/>
      <w:r w:rsidRPr="58C81D04">
        <w:t>Ocre</w:t>
      </w:r>
      <w:proofErr w:type="spellEnd"/>
      <w:r w:rsidRPr="58C81D04">
        <w:t xml:space="preserve"> = ocrelizumab; </w:t>
      </w:r>
      <w:proofErr w:type="spellStart"/>
      <w:r w:rsidRPr="58C81D04">
        <w:t>Ubli</w:t>
      </w:r>
      <w:proofErr w:type="spellEnd"/>
      <w:r w:rsidRPr="58C81D04">
        <w:t xml:space="preserve"> = ublitux</w:t>
      </w:r>
      <w:r w:rsidR="0061086C" w:rsidRPr="58C81D04">
        <w:t>i</w:t>
      </w:r>
      <w:r w:rsidRPr="58C81D04">
        <w:t xml:space="preserve">mab. </w:t>
      </w:r>
    </w:p>
    <w:p w14:paraId="61E0C602" w14:textId="3A53B7CE" w:rsidR="00247925" w:rsidRPr="0043575D" w:rsidRDefault="00FF1966" w:rsidP="58C81D04">
      <w:pPr>
        <w:pStyle w:val="3-BodyText"/>
        <w:rPr>
          <w:color w:val="000000" w:themeColor="text1"/>
        </w:rPr>
      </w:pPr>
      <w:r w:rsidRPr="0043575D">
        <w:rPr>
          <w:color w:val="000000" w:themeColor="text1"/>
        </w:rPr>
        <w:t>The indirect treatment comparison for ublitux</w:t>
      </w:r>
      <w:r w:rsidR="0061086C" w:rsidRPr="0043575D">
        <w:rPr>
          <w:color w:val="000000" w:themeColor="text1"/>
        </w:rPr>
        <w:t>i</w:t>
      </w:r>
      <w:r w:rsidRPr="0043575D">
        <w:rPr>
          <w:color w:val="000000" w:themeColor="text1"/>
        </w:rPr>
        <w:t xml:space="preserve">mab versus fingolimod via placebo and teriflunomide is shown in </w:t>
      </w:r>
      <w:r w:rsidR="0010534F" w:rsidRPr="0043575D">
        <w:rPr>
          <w:color w:val="000000" w:themeColor="text1"/>
        </w:rPr>
        <w:fldChar w:fldCharType="begin"/>
      </w:r>
      <w:r w:rsidR="0010534F" w:rsidRPr="0043575D">
        <w:rPr>
          <w:color w:val="000000" w:themeColor="text1"/>
        </w:rPr>
        <w:instrText xml:space="preserve"> REF _Ref190520080 \h </w:instrText>
      </w:r>
      <w:r w:rsidR="0043575D" w:rsidRPr="0043575D">
        <w:rPr>
          <w:color w:val="000000" w:themeColor="text1"/>
        </w:rPr>
        <w:instrText xml:space="preserve"> \* MERGEFORMAT </w:instrText>
      </w:r>
      <w:r w:rsidR="0010534F" w:rsidRPr="0043575D">
        <w:rPr>
          <w:color w:val="000000" w:themeColor="text1"/>
        </w:rPr>
      </w:r>
      <w:r w:rsidR="0010534F" w:rsidRPr="0043575D">
        <w:rPr>
          <w:color w:val="000000" w:themeColor="text1"/>
        </w:rPr>
        <w:fldChar w:fldCharType="separate"/>
      </w:r>
      <w:r w:rsidR="00D925D4" w:rsidRPr="58C81D04">
        <w:t xml:space="preserve">Table </w:t>
      </w:r>
      <w:r w:rsidR="00D925D4">
        <w:rPr>
          <w:noProof/>
        </w:rPr>
        <w:t>8</w:t>
      </w:r>
      <w:r w:rsidR="0010534F" w:rsidRPr="0043575D">
        <w:rPr>
          <w:color w:val="000000" w:themeColor="text1"/>
        </w:rPr>
        <w:fldChar w:fldCharType="end"/>
      </w:r>
      <w:r w:rsidR="00A16518" w:rsidRPr="0043575D">
        <w:rPr>
          <w:color w:val="000000" w:themeColor="text1"/>
        </w:rPr>
        <w:t xml:space="preserve">. </w:t>
      </w:r>
      <w:r w:rsidR="002D625D" w:rsidRPr="0043575D">
        <w:rPr>
          <w:color w:val="000000" w:themeColor="text1"/>
        </w:rPr>
        <w:t xml:space="preserve">Again, although the submission stated that the stepwise estimates were provided, the estimates for the indirect comparison of fingolimod to teriflunomide were not provided. </w:t>
      </w:r>
    </w:p>
    <w:p w14:paraId="5321D966" w14:textId="73081FB8" w:rsidR="00FF1966" w:rsidRDefault="0010534F" w:rsidP="0010534F">
      <w:pPr>
        <w:pStyle w:val="Caption"/>
      </w:pPr>
      <w:bookmarkStart w:id="39" w:name="_Ref190520080"/>
      <w:r w:rsidRPr="58C81D04">
        <w:lastRenderedPageBreak/>
        <w:t xml:space="preserve">Table </w:t>
      </w:r>
      <w:r>
        <w:fldChar w:fldCharType="begin"/>
      </w:r>
      <w:r>
        <w:instrText xml:space="preserve"> SEQ Table \* ARABIC </w:instrText>
      </w:r>
      <w:r>
        <w:fldChar w:fldCharType="separate"/>
      </w:r>
      <w:r w:rsidR="00D925D4">
        <w:rPr>
          <w:noProof/>
        </w:rPr>
        <w:t>8</w:t>
      </w:r>
      <w:r>
        <w:rPr>
          <w:noProof/>
        </w:rPr>
        <w:fldChar w:fldCharType="end"/>
      </w:r>
      <w:bookmarkEnd w:id="39"/>
      <w:r w:rsidRPr="58C81D04">
        <w:t xml:space="preserve">: </w:t>
      </w:r>
      <w:r w:rsidR="00FF1966" w:rsidRPr="58C81D04">
        <w:t>ITC for ublitux</w:t>
      </w:r>
      <w:r w:rsidR="00A16518">
        <w:t>i</w:t>
      </w:r>
      <w:r w:rsidR="00FF1966" w:rsidRPr="58C81D04">
        <w:t xml:space="preserve">mab vs fingolimod. </w:t>
      </w:r>
    </w:p>
    <w:tbl>
      <w:tblPr>
        <w:tblStyle w:val="TableGrid"/>
        <w:tblW w:w="0" w:type="auto"/>
        <w:tblLook w:val="04A0" w:firstRow="1" w:lastRow="0" w:firstColumn="1" w:lastColumn="0" w:noHBand="0" w:noVBand="1"/>
      </w:tblPr>
      <w:tblGrid>
        <w:gridCol w:w="1803"/>
        <w:gridCol w:w="1594"/>
        <w:gridCol w:w="1701"/>
        <w:gridCol w:w="1985"/>
        <w:gridCol w:w="1934"/>
      </w:tblGrid>
      <w:tr w:rsidR="00FF1966" w14:paraId="67F212D9" w14:textId="77777777" w:rsidTr="00A55510">
        <w:tc>
          <w:tcPr>
            <w:tcW w:w="1803" w:type="dxa"/>
          </w:tcPr>
          <w:p w14:paraId="7B7B9B75" w14:textId="77777777" w:rsidR="00FF1966" w:rsidRDefault="00FF1966" w:rsidP="00FF1966">
            <w:pPr>
              <w:pStyle w:val="TableFigureHeading"/>
            </w:pPr>
          </w:p>
        </w:tc>
        <w:tc>
          <w:tcPr>
            <w:tcW w:w="1594" w:type="dxa"/>
          </w:tcPr>
          <w:p w14:paraId="5007C4E6" w14:textId="4D3A9829" w:rsidR="00FF1966" w:rsidRPr="00FF1966" w:rsidRDefault="00FF1966" w:rsidP="00FF1966">
            <w:pPr>
              <w:pStyle w:val="TableFigureHeading"/>
              <w:rPr>
                <w:b w:val="0"/>
                <w:bCs w:val="0"/>
              </w:rPr>
            </w:pPr>
            <w:r w:rsidRPr="00FF1966">
              <w:rPr>
                <w:b w:val="0"/>
                <w:bCs w:val="0"/>
              </w:rPr>
              <w:t>ARR (95% CI)</w:t>
            </w:r>
          </w:p>
        </w:tc>
        <w:tc>
          <w:tcPr>
            <w:tcW w:w="1701" w:type="dxa"/>
          </w:tcPr>
          <w:p w14:paraId="55198CE3" w14:textId="5BEC457E" w:rsidR="00FF1966" w:rsidRPr="00FF1966" w:rsidRDefault="00FF1966" w:rsidP="00FF1966">
            <w:pPr>
              <w:pStyle w:val="TableFigureHeading"/>
              <w:rPr>
                <w:b w:val="0"/>
                <w:bCs w:val="0"/>
              </w:rPr>
            </w:pPr>
            <w:r w:rsidRPr="00FF1966">
              <w:rPr>
                <w:b w:val="0"/>
                <w:bCs w:val="0"/>
              </w:rPr>
              <w:t>ARR ratio (95% CI)</w:t>
            </w:r>
          </w:p>
        </w:tc>
        <w:tc>
          <w:tcPr>
            <w:tcW w:w="1985" w:type="dxa"/>
          </w:tcPr>
          <w:p w14:paraId="503EB86E" w14:textId="1232E27F" w:rsidR="00FF1966" w:rsidRPr="00FF1966" w:rsidRDefault="00FF1966" w:rsidP="00FF1966">
            <w:pPr>
              <w:pStyle w:val="TableFigureHeading"/>
              <w:rPr>
                <w:b w:val="0"/>
                <w:bCs w:val="0"/>
              </w:rPr>
            </w:pPr>
            <w:r w:rsidRPr="00FF1966">
              <w:rPr>
                <w:b w:val="0"/>
                <w:bCs w:val="0"/>
              </w:rPr>
              <w:t>CDP 12 weeks, Hazard Ratio (95% CI)</w:t>
            </w:r>
          </w:p>
        </w:tc>
        <w:tc>
          <w:tcPr>
            <w:tcW w:w="1934" w:type="dxa"/>
          </w:tcPr>
          <w:p w14:paraId="1136373E" w14:textId="4527CEF2" w:rsidR="00FF1966" w:rsidRPr="00FF1966" w:rsidRDefault="00FF1966" w:rsidP="00FF1966">
            <w:pPr>
              <w:pStyle w:val="TableFigureHeading"/>
              <w:rPr>
                <w:b w:val="0"/>
                <w:bCs w:val="0"/>
              </w:rPr>
            </w:pPr>
            <w:r w:rsidRPr="00FF1966">
              <w:rPr>
                <w:b w:val="0"/>
                <w:bCs w:val="0"/>
              </w:rPr>
              <w:t>CDP 24 weeks, Hazard Ratio (95% CI)</w:t>
            </w:r>
          </w:p>
        </w:tc>
      </w:tr>
      <w:tr w:rsidR="00FF1966" w14:paraId="1701B86D" w14:textId="77777777" w:rsidTr="58C81D04">
        <w:tc>
          <w:tcPr>
            <w:tcW w:w="9017" w:type="dxa"/>
            <w:gridSpan w:val="5"/>
          </w:tcPr>
          <w:p w14:paraId="1B0E849A" w14:textId="07053B01" w:rsidR="00FF1966" w:rsidRPr="002D625D" w:rsidRDefault="00FF1966" w:rsidP="00FF1966">
            <w:pPr>
              <w:pStyle w:val="TableFigureHeading"/>
              <w:rPr>
                <w:b w:val="0"/>
                <w:bCs w:val="0"/>
              </w:rPr>
            </w:pPr>
            <w:r w:rsidRPr="002D625D">
              <w:rPr>
                <w:b w:val="0"/>
                <w:bCs w:val="0"/>
              </w:rPr>
              <w:t>FREEDOMS I</w:t>
            </w:r>
          </w:p>
        </w:tc>
      </w:tr>
      <w:tr w:rsidR="00735B14" w14:paraId="07240F9E" w14:textId="77777777" w:rsidTr="00A55510">
        <w:tc>
          <w:tcPr>
            <w:tcW w:w="1803" w:type="dxa"/>
          </w:tcPr>
          <w:p w14:paraId="4F18900B" w14:textId="77777777" w:rsidR="00735B14" w:rsidRPr="002D625D" w:rsidRDefault="00735B14" w:rsidP="00FF1966">
            <w:pPr>
              <w:pStyle w:val="TableFigureHeading"/>
              <w:rPr>
                <w:b w:val="0"/>
                <w:bCs w:val="0"/>
              </w:rPr>
            </w:pPr>
            <w:r w:rsidRPr="002D625D">
              <w:rPr>
                <w:b w:val="0"/>
                <w:bCs w:val="0"/>
              </w:rPr>
              <w:t>Fingolimod</w:t>
            </w:r>
          </w:p>
          <w:p w14:paraId="380CF514" w14:textId="0FE92F20" w:rsidR="00735B14" w:rsidRPr="002D625D" w:rsidRDefault="00735B14" w:rsidP="00FF1966">
            <w:pPr>
              <w:pStyle w:val="TableFigureHeading"/>
              <w:rPr>
                <w:b w:val="0"/>
                <w:bCs w:val="0"/>
              </w:rPr>
            </w:pPr>
            <w:r w:rsidRPr="002D625D">
              <w:rPr>
                <w:b w:val="0"/>
                <w:bCs w:val="0"/>
              </w:rPr>
              <w:t>N = 425</w:t>
            </w:r>
          </w:p>
        </w:tc>
        <w:tc>
          <w:tcPr>
            <w:tcW w:w="1594" w:type="dxa"/>
          </w:tcPr>
          <w:p w14:paraId="6422E50B" w14:textId="7C99E10A" w:rsidR="00735B14" w:rsidRPr="002D625D" w:rsidRDefault="00735B14" w:rsidP="00FF1966">
            <w:pPr>
              <w:pStyle w:val="TableFigureHeading"/>
              <w:rPr>
                <w:b w:val="0"/>
                <w:bCs w:val="0"/>
              </w:rPr>
            </w:pPr>
            <w:r w:rsidRPr="002D625D">
              <w:rPr>
                <w:b w:val="0"/>
                <w:bCs w:val="0"/>
              </w:rPr>
              <w:t>0.18 (0.15, 0.22)</w:t>
            </w:r>
          </w:p>
        </w:tc>
        <w:tc>
          <w:tcPr>
            <w:tcW w:w="1701" w:type="dxa"/>
            <w:vMerge w:val="restart"/>
          </w:tcPr>
          <w:p w14:paraId="29B9BC9A" w14:textId="62CD0F4A" w:rsidR="00735B14" w:rsidRPr="002D625D" w:rsidRDefault="00735B14" w:rsidP="00FF1966">
            <w:pPr>
              <w:pStyle w:val="TableFigureHeading"/>
            </w:pPr>
            <w:r w:rsidRPr="002D625D">
              <w:t>0.46 (0.37, 0.55)</w:t>
            </w:r>
          </w:p>
        </w:tc>
        <w:tc>
          <w:tcPr>
            <w:tcW w:w="1985" w:type="dxa"/>
            <w:vMerge w:val="restart"/>
          </w:tcPr>
          <w:p w14:paraId="55851F1C" w14:textId="7B546013" w:rsidR="00735B14" w:rsidRPr="002D625D" w:rsidRDefault="00735B14" w:rsidP="00FF1966">
            <w:pPr>
              <w:pStyle w:val="TableFigureHeading"/>
            </w:pPr>
            <w:r w:rsidRPr="002D625D">
              <w:t>0.70 (0.52, 0.96)</w:t>
            </w:r>
          </w:p>
        </w:tc>
        <w:tc>
          <w:tcPr>
            <w:tcW w:w="1934" w:type="dxa"/>
            <w:vMerge w:val="restart"/>
          </w:tcPr>
          <w:p w14:paraId="6F0753BB" w14:textId="0593BA4B" w:rsidR="00735B14" w:rsidRPr="002D625D" w:rsidRDefault="00735B14" w:rsidP="00FF1966">
            <w:pPr>
              <w:pStyle w:val="TableFigureHeading"/>
            </w:pPr>
            <w:r w:rsidRPr="002D625D">
              <w:t>0.63 (0.44, 0.90)</w:t>
            </w:r>
          </w:p>
        </w:tc>
      </w:tr>
      <w:tr w:rsidR="00735B14" w14:paraId="74AD66B6" w14:textId="77777777" w:rsidTr="00A55510">
        <w:tc>
          <w:tcPr>
            <w:tcW w:w="1803" w:type="dxa"/>
          </w:tcPr>
          <w:p w14:paraId="667C7B62" w14:textId="77777777" w:rsidR="00735B14" w:rsidRPr="002D625D" w:rsidRDefault="00735B14" w:rsidP="00FF1966">
            <w:pPr>
              <w:pStyle w:val="TableFigureHeading"/>
              <w:rPr>
                <w:b w:val="0"/>
                <w:bCs w:val="0"/>
              </w:rPr>
            </w:pPr>
            <w:r w:rsidRPr="002D625D">
              <w:rPr>
                <w:b w:val="0"/>
                <w:bCs w:val="0"/>
              </w:rPr>
              <w:t>Placebo</w:t>
            </w:r>
          </w:p>
          <w:p w14:paraId="0D77DC6B" w14:textId="6960C3E7" w:rsidR="00735B14" w:rsidRPr="002D625D" w:rsidRDefault="00735B14" w:rsidP="00FF1966">
            <w:pPr>
              <w:pStyle w:val="TableFigureHeading"/>
              <w:rPr>
                <w:b w:val="0"/>
                <w:bCs w:val="0"/>
              </w:rPr>
            </w:pPr>
            <w:r w:rsidRPr="002D625D">
              <w:rPr>
                <w:b w:val="0"/>
                <w:bCs w:val="0"/>
              </w:rPr>
              <w:t>N = 418</w:t>
            </w:r>
          </w:p>
        </w:tc>
        <w:tc>
          <w:tcPr>
            <w:tcW w:w="1594" w:type="dxa"/>
          </w:tcPr>
          <w:p w14:paraId="4A4FBB4E" w14:textId="6D88170B" w:rsidR="00735B14" w:rsidRPr="002D625D" w:rsidRDefault="00735B14" w:rsidP="00FF1966">
            <w:pPr>
              <w:pStyle w:val="TableFigureHeading"/>
              <w:rPr>
                <w:b w:val="0"/>
                <w:bCs w:val="0"/>
              </w:rPr>
            </w:pPr>
            <w:r w:rsidRPr="002D625D">
              <w:rPr>
                <w:b w:val="0"/>
                <w:bCs w:val="0"/>
              </w:rPr>
              <w:t>0.40 (0.34, 0.47)</w:t>
            </w:r>
          </w:p>
        </w:tc>
        <w:tc>
          <w:tcPr>
            <w:tcW w:w="1701" w:type="dxa"/>
            <w:vMerge/>
          </w:tcPr>
          <w:p w14:paraId="6FD16F48" w14:textId="77777777" w:rsidR="00735B14" w:rsidRPr="002D625D" w:rsidRDefault="00735B14" w:rsidP="00FF1966">
            <w:pPr>
              <w:pStyle w:val="TableFigureHeading"/>
              <w:rPr>
                <w:b w:val="0"/>
                <w:bCs w:val="0"/>
              </w:rPr>
            </w:pPr>
          </w:p>
        </w:tc>
        <w:tc>
          <w:tcPr>
            <w:tcW w:w="1985" w:type="dxa"/>
            <w:vMerge/>
          </w:tcPr>
          <w:p w14:paraId="50A71617" w14:textId="77777777" w:rsidR="00735B14" w:rsidRPr="002D625D" w:rsidRDefault="00735B14" w:rsidP="00FF1966">
            <w:pPr>
              <w:pStyle w:val="TableFigureHeading"/>
              <w:rPr>
                <w:b w:val="0"/>
                <w:bCs w:val="0"/>
              </w:rPr>
            </w:pPr>
          </w:p>
        </w:tc>
        <w:tc>
          <w:tcPr>
            <w:tcW w:w="1934" w:type="dxa"/>
            <w:vMerge/>
          </w:tcPr>
          <w:p w14:paraId="350750A4" w14:textId="77777777" w:rsidR="00735B14" w:rsidRPr="002D625D" w:rsidRDefault="00735B14" w:rsidP="00FF1966">
            <w:pPr>
              <w:pStyle w:val="TableFigureHeading"/>
              <w:rPr>
                <w:b w:val="0"/>
                <w:bCs w:val="0"/>
              </w:rPr>
            </w:pPr>
          </w:p>
        </w:tc>
      </w:tr>
      <w:tr w:rsidR="00735B14" w14:paraId="4C53A043" w14:textId="77777777" w:rsidTr="58C81D04">
        <w:tc>
          <w:tcPr>
            <w:tcW w:w="9017" w:type="dxa"/>
            <w:gridSpan w:val="5"/>
          </w:tcPr>
          <w:p w14:paraId="0610C49E" w14:textId="390179C4" w:rsidR="00735B14" w:rsidRPr="002D625D" w:rsidRDefault="00735B14" w:rsidP="00FF1966">
            <w:pPr>
              <w:pStyle w:val="TableFigureHeading"/>
              <w:rPr>
                <w:b w:val="0"/>
                <w:bCs w:val="0"/>
              </w:rPr>
            </w:pPr>
            <w:r w:rsidRPr="002D625D">
              <w:rPr>
                <w:b w:val="0"/>
                <w:bCs w:val="0"/>
              </w:rPr>
              <w:t>FREEDOMS II</w:t>
            </w:r>
          </w:p>
        </w:tc>
      </w:tr>
      <w:tr w:rsidR="00735B14" w14:paraId="75A4A998" w14:textId="77777777" w:rsidTr="00A55510">
        <w:tc>
          <w:tcPr>
            <w:tcW w:w="1803" w:type="dxa"/>
          </w:tcPr>
          <w:p w14:paraId="02F3E1C5" w14:textId="77777777" w:rsidR="00735B14" w:rsidRPr="002D625D" w:rsidRDefault="00735B14" w:rsidP="00735B14">
            <w:pPr>
              <w:pStyle w:val="TableFigureHeading"/>
              <w:rPr>
                <w:b w:val="0"/>
                <w:bCs w:val="0"/>
              </w:rPr>
            </w:pPr>
            <w:r w:rsidRPr="002D625D">
              <w:rPr>
                <w:b w:val="0"/>
                <w:bCs w:val="0"/>
              </w:rPr>
              <w:t>Fingolimod</w:t>
            </w:r>
          </w:p>
          <w:p w14:paraId="3F381364" w14:textId="20964EC1" w:rsidR="00735B14" w:rsidRPr="002D625D" w:rsidRDefault="00735B14" w:rsidP="00735B14">
            <w:pPr>
              <w:pStyle w:val="TableFigureHeading"/>
              <w:rPr>
                <w:b w:val="0"/>
                <w:bCs w:val="0"/>
              </w:rPr>
            </w:pPr>
            <w:r w:rsidRPr="002D625D">
              <w:rPr>
                <w:b w:val="0"/>
                <w:bCs w:val="0"/>
              </w:rPr>
              <w:t>N = 358</w:t>
            </w:r>
          </w:p>
        </w:tc>
        <w:tc>
          <w:tcPr>
            <w:tcW w:w="1594" w:type="dxa"/>
          </w:tcPr>
          <w:p w14:paraId="654CB021" w14:textId="3B966B81" w:rsidR="00735B14" w:rsidRPr="002D625D" w:rsidRDefault="00735B14" w:rsidP="00735B14">
            <w:pPr>
              <w:pStyle w:val="TableFigureHeading"/>
              <w:rPr>
                <w:b w:val="0"/>
                <w:bCs w:val="0"/>
              </w:rPr>
            </w:pPr>
            <w:r w:rsidRPr="002D625D">
              <w:rPr>
                <w:b w:val="0"/>
                <w:bCs w:val="0"/>
              </w:rPr>
              <w:t>0.21 (0.17, 0.25)</w:t>
            </w:r>
          </w:p>
        </w:tc>
        <w:tc>
          <w:tcPr>
            <w:tcW w:w="1701" w:type="dxa"/>
            <w:vMerge w:val="restart"/>
          </w:tcPr>
          <w:p w14:paraId="4A0DC2CC" w14:textId="4E63F77C" w:rsidR="00735B14" w:rsidRPr="002D625D" w:rsidRDefault="00735B14" w:rsidP="00735B14">
            <w:pPr>
              <w:pStyle w:val="TableFigureHeading"/>
            </w:pPr>
            <w:r w:rsidRPr="002D625D">
              <w:t>0.52 (0.40, 0.66)</w:t>
            </w:r>
          </w:p>
        </w:tc>
        <w:tc>
          <w:tcPr>
            <w:tcW w:w="1985" w:type="dxa"/>
            <w:vMerge w:val="restart"/>
          </w:tcPr>
          <w:p w14:paraId="0CF6D9AA" w14:textId="3B68E758" w:rsidR="00735B14" w:rsidRPr="002D625D" w:rsidRDefault="00735B14" w:rsidP="00735B14">
            <w:pPr>
              <w:pStyle w:val="TableFigureHeading"/>
              <w:rPr>
                <w:b w:val="0"/>
                <w:bCs w:val="0"/>
              </w:rPr>
            </w:pPr>
            <w:r w:rsidRPr="002D625D">
              <w:rPr>
                <w:b w:val="0"/>
                <w:bCs w:val="0"/>
              </w:rPr>
              <w:t>0.83 (0.61, 1.12)</w:t>
            </w:r>
          </w:p>
        </w:tc>
        <w:tc>
          <w:tcPr>
            <w:tcW w:w="1934" w:type="dxa"/>
            <w:vMerge w:val="restart"/>
          </w:tcPr>
          <w:p w14:paraId="75090228" w14:textId="47E21F08" w:rsidR="00735B14" w:rsidRPr="002D625D" w:rsidRDefault="00735B14" w:rsidP="00735B14">
            <w:pPr>
              <w:pStyle w:val="TableFigureHeading"/>
              <w:rPr>
                <w:b w:val="0"/>
                <w:bCs w:val="0"/>
              </w:rPr>
            </w:pPr>
            <w:r w:rsidRPr="002D625D">
              <w:rPr>
                <w:b w:val="0"/>
                <w:bCs w:val="0"/>
              </w:rPr>
              <w:t>0.72 (0.48, 1.07)</w:t>
            </w:r>
          </w:p>
        </w:tc>
      </w:tr>
      <w:tr w:rsidR="00735B14" w14:paraId="79554DAD" w14:textId="77777777" w:rsidTr="00A55510">
        <w:tc>
          <w:tcPr>
            <w:tcW w:w="1803" w:type="dxa"/>
          </w:tcPr>
          <w:p w14:paraId="78F2D282" w14:textId="77777777" w:rsidR="00735B14" w:rsidRPr="002D625D" w:rsidRDefault="00735B14" w:rsidP="00735B14">
            <w:pPr>
              <w:pStyle w:val="TableFigureHeading"/>
              <w:rPr>
                <w:b w:val="0"/>
                <w:bCs w:val="0"/>
              </w:rPr>
            </w:pPr>
            <w:r w:rsidRPr="002D625D">
              <w:rPr>
                <w:b w:val="0"/>
                <w:bCs w:val="0"/>
              </w:rPr>
              <w:t>Placebo</w:t>
            </w:r>
          </w:p>
          <w:p w14:paraId="490B302B" w14:textId="77B106D3" w:rsidR="00735B14" w:rsidRPr="002D625D" w:rsidRDefault="00735B14" w:rsidP="00735B14">
            <w:pPr>
              <w:pStyle w:val="TableFigureHeading"/>
              <w:rPr>
                <w:b w:val="0"/>
                <w:bCs w:val="0"/>
              </w:rPr>
            </w:pPr>
            <w:r w:rsidRPr="002D625D">
              <w:rPr>
                <w:b w:val="0"/>
                <w:bCs w:val="0"/>
              </w:rPr>
              <w:t>N = 355</w:t>
            </w:r>
          </w:p>
        </w:tc>
        <w:tc>
          <w:tcPr>
            <w:tcW w:w="1594" w:type="dxa"/>
          </w:tcPr>
          <w:p w14:paraId="4D43B684" w14:textId="3CDC4BE5" w:rsidR="00735B14" w:rsidRPr="002D625D" w:rsidRDefault="00735B14" w:rsidP="00735B14">
            <w:pPr>
              <w:pStyle w:val="TableFigureHeading"/>
              <w:rPr>
                <w:b w:val="0"/>
                <w:bCs w:val="0"/>
              </w:rPr>
            </w:pPr>
            <w:r w:rsidRPr="002D625D">
              <w:rPr>
                <w:b w:val="0"/>
                <w:bCs w:val="0"/>
              </w:rPr>
              <w:t>0.40 (0.34, 0.48)</w:t>
            </w:r>
          </w:p>
        </w:tc>
        <w:tc>
          <w:tcPr>
            <w:tcW w:w="1701" w:type="dxa"/>
            <w:vMerge/>
          </w:tcPr>
          <w:p w14:paraId="39BDB813" w14:textId="77777777" w:rsidR="00735B14" w:rsidRPr="002D625D" w:rsidRDefault="00735B14" w:rsidP="00735B14">
            <w:pPr>
              <w:pStyle w:val="TableFigureHeading"/>
              <w:rPr>
                <w:b w:val="0"/>
                <w:bCs w:val="0"/>
              </w:rPr>
            </w:pPr>
          </w:p>
        </w:tc>
        <w:tc>
          <w:tcPr>
            <w:tcW w:w="1985" w:type="dxa"/>
            <w:vMerge/>
          </w:tcPr>
          <w:p w14:paraId="3E4B8DBD" w14:textId="77777777" w:rsidR="00735B14" w:rsidRPr="002D625D" w:rsidRDefault="00735B14" w:rsidP="00735B14">
            <w:pPr>
              <w:pStyle w:val="TableFigureHeading"/>
              <w:rPr>
                <w:b w:val="0"/>
                <w:bCs w:val="0"/>
              </w:rPr>
            </w:pPr>
          </w:p>
        </w:tc>
        <w:tc>
          <w:tcPr>
            <w:tcW w:w="1934" w:type="dxa"/>
            <w:vMerge/>
          </w:tcPr>
          <w:p w14:paraId="73896785" w14:textId="77777777" w:rsidR="00735B14" w:rsidRPr="002D625D" w:rsidRDefault="00735B14" w:rsidP="00735B14">
            <w:pPr>
              <w:pStyle w:val="TableFigureHeading"/>
              <w:rPr>
                <w:b w:val="0"/>
                <w:bCs w:val="0"/>
              </w:rPr>
            </w:pPr>
          </w:p>
        </w:tc>
      </w:tr>
      <w:tr w:rsidR="00735B14" w14:paraId="3436581B" w14:textId="77777777" w:rsidTr="00A55510">
        <w:tc>
          <w:tcPr>
            <w:tcW w:w="1803" w:type="dxa"/>
          </w:tcPr>
          <w:p w14:paraId="5891E97F" w14:textId="6FC31A1A" w:rsidR="00735B14" w:rsidRPr="002D625D" w:rsidRDefault="00735B14" w:rsidP="00735B14">
            <w:pPr>
              <w:pStyle w:val="TableFigureHeading"/>
              <w:rPr>
                <w:b w:val="0"/>
                <w:bCs w:val="0"/>
              </w:rPr>
            </w:pPr>
            <w:r w:rsidRPr="002D625D">
              <w:rPr>
                <w:b w:val="0"/>
                <w:bCs w:val="0"/>
              </w:rPr>
              <w:t xml:space="preserve">FREEDOMS I/II Meta-Analysis </w:t>
            </w:r>
          </w:p>
        </w:tc>
        <w:tc>
          <w:tcPr>
            <w:tcW w:w="1594" w:type="dxa"/>
          </w:tcPr>
          <w:p w14:paraId="70B78C85" w14:textId="77777777" w:rsidR="00735B14" w:rsidRPr="002D625D" w:rsidRDefault="00735B14" w:rsidP="00735B14">
            <w:pPr>
              <w:pStyle w:val="TableFigureHeading"/>
              <w:rPr>
                <w:b w:val="0"/>
                <w:bCs w:val="0"/>
              </w:rPr>
            </w:pPr>
          </w:p>
        </w:tc>
        <w:tc>
          <w:tcPr>
            <w:tcW w:w="1701" w:type="dxa"/>
          </w:tcPr>
          <w:p w14:paraId="4C96ACEC" w14:textId="4E046029" w:rsidR="00735B14" w:rsidRPr="002D625D" w:rsidRDefault="00735B14" w:rsidP="00735B14">
            <w:pPr>
              <w:pStyle w:val="TableFigureHeading"/>
            </w:pPr>
            <w:r w:rsidRPr="002D625D">
              <w:t>0.48 (0.41, 0.57)</w:t>
            </w:r>
          </w:p>
        </w:tc>
        <w:tc>
          <w:tcPr>
            <w:tcW w:w="1985" w:type="dxa"/>
          </w:tcPr>
          <w:p w14:paraId="4B74B512" w14:textId="0196165B" w:rsidR="00735B14" w:rsidRPr="002D625D" w:rsidRDefault="00735B14" w:rsidP="00735B14">
            <w:pPr>
              <w:pStyle w:val="TableFigureHeading"/>
            </w:pPr>
            <w:r w:rsidRPr="002D625D">
              <w:t>0.76 (0.62, 0.95)</w:t>
            </w:r>
          </w:p>
        </w:tc>
        <w:tc>
          <w:tcPr>
            <w:tcW w:w="1934" w:type="dxa"/>
          </w:tcPr>
          <w:p w14:paraId="57535D7D" w14:textId="66ABA9F6" w:rsidR="00735B14" w:rsidRPr="002D625D" w:rsidRDefault="00735B14" w:rsidP="00735B14">
            <w:pPr>
              <w:pStyle w:val="TableFigureHeading"/>
            </w:pPr>
            <w:r w:rsidRPr="002D625D">
              <w:t>0.67 (0.51, 0.87)</w:t>
            </w:r>
          </w:p>
        </w:tc>
      </w:tr>
      <w:tr w:rsidR="00735B14" w14:paraId="7C538FB3" w14:textId="77777777" w:rsidTr="58C81D04">
        <w:tc>
          <w:tcPr>
            <w:tcW w:w="9017" w:type="dxa"/>
            <w:gridSpan w:val="5"/>
          </w:tcPr>
          <w:p w14:paraId="3FA6C800" w14:textId="68BF9F63" w:rsidR="00735B14" w:rsidRPr="002D625D" w:rsidRDefault="00735B14" w:rsidP="00735B14">
            <w:pPr>
              <w:pStyle w:val="TableFigureHeading"/>
              <w:rPr>
                <w:b w:val="0"/>
                <w:bCs w:val="0"/>
              </w:rPr>
            </w:pPr>
            <w:r w:rsidRPr="002D625D">
              <w:rPr>
                <w:b w:val="0"/>
                <w:bCs w:val="0"/>
              </w:rPr>
              <w:t>TEMSO</w:t>
            </w:r>
          </w:p>
        </w:tc>
      </w:tr>
      <w:tr w:rsidR="00735B14" w14:paraId="6ACEFA0E" w14:textId="77777777" w:rsidTr="00A55510">
        <w:tc>
          <w:tcPr>
            <w:tcW w:w="1803" w:type="dxa"/>
          </w:tcPr>
          <w:p w14:paraId="48BECE9C" w14:textId="77777777" w:rsidR="00735B14" w:rsidRPr="002D625D" w:rsidRDefault="00735B14" w:rsidP="00735B14">
            <w:pPr>
              <w:pStyle w:val="TableFigureHeading"/>
              <w:rPr>
                <w:b w:val="0"/>
                <w:bCs w:val="0"/>
              </w:rPr>
            </w:pPr>
            <w:r w:rsidRPr="002D625D">
              <w:rPr>
                <w:b w:val="0"/>
                <w:bCs w:val="0"/>
              </w:rPr>
              <w:t>Teriflunomide</w:t>
            </w:r>
          </w:p>
          <w:p w14:paraId="2CBCAEDB" w14:textId="7CC5F236" w:rsidR="00735B14" w:rsidRPr="002D625D" w:rsidRDefault="00735B14" w:rsidP="00735B14">
            <w:pPr>
              <w:pStyle w:val="TableFigureHeading"/>
              <w:rPr>
                <w:b w:val="0"/>
                <w:bCs w:val="0"/>
              </w:rPr>
            </w:pPr>
            <w:r w:rsidRPr="002D625D">
              <w:rPr>
                <w:b w:val="0"/>
                <w:bCs w:val="0"/>
              </w:rPr>
              <w:t>N = 358</w:t>
            </w:r>
          </w:p>
        </w:tc>
        <w:tc>
          <w:tcPr>
            <w:tcW w:w="1594" w:type="dxa"/>
          </w:tcPr>
          <w:p w14:paraId="5D8CBF87" w14:textId="3E93C76B" w:rsidR="00735B14" w:rsidRPr="002D625D" w:rsidRDefault="00735B14" w:rsidP="00735B14">
            <w:pPr>
              <w:pStyle w:val="TableFigureHeading"/>
              <w:rPr>
                <w:b w:val="0"/>
                <w:bCs w:val="0"/>
              </w:rPr>
            </w:pPr>
            <w:r w:rsidRPr="002D625D">
              <w:rPr>
                <w:b w:val="0"/>
                <w:bCs w:val="0"/>
              </w:rPr>
              <w:t>0.37 (0.31, 0.44)</w:t>
            </w:r>
          </w:p>
        </w:tc>
        <w:tc>
          <w:tcPr>
            <w:tcW w:w="1701" w:type="dxa"/>
            <w:vMerge w:val="restart"/>
          </w:tcPr>
          <w:p w14:paraId="7B9C922E" w14:textId="08EC2574" w:rsidR="00735B14" w:rsidRPr="002D625D" w:rsidRDefault="00735B14" w:rsidP="00735B14">
            <w:pPr>
              <w:pStyle w:val="TableFigureHeading"/>
            </w:pPr>
            <w:r w:rsidRPr="002D625D">
              <w:t>0.68 (0.55, 0.85)</w:t>
            </w:r>
          </w:p>
        </w:tc>
        <w:tc>
          <w:tcPr>
            <w:tcW w:w="1985" w:type="dxa"/>
            <w:vMerge w:val="restart"/>
          </w:tcPr>
          <w:p w14:paraId="40A0DD61" w14:textId="2B44AA0D" w:rsidR="00735B14" w:rsidRPr="002D625D" w:rsidRDefault="00735B14" w:rsidP="00735B14">
            <w:pPr>
              <w:pStyle w:val="TableFigureHeading"/>
            </w:pPr>
            <w:r w:rsidRPr="002D625D">
              <w:t>0.70 (</w:t>
            </w:r>
            <w:r w:rsidR="002D625D" w:rsidRPr="002D625D">
              <w:t>0.51, 0.97)</w:t>
            </w:r>
          </w:p>
        </w:tc>
        <w:tc>
          <w:tcPr>
            <w:tcW w:w="1934" w:type="dxa"/>
            <w:vMerge w:val="restart"/>
          </w:tcPr>
          <w:p w14:paraId="7659B704" w14:textId="06F74669" w:rsidR="00735B14" w:rsidRPr="002D625D" w:rsidRDefault="002D625D" w:rsidP="00735B14">
            <w:pPr>
              <w:pStyle w:val="TableFigureHeading"/>
              <w:rPr>
                <w:b w:val="0"/>
                <w:bCs w:val="0"/>
              </w:rPr>
            </w:pPr>
            <w:r w:rsidRPr="002D625D">
              <w:rPr>
                <w:b w:val="0"/>
                <w:bCs w:val="0"/>
              </w:rPr>
              <w:t>0.75 (0.50, 1.11)</w:t>
            </w:r>
          </w:p>
        </w:tc>
      </w:tr>
      <w:tr w:rsidR="00735B14" w14:paraId="4EF6ED30" w14:textId="77777777" w:rsidTr="00A55510">
        <w:tc>
          <w:tcPr>
            <w:tcW w:w="1803" w:type="dxa"/>
          </w:tcPr>
          <w:p w14:paraId="28803A7B" w14:textId="77777777" w:rsidR="00735B14" w:rsidRPr="002D625D" w:rsidRDefault="00735B14" w:rsidP="00735B14">
            <w:pPr>
              <w:pStyle w:val="TableFigureHeading"/>
              <w:rPr>
                <w:b w:val="0"/>
                <w:bCs w:val="0"/>
              </w:rPr>
            </w:pPr>
            <w:r w:rsidRPr="002D625D">
              <w:rPr>
                <w:b w:val="0"/>
                <w:bCs w:val="0"/>
              </w:rPr>
              <w:t>Placebo</w:t>
            </w:r>
          </w:p>
          <w:p w14:paraId="215BD09E" w14:textId="20C8C30A" w:rsidR="00735B14" w:rsidRPr="002D625D" w:rsidRDefault="00735B14" w:rsidP="00735B14">
            <w:pPr>
              <w:pStyle w:val="TableFigureHeading"/>
              <w:rPr>
                <w:b w:val="0"/>
                <w:bCs w:val="0"/>
              </w:rPr>
            </w:pPr>
            <w:r w:rsidRPr="002D625D">
              <w:rPr>
                <w:b w:val="0"/>
                <w:bCs w:val="0"/>
              </w:rPr>
              <w:t>N = 363</w:t>
            </w:r>
          </w:p>
        </w:tc>
        <w:tc>
          <w:tcPr>
            <w:tcW w:w="1594" w:type="dxa"/>
          </w:tcPr>
          <w:p w14:paraId="5A5EF5AB" w14:textId="32C3ED3E" w:rsidR="00735B14" w:rsidRPr="002D625D" w:rsidRDefault="00735B14" w:rsidP="00735B14">
            <w:pPr>
              <w:pStyle w:val="TableFigureHeading"/>
              <w:rPr>
                <w:b w:val="0"/>
                <w:bCs w:val="0"/>
              </w:rPr>
            </w:pPr>
            <w:r w:rsidRPr="002D625D">
              <w:rPr>
                <w:b w:val="0"/>
                <w:bCs w:val="0"/>
              </w:rPr>
              <w:t>0.54 (0.47, 0.62)</w:t>
            </w:r>
          </w:p>
        </w:tc>
        <w:tc>
          <w:tcPr>
            <w:tcW w:w="1701" w:type="dxa"/>
            <w:vMerge/>
          </w:tcPr>
          <w:p w14:paraId="08038AC6" w14:textId="77777777" w:rsidR="00735B14" w:rsidRPr="002D625D" w:rsidRDefault="00735B14" w:rsidP="00735B14">
            <w:pPr>
              <w:pStyle w:val="TableFigureHeading"/>
              <w:rPr>
                <w:b w:val="0"/>
                <w:bCs w:val="0"/>
              </w:rPr>
            </w:pPr>
          </w:p>
        </w:tc>
        <w:tc>
          <w:tcPr>
            <w:tcW w:w="1985" w:type="dxa"/>
            <w:vMerge/>
          </w:tcPr>
          <w:p w14:paraId="0AEF85C1" w14:textId="77777777" w:rsidR="00735B14" w:rsidRPr="002D625D" w:rsidRDefault="00735B14" w:rsidP="00735B14">
            <w:pPr>
              <w:pStyle w:val="TableFigureHeading"/>
              <w:rPr>
                <w:b w:val="0"/>
                <w:bCs w:val="0"/>
              </w:rPr>
            </w:pPr>
          </w:p>
        </w:tc>
        <w:tc>
          <w:tcPr>
            <w:tcW w:w="1934" w:type="dxa"/>
            <w:vMerge/>
          </w:tcPr>
          <w:p w14:paraId="21EAFCF4" w14:textId="77777777" w:rsidR="00735B14" w:rsidRPr="002D625D" w:rsidRDefault="00735B14" w:rsidP="00735B14">
            <w:pPr>
              <w:pStyle w:val="TableFigureHeading"/>
              <w:rPr>
                <w:b w:val="0"/>
                <w:bCs w:val="0"/>
              </w:rPr>
            </w:pPr>
          </w:p>
        </w:tc>
      </w:tr>
      <w:tr w:rsidR="00735B14" w14:paraId="015B4750" w14:textId="77777777" w:rsidTr="58C81D04">
        <w:tc>
          <w:tcPr>
            <w:tcW w:w="9017" w:type="dxa"/>
            <w:gridSpan w:val="5"/>
          </w:tcPr>
          <w:p w14:paraId="74587A5D" w14:textId="748E8AF4" w:rsidR="00735B14" w:rsidRPr="002D625D" w:rsidRDefault="00735B14" w:rsidP="00735B14">
            <w:pPr>
              <w:pStyle w:val="TableFigureHeading"/>
              <w:rPr>
                <w:b w:val="0"/>
                <w:bCs w:val="0"/>
              </w:rPr>
            </w:pPr>
            <w:r w:rsidRPr="002D625D">
              <w:rPr>
                <w:b w:val="0"/>
                <w:bCs w:val="0"/>
              </w:rPr>
              <w:t>TOWER</w:t>
            </w:r>
          </w:p>
        </w:tc>
      </w:tr>
      <w:tr w:rsidR="00735B14" w14:paraId="34CFDBFB" w14:textId="77777777" w:rsidTr="00A55510">
        <w:tc>
          <w:tcPr>
            <w:tcW w:w="1803" w:type="dxa"/>
          </w:tcPr>
          <w:p w14:paraId="4AB27D25" w14:textId="77777777" w:rsidR="00735B14" w:rsidRPr="002D625D" w:rsidRDefault="00735B14" w:rsidP="00735B14">
            <w:pPr>
              <w:pStyle w:val="TableFigureHeading"/>
              <w:rPr>
                <w:b w:val="0"/>
                <w:bCs w:val="0"/>
              </w:rPr>
            </w:pPr>
            <w:r w:rsidRPr="002D625D">
              <w:rPr>
                <w:b w:val="0"/>
                <w:bCs w:val="0"/>
              </w:rPr>
              <w:t>Teriflunomide</w:t>
            </w:r>
          </w:p>
          <w:p w14:paraId="25CB6F67" w14:textId="046E4CB1" w:rsidR="00735B14" w:rsidRPr="002D625D" w:rsidRDefault="00735B14" w:rsidP="00735B14">
            <w:pPr>
              <w:pStyle w:val="TableFigureHeading"/>
              <w:rPr>
                <w:b w:val="0"/>
                <w:bCs w:val="0"/>
              </w:rPr>
            </w:pPr>
            <w:r w:rsidRPr="002D625D">
              <w:rPr>
                <w:b w:val="0"/>
                <w:bCs w:val="0"/>
              </w:rPr>
              <w:t>N = 370</w:t>
            </w:r>
          </w:p>
        </w:tc>
        <w:tc>
          <w:tcPr>
            <w:tcW w:w="1594" w:type="dxa"/>
          </w:tcPr>
          <w:p w14:paraId="087D83C3" w14:textId="231E98F1" w:rsidR="00735B14" w:rsidRPr="002D625D" w:rsidRDefault="00735B14" w:rsidP="00735B14">
            <w:pPr>
              <w:pStyle w:val="TableFigureHeading"/>
              <w:rPr>
                <w:b w:val="0"/>
                <w:bCs w:val="0"/>
              </w:rPr>
            </w:pPr>
            <w:r w:rsidRPr="002D625D">
              <w:rPr>
                <w:b w:val="0"/>
                <w:bCs w:val="0"/>
              </w:rPr>
              <w:t>0.32 (0.27, 0.38)</w:t>
            </w:r>
          </w:p>
        </w:tc>
        <w:tc>
          <w:tcPr>
            <w:tcW w:w="1701" w:type="dxa"/>
            <w:vMerge w:val="restart"/>
          </w:tcPr>
          <w:p w14:paraId="52347770" w14:textId="41C1F675" w:rsidR="00735B14" w:rsidRPr="002D625D" w:rsidRDefault="00735B14" w:rsidP="00735B14">
            <w:pPr>
              <w:pStyle w:val="TableFigureHeading"/>
            </w:pPr>
            <w:r w:rsidRPr="002D625D">
              <w:t>0.64 (0.51, 0.79)</w:t>
            </w:r>
          </w:p>
        </w:tc>
        <w:tc>
          <w:tcPr>
            <w:tcW w:w="1985" w:type="dxa"/>
            <w:vMerge w:val="restart"/>
          </w:tcPr>
          <w:p w14:paraId="41D6F099" w14:textId="3B222469" w:rsidR="00735B14" w:rsidRPr="002D625D" w:rsidRDefault="002D625D" w:rsidP="00735B14">
            <w:pPr>
              <w:pStyle w:val="TableFigureHeading"/>
              <w:rPr>
                <w:b w:val="0"/>
                <w:bCs w:val="0"/>
              </w:rPr>
            </w:pPr>
            <w:r w:rsidRPr="002D625D">
              <w:rPr>
                <w:b w:val="0"/>
                <w:bCs w:val="0"/>
              </w:rPr>
              <w:t>0.68 (0.47, 1.00)</w:t>
            </w:r>
          </w:p>
        </w:tc>
        <w:tc>
          <w:tcPr>
            <w:tcW w:w="1934" w:type="dxa"/>
            <w:vMerge w:val="restart"/>
          </w:tcPr>
          <w:p w14:paraId="6DD8E4D6" w14:textId="35D6D473" w:rsidR="00735B14" w:rsidRPr="002D625D" w:rsidRDefault="002D625D" w:rsidP="00735B14">
            <w:pPr>
              <w:pStyle w:val="TableFigureHeading"/>
              <w:rPr>
                <w:b w:val="0"/>
                <w:bCs w:val="0"/>
              </w:rPr>
            </w:pPr>
            <w:r w:rsidRPr="002D625D">
              <w:rPr>
                <w:b w:val="0"/>
                <w:bCs w:val="0"/>
              </w:rPr>
              <w:t>0.84 (0.53, 1.33)</w:t>
            </w:r>
          </w:p>
        </w:tc>
      </w:tr>
      <w:tr w:rsidR="00735B14" w14:paraId="1BE74857" w14:textId="77777777" w:rsidTr="00A55510">
        <w:tc>
          <w:tcPr>
            <w:tcW w:w="1803" w:type="dxa"/>
          </w:tcPr>
          <w:p w14:paraId="58D2ED1D" w14:textId="77777777" w:rsidR="00735B14" w:rsidRPr="002D625D" w:rsidRDefault="00735B14" w:rsidP="00735B14">
            <w:pPr>
              <w:pStyle w:val="TableFigureHeading"/>
              <w:rPr>
                <w:b w:val="0"/>
                <w:bCs w:val="0"/>
              </w:rPr>
            </w:pPr>
            <w:r w:rsidRPr="002D625D">
              <w:rPr>
                <w:b w:val="0"/>
                <w:bCs w:val="0"/>
              </w:rPr>
              <w:t>Placebo</w:t>
            </w:r>
          </w:p>
          <w:p w14:paraId="2536F7CA" w14:textId="0602E213" w:rsidR="00735B14" w:rsidRPr="002D625D" w:rsidRDefault="00735B14" w:rsidP="00735B14">
            <w:pPr>
              <w:pStyle w:val="TableFigureHeading"/>
              <w:rPr>
                <w:b w:val="0"/>
                <w:bCs w:val="0"/>
              </w:rPr>
            </w:pPr>
            <w:r w:rsidRPr="002D625D">
              <w:rPr>
                <w:b w:val="0"/>
                <w:bCs w:val="0"/>
              </w:rPr>
              <w:t>N = 388</w:t>
            </w:r>
          </w:p>
        </w:tc>
        <w:tc>
          <w:tcPr>
            <w:tcW w:w="1594" w:type="dxa"/>
          </w:tcPr>
          <w:p w14:paraId="48CCBE6C" w14:textId="189CECEA" w:rsidR="00735B14" w:rsidRPr="002D625D" w:rsidRDefault="00735B14" w:rsidP="00735B14">
            <w:pPr>
              <w:pStyle w:val="TableFigureHeading"/>
              <w:rPr>
                <w:b w:val="0"/>
                <w:bCs w:val="0"/>
              </w:rPr>
            </w:pPr>
            <w:r w:rsidRPr="002D625D">
              <w:rPr>
                <w:b w:val="0"/>
                <w:bCs w:val="0"/>
              </w:rPr>
              <w:t>0.50 (0.43, 0.58)</w:t>
            </w:r>
          </w:p>
        </w:tc>
        <w:tc>
          <w:tcPr>
            <w:tcW w:w="1701" w:type="dxa"/>
            <w:vMerge/>
          </w:tcPr>
          <w:p w14:paraId="71B21E5B" w14:textId="77777777" w:rsidR="00735B14" w:rsidRPr="002D625D" w:rsidRDefault="00735B14" w:rsidP="00735B14">
            <w:pPr>
              <w:pStyle w:val="TableFigureHeading"/>
              <w:rPr>
                <w:b w:val="0"/>
                <w:bCs w:val="0"/>
              </w:rPr>
            </w:pPr>
          </w:p>
        </w:tc>
        <w:tc>
          <w:tcPr>
            <w:tcW w:w="1985" w:type="dxa"/>
            <w:vMerge/>
          </w:tcPr>
          <w:p w14:paraId="59438331" w14:textId="77777777" w:rsidR="00735B14" w:rsidRPr="002D625D" w:rsidRDefault="00735B14" w:rsidP="00735B14">
            <w:pPr>
              <w:pStyle w:val="TableFigureHeading"/>
              <w:rPr>
                <w:b w:val="0"/>
                <w:bCs w:val="0"/>
              </w:rPr>
            </w:pPr>
          </w:p>
        </w:tc>
        <w:tc>
          <w:tcPr>
            <w:tcW w:w="1934" w:type="dxa"/>
            <w:vMerge/>
          </w:tcPr>
          <w:p w14:paraId="0E0CCB7E" w14:textId="77777777" w:rsidR="00735B14" w:rsidRPr="002D625D" w:rsidRDefault="00735B14" w:rsidP="00735B14">
            <w:pPr>
              <w:pStyle w:val="TableFigureHeading"/>
              <w:rPr>
                <w:b w:val="0"/>
                <w:bCs w:val="0"/>
              </w:rPr>
            </w:pPr>
          </w:p>
        </w:tc>
      </w:tr>
      <w:tr w:rsidR="002D625D" w14:paraId="60520EB2" w14:textId="77777777" w:rsidTr="58C81D04">
        <w:tc>
          <w:tcPr>
            <w:tcW w:w="9017" w:type="dxa"/>
            <w:gridSpan w:val="5"/>
          </w:tcPr>
          <w:p w14:paraId="4F3FDEC5" w14:textId="371B950C" w:rsidR="002D625D" w:rsidRPr="002D625D" w:rsidRDefault="002D625D" w:rsidP="00735B14">
            <w:pPr>
              <w:pStyle w:val="TableFigureHeading"/>
              <w:rPr>
                <w:b w:val="0"/>
                <w:bCs w:val="0"/>
              </w:rPr>
            </w:pPr>
            <w:r w:rsidRPr="002D625D">
              <w:rPr>
                <w:b w:val="0"/>
                <w:bCs w:val="0"/>
              </w:rPr>
              <w:t>ULTIMATE I/II Meta-Analysis</w:t>
            </w:r>
          </w:p>
        </w:tc>
      </w:tr>
      <w:tr w:rsidR="002D625D" w14:paraId="02C177EA" w14:textId="77777777" w:rsidTr="00A55510">
        <w:tc>
          <w:tcPr>
            <w:tcW w:w="1803" w:type="dxa"/>
          </w:tcPr>
          <w:p w14:paraId="6A191D89" w14:textId="77777777" w:rsidR="002D625D" w:rsidRPr="002D625D" w:rsidRDefault="002D625D" w:rsidP="00735B14">
            <w:pPr>
              <w:pStyle w:val="TableFigureHeading"/>
              <w:rPr>
                <w:b w:val="0"/>
                <w:bCs w:val="0"/>
              </w:rPr>
            </w:pPr>
          </w:p>
        </w:tc>
        <w:tc>
          <w:tcPr>
            <w:tcW w:w="1594" w:type="dxa"/>
          </w:tcPr>
          <w:p w14:paraId="608EF2B3" w14:textId="77777777" w:rsidR="002D625D" w:rsidRPr="002D625D" w:rsidRDefault="002D625D" w:rsidP="00735B14">
            <w:pPr>
              <w:pStyle w:val="TableFigureHeading"/>
              <w:rPr>
                <w:b w:val="0"/>
                <w:bCs w:val="0"/>
              </w:rPr>
            </w:pPr>
          </w:p>
        </w:tc>
        <w:tc>
          <w:tcPr>
            <w:tcW w:w="1701" w:type="dxa"/>
          </w:tcPr>
          <w:p w14:paraId="6701A660" w14:textId="13A07586" w:rsidR="002D625D" w:rsidRPr="002D625D" w:rsidRDefault="002D625D" w:rsidP="00735B14">
            <w:pPr>
              <w:pStyle w:val="TableFigureHeading"/>
            </w:pPr>
            <w:r w:rsidRPr="002D625D">
              <w:t>0.45 (0.34, 0.61)</w:t>
            </w:r>
          </w:p>
        </w:tc>
        <w:tc>
          <w:tcPr>
            <w:tcW w:w="1985" w:type="dxa"/>
          </w:tcPr>
          <w:p w14:paraId="4558998D" w14:textId="4B4849BE" w:rsidR="002D625D" w:rsidRPr="002D625D" w:rsidRDefault="002D625D" w:rsidP="00735B14">
            <w:pPr>
              <w:pStyle w:val="TableFigureHeading"/>
              <w:rPr>
                <w:b w:val="0"/>
                <w:bCs w:val="0"/>
              </w:rPr>
            </w:pPr>
            <w:r w:rsidRPr="002D625D">
              <w:rPr>
                <w:b w:val="0"/>
                <w:bCs w:val="0"/>
              </w:rPr>
              <w:t>0.84 (0.50, 1.41)</w:t>
            </w:r>
          </w:p>
        </w:tc>
        <w:tc>
          <w:tcPr>
            <w:tcW w:w="1934" w:type="dxa"/>
          </w:tcPr>
          <w:p w14:paraId="7307868B" w14:textId="1735A2FF" w:rsidR="002D625D" w:rsidRPr="002D625D" w:rsidRDefault="002D625D" w:rsidP="00735B14">
            <w:pPr>
              <w:pStyle w:val="TableFigureHeading"/>
              <w:rPr>
                <w:b w:val="0"/>
                <w:bCs w:val="0"/>
              </w:rPr>
            </w:pPr>
            <w:r w:rsidRPr="002D625D">
              <w:rPr>
                <w:b w:val="0"/>
                <w:bCs w:val="0"/>
              </w:rPr>
              <w:t>0.66 (0.36, 1.20)</w:t>
            </w:r>
          </w:p>
        </w:tc>
      </w:tr>
      <w:tr w:rsidR="00735B14" w14:paraId="2D3AE9F0" w14:textId="77777777" w:rsidTr="00A55510">
        <w:trPr>
          <w:trHeight w:val="567"/>
        </w:trPr>
        <w:tc>
          <w:tcPr>
            <w:tcW w:w="1803" w:type="dxa"/>
            <w:vAlign w:val="center"/>
          </w:tcPr>
          <w:p w14:paraId="12CEE17D" w14:textId="167AD72F" w:rsidR="002D625D" w:rsidRPr="006F273B" w:rsidRDefault="002D625D" w:rsidP="00A55510">
            <w:pPr>
              <w:pStyle w:val="TableText0"/>
              <w:rPr>
                <w:b/>
                <w:bCs w:val="0"/>
              </w:rPr>
            </w:pPr>
            <w:r w:rsidRPr="58C81D04">
              <w:rPr>
                <w:b/>
              </w:rPr>
              <w:t xml:space="preserve">ITC </w:t>
            </w:r>
            <w:proofErr w:type="spellStart"/>
            <w:r w:rsidRPr="58C81D04">
              <w:rPr>
                <w:b/>
              </w:rPr>
              <w:t>Ubli</w:t>
            </w:r>
            <w:proofErr w:type="spellEnd"/>
            <w:r w:rsidRPr="58C81D04">
              <w:rPr>
                <w:b/>
              </w:rPr>
              <w:t>/Fin</w:t>
            </w:r>
          </w:p>
        </w:tc>
        <w:tc>
          <w:tcPr>
            <w:tcW w:w="1594" w:type="dxa"/>
            <w:vAlign w:val="center"/>
          </w:tcPr>
          <w:p w14:paraId="25AD2E83" w14:textId="77777777" w:rsidR="00735B14" w:rsidRPr="006F273B" w:rsidRDefault="00735B14" w:rsidP="00A55510">
            <w:pPr>
              <w:pStyle w:val="TableText0"/>
              <w:rPr>
                <w:b/>
                <w:bCs w:val="0"/>
              </w:rPr>
            </w:pPr>
          </w:p>
        </w:tc>
        <w:tc>
          <w:tcPr>
            <w:tcW w:w="1701" w:type="dxa"/>
            <w:vAlign w:val="center"/>
          </w:tcPr>
          <w:p w14:paraId="7FDE109B" w14:textId="7EF06914" w:rsidR="00735B14" w:rsidRPr="006F273B" w:rsidRDefault="002D625D" w:rsidP="00A55510">
            <w:pPr>
              <w:pStyle w:val="TableText0"/>
              <w:rPr>
                <w:b/>
                <w:bCs w:val="0"/>
              </w:rPr>
            </w:pPr>
            <w:r w:rsidRPr="006F273B">
              <w:rPr>
                <w:b/>
                <w:bCs w:val="0"/>
              </w:rPr>
              <w:t>0.62 (0.43, 0.90)</w:t>
            </w:r>
          </w:p>
        </w:tc>
        <w:tc>
          <w:tcPr>
            <w:tcW w:w="1985" w:type="dxa"/>
            <w:vAlign w:val="center"/>
          </w:tcPr>
          <w:p w14:paraId="05301348" w14:textId="50F2CB9D" w:rsidR="00735B14" w:rsidRPr="00F31215" w:rsidRDefault="002D625D" w:rsidP="00A55510">
            <w:pPr>
              <w:pStyle w:val="TableText0"/>
            </w:pPr>
            <w:r w:rsidRPr="00F31215">
              <w:t>0.77 (0.42, 1.41)</w:t>
            </w:r>
          </w:p>
        </w:tc>
        <w:tc>
          <w:tcPr>
            <w:tcW w:w="1934" w:type="dxa"/>
            <w:vAlign w:val="center"/>
          </w:tcPr>
          <w:p w14:paraId="20606622" w14:textId="21DABDE7" w:rsidR="00735B14" w:rsidRPr="00F31215" w:rsidRDefault="002D625D" w:rsidP="00A55510">
            <w:pPr>
              <w:pStyle w:val="TableText0"/>
            </w:pPr>
            <w:r w:rsidRPr="00F31215">
              <w:t>0.78 (0.38, 1.60)</w:t>
            </w:r>
          </w:p>
        </w:tc>
      </w:tr>
    </w:tbl>
    <w:p w14:paraId="50B05CEE" w14:textId="77777777" w:rsidR="00D7592F" w:rsidRDefault="00735B14" w:rsidP="00D119BE">
      <w:pPr>
        <w:pStyle w:val="TableFigureFooter"/>
      </w:pPr>
      <w:r w:rsidRPr="00735B14">
        <w:t xml:space="preserve">Source: Tables 2-27, pp115-116, </w:t>
      </w:r>
      <w:r>
        <w:t xml:space="preserve">2-29, pp118-119, </w:t>
      </w:r>
      <w:r w:rsidR="00D7592F">
        <w:t xml:space="preserve">2-30, pp119-120, 2-37, p133 of the submission. </w:t>
      </w:r>
    </w:p>
    <w:p w14:paraId="03E86EF5" w14:textId="6BDEAC24" w:rsidR="007434D0" w:rsidRDefault="00D7592F" w:rsidP="005B2EC0">
      <w:pPr>
        <w:pStyle w:val="TableFigureFooter"/>
      </w:pPr>
      <w:r w:rsidRPr="58C81D04">
        <w:t xml:space="preserve">ARR = annualised relapse rate; CDP = confirmed disability progression; CI = confidence interval; Fin = fingolimod; </w:t>
      </w:r>
      <w:proofErr w:type="spellStart"/>
      <w:r w:rsidRPr="58C81D04">
        <w:t>Ubli</w:t>
      </w:r>
      <w:proofErr w:type="spellEnd"/>
      <w:r w:rsidRPr="58C81D04">
        <w:t xml:space="preserve"> = </w:t>
      </w:r>
      <w:proofErr w:type="spellStart"/>
      <w:r w:rsidRPr="58C81D04">
        <w:t>ublituximab</w:t>
      </w:r>
      <w:proofErr w:type="spellEnd"/>
      <w:r w:rsidRPr="58C81D04">
        <w:t xml:space="preserve">. </w:t>
      </w:r>
    </w:p>
    <w:p w14:paraId="59CF11DC" w14:textId="6001C239" w:rsidR="00FE398D" w:rsidRDefault="00FE398D" w:rsidP="00A55510">
      <w:pPr>
        <w:pStyle w:val="3-BodyText"/>
      </w:pPr>
      <w:bookmarkStart w:id="40" w:name="_Ref198731414"/>
      <w:r>
        <w:rPr>
          <w:color w:val="000000" w:themeColor="text1"/>
        </w:rPr>
        <w:t xml:space="preserve">The Pre-PBAC Response </w:t>
      </w:r>
      <w:r w:rsidR="005B2EC0">
        <w:rPr>
          <w:color w:val="000000" w:themeColor="text1"/>
        </w:rPr>
        <w:t xml:space="preserve">argued the results of the indirect treatment comparison versus fingolimod </w:t>
      </w:r>
      <w:r w:rsidR="00E236F4">
        <w:rPr>
          <w:color w:val="000000" w:themeColor="text1"/>
        </w:rPr>
        <w:t xml:space="preserve">are reliable and </w:t>
      </w:r>
      <w:r w:rsidR="009466A5">
        <w:rPr>
          <w:color w:val="000000" w:themeColor="text1"/>
        </w:rPr>
        <w:t xml:space="preserve">provided an additional attachment to the Response from the University of Melbourne Statistical Consulting Centre, </w:t>
      </w:r>
      <w:r w:rsidR="005C4CC5">
        <w:rPr>
          <w:color w:val="000000" w:themeColor="text1"/>
        </w:rPr>
        <w:t xml:space="preserve">that concluded that based on the results of the comparisons, that a </w:t>
      </w:r>
      <w:r w:rsidR="009B4ED2">
        <w:rPr>
          <w:color w:val="000000" w:themeColor="text1"/>
        </w:rPr>
        <w:t xml:space="preserve">non-blinding bias of </w:t>
      </w:r>
      <w:r w:rsidR="00F24890">
        <w:rPr>
          <w:color w:val="000000" w:themeColor="text1"/>
        </w:rPr>
        <w:t>more than 25% for the ARR ratio</w:t>
      </w:r>
      <w:r w:rsidR="00F74869">
        <w:rPr>
          <w:color w:val="000000" w:themeColor="text1"/>
        </w:rPr>
        <w:t xml:space="preserve"> would be required</w:t>
      </w:r>
      <w:r w:rsidR="00F24890">
        <w:rPr>
          <w:color w:val="000000" w:themeColor="text1"/>
        </w:rPr>
        <w:t xml:space="preserve"> before the superiority conclusion would likely be lost</w:t>
      </w:r>
      <w:r w:rsidR="00D861FC">
        <w:rPr>
          <w:color w:val="000000" w:themeColor="text1"/>
        </w:rPr>
        <w:t xml:space="preserve"> (or a</w:t>
      </w:r>
      <w:r w:rsidR="009907DC">
        <w:rPr>
          <w:color w:val="000000" w:themeColor="text1"/>
        </w:rPr>
        <w:t xml:space="preserve"> threshold increase in ARR to </w:t>
      </w:r>
      <w:r w:rsidR="00924AFD">
        <w:rPr>
          <w:color w:val="000000" w:themeColor="text1"/>
        </w:rPr>
        <w:t>&gt;</w:t>
      </w:r>
      <w:r w:rsidR="009907DC">
        <w:rPr>
          <w:color w:val="000000" w:themeColor="text1"/>
        </w:rPr>
        <w:t>0.733</w:t>
      </w:r>
      <w:r w:rsidR="00924AFD">
        <w:rPr>
          <w:color w:val="000000" w:themeColor="text1"/>
        </w:rPr>
        <w:t xml:space="preserve">). </w:t>
      </w:r>
      <w:r w:rsidR="008A7A1A">
        <w:rPr>
          <w:color w:val="000000" w:themeColor="text1"/>
        </w:rPr>
        <w:t>The Response further argued th</w:t>
      </w:r>
      <w:r w:rsidR="006D7F58">
        <w:rPr>
          <w:color w:val="000000" w:themeColor="text1"/>
        </w:rPr>
        <w:t xml:space="preserve">at the possible contribution of biases in the trials </w:t>
      </w:r>
      <w:r w:rsidR="008F7D46">
        <w:rPr>
          <w:color w:val="000000" w:themeColor="text1"/>
        </w:rPr>
        <w:t xml:space="preserve">reaching this threshold to invalidate the statistical superiority conclusion </w:t>
      </w:r>
      <w:r w:rsidR="0061414A">
        <w:rPr>
          <w:color w:val="000000" w:themeColor="text1"/>
        </w:rPr>
        <w:t xml:space="preserve">was unlikely. </w:t>
      </w:r>
      <w:r w:rsidR="00A87AD0">
        <w:rPr>
          <w:color w:val="000000" w:themeColor="text1"/>
        </w:rPr>
        <w:t xml:space="preserve">The PBAC acknowledged the </w:t>
      </w:r>
      <w:r w:rsidR="003E2208">
        <w:rPr>
          <w:color w:val="000000" w:themeColor="text1"/>
        </w:rPr>
        <w:t>threshold that would be required to achieve statistical non-</w:t>
      </w:r>
      <w:r w:rsidR="006F522E">
        <w:rPr>
          <w:color w:val="000000" w:themeColor="text1"/>
        </w:rPr>
        <w:t xml:space="preserve">significance, </w:t>
      </w:r>
      <w:r w:rsidR="00CE3384">
        <w:rPr>
          <w:color w:val="000000" w:themeColor="text1"/>
        </w:rPr>
        <w:t xml:space="preserve">however </w:t>
      </w:r>
      <w:r w:rsidR="006A4F6E">
        <w:rPr>
          <w:color w:val="000000" w:themeColor="text1"/>
        </w:rPr>
        <w:t xml:space="preserve">considered the </w:t>
      </w:r>
      <w:r w:rsidR="007E6C79">
        <w:rPr>
          <w:color w:val="000000" w:themeColor="text1"/>
        </w:rPr>
        <w:t xml:space="preserve">multi-step indirect comparison of ublituximab and </w:t>
      </w:r>
      <w:r w:rsidR="00D1792C">
        <w:rPr>
          <w:color w:val="000000" w:themeColor="text1"/>
        </w:rPr>
        <w:t>fingolimod remained inherently uncertain.</w:t>
      </w:r>
      <w:bookmarkEnd w:id="40"/>
      <w:r w:rsidR="00D1792C">
        <w:rPr>
          <w:color w:val="000000" w:themeColor="text1"/>
        </w:rPr>
        <w:t xml:space="preserve"> </w:t>
      </w:r>
    </w:p>
    <w:p w14:paraId="44D987C2" w14:textId="460EC2A1" w:rsidR="009C0A3B" w:rsidRDefault="009C0A3B" w:rsidP="009C0A3B">
      <w:pPr>
        <w:pStyle w:val="5-SubsectionSubheading"/>
      </w:pPr>
      <w:bookmarkStart w:id="41" w:name="_Toc193112858"/>
      <w:r>
        <w:t>Network Meta-Analysis</w:t>
      </w:r>
      <w:bookmarkEnd w:id="41"/>
    </w:p>
    <w:p w14:paraId="19662CD6" w14:textId="47907F99" w:rsidR="009C0A3B" w:rsidRPr="004149C9" w:rsidRDefault="009C0A3B" w:rsidP="00EC5836">
      <w:pPr>
        <w:pStyle w:val="3-BodyText"/>
        <w:rPr>
          <w:color w:val="000000" w:themeColor="text1"/>
        </w:rPr>
      </w:pPr>
      <w:r w:rsidRPr="004149C9">
        <w:rPr>
          <w:color w:val="000000" w:themeColor="text1"/>
        </w:rPr>
        <w:t>The submission provided a network meta-analysis</w:t>
      </w:r>
      <w:r w:rsidR="00CF69E0" w:rsidRPr="004149C9">
        <w:rPr>
          <w:color w:val="000000" w:themeColor="text1"/>
        </w:rPr>
        <w:t xml:space="preserve"> (NMA) of some agents for the treatment of relapsing-remitting multiple sclerosis "as supportive information" (ICER, 2023). </w:t>
      </w:r>
    </w:p>
    <w:p w14:paraId="6396FA8A" w14:textId="0D88B367" w:rsidR="00C70B16" w:rsidRPr="00A55510" w:rsidRDefault="00CF69E0" w:rsidP="00A55510">
      <w:pPr>
        <w:pStyle w:val="3-BodyText"/>
        <w:rPr>
          <w:color w:val="000000" w:themeColor="text1"/>
        </w:rPr>
      </w:pPr>
      <w:r w:rsidRPr="004149C9">
        <w:rPr>
          <w:color w:val="000000" w:themeColor="text1"/>
        </w:rPr>
        <w:lastRenderedPageBreak/>
        <w:t xml:space="preserve">Results for annualised relapse rate (ARR) for the ICER, 2023 NMA and for the NMA of </w:t>
      </w:r>
      <w:proofErr w:type="spellStart"/>
      <w:r w:rsidRPr="004149C9">
        <w:rPr>
          <w:color w:val="000000" w:themeColor="text1"/>
        </w:rPr>
        <w:t>Samjoo</w:t>
      </w:r>
      <w:proofErr w:type="spellEnd"/>
      <w:r w:rsidRPr="004149C9">
        <w:rPr>
          <w:color w:val="000000" w:themeColor="text1"/>
        </w:rPr>
        <w:t xml:space="preserve">, 2023 considered by the PBAC </w:t>
      </w:r>
      <w:r w:rsidR="004149C9" w:rsidRPr="004149C9">
        <w:rPr>
          <w:color w:val="000000" w:themeColor="text1"/>
        </w:rPr>
        <w:t xml:space="preserve">in relation to ofatumumab </w:t>
      </w:r>
      <w:r w:rsidRPr="004149C9">
        <w:rPr>
          <w:color w:val="000000" w:themeColor="text1"/>
        </w:rPr>
        <w:t>in March 2024 are shown in</w:t>
      </w:r>
      <w:r w:rsidR="0023616E">
        <w:rPr>
          <w:color w:val="000000" w:themeColor="text1"/>
        </w:rPr>
        <w:t xml:space="preserve"> </w:t>
      </w:r>
      <w:r w:rsidR="0010534F">
        <w:rPr>
          <w:color w:val="000000" w:themeColor="text1"/>
        </w:rPr>
        <w:fldChar w:fldCharType="begin"/>
      </w:r>
      <w:r w:rsidR="0010534F">
        <w:rPr>
          <w:color w:val="000000" w:themeColor="text1"/>
        </w:rPr>
        <w:instrText xml:space="preserve"> REF _Ref188177689 \h </w:instrText>
      </w:r>
      <w:r w:rsidR="0010534F">
        <w:rPr>
          <w:color w:val="000000" w:themeColor="text1"/>
        </w:rPr>
      </w:r>
      <w:r w:rsidR="0010534F">
        <w:rPr>
          <w:color w:val="000000" w:themeColor="text1"/>
        </w:rPr>
        <w:fldChar w:fldCharType="separate"/>
      </w:r>
      <w:r w:rsidR="00D925D4">
        <w:t xml:space="preserve">Figure </w:t>
      </w:r>
      <w:r w:rsidR="0010534F">
        <w:rPr>
          <w:color w:val="000000" w:themeColor="text1"/>
        </w:rPr>
        <w:fldChar w:fldCharType="end"/>
      </w:r>
      <w:r w:rsidR="004A7AA0">
        <w:rPr>
          <w:color w:val="000000" w:themeColor="text1"/>
        </w:rPr>
        <w:t>4</w:t>
      </w:r>
      <w:r w:rsidR="00D119BE">
        <w:rPr>
          <w:color w:val="000000" w:themeColor="text1"/>
        </w:rPr>
        <w:t>.</w:t>
      </w:r>
    </w:p>
    <w:p w14:paraId="02AC6ADF" w14:textId="29CEB11C" w:rsidR="00A55510" w:rsidRDefault="0023616E" w:rsidP="00CD4B50">
      <w:pPr>
        <w:pStyle w:val="Caption"/>
        <w:rPr>
          <w:rStyle w:val="TableFigureFooterChar"/>
          <w:b w:val="0"/>
          <w:bCs w:val="0"/>
          <w:noProof/>
          <w:color w:val="000000" w:themeColor="text1"/>
        </w:rPr>
      </w:pPr>
      <w:bookmarkStart w:id="42" w:name="_Ref188177689"/>
      <w:r>
        <w:lastRenderedPageBreak/>
        <w:t xml:space="preserve">Figure </w:t>
      </w:r>
      <w:bookmarkEnd w:id="42"/>
      <w:r w:rsidR="004A7AA0">
        <w:t>4</w:t>
      </w:r>
      <w:r>
        <w:t xml:space="preserve">: </w:t>
      </w:r>
      <w:r w:rsidR="004149C9">
        <w:t xml:space="preserve">Forest plot of ARR vs placebo for treatments in ICER, 2023 (upper panel), and </w:t>
      </w:r>
      <w:proofErr w:type="spellStart"/>
      <w:r w:rsidR="004149C9">
        <w:t>Samjoo</w:t>
      </w:r>
      <w:proofErr w:type="spellEnd"/>
      <w:r w:rsidR="004149C9">
        <w:t>, 2023 (lower panel)</w:t>
      </w:r>
      <w:r w:rsidR="00A55510" w:rsidRPr="00A55510">
        <w:rPr>
          <w:rStyle w:val="TableFigureFooterChar"/>
          <w:b w:val="0"/>
          <w:bCs w:val="0"/>
          <w:noProof/>
          <w:color w:val="000000" w:themeColor="text1"/>
        </w:rPr>
        <w:t xml:space="preserve"> </w:t>
      </w:r>
    </w:p>
    <w:p w14:paraId="40EAAFB3" w14:textId="11764E74" w:rsidR="00CF69E0" w:rsidRDefault="00A55510" w:rsidP="00CD4B50">
      <w:pPr>
        <w:pStyle w:val="Caption"/>
      </w:pPr>
      <w:r w:rsidRPr="004149C9">
        <w:rPr>
          <w:rStyle w:val="TableFigureFooterChar"/>
          <w:b w:val="0"/>
          <w:bCs w:val="0"/>
          <w:noProof/>
          <w:color w:val="000000" w:themeColor="text1"/>
        </w:rPr>
        <mc:AlternateContent>
          <mc:Choice Requires="wpg">
            <w:drawing>
              <wp:inline distT="0" distB="0" distL="0" distR="0" wp14:anchorId="7F0A655C" wp14:editId="094C8979">
                <wp:extent cx="5326380" cy="3232150"/>
                <wp:effectExtent l="0" t="0" r="7620" b="25400"/>
                <wp:docPr id="2065803389" name="Group 2065803389" descr="Figure 4: Forest plot of ARR vs placebo for treatments in ICER, 2023 (upper panel), and Samjoo, 2023 (lower panel)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6912" cy="3232298"/>
                          <a:chOff x="0" y="0"/>
                          <a:chExt cx="3083560" cy="1729105"/>
                        </a:xfrm>
                      </wpg:grpSpPr>
                      <pic:pic xmlns:pic="http://schemas.openxmlformats.org/drawingml/2006/picture">
                        <pic:nvPicPr>
                          <pic:cNvPr id="1822162642" name="Image 22"/>
                          <pic:cNvPicPr/>
                        </pic:nvPicPr>
                        <pic:blipFill>
                          <a:blip r:embed="rId11" cstate="print"/>
                          <a:stretch>
                            <a:fillRect/>
                          </a:stretch>
                        </pic:blipFill>
                        <pic:spPr>
                          <a:xfrm>
                            <a:off x="40249" y="3111"/>
                            <a:ext cx="3040135" cy="1722754"/>
                          </a:xfrm>
                          <a:prstGeom prst="rect">
                            <a:avLst/>
                          </a:prstGeom>
                        </pic:spPr>
                      </pic:pic>
                      <wps:wsp>
                        <wps:cNvPr id="1933027757" name="Graphic 23"/>
                        <wps:cNvSpPr/>
                        <wps:spPr>
                          <a:xfrm>
                            <a:off x="1587" y="1587"/>
                            <a:ext cx="3080385" cy="1725930"/>
                          </a:xfrm>
                          <a:custGeom>
                            <a:avLst/>
                            <a:gdLst/>
                            <a:ahLst/>
                            <a:cxnLst/>
                            <a:rect l="l" t="t" r="r" b="b"/>
                            <a:pathLst>
                              <a:path w="3080385" h="1725930">
                                <a:moveTo>
                                  <a:pt x="0" y="1725929"/>
                                </a:moveTo>
                                <a:lnTo>
                                  <a:pt x="3080385" y="1725929"/>
                                </a:lnTo>
                                <a:lnTo>
                                  <a:pt x="3080385" y="0"/>
                                </a:lnTo>
                                <a:lnTo>
                                  <a:pt x="0" y="0"/>
                                </a:lnTo>
                                <a:lnTo>
                                  <a:pt x="0" y="1725929"/>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416863" id="Group 2065803389" o:spid="_x0000_s1026" alt="Figure 4: Forest plot of ARR vs placebo for treatments in ICER, 2023 (upper panel), and Samjoo, 2023 (lower panel) " style="width:419.4pt;height:254.5pt;mso-position-horizontal-relative:char;mso-position-vertical-relative:line" coordsize="30835,17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style="position:absolute;left:402;top:31;width:30401;height:17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">
                  <v:imagedata r:id="rId12" o:title=""/>
                </v:shape>
                <v:shape id="Graphic 23" o:spid="_x0000_s1028" style="position:absolute;left:15;top:15;width:30804;height:17260;visibility:visible;mso-wrap-style:square;v-text-anchor:top" coordsize="3080385,172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" path="m,1725929r3080385,l3080385,,,,,1725929xe" filled="f" strokeweight=".08817mm">
                  <v:path arrowok="t"/>
                </v:shape>
                <w10:anchorlock/>
              </v:group>
            </w:pict>
          </mc:Fallback>
        </mc:AlternateContent>
      </w:r>
    </w:p>
    <w:p w14:paraId="5036E5C5" w14:textId="7A06CC54" w:rsidR="004149C9" w:rsidRDefault="004149C9" w:rsidP="00CD4B50">
      <w:pPr>
        <w:pStyle w:val="KMC16-Caption"/>
        <w:keepLines/>
        <w:spacing w:before="0" w:after="0"/>
      </w:pPr>
      <w:bookmarkStart w:id="43" w:name="_Ref180938460"/>
      <w:bookmarkStart w:id="44" w:name="_Toc181783928"/>
      <w:r w:rsidRPr="004149C9">
        <w:rPr>
          <w:rStyle w:val="TableFigureFooterChar"/>
          <w:b w:val="0"/>
          <w:bCs/>
          <w:color w:val="000000" w:themeColor="text1"/>
        </w:rPr>
        <w:t xml:space="preserve">Source: </w:t>
      </w:r>
      <w:r>
        <w:rPr>
          <w:rStyle w:val="TableFigureFooterChar"/>
          <w:b w:val="0"/>
          <w:bCs/>
          <w:color w:val="000000" w:themeColor="text1"/>
        </w:rPr>
        <w:t>F</w:t>
      </w:r>
      <w:r w:rsidRPr="004149C9">
        <w:rPr>
          <w:rStyle w:val="TableFigureFooterChar"/>
          <w:b w:val="0"/>
          <w:bCs/>
          <w:color w:val="000000" w:themeColor="text1"/>
        </w:rPr>
        <w:t>igure 2-12, p145 of the submission</w:t>
      </w:r>
      <w:r w:rsidR="00B130B2">
        <w:rPr>
          <w:rStyle w:val="TableFigureFooterChar"/>
          <w:b w:val="0"/>
          <w:bCs/>
          <w:color w:val="000000" w:themeColor="text1"/>
        </w:rPr>
        <w:t>.</w:t>
      </w:r>
      <w:r w:rsidRPr="004149C9">
        <w:rPr>
          <w:color w:val="000000" w:themeColor="text1"/>
        </w:rPr>
        <w:t xml:space="preserve"> </w:t>
      </w:r>
      <w:bookmarkEnd w:id="43"/>
      <w:bookmarkEnd w:id="44"/>
    </w:p>
    <w:p w14:paraId="202A7E70" w14:textId="35524909" w:rsidR="004149C9" w:rsidRPr="004149C9" w:rsidRDefault="004149C9" w:rsidP="00CD4B50">
      <w:pPr>
        <w:pStyle w:val="TableFigureFooter"/>
        <w:keepNext/>
      </w:pPr>
      <w:r w:rsidRPr="58C81D04">
        <w:t>ARR =</w:t>
      </w:r>
      <w:r w:rsidRPr="58C81D04">
        <w:rPr>
          <w:spacing w:val="-3"/>
        </w:rPr>
        <w:t xml:space="preserve"> </w:t>
      </w:r>
      <w:r w:rsidRPr="58C81D04">
        <w:t>annualised</w:t>
      </w:r>
      <w:r w:rsidRPr="58C81D04">
        <w:rPr>
          <w:spacing w:val="-5"/>
        </w:rPr>
        <w:t xml:space="preserve"> </w:t>
      </w:r>
      <w:r w:rsidRPr="58C81D04">
        <w:t>relapse</w:t>
      </w:r>
      <w:r w:rsidRPr="58C81D04">
        <w:rPr>
          <w:spacing w:val="-4"/>
        </w:rPr>
        <w:t xml:space="preserve"> </w:t>
      </w:r>
      <w:r w:rsidRPr="58C81D04">
        <w:t>rate;</w:t>
      </w:r>
      <w:r w:rsidRPr="58C81D04">
        <w:rPr>
          <w:spacing w:val="-4"/>
        </w:rPr>
        <w:t xml:space="preserve"> </w:t>
      </w:r>
      <w:r w:rsidRPr="58C81D04">
        <w:t>CI =</w:t>
      </w:r>
      <w:r w:rsidRPr="58C81D04">
        <w:rPr>
          <w:spacing w:val="-4"/>
        </w:rPr>
        <w:t xml:space="preserve"> </w:t>
      </w:r>
      <w:r w:rsidRPr="58C81D04">
        <w:t>credible</w:t>
      </w:r>
      <w:r w:rsidRPr="58C81D04">
        <w:rPr>
          <w:spacing w:val="-4"/>
        </w:rPr>
        <w:t xml:space="preserve"> </w:t>
      </w:r>
      <w:r w:rsidRPr="58C81D04">
        <w:t>interval;</w:t>
      </w:r>
      <w:r w:rsidRPr="58C81D04">
        <w:rPr>
          <w:spacing w:val="-4"/>
        </w:rPr>
        <w:t xml:space="preserve"> </w:t>
      </w:r>
      <w:r w:rsidRPr="58C81D04">
        <w:t>DMT =</w:t>
      </w:r>
      <w:r w:rsidRPr="58C81D04">
        <w:rPr>
          <w:spacing w:val="-3"/>
        </w:rPr>
        <w:t xml:space="preserve"> </w:t>
      </w:r>
      <w:r w:rsidRPr="58C81D04">
        <w:t>disease</w:t>
      </w:r>
      <w:r w:rsidRPr="58C81D04">
        <w:rPr>
          <w:spacing w:val="-4"/>
        </w:rPr>
        <w:t xml:space="preserve"> </w:t>
      </w:r>
      <w:r w:rsidRPr="58C81D04">
        <w:t>modifying</w:t>
      </w:r>
      <w:r w:rsidRPr="58C81D04">
        <w:rPr>
          <w:spacing w:val="-4"/>
        </w:rPr>
        <w:t xml:space="preserve"> </w:t>
      </w:r>
      <w:r w:rsidRPr="58C81D04">
        <w:t>therapy;</w:t>
      </w:r>
      <w:r w:rsidRPr="58C81D04">
        <w:rPr>
          <w:spacing w:val="-4"/>
        </w:rPr>
        <w:t xml:space="preserve"> </w:t>
      </w:r>
      <w:r w:rsidRPr="58C81D04">
        <w:t>PBO =</w:t>
      </w:r>
      <w:r w:rsidRPr="58C81D04">
        <w:rPr>
          <w:spacing w:val="-3"/>
        </w:rPr>
        <w:t xml:space="preserve"> </w:t>
      </w:r>
      <w:r w:rsidRPr="58C81D04">
        <w:t xml:space="preserve">placebo </w:t>
      </w:r>
    </w:p>
    <w:p w14:paraId="08EADC79" w14:textId="77777777" w:rsidR="004149C9" w:rsidRPr="00AE74F3" w:rsidRDefault="004149C9" w:rsidP="00CD4B50">
      <w:pPr>
        <w:pStyle w:val="FooterTableFigure"/>
        <w:keepNext/>
        <w:keepLines/>
        <w:spacing w:after="0"/>
      </w:pPr>
      <w:r w:rsidRPr="00AE74F3">
        <w:rPr>
          <w:noProof/>
        </w:rPr>
        <w:drawing>
          <wp:inline distT="0" distB="0" distL="0" distR="0" wp14:anchorId="3518B260" wp14:editId="6372C63E">
            <wp:extent cx="5677786" cy="3429963"/>
            <wp:effectExtent l="0" t="0" r="0" b="0"/>
            <wp:docPr id="99394495" name="Picture 99394495" descr="Figure 2: Forest plot for treatments compared with placebo for ARR analysi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4495" name="Picture 99394495" descr="Figure 2: Forest plot for treatments compared with placebo for ARR analysis 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0019" cy="3443394"/>
                    </a:xfrm>
                    <a:prstGeom prst="rect">
                      <a:avLst/>
                    </a:prstGeom>
                    <a:noFill/>
                  </pic:spPr>
                </pic:pic>
              </a:graphicData>
            </a:graphic>
          </wp:inline>
        </w:drawing>
      </w:r>
    </w:p>
    <w:p w14:paraId="64D898B1" w14:textId="6CB65BA8" w:rsidR="004149C9" w:rsidRPr="001B4F5F" w:rsidRDefault="004149C9" w:rsidP="00CD4B50">
      <w:pPr>
        <w:pStyle w:val="TableFigureFooter"/>
        <w:jc w:val="both"/>
      </w:pPr>
      <w:r w:rsidRPr="58C81D04">
        <w:t>Source: Figure 2, paragraph 6.39, ofatumumab PSD, March 2024 PBAC Meeting</w:t>
      </w:r>
      <w:r w:rsidR="00F31215" w:rsidRPr="58C81D04">
        <w:t xml:space="preserve">. </w:t>
      </w:r>
      <w:r w:rsidR="00020362" w:rsidRPr="58C81D04">
        <w:t xml:space="preserve">ALE = alemtuzumab; </w:t>
      </w:r>
      <w:r w:rsidR="00350979" w:rsidRPr="58C81D04">
        <w:t xml:space="preserve">CLA = cladribine; DMF = dimethyl </w:t>
      </w:r>
      <w:r w:rsidR="00A16518" w:rsidRPr="58C81D04">
        <w:t>fumarate; FIN</w:t>
      </w:r>
      <w:r w:rsidR="00350979" w:rsidRPr="58C81D04">
        <w:t xml:space="preserve"> = fingolimod; GA 20 = glatiramer 20 mg subcutaneously daily; GA 40 = glatiramer 40 mg subcutaneously three times weekly; IFN = interferon; NAT = natalizumab; OCR = ocrelizumab; </w:t>
      </w:r>
      <w:r w:rsidR="00020362" w:rsidRPr="58C81D04">
        <w:t xml:space="preserve">OMB = ofatumumab; OZN = ozanimod; PON = </w:t>
      </w:r>
      <w:r w:rsidR="00350979" w:rsidRPr="58C81D04">
        <w:t>ponesimod</w:t>
      </w:r>
      <w:r w:rsidR="00020362" w:rsidRPr="58C81D04">
        <w:t xml:space="preserve">; </w:t>
      </w:r>
      <w:r w:rsidR="00350979" w:rsidRPr="58C81D04">
        <w:t>SC = subcutaneous; TER7 = teriflunomide 7 mg daily</w:t>
      </w:r>
      <w:r w:rsidR="008E2217" w:rsidRPr="58C81D04">
        <w:t xml:space="preserve">; TER14 = teriflunomide 14 mg daily; </w:t>
      </w:r>
      <w:r w:rsidR="00350979" w:rsidRPr="58C81D04">
        <w:t xml:space="preserve">UTX = ublituximab; </w:t>
      </w:r>
    </w:p>
    <w:p w14:paraId="5038C2E6" w14:textId="770F183D" w:rsidR="00184C82" w:rsidRPr="0043575D" w:rsidRDefault="00184C82" w:rsidP="00EC5836">
      <w:pPr>
        <w:pStyle w:val="3-BodyText"/>
        <w:rPr>
          <w:color w:val="000000" w:themeColor="text1"/>
        </w:rPr>
      </w:pPr>
      <w:r w:rsidRPr="0043575D">
        <w:rPr>
          <w:color w:val="000000" w:themeColor="text1"/>
        </w:rPr>
        <w:lastRenderedPageBreak/>
        <w:t>There were some differences between the two NMAs, notably the estimate of ARR ratio for fingolimod, which was 0.48 (0.39, 0.6) in ICER, 2023 and 0.42 (0.</w:t>
      </w:r>
      <w:r w:rsidR="00853C1A" w:rsidRPr="0043575D">
        <w:rPr>
          <w:color w:val="000000" w:themeColor="text1"/>
        </w:rPr>
        <w:t>35,</w:t>
      </w:r>
      <w:r w:rsidRPr="0043575D">
        <w:rPr>
          <w:color w:val="000000" w:themeColor="text1"/>
        </w:rPr>
        <w:t xml:space="preserve"> 0.50) in </w:t>
      </w:r>
      <w:proofErr w:type="spellStart"/>
      <w:r w:rsidRPr="0043575D">
        <w:rPr>
          <w:color w:val="000000" w:themeColor="text1"/>
        </w:rPr>
        <w:t>Samjoo</w:t>
      </w:r>
      <w:proofErr w:type="spellEnd"/>
      <w:r w:rsidRPr="0043575D">
        <w:rPr>
          <w:color w:val="000000" w:themeColor="text1"/>
        </w:rPr>
        <w:t xml:space="preserve">, 2023. </w:t>
      </w:r>
    </w:p>
    <w:p w14:paraId="31CFBF3F" w14:textId="2AE7406E" w:rsidR="001B4F5F" w:rsidRPr="0043575D" w:rsidRDefault="001B4F5F" w:rsidP="58C81D04">
      <w:pPr>
        <w:pStyle w:val="3-BodyText"/>
      </w:pPr>
      <w:bookmarkStart w:id="45" w:name="_Ref198119351"/>
      <w:r w:rsidRPr="0043575D">
        <w:t xml:space="preserve">Because of the overlapping 95% CIs, the methodological issues with the TEMSO, TOWER and TENERE trials, and the changes in diagnosis of multiple sclerosis and use of DMTs over time, the PBAC rejected the claim that the </w:t>
      </w:r>
      <w:proofErr w:type="spellStart"/>
      <w:r w:rsidRPr="0043575D">
        <w:t>Samjoo</w:t>
      </w:r>
      <w:proofErr w:type="spellEnd"/>
      <w:r w:rsidRPr="0043575D">
        <w:t>, 2023, NMA justified a conclusion that ofatumumab was superior to fingolimod (paragraphs 6.41, 6.42, 6.45, 6.46, ofatumumab PSD, March 2024 PBAC Meeting). The results of the ICER, 2023 NMA</w:t>
      </w:r>
      <w:r w:rsidR="00A63A56" w:rsidRPr="0043575D">
        <w:t xml:space="preserve">, </w:t>
      </w:r>
      <w:r w:rsidRPr="0043575D">
        <w:t xml:space="preserve">do not </w:t>
      </w:r>
      <w:r w:rsidR="00685317" w:rsidRPr="0043575D">
        <w:t>provide any reason to</w:t>
      </w:r>
      <w:r w:rsidRPr="0043575D">
        <w:t xml:space="preserve"> change that conclusion</w:t>
      </w:r>
      <w:r w:rsidR="00A16518" w:rsidRPr="0043575D">
        <w:t xml:space="preserve">. </w:t>
      </w:r>
      <w:r w:rsidR="008D6235" w:rsidRPr="000B114D">
        <w:t>The ESC considered the evidence</w:t>
      </w:r>
      <w:r w:rsidR="00E02B7F" w:rsidRPr="000B114D">
        <w:t xml:space="preserve"> underpinning the superiority claim for ublituximab over </w:t>
      </w:r>
      <w:r w:rsidR="003219A7" w:rsidRPr="000B114D">
        <w:t>fingolimod</w:t>
      </w:r>
      <w:r w:rsidR="00490CCD" w:rsidRPr="000B114D">
        <w:t xml:space="preserve">, including the results of the NMAs, did </w:t>
      </w:r>
      <w:r w:rsidR="00E91408" w:rsidRPr="000B114D">
        <w:t xml:space="preserve">not appear to be </w:t>
      </w:r>
      <w:r w:rsidR="0048061C" w:rsidRPr="000B114D">
        <w:t xml:space="preserve">stronger or more robust than that relied upon </w:t>
      </w:r>
      <w:r w:rsidR="008A7750" w:rsidRPr="000B114D">
        <w:t>in the earlier ofatumumab submission</w:t>
      </w:r>
      <w:r w:rsidR="004460D9" w:rsidRPr="000B114D">
        <w:t xml:space="preserve"> </w:t>
      </w:r>
      <w:r w:rsidR="003219A7" w:rsidRPr="000B114D">
        <w:t>to inform a simi</w:t>
      </w:r>
      <w:r w:rsidR="00AF11E4" w:rsidRPr="000B114D">
        <w:t>lar claim</w:t>
      </w:r>
      <w:r w:rsidR="00FF4E9D" w:rsidRPr="000B114D">
        <w:t>. Therefore, the ESC</w:t>
      </w:r>
      <w:r w:rsidR="002B79DC" w:rsidRPr="000B114D">
        <w:t xml:space="preserve"> considered </w:t>
      </w:r>
      <w:r w:rsidR="00844175" w:rsidRPr="000B114D">
        <w:t>it was likely reasonable to draw a similar therapeutic conclusion</w:t>
      </w:r>
      <w:r w:rsidR="000C7D9A">
        <w:t xml:space="preserve"> (non-inferiority)</w:t>
      </w:r>
      <w:r w:rsidR="00FF4E9D" w:rsidRPr="000B114D">
        <w:t xml:space="preserve"> for the comparative effectiveness of </w:t>
      </w:r>
      <w:r w:rsidR="00157BF4" w:rsidRPr="000B114D">
        <w:t>ublituximab</w:t>
      </w:r>
      <w:r w:rsidR="00983039" w:rsidRPr="000B114D">
        <w:t xml:space="preserve"> to fingolimod</w:t>
      </w:r>
      <w:r w:rsidR="004460D9" w:rsidRPr="000B114D">
        <w:t xml:space="preserve"> based on the available evidence</w:t>
      </w:r>
      <w:r w:rsidR="00983039" w:rsidRPr="000B114D">
        <w:t>.</w:t>
      </w:r>
      <w:bookmarkEnd w:id="45"/>
      <w:r w:rsidR="00983039" w:rsidRPr="000B114D">
        <w:t xml:space="preserve"> </w:t>
      </w:r>
    </w:p>
    <w:p w14:paraId="7A552A25" w14:textId="5257A674" w:rsidR="00514CE5" w:rsidRDefault="00644947" w:rsidP="00EC5836">
      <w:pPr>
        <w:pStyle w:val="3-BodyText"/>
      </w:pPr>
      <w:r w:rsidRPr="0043575D">
        <w:t>The</w:t>
      </w:r>
      <w:r w:rsidR="000B570C" w:rsidRPr="0043575D">
        <w:t xml:space="preserve"> next most widely reported outcome in the trials is confirmed disability progression lasting 3 and 6 months</w:t>
      </w:r>
      <w:r w:rsidR="00A16518" w:rsidRPr="0043575D">
        <w:t xml:space="preserve">. </w:t>
      </w:r>
      <w:r w:rsidR="000B570C" w:rsidRPr="0043575D">
        <w:t xml:space="preserve">The </w:t>
      </w:r>
      <w:r w:rsidRPr="0043575D">
        <w:t xml:space="preserve">submission presented </w:t>
      </w:r>
      <w:r w:rsidR="00853C1A" w:rsidRPr="0043575D">
        <w:t>estimates</w:t>
      </w:r>
      <w:r w:rsidR="001B4F5F" w:rsidRPr="0043575D">
        <w:t xml:space="preserve"> for confirmed disability progression (CDP) lasting </w:t>
      </w:r>
      <w:r w:rsidRPr="0043575D">
        <w:t>3 months</w:t>
      </w:r>
      <w:r w:rsidR="001B4F5F" w:rsidRPr="0043575D">
        <w:t xml:space="preserve"> or longer from ICER, 2023</w:t>
      </w:r>
      <w:r w:rsidRPr="0043575D">
        <w:t xml:space="preserve"> (shown in</w:t>
      </w:r>
      <w:r w:rsidR="0010534F" w:rsidRPr="0043575D">
        <w:t xml:space="preserve"> </w:t>
      </w:r>
      <w:r w:rsidRPr="0043575D">
        <w:fldChar w:fldCharType="begin"/>
      </w:r>
      <w:r w:rsidRPr="0043575D">
        <w:instrText xml:space="preserve"> REF _Ref188177731 \h </w:instrText>
      </w:r>
      <w:r w:rsidR="0043575D">
        <w:instrText xml:space="preserve"> \* MERGEFORMAT </w:instrText>
      </w:r>
      <w:r w:rsidRPr="0043575D">
        <w:fldChar w:fldCharType="separate"/>
      </w:r>
      <w:r w:rsidR="00D925D4" w:rsidRPr="58C81D04">
        <w:t xml:space="preserve">Figure </w:t>
      </w:r>
      <w:r w:rsidRPr="0043575D">
        <w:fldChar w:fldCharType="end"/>
      </w:r>
      <w:r w:rsidR="004A7AA0" w:rsidRPr="0043575D">
        <w:t>5</w:t>
      </w:r>
      <w:r w:rsidR="0010534F" w:rsidRPr="0043575D">
        <w:t xml:space="preserve"> </w:t>
      </w:r>
      <w:r w:rsidRPr="0043575D">
        <w:t xml:space="preserve">with </w:t>
      </w:r>
      <w:proofErr w:type="spellStart"/>
      <w:r w:rsidRPr="0043575D">
        <w:t>ublituximab</w:t>
      </w:r>
      <w:proofErr w:type="spellEnd"/>
      <w:r w:rsidRPr="0043575D">
        <w:t xml:space="preserve"> as reference). The analogous plot in the ofatumumab PSD from March 2024</w:t>
      </w:r>
      <w:r w:rsidR="00A40A8D" w:rsidRPr="0043575D">
        <w:t xml:space="preserve"> presenting estimates</w:t>
      </w:r>
      <w:r w:rsidRPr="0043575D">
        <w:t xml:space="preserve"> vs placebo</w:t>
      </w:r>
      <w:r w:rsidR="00572EA2" w:rsidRPr="0043575D">
        <w:t xml:space="preserve"> is shown in</w:t>
      </w:r>
      <w:r w:rsidR="0023616E" w:rsidRPr="0043575D">
        <w:t xml:space="preserve"> </w:t>
      </w:r>
      <w:r w:rsidR="007D32C4" w:rsidRPr="0043575D">
        <w:t xml:space="preserve">Figure </w:t>
      </w:r>
      <w:r w:rsidR="004A7AA0" w:rsidRPr="0043575D">
        <w:t>6</w:t>
      </w:r>
      <w:r w:rsidR="00812FFE" w:rsidRPr="0043575D">
        <w:t>.</w:t>
      </w:r>
    </w:p>
    <w:p w14:paraId="327EA780" w14:textId="2C2F2D60" w:rsidR="001B4F5F" w:rsidRDefault="0023616E" w:rsidP="0023616E">
      <w:pPr>
        <w:pStyle w:val="Caption"/>
      </w:pPr>
      <w:bookmarkStart w:id="46" w:name="_Ref188177731"/>
      <w:r w:rsidRPr="58C81D04">
        <w:t xml:space="preserve">Figure </w:t>
      </w:r>
      <w:bookmarkEnd w:id="46"/>
      <w:r w:rsidR="004A7AA0">
        <w:t>5</w:t>
      </w:r>
      <w:r w:rsidRPr="58C81D04">
        <w:t xml:space="preserve">: </w:t>
      </w:r>
      <w:r w:rsidR="001B4F5F" w:rsidRPr="58C81D04">
        <w:t xml:space="preserve">Forest plot of CDP </w:t>
      </w:r>
      <w:r w:rsidR="00644947" w:rsidRPr="58C81D04">
        <w:t xml:space="preserve">lasting 3 months or longer </w:t>
      </w:r>
      <w:r w:rsidR="001B4F5F" w:rsidRPr="58C81D04">
        <w:t xml:space="preserve">vs </w:t>
      </w:r>
      <w:r w:rsidR="00644947" w:rsidRPr="58C81D04">
        <w:t>ublituximab</w:t>
      </w:r>
      <w:r w:rsidR="001B4F5F" w:rsidRPr="58C81D04">
        <w:t xml:space="preserve"> in ICER, 2023</w:t>
      </w:r>
    </w:p>
    <w:p w14:paraId="2BA5AF3C" w14:textId="775A3610" w:rsidR="001B4F5F" w:rsidRPr="00644947" w:rsidRDefault="001E3CF0" w:rsidP="00576BD9">
      <w:pPr>
        <w:rPr>
          <w:b/>
          <w:bCs/>
        </w:rPr>
      </w:pPr>
      <w:r w:rsidRPr="00644947">
        <w:rPr>
          <w:noProof/>
        </w:rPr>
        <w:drawing>
          <wp:inline distT="0" distB="0" distL="0" distR="0" wp14:anchorId="5AD8FB9F" wp14:editId="57109718">
            <wp:extent cx="5018405" cy="2817495"/>
            <wp:effectExtent l="0" t="0" r="0" b="1905"/>
            <wp:docPr id="1329613901" name="Image 33" descr="A graph of a number of individua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9613901" name="Image 33" descr="A graph of a number of individuals"/>
                    <pic:cNvPicPr/>
                  </pic:nvPicPr>
                  <pic:blipFill>
                    <a:blip r:embed="rId14" cstate="print"/>
                    <a:stretch>
                      <a:fillRect/>
                    </a:stretch>
                  </pic:blipFill>
                  <pic:spPr>
                    <a:xfrm>
                      <a:off x="0" y="0"/>
                      <a:ext cx="5036511" cy="2827702"/>
                    </a:xfrm>
                    <a:prstGeom prst="rect">
                      <a:avLst/>
                    </a:prstGeom>
                  </pic:spPr>
                </pic:pic>
              </a:graphicData>
            </a:graphic>
          </wp:inline>
        </w:drawing>
      </w:r>
    </w:p>
    <w:p w14:paraId="13E0E682" w14:textId="4C0B65D2" w:rsidR="00644947" w:rsidRDefault="00644947" w:rsidP="00D119BE">
      <w:pPr>
        <w:pStyle w:val="TableFigureFooter"/>
      </w:pPr>
      <w:r w:rsidRPr="00644947">
        <w:t>Source: Figure 2-14, p148 of the submission.</w:t>
      </w:r>
    </w:p>
    <w:p w14:paraId="2A303D1F" w14:textId="6F9B1C29" w:rsidR="00572EA2" w:rsidRDefault="00812FFE" w:rsidP="00812FFE">
      <w:pPr>
        <w:pStyle w:val="Caption"/>
      </w:pPr>
      <w:bookmarkStart w:id="47" w:name="_Ref188177792"/>
      <w:r>
        <w:lastRenderedPageBreak/>
        <w:t xml:space="preserve">Figure </w:t>
      </w:r>
      <w:bookmarkEnd w:id="47"/>
      <w:r w:rsidR="004A7AA0">
        <w:t>6</w:t>
      </w:r>
      <w:r>
        <w:t>: F</w:t>
      </w:r>
      <w:r w:rsidR="00572EA2">
        <w:t xml:space="preserve">orest plot of CDP lasting 3 months or longer vs placebo in </w:t>
      </w:r>
      <w:proofErr w:type="spellStart"/>
      <w:r w:rsidR="00572EA2">
        <w:t>Samjoo</w:t>
      </w:r>
      <w:proofErr w:type="spellEnd"/>
      <w:r w:rsidR="00572EA2">
        <w:t>, 2023</w:t>
      </w:r>
    </w:p>
    <w:p w14:paraId="7D15D9E8" w14:textId="77777777" w:rsidR="00572EA2" w:rsidRPr="00AE74F3" w:rsidRDefault="00572EA2" w:rsidP="00572EA2">
      <w:pPr>
        <w:keepNext/>
        <w:keepLines/>
      </w:pPr>
      <w:r w:rsidRPr="00AE74F3">
        <w:rPr>
          <w:noProof/>
        </w:rPr>
        <w:drawing>
          <wp:inline distT="0" distB="0" distL="0" distR="0" wp14:anchorId="4DB7E0C8" wp14:editId="2B7F7FB4">
            <wp:extent cx="5731510" cy="3675380"/>
            <wp:effectExtent l="0" t="0" r="2540" b="1270"/>
            <wp:docPr id="929207438" name="Picture 929207438" descr="Figure 3: Forest plot for treatments compared with placebo for time to 3mCDP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07438" name="Picture 929207438" descr="Figure 3: Forest plot for treatments compared with placebo for time to 3mCDP analysis"/>
                    <pic:cNvPicPr/>
                  </pic:nvPicPr>
                  <pic:blipFill>
                    <a:blip r:embed="rId15"/>
                    <a:stretch>
                      <a:fillRect/>
                    </a:stretch>
                  </pic:blipFill>
                  <pic:spPr>
                    <a:xfrm>
                      <a:off x="0" y="0"/>
                      <a:ext cx="5733431" cy="3676612"/>
                    </a:xfrm>
                    <a:prstGeom prst="rect">
                      <a:avLst/>
                    </a:prstGeom>
                  </pic:spPr>
                </pic:pic>
              </a:graphicData>
            </a:graphic>
          </wp:inline>
        </w:drawing>
      </w:r>
    </w:p>
    <w:p w14:paraId="1DF8A7DA" w14:textId="7E9FAA01" w:rsidR="00572EA2" w:rsidRPr="00572EA2" w:rsidRDefault="00572EA2" w:rsidP="00EA6B6F">
      <w:pPr>
        <w:pStyle w:val="FooterTableFigure"/>
        <w:keepNext/>
        <w:keepLines/>
      </w:pPr>
      <w:r w:rsidRPr="58C81D04">
        <w:t>ALE = alemtuzumab; CDP = co</w:t>
      </w:r>
      <w:r w:rsidR="00E22FCF" w:rsidRPr="58C81D04">
        <w:t>nfirmed</w:t>
      </w:r>
      <w:r w:rsidRPr="58C81D04">
        <w:t xml:space="preserve"> dis</w:t>
      </w:r>
      <w:r w:rsidR="00E22FCF" w:rsidRPr="58C81D04">
        <w:t>ability</w:t>
      </w:r>
      <w:r w:rsidRPr="58C81D04">
        <w:t xml:space="preserve"> progression; CLA = cladribine; DMF = dimethyl fumarate; FIN = fingolimod; GA = glatiramer acetate; IFNB = interferon beta; IM = intramuscular; NAT= natalizumab; OCR = ocrelizumab; OMB = ofatumumab; OZ</w:t>
      </w:r>
      <w:r w:rsidR="00E22FCF" w:rsidRPr="58C81D04">
        <w:t>A</w:t>
      </w:r>
      <w:r w:rsidRPr="58C81D04">
        <w:t xml:space="preserve"> = ozanimod; PON = ponesimod; SC = subcutaneous;</w:t>
      </w:r>
      <w:r w:rsidR="00E22FCF" w:rsidRPr="58C81D04">
        <w:t xml:space="preserve"> TER7 = teriflunomide 7 mg daily; TER14 = teriflunomide 14 mg daily; </w:t>
      </w:r>
      <w:r w:rsidRPr="58C81D04">
        <w:t>UTX = ublituximab.</w:t>
      </w:r>
    </w:p>
    <w:p w14:paraId="7EB5788A" w14:textId="561B0D76" w:rsidR="00644947" w:rsidRPr="0043575D" w:rsidRDefault="00644947" w:rsidP="58C81D04">
      <w:pPr>
        <w:pStyle w:val="3-BodyText"/>
        <w:rPr>
          <w:color w:val="000000" w:themeColor="text1"/>
        </w:rPr>
      </w:pPr>
      <w:r w:rsidRPr="0043575D">
        <w:rPr>
          <w:color w:val="000000" w:themeColor="text1"/>
        </w:rPr>
        <w:t>The result</w:t>
      </w:r>
      <w:r w:rsidR="00A40A8D" w:rsidRPr="0043575D">
        <w:rPr>
          <w:color w:val="000000" w:themeColor="text1"/>
        </w:rPr>
        <w:t>s</w:t>
      </w:r>
      <w:r w:rsidRPr="0043575D">
        <w:rPr>
          <w:color w:val="000000" w:themeColor="text1"/>
        </w:rPr>
        <w:t xml:space="preserve"> of ICER, 2023 and </w:t>
      </w:r>
      <w:proofErr w:type="spellStart"/>
      <w:r w:rsidRPr="0043575D">
        <w:rPr>
          <w:color w:val="000000" w:themeColor="text1"/>
        </w:rPr>
        <w:t>Samjoo</w:t>
      </w:r>
      <w:proofErr w:type="spellEnd"/>
      <w:r w:rsidRPr="0043575D">
        <w:rPr>
          <w:color w:val="000000" w:themeColor="text1"/>
        </w:rPr>
        <w:t>, 2023 for CDP lasting 3 months or longer w</w:t>
      </w:r>
      <w:r w:rsidR="00B130B2" w:rsidRPr="0043575D">
        <w:rPr>
          <w:color w:val="000000" w:themeColor="text1"/>
        </w:rPr>
        <w:t>ere consistent.</w:t>
      </w:r>
      <w:r w:rsidR="00E025CB" w:rsidRPr="0043575D">
        <w:rPr>
          <w:color w:val="000000" w:themeColor="text1"/>
        </w:rPr>
        <w:t xml:space="preserve"> The most notable finding was that ocrelizumab, ofatumumab and fingolimod were</w:t>
      </w:r>
      <w:r w:rsidR="000B570C" w:rsidRPr="0043575D">
        <w:rPr>
          <w:color w:val="000000" w:themeColor="text1"/>
        </w:rPr>
        <w:t xml:space="preserve"> associated with statistically significant reductions in the risk of confirmed disability progression last</w:t>
      </w:r>
      <w:r w:rsidR="00AA2C79" w:rsidRPr="0043575D">
        <w:rPr>
          <w:color w:val="000000" w:themeColor="text1"/>
        </w:rPr>
        <w:t>ing</w:t>
      </w:r>
      <w:r w:rsidR="000B570C" w:rsidRPr="0043575D">
        <w:rPr>
          <w:color w:val="000000" w:themeColor="text1"/>
        </w:rPr>
        <w:t xml:space="preserve"> 3 months or longer and ublituximab was not</w:t>
      </w:r>
      <w:r w:rsidR="00A16518" w:rsidRPr="0043575D">
        <w:rPr>
          <w:color w:val="000000" w:themeColor="text1"/>
        </w:rPr>
        <w:t xml:space="preserve">. </w:t>
      </w:r>
    </w:p>
    <w:p w14:paraId="1F1DCA3C" w14:textId="5877ECEB" w:rsidR="00A61679" w:rsidRPr="0043575D" w:rsidRDefault="00E025CB" w:rsidP="00EA6B6F">
      <w:pPr>
        <w:pStyle w:val="3-BodyText"/>
      </w:pPr>
      <w:r w:rsidRPr="0043575D">
        <w:t xml:space="preserve">The submission also presented </w:t>
      </w:r>
      <w:r w:rsidR="00853C1A" w:rsidRPr="0043575D">
        <w:t>estimates</w:t>
      </w:r>
      <w:r w:rsidRPr="0043575D">
        <w:t xml:space="preserve"> for confirmed disability progression (CDP) lasting 6 months or longer from ICER, 2023 (shown in </w:t>
      </w:r>
      <w:r w:rsidRPr="0043575D">
        <w:fldChar w:fldCharType="begin"/>
      </w:r>
      <w:r w:rsidRPr="0043575D">
        <w:instrText xml:space="preserve"> REF _Ref188177827 \h </w:instrText>
      </w:r>
      <w:r w:rsidR="0043575D" w:rsidRPr="0043575D">
        <w:instrText xml:space="preserve"> \* MERGEFORMAT </w:instrText>
      </w:r>
      <w:r w:rsidRPr="0043575D">
        <w:fldChar w:fldCharType="separate"/>
      </w:r>
      <w:r w:rsidR="00D925D4" w:rsidRPr="58C81D04">
        <w:t xml:space="preserve">Figure </w:t>
      </w:r>
      <w:r w:rsidRPr="0043575D">
        <w:fldChar w:fldCharType="end"/>
      </w:r>
      <w:r w:rsidR="004A7AA0" w:rsidRPr="0043575D">
        <w:t>7</w:t>
      </w:r>
      <w:r w:rsidRPr="0043575D">
        <w:fldChar w:fldCharType="begin"/>
      </w:r>
      <w:r w:rsidRPr="0043575D">
        <w:instrText xml:space="preserve"> REF _Ref188177827 \h </w:instrText>
      </w:r>
      <w:r w:rsidR="0043575D" w:rsidRPr="0043575D">
        <w:instrText xml:space="preserve"> \* MERGEFORMAT </w:instrText>
      </w:r>
      <w:r w:rsidRPr="0043575D">
        <w:fldChar w:fldCharType="separate"/>
      </w:r>
      <w:r w:rsidR="00D925D4" w:rsidRPr="58C81D04">
        <w:t xml:space="preserve">Figure </w:t>
      </w:r>
      <w:r w:rsidRPr="0043575D">
        <w:fldChar w:fldCharType="end"/>
      </w:r>
      <w:r w:rsidR="00853C1A" w:rsidRPr="0043575D">
        <w:t xml:space="preserve"> </w:t>
      </w:r>
      <w:r w:rsidRPr="0043575D">
        <w:t xml:space="preserve">with </w:t>
      </w:r>
      <w:proofErr w:type="spellStart"/>
      <w:r w:rsidRPr="0043575D">
        <w:t>ublituximab</w:t>
      </w:r>
      <w:proofErr w:type="spellEnd"/>
      <w:r w:rsidRPr="0043575D">
        <w:t xml:space="preserve"> as reference). The analogous plot in the ofatumumab PSD from March 2024 presenting </w:t>
      </w:r>
      <w:r w:rsidR="00853C1A" w:rsidRPr="0043575D">
        <w:t>estimates</w:t>
      </w:r>
      <w:r w:rsidRPr="0043575D">
        <w:t xml:space="preserve"> vs placebo is shown in</w:t>
      </w:r>
      <w:r w:rsidR="005A63AF" w:rsidRPr="0043575D">
        <w:t xml:space="preserve"> Figure </w:t>
      </w:r>
      <w:r w:rsidR="004A7AA0" w:rsidRPr="0043575D">
        <w:t>8</w:t>
      </w:r>
      <w:r w:rsidR="00812FFE" w:rsidRPr="0043575D">
        <w:t>.</w:t>
      </w:r>
    </w:p>
    <w:p w14:paraId="240AB8F5" w14:textId="263FD305" w:rsidR="00EA6B6F" w:rsidRDefault="00812FFE" w:rsidP="00812FFE">
      <w:pPr>
        <w:pStyle w:val="Caption"/>
      </w:pPr>
      <w:bookmarkStart w:id="48" w:name="_Ref188177827"/>
      <w:r w:rsidRPr="58C81D04">
        <w:lastRenderedPageBreak/>
        <w:t xml:space="preserve">Figure </w:t>
      </w:r>
      <w:bookmarkEnd w:id="48"/>
      <w:r w:rsidR="004A7AA0">
        <w:t>7</w:t>
      </w:r>
      <w:r w:rsidR="00E025CB" w:rsidRPr="58C81D04">
        <w:rPr>
          <w:color w:val="000000" w:themeColor="text1"/>
        </w:rPr>
        <w:t xml:space="preserve">: </w:t>
      </w:r>
      <w:r w:rsidR="00E025CB" w:rsidRPr="58C81D04">
        <w:t>Forest plot of CDP lasting 6 months or longer vs ublituximab in ICER, 2023</w:t>
      </w:r>
    </w:p>
    <w:p w14:paraId="13A771BE" w14:textId="150CB865" w:rsidR="00E025CB" w:rsidRDefault="00EA6B6F" w:rsidP="00812FFE">
      <w:pPr>
        <w:pStyle w:val="Caption"/>
      </w:pPr>
      <w:r w:rsidRPr="00E025CB">
        <w:rPr>
          <w:rStyle w:val="TableFigureFooterChar"/>
          <w:b w:val="0"/>
          <w:bCs w:val="0"/>
          <w:noProof/>
          <w:color w:val="000000" w:themeColor="text1"/>
        </w:rPr>
        <w:drawing>
          <wp:inline distT="0" distB="0" distL="0" distR="0" wp14:anchorId="2014EB17" wp14:editId="04634E6D">
            <wp:extent cx="5156200" cy="3147060"/>
            <wp:effectExtent l="0" t="0" r="6350" b="0"/>
            <wp:docPr id="1926210187" name="Image 34" descr="A graph with black and white 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6210187" name="Image 34" descr="A graph with black and white lines"/>
                    <pic:cNvPicPr/>
                  </pic:nvPicPr>
                  <pic:blipFill>
                    <a:blip r:embed="rId16" cstate="print"/>
                    <a:stretch>
                      <a:fillRect/>
                    </a:stretch>
                  </pic:blipFill>
                  <pic:spPr>
                    <a:xfrm>
                      <a:off x="0" y="0"/>
                      <a:ext cx="5165763" cy="3152713"/>
                    </a:xfrm>
                    <a:prstGeom prst="rect">
                      <a:avLst/>
                    </a:prstGeom>
                  </pic:spPr>
                </pic:pic>
              </a:graphicData>
            </a:graphic>
          </wp:inline>
        </w:drawing>
      </w:r>
    </w:p>
    <w:p w14:paraId="015B0878" w14:textId="35863ED7" w:rsidR="00E025CB" w:rsidRDefault="00E025CB" w:rsidP="00E025CB">
      <w:pPr>
        <w:pStyle w:val="TableFigureHeading"/>
      </w:pPr>
      <w:r w:rsidRPr="00E025CB">
        <w:rPr>
          <w:rStyle w:val="TableFigureFooterChar"/>
          <w:b w:val="0"/>
          <w:bCs w:val="0"/>
          <w:color w:val="000000" w:themeColor="text1"/>
        </w:rPr>
        <w:t>Source: Figure 2-15, p148 of the submission</w:t>
      </w:r>
      <w:r>
        <w:t xml:space="preserve">. </w:t>
      </w:r>
    </w:p>
    <w:p w14:paraId="022B7CD2" w14:textId="64C55502" w:rsidR="00E025CB" w:rsidRDefault="00E025CB" w:rsidP="58C81D04">
      <w:pPr>
        <w:pStyle w:val="TableFigureHeading"/>
        <w:rPr>
          <w:rStyle w:val="TableFigureFooterChar"/>
          <w:b w:val="0"/>
          <w:bCs w:val="0"/>
          <w:color w:val="000000" w:themeColor="text1"/>
        </w:rPr>
      </w:pPr>
      <w:r w:rsidRPr="58C81D04">
        <w:rPr>
          <w:rStyle w:val="TableFigureFooterChar"/>
          <w:b w:val="0"/>
          <w:bCs w:val="0"/>
          <w:color w:val="000000" w:themeColor="text1"/>
        </w:rPr>
        <w:t xml:space="preserve">CDP-6 = confirmed disability progression lasting 6 months or longer; CI = credible interval; DMT = disease-modifying therapy; UBL = ublituximab. </w:t>
      </w:r>
    </w:p>
    <w:p w14:paraId="2A23F7E3" w14:textId="36DA160A" w:rsidR="00A61679" w:rsidRDefault="00A61679">
      <w:pPr>
        <w:jc w:val="left"/>
        <w:rPr>
          <w:rStyle w:val="TableFigureFooterChar"/>
          <w:b/>
          <w:bCs/>
          <w:color w:val="000000" w:themeColor="text1"/>
        </w:rPr>
      </w:pPr>
    </w:p>
    <w:p w14:paraId="749D8CD6" w14:textId="69192573" w:rsidR="00B130B2" w:rsidRDefault="00812FFE" w:rsidP="00812FFE">
      <w:pPr>
        <w:pStyle w:val="Caption"/>
      </w:pPr>
      <w:bookmarkStart w:id="49" w:name="_Ref188177850"/>
      <w:r>
        <w:t xml:space="preserve">Figure </w:t>
      </w:r>
      <w:bookmarkEnd w:id="49"/>
      <w:r w:rsidR="004A7AA0">
        <w:t>8</w:t>
      </w:r>
      <w:r>
        <w:t xml:space="preserve">: </w:t>
      </w:r>
      <w:r w:rsidR="00E025CB">
        <w:t xml:space="preserve">Forest plot of CDP lasting 6 months or longer vs placebo in </w:t>
      </w:r>
      <w:proofErr w:type="spellStart"/>
      <w:r w:rsidR="00E025CB">
        <w:t>Samjoo</w:t>
      </w:r>
      <w:proofErr w:type="spellEnd"/>
      <w:r w:rsidR="00E025CB">
        <w:t>, 2023</w:t>
      </w:r>
    </w:p>
    <w:p w14:paraId="46A1775F" w14:textId="77777777" w:rsidR="00E025CB" w:rsidRPr="00AE74F3" w:rsidRDefault="00E025CB" w:rsidP="00E025CB">
      <w:bookmarkStart w:id="50" w:name="_Hlk152967271"/>
      <w:r w:rsidRPr="00AE74F3">
        <w:rPr>
          <w:noProof/>
        </w:rPr>
        <w:drawing>
          <wp:inline distT="0" distB="0" distL="0" distR="0" wp14:anchorId="70EA5540" wp14:editId="2CCB668C">
            <wp:extent cx="5460398" cy="3419475"/>
            <wp:effectExtent l="0" t="0" r="6985" b="0"/>
            <wp:docPr id="1046032590" name="Picture 1046032590" descr="Figure 5: Forest plot for treatments compared with placebo for time to 6mCDP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32590" name="Picture 1046032590" descr="Figure 5: Forest plot for treatments compared with placebo for time to 6mCDP analysis"/>
                    <pic:cNvPicPr/>
                  </pic:nvPicPr>
                  <pic:blipFill rotWithShape="1">
                    <a:blip r:embed="rId17"/>
                    <a:srcRect l="6020" b="12601"/>
                    <a:stretch/>
                  </pic:blipFill>
                  <pic:spPr bwMode="auto">
                    <a:xfrm>
                      <a:off x="0" y="0"/>
                      <a:ext cx="5460398" cy="3419475"/>
                    </a:xfrm>
                    <a:prstGeom prst="rect">
                      <a:avLst/>
                    </a:prstGeom>
                    <a:ln>
                      <a:noFill/>
                    </a:ln>
                    <a:extLst>
                      <a:ext uri="{53640926-AAD7-44D8-BBD7-CCE9431645EC}">
                        <a14:shadowObscured xmlns:a14="http://schemas.microsoft.com/office/drawing/2010/main"/>
                      </a:ext>
                    </a:extLst>
                  </pic:spPr>
                </pic:pic>
              </a:graphicData>
            </a:graphic>
          </wp:inline>
        </w:drawing>
      </w:r>
    </w:p>
    <w:bookmarkEnd w:id="50"/>
    <w:p w14:paraId="3CC5B0EE" w14:textId="77777777" w:rsidR="000B570C" w:rsidRDefault="000B570C" w:rsidP="00E025CB">
      <w:pPr>
        <w:pStyle w:val="FooterTableFigure"/>
        <w:keepNext/>
        <w:keepLines/>
      </w:pPr>
      <w:r>
        <w:t xml:space="preserve">Source: Figure 5, paragraph 6.49, ofatumumab PSD, March 2024 PBAC Meeting. </w:t>
      </w:r>
    </w:p>
    <w:p w14:paraId="12FC2B11" w14:textId="74ACBF96" w:rsidR="00576BD9" w:rsidRPr="000B114D" w:rsidRDefault="00E025CB" w:rsidP="00EA6B6F">
      <w:pPr>
        <w:pStyle w:val="FooterTableFigure"/>
        <w:keepLines/>
      </w:pPr>
      <w:r w:rsidRPr="58C81D04">
        <w:t>ALE = alemtuzumab; CDP = confirmed disability progression; CLA = cladribine; DMF = dimethyl fumarate; FIN = fingolimod; GA = glatiramer acetate; IFNB = interferon beta; IM = intramuscular; NAT= natalizumab; OCR = ocrelizumab; OMB = ofatumumab; OZN = ozanimod; PON = ponesimod; SC = subcutaneous; TER =, teriflunomide; UTX = ublituximab.</w:t>
      </w:r>
    </w:p>
    <w:p w14:paraId="26823485" w14:textId="381B864E" w:rsidR="00E025CB" w:rsidRPr="0043575D" w:rsidRDefault="000F3B52" w:rsidP="58C81D04">
      <w:pPr>
        <w:pStyle w:val="3-BodyText"/>
        <w:rPr>
          <w:color w:val="000000" w:themeColor="text1"/>
        </w:rPr>
      </w:pPr>
      <w:r w:rsidRPr="0043575D">
        <w:rPr>
          <w:color w:val="000000" w:themeColor="text1"/>
        </w:rPr>
        <w:lastRenderedPageBreak/>
        <w:t>The</w:t>
      </w:r>
      <w:r w:rsidR="000B570C" w:rsidRPr="0043575D">
        <w:rPr>
          <w:color w:val="000000" w:themeColor="text1"/>
        </w:rPr>
        <w:t xml:space="preserve"> results of the two NMAs are</w:t>
      </w:r>
      <w:r w:rsidR="002F069D" w:rsidRPr="0043575D">
        <w:rPr>
          <w:color w:val="000000" w:themeColor="text1"/>
        </w:rPr>
        <w:t xml:space="preserve"> consistent</w:t>
      </w:r>
      <w:r w:rsidR="00B130B2" w:rsidRPr="0043575D">
        <w:rPr>
          <w:color w:val="000000" w:themeColor="text1"/>
        </w:rPr>
        <w:t>;</w:t>
      </w:r>
      <w:r w:rsidR="000B570C" w:rsidRPr="0043575D">
        <w:rPr>
          <w:color w:val="000000" w:themeColor="text1"/>
        </w:rPr>
        <w:t xml:space="preserve"> ocrelizumab, ofatumumab and fingolimod </w:t>
      </w:r>
      <w:r w:rsidR="00B130B2" w:rsidRPr="0043575D">
        <w:rPr>
          <w:color w:val="000000" w:themeColor="text1"/>
        </w:rPr>
        <w:t xml:space="preserve">were </w:t>
      </w:r>
      <w:r w:rsidR="000B570C" w:rsidRPr="0043575D">
        <w:rPr>
          <w:color w:val="000000" w:themeColor="text1"/>
        </w:rPr>
        <w:t xml:space="preserve">associated with statistically significant reductions in the risk of confirmed disability progression lasting 6 months or longer and ublituximab </w:t>
      </w:r>
      <w:r w:rsidR="00B130B2" w:rsidRPr="0043575D">
        <w:rPr>
          <w:color w:val="000000" w:themeColor="text1"/>
        </w:rPr>
        <w:t xml:space="preserve">was </w:t>
      </w:r>
      <w:r w:rsidR="000B570C" w:rsidRPr="0043575D">
        <w:rPr>
          <w:color w:val="000000" w:themeColor="text1"/>
        </w:rPr>
        <w:t xml:space="preserve">not. </w:t>
      </w:r>
    </w:p>
    <w:p w14:paraId="5CD12874" w14:textId="77777777" w:rsidR="00D02CF0" w:rsidRPr="00004D7E" w:rsidRDefault="00D02CF0" w:rsidP="00004D7E">
      <w:pPr>
        <w:pStyle w:val="4-SubsectionHeading"/>
      </w:pPr>
      <w:bookmarkStart w:id="51" w:name="_Toc193112859"/>
      <w:r w:rsidRPr="00004D7E">
        <w:t>Comparative harms</w:t>
      </w:r>
      <w:bookmarkEnd w:id="51"/>
    </w:p>
    <w:p w14:paraId="7CEC62C6" w14:textId="7469B459" w:rsidR="003B3B38" w:rsidRPr="0043575D" w:rsidRDefault="003B3B38" w:rsidP="58C81D04">
      <w:pPr>
        <w:pStyle w:val="3-BodyText"/>
        <w:rPr>
          <w:color w:val="000000" w:themeColor="text1"/>
        </w:rPr>
      </w:pPr>
      <w:r w:rsidRPr="0043575D">
        <w:rPr>
          <w:color w:val="000000" w:themeColor="text1"/>
        </w:rPr>
        <w:t>Adverse events in ULTIMATE I and II are shown in</w:t>
      </w:r>
      <w:r w:rsidR="0010534F" w:rsidRPr="0043575D">
        <w:rPr>
          <w:color w:val="000000" w:themeColor="text1"/>
        </w:rPr>
        <w:t xml:space="preserve"> </w:t>
      </w:r>
      <w:r w:rsidR="0010534F" w:rsidRPr="0043575D">
        <w:rPr>
          <w:color w:val="000000" w:themeColor="text1"/>
        </w:rPr>
        <w:fldChar w:fldCharType="begin"/>
      </w:r>
      <w:r w:rsidR="0010534F" w:rsidRPr="0043575D">
        <w:rPr>
          <w:color w:val="000000" w:themeColor="text1"/>
        </w:rPr>
        <w:instrText xml:space="preserve"> REF _Ref190520296 \h </w:instrText>
      </w:r>
      <w:r w:rsidR="0043575D" w:rsidRPr="0043575D">
        <w:rPr>
          <w:color w:val="000000" w:themeColor="text1"/>
        </w:rPr>
        <w:instrText xml:space="preserve"> \* MERGEFORMAT </w:instrText>
      </w:r>
      <w:r w:rsidR="0010534F" w:rsidRPr="0043575D">
        <w:rPr>
          <w:color w:val="000000" w:themeColor="text1"/>
        </w:rPr>
      </w:r>
      <w:r w:rsidR="0010534F" w:rsidRPr="0043575D">
        <w:rPr>
          <w:color w:val="000000" w:themeColor="text1"/>
        </w:rPr>
        <w:fldChar w:fldCharType="separate"/>
      </w:r>
      <w:r w:rsidR="00D925D4">
        <w:t xml:space="preserve">Table </w:t>
      </w:r>
      <w:r w:rsidR="00D925D4">
        <w:rPr>
          <w:noProof/>
        </w:rPr>
        <w:t>9</w:t>
      </w:r>
      <w:r w:rsidR="0010534F" w:rsidRPr="0043575D">
        <w:rPr>
          <w:color w:val="000000" w:themeColor="text1"/>
        </w:rPr>
        <w:fldChar w:fldCharType="end"/>
      </w:r>
      <w:r w:rsidR="0010534F" w:rsidRPr="0043575D">
        <w:rPr>
          <w:color w:val="000000" w:themeColor="text1"/>
        </w:rPr>
        <w:t xml:space="preserve">. </w:t>
      </w:r>
      <w:r w:rsidR="00061B50" w:rsidRPr="0043575D">
        <w:rPr>
          <w:color w:val="000000" w:themeColor="text1"/>
        </w:rPr>
        <w:t xml:space="preserve">Data were presented only for patients with at least one event, not the total number of events, which for some adverse events, such as infusion reactions, may under-represent the burden of adverse events. </w:t>
      </w:r>
    </w:p>
    <w:p w14:paraId="5BC67E57" w14:textId="1EBADCA4" w:rsidR="00576BD9" w:rsidRPr="00A05767" w:rsidRDefault="00061B50" w:rsidP="00A05767">
      <w:pPr>
        <w:pStyle w:val="3-BodyText"/>
        <w:rPr>
          <w:color w:val="000000" w:themeColor="text1"/>
        </w:rPr>
      </w:pPr>
      <w:r w:rsidRPr="0043575D">
        <w:rPr>
          <w:color w:val="000000" w:themeColor="text1"/>
        </w:rPr>
        <w:t xml:space="preserve">Adverse events of Grade 3 or higher, serious adverse events, and adverse events leading to interruption or discontinuation of study treatment were common, and more frequent in ublituximab-treated than in teriflunomide-treated patients. </w:t>
      </w:r>
    </w:p>
    <w:p w14:paraId="098A166A" w14:textId="6310EBAA" w:rsidR="003B3B38" w:rsidRDefault="0010534F" w:rsidP="0010534F">
      <w:pPr>
        <w:pStyle w:val="Caption"/>
      </w:pPr>
      <w:bookmarkStart w:id="52" w:name="_Ref190520296"/>
      <w:r>
        <w:t xml:space="preserve">Table </w:t>
      </w:r>
      <w:r>
        <w:fldChar w:fldCharType="begin"/>
      </w:r>
      <w:r>
        <w:instrText xml:space="preserve"> SEQ Table \* ARABIC </w:instrText>
      </w:r>
      <w:r>
        <w:fldChar w:fldCharType="separate"/>
      </w:r>
      <w:r w:rsidR="00D925D4">
        <w:rPr>
          <w:noProof/>
        </w:rPr>
        <w:t>9</w:t>
      </w:r>
      <w:r>
        <w:rPr>
          <w:noProof/>
        </w:rPr>
        <w:fldChar w:fldCharType="end"/>
      </w:r>
      <w:bookmarkEnd w:id="52"/>
      <w:r>
        <w:t xml:space="preserve">: </w:t>
      </w:r>
      <w:r w:rsidR="003B3B38">
        <w:t>Adverse events in ULTIMATE I and II</w:t>
      </w:r>
    </w:p>
    <w:tbl>
      <w:tblPr>
        <w:tblStyle w:val="TableGrid"/>
        <w:tblW w:w="0" w:type="auto"/>
        <w:tblLook w:val="04A0" w:firstRow="1" w:lastRow="0" w:firstColumn="1" w:lastColumn="0" w:noHBand="0" w:noVBand="1"/>
      </w:tblPr>
      <w:tblGrid>
        <w:gridCol w:w="1803"/>
        <w:gridCol w:w="1803"/>
        <w:gridCol w:w="1803"/>
        <w:gridCol w:w="1804"/>
        <w:gridCol w:w="1804"/>
      </w:tblGrid>
      <w:tr w:rsidR="003B3B38" w14:paraId="7F10ED75" w14:textId="77777777" w:rsidTr="58C81D04">
        <w:tc>
          <w:tcPr>
            <w:tcW w:w="1803" w:type="dxa"/>
          </w:tcPr>
          <w:p w14:paraId="17B8F49D" w14:textId="77777777" w:rsidR="003B3B38" w:rsidRDefault="003B3B38" w:rsidP="003B3B38">
            <w:pPr>
              <w:pStyle w:val="TableFigureHeading"/>
            </w:pPr>
          </w:p>
        </w:tc>
        <w:tc>
          <w:tcPr>
            <w:tcW w:w="3606" w:type="dxa"/>
            <w:gridSpan w:val="2"/>
          </w:tcPr>
          <w:p w14:paraId="0FAB9FFD" w14:textId="2C510451" w:rsidR="003B3B38" w:rsidRDefault="003B3B38" w:rsidP="003B3B38">
            <w:pPr>
              <w:pStyle w:val="TableFigureHeading"/>
            </w:pPr>
            <w:r>
              <w:t>ULTIMATE I</w:t>
            </w:r>
          </w:p>
        </w:tc>
        <w:tc>
          <w:tcPr>
            <w:tcW w:w="3608" w:type="dxa"/>
            <w:gridSpan w:val="2"/>
          </w:tcPr>
          <w:p w14:paraId="263CA19E" w14:textId="7132F425" w:rsidR="003B3B38" w:rsidRDefault="003B3B38" w:rsidP="003B3B38">
            <w:pPr>
              <w:pStyle w:val="TableFigureHeading"/>
            </w:pPr>
            <w:r>
              <w:t>ULTIMATE II</w:t>
            </w:r>
          </w:p>
        </w:tc>
      </w:tr>
      <w:tr w:rsidR="003B3B38" w14:paraId="0EFAD340" w14:textId="77777777" w:rsidTr="58C81D04">
        <w:tc>
          <w:tcPr>
            <w:tcW w:w="1803" w:type="dxa"/>
          </w:tcPr>
          <w:p w14:paraId="47729126" w14:textId="77777777" w:rsidR="003B3B38" w:rsidRDefault="003B3B38" w:rsidP="003B3B38">
            <w:pPr>
              <w:pStyle w:val="TableFigureHeading"/>
            </w:pPr>
          </w:p>
        </w:tc>
        <w:tc>
          <w:tcPr>
            <w:tcW w:w="1803" w:type="dxa"/>
          </w:tcPr>
          <w:p w14:paraId="42ACFCEF" w14:textId="77777777" w:rsidR="003B3B38" w:rsidRDefault="003B3B38" w:rsidP="58C81D04">
            <w:pPr>
              <w:pStyle w:val="TableFigureHeading"/>
            </w:pPr>
            <w:r w:rsidRPr="58C81D04">
              <w:t>Ublituximab</w:t>
            </w:r>
          </w:p>
          <w:p w14:paraId="11372B03" w14:textId="655EF2E7" w:rsidR="003B3B38" w:rsidRDefault="003B3B38" w:rsidP="003B3B38">
            <w:pPr>
              <w:pStyle w:val="TableFigureHeading"/>
            </w:pPr>
            <w:r>
              <w:t xml:space="preserve">N = </w:t>
            </w:r>
            <w:r w:rsidR="008A4BE3">
              <w:t>273</w:t>
            </w:r>
          </w:p>
        </w:tc>
        <w:tc>
          <w:tcPr>
            <w:tcW w:w="1803" w:type="dxa"/>
          </w:tcPr>
          <w:p w14:paraId="67B7A34B" w14:textId="77777777" w:rsidR="003B3B38" w:rsidRDefault="003B3B38" w:rsidP="003B3B38">
            <w:pPr>
              <w:pStyle w:val="TableFigureHeading"/>
            </w:pPr>
            <w:r>
              <w:t>Teriflunomide</w:t>
            </w:r>
          </w:p>
          <w:p w14:paraId="0C79BB27" w14:textId="7A90F6A8" w:rsidR="003B3B38" w:rsidRDefault="003B3B38" w:rsidP="003B3B38">
            <w:pPr>
              <w:pStyle w:val="TableFigureHeading"/>
            </w:pPr>
            <w:r>
              <w:t xml:space="preserve">N = </w:t>
            </w:r>
            <w:r w:rsidR="008A4BE3">
              <w:t>275</w:t>
            </w:r>
          </w:p>
        </w:tc>
        <w:tc>
          <w:tcPr>
            <w:tcW w:w="1804" w:type="dxa"/>
          </w:tcPr>
          <w:p w14:paraId="628C5020" w14:textId="77777777" w:rsidR="003B3B38" w:rsidRDefault="003B3B38" w:rsidP="58C81D04">
            <w:pPr>
              <w:pStyle w:val="TableFigureHeading"/>
            </w:pPr>
            <w:r w:rsidRPr="58C81D04">
              <w:t>Ublituximab</w:t>
            </w:r>
          </w:p>
          <w:p w14:paraId="350D8F53" w14:textId="3AD7BE12" w:rsidR="003B3B38" w:rsidRDefault="003B3B38" w:rsidP="003B3B38">
            <w:pPr>
              <w:pStyle w:val="TableFigureHeading"/>
            </w:pPr>
            <w:r>
              <w:t xml:space="preserve">N = </w:t>
            </w:r>
            <w:r w:rsidR="008A4BE3">
              <w:t>272</w:t>
            </w:r>
          </w:p>
        </w:tc>
        <w:tc>
          <w:tcPr>
            <w:tcW w:w="1804" w:type="dxa"/>
          </w:tcPr>
          <w:p w14:paraId="6AFE451E" w14:textId="77777777" w:rsidR="003B3B38" w:rsidRDefault="003B3B38" w:rsidP="003B3B38">
            <w:pPr>
              <w:pStyle w:val="TableFigureHeading"/>
            </w:pPr>
            <w:r>
              <w:t>Teriflunomide</w:t>
            </w:r>
          </w:p>
          <w:p w14:paraId="644039EB" w14:textId="6DFF8318" w:rsidR="003B3B38" w:rsidRDefault="003B3B38" w:rsidP="003B3B38">
            <w:pPr>
              <w:pStyle w:val="TableFigureHeading"/>
            </w:pPr>
            <w:r>
              <w:t xml:space="preserve">N = </w:t>
            </w:r>
            <w:r w:rsidR="008A4BE3">
              <w:t>273</w:t>
            </w:r>
          </w:p>
        </w:tc>
      </w:tr>
      <w:tr w:rsidR="003B3B38" w14:paraId="0D84DE66" w14:textId="77777777" w:rsidTr="58C81D04">
        <w:tc>
          <w:tcPr>
            <w:tcW w:w="1803" w:type="dxa"/>
          </w:tcPr>
          <w:p w14:paraId="478700C9" w14:textId="2EF02035" w:rsidR="003B3B38" w:rsidRPr="008A4BE3" w:rsidRDefault="00D17D11" w:rsidP="008A4BE3">
            <w:pPr>
              <w:pStyle w:val="TableText0"/>
            </w:pPr>
            <w:r>
              <w:t>P</w:t>
            </w:r>
            <w:r w:rsidR="008A4BE3">
              <w:t xml:space="preserve">atients with </w:t>
            </w:r>
            <w:r w:rsidR="008A4BE3" w:rsidRPr="008A4BE3">
              <w:t>TEAE</w:t>
            </w:r>
            <w:r w:rsidR="008A4BE3">
              <w:t>, n (%)</w:t>
            </w:r>
          </w:p>
        </w:tc>
        <w:tc>
          <w:tcPr>
            <w:tcW w:w="1803" w:type="dxa"/>
          </w:tcPr>
          <w:p w14:paraId="21360440" w14:textId="1E982572" w:rsidR="003B3B38" w:rsidRPr="008A4BE3" w:rsidRDefault="008A4BE3" w:rsidP="008A4BE3">
            <w:pPr>
              <w:pStyle w:val="TableText0"/>
            </w:pPr>
            <w:r w:rsidRPr="008A4BE3">
              <w:t>235 (86.1%)</w:t>
            </w:r>
          </w:p>
        </w:tc>
        <w:tc>
          <w:tcPr>
            <w:tcW w:w="1803" w:type="dxa"/>
          </w:tcPr>
          <w:p w14:paraId="304DCDF0" w14:textId="10F8E2AE" w:rsidR="003B3B38" w:rsidRPr="008A4BE3" w:rsidRDefault="008A4BE3" w:rsidP="008A4BE3">
            <w:pPr>
              <w:pStyle w:val="TableText0"/>
            </w:pPr>
            <w:r w:rsidRPr="008A4BE3">
              <w:t>245 (89.1%)</w:t>
            </w:r>
          </w:p>
        </w:tc>
        <w:tc>
          <w:tcPr>
            <w:tcW w:w="1804" w:type="dxa"/>
          </w:tcPr>
          <w:p w14:paraId="33E23CFD" w14:textId="3F90C27E" w:rsidR="003B3B38" w:rsidRPr="008A4BE3" w:rsidRDefault="008A4BE3" w:rsidP="008A4BE3">
            <w:pPr>
              <w:pStyle w:val="TableText0"/>
            </w:pPr>
            <w:r w:rsidRPr="008A4BE3">
              <w:t>251 (92.3%)</w:t>
            </w:r>
          </w:p>
        </w:tc>
        <w:tc>
          <w:tcPr>
            <w:tcW w:w="1804" w:type="dxa"/>
          </w:tcPr>
          <w:p w14:paraId="094A96B9" w14:textId="4A0837C4" w:rsidR="003B3B38" w:rsidRPr="008A4BE3" w:rsidRDefault="008A4BE3" w:rsidP="008A4BE3">
            <w:pPr>
              <w:pStyle w:val="TableText0"/>
            </w:pPr>
            <w:r w:rsidRPr="008A4BE3">
              <w:t>256 (93.8%)</w:t>
            </w:r>
          </w:p>
        </w:tc>
      </w:tr>
      <w:tr w:rsidR="003B3B38" w14:paraId="041EE9F4" w14:textId="77777777" w:rsidTr="58C81D04">
        <w:tc>
          <w:tcPr>
            <w:tcW w:w="1803" w:type="dxa"/>
          </w:tcPr>
          <w:p w14:paraId="3D54A275" w14:textId="4DFD779F" w:rsidR="003B3B38" w:rsidRPr="008A4BE3" w:rsidRDefault="00D17D11" w:rsidP="008A4BE3">
            <w:pPr>
              <w:pStyle w:val="TableText0"/>
            </w:pPr>
            <w:r>
              <w:t>P</w:t>
            </w:r>
            <w:r w:rsidR="008A4BE3">
              <w:t>atients with TEAE Grade 3 or higher, n (%)</w:t>
            </w:r>
          </w:p>
        </w:tc>
        <w:tc>
          <w:tcPr>
            <w:tcW w:w="1803" w:type="dxa"/>
          </w:tcPr>
          <w:p w14:paraId="72E92D34" w14:textId="0808AE09" w:rsidR="003B3B38" w:rsidRPr="008A4BE3" w:rsidRDefault="008A4BE3" w:rsidP="008A4BE3">
            <w:pPr>
              <w:pStyle w:val="TableText0"/>
            </w:pPr>
            <w:r>
              <w:t>72 (26.4%)</w:t>
            </w:r>
          </w:p>
        </w:tc>
        <w:tc>
          <w:tcPr>
            <w:tcW w:w="1803" w:type="dxa"/>
          </w:tcPr>
          <w:p w14:paraId="767827C3" w14:textId="36E3BBC4" w:rsidR="003B3B38" w:rsidRPr="008A4BE3" w:rsidRDefault="008A4BE3" w:rsidP="008A4BE3">
            <w:pPr>
              <w:pStyle w:val="TableText0"/>
            </w:pPr>
            <w:r>
              <w:t>43 (15.6%)</w:t>
            </w:r>
          </w:p>
        </w:tc>
        <w:tc>
          <w:tcPr>
            <w:tcW w:w="1804" w:type="dxa"/>
          </w:tcPr>
          <w:p w14:paraId="7A9A580D" w14:textId="50F8213D" w:rsidR="003B3B38" w:rsidRPr="008A4BE3" w:rsidRDefault="008A4BE3" w:rsidP="008A4BE3">
            <w:pPr>
              <w:pStyle w:val="TableText0"/>
            </w:pPr>
            <w:r>
              <w:t>44 (16.2%)</w:t>
            </w:r>
          </w:p>
        </w:tc>
        <w:tc>
          <w:tcPr>
            <w:tcW w:w="1804" w:type="dxa"/>
          </w:tcPr>
          <w:p w14:paraId="0E30E070" w14:textId="18C15F6B" w:rsidR="003B3B38" w:rsidRPr="008A4BE3" w:rsidRDefault="008A4BE3" w:rsidP="008A4BE3">
            <w:pPr>
              <w:pStyle w:val="TableText0"/>
            </w:pPr>
            <w:r>
              <w:t>34 (12.5%)</w:t>
            </w:r>
          </w:p>
        </w:tc>
      </w:tr>
      <w:tr w:rsidR="003B3B38" w14:paraId="7674C4C4" w14:textId="77777777" w:rsidTr="58C81D04">
        <w:tc>
          <w:tcPr>
            <w:tcW w:w="1803" w:type="dxa"/>
          </w:tcPr>
          <w:p w14:paraId="3101F123" w14:textId="50ED436E" w:rsidR="003B3B38" w:rsidRPr="008A4BE3" w:rsidRDefault="00D17D11" w:rsidP="008A4BE3">
            <w:pPr>
              <w:pStyle w:val="TableText0"/>
            </w:pPr>
            <w:r>
              <w:t>P</w:t>
            </w:r>
            <w:r w:rsidR="008A4BE3">
              <w:t>atients with TESAE, n (%)</w:t>
            </w:r>
          </w:p>
        </w:tc>
        <w:tc>
          <w:tcPr>
            <w:tcW w:w="1803" w:type="dxa"/>
          </w:tcPr>
          <w:p w14:paraId="328C87BC" w14:textId="1C1FA63D" w:rsidR="003B3B38" w:rsidRPr="008A4BE3" w:rsidRDefault="008A4BE3" w:rsidP="008A4BE3">
            <w:pPr>
              <w:pStyle w:val="TableText0"/>
            </w:pPr>
            <w:r>
              <w:t>31 (11.4%)</w:t>
            </w:r>
          </w:p>
        </w:tc>
        <w:tc>
          <w:tcPr>
            <w:tcW w:w="1803" w:type="dxa"/>
          </w:tcPr>
          <w:p w14:paraId="543FFDBB" w14:textId="18C86D89" w:rsidR="003B3B38" w:rsidRPr="008A4BE3" w:rsidRDefault="008A4BE3" w:rsidP="008A4BE3">
            <w:pPr>
              <w:pStyle w:val="TableText0"/>
            </w:pPr>
            <w:r>
              <w:t>19 (6.9%)</w:t>
            </w:r>
          </w:p>
        </w:tc>
        <w:tc>
          <w:tcPr>
            <w:tcW w:w="1804" w:type="dxa"/>
          </w:tcPr>
          <w:p w14:paraId="35F5BEE2" w14:textId="6FB5FB2C" w:rsidR="003B3B38" w:rsidRPr="008A4BE3" w:rsidRDefault="008A4BE3" w:rsidP="008A4BE3">
            <w:pPr>
              <w:pStyle w:val="TableText0"/>
            </w:pPr>
            <w:r>
              <w:t>28 (10.3%)</w:t>
            </w:r>
          </w:p>
        </w:tc>
        <w:tc>
          <w:tcPr>
            <w:tcW w:w="1804" w:type="dxa"/>
          </w:tcPr>
          <w:p w14:paraId="2FA8B6AD" w14:textId="1F7D8AD0" w:rsidR="003B3B38" w:rsidRPr="008A4BE3" w:rsidRDefault="008A4BE3" w:rsidP="008A4BE3">
            <w:pPr>
              <w:pStyle w:val="TableText0"/>
            </w:pPr>
            <w:r>
              <w:t>21 (7.7%)</w:t>
            </w:r>
          </w:p>
        </w:tc>
      </w:tr>
      <w:tr w:rsidR="003B3B38" w14:paraId="7940EBD5" w14:textId="77777777" w:rsidTr="58C81D04">
        <w:tc>
          <w:tcPr>
            <w:tcW w:w="1803" w:type="dxa"/>
          </w:tcPr>
          <w:p w14:paraId="78AD7CB3" w14:textId="6BDE376D" w:rsidR="003B3B38" w:rsidRPr="008A4BE3" w:rsidRDefault="00D17D11" w:rsidP="008A4BE3">
            <w:pPr>
              <w:pStyle w:val="TableText0"/>
            </w:pPr>
            <w:r>
              <w:t>P</w:t>
            </w:r>
            <w:r w:rsidR="008A4BE3">
              <w:t>atients with TEAE leading to interruption of study drug, n (%)</w:t>
            </w:r>
          </w:p>
        </w:tc>
        <w:tc>
          <w:tcPr>
            <w:tcW w:w="1803" w:type="dxa"/>
          </w:tcPr>
          <w:p w14:paraId="3295D5A4" w14:textId="52A34AE2" w:rsidR="003B3B38" w:rsidRPr="008A4BE3" w:rsidRDefault="008A4BE3" w:rsidP="008A4BE3">
            <w:pPr>
              <w:pStyle w:val="TableText0"/>
            </w:pPr>
            <w:r>
              <w:t>48 (17.6%)</w:t>
            </w:r>
          </w:p>
        </w:tc>
        <w:tc>
          <w:tcPr>
            <w:tcW w:w="1803" w:type="dxa"/>
          </w:tcPr>
          <w:p w14:paraId="3931BCBC" w14:textId="7C959211" w:rsidR="003B3B38" w:rsidRPr="008A4BE3" w:rsidRDefault="008A4BE3" w:rsidP="008A4BE3">
            <w:pPr>
              <w:pStyle w:val="TableText0"/>
            </w:pPr>
            <w:r>
              <w:t>17 (6.2%)</w:t>
            </w:r>
          </w:p>
        </w:tc>
        <w:tc>
          <w:tcPr>
            <w:tcW w:w="1804" w:type="dxa"/>
          </w:tcPr>
          <w:p w14:paraId="44224F10" w14:textId="1A8C4B6F" w:rsidR="003B3B38" w:rsidRPr="008A4BE3" w:rsidRDefault="008A4BE3" w:rsidP="008A4BE3">
            <w:pPr>
              <w:pStyle w:val="TableText0"/>
            </w:pPr>
            <w:r>
              <w:t>42 (15.4%)</w:t>
            </w:r>
          </w:p>
        </w:tc>
        <w:tc>
          <w:tcPr>
            <w:tcW w:w="1804" w:type="dxa"/>
          </w:tcPr>
          <w:p w14:paraId="733FFFB0" w14:textId="22A63B0E" w:rsidR="003B3B38" w:rsidRPr="008A4BE3" w:rsidRDefault="008A4BE3" w:rsidP="008A4BE3">
            <w:pPr>
              <w:pStyle w:val="TableText0"/>
            </w:pPr>
            <w:r>
              <w:t>34 (12.5%)</w:t>
            </w:r>
          </w:p>
        </w:tc>
      </w:tr>
      <w:tr w:rsidR="003B3B38" w14:paraId="27D8FE19" w14:textId="77777777" w:rsidTr="58C81D04">
        <w:tc>
          <w:tcPr>
            <w:tcW w:w="1803" w:type="dxa"/>
          </w:tcPr>
          <w:p w14:paraId="4AA455F8" w14:textId="164F869C" w:rsidR="003B3B38" w:rsidRPr="008A4BE3" w:rsidRDefault="00D17D11" w:rsidP="008A4BE3">
            <w:pPr>
              <w:pStyle w:val="TableText0"/>
            </w:pPr>
            <w:r>
              <w:t>Patients with TEAE leading to discontinuation of study drug, n (%)</w:t>
            </w:r>
          </w:p>
        </w:tc>
        <w:tc>
          <w:tcPr>
            <w:tcW w:w="1803" w:type="dxa"/>
          </w:tcPr>
          <w:p w14:paraId="1D82F438" w14:textId="3F6463B2" w:rsidR="003B3B38" w:rsidRPr="008A4BE3" w:rsidRDefault="00D17D11" w:rsidP="008A4BE3">
            <w:pPr>
              <w:pStyle w:val="TableText0"/>
            </w:pPr>
            <w:r>
              <w:t>18 (6.6%)</w:t>
            </w:r>
          </w:p>
        </w:tc>
        <w:tc>
          <w:tcPr>
            <w:tcW w:w="1803" w:type="dxa"/>
          </w:tcPr>
          <w:p w14:paraId="43DFDC1D" w14:textId="670B8807" w:rsidR="003B3B38" w:rsidRPr="008A4BE3" w:rsidRDefault="00D17D11" w:rsidP="008A4BE3">
            <w:pPr>
              <w:pStyle w:val="TableText0"/>
            </w:pPr>
            <w:r>
              <w:t>2 (0.7%)</w:t>
            </w:r>
          </w:p>
        </w:tc>
        <w:tc>
          <w:tcPr>
            <w:tcW w:w="1804" w:type="dxa"/>
          </w:tcPr>
          <w:p w14:paraId="7E0C2138" w14:textId="7F7E7EDB" w:rsidR="003B3B38" w:rsidRPr="008A4BE3" w:rsidRDefault="00D17D11" w:rsidP="008A4BE3">
            <w:pPr>
              <w:pStyle w:val="TableText0"/>
            </w:pPr>
            <w:r>
              <w:t>5 (1.8%)</w:t>
            </w:r>
          </w:p>
        </w:tc>
        <w:tc>
          <w:tcPr>
            <w:tcW w:w="1804" w:type="dxa"/>
          </w:tcPr>
          <w:p w14:paraId="326355A2" w14:textId="44818005" w:rsidR="003B3B38" w:rsidRPr="008A4BE3" w:rsidRDefault="00D17D11" w:rsidP="008A4BE3">
            <w:pPr>
              <w:pStyle w:val="TableText0"/>
            </w:pPr>
            <w:r>
              <w:t>2 (0.7%)</w:t>
            </w:r>
          </w:p>
        </w:tc>
      </w:tr>
      <w:tr w:rsidR="003B3B38" w14:paraId="3A74FB1E" w14:textId="77777777" w:rsidTr="58C81D04">
        <w:tc>
          <w:tcPr>
            <w:tcW w:w="1803" w:type="dxa"/>
          </w:tcPr>
          <w:p w14:paraId="4A98BB2E" w14:textId="44E36FC1" w:rsidR="003B3B38" w:rsidRPr="008A4BE3" w:rsidRDefault="00D17D11" w:rsidP="008A4BE3">
            <w:pPr>
              <w:pStyle w:val="TableText0"/>
            </w:pPr>
            <w:r>
              <w:t>Fatal TEAE, n (%)</w:t>
            </w:r>
          </w:p>
        </w:tc>
        <w:tc>
          <w:tcPr>
            <w:tcW w:w="1803" w:type="dxa"/>
          </w:tcPr>
          <w:p w14:paraId="6051B318" w14:textId="78246C30" w:rsidR="003B3B38" w:rsidRPr="008A4BE3" w:rsidRDefault="00D17D11" w:rsidP="008A4BE3">
            <w:pPr>
              <w:pStyle w:val="TableText0"/>
            </w:pPr>
            <w:r>
              <w:t>2 (0.7%)</w:t>
            </w:r>
          </w:p>
        </w:tc>
        <w:tc>
          <w:tcPr>
            <w:tcW w:w="1803" w:type="dxa"/>
          </w:tcPr>
          <w:p w14:paraId="39508253" w14:textId="285759C9" w:rsidR="003B3B38" w:rsidRPr="008A4BE3" w:rsidRDefault="00D17D11" w:rsidP="008A4BE3">
            <w:pPr>
              <w:pStyle w:val="TableText0"/>
            </w:pPr>
            <w:r>
              <w:t>0</w:t>
            </w:r>
          </w:p>
        </w:tc>
        <w:tc>
          <w:tcPr>
            <w:tcW w:w="1804" w:type="dxa"/>
          </w:tcPr>
          <w:p w14:paraId="60A4857D" w14:textId="53633824" w:rsidR="003B3B38" w:rsidRPr="008A4BE3" w:rsidRDefault="00D17D11" w:rsidP="008A4BE3">
            <w:pPr>
              <w:pStyle w:val="TableText0"/>
            </w:pPr>
            <w:r>
              <w:t>1 (0.4%)</w:t>
            </w:r>
          </w:p>
        </w:tc>
        <w:tc>
          <w:tcPr>
            <w:tcW w:w="1804" w:type="dxa"/>
          </w:tcPr>
          <w:p w14:paraId="22A1F65C" w14:textId="4D132AFA" w:rsidR="003B3B38" w:rsidRPr="008A4BE3" w:rsidRDefault="00D17D11" w:rsidP="008A4BE3">
            <w:pPr>
              <w:pStyle w:val="TableText0"/>
            </w:pPr>
            <w:r>
              <w:t>0</w:t>
            </w:r>
          </w:p>
        </w:tc>
      </w:tr>
      <w:tr w:rsidR="00A274BE" w14:paraId="16AA9413" w14:textId="77777777" w:rsidTr="58C81D04">
        <w:tc>
          <w:tcPr>
            <w:tcW w:w="1803" w:type="dxa"/>
          </w:tcPr>
          <w:p w14:paraId="0F373471" w14:textId="0CCB0911" w:rsidR="00A274BE" w:rsidRDefault="00A274BE" w:rsidP="008A4BE3">
            <w:pPr>
              <w:pStyle w:val="TableText0"/>
            </w:pPr>
            <w:r>
              <w:t xml:space="preserve">Patients with infusion-related </w:t>
            </w:r>
            <w:r w:rsidR="009823CD">
              <w:t>AE</w:t>
            </w:r>
            <w:r>
              <w:t>, n (%)</w:t>
            </w:r>
          </w:p>
        </w:tc>
        <w:tc>
          <w:tcPr>
            <w:tcW w:w="1803" w:type="dxa"/>
          </w:tcPr>
          <w:p w14:paraId="53E37FDB" w14:textId="2E5FA8D1" w:rsidR="00A274BE" w:rsidRDefault="00A274BE" w:rsidP="008A4BE3">
            <w:pPr>
              <w:pStyle w:val="TableText0"/>
            </w:pPr>
            <w:r>
              <w:t>8 (2.9%)</w:t>
            </w:r>
          </w:p>
        </w:tc>
        <w:tc>
          <w:tcPr>
            <w:tcW w:w="1803" w:type="dxa"/>
          </w:tcPr>
          <w:p w14:paraId="59ACE639" w14:textId="505F474B" w:rsidR="00A274BE" w:rsidRDefault="00A274BE" w:rsidP="008A4BE3">
            <w:pPr>
              <w:pStyle w:val="TableText0"/>
            </w:pPr>
            <w:r>
              <w:t>1 (0.4%)</w:t>
            </w:r>
          </w:p>
        </w:tc>
        <w:tc>
          <w:tcPr>
            <w:tcW w:w="1804" w:type="dxa"/>
          </w:tcPr>
          <w:p w14:paraId="5909079A" w14:textId="5BABCB46" w:rsidR="00A274BE" w:rsidRDefault="00A274BE" w:rsidP="008A4BE3">
            <w:pPr>
              <w:pStyle w:val="TableText0"/>
            </w:pPr>
            <w:r>
              <w:t>19 (7.0%)</w:t>
            </w:r>
          </w:p>
        </w:tc>
        <w:tc>
          <w:tcPr>
            <w:tcW w:w="1804" w:type="dxa"/>
          </w:tcPr>
          <w:p w14:paraId="4A757231" w14:textId="50E7B10B" w:rsidR="00A274BE" w:rsidRDefault="00A274BE" w:rsidP="008A4BE3">
            <w:pPr>
              <w:pStyle w:val="TableText0"/>
            </w:pPr>
            <w:r>
              <w:t>2 (0.7%)</w:t>
            </w:r>
          </w:p>
        </w:tc>
      </w:tr>
      <w:tr w:rsidR="003B3B38" w14:paraId="11702221" w14:textId="77777777" w:rsidTr="58C81D04">
        <w:tc>
          <w:tcPr>
            <w:tcW w:w="1803" w:type="dxa"/>
          </w:tcPr>
          <w:p w14:paraId="34D2839E" w14:textId="627F56EB" w:rsidR="003B3B38" w:rsidRPr="008A4BE3" w:rsidRDefault="00D17D11" w:rsidP="008A4BE3">
            <w:pPr>
              <w:pStyle w:val="TableText0"/>
            </w:pPr>
            <w:r>
              <w:t>Patients with</w:t>
            </w:r>
            <w:r w:rsidR="00A075F2">
              <w:t xml:space="preserve"> systemic</w:t>
            </w:r>
            <w:r>
              <w:t xml:space="preserve"> infusion reactions, n (%)</w:t>
            </w:r>
          </w:p>
        </w:tc>
        <w:tc>
          <w:tcPr>
            <w:tcW w:w="1803" w:type="dxa"/>
          </w:tcPr>
          <w:p w14:paraId="0B101673" w14:textId="29BC0754" w:rsidR="003B3B38" w:rsidRPr="008A4BE3" w:rsidRDefault="00D17D11" w:rsidP="008A4BE3">
            <w:pPr>
              <w:pStyle w:val="TableText0"/>
            </w:pPr>
            <w:r>
              <w:t>119 (43.6%)</w:t>
            </w:r>
          </w:p>
        </w:tc>
        <w:tc>
          <w:tcPr>
            <w:tcW w:w="1803" w:type="dxa"/>
          </w:tcPr>
          <w:p w14:paraId="0339E949" w14:textId="5A3220A2" w:rsidR="003B3B38" w:rsidRPr="008A4BE3" w:rsidRDefault="00D17D11" w:rsidP="008A4BE3">
            <w:pPr>
              <w:pStyle w:val="TableText0"/>
            </w:pPr>
            <w:r>
              <w:t>31 (11.3%)</w:t>
            </w:r>
          </w:p>
        </w:tc>
        <w:tc>
          <w:tcPr>
            <w:tcW w:w="1804" w:type="dxa"/>
          </w:tcPr>
          <w:p w14:paraId="5FB74F23" w14:textId="1AD6F02A" w:rsidR="003B3B38" w:rsidRPr="008A4BE3" w:rsidRDefault="00D17D11" w:rsidP="008A4BE3">
            <w:pPr>
              <w:pStyle w:val="TableText0"/>
            </w:pPr>
            <w:r>
              <w:t>144 (52.9%)</w:t>
            </w:r>
          </w:p>
        </w:tc>
        <w:tc>
          <w:tcPr>
            <w:tcW w:w="1804" w:type="dxa"/>
          </w:tcPr>
          <w:p w14:paraId="1663E5B6" w14:textId="76D83E8F" w:rsidR="003B3B38" w:rsidRPr="008A4BE3" w:rsidRDefault="00D17D11" w:rsidP="008A4BE3">
            <w:pPr>
              <w:pStyle w:val="TableText0"/>
            </w:pPr>
            <w:r>
              <w:t>41 (15.0%)</w:t>
            </w:r>
          </w:p>
        </w:tc>
      </w:tr>
      <w:tr w:rsidR="003B3B38" w14:paraId="6F31DFB5" w14:textId="77777777" w:rsidTr="58C81D04">
        <w:tc>
          <w:tcPr>
            <w:tcW w:w="1803" w:type="dxa"/>
          </w:tcPr>
          <w:p w14:paraId="15DA0982" w14:textId="660867C2" w:rsidR="003B3B38" w:rsidRPr="008A4BE3" w:rsidRDefault="000147F6" w:rsidP="008A4BE3">
            <w:pPr>
              <w:pStyle w:val="TableText0"/>
            </w:pPr>
            <w:r>
              <w:t>Patients with serious infection, n (%)</w:t>
            </w:r>
          </w:p>
        </w:tc>
        <w:tc>
          <w:tcPr>
            <w:tcW w:w="1803" w:type="dxa"/>
          </w:tcPr>
          <w:p w14:paraId="68AB7892" w14:textId="583AE4AD" w:rsidR="003B3B38" w:rsidRPr="008A4BE3" w:rsidRDefault="000147F6" w:rsidP="008A4BE3">
            <w:pPr>
              <w:pStyle w:val="TableText0"/>
            </w:pPr>
            <w:r>
              <w:t>15 (5.5%)</w:t>
            </w:r>
          </w:p>
        </w:tc>
        <w:tc>
          <w:tcPr>
            <w:tcW w:w="1803" w:type="dxa"/>
          </w:tcPr>
          <w:p w14:paraId="153D69A9" w14:textId="705A93FE" w:rsidR="003B3B38" w:rsidRPr="008A4BE3" w:rsidRDefault="000147F6" w:rsidP="008A4BE3">
            <w:pPr>
              <w:pStyle w:val="TableText0"/>
            </w:pPr>
            <w:r>
              <w:t>6 (2.2%)</w:t>
            </w:r>
          </w:p>
        </w:tc>
        <w:tc>
          <w:tcPr>
            <w:tcW w:w="1804" w:type="dxa"/>
          </w:tcPr>
          <w:p w14:paraId="700B2C18" w14:textId="6E20DD38" w:rsidR="003B3B38" w:rsidRPr="008A4BE3" w:rsidRDefault="000147F6" w:rsidP="008A4BE3">
            <w:pPr>
              <w:pStyle w:val="TableText0"/>
            </w:pPr>
            <w:r>
              <w:t>12 (4.4%)</w:t>
            </w:r>
          </w:p>
        </w:tc>
        <w:tc>
          <w:tcPr>
            <w:tcW w:w="1804" w:type="dxa"/>
          </w:tcPr>
          <w:p w14:paraId="77A77B4B" w14:textId="0F09A52D" w:rsidR="003B3B38" w:rsidRPr="008A4BE3" w:rsidRDefault="000147F6" w:rsidP="008A4BE3">
            <w:pPr>
              <w:pStyle w:val="TableText0"/>
            </w:pPr>
            <w:r>
              <w:t>10 (3.7%)</w:t>
            </w:r>
          </w:p>
        </w:tc>
      </w:tr>
      <w:tr w:rsidR="003B3B38" w14:paraId="7A3B68EC" w14:textId="77777777" w:rsidTr="58C81D04">
        <w:tc>
          <w:tcPr>
            <w:tcW w:w="1803" w:type="dxa"/>
          </w:tcPr>
          <w:p w14:paraId="59C8DC9C" w14:textId="26904D12" w:rsidR="003B3B38" w:rsidRPr="008A4BE3" w:rsidRDefault="00D17D11" w:rsidP="008A4BE3">
            <w:pPr>
              <w:pStyle w:val="TableText0"/>
            </w:pPr>
            <w:r>
              <w:t>Patients with alopecia, n (%)</w:t>
            </w:r>
          </w:p>
        </w:tc>
        <w:tc>
          <w:tcPr>
            <w:tcW w:w="1803" w:type="dxa"/>
          </w:tcPr>
          <w:p w14:paraId="09C42F82" w14:textId="49916F33" w:rsidR="003B3B38" w:rsidRPr="008A4BE3" w:rsidRDefault="00D17D11" w:rsidP="008A4BE3">
            <w:pPr>
              <w:pStyle w:val="TableText0"/>
            </w:pPr>
            <w:r>
              <w:t>6 (2.2%)</w:t>
            </w:r>
          </w:p>
        </w:tc>
        <w:tc>
          <w:tcPr>
            <w:tcW w:w="1803" w:type="dxa"/>
          </w:tcPr>
          <w:p w14:paraId="465F31BE" w14:textId="7A2A3E27" w:rsidR="003B3B38" w:rsidRPr="008A4BE3" w:rsidRDefault="00D17D11" w:rsidP="008A4BE3">
            <w:pPr>
              <w:pStyle w:val="TableText0"/>
            </w:pPr>
            <w:r>
              <w:t>3</w:t>
            </w:r>
            <w:r w:rsidR="000147F6">
              <w:t>1</w:t>
            </w:r>
            <w:r>
              <w:t xml:space="preserve"> (1</w:t>
            </w:r>
            <w:r w:rsidR="000147F6">
              <w:t>1.3</w:t>
            </w:r>
            <w:r>
              <w:t>%)</w:t>
            </w:r>
          </w:p>
        </w:tc>
        <w:tc>
          <w:tcPr>
            <w:tcW w:w="1804" w:type="dxa"/>
          </w:tcPr>
          <w:p w14:paraId="4D04239C" w14:textId="59D02558" w:rsidR="003B3B38" w:rsidRPr="008A4BE3" w:rsidRDefault="00D17D11" w:rsidP="008A4BE3">
            <w:pPr>
              <w:pStyle w:val="TableText0"/>
            </w:pPr>
            <w:r>
              <w:t>13 (4.8%)</w:t>
            </w:r>
          </w:p>
        </w:tc>
        <w:tc>
          <w:tcPr>
            <w:tcW w:w="1804" w:type="dxa"/>
          </w:tcPr>
          <w:p w14:paraId="32D6EC7E" w14:textId="21A1A2A1" w:rsidR="003B3B38" w:rsidRPr="008A4BE3" w:rsidRDefault="00D17D11" w:rsidP="008A4BE3">
            <w:pPr>
              <w:pStyle w:val="TableText0"/>
            </w:pPr>
            <w:r>
              <w:t>48 (17.6%)</w:t>
            </w:r>
          </w:p>
        </w:tc>
      </w:tr>
      <w:tr w:rsidR="003B3B38" w14:paraId="717F284D" w14:textId="77777777" w:rsidTr="58C81D04">
        <w:tc>
          <w:tcPr>
            <w:tcW w:w="1803" w:type="dxa"/>
          </w:tcPr>
          <w:p w14:paraId="54352D0E" w14:textId="6BF2D048" w:rsidR="003B3B38" w:rsidRPr="008A4BE3" w:rsidRDefault="000147F6" w:rsidP="008A4BE3">
            <w:pPr>
              <w:pStyle w:val="TableText0"/>
            </w:pPr>
            <w:r>
              <w:t>Patients wit</w:t>
            </w:r>
            <w:r w:rsidR="00061B50">
              <w:t xml:space="preserve">h cytopenia Grade </w:t>
            </w:r>
            <w:r w:rsidR="00061B50">
              <w:rPr>
                <w:rFonts w:ascii="Symbol" w:eastAsia="Symbol" w:hAnsi="Symbol" w:cs="Symbol"/>
              </w:rPr>
              <w:t>³</w:t>
            </w:r>
            <w:r w:rsidR="00061B50">
              <w:t>3</w:t>
            </w:r>
            <w:r w:rsidR="00375F0B">
              <w:t xml:space="preserve"> </w:t>
            </w:r>
            <w:r w:rsidR="00061B50">
              <w:t>n (%)</w:t>
            </w:r>
          </w:p>
        </w:tc>
        <w:tc>
          <w:tcPr>
            <w:tcW w:w="1803" w:type="dxa"/>
          </w:tcPr>
          <w:p w14:paraId="170E4D94" w14:textId="4698A7BF" w:rsidR="003B3B38" w:rsidRPr="008A4BE3" w:rsidRDefault="00061B50" w:rsidP="008A4BE3">
            <w:pPr>
              <w:pStyle w:val="TableText0"/>
            </w:pPr>
            <w:r>
              <w:t>40 (14.7%)</w:t>
            </w:r>
          </w:p>
        </w:tc>
        <w:tc>
          <w:tcPr>
            <w:tcW w:w="1803" w:type="dxa"/>
          </w:tcPr>
          <w:p w14:paraId="1AC2D1ED" w14:textId="29409C2B" w:rsidR="003B3B38" w:rsidRPr="008A4BE3" w:rsidRDefault="00061B50" w:rsidP="008A4BE3">
            <w:pPr>
              <w:pStyle w:val="TableText0"/>
            </w:pPr>
            <w:r>
              <w:t>8 (2.9%)</w:t>
            </w:r>
          </w:p>
        </w:tc>
        <w:tc>
          <w:tcPr>
            <w:tcW w:w="1804" w:type="dxa"/>
          </w:tcPr>
          <w:p w14:paraId="3EFC3C8D" w14:textId="2900B866" w:rsidR="003B3B38" w:rsidRPr="008A4BE3" w:rsidRDefault="00061B50" w:rsidP="008A4BE3">
            <w:pPr>
              <w:pStyle w:val="TableText0"/>
            </w:pPr>
            <w:r>
              <w:t>29 (9.6%)</w:t>
            </w:r>
          </w:p>
        </w:tc>
        <w:tc>
          <w:tcPr>
            <w:tcW w:w="1804" w:type="dxa"/>
          </w:tcPr>
          <w:p w14:paraId="6DABC3B0" w14:textId="63FFA5D7" w:rsidR="003B3B38" w:rsidRPr="008A4BE3" w:rsidRDefault="00061B50" w:rsidP="008A4BE3">
            <w:pPr>
              <w:pStyle w:val="TableText0"/>
            </w:pPr>
            <w:r>
              <w:t>5 (1.8%)</w:t>
            </w:r>
          </w:p>
        </w:tc>
      </w:tr>
    </w:tbl>
    <w:p w14:paraId="4A61CEE7" w14:textId="42AF5CE8" w:rsidR="00A61679" w:rsidRDefault="000147F6" w:rsidP="00A05767">
      <w:pPr>
        <w:pStyle w:val="TableFigureFooter"/>
      </w:pPr>
      <w:r w:rsidRPr="000147F6">
        <w:t xml:space="preserve">Source: Table 2-33, pp126-127, Table 2-34, p127 of the submission; ULTIMATE I CSR, </w:t>
      </w:r>
      <w:r w:rsidR="00A274BE">
        <w:t xml:space="preserve">Table 45, pp153-155, </w:t>
      </w:r>
      <w:r w:rsidRPr="000147F6">
        <w:t xml:space="preserve">pp159-160; </w:t>
      </w:r>
      <w:r>
        <w:t xml:space="preserve">ULTIMATE II CSR, </w:t>
      </w:r>
      <w:r w:rsidR="00A274BE">
        <w:t xml:space="preserve">Table 45, pp155-157, </w:t>
      </w:r>
      <w:r>
        <w:t>pp160-161.</w:t>
      </w:r>
      <w:r w:rsidR="00061B50">
        <w:t xml:space="preserve"> </w:t>
      </w:r>
      <w:r w:rsidR="00061B50" w:rsidRPr="58C81D04">
        <w:t>TEAE = treatment-emergent adverse event; TESAE = treatment-emergent serious adverse event</w:t>
      </w:r>
      <w:r w:rsidR="00A16518" w:rsidRPr="58C81D04">
        <w:t xml:space="preserve">. </w:t>
      </w:r>
    </w:p>
    <w:p w14:paraId="4775FE3D" w14:textId="7F6D9240" w:rsidR="00A61679" w:rsidRPr="00E1585B" w:rsidRDefault="00375F0B" w:rsidP="00E1585B">
      <w:pPr>
        <w:pStyle w:val="3-BodyText"/>
        <w:rPr>
          <w:color w:val="000000" w:themeColor="text1"/>
        </w:rPr>
      </w:pPr>
      <w:r w:rsidRPr="005A2857">
        <w:rPr>
          <w:color w:val="000000" w:themeColor="text1"/>
        </w:rPr>
        <w:t>Adverse events in</w:t>
      </w:r>
      <w:r w:rsidR="00822039" w:rsidRPr="005A2857">
        <w:rPr>
          <w:color w:val="000000" w:themeColor="text1"/>
        </w:rPr>
        <w:t xml:space="preserve"> the </w:t>
      </w:r>
      <w:r w:rsidRPr="005A2857">
        <w:rPr>
          <w:color w:val="000000" w:themeColor="text1"/>
        </w:rPr>
        <w:t xml:space="preserve">trials of ocrelizumab, ofatumumab and fingolimod are shown in </w:t>
      </w:r>
      <w:r w:rsidR="0010534F">
        <w:rPr>
          <w:color w:val="000000" w:themeColor="text1"/>
        </w:rPr>
        <w:fldChar w:fldCharType="begin"/>
      </w:r>
      <w:r w:rsidR="0010534F">
        <w:rPr>
          <w:color w:val="000000" w:themeColor="text1"/>
        </w:rPr>
        <w:instrText xml:space="preserve"> REF _Ref190520331 \h </w:instrText>
      </w:r>
      <w:r w:rsidR="0010534F">
        <w:rPr>
          <w:color w:val="000000" w:themeColor="text1"/>
        </w:rPr>
      </w:r>
      <w:r w:rsidR="0010534F">
        <w:rPr>
          <w:color w:val="000000" w:themeColor="text1"/>
        </w:rPr>
        <w:fldChar w:fldCharType="separate"/>
      </w:r>
      <w:r w:rsidR="00D925D4">
        <w:t xml:space="preserve">Table </w:t>
      </w:r>
      <w:r w:rsidR="00D925D4">
        <w:rPr>
          <w:noProof/>
        </w:rPr>
        <w:t>10</w:t>
      </w:r>
      <w:r w:rsidR="0010534F">
        <w:rPr>
          <w:color w:val="000000" w:themeColor="text1"/>
        </w:rPr>
        <w:fldChar w:fldCharType="end"/>
      </w:r>
      <w:r w:rsidR="0010534F">
        <w:rPr>
          <w:color w:val="000000" w:themeColor="text1"/>
        </w:rPr>
        <w:t>.</w:t>
      </w:r>
    </w:p>
    <w:p w14:paraId="19678932" w14:textId="738634CE" w:rsidR="00822039" w:rsidRDefault="0010534F" w:rsidP="0010534F">
      <w:pPr>
        <w:pStyle w:val="Caption"/>
      </w:pPr>
      <w:bookmarkStart w:id="53" w:name="_Ref190520331"/>
      <w:r>
        <w:lastRenderedPageBreak/>
        <w:t xml:space="preserve">Table </w:t>
      </w:r>
      <w:r>
        <w:fldChar w:fldCharType="begin"/>
      </w:r>
      <w:r>
        <w:instrText xml:space="preserve"> SEQ Table \* ARABIC </w:instrText>
      </w:r>
      <w:r>
        <w:fldChar w:fldCharType="separate"/>
      </w:r>
      <w:r w:rsidR="00D925D4">
        <w:rPr>
          <w:noProof/>
        </w:rPr>
        <w:t>10</w:t>
      </w:r>
      <w:r>
        <w:rPr>
          <w:noProof/>
        </w:rPr>
        <w:fldChar w:fldCharType="end"/>
      </w:r>
      <w:bookmarkEnd w:id="53"/>
      <w:r>
        <w:t xml:space="preserve">: </w:t>
      </w:r>
      <w:r w:rsidR="00822039">
        <w:t>Adverse events in trials of ocrelizumab, ofatumumab and fingolimod</w:t>
      </w:r>
    </w:p>
    <w:tbl>
      <w:tblPr>
        <w:tblStyle w:val="TableGrid"/>
        <w:tblW w:w="0" w:type="auto"/>
        <w:tblLook w:val="04A0" w:firstRow="1" w:lastRow="0" w:firstColumn="1" w:lastColumn="0" w:noHBand="0" w:noVBand="1"/>
      </w:tblPr>
      <w:tblGrid>
        <w:gridCol w:w="1311"/>
        <w:gridCol w:w="1284"/>
        <w:gridCol w:w="1273"/>
        <w:gridCol w:w="1285"/>
        <w:gridCol w:w="1301"/>
        <w:gridCol w:w="1281"/>
        <w:gridCol w:w="1282"/>
      </w:tblGrid>
      <w:tr w:rsidR="005A2857" w14:paraId="75D389AB" w14:textId="77777777" w:rsidTr="005A2857">
        <w:tc>
          <w:tcPr>
            <w:tcW w:w="1311" w:type="dxa"/>
          </w:tcPr>
          <w:p w14:paraId="4BFCBE8C" w14:textId="77777777" w:rsidR="00822039" w:rsidRDefault="00822039" w:rsidP="00E1585B">
            <w:pPr>
              <w:pStyle w:val="PbacTableHeading"/>
              <w:spacing w:after="0"/>
            </w:pPr>
          </w:p>
        </w:tc>
        <w:tc>
          <w:tcPr>
            <w:tcW w:w="1284" w:type="dxa"/>
          </w:tcPr>
          <w:p w14:paraId="52707D9C" w14:textId="77777777" w:rsidR="00822039" w:rsidRDefault="00822039" w:rsidP="00E1585B">
            <w:pPr>
              <w:pStyle w:val="PbacTableHeading"/>
              <w:spacing w:after="0"/>
            </w:pPr>
            <w:r>
              <w:t>OPERA I</w:t>
            </w:r>
            <w:r w:rsidR="00696E65">
              <w:t>/II</w:t>
            </w:r>
          </w:p>
          <w:p w14:paraId="2A0F8E7A" w14:textId="77777777" w:rsidR="00696E65" w:rsidRDefault="00696E65" w:rsidP="00E1585B">
            <w:pPr>
              <w:pStyle w:val="PbacTableHeading"/>
              <w:spacing w:after="0"/>
            </w:pPr>
            <w:r>
              <w:t>Ocrelizumab</w:t>
            </w:r>
          </w:p>
          <w:p w14:paraId="3A26CDF6" w14:textId="165DB2F6" w:rsidR="00696E65" w:rsidRDefault="00696E65" w:rsidP="00E1585B">
            <w:pPr>
              <w:pStyle w:val="PbacTableHeading"/>
              <w:spacing w:after="0"/>
            </w:pPr>
            <w:r>
              <w:t>N = 827</w:t>
            </w:r>
          </w:p>
        </w:tc>
        <w:tc>
          <w:tcPr>
            <w:tcW w:w="1273" w:type="dxa"/>
          </w:tcPr>
          <w:p w14:paraId="610094E7" w14:textId="77777777" w:rsidR="00822039" w:rsidRDefault="00822039" w:rsidP="00E1585B">
            <w:pPr>
              <w:pStyle w:val="PbacTableHeading"/>
              <w:spacing w:after="0"/>
            </w:pPr>
            <w:r>
              <w:t xml:space="preserve">OPERA </w:t>
            </w:r>
            <w:r w:rsidR="00696E65">
              <w:t>I/</w:t>
            </w:r>
            <w:r>
              <w:t>II</w:t>
            </w:r>
          </w:p>
          <w:p w14:paraId="73725776" w14:textId="77777777" w:rsidR="00696E65" w:rsidRDefault="00696E65" w:rsidP="00E1585B">
            <w:pPr>
              <w:pStyle w:val="PbacTableHeading"/>
              <w:spacing w:after="0"/>
            </w:pPr>
            <w:r>
              <w:t>Interferon Beta</w:t>
            </w:r>
          </w:p>
          <w:p w14:paraId="7DB82CAE" w14:textId="09226259" w:rsidR="00696E65" w:rsidRDefault="00696E65" w:rsidP="00E1585B">
            <w:pPr>
              <w:pStyle w:val="PbacTableHeading"/>
              <w:spacing w:after="0"/>
            </w:pPr>
            <w:r>
              <w:t>N = 828</w:t>
            </w:r>
          </w:p>
        </w:tc>
        <w:tc>
          <w:tcPr>
            <w:tcW w:w="1285" w:type="dxa"/>
          </w:tcPr>
          <w:p w14:paraId="036568CD" w14:textId="77777777" w:rsidR="00822039" w:rsidRDefault="00822039" w:rsidP="00E1585B">
            <w:pPr>
              <w:pStyle w:val="PbacTableHeading"/>
              <w:spacing w:after="0"/>
            </w:pPr>
            <w:r>
              <w:t>ASCLEPIOS I/II</w:t>
            </w:r>
          </w:p>
          <w:p w14:paraId="2117EEF8" w14:textId="77777777" w:rsidR="00822039" w:rsidRDefault="00822039" w:rsidP="00E1585B">
            <w:pPr>
              <w:pStyle w:val="PbacTableHeading"/>
              <w:spacing w:after="0"/>
            </w:pPr>
            <w:r>
              <w:t>Ofatumumab</w:t>
            </w:r>
          </w:p>
          <w:p w14:paraId="1D971902" w14:textId="12AE2041" w:rsidR="00763D60" w:rsidRDefault="00763D60" w:rsidP="00E1585B">
            <w:pPr>
              <w:pStyle w:val="PbacTableHeading"/>
              <w:spacing w:after="0"/>
            </w:pPr>
            <w:r>
              <w:t>N = 946</w:t>
            </w:r>
          </w:p>
        </w:tc>
        <w:tc>
          <w:tcPr>
            <w:tcW w:w="1301" w:type="dxa"/>
          </w:tcPr>
          <w:p w14:paraId="73745E66" w14:textId="77777777" w:rsidR="00822039" w:rsidRDefault="00822039" w:rsidP="00E1585B">
            <w:pPr>
              <w:pStyle w:val="PbacTableHeading"/>
              <w:spacing w:after="0"/>
            </w:pPr>
            <w:r>
              <w:t>ASCLEPIOS I/II</w:t>
            </w:r>
          </w:p>
          <w:p w14:paraId="61DB33ED" w14:textId="77777777" w:rsidR="00822039" w:rsidRDefault="00822039" w:rsidP="00E1585B">
            <w:pPr>
              <w:pStyle w:val="PbacTableHeading"/>
              <w:spacing w:after="0"/>
            </w:pPr>
            <w:r>
              <w:t>Teriflunomide</w:t>
            </w:r>
          </w:p>
          <w:p w14:paraId="48A716B3" w14:textId="4C3DE466" w:rsidR="00763D60" w:rsidRDefault="00763D60" w:rsidP="00E1585B">
            <w:pPr>
              <w:pStyle w:val="PbacTableHeading"/>
              <w:spacing w:after="0"/>
            </w:pPr>
            <w:r>
              <w:t>N = 936</w:t>
            </w:r>
          </w:p>
        </w:tc>
        <w:tc>
          <w:tcPr>
            <w:tcW w:w="1281" w:type="dxa"/>
          </w:tcPr>
          <w:p w14:paraId="7A79B9DF" w14:textId="77777777" w:rsidR="00822039" w:rsidRDefault="00822039" w:rsidP="00E1585B">
            <w:pPr>
              <w:pStyle w:val="PbacTableHeading"/>
              <w:spacing w:after="0"/>
            </w:pPr>
            <w:r>
              <w:t>FREEDOMS I</w:t>
            </w:r>
            <w:r w:rsidR="00696E65">
              <w:t>/II</w:t>
            </w:r>
          </w:p>
          <w:p w14:paraId="2ADC9C78" w14:textId="77777777" w:rsidR="00696E65" w:rsidRDefault="00696E65" w:rsidP="00E1585B">
            <w:pPr>
              <w:pStyle w:val="PbacTableHeading"/>
              <w:spacing w:after="0"/>
            </w:pPr>
            <w:r>
              <w:t>Fingolimod</w:t>
            </w:r>
          </w:p>
          <w:p w14:paraId="4D1EBAFA" w14:textId="3D6C1584" w:rsidR="00696E65" w:rsidRDefault="00696E65" w:rsidP="00E1585B">
            <w:pPr>
              <w:pStyle w:val="PbacTableHeading"/>
              <w:spacing w:after="0"/>
            </w:pPr>
            <w:r>
              <w:t>N = 854</w:t>
            </w:r>
          </w:p>
        </w:tc>
        <w:tc>
          <w:tcPr>
            <w:tcW w:w="1282" w:type="dxa"/>
          </w:tcPr>
          <w:p w14:paraId="505151EA" w14:textId="77777777" w:rsidR="00822039" w:rsidRDefault="00822039" w:rsidP="00E1585B">
            <w:pPr>
              <w:pStyle w:val="PbacTableHeading"/>
              <w:spacing w:after="0"/>
            </w:pPr>
            <w:r>
              <w:t xml:space="preserve">FREEDOMS </w:t>
            </w:r>
            <w:r w:rsidR="00696E65">
              <w:t>I/</w:t>
            </w:r>
            <w:r>
              <w:t>II</w:t>
            </w:r>
          </w:p>
          <w:p w14:paraId="0034C14F" w14:textId="77777777" w:rsidR="00696E65" w:rsidRDefault="00696E65" w:rsidP="00E1585B">
            <w:pPr>
              <w:pStyle w:val="PbacTableHeading"/>
              <w:spacing w:after="0"/>
            </w:pPr>
            <w:r>
              <w:t>Placebo</w:t>
            </w:r>
          </w:p>
          <w:p w14:paraId="2EF7DC84" w14:textId="17DD4A53" w:rsidR="00696E65" w:rsidRDefault="00696E65" w:rsidP="00E1585B">
            <w:pPr>
              <w:pStyle w:val="PbacTableHeading"/>
              <w:spacing w:after="0"/>
            </w:pPr>
            <w:r>
              <w:t>N = 418</w:t>
            </w:r>
          </w:p>
        </w:tc>
      </w:tr>
      <w:tr w:rsidR="005A2857" w14:paraId="276C9A5E" w14:textId="77777777" w:rsidTr="005A2857">
        <w:tc>
          <w:tcPr>
            <w:tcW w:w="1311" w:type="dxa"/>
          </w:tcPr>
          <w:p w14:paraId="4F555D88" w14:textId="1B041C3E" w:rsidR="00822039" w:rsidRDefault="00763D60" w:rsidP="00696E65">
            <w:pPr>
              <w:pStyle w:val="TableText0"/>
            </w:pPr>
            <w:r>
              <w:t>Patients with any AE, n (%)</w:t>
            </w:r>
          </w:p>
        </w:tc>
        <w:tc>
          <w:tcPr>
            <w:tcW w:w="1284" w:type="dxa"/>
          </w:tcPr>
          <w:p w14:paraId="18F2005A" w14:textId="7F4B002A" w:rsidR="00822039" w:rsidRDefault="00696E65" w:rsidP="00696E65">
            <w:pPr>
              <w:pStyle w:val="TableText0"/>
            </w:pPr>
            <w:r>
              <w:t>687 (83.1%)</w:t>
            </w:r>
          </w:p>
        </w:tc>
        <w:tc>
          <w:tcPr>
            <w:tcW w:w="1273" w:type="dxa"/>
          </w:tcPr>
          <w:p w14:paraId="17043D49" w14:textId="67A7F7C0" w:rsidR="00822039" w:rsidRDefault="00696E65" w:rsidP="00696E65">
            <w:pPr>
              <w:pStyle w:val="TableText0"/>
            </w:pPr>
            <w:r>
              <w:t>688</w:t>
            </w:r>
            <w:r w:rsidR="005A2857">
              <w:t xml:space="preserve"> (83.1%)</w:t>
            </w:r>
          </w:p>
        </w:tc>
        <w:tc>
          <w:tcPr>
            <w:tcW w:w="1285" w:type="dxa"/>
          </w:tcPr>
          <w:p w14:paraId="18AFE307" w14:textId="420C477B" w:rsidR="00822039" w:rsidRDefault="00763D60" w:rsidP="00696E65">
            <w:pPr>
              <w:pStyle w:val="TableText0"/>
            </w:pPr>
            <w:r>
              <w:t>762 (80.5%)</w:t>
            </w:r>
          </w:p>
        </w:tc>
        <w:tc>
          <w:tcPr>
            <w:tcW w:w="1301" w:type="dxa"/>
          </w:tcPr>
          <w:p w14:paraId="2EA53E4A" w14:textId="66D3F6EC" w:rsidR="00822039" w:rsidRDefault="00763D60" w:rsidP="00696E65">
            <w:pPr>
              <w:pStyle w:val="TableText0"/>
            </w:pPr>
            <w:r>
              <w:t>788 (84.2%)</w:t>
            </w:r>
          </w:p>
        </w:tc>
        <w:tc>
          <w:tcPr>
            <w:tcW w:w="1281" w:type="dxa"/>
          </w:tcPr>
          <w:p w14:paraId="14535FF2" w14:textId="31E3CBAB" w:rsidR="00822039" w:rsidRDefault="00696E65" w:rsidP="00696E65">
            <w:pPr>
              <w:pStyle w:val="TableText0"/>
            </w:pPr>
            <w:r>
              <w:t>805 (94.3%)</w:t>
            </w:r>
          </w:p>
        </w:tc>
        <w:tc>
          <w:tcPr>
            <w:tcW w:w="1282" w:type="dxa"/>
          </w:tcPr>
          <w:p w14:paraId="5D949031" w14:textId="4374F700" w:rsidR="00822039" w:rsidRDefault="00696E65" w:rsidP="00696E65">
            <w:pPr>
              <w:pStyle w:val="TableText0"/>
            </w:pPr>
            <w:r>
              <w:t>387 (92.6%)</w:t>
            </w:r>
          </w:p>
        </w:tc>
      </w:tr>
      <w:tr w:rsidR="005A2857" w14:paraId="1C6EE5DA" w14:textId="77777777" w:rsidTr="005A2857">
        <w:tc>
          <w:tcPr>
            <w:tcW w:w="1311" w:type="dxa"/>
          </w:tcPr>
          <w:p w14:paraId="0C6AD793" w14:textId="17ED927E" w:rsidR="00822039" w:rsidRDefault="00763D60" w:rsidP="00696E65">
            <w:pPr>
              <w:pStyle w:val="TableText0"/>
            </w:pPr>
            <w:r>
              <w:t>Patients with any SAE, n (%)</w:t>
            </w:r>
          </w:p>
        </w:tc>
        <w:tc>
          <w:tcPr>
            <w:tcW w:w="1284" w:type="dxa"/>
          </w:tcPr>
          <w:p w14:paraId="79DCEA8E" w14:textId="059C575C" w:rsidR="00822039" w:rsidRDefault="005A2857" w:rsidP="00696E65">
            <w:pPr>
              <w:pStyle w:val="TableText0"/>
            </w:pPr>
            <w:r>
              <w:t>57 (6.9%)</w:t>
            </w:r>
          </w:p>
        </w:tc>
        <w:tc>
          <w:tcPr>
            <w:tcW w:w="1273" w:type="dxa"/>
          </w:tcPr>
          <w:p w14:paraId="2B1F46B8" w14:textId="68C8C6D6" w:rsidR="00822039" w:rsidRDefault="005A2857" w:rsidP="00696E65">
            <w:pPr>
              <w:pStyle w:val="TableText0"/>
            </w:pPr>
            <w:r>
              <w:t>72 (8.7%)</w:t>
            </w:r>
          </w:p>
        </w:tc>
        <w:tc>
          <w:tcPr>
            <w:tcW w:w="1285" w:type="dxa"/>
          </w:tcPr>
          <w:p w14:paraId="69E8C15B" w14:textId="7B44946B" w:rsidR="00822039" w:rsidRDefault="00763D60" w:rsidP="00696E65">
            <w:pPr>
              <w:pStyle w:val="TableText0"/>
            </w:pPr>
            <w:r>
              <w:t>86 (9.1%)</w:t>
            </w:r>
          </w:p>
        </w:tc>
        <w:tc>
          <w:tcPr>
            <w:tcW w:w="1301" w:type="dxa"/>
          </w:tcPr>
          <w:p w14:paraId="214EA8F6" w14:textId="032608D0" w:rsidR="00822039" w:rsidRDefault="00763D60" w:rsidP="00696E65">
            <w:pPr>
              <w:pStyle w:val="TableText0"/>
            </w:pPr>
            <w:r>
              <w:t>74 (7.9%)</w:t>
            </w:r>
          </w:p>
        </w:tc>
        <w:tc>
          <w:tcPr>
            <w:tcW w:w="1281" w:type="dxa"/>
          </w:tcPr>
          <w:p w14:paraId="61B4A43B" w14:textId="71E4B0FD" w:rsidR="00822039" w:rsidRDefault="00696E65" w:rsidP="00696E65">
            <w:pPr>
              <w:pStyle w:val="TableText0"/>
            </w:pPr>
            <w:r>
              <w:t>94 (11.0%)</w:t>
            </w:r>
          </w:p>
        </w:tc>
        <w:tc>
          <w:tcPr>
            <w:tcW w:w="1282" w:type="dxa"/>
          </w:tcPr>
          <w:p w14:paraId="6A0D547B" w14:textId="1C69B018" w:rsidR="00822039" w:rsidRDefault="00696E65" w:rsidP="00696E65">
            <w:pPr>
              <w:pStyle w:val="TableText0"/>
            </w:pPr>
            <w:r>
              <w:t>56 (13.4%)</w:t>
            </w:r>
          </w:p>
        </w:tc>
      </w:tr>
      <w:tr w:rsidR="005A2857" w14:paraId="4B87DC5D" w14:textId="77777777" w:rsidTr="005A2857">
        <w:tc>
          <w:tcPr>
            <w:tcW w:w="1311" w:type="dxa"/>
          </w:tcPr>
          <w:p w14:paraId="657496A3" w14:textId="540FFF4B" w:rsidR="00822039" w:rsidRDefault="00763D60" w:rsidP="00696E65">
            <w:pPr>
              <w:pStyle w:val="TableText0"/>
            </w:pPr>
            <w:r>
              <w:t>Patients with serious infection, n (%)</w:t>
            </w:r>
          </w:p>
        </w:tc>
        <w:tc>
          <w:tcPr>
            <w:tcW w:w="1284" w:type="dxa"/>
          </w:tcPr>
          <w:p w14:paraId="44C3DF21" w14:textId="6B198A1F" w:rsidR="00822039" w:rsidRDefault="005A2857" w:rsidP="00696E65">
            <w:pPr>
              <w:pStyle w:val="TableText0"/>
            </w:pPr>
            <w:r>
              <w:t>11 (1.3%)</w:t>
            </w:r>
          </w:p>
        </w:tc>
        <w:tc>
          <w:tcPr>
            <w:tcW w:w="1273" w:type="dxa"/>
          </w:tcPr>
          <w:p w14:paraId="2953CEC1" w14:textId="38F5261E" w:rsidR="00822039" w:rsidRDefault="005A2857" w:rsidP="00696E65">
            <w:pPr>
              <w:pStyle w:val="TableText0"/>
            </w:pPr>
            <w:r>
              <w:t>24 (2.9%)</w:t>
            </w:r>
          </w:p>
        </w:tc>
        <w:tc>
          <w:tcPr>
            <w:tcW w:w="1285" w:type="dxa"/>
          </w:tcPr>
          <w:p w14:paraId="0F2F8CD2" w14:textId="484334DF" w:rsidR="00822039" w:rsidRDefault="00763D60" w:rsidP="00696E65">
            <w:pPr>
              <w:pStyle w:val="TableText0"/>
            </w:pPr>
            <w:r>
              <w:t>24 (2.5%)</w:t>
            </w:r>
          </w:p>
        </w:tc>
        <w:tc>
          <w:tcPr>
            <w:tcW w:w="1301" w:type="dxa"/>
          </w:tcPr>
          <w:p w14:paraId="2E3A0B70" w14:textId="641CA051" w:rsidR="00822039" w:rsidRDefault="00763D60" w:rsidP="00696E65">
            <w:pPr>
              <w:pStyle w:val="TableText0"/>
            </w:pPr>
            <w:r>
              <w:t>17 (1.8%)</w:t>
            </w:r>
          </w:p>
        </w:tc>
        <w:tc>
          <w:tcPr>
            <w:tcW w:w="1281" w:type="dxa"/>
          </w:tcPr>
          <w:p w14:paraId="03D5958B" w14:textId="022770D9" w:rsidR="00822039" w:rsidRDefault="00696E65" w:rsidP="00696E65">
            <w:pPr>
              <w:pStyle w:val="TableText0"/>
            </w:pPr>
            <w:r>
              <w:t>&lt;2</w:t>
            </w:r>
          </w:p>
        </w:tc>
        <w:tc>
          <w:tcPr>
            <w:tcW w:w="1282" w:type="dxa"/>
          </w:tcPr>
          <w:p w14:paraId="33D69E68" w14:textId="0EAB19D1" w:rsidR="00822039" w:rsidRDefault="00696E65" w:rsidP="00696E65">
            <w:pPr>
              <w:pStyle w:val="TableText0"/>
            </w:pPr>
            <w:r>
              <w:t>&lt;2</w:t>
            </w:r>
          </w:p>
        </w:tc>
      </w:tr>
      <w:tr w:rsidR="005A2857" w14:paraId="20A60F3A" w14:textId="77777777" w:rsidTr="005A2857">
        <w:tc>
          <w:tcPr>
            <w:tcW w:w="1311" w:type="dxa"/>
          </w:tcPr>
          <w:p w14:paraId="361DBACC" w14:textId="4E14835E" w:rsidR="00822039" w:rsidRDefault="00763D60" w:rsidP="00696E65">
            <w:pPr>
              <w:pStyle w:val="TableText0"/>
            </w:pPr>
            <w:r>
              <w:t>AE leading to discontinuation of study treatment, n (%)</w:t>
            </w:r>
          </w:p>
        </w:tc>
        <w:tc>
          <w:tcPr>
            <w:tcW w:w="1284" w:type="dxa"/>
          </w:tcPr>
          <w:p w14:paraId="2D93E3E0" w14:textId="058ACFB1" w:rsidR="00822039" w:rsidRDefault="005A2857" w:rsidP="00696E65">
            <w:pPr>
              <w:pStyle w:val="TableText0"/>
            </w:pPr>
            <w:r>
              <w:t>29 (3.5%)</w:t>
            </w:r>
          </w:p>
        </w:tc>
        <w:tc>
          <w:tcPr>
            <w:tcW w:w="1273" w:type="dxa"/>
          </w:tcPr>
          <w:p w14:paraId="1D99D1F5" w14:textId="616B08A7" w:rsidR="00822039" w:rsidRDefault="005A2857" w:rsidP="00696E65">
            <w:pPr>
              <w:pStyle w:val="TableText0"/>
            </w:pPr>
            <w:r>
              <w:t>51 (6.2%)</w:t>
            </w:r>
          </w:p>
        </w:tc>
        <w:tc>
          <w:tcPr>
            <w:tcW w:w="1285" w:type="dxa"/>
          </w:tcPr>
          <w:p w14:paraId="311865B8" w14:textId="6553A439" w:rsidR="00822039" w:rsidRDefault="00763D60" w:rsidP="00696E65">
            <w:pPr>
              <w:pStyle w:val="TableText0"/>
            </w:pPr>
            <w:r>
              <w:t>54 (5.7%)</w:t>
            </w:r>
          </w:p>
        </w:tc>
        <w:tc>
          <w:tcPr>
            <w:tcW w:w="1301" w:type="dxa"/>
          </w:tcPr>
          <w:p w14:paraId="100302C9" w14:textId="0B6ED63E" w:rsidR="00822039" w:rsidRDefault="00763D60" w:rsidP="00696E65">
            <w:pPr>
              <w:pStyle w:val="TableText0"/>
            </w:pPr>
            <w:r>
              <w:t>49 (5.2%)</w:t>
            </w:r>
          </w:p>
        </w:tc>
        <w:tc>
          <w:tcPr>
            <w:tcW w:w="1281" w:type="dxa"/>
          </w:tcPr>
          <w:p w14:paraId="5E8EA2AC" w14:textId="59944526" w:rsidR="00822039" w:rsidRDefault="00696E65" w:rsidP="00696E65">
            <w:pPr>
              <w:pStyle w:val="TableText0"/>
            </w:pPr>
            <w:r>
              <w:t>93 (10.9%)</w:t>
            </w:r>
          </w:p>
        </w:tc>
        <w:tc>
          <w:tcPr>
            <w:tcW w:w="1282" w:type="dxa"/>
          </w:tcPr>
          <w:p w14:paraId="21038F88" w14:textId="399D52E9" w:rsidR="00822039" w:rsidRDefault="00696E65" w:rsidP="00696E65">
            <w:pPr>
              <w:pStyle w:val="TableText0"/>
            </w:pPr>
            <w:r>
              <w:t>32 (7.7%)</w:t>
            </w:r>
          </w:p>
        </w:tc>
      </w:tr>
      <w:tr w:rsidR="005A2857" w14:paraId="7C41419D" w14:textId="77777777" w:rsidTr="005A2857">
        <w:tc>
          <w:tcPr>
            <w:tcW w:w="1311" w:type="dxa"/>
          </w:tcPr>
          <w:p w14:paraId="1DA2EE1A" w14:textId="0FE9BE46" w:rsidR="00822039" w:rsidRDefault="005A2857" w:rsidP="00696E65">
            <w:pPr>
              <w:pStyle w:val="TableText0"/>
            </w:pPr>
            <w:r>
              <w:t>I</w:t>
            </w:r>
            <w:r w:rsidR="00763D60">
              <w:t xml:space="preserve">njection-site </w:t>
            </w:r>
            <w:r w:rsidR="009823CD">
              <w:t>AE</w:t>
            </w:r>
            <w:r w:rsidR="00763D60">
              <w:t>, n (%)</w:t>
            </w:r>
          </w:p>
        </w:tc>
        <w:tc>
          <w:tcPr>
            <w:tcW w:w="1284" w:type="dxa"/>
          </w:tcPr>
          <w:p w14:paraId="0E95209C" w14:textId="287E792E" w:rsidR="00822039" w:rsidRDefault="00B14139" w:rsidP="00696E65">
            <w:pPr>
              <w:pStyle w:val="TableText0"/>
            </w:pPr>
            <w:r>
              <w:t>NR</w:t>
            </w:r>
          </w:p>
        </w:tc>
        <w:tc>
          <w:tcPr>
            <w:tcW w:w="1273" w:type="dxa"/>
          </w:tcPr>
          <w:p w14:paraId="0A10A6E4" w14:textId="5CA227BF" w:rsidR="00822039" w:rsidRDefault="00B14139" w:rsidP="00696E65">
            <w:pPr>
              <w:pStyle w:val="TableText0"/>
            </w:pPr>
            <w:r>
              <w:t>NR</w:t>
            </w:r>
          </w:p>
        </w:tc>
        <w:tc>
          <w:tcPr>
            <w:tcW w:w="1285" w:type="dxa"/>
          </w:tcPr>
          <w:p w14:paraId="3BDF1E5E" w14:textId="22B737A4" w:rsidR="00822039" w:rsidRDefault="00763D60" w:rsidP="00696E65">
            <w:pPr>
              <w:pStyle w:val="TableText0"/>
            </w:pPr>
            <w:r>
              <w:t>103 (10.9%)</w:t>
            </w:r>
          </w:p>
        </w:tc>
        <w:tc>
          <w:tcPr>
            <w:tcW w:w="1301" w:type="dxa"/>
          </w:tcPr>
          <w:p w14:paraId="799CD60F" w14:textId="3FE84455" w:rsidR="00822039" w:rsidRDefault="00763D60" w:rsidP="00696E65">
            <w:pPr>
              <w:pStyle w:val="TableText0"/>
            </w:pPr>
            <w:r>
              <w:t>52 (5.6%)</w:t>
            </w:r>
          </w:p>
        </w:tc>
        <w:tc>
          <w:tcPr>
            <w:tcW w:w="1281" w:type="dxa"/>
          </w:tcPr>
          <w:p w14:paraId="10CCFC75" w14:textId="021C16A4" w:rsidR="00822039" w:rsidRDefault="00696E65" w:rsidP="00696E65">
            <w:pPr>
              <w:pStyle w:val="TableText0"/>
            </w:pPr>
            <w:r>
              <w:t>NA</w:t>
            </w:r>
          </w:p>
        </w:tc>
        <w:tc>
          <w:tcPr>
            <w:tcW w:w="1282" w:type="dxa"/>
          </w:tcPr>
          <w:p w14:paraId="22FDC37C" w14:textId="507A2439" w:rsidR="00822039" w:rsidRDefault="00696E65" w:rsidP="00696E65">
            <w:pPr>
              <w:pStyle w:val="TableText0"/>
            </w:pPr>
            <w:r>
              <w:t>NA</w:t>
            </w:r>
          </w:p>
        </w:tc>
      </w:tr>
      <w:tr w:rsidR="00A075F2" w14:paraId="500FFFD3" w14:textId="77777777" w:rsidTr="005A2857">
        <w:tc>
          <w:tcPr>
            <w:tcW w:w="1311" w:type="dxa"/>
          </w:tcPr>
          <w:p w14:paraId="2AC3A3C9" w14:textId="373A4F37" w:rsidR="00A075F2" w:rsidRDefault="00A075F2" w:rsidP="00696E65">
            <w:pPr>
              <w:pStyle w:val="TableText0"/>
            </w:pPr>
            <w:r>
              <w:t>Systemic reactions to infusion or injection, n (%)</w:t>
            </w:r>
            <w:r w:rsidR="004107B4" w:rsidRPr="004107B4">
              <w:rPr>
                <w:vertAlign w:val="superscript"/>
              </w:rPr>
              <w:t>1</w:t>
            </w:r>
          </w:p>
        </w:tc>
        <w:tc>
          <w:tcPr>
            <w:tcW w:w="1284" w:type="dxa"/>
          </w:tcPr>
          <w:p w14:paraId="2E6F1629" w14:textId="35B80446" w:rsidR="00A075F2" w:rsidRDefault="00B14139" w:rsidP="00696E65">
            <w:pPr>
              <w:pStyle w:val="TableText0"/>
            </w:pPr>
            <w:r>
              <w:t>286 (34.6%)</w:t>
            </w:r>
          </w:p>
        </w:tc>
        <w:tc>
          <w:tcPr>
            <w:tcW w:w="1273" w:type="dxa"/>
          </w:tcPr>
          <w:p w14:paraId="76B1E8F3" w14:textId="44290D76" w:rsidR="00A075F2" w:rsidRDefault="00B14139" w:rsidP="00696E65">
            <w:pPr>
              <w:pStyle w:val="TableText0"/>
            </w:pPr>
            <w:r>
              <w:t>80 (9.7%)</w:t>
            </w:r>
          </w:p>
        </w:tc>
        <w:tc>
          <w:tcPr>
            <w:tcW w:w="1285" w:type="dxa"/>
          </w:tcPr>
          <w:p w14:paraId="2242AC1D" w14:textId="6EAFEE51" w:rsidR="00A075F2" w:rsidRDefault="00A075F2" w:rsidP="00696E65">
            <w:pPr>
              <w:pStyle w:val="TableText0"/>
            </w:pPr>
            <w:r>
              <w:t>191 (20.2%)</w:t>
            </w:r>
          </w:p>
        </w:tc>
        <w:tc>
          <w:tcPr>
            <w:tcW w:w="1301" w:type="dxa"/>
          </w:tcPr>
          <w:p w14:paraId="72D19558" w14:textId="2816343F" w:rsidR="00A075F2" w:rsidRDefault="00A075F2" w:rsidP="00696E65">
            <w:pPr>
              <w:pStyle w:val="TableText0"/>
            </w:pPr>
            <w:r>
              <w:t>140 (15.0%)</w:t>
            </w:r>
          </w:p>
        </w:tc>
        <w:tc>
          <w:tcPr>
            <w:tcW w:w="1281" w:type="dxa"/>
          </w:tcPr>
          <w:p w14:paraId="6D5B55BD" w14:textId="6910BE43" w:rsidR="00A075F2" w:rsidRDefault="00A075F2" w:rsidP="00696E65">
            <w:pPr>
              <w:pStyle w:val="TableText0"/>
            </w:pPr>
            <w:r>
              <w:t>NA</w:t>
            </w:r>
          </w:p>
        </w:tc>
        <w:tc>
          <w:tcPr>
            <w:tcW w:w="1282" w:type="dxa"/>
          </w:tcPr>
          <w:p w14:paraId="63F52EC4" w14:textId="7548B123" w:rsidR="00A075F2" w:rsidRDefault="00A075F2" w:rsidP="00696E65">
            <w:pPr>
              <w:pStyle w:val="TableText0"/>
            </w:pPr>
            <w:r>
              <w:t>NA</w:t>
            </w:r>
          </w:p>
        </w:tc>
      </w:tr>
    </w:tbl>
    <w:p w14:paraId="1E74E386" w14:textId="77777777" w:rsidR="004107B4" w:rsidRDefault="005A2857" w:rsidP="00E1585B">
      <w:pPr>
        <w:pStyle w:val="TableFigureFooter"/>
        <w:jc w:val="both"/>
      </w:pPr>
      <w:r w:rsidRPr="0039077B">
        <w:t xml:space="preserve">Source: </w:t>
      </w:r>
      <w:r w:rsidR="0039077B" w:rsidRPr="0039077B">
        <w:t>Kappos, NEJM 2010; 362:387-401, Table 3; Hauser</w:t>
      </w:r>
      <w:r w:rsidRPr="0039077B">
        <w:t>, NEJM 2017; 376:221-234</w:t>
      </w:r>
      <w:r w:rsidR="0039077B" w:rsidRPr="0039077B">
        <w:t>, Table 3</w:t>
      </w:r>
      <w:r w:rsidRPr="0039077B">
        <w:t>; Hauser, NEJM 2020; 383:546-557</w:t>
      </w:r>
      <w:r w:rsidR="0039077B" w:rsidRPr="0039077B">
        <w:t>, Table 3.</w:t>
      </w:r>
    </w:p>
    <w:p w14:paraId="1DAEEE0E" w14:textId="6CC29BC5" w:rsidR="00276F88" w:rsidRPr="00276F88" w:rsidRDefault="004107B4" w:rsidP="00E1585B">
      <w:pPr>
        <w:pStyle w:val="TableFigureFooter"/>
        <w:jc w:val="both"/>
      </w:pPr>
      <w:r w:rsidRPr="0032126B">
        <w:rPr>
          <w:vertAlign w:val="superscript"/>
        </w:rPr>
        <w:t>1</w:t>
      </w:r>
      <w:r>
        <w:t xml:space="preserve"> Fever, tachycardia, influenza-like syndrome </w:t>
      </w:r>
      <w:r w:rsidR="0039077B" w:rsidRPr="0039077B">
        <w:t xml:space="preserve"> </w:t>
      </w:r>
      <w:r w:rsidR="0039077B">
        <w:t xml:space="preserve">AE = adverse event; </w:t>
      </w:r>
      <w:r w:rsidR="00A274BE">
        <w:t xml:space="preserve">NR = not reported; </w:t>
      </w:r>
      <w:r w:rsidR="0039077B">
        <w:t xml:space="preserve">SAE = serious adverse event. </w:t>
      </w:r>
    </w:p>
    <w:p w14:paraId="1DC867DD" w14:textId="297406A2" w:rsidR="00B14139" w:rsidRPr="0043575D" w:rsidRDefault="00A274BE" w:rsidP="58C81D04">
      <w:pPr>
        <w:pStyle w:val="3-BodyText"/>
        <w:rPr>
          <w:color w:val="000000" w:themeColor="text1"/>
        </w:rPr>
      </w:pPr>
      <w:r w:rsidRPr="0043575D">
        <w:rPr>
          <w:color w:val="000000" w:themeColor="text1"/>
        </w:rPr>
        <w:t>Systemic</w:t>
      </w:r>
      <w:r w:rsidR="00B14139" w:rsidRPr="0043575D">
        <w:rPr>
          <w:color w:val="000000" w:themeColor="text1"/>
        </w:rPr>
        <w:t xml:space="preserve"> reactions to monoclonal antibody administration</w:t>
      </w:r>
      <w:r w:rsidR="0039077B" w:rsidRPr="0043575D">
        <w:rPr>
          <w:color w:val="000000" w:themeColor="text1"/>
        </w:rPr>
        <w:t xml:space="preserve"> may have been less common with ocrelizumab than with ublituximab</w:t>
      </w:r>
      <w:r w:rsidR="00B14139" w:rsidRPr="0043575D">
        <w:rPr>
          <w:color w:val="000000" w:themeColor="text1"/>
        </w:rPr>
        <w:t xml:space="preserve"> and were clearly less common</w:t>
      </w:r>
      <w:r w:rsidR="0039077B" w:rsidRPr="0043575D">
        <w:rPr>
          <w:color w:val="000000" w:themeColor="text1"/>
        </w:rPr>
        <w:t xml:space="preserve"> with ofatumumab. </w:t>
      </w:r>
      <w:r w:rsidR="00A075F2" w:rsidRPr="0043575D">
        <w:rPr>
          <w:color w:val="000000" w:themeColor="text1"/>
        </w:rPr>
        <w:t>The submission lists "</w:t>
      </w:r>
      <w:r w:rsidR="00B14139" w:rsidRPr="0043575D">
        <w:rPr>
          <w:color w:val="000000" w:themeColor="text1"/>
        </w:rPr>
        <w:t>I</w:t>
      </w:r>
      <w:r w:rsidR="00A075F2" w:rsidRPr="0043575D">
        <w:rPr>
          <w:color w:val="000000" w:themeColor="text1"/>
        </w:rPr>
        <w:t>nfusion-related</w:t>
      </w:r>
      <w:r w:rsidR="00B14139" w:rsidRPr="0043575D">
        <w:rPr>
          <w:color w:val="000000" w:themeColor="text1"/>
        </w:rPr>
        <w:t xml:space="preserve"> AEs" as NA (= not applicable) for ofatumumab, but this is misleading because systemic reactions occur after sub-cutaneous </w:t>
      </w:r>
      <w:r w:rsidRPr="0043575D">
        <w:rPr>
          <w:color w:val="000000" w:themeColor="text1"/>
        </w:rPr>
        <w:t>as well as</w:t>
      </w:r>
      <w:r w:rsidR="00B14139" w:rsidRPr="0043575D">
        <w:rPr>
          <w:color w:val="000000" w:themeColor="text1"/>
        </w:rPr>
        <w:t xml:space="preserve"> after intravenous administration</w:t>
      </w:r>
      <w:r w:rsidR="009823CD" w:rsidRPr="0043575D">
        <w:rPr>
          <w:color w:val="000000" w:themeColor="text1"/>
        </w:rPr>
        <w:t>,</w:t>
      </w:r>
      <w:r w:rsidR="00B14139" w:rsidRPr="0043575D">
        <w:rPr>
          <w:color w:val="000000" w:themeColor="text1"/>
        </w:rPr>
        <w:t xml:space="preserve"> and </w:t>
      </w:r>
      <w:r w:rsidR="009823CD" w:rsidRPr="0043575D">
        <w:rPr>
          <w:color w:val="000000" w:themeColor="text1"/>
        </w:rPr>
        <w:t>we</w:t>
      </w:r>
      <w:r w:rsidR="00B14139" w:rsidRPr="0043575D">
        <w:rPr>
          <w:color w:val="000000" w:themeColor="text1"/>
        </w:rPr>
        <w:t>re reported in Hauser, 2017</w:t>
      </w:r>
      <w:r w:rsidRPr="0043575D">
        <w:rPr>
          <w:color w:val="000000" w:themeColor="text1"/>
        </w:rPr>
        <w:t>. The ULTIMATE I and II CSRs and the ASCLEPIOS I/II published paper reporte</w:t>
      </w:r>
      <w:r w:rsidR="009823CD" w:rsidRPr="0043575D">
        <w:rPr>
          <w:color w:val="000000" w:themeColor="text1"/>
        </w:rPr>
        <w:t>d</w:t>
      </w:r>
      <w:r w:rsidRPr="0043575D">
        <w:rPr>
          <w:color w:val="000000" w:themeColor="text1"/>
        </w:rPr>
        <w:t xml:space="preserve"> systemic reactions and </w:t>
      </w:r>
      <w:r w:rsidR="009823CD" w:rsidRPr="0043575D">
        <w:rPr>
          <w:color w:val="000000" w:themeColor="text1"/>
        </w:rPr>
        <w:t>infusion/</w:t>
      </w:r>
      <w:r w:rsidRPr="0043575D">
        <w:rPr>
          <w:color w:val="000000" w:themeColor="text1"/>
        </w:rPr>
        <w:t>injection</w:t>
      </w:r>
      <w:r w:rsidR="009823CD" w:rsidRPr="0043575D">
        <w:rPr>
          <w:color w:val="000000" w:themeColor="text1"/>
        </w:rPr>
        <w:t xml:space="preserve"> related AEs</w:t>
      </w:r>
      <w:r w:rsidRPr="0043575D">
        <w:rPr>
          <w:color w:val="000000" w:themeColor="text1"/>
        </w:rPr>
        <w:t xml:space="preserve"> separately, but the OPERA I/II publi</w:t>
      </w:r>
      <w:r w:rsidR="009823CD" w:rsidRPr="0043575D">
        <w:rPr>
          <w:color w:val="000000" w:themeColor="text1"/>
        </w:rPr>
        <w:t>s</w:t>
      </w:r>
      <w:r w:rsidRPr="0043575D">
        <w:rPr>
          <w:color w:val="000000" w:themeColor="text1"/>
        </w:rPr>
        <w:t xml:space="preserve">hed report did not. </w:t>
      </w:r>
    </w:p>
    <w:p w14:paraId="4CDDCE71" w14:textId="3E5D5666" w:rsidR="00E025CB" w:rsidRPr="0043575D" w:rsidRDefault="0039077B" w:rsidP="58C81D04">
      <w:pPr>
        <w:pStyle w:val="3-BodyText"/>
        <w:rPr>
          <w:color w:val="000000" w:themeColor="text1"/>
        </w:rPr>
      </w:pPr>
      <w:r w:rsidRPr="0043575D">
        <w:rPr>
          <w:color w:val="000000" w:themeColor="text1"/>
        </w:rPr>
        <w:t xml:space="preserve">Adverse events leading to discontinuation of study treatment were </w:t>
      </w:r>
      <w:r w:rsidR="009E161C" w:rsidRPr="0043575D">
        <w:rPr>
          <w:color w:val="000000" w:themeColor="text1"/>
        </w:rPr>
        <w:t>probably less</w:t>
      </w:r>
      <w:r w:rsidRPr="0043575D">
        <w:rPr>
          <w:color w:val="000000" w:themeColor="text1"/>
        </w:rPr>
        <w:t xml:space="preserve"> common with ublituximab</w:t>
      </w:r>
      <w:r w:rsidR="009E161C" w:rsidRPr="0043575D">
        <w:rPr>
          <w:color w:val="000000" w:themeColor="text1"/>
        </w:rPr>
        <w:t xml:space="preserve">, </w:t>
      </w:r>
      <w:r w:rsidRPr="0043575D">
        <w:rPr>
          <w:color w:val="000000" w:themeColor="text1"/>
        </w:rPr>
        <w:t xml:space="preserve">ocrelizumab </w:t>
      </w:r>
      <w:r w:rsidR="009E161C" w:rsidRPr="0043575D">
        <w:rPr>
          <w:color w:val="000000" w:themeColor="text1"/>
        </w:rPr>
        <w:t>and</w:t>
      </w:r>
      <w:r w:rsidRPr="0043575D">
        <w:rPr>
          <w:color w:val="000000" w:themeColor="text1"/>
        </w:rPr>
        <w:t xml:space="preserve"> ofatumumab</w:t>
      </w:r>
      <w:r w:rsidR="009E161C" w:rsidRPr="0043575D">
        <w:rPr>
          <w:color w:val="000000" w:themeColor="text1"/>
        </w:rPr>
        <w:t xml:space="preserve"> </w:t>
      </w:r>
      <w:r w:rsidRPr="0043575D">
        <w:rPr>
          <w:color w:val="000000" w:themeColor="text1"/>
        </w:rPr>
        <w:t xml:space="preserve">than with fingolimod. </w:t>
      </w:r>
    </w:p>
    <w:p w14:paraId="2C07985C" w14:textId="1E8A3115" w:rsidR="00E025CB" w:rsidRPr="0043575D" w:rsidRDefault="009823CD" w:rsidP="58C81D04">
      <w:pPr>
        <w:pStyle w:val="3-BodyText"/>
        <w:rPr>
          <w:color w:val="000000" w:themeColor="text1"/>
        </w:rPr>
      </w:pPr>
      <w:r w:rsidRPr="0043575D">
        <w:rPr>
          <w:color w:val="000000" w:themeColor="text1"/>
        </w:rPr>
        <w:t xml:space="preserve">Safety outcomes were not assessed in the indirect treatment comparisons provided by the submission. The submitted network meta-analysis analysed adverse events "in a qualitative manner" (ICER, 2023, p18). </w:t>
      </w:r>
    </w:p>
    <w:p w14:paraId="15357935" w14:textId="30B0EEC3" w:rsidR="00D02CF0" w:rsidRPr="00F76B57" w:rsidRDefault="00D02CF0" w:rsidP="00F76B57">
      <w:pPr>
        <w:rPr>
          <w:b/>
          <w:bCs/>
        </w:rPr>
      </w:pPr>
      <w:r w:rsidRPr="00F76B57">
        <w:rPr>
          <w:b/>
          <w:bCs/>
        </w:rPr>
        <w:t>Harms in the Open Label Extension of ULTIMATE I/II</w:t>
      </w:r>
    </w:p>
    <w:p w14:paraId="10CFA314" w14:textId="5BF9298B" w:rsidR="000813D4" w:rsidRPr="0043575D" w:rsidRDefault="00D02CF0" w:rsidP="58C81D04">
      <w:pPr>
        <w:pStyle w:val="3-BodyText"/>
        <w:rPr>
          <w:color w:val="000000" w:themeColor="text1"/>
        </w:rPr>
      </w:pPr>
      <w:r w:rsidRPr="0043575D">
        <w:rPr>
          <w:color w:val="000000" w:themeColor="text1"/>
        </w:rPr>
        <w:t>Adverse events were incompletely reported for the open-label extension</w:t>
      </w:r>
      <w:r w:rsidR="00002228" w:rsidRPr="0043575D">
        <w:rPr>
          <w:color w:val="000000" w:themeColor="text1"/>
        </w:rPr>
        <w:t>, and in particular, n</w:t>
      </w:r>
      <w:r w:rsidRPr="0043575D">
        <w:rPr>
          <w:color w:val="000000" w:themeColor="text1"/>
        </w:rPr>
        <w:t>o estimate</w:t>
      </w:r>
      <w:r w:rsidR="00002228" w:rsidRPr="0043575D">
        <w:rPr>
          <w:color w:val="000000" w:themeColor="text1"/>
        </w:rPr>
        <w:t>s</w:t>
      </w:r>
      <w:r w:rsidRPr="0043575D">
        <w:rPr>
          <w:color w:val="000000" w:themeColor="text1"/>
        </w:rPr>
        <w:t xml:space="preserve"> of the rate of </w:t>
      </w:r>
      <w:r w:rsidR="000813D4" w:rsidRPr="0043575D">
        <w:rPr>
          <w:color w:val="000000" w:themeColor="text1"/>
        </w:rPr>
        <w:t>systemic reactions to infusions</w:t>
      </w:r>
      <w:r w:rsidR="00002228" w:rsidRPr="0043575D">
        <w:rPr>
          <w:color w:val="000000" w:themeColor="text1"/>
        </w:rPr>
        <w:t xml:space="preserve"> or of Grade 3 or worse cytopenia</w:t>
      </w:r>
      <w:r w:rsidR="000813D4" w:rsidRPr="0043575D">
        <w:rPr>
          <w:color w:val="000000" w:themeColor="text1"/>
        </w:rPr>
        <w:t xml:space="preserve"> w</w:t>
      </w:r>
      <w:r w:rsidR="00002228" w:rsidRPr="0043575D">
        <w:rPr>
          <w:color w:val="000000" w:themeColor="text1"/>
        </w:rPr>
        <w:t>ere</w:t>
      </w:r>
      <w:r w:rsidR="000813D4" w:rsidRPr="0043575D">
        <w:rPr>
          <w:color w:val="000000" w:themeColor="text1"/>
        </w:rPr>
        <w:t xml:space="preserve"> provided. No new safety signals emerged during the open-label phase. </w:t>
      </w:r>
    </w:p>
    <w:p w14:paraId="1FE7C2BB" w14:textId="61749034" w:rsidR="000813D4" w:rsidRPr="00F76B57" w:rsidRDefault="000813D4" w:rsidP="00E73A60">
      <w:pPr>
        <w:keepNext/>
        <w:rPr>
          <w:b/>
          <w:bCs/>
        </w:rPr>
      </w:pPr>
      <w:r w:rsidRPr="00F76B57">
        <w:rPr>
          <w:b/>
          <w:bCs/>
        </w:rPr>
        <w:lastRenderedPageBreak/>
        <w:t>Extended assessment of Safety</w:t>
      </w:r>
    </w:p>
    <w:p w14:paraId="13A11A46" w14:textId="1F920063" w:rsidR="000813D4" w:rsidRPr="0043575D" w:rsidRDefault="00392216" w:rsidP="58C81D04">
      <w:pPr>
        <w:pStyle w:val="3-BodyText"/>
        <w:rPr>
          <w:rFonts w:ascii="Arial Narrow" w:hAnsi="Arial Narrow"/>
          <w:b/>
          <w:bCs/>
          <w:sz w:val="20"/>
          <w:szCs w:val="20"/>
        </w:rPr>
      </w:pPr>
      <w:r w:rsidRPr="0043575D">
        <w:rPr>
          <w:color w:val="000000" w:themeColor="text1"/>
        </w:rPr>
        <w:t>The mechanism of action of ublituximab has given rise to concerns about risks of infection and neoplasia with long-term treatment.</w:t>
      </w:r>
      <w:r w:rsidR="000813D4" w:rsidRPr="0043575D">
        <w:rPr>
          <w:color w:val="000000" w:themeColor="text1"/>
        </w:rPr>
        <w:t xml:space="preserve"> The trials excluded patients considered to be at high risk of adverse events related to infection (</w:t>
      </w:r>
      <w:r w:rsidR="00A16518" w:rsidRPr="0043575D">
        <w:rPr>
          <w:color w:val="000000" w:themeColor="text1"/>
        </w:rPr>
        <w:t>e.g.</w:t>
      </w:r>
      <w:r w:rsidR="000813D4" w:rsidRPr="0043575D">
        <w:rPr>
          <w:color w:val="000000" w:themeColor="text1"/>
        </w:rPr>
        <w:t>, positive serology for Hepatitis B or C), while real-world use may include some of these patients.</w:t>
      </w:r>
    </w:p>
    <w:p w14:paraId="60D36DCF" w14:textId="1D8F6BCE" w:rsidR="000813D4" w:rsidRPr="0043575D" w:rsidRDefault="000813D4">
      <w:pPr>
        <w:pStyle w:val="3-BodyText"/>
      </w:pPr>
      <w:r w:rsidRPr="0043575D">
        <w:t>No Periodic Safety Update Report has been prepared for ublituximab because there has not been sufficiently prolonged use outside trials</w:t>
      </w:r>
      <w:r w:rsidR="00A16518" w:rsidRPr="0043575D">
        <w:t xml:space="preserve">. </w:t>
      </w:r>
    </w:p>
    <w:p w14:paraId="02DD2833" w14:textId="77777777" w:rsidR="00FE442F" w:rsidRPr="00004D7E" w:rsidRDefault="00FE442F" w:rsidP="00FE442F">
      <w:pPr>
        <w:pStyle w:val="4-SubsectionHeading"/>
        <w:rPr>
          <w:iCs/>
        </w:rPr>
      </w:pPr>
      <w:bookmarkStart w:id="54" w:name="_Toc22897643"/>
      <w:bookmarkStart w:id="55" w:name="_Toc156913315"/>
      <w:bookmarkStart w:id="56" w:name="_Toc193112860"/>
      <w:bookmarkStart w:id="57" w:name="_Toc22897644"/>
      <w:r w:rsidRPr="00004D7E">
        <w:rPr>
          <w:iCs/>
        </w:rPr>
        <w:t>Benefits/harms</w:t>
      </w:r>
      <w:bookmarkEnd w:id="54"/>
      <w:bookmarkEnd w:id="55"/>
      <w:bookmarkEnd w:id="56"/>
    </w:p>
    <w:p w14:paraId="1165C30E" w14:textId="2E1D2492" w:rsidR="00FE442F" w:rsidRPr="0043575D" w:rsidRDefault="00FE442F" w:rsidP="58C81D04">
      <w:pPr>
        <w:pStyle w:val="3-BodyText"/>
        <w:rPr>
          <w:rFonts w:eastAsia="Calibri"/>
        </w:rPr>
      </w:pPr>
      <w:r w:rsidRPr="0043575D">
        <w:rPr>
          <w:rFonts w:eastAsia="Calibri"/>
        </w:rPr>
        <w:t xml:space="preserve">A benefits and harms table </w:t>
      </w:r>
      <w:proofErr w:type="gramStart"/>
      <w:r w:rsidRPr="0043575D">
        <w:rPr>
          <w:rFonts w:eastAsia="Calibri"/>
        </w:rPr>
        <w:t>is</w:t>
      </w:r>
      <w:proofErr w:type="gramEnd"/>
      <w:r w:rsidRPr="0043575D">
        <w:rPr>
          <w:rFonts w:eastAsia="Calibri"/>
        </w:rPr>
        <w:t xml:space="preserve"> not presented</w:t>
      </w:r>
      <w:r w:rsidR="007E22A5" w:rsidRPr="0043575D">
        <w:rPr>
          <w:rFonts w:eastAsia="Calibri"/>
        </w:rPr>
        <w:t xml:space="preserve"> versus ofatumumab</w:t>
      </w:r>
      <w:r w:rsidR="00284B50" w:rsidRPr="0043575D">
        <w:rPr>
          <w:rFonts w:eastAsia="Calibri"/>
        </w:rPr>
        <w:t xml:space="preserve"> and ocrelizumab</w:t>
      </w:r>
      <w:r w:rsidRPr="0043575D">
        <w:rPr>
          <w:rFonts w:eastAsia="Calibri"/>
        </w:rPr>
        <w:t xml:space="preserve"> as the submission made a claim of non-inferiority. </w:t>
      </w:r>
    </w:p>
    <w:p w14:paraId="3784F21E" w14:textId="0999E5F7" w:rsidR="007E22A5" w:rsidRPr="0043575D" w:rsidRDefault="00284B50" w:rsidP="58C81D04">
      <w:pPr>
        <w:pStyle w:val="3-BodyText"/>
        <w:rPr>
          <w:rFonts w:eastAsia="Calibri"/>
        </w:rPr>
      </w:pPr>
      <w:r w:rsidRPr="0043575D">
        <w:rPr>
          <w:rFonts w:eastAsia="Calibri"/>
        </w:rPr>
        <w:t>With respect to the</w:t>
      </w:r>
      <w:r w:rsidR="00C62D3F" w:rsidRPr="0043575D">
        <w:rPr>
          <w:rFonts w:eastAsia="Calibri"/>
        </w:rPr>
        <w:t xml:space="preserve"> superiority</w:t>
      </w:r>
      <w:r w:rsidRPr="0043575D">
        <w:rPr>
          <w:rFonts w:eastAsia="Calibri"/>
        </w:rPr>
        <w:t xml:space="preserve"> claim versus fingolimod, if these were to be accepted, based on the evidence presented in the submission, treatment with ublituximab </w:t>
      </w:r>
      <w:r w:rsidR="002D78D4" w:rsidRPr="0043575D">
        <w:rPr>
          <w:rFonts w:eastAsia="Calibri"/>
        </w:rPr>
        <w:t>was</w:t>
      </w:r>
      <w:r w:rsidRPr="0043575D">
        <w:rPr>
          <w:rFonts w:eastAsia="Calibri"/>
        </w:rPr>
        <w:t xml:space="preserve"> associated with: </w:t>
      </w:r>
    </w:p>
    <w:p w14:paraId="6A52351B" w14:textId="37FCE770" w:rsidR="00284B50" w:rsidRPr="0043575D" w:rsidRDefault="002D78D4" w:rsidP="00777DDD">
      <w:pPr>
        <w:pStyle w:val="ListParagraph"/>
        <w:jc w:val="both"/>
        <w:rPr>
          <w:rFonts w:eastAsia="Calibri"/>
        </w:rPr>
      </w:pPr>
      <w:r w:rsidRPr="0043575D">
        <w:rPr>
          <w:rFonts w:eastAsia="Calibri"/>
        </w:rPr>
        <w:t xml:space="preserve">A </w:t>
      </w:r>
      <w:r w:rsidR="00A25565" w:rsidRPr="0043575D">
        <w:rPr>
          <w:rFonts w:eastAsia="Calibri"/>
        </w:rPr>
        <w:t>38</w:t>
      </w:r>
      <w:r w:rsidRPr="0043575D">
        <w:rPr>
          <w:rFonts w:eastAsia="Calibri"/>
        </w:rPr>
        <w:t>% lower annualised relapse rate; and</w:t>
      </w:r>
    </w:p>
    <w:p w14:paraId="5299BECA" w14:textId="00DED645" w:rsidR="008F113C" w:rsidRPr="008F113C" w:rsidRDefault="002D78D4" w:rsidP="00777DDD">
      <w:pPr>
        <w:pStyle w:val="ListParagraph"/>
        <w:jc w:val="both"/>
        <w:rPr>
          <w:rFonts w:eastAsia="Calibri"/>
        </w:rPr>
      </w:pPr>
      <w:r w:rsidRPr="0043575D">
        <w:rPr>
          <w:rFonts w:eastAsia="Calibri"/>
        </w:rPr>
        <w:t xml:space="preserve">No </w:t>
      </w:r>
      <w:r w:rsidR="00565B0C" w:rsidRPr="0043575D">
        <w:rPr>
          <w:rFonts w:eastAsia="Calibri"/>
        </w:rPr>
        <w:t>difference in risk of confirmed disability progression at either 12 or 24</w:t>
      </w:r>
      <w:r w:rsidR="00E73A60">
        <w:rPr>
          <w:rFonts w:eastAsia="Calibri"/>
        </w:rPr>
        <w:t> </w:t>
      </w:r>
      <w:r w:rsidR="00565B0C" w:rsidRPr="0043575D">
        <w:rPr>
          <w:rFonts w:eastAsia="Calibri"/>
        </w:rPr>
        <w:t xml:space="preserve">weeks. </w:t>
      </w:r>
    </w:p>
    <w:p w14:paraId="1EC03AE9" w14:textId="388EC833" w:rsidR="008F113C" w:rsidRPr="0043575D" w:rsidRDefault="00527CDF" w:rsidP="008F113C">
      <w:pPr>
        <w:pStyle w:val="3-BodyText"/>
        <w:rPr>
          <w:rFonts w:eastAsia="Calibri"/>
        </w:rPr>
      </w:pPr>
      <w:r>
        <w:rPr>
          <w:rFonts w:eastAsia="Calibri"/>
        </w:rPr>
        <w:t xml:space="preserve">Due to the substantial inherent uncertainty </w:t>
      </w:r>
      <w:r w:rsidR="00DB00C6">
        <w:rPr>
          <w:rFonts w:eastAsia="Calibri"/>
        </w:rPr>
        <w:t xml:space="preserve">with the presented evidence underpinning </w:t>
      </w:r>
      <w:r w:rsidR="00063D51">
        <w:rPr>
          <w:rFonts w:eastAsia="Calibri"/>
        </w:rPr>
        <w:t>comparison with fingolimod</w:t>
      </w:r>
      <w:r w:rsidR="00DB00C6">
        <w:rPr>
          <w:rFonts w:eastAsia="Calibri"/>
        </w:rPr>
        <w:t xml:space="preserve">, the PBAC did not accept </w:t>
      </w:r>
      <w:r w:rsidR="00CA6285">
        <w:rPr>
          <w:rFonts w:eastAsia="Calibri"/>
        </w:rPr>
        <w:t>the contention that ublituximab was associated with clear benefits over fingolimod.</w:t>
      </w:r>
    </w:p>
    <w:p w14:paraId="7A1772B6" w14:textId="2E3DBC18" w:rsidR="00B60939" w:rsidRPr="00004D7E" w:rsidRDefault="00B60939" w:rsidP="00E9094A">
      <w:pPr>
        <w:pStyle w:val="4-SubsectionHeading"/>
        <w:rPr>
          <w:iCs/>
        </w:rPr>
      </w:pPr>
      <w:bookmarkStart w:id="58" w:name="_Toc193112861"/>
      <w:r w:rsidRPr="00004D7E">
        <w:rPr>
          <w:iCs/>
        </w:rPr>
        <w:t>Clinical claim</w:t>
      </w:r>
      <w:bookmarkEnd w:id="57"/>
      <w:bookmarkEnd w:id="58"/>
    </w:p>
    <w:p w14:paraId="3C9B444F" w14:textId="2266E7A3" w:rsidR="00F44BE5" w:rsidRPr="000B114D" w:rsidRDefault="005F7588" w:rsidP="00004D7E">
      <w:pPr>
        <w:pStyle w:val="3-BodyText"/>
        <w:rPr>
          <w:rFonts w:eastAsia="Calibri"/>
        </w:rPr>
      </w:pPr>
      <w:r w:rsidRPr="00E50BDA">
        <w:rPr>
          <w:rFonts w:eastAsia="Calibri"/>
        </w:rPr>
        <w:t xml:space="preserve">The submission described </w:t>
      </w:r>
      <w:r w:rsidR="0063611F" w:rsidRPr="00E50BDA">
        <w:rPr>
          <w:rFonts w:eastAsia="Calibri"/>
        </w:rPr>
        <w:t>ublituximab</w:t>
      </w:r>
      <w:r w:rsidRPr="00E50BDA">
        <w:rPr>
          <w:rFonts w:eastAsia="Calibri"/>
        </w:rPr>
        <w:t xml:space="preserve"> as superio</w:t>
      </w:r>
      <w:r w:rsidR="0063611F" w:rsidRPr="00E50BDA">
        <w:rPr>
          <w:rFonts w:eastAsia="Calibri"/>
        </w:rPr>
        <w:t>r to fingolimod</w:t>
      </w:r>
      <w:r w:rsidRPr="00E50BDA">
        <w:rPr>
          <w:rFonts w:eastAsia="Calibri"/>
        </w:rPr>
        <w:t xml:space="preserve"> in terms of effectiveness. This</w:t>
      </w:r>
      <w:r w:rsidR="00AA4312">
        <w:rPr>
          <w:rFonts w:eastAsia="Calibri"/>
        </w:rPr>
        <w:t xml:space="preserve"> </w:t>
      </w:r>
      <w:r w:rsidR="00AA4312" w:rsidRPr="000B114D">
        <w:rPr>
          <w:rFonts w:eastAsia="Calibri"/>
        </w:rPr>
        <w:t>evaluation considered this</w:t>
      </w:r>
      <w:r w:rsidRPr="00E50BDA">
        <w:rPr>
          <w:rFonts w:eastAsia="Calibri"/>
        </w:rPr>
        <w:t xml:space="preserve"> claim was not adequately </w:t>
      </w:r>
      <w:r w:rsidR="0063611F" w:rsidRPr="00E50BDA">
        <w:rPr>
          <w:rFonts w:eastAsia="Calibri"/>
        </w:rPr>
        <w:t>supported</w:t>
      </w:r>
      <w:r w:rsidR="00F44BE5" w:rsidRPr="00E50BDA">
        <w:rPr>
          <w:rFonts w:eastAsia="Calibri"/>
        </w:rPr>
        <w:t xml:space="preserve">. </w:t>
      </w:r>
      <w:r w:rsidR="007C70FF" w:rsidRPr="00E50BDA">
        <w:rPr>
          <w:rFonts w:eastAsia="Calibri"/>
        </w:rPr>
        <w:t xml:space="preserve">The key issue </w:t>
      </w:r>
      <w:r w:rsidR="00F44BE5" w:rsidRPr="00E50BDA">
        <w:rPr>
          <w:rFonts w:eastAsia="Calibri"/>
        </w:rPr>
        <w:t xml:space="preserve">was, as PBAC has previously </w:t>
      </w:r>
      <w:r w:rsidR="0014337E" w:rsidRPr="00E50BDA">
        <w:rPr>
          <w:rFonts w:eastAsia="Calibri"/>
        </w:rPr>
        <w:t>advised</w:t>
      </w:r>
      <w:r w:rsidR="00166369" w:rsidRPr="00E50BDA">
        <w:rPr>
          <w:rFonts w:eastAsia="Calibri"/>
        </w:rPr>
        <w:t xml:space="preserve"> (</w:t>
      </w:r>
      <w:r w:rsidR="003908D9" w:rsidRPr="00E50BDA">
        <w:rPr>
          <w:rFonts w:eastAsia="Calibri"/>
        </w:rPr>
        <w:t>in</w:t>
      </w:r>
      <w:r w:rsidR="00E907D2" w:rsidRPr="00E50BDA">
        <w:rPr>
          <w:rFonts w:eastAsia="Calibri"/>
        </w:rPr>
        <w:t xml:space="preserve"> its consideration of ofatumumab in March 2024)</w:t>
      </w:r>
      <w:r w:rsidR="00F44BE5" w:rsidRPr="00E50BDA">
        <w:rPr>
          <w:rFonts w:eastAsia="Calibri"/>
        </w:rPr>
        <w:t xml:space="preserve">, the </w:t>
      </w:r>
      <w:r w:rsidR="0014337E" w:rsidRPr="00E50BDA">
        <w:rPr>
          <w:rFonts w:eastAsia="Calibri"/>
        </w:rPr>
        <w:t xml:space="preserve">weaknesses of the </w:t>
      </w:r>
      <w:r w:rsidR="00F44BE5" w:rsidRPr="00E50BDA">
        <w:rPr>
          <w:rFonts w:eastAsia="Calibri"/>
        </w:rPr>
        <w:t>trials making up the multi-step indirect treatment comparison</w:t>
      </w:r>
      <w:r w:rsidR="000716D5" w:rsidRPr="00E50BDA">
        <w:rPr>
          <w:rFonts w:eastAsia="Calibri"/>
        </w:rPr>
        <w:t xml:space="preserve"> likely mean</w:t>
      </w:r>
      <w:r w:rsidR="0028677A" w:rsidRPr="00E50BDA">
        <w:rPr>
          <w:rFonts w:eastAsia="Calibri"/>
        </w:rPr>
        <w:t>s</w:t>
      </w:r>
      <w:r w:rsidR="000716D5" w:rsidRPr="00E50BDA">
        <w:rPr>
          <w:rFonts w:eastAsia="Calibri"/>
        </w:rPr>
        <w:t xml:space="preserve"> the available evidence is not sufficiently reliable for the purposes of establishing superiority</w:t>
      </w:r>
      <w:r w:rsidR="00F44BE5" w:rsidRPr="00E50BDA">
        <w:rPr>
          <w:rFonts w:eastAsia="Calibri"/>
        </w:rPr>
        <w:t>.</w:t>
      </w:r>
      <w:r w:rsidR="00E77B37" w:rsidRPr="00E50BDA">
        <w:rPr>
          <w:rFonts w:eastAsia="Calibri"/>
        </w:rPr>
        <w:t xml:space="preserve"> </w:t>
      </w:r>
      <w:r w:rsidR="008B2CD6" w:rsidRPr="00E50BDA">
        <w:rPr>
          <w:rFonts w:eastAsia="Calibri"/>
        </w:rPr>
        <w:t>However, the</w:t>
      </w:r>
      <w:r w:rsidR="00063D51">
        <w:rPr>
          <w:rFonts w:eastAsia="Calibri"/>
        </w:rPr>
        <w:t xml:space="preserve"> evaluation considered the</w:t>
      </w:r>
      <w:r w:rsidR="002A7E1C" w:rsidRPr="00E50BDA">
        <w:rPr>
          <w:rFonts w:eastAsia="Calibri"/>
        </w:rPr>
        <w:t xml:space="preserve"> </w:t>
      </w:r>
      <w:r w:rsidR="008B2CD6" w:rsidRPr="00E50BDA">
        <w:rPr>
          <w:rFonts w:eastAsia="Calibri"/>
        </w:rPr>
        <w:t xml:space="preserve">available evidence does not </w:t>
      </w:r>
      <w:r w:rsidR="00035445" w:rsidRPr="00E50BDA">
        <w:rPr>
          <w:rFonts w:eastAsia="Calibri"/>
        </w:rPr>
        <w:t xml:space="preserve">suggest ublituximab is likely to be </w:t>
      </w:r>
      <w:r w:rsidR="00CB5D89" w:rsidRPr="00E50BDA">
        <w:rPr>
          <w:rFonts w:eastAsia="Calibri"/>
        </w:rPr>
        <w:t>less effective than fingolimod.</w:t>
      </w:r>
      <w:r w:rsidR="00766B26">
        <w:rPr>
          <w:rFonts w:eastAsia="Calibri"/>
        </w:rPr>
        <w:t xml:space="preserve"> </w:t>
      </w:r>
      <w:r w:rsidR="00766B26" w:rsidRPr="000B114D">
        <w:rPr>
          <w:rFonts w:eastAsia="Calibri"/>
        </w:rPr>
        <w:t xml:space="preserve">The PSCR </w:t>
      </w:r>
      <w:r w:rsidR="00AC2E3B" w:rsidRPr="000B114D">
        <w:rPr>
          <w:rFonts w:eastAsia="Calibri"/>
        </w:rPr>
        <w:t xml:space="preserve">argued the </w:t>
      </w:r>
      <w:r w:rsidR="00B210EC" w:rsidRPr="000B114D">
        <w:rPr>
          <w:rFonts w:eastAsia="Calibri"/>
        </w:rPr>
        <w:t>indirect treatment comparison results for ARR</w:t>
      </w:r>
      <w:r w:rsidR="00296463" w:rsidRPr="000B114D">
        <w:rPr>
          <w:rFonts w:eastAsia="Calibri"/>
        </w:rPr>
        <w:t xml:space="preserve"> support </w:t>
      </w:r>
      <w:r w:rsidR="00304174" w:rsidRPr="000B114D">
        <w:rPr>
          <w:rFonts w:eastAsia="Calibri"/>
        </w:rPr>
        <w:t xml:space="preserve">the superiority claim for </w:t>
      </w:r>
      <w:r w:rsidR="00184724" w:rsidRPr="000B114D">
        <w:rPr>
          <w:rFonts w:eastAsia="Calibri"/>
        </w:rPr>
        <w:t>ublituximab over fingolimod.</w:t>
      </w:r>
      <w:r w:rsidR="00E50BDA" w:rsidRPr="00E50BDA">
        <w:rPr>
          <w:rFonts w:eastAsia="Calibri"/>
        </w:rPr>
        <w:t xml:space="preserve"> </w:t>
      </w:r>
      <w:r w:rsidR="00E50BDA" w:rsidRPr="000B114D">
        <w:rPr>
          <w:rFonts w:eastAsia="Calibri"/>
        </w:rPr>
        <w:t>The ESC agreed with the evaluation concerns around the robustness of the</w:t>
      </w:r>
      <w:r w:rsidR="0023769E" w:rsidRPr="000B114D">
        <w:rPr>
          <w:rFonts w:eastAsia="Calibri"/>
        </w:rPr>
        <w:t xml:space="preserve"> multi-step</w:t>
      </w:r>
      <w:r w:rsidR="00E50BDA" w:rsidRPr="000B114D">
        <w:rPr>
          <w:rFonts w:eastAsia="Calibri"/>
        </w:rPr>
        <w:t xml:space="preserve"> indirect treatment comparisons of ublituximab versus fingolimod. </w:t>
      </w:r>
      <w:r w:rsidR="00290029" w:rsidRPr="000B114D">
        <w:rPr>
          <w:rFonts w:eastAsia="Calibri"/>
        </w:rPr>
        <w:t>Based on the available evidence, the ESC considered</w:t>
      </w:r>
      <w:r w:rsidR="00E50BDA" w:rsidRPr="000B114D">
        <w:rPr>
          <w:rFonts w:eastAsia="Calibri"/>
        </w:rPr>
        <w:t xml:space="preserve"> that </w:t>
      </w:r>
      <w:proofErr w:type="spellStart"/>
      <w:r w:rsidR="00E50BDA" w:rsidRPr="000B114D">
        <w:rPr>
          <w:rFonts w:eastAsia="Calibri"/>
        </w:rPr>
        <w:t>ublituximab’s</w:t>
      </w:r>
      <w:proofErr w:type="spellEnd"/>
      <w:r w:rsidR="00E50BDA" w:rsidRPr="000B114D">
        <w:rPr>
          <w:rFonts w:eastAsia="Calibri"/>
        </w:rPr>
        <w:t xml:space="preserve"> superiority claim over fingolimod was not</w:t>
      </w:r>
      <w:r w:rsidR="00184724" w:rsidRPr="000B114D">
        <w:rPr>
          <w:rFonts w:eastAsia="Calibri"/>
        </w:rPr>
        <w:t xml:space="preserve"> adequately</w:t>
      </w:r>
      <w:r w:rsidR="00E50BDA" w:rsidRPr="000B114D">
        <w:rPr>
          <w:rFonts w:eastAsia="Calibri"/>
        </w:rPr>
        <w:t xml:space="preserve"> supported</w:t>
      </w:r>
      <w:r w:rsidR="00290029" w:rsidRPr="000B114D">
        <w:rPr>
          <w:rFonts w:eastAsia="Calibri"/>
        </w:rPr>
        <w:t xml:space="preserve">, and that a claim of non-inferior comparative effectiveness was </w:t>
      </w:r>
      <w:r w:rsidR="00766B26" w:rsidRPr="000B114D">
        <w:rPr>
          <w:rFonts w:eastAsia="Calibri"/>
        </w:rPr>
        <w:t>likely more reasonable</w:t>
      </w:r>
      <w:r w:rsidR="00E50BDA" w:rsidRPr="000B114D">
        <w:rPr>
          <w:rFonts w:eastAsia="Calibri"/>
        </w:rPr>
        <w:t>.</w:t>
      </w:r>
    </w:p>
    <w:p w14:paraId="54D3A82D" w14:textId="0F816A1B" w:rsidR="005F7588" w:rsidRPr="00997683" w:rsidRDefault="00F44BE5" w:rsidP="58C81D04">
      <w:pPr>
        <w:pStyle w:val="3-BodyText"/>
        <w:rPr>
          <w:rFonts w:eastAsia="Calibri"/>
        </w:rPr>
      </w:pPr>
      <w:r w:rsidRPr="00997683">
        <w:rPr>
          <w:rFonts w:eastAsia="Calibri"/>
        </w:rPr>
        <w:t>The submission described ublituximab as non-inferior to ocrelizumab and ofatumumab in terms of effectiveness. Taking the evidence as a whole, th</w:t>
      </w:r>
      <w:r w:rsidR="00E50BDA">
        <w:rPr>
          <w:rFonts w:eastAsia="Calibri"/>
        </w:rPr>
        <w:t xml:space="preserve">e </w:t>
      </w:r>
      <w:r w:rsidR="00E50BDA" w:rsidRPr="000B114D">
        <w:rPr>
          <w:rFonts w:eastAsia="Calibri"/>
        </w:rPr>
        <w:t>evaluation and ESC considered these</w:t>
      </w:r>
      <w:r w:rsidRPr="00997683">
        <w:rPr>
          <w:rFonts w:eastAsia="Calibri"/>
        </w:rPr>
        <w:t xml:space="preserve"> claim</w:t>
      </w:r>
      <w:r w:rsidR="00E50BDA">
        <w:rPr>
          <w:rFonts w:eastAsia="Calibri"/>
        </w:rPr>
        <w:t>s</w:t>
      </w:r>
      <w:r w:rsidRPr="00997683">
        <w:rPr>
          <w:rFonts w:eastAsia="Calibri"/>
        </w:rPr>
        <w:t xml:space="preserve"> </w:t>
      </w:r>
      <w:r w:rsidR="00E50BDA" w:rsidRPr="000B114D">
        <w:rPr>
          <w:rFonts w:eastAsia="Calibri"/>
        </w:rPr>
        <w:t>were</w:t>
      </w:r>
      <w:r w:rsidR="00443B6B" w:rsidRPr="00997683">
        <w:rPr>
          <w:rFonts w:eastAsia="Calibri"/>
        </w:rPr>
        <w:t xml:space="preserve"> probably</w:t>
      </w:r>
      <w:r w:rsidRPr="00997683">
        <w:rPr>
          <w:rFonts w:eastAsia="Calibri"/>
        </w:rPr>
        <w:t xml:space="preserve"> reasonable</w:t>
      </w:r>
      <w:r w:rsidR="00E50BDA">
        <w:rPr>
          <w:rFonts w:eastAsia="Calibri"/>
        </w:rPr>
        <w:t xml:space="preserve">, </w:t>
      </w:r>
      <w:r w:rsidR="00E50BDA" w:rsidRPr="000B114D">
        <w:rPr>
          <w:rFonts w:eastAsia="Calibri"/>
        </w:rPr>
        <w:t xml:space="preserve">however </w:t>
      </w:r>
      <w:r w:rsidR="00416CEA" w:rsidRPr="000B114D">
        <w:rPr>
          <w:rFonts w:eastAsia="Calibri"/>
        </w:rPr>
        <w:t xml:space="preserve">the ESC </w:t>
      </w:r>
      <w:r w:rsidR="00541367" w:rsidRPr="000B114D">
        <w:rPr>
          <w:rFonts w:eastAsia="Calibri"/>
        </w:rPr>
        <w:t xml:space="preserve">considered the comparison versus ocrelizumab had inherent uncertainty due to the </w:t>
      </w:r>
      <w:r w:rsidR="00541367" w:rsidRPr="000B114D">
        <w:rPr>
          <w:rFonts w:eastAsia="Calibri"/>
        </w:rPr>
        <w:lastRenderedPageBreak/>
        <w:t>multi-step in</w:t>
      </w:r>
      <w:r w:rsidR="009871EE" w:rsidRPr="000B114D">
        <w:rPr>
          <w:rFonts w:eastAsia="Calibri"/>
        </w:rPr>
        <w:t xml:space="preserve">direct treatment comparison approach </w:t>
      </w:r>
      <w:r w:rsidR="00831F23" w:rsidRPr="000B114D">
        <w:rPr>
          <w:rFonts w:eastAsia="Calibri"/>
        </w:rPr>
        <w:t xml:space="preserve">using a </w:t>
      </w:r>
      <w:r w:rsidR="00A37343" w:rsidRPr="000B114D">
        <w:rPr>
          <w:rFonts w:eastAsia="Calibri"/>
        </w:rPr>
        <w:t xml:space="preserve">teriflunomide bridging study with a </w:t>
      </w:r>
      <w:r w:rsidR="00416CEA" w:rsidRPr="000B114D">
        <w:rPr>
          <w:rFonts w:eastAsia="Calibri"/>
        </w:rPr>
        <w:t>substantial methodological issues</w:t>
      </w:r>
      <w:r w:rsidR="00A16518" w:rsidRPr="00997683">
        <w:rPr>
          <w:rFonts w:eastAsia="Calibri"/>
        </w:rPr>
        <w:t xml:space="preserve">. </w:t>
      </w:r>
    </w:p>
    <w:p w14:paraId="7F613CD1" w14:textId="49A36D32" w:rsidR="005F7588" w:rsidRDefault="005F7588" w:rsidP="58C81D04">
      <w:pPr>
        <w:pStyle w:val="3-BodyText"/>
        <w:rPr>
          <w:rFonts w:eastAsia="Calibri"/>
        </w:rPr>
      </w:pPr>
      <w:r w:rsidRPr="00997683">
        <w:rPr>
          <w:rFonts w:eastAsia="Calibri"/>
        </w:rPr>
        <w:t>The submission described</w:t>
      </w:r>
      <w:r w:rsidR="00F44BE5" w:rsidRPr="00997683">
        <w:rPr>
          <w:rFonts w:eastAsia="Calibri"/>
        </w:rPr>
        <w:t xml:space="preserve"> ublituximab as </w:t>
      </w:r>
      <w:r w:rsidRPr="00997683">
        <w:rPr>
          <w:rFonts w:eastAsia="Calibri"/>
        </w:rPr>
        <w:t>non-inferior in term</w:t>
      </w:r>
      <w:r w:rsidR="00156F8F" w:rsidRPr="00997683">
        <w:rPr>
          <w:rFonts w:eastAsia="Calibri"/>
        </w:rPr>
        <w:t>s</w:t>
      </w:r>
      <w:r w:rsidRPr="00997683">
        <w:rPr>
          <w:rFonts w:eastAsia="Calibri"/>
        </w:rPr>
        <w:t xml:space="preserve"> of safety compared to </w:t>
      </w:r>
      <w:r w:rsidR="00F44BE5" w:rsidRPr="00997683">
        <w:rPr>
          <w:rFonts w:eastAsia="Calibri"/>
        </w:rPr>
        <w:t>fingolimod, ocrelizumab and ofatumumab. Taking the evidence as a whole, t</w:t>
      </w:r>
      <w:r w:rsidR="00E50BDA">
        <w:rPr>
          <w:rFonts w:eastAsia="Calibri"/>
        </w:rPr>
        <w:t xml:space="preserve">he </w:t>
      </w:r>
      <w:r w:rsidR="00E50BDA" w:rsidRPr="000B114D">
        <w:rPr>
          <w:rFonts w:eastAsia="Calibri"/>
        </w:rPr>
        <w:t xml:space="preserve">evaluation and ESC considered these </w:t>
      </w:r>
      <w:r w:rsidR="00F44BE5" w:rsidRPr="00997683">
        <w:rPr>
          <w:rFonts w:eastAsia="Calibri"/>
        </w:rPr>
        <w:t>claim</w:t>
      </w:r>
      <w:r w:rsidR="00E50BDA">
        <w:rPr>
          <w:rFonts w:eastAsia="Calibri"/>
        </w:rPr>
        <w:t>s</w:t>
      </w:r>
      <w:r w:rsidR="00F44BE5" w:rsidRPr="00997683">
        <w:rPr>
          <w:rFonts w:eastAsia="Calibri"/>
        </w:rPr>
        <w:t xml:space="preserve"> </w:t>
      </w:r>
      <w:r w:rsidR="00E50BDA" w:rsidRPr="000B114D">
        <w:rPr>
          <w:rFonts w:eastAsia="Calibri"/>
        </w:rPr>
        <w:t>were</w:t>
      </w:r>
      <w:r w:rsidR="00F44BE5" w:rsidRPr="00997683">
        <w:rPr>
          <w:rFonts w:eastAsia="Calibri"/>
        </w:rPr>
        <w:t xml:space="preserve"> </w:t>
      </w:r>
      <w:r w:rsidR="00443B6B" w:rsidRPr="00997683">
        <w:rPr>
          <w:rFonts w:eastAsia="Calibri"/>
        </w:rPr>
        <w:t xml:space="preserve">probably </w:t>
      </w:r>
      <w:r w:rsidR="00F44BE5" w:rsidRPr="00997683">
        <w:rPr>
          <w:rFonts w:eastAsia="Calibri"/>
        </w:rPr>
        <w:t xml:space="preserve">reasonable. </w:t>
      </w:r>
    </w:p>
    <w:p w14:paraId="3AADECFE" w14:textId="07643ADB" w:rsidR="0089041A" w:rsidRPr="00CF3ADF" w:rsidRDefault="0089041A" w:rsidP="0089041A">
      <w:pPr>
        <w:widowControl w:val="0"/>
        <w:numPr>
          <w:ilvl w:val="1"/>
          <w:numId w:val="6"/>
        </w:numPr>
        <w:spacing w:after="120"/>
        <w:rPr>
          <w:rFonts w:asciiTheme="minorHAnsi" w:hAnsiTheme="minorHAnsi" w:cstheme="minorHAnsi"/>
          <w:snapToGrid w:val="0"/>
          <w:lang w:val="en-GB"/>
        </w:rPr>
      </w:pPr>
      <w:r>
        <w:t>The PBAC</w:t>
      </w:r>
      <w:r w:rsidR="00D31F99">
        <w:t xml:space="preserve"> agreed with the evaluation and ESC and</w:t>
      </w:r>
      <w:r>
        <w:t xml:space="preserve"> considered</w:t>
      </w:r>
      <w:r w:rsidR="00D31F99">
        <w:t xml:space="preserve"> the claim of superior comparative effectiveness to fingolimod was not adequately supported. The Committee considered the comparison versus ofatumumab was the most robust</w:t>
      </w:r>
      <w:r w:rsidR="001F33D1">
        <w:t xml:space="preserve"> and that a claim of non-inferior comparative effectiveness of ublituximab and ofatumumab was </w:t>
      </w:r>
      <w:r w:rsidR="00153F3F">
        <w:t>likely reasonable. The PBAC considered it was</w:t>
      </w:r>
      <w:r w:rsidR="003C43DC">
        <w:t xml:space="preserve"> more</w:t>
      </w:r>
      <w:r w:rsidR="00153F3F">
        <w:t xml:space="preserve"> reasonable to </w:t>
      </w:r>
      <w:r w:rsidR="004C05B9">
        <w:t xml:space="preserve">then </w:t>
      </w:r>
      <w:r w:rsidR="00153F3F">
        <w:t>extrapolate the</w:t>
      </w:r>
      <w:r w:rsidR="005E511E">
        <w:t xml:space="preserve"> non-inferiority</w:t>
      </w:r>
      <w:r w:rsidR="00153F3F">
        <w:t xml:space="preserve"> </w:t>
      </w:r>
      <w:r w:rsidR="0040289F">
        <w:t xml:space="preserve">therapeutic relativities </w:t>
      </w:r>
      <w:r w:rsidR="00256D0A">
        <w:t xml:space="preserve">established for ofatumumab </w:t>
      </w:r>
      <w:r w:rsidR="005E511E">
        <w:t>to the other higher efficacy tier agents for RRMS on the PBS, including fingolimod and ocrelizumab</w:t>
      </w:r>
      <w:r w:rsidR="004C05B9">
        <w:t>, to ublituximab</w:t>
      </w:r>
      <w:r w:rsidR="00D215CF">
        <w:t>.</w:t>
      </w:r>
      <w:r>
        <w:t xml:space="preserve"> </w:t>
      </w:r>
    </w:p>
    <w:p w14:paraId="5C5C13A2" w14:textId="05F871E2" w:rsidR="0089041A" w:rsidRPr="0089041A" w:rsidRDefault="0089041A" w:rsidP="0089041A">
      <w:pPr>
        <w:widowControl w:val="0"/>
        <w:numPr>
          <w:ilvl w:val="1"/>
          <w:numId w:val="6"/>
        </w:numPr>
        <w:spacing w:after="120"/>
        <w:rPr>
          <w:rFonts w:asciiTheme="minorHAnsi" w:hAnsiTheme="minorHAnsi" w:cstheme="minorHAnsi"/>
          <w:snapToGrid w:val="0"/>
          <w:lang w:val="en-GB"/>
        </w:rPr>
      </w:pPr>
      <w:r w:rsidRPr="0089041A">
        <w:rPr>
          <w:rFonts w:cstheme="minorHAnsi"/>
          <w:snapToGrid w:val="0"/>
          <w:lang w:val="en-GB"/>
        </w:rPr>
        <w:t xml:space="preserve">The PBAC </w:t>
      </w:r>
      <w:r w:rsidR="00616F0A">
        <w:rPr>
          <w:rFonts w:cstheme="minorHAnsi"/>
          <w:snapToGrid w:val="0"/>
          <w:lang w:val="en-GB"/>
        </w:rPr>
        <w:t xml:space="preserve">considered the available safety data did not suggest </w:t>
      </w:r>
      <w:r w:rsidR="00D215CF">
        <w:rPr>
          <w:rFonts w:cstheme="minorHAnsi"/>
          <w:snapToGrid w:val="0"/>
          <w:lang w:val="en-GB"/>
        </w:rPr>
        <w:t xml:space="preserve">that ublituximab was likely to have a worse safety profile than fingolimod, ofatumumab and ocrelizumab and considered the claims of non-inferior comparative safety were reasonable. </w:t>
      </w:r>
    </w:p>
    <w:p w14:paraId="74A1172E" w14:textId="128C170E" w:rsidR="00B60939" w:rsidRPr="00004D7E" w:rsidRDefault="00B60939" w:rsidP="00004D7E">
      <w:pPr>
        <w:pStyle w:val="4-SubsectionHeading"/>
      </w:pPr>
      <w:bookmarkStart w:id="59" w:name="_Toc22897645"/>
      <w:bookmarkStart w:id="60" w:name="_Toc193112862"/>
      <w:r w:rsidRPr="00004D7E">
        <w:t>Economic analysis</w:t>
      </w:r>
      <w:bookmarkEnd w:id="59"/>
      <w:bookmarkEnd w:id="60"/>
      <w:r w:rsidR="00491B3A" w:rsidRPr="00004D7E">
        <w:t xml:space="preserve"> </w:t>
      </w:r>
    </w:p>
    <w:p w14:paraId="72F05190" w14:textId="20927BD6" w:rsidR="00007C0C" w:rsidRPr="00334A6B" w:rsidRDefault="00A564A8" w:rsidP="007377B8">
      <w:pPr>
        <w:pStyle w:val="3-BodyText"/>
      </w:pPr>
      <w:r w:rsidRPr="00334A6B">
        <w:t xml:space="preserve">The submission presented a cost analysis to construct a proposed price for </w:t>
      </w:r>
      <w:r w:rsidR="00721C9B" w:rsidRPr="00334A6B">
        <w:t>ublit</w:t>
      </w:r>
      <w:r w:rsidR="00A16518" w:rsidRPr="00334A6B">
        <w:t>u</w:t>
      </w:r>
      <w:r w:rsidR="00721C9B" w:rsidRPr="00334A6B">
        <w:t>ximab and</w:t>
      </w:r>
      <w:r w:rsidRPr="00334A6B">
        <w:t xml:space="preserve"> proposed that the price should be a weighted average of the three comparators, ocrelizumab, ofatumumab and fingolimod, with weights determined by current relative PBS prescribing. </w:t>
      </w:r>
      <w:r w:rsidR="00721C9B" w:rsidRPr="00334A6B">
        <w:t xml:space="preserve">The submission proposed a </w:t>
      </w:r>
      <w:r w:rsidR="001F633E" w:rsidRPr="001F633E">
        <w:rPr>
          <w:color w:val="000000"/>
          <w:w w:val="60"/>
          <w:shd w:val="solid" w:color="000000" w:fill="000000"/>
          <w:fitText w:val="470" w:id="-663554560"/>
          <w14:textFill>
            <w14:solidFill>
              <w14:srgbClr w14:val="000000">
                <w14:alpha w14:val="100000"/>
              </w14:srgbClr>
            </w14:solidFill>
          </w14:textFill>
        </w:rPr>
        <w:t>|||  ||</w:t>
      </w:r>
      <w:r w:rsidR="001F633E" w:rsidRPr="001F633E">
        <w:rPr>
          <w:color w:val="000000"/>
          <w:spacing w:val="6"/>
          <w:w w:val="60"/>
          <w:shd w:val="solid" w:color="000000" w:fill="000000"/>
          <w:fitText w:val="470" w:id="-663554560"/>
          <w14:textFill>
            <w14:solidFill>
              <w14:srgbClr w14:val="000000">
                <w14:alpha w14:val="100000"/>
              </w14:srgbClr>
            </w14:solidFill>
          </w14:textFill>
        </w:rPr>
        <w:t>|</w:t>
      </w:r>
      <w:r w:rsidR="00721C9B" w:rsidRPr="00334A6B">
        <w:t>% price premium over the current fingolimod price as part of the calculations, on the grounds of claimed superiority of ublituximab over fingolimod</w:t>
      </w:r>
      <w:r w:rsidR="00A16518" w:rsidRPr="00334A6B">
        <w:t xml:space="preserve">. </w:t>
      </w:r>
      <w:r w:rsidR="00721C9B" w:rsidRPr="00334A6B">
        <w:t>As noted above, this claim was not adequately supported by the clinical data and the application of an arbitrary price premium does not establish cost effectiveness over fingolimod at the price proposed</w:t>
      </w:r>
      <w:r w:rsidR="00B0377B" w:rsidRPr="00334A6B">
        <w:t>, even if the claim of superiority were accepted</w:t>
      </w:r>
      <w:r w:rsidR="00721C9B" w:rsidRPr="00334A6B">
        <w:t xml:space="preserve">. </w:t>
      </w:r>
    </w:p>
    <w:p w14:paraId="07353CD6" w14:textId="652013BA" w:rsidR="00BB00B3" w:rsidRPr="00334A6B" w:rsidRDefault="00A564A8" w:rsidP="007377B8">
      <w:pPr>
        <w:pStyle w:val="3-BodyText"/>
      </w:pPr>
      <w:r w:rsidRPr="00334A6B">
        <w:t xml:space="preserve">The submission noted that both ocrelizumab and ofatumumab have Special Pricing arrangements and used the published prices in the analysis, acknowledging that these would need to be recalculated. </w:t>
      </w:r>
    </w:p>
    <w:p w14:paraId="2B3A990F" w14:textId="269D9A40" w:rsidR="00276F88" w:rsidRPr="005C37D2" w:rsidRDefault="007377B8" w:rsidP="00081C51">
      <w:pPr>
        <w:pStyle w:val="3-BodyText"/>
      </w:pPr>
      <w:r w:rsidRPr="00334A6B">
        <w:t xml:space="preserve">The components of the analysis as presented are listed in </w:t>
      </w:r>
      <w:r w:rsidR="00D10F8F" w:rsidRPr="00334A6B">
        <w:t>Table 11</w:t>
      </w:r>
      <w:r w:rsidR="00812FFE" w:rsidRPr="00334A6B">
        <w:t>.</w:t>
      </w:r>
    </w:p>
    <w:p w14:paraId="65A7A7AC" w14:textId="43A06A4F" w:rsidR="007377B8" w:rsidRPr="0098262F" w:rsidRDefault="00812FFE" w:rsidP="00812FFE">
      <w:pPr>
        <w:pStyle w:val="Caption"/>
        <w:rPr>
          <w:rStyle w:val="CommentReference"/>
          <w:b/>
          <w:szCs w:val="24"/>
        </w:rPr>
      </w:pPr>
      <w:bookmarkStart w:id="61" w:name="_Ref188177958"/>
      <w:r>
        <w:lastRenderedPageBreak/>
        <w:t xml:space="preserve">Table </w:t>
      </w:r>
      <w:r w:rsidR="00E96034">
        <w:fldChar w:fldCharType="begin"/>
      </w:r>
      <w:r w:rsidR="00E96034">
        <w:instrText xml:space="preserve"> SEQ Table \* ARABIC </w:instrText>
      </w:r>
      <w:r w:rsidR="00E96034">
        <w:fldChar w:fldCharType="separate"/>
      </w:r>
      <w:r w:rsidR="00D925D4">
        <w:rPr>
          <w:noProof/>
        </w:rPr>
        <w:t>11</w:t>
      </w:r>
      <w:r w:rsidR="00E96034">
        <w:rPr>
          <w:noProof/>
        </w:rPr>
        <w:fldChar w:fldCharType="end"/>
      </w:r>
      <w:bookmarkEnd w:id="61"/>
      <w:r w:rsidR="00D10F8F">
        <w:rPr>
          <w:noProof/>
        </w:rPr>
        <w:t>1</w:t>
      </w:r>
      <w:r>
        <w:t xml:space="preserve">: </w:t>
      </w:r>
      <w:r w:rsidR="007377B8" w:rsidRPr="0098262F">
        <w:rPr>
          <w:rStyle w:val="CommentReference"/>
          <w:b/>
          <w:szCs w:val="24"/>
        </w:rPr>
        <w:t xml:space="preserve">Key components </w:t>
      </w:r>
      <w:r w:rsidR="007377B8">
        <w:rPr>
          <w:rStyle w:val="CommentReference"/>
          <w:b/>
          <w:szCs w:val="24"/>
        </w:rPr>
        <w:t>of the cost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7377B8" w:rsidRPr="0098262F" w14:paraId="77CEB6CD" w14:textId="77777777" w:rsidTr="58C81D04">
        <w:tc>
          <w:tcPr>
            <w:tcW w:w="2660" w:type="dxa"/>
            <w:vAlign w:val="center"/>
          </w:tcPr>
          <w:p w14:paraId="6BD86219" w14:textId="77777777" w:rsidR="007377B8" w:rsidRPr="0098262F" w:rsidRDefault="007377B8" w:rsidP="0038000D">
            <w:pPr>
              <w:pStyle w:val="In-tableHeading"/>
            </w:pPr>
            <w:r w:rsidRPr="0098262F">
              <w:t>Component</w:t>
            </w:r>
          </w:p>
        </w:tc>
        <w:tc>
          <w:tcPr>
            <w:tcW w:w="6520" w:type="dxa"/>
            <w:vAlign w:val="center"/>
          </w:tcPr>
          <w:p w14:paraId="67385982" w14:textId="77777777" w:rsidR="007377B8" w:rsidRPr="0098262F" w:rsidRDefault="007377B8" w:rsidP="0038000D">
            <w:pPr>
              <w:pStyle w:val="In-tableHeading"/>
            </w:pPr>
            <w:r w:rsidRPr="0098262F">
              <w:t>Claim or assumption</w:t>
            </w:r>
          </w:p>
        </w:tc>
      </w:tr>
      <w:tr w:rsidR="007377B8" w:rsidRPr="0098262F" w14:paraId="4AC41867" w14:textId="77777777" w:rsidTr="58C81D04">
        <w:tc>
          <w:tcPr>
            <w:tcW w:w="2660" w:type="dxa"/>
            <w:vAlign w:val="center"/>
          </w:tcPr>
          <w:p w14:paraId="5047C9DD" w14:textId="77777777" w:rsidR="007377B8" w:rsidRPr="0098262F" w:rsidRDefault="007377B8">
            <w:pPr>
              <w:pStyle w:val="TableText0"/>
            </w:pPr>
            <w:r w:rsidRPr="0098262F">
              <w:t>Therapeutic claim: effectiveness</w:t>
            </w:r>
          </w:p>
        </w:tc>
        <w:tc>
          <w:tcPr>
            <w:tcW w:w="6520" w:type="dxa"/>
            <w:vAlign w:val="center"/>
          </w:tcPr>
          <w:p w14:paraId="6D17F2A2" w14:textId="337F7D69" w:rsidR="007377B8" w:rsidRPr="0098262F" w:rsidRDefault="007377B8">
            <w:pPr>
              <w:pStyle w:val="TableText0"/>
            </w:pPr>
            <w:r w:rsidRPr="0098262F">
              <w:t>Based on evidence presented in Section 2, effectiveness is assumed to be non-inferior</w:t>
            </w:r>
            <w:r>
              <w:t xml:space="preserve"> to OFA and OCRE and superior to FING</w:t>
            </w:r>
          </w:p>
        </w:tc>
      </w:tr>
      <w:tr w:rsidR="007377B8" w:rsidRPr="0098262F" w14:paraId="6BCC0E29" w14:textId="77777777" w:rsidTr="58C81D04">
        <w:tc>
          <w:tcPr>
            <w:tcW w:w="2660" w:type="dxa"/>
            <w:vAlign w:val="center"/>
          </w:tcPr>
          <w:p w14:paraId="5FE9024E" w14:textId="77777777" w:rsidR="007377B8" w:rsidRPr="0098262F" w:rsidRDefault="007377B8">
            <w:pPr>
              <w:pStyle w:val="TableText0"/>
            </w:pPr>
            <w:r w:rsidRPr="0098262F">
              <w:t>Therapeutic claim: safety</w:t>
            </w:r>
          </w:p>
        </w:tc>
        <w:tc>
          <w:tcPr>
            <w:tcW w:w="6520" w:type="dxa"/>
            <w:vAlign w:val="center"/>
          </w:tcPr>
          <w:p w14:paraId="090A50D7" w14:textId="67D8C0B7" w:rsidR="007377B8" w:rsidRPr="0098262F" w:rsidRDefault="007377B8">
            <w:pPr>
              <w:pStyle w:val="TableText0"/>
            </w:pPr>
            <w:r w:rsidRPr="0098262F">
              <w:t>Based on evidence presented in Section 2, safety is assumed to be non-inferior</w:t>
            </w:r>
          </w:p>
        </w:tc>
      </w:tr>
      <w:tr w:rsidR="007377B8" w:rsidRPr="0098262F" w14:paraId="57723FCC" w14:textId="77777777" w:rsidTr="58C81D04">
        <w:tc>
          <w:tcPr>
            <w:tcW w:w="2660" w:type="dxa"/>
            <w:vAlign w:val="center"/>
          </w:tcPr>
          <w:p w14:paraId="0E4834BB" w14:textId="77777777" w:rsidR="007377B8" w:rsidRPr="0098262F" w:rsidRDefault="007377B8">
            <w:pPr>
              <w:pStyle w:val="TableText0"/>
            </w:pPr>
            <w:r w:rsidRPr="0098262F">
              <w:t>Evidence base</w:t>
            </w:r>
          </w:p>
        </w:tc>
        <w:tc>
          <w:tcPr>
            <w:tcW w:w="6520" w:type="dxa"/>
            <w:vAlign w:val="center"/>
          </w:tcPr>
          <w:p w14:paraId="031BAAC0" w14:textId="5B109283" w:rsidR="007377B8" w:rsidRPr="0098262F" w:rsidRDefault="007377B8">
            <w:pPr>
              <w:pStyle w:val="TableText0"/>
            </w:pPr>
            <w:r w:rsidRPr="0098262F">
              <w:t xml:space="preserve"> </w:t>
            </w:r>
            <w:r>
              <w:t>I</w:t>
            </w:r>
            <w:r w:rsidRPr="0098262F">
              <w:t>ndirect comparison of proposed medicine and main comparator</w:t>
            </w:r>
          </w:p>
        </w:tc>
      </w:tr>
      <w:tr w:rsidR="007377B8" w:rsidRPr="00D56CED" w14:paraId="1F1D4867" w14:textId="77777777" w:rsidTr="58C81D04">
        <w:tc>
          <w:tcPr>
            <w:tcW w:w="2660" w:type="dxa"/>
            <w:vAlign w:val="center"/>
          </w:tcPr>
          <w:p w14:paraId="550649DB" w14:textId="77777777" w:rsidR="007377B8" w:rsidRPr="00D56CED" w:rsidRDefault="007377B8">
            <w:pPr>
              <w:pStyle w:val="TableText0"/>
            </w:pPr>
            <w:r w:rsidRPr="00D56CED">
              <w:t>Equi-effective doses</w:t>
            </w:r>
          </w:p>
        </w:tc>
        <w:tc>
          <w:tcPr>
            <w:tcW w:w="6520" w:type="dxa"/>
            <w:vAlign w:val="center"/>
          </w:tcPr>
          <w:p w14:paraId="34DDDD62" w14:textId="77777777" w:rsidR="007377B8" w:rsidRPr="00D56CED" w:rsidRDefault="007377B8">
            <w:pPr>
              <w:pStyle w:val="TableText0"/>
            </w:pPr>
            <w:r w:rsidRPr="00D56CED">
              <w:t>Estimated over 2 years based on PI:</w:t>
            </w:r>
          </w:p>
          <w:p w14:paraId="397745C1" w14:textId="1EFD64B4" w:rsidR="007377B8" w:rsidRPr="00D56CED" w:rsidRDefault="007377B8">
            <w:pPr>
              <w:pStyle w:val="TableText0"/>
            </w:pPr>
            <w:r w:rsidRPr="00D56CED">
              <w:t>Ub</w:t>
            </w:r>
            <w:r w:rsidR="00BD39EB" w:rsidRPr="00D56CED">
              <w:t>l</w:t>
            </w:r>
            <w:r w:rsidRPr="00D56CED">
              <w:t>ituximab: 13 *150mg packs</w:t>
            </w:r>
          </w:p>
          <w:p w14:paraId="76F7E103" w14:textId="34350DCF" w:rsidR="007377B8" w:rsidRPr="00D56CED" w:rsidRDefault="00721C9B">
            <w:pPr>
              <w:pStyle w:val="TableText0"/>
            </w:pPr>
            <w:r w:rsidRPr="00D56CED">
              <w:t>Ocrelizumab</w:t>
            </w:r>
            <w:r w:rsidR="007377B8" w:rsidRPr="00D56CED">
              <w:t>: 300mg *</w:t>
            </w:r>
            <w:r w:rsidR="00F40CF7">
              <w:t>8</w:t>
            </w:r>
            <w:r w:rsidR="007377B8" w:rsidRPr="00D56CED">
              <w:t xml:space="preserve"> packs</w:t>
            </w:r>
          </w:p>
          <w:p w14:paraId="62349182" w14:textId="02031E2F" w:rsidR="007377B8" w:rsidRPr="00D56CED" w:rsidRDefault="007377B8">
            <w:pPr>
              <w:pStyle w:val="TableText0"/>
            </w:pPr>
            <w:r w:rsidRPr="00D56CED">
              <w:t>Ofatumumab: 20mg *27</w:t>
            </w:r>
          </w:p>
          <w:p w14:paraId="6D4C31BE" w14:textId="62D27643" w:rsidR="007377B8" w:rsidRPr="00D56CED" w:rsidRDefault="0001767E">
            <w:pPr>
              <w:pStyle w:val="TableText0"/>
            </w:pPr>
            <w:r w:rsidRPr="00D56CED">
              <w:t>Fingolimod: 0.5mg per day, calculated as 13.04 *</w:t>
            </w:r>
            <w:proofErr w:type="gramStart"/>
            <w:r w:rsidRPr="00D56CED">
              <w:t>28 day</w:t>
            </w:r>
            <w:proofErr w:type="gramEnd"/>
            <w:r w:rsidRPr="00D56CED">
              <w:t xml:space="preserve"> packs per year</w:t>
            </w:r>
          </w:p>
        </w:tc>
      </w:tr>
      <w:tr w:rsidR="007377B8" w:rsidRPr="00D56CED" w14:paraId="4A10009D" w14:textId="77777777" w:rsidTr="58C81D04">
        <w:tc>
          <w:tcPr>
            <w:tcW w:w="2660" w:type="dxa"/>
            <w:vAlign w:val="center"/>
          </w:tcPr>
          <w:p w14:paraId="416F4CFE" w14:textId="77777777" w:rsidR="007377B8" w:rsidRPr="00D56CED" w:rsidRDefault="007377B8">
            <w:pPr>
              <w:pStyle w:val="TableText0"/>
            </w:pPr>
            <w:r w:rsidRPr="00D56CED">
              <w:t>Direct medicine costs</w:t>
            </w:r>
          </w:p>
        </w:tc>
        <w:tc>
          <w:tcPr>
            <w:tcW w:w="6520" w:type="dxa"/>
            <w:vAlign w:val="center"/>
          </w:tcPr>
          <w:p w14:paraId="65E9813D" w14:textId="55286CAA" w:rsidR="007377B8" w:rsidRPr="00D56CED" w:rsidRDefault="0001767E">
            <w:pPr>
              <w:pStyle w:val="TableText0"/>
            </w:pPr>
            <w:r w:rsidRPr="00D56CED">
              <w:t>As calculated</w:t>
            </w:r>
          </w:p>
        </w:tc>
      </w:tr>
      <w:tr w:rsidR="007377B8" w:rsidRPr="00D56CED" w14:paraId="2439C864" w14:textId="77777777" w:rsidTr="58C81D04">
        <w:tc>
          <w:tcPr>
            <w:tcW w:w="2660" w:type="dxa"/>
            <w:vAlign w:val="center"/>
          </w:tcPr>
          <w:p w14:paraId="62F45FC0" w14:textId="77777777" w:rsidR="007377B8" w:rsidRPr="00D56CED" w:rsidRDefault="007377B8">
            <w:pPr>
              <w:pStyle w:val="TableText0"/>
            </w:pPr>
            <w:r w:rsidRPr="00D56CED">
              <w:t>Other costs or cost offsets</w:t>
            </w:r>
          </w:p>
        </w:tc>
        <w:tc>
          <w:tcPr>
            <w:tcW w:w="6520" w:type="dxa"/>
            <w:vAlign w:val="center"/>
          </w:tcPr>
          <w:p w14:paraId="540A24FC" w14:textId="158C4142" w:rsidR="007377B8" w:rsidRPr="00D56CED" w:rsidRDefault="007377B8">
            <w:pPr>
              <w:pStyle w:val="TableText0"/>
            </w:pPr>
            <w:r w:rsidRPr="00D56CED">
              <w:t xml:space="preserve">administration costs, </w:t>
            </w:r>
            <w:r w:rsidR="0001767E" w:rsidRPr="00D56CED">
              <w:t>premedication costs</w:t>
            </w:r>
          </w:p>
        </w:tc>
      </w:tr>
    </w:tbl>
    <w:p w14:paraId="57C96CEF" w14:textId="7E698AEF" w:rsidR="007377B8" w:rsidRPr="00D56CED" w:rsidRDefault="007377B8" w:rsidP="007377B8">
      <w:pPr>
        <w:pStyle w:val="FooterTableFigure"/>
        <w:rPr>
          <w:sz w:val="20"/>
        </w:rPr>
      </w:pPr>
      <w:r w:rsidRPr="00D56CED">
        <w:t xml:space="preserve">Source: </w:t>
      </w:r>
      <w:r w:rsidR="0001767E" w:rsidRPr="00D56CED">
        <w:t>Section 3 of the submission.</w:t>
      </w:r>
    </w:p>
    <w:p w14:paraId="00799E4F" w14:textId="1B6E7BB8" w:rsidR="000F463A" w:rsidRPr="00D56CED" w:rsidRDefault="00A86E8B" w:rsidP="58C81D04">
      <w:pPr>
        <w:pStyle w:val="3-BodyText"/>
        <w:rPr>
          <w:b/>
          <w:bCs/>
        </w:rPr>
      </w:pPr>
      <w:r w:rsidRPr="00D56CED">
        <w:t xml:space="preserve">The </w:t>
      </w:r>
      <w:proofErr w:type="spellStart"/>
      <w:r w:rsidRPr="00D56CED">
        <w:t>equi</w:t>
      </w:r>
      <w:proofErr w:type="spellEnd"/>
      <w:r w:rsidRPr="00D56CED">
        <w:t xml:space="preserve">-effective doses </w:t>
      </w:r>
      <w:r w:rsidR="00853C1A" w:rsidRPr="00D56CED">
        <w:t>for</w:t>
      </w:r>
      <w:r w:rsidRPr="00D56CED">
        <w:t xml:space="preserve"> </w:t>
      </w:r>
      <w:proofErr w:type="spellStart"/>
      <w:r w:rsidR="0001767E" w:rsidRPr="00D56CED">
        <w:t>ublituximab</w:t>
      </w:r>
      <w:proofErr w:type="spellEnd"/>
      <w:r w:rsidR="0001767E" w:rsidRPr="00D56CED">
        <w:t xml:space="preserve"> 13</w:t>
      </w:r>
      <w:r w:rsidR="00853C1A" w:rsidRPr="00D56CED">
        <w:t xml:space="preserve"> x </w:t>
      </w:r>
      <w:r w:rsidR="0001767E" w:rsidRPr="00D56CED">
        <w:t>150</w:t>
      </w:r>
      <w:r w:rsidR="00EE3DF0">
        <w:t> </w:t>
      </w:r>
      <w:r w:rsidR="0001767E" w:rsidRPr="00D56CED">
        <w:t>mg packs over 2 years</w:t>
      </w:r>
      <w:r w:rsidR="000F463A" w:rsidRPr="00D56CED">
        <w:t xml:space="preserve"> </w:t>
      </w:r>
      <w:r w:rsidR="00853C1A" w:rsidRPr="00D56CED">
        <w:t>were estimated as</w:t>
      </w:r>
      <w:r w:rsidR="000F463A" w:rsidRPr="00D56CED">
        <w:t>:</w:t>
      </w:r>
    </w:p>
    <w:p w14:paraId="5EE06220" w14:textId="41FF6CEA" w:rsidR="000F463A" w:rsidRPr="00721935" w:rsidRDefault="00AF7EA3" w:rsidP="00721935">
      <w:pPr>
        <w:pStyle w:val="ListParagraph"/>
        <w:jc w:val="both"/>
      </w:pPr>
      <w:r w:rsidRPr="00721935">
        <w:t>Ocrelizumab</w:t>
      </w:r>
      <w:r w:rsidR="000F463A" w:rsidRPr="00721935">
        <w:t xml:space="preserve"> </w:t>
      </w:r>
      <w:r w:rsidR="00773383" w:rsidRPr="00721935">
        <w:t>8</w:t>
      </w:r>
      <w:r w:rsidR="00853C1A" w:rsidRPr="00721935">
        <w:t xml:space="preserve"> x </w:t>
      </w:r>
      <w:r w:rsidR="00773383" w:rsidRPr="00721935">
        <w:t>300</w:t>
      </w:r>
      <w:r w:rsidR="00721935" w:rsidRPr="00721935">
        <w:t> </w:t>
      </w:r>
      <w:r w:rsidR="00A16518" w:rsidRPr="00721935">
        <w:t>mg injection</w:t>
      </w:r>
      <w:r w:rsidR="00773383" w:rsidRPr="00721935">
        <w:t xml:space="preserve"> </w:t>
      </w:r>
      <w:r w:rsidR="0092147D" w:rsidRPr="00721935">
        <w:t>packs over</w:t>
      </w:r>
      <w:r w:rsidR="0055207F" w:rsidRPr="00721935">
        <w:t xml:space="preserve"> 2 years</w:t>
      </w:r>
      <w:r w:rsidR="00773383" w:rsidRPr="00721935">
        <w:t>, with th</w:t>
      </w:r>
      <w:r w:rsidR="00ED54F2" w:rsidRPr="00721935">
        <w:t>e</w:t>
      </w:r>
      <w:r w:rsidR="00773383" w:rsidRPr="00721935">
        <w:t xml:space="preserve"> first dose of 600</w:t>
      </w:r>
      <w:r w:rsidR="00721935" w:rsidRPr="00721935">
        <w:t xml:space="preserve"> mg </w:t>
      </w:r>
      <w:r w:rsidR="00773383" w:rsidRPr="00721935">
        <w:t>split into 2 doses 2 weeks apart</w:t>
      </w:r>
      <w:r w:rsidR="00A16518" w:rsidRPr="00721935">
        <w:t>;</w:t>
      </w:r>
    </w:p>
    <w:p w14:paraId="72F523C7" w14:textId="2C8EE3F0" w:rsidR="000F463A" w:rsidRPr="00721935" w:rsidRDefault="000F463A" w:rsidP="00721935">
      <w:pPr>
        <w:pStyle w:val="ListParagraph"/>
        <w:jc w:val="both"/>
      </w:pPr>
      <w:r w:rsidRPr="00721935">
        <w:t>Ofatumumab 27</w:t>
      </w:r>
      <w:r w:rsidR="00853C1A" w:rsidRPr="00721935">
        <w:t xml:space="preserve"> x</w:t>
      </w:r>
      <w:r w:rsidRPr="00721935">
        <w:t xml:space="preserve"> 20</w:t>
      </w:r>
      <w:r w:rsidR="00721935">
        <w:t> </w:t>
      </w:r>
      <w:r w:rsidRPr="00721935">
        <w:t xml:space="preserve">mg injections over 2 </w:t>
      </w:r>
      <w:r w:rsidR="00A16518" w:rsidRPr="00721935">
        <w:t>years,</w:t>
      </w:r>
      <w:r w:rsidR="00844AF4" w:rsidRPr="00721935">
        <w:t xml:space="preserve"> and </w:t>
      </w:r>
    </w:p>
    <w:p w14:paraId="289ECAE8" w14:textId="6941F03D" w:rsidR="000F463A" w:rsidRPr="00721935" w:rsidRDefault="0055207F" w:rsidP="00721935">
      <w:pPr>
        <w:pStyle w:val="ListParagraph"/>
        <w:jc w:val="both"/>
      </w:pPr>
      <w:r w:rsidRPr="00721935">
        <w:t>Fingolimod 0.5</w:t>
      </w:r>
      <w:r w:rsidR="00721935">
        <w:t> </w:t>
      </w:r>
      <w:r w:rsidRPr="00721935">
        <w:t>mg/day</w:t>
      </w:r>
      <w:r w:rsidR="00853C1A" w:rsidRPr="00721935">
        <w:t>.</w:t>
      </w:r>
    </w:p>
    <w:p w14:paraId="59D8491E" w14:textId="71E1BB61" w:rsidR="0001767E" w:rsidRPr="00334A6B" w:rsidRDefault="0055207F" w:rsidP="000F463A">
      <w:pPr>
        <w:pStyle w:val="3-BodyText"/>
        <w:numPr>
          <w:ilvl w:val="0"/>
          <w:numId w:val="0"/>
        </w:numPr>
        <w:ind w:left="720"/>
      </w:pPr>
      <w:r w:rsidRPr="00334A6B">
        <w:t xml:space="preserve">In </w:t>
      </w:r>
      <w:r w:rsidR="0001767E" w:rsidRPr="00334A6B">
        <w:t xml:space="preserve">the case of fingolimod, the </w:t>
      </w:r>
      <w:r w:rsidR="000F463A" w:rsidRPr="00334A6B">
        <w:t>submission</w:t>
      </w:r>
      <w:r w:rsidR="0001767E" w:rsidRPr="00334A6B">
        <w:t xml:space="preserve"> estimated the dose based on the current distribution of use of different strength fingolimod capsules</w:t>
      </w:r>
      <w:r w:rsidRPr="00334A6B">
        <w:t xml:space="preserve"> (the price used for the 0.25</w:t>
      </w:r>
      <w:r w:rsidR="00721935">
        <w:t> </w:t>
      </w:r>
      <w:r w:rsidRPr="00334A6B">
        <w:t xml:space="preserve">mg capsule </w:t>
      </w:r>
      <w:proofErr w:type="gramStart"/>
      <w:r w:rsidRPr="00334A6B">
        <w:t>28</w:t>
      </w:r>
      <w:r w:rsidR="00573FFF" w:rsidRPr="00334A6B">
        <w:t xml:space="preserve"> </w:t>
      </w:r>
      <w:r w:rsidRPr="00334A6B">
        <w:t>day</w:t>
      </w:r>
      <w:proofErr w:type="gramEnd"/>
      <w:r w:rsidRPr="00334A6B">
        <w:t xml:space="preserve"> pack is currently higher than the 0.5</w:t>
      </w:r>
      <w:r w:rsidR="00721935">
        <w:t> </w:t>
      </w:r>
      <w:r w:rsidRPr="00334A6B">
        <w:t>mg capsule).</w:t>
      </w:r>
      <w:r w:rsidR="00844AF4" w:rsidRPr="00334A6B">
        <w:t xml:space="preserve"> The submission </w:t>
      </w:r>
      <w:r w:rsidR="00C53BC9" w:rsidRPr="00334A6B">
        <w:t xml:space="preserve">inappropriately </w:t>
      </w:r>
      <w:r w:rsidR="00844AF4" w:rsidRPr="00334A6B">
        <w:t>also used the full MBS item fees in its calculations.</w:t>
      </w:r>
    </w:p>
    <w:p w14:paraId="3F8FAC57" w14:textId="5F88C207" w:rsidR="00A32861" w:rsidRPr="00334A6B" w:rsidRDefault="00A32861" w:rsidP="00A32861">
      <w:pPr>
        <w:pStyle w:val="3-BodyText"/>
      </w:pPr>
      <w:r w:rsidRPr="00334A6B">
        <w:t>The dose equivalence over 2 years (104 weeks)</w:t>
      </w:r>
      <w:r w:rsidR="00C53BC9" w:rsidRPr="00334A6B">
        <w:t xml:space="preserve">, based on the trial data, </w:t>
      </w:r>
      <w:r w:rsidRPr="00334A6B">
        <w:t>should be:</w:t>
      </w:r>
    </w:p>
    <w:p w14:paraId="06A5F126" w14:textId="0EBED9D9" w:rsidR="00A32861" w:rsidRPr="00334A6B" w:rsidRDefault="00A32861" w:rsidP="00777DDD">
      <w:pPr>
        <w:pStyle w:val="ListParagraph"/>
        <w:jc w:val="both"/>
      </w:pPr>
      <w:r w:rsidRPr="00334A6B">
        <w:t xml:space="preserve">Ublituximab 16 </w:t>
      </w:r>
      <w:r w:rsidR="002B29FE" w:rsidRPr="00334A6B">
        <w:t>x</w:t>
      </w:r>
      <w:r w:rsidR="00776F52" w:rsidRPr="00334A6B">
        <w:t xml:space="preserve"> </w:t>
      </w:r>
      <w:r w:rsidR="00777DDD" w:rsidRPr="00334A6B">
        <w:t>150</w:t>
      </w:r>
      <w:r w:rsidR="00777DDD">
        <w:t> </w:t>
      </w:r>
      <w:r w:rsidRPr="00334A6B">
        <w:t xml:space="preserve">mg injections, provided as 1 </w:t>
      </w:r>
      <w:r w:rsidR="002B29FE" w:rsidRPr="00334A6B">
        <w:t>x</w:t>
      </w:r>
      <w:r w:rsidR="00776F52" w:rsidRPr="00334A6B">
        <w:t xml:space="preserve"> </w:t>
      </w:r>
      <w:r w:rsidRPr="00334A6B">
        <w:t xml:space="preserve">4 injection pack for the first 2 doses at week 0 and week 2, then 4 </w:t>
      </w:r>
      <w:r w:rsidR="002B29FE" w:rsidRPr="00334A6B">
        <w:t>x</w:t>
      </w:r>
      <w:r w:rsidR="00E4439A">
        <w:t xml:space="preserve"> </w:t>
      </w:r>
      <w:r w:rsidRPr="00334A6B">
        <w:t xml:space="preserve">3 injection packs for infusions at weeks 26, 50, 74 and </w:t>
      </w:r>
      <w:r w:rsidR="00F96F97" w:rsidRPr="00334A6B">
        <w:t>9</w:t>
      </w:r>
      <w:r w:rsidR="00F96F97">
        <w:t>8</w:t>
      </w:r>
      <w:r w:rsidRPr="00334A6B">
        <w:t xml:space="preserve">; </w:t>
      </w:r>
    </w:p>
    <w:p w14:paraId="1A3ABB04" w14:textId="103FB442" w:rsidR="00A32861" w:rsidRPr="00334A6B" w:rsidRDefault="00A32861" w:rsidP="00777DDD">
      <w:pPr>
        <w:pStyle w:val="ListParagraph"/>
        <w:jc w:val="both"/>
      </w:pPr>
      <w:r w:rsidRPr="00334A6B">
        <w:t>Ocrelizumab 5</w:t>
      </w:r>
      <w:r w:rsidR="002B29FE" w:rsidRPr="00334A6B">
        <w:t xml:space="preserve"> x</w:t>
      </w:r>
      <w:r w:rsidRPr="00334A6B">
        <w:t xml:space="preserve"> 600</w:t>
      </w:r>
      <w:r w:rsidR="00776F52" w:rsidRPr="00334A6B">
        <w:t xml:space="preserve"> </w:t>
      </w:r>
      <w:r w:rsidRPr="00334A6B">
        <w:t>mg infusion packs</w:t>
      </w:r>
      <w:r w:rsidR="00573FFF" w:rsidRPr="00334A6B">
        <w:t xml:space="preserve"> (2</w:t>
      </w:r>
      <w:r w:rsidR="00776F52" w:rsidRPr="00334A6B">
        <w:t xml:space="preserve"> x </w:t>
      </w:r>
      <w:r w:rsidR="00573FFF" w:rsidRPr="00334A6B">
        <w:t>300</w:t>
      </w:r>
      <w:r w:rsidR="00776F52" w:rsidRPr="00334A6B">
        <w:t xml:space="preserve"> </w:t>
      </w:r>
      <w:r w:rsidR="00573FFF" w:rsidRPr="00334A6B">
        <w:t xml:space="preserve">mg vials per </w:t>
      </w:r>
      <w:r w:rsidR="00E45029">
        <w:t>script</w:t>
      </w:r>
      <w:r w:rsidR="00573FFF" w:rsidRPr="00334A6B">
        <w:t>)</w:t>
      </w:r>
      <w:r w:rsidRPr="00334A6B">
        <w:t>, with the first dose split into 300</w:t>
      </w:r>
      <w:r w:rsidR="00776F52" w:rsidRPr="00334A6B">
        <w:t xml:space="preserve"> </w:t>
      </w:r>
      <w:r w:rsidRPr="00334A6B">
        <w:t xml:space="preserve">mg at each of week 0 and 2, with subsequent doses </w:t>
      </w:r>
      <w:r w:rsidR="00573FFF" w:rsidRPr="00334A6B">
        <w:t>of 600</w:t>
      </w:r>
      <w:r w:rsidR="00777DDD">
        <w:t> </w:t>
      </w:r>
      <w:r w:rsidR="00573FFF" w:rsidRPr="00334A6B">
        <w:t xml:space="preserve">mg </w:t>
      </w:r>
      <w:r w:rsidRPr="00334A6B">
        <w:t xml:space="preserve">every 24 weeks, i.e. at week 28, 52, </w:t>
      </w:r>
      <w:r w:rsidR="00573FFF" w:rsidRPr="00334A6B">
        <w:t>76 and 100</w:t>
      </w:r>
      <w:r w:rsidR="00A16518" w:rsidRPr="00334A6B">
        <w:t>;</w:t>
      </w:r>
    </w:p>
    <w:p w14:paraId="6C87CD6C" w14:textId="3035E654" w:rsidR="00A32861" w:rsidRPr="00334A6B" w:rsidRDefault="00A32861" w:rsidP="00777DDD">
      <w:pPr>
        <w:pStyle w:val="ListParagraph"/>
        <w:jc w:val="both"/>
      </w:pPr>
      <w:r w:rsidRPr="00334A6B">
        <w:t xml:space="preserve">Ofatumumab </w:t>
      </w:r>
      <w:r w:rsidR="00573FFF" w:rsidRPr="00334A6B">
        <w:t>28</w:t>
      </w:r>
      <w:r w:rsidR="00776F52" w:rsidRPr="00334A6B">
        <w:t xml:space="preserve"> x </w:t>
      </w:r>
      <w:r w:rsidR="00573FFF" w:rsidRPr="00334A6B">
        <w:t>20</w:t>
      </w:r>
      <w:r w:rsidR="00776F52" w:rsidRPr="00334A6B">
        <w:t xml:space="preserve"> </w:t>
      </w:r>
      <w:r w:rsidR="00573FFF" w:rsidRPr="00334A6B">
        <w:t xml:space="preserve">mg doses, with doses at week 0, 1,2,4 and 4 weekly thereafter </w:t>
      </w:r>
      <w:r w:rsidR="00442BDE" w:rsidRPr="00334A6B">
        <w:t>(</w:t>
      </w:r>
      <w:r w:rsidR="00573FFF" w:rsidRPr="00334A6B">
        <w:t>last dose over 2 years at week 100)</w:t>
      </w:r>
      <w:r w:rsidR="00A16518" w:rsidRPr="00334A6B">
        <w:t>; and</w:t>
      </w:r>
    </w:p>
    <w:p w14:paraId="591B5A8C" w14:textId="76F2EEDC" w:rsidR="00573FFF" w:rsidRDefault="00573FFF" w:rsidP="00777DDD">
      <w:pPr>
        <w:pStyle w:val="ListParagraph"/>
        <w:jc w:val="both"/>
      </w:pPr>
      <w:r w:rsidRPr="00334A6B">
        <w:t>Fingolimod 0.5</w:t>
      </w:r>
      <w:r w:rsidR="00776F52" w:rsidRPr="00334A6B">
        <w:t xml:space="preserve"> </w:t>
      </w:r>
      <w:r w:rsidRPr="00334A6B">
        <w:t xml:space="preserve">mg/day, calculated as 13.04 </w:t>
      </w:r>
      <w:r w:rsidR="00776F52" w:rsidRPr="00334A6B">
        <w:t xml:space="preserve">x </w:t>
      </w:r>
      <w:proofErr w:type="gramStart"/>
      <w:r w:rsidRPr="00334A6B">
        <w:t>28 day</w:t>
      </w:r>
      <w:proofErr w:type="gramEnd"/>
      <w:r w:rsidRPr="00334A6B">
        <w:t xml:space="preserve"> packs per year</w:t>
      </w:r>
      <w:r w:rsidR="00A16518" w:rsidRPr="00334A6B">
        <w:t>.</w:t>
      </w:r>
    </w:p>
    <w:p w14:paraId="7E489196" w14:textId="60C2788A" w:rsidR="005C130B" w:rsidRPr="000B114D" w:rsidRDefault="00E66496" w:rsidP="005C130B">
      <w:pPr>
        <w:pStyle w:val="3-BodyText"/>
      </w:pPr>
      <w:r w:rsidRPr="000B114D">
        <w:t xml:space="preserve">The PSCR </w:t>
      </w:r>
      <w:r w:rsidR="00C932FB" w:rsidRPr="000B114D">
        <w:t>disagreed with the commentary’</w:t>
      </w:r>
      <w:r w:rsidR="00A40901" w:rsidRPr="000B114D">
        <w:t xml:space="preserve">s </w:t>
      </w:r>
      <w:proofErr w:type="spellStart"/>
      <w:r w:rsidR="00A40901" w:rsidRPr="000B114D">
        <w:t>equi</w:t>
      </w:r>
      <w:proofErr w:type="spellEnd"/>
      <w:r w:rsidR="00A40901" w:rsidRPr="000B114D">
        <w:t>-effective dosing cal</w:t>
      </w:r>
      <w:r w:rsidR="00BD4971" w:rsidRPr="000B114D">
        <w:t xml:space="preserve">culations </w:t>
      </w:r>
      <w:r w:rsidR="005A3A60" w:rsidRPr="000B114D">
        <w:t xml:space="preserve">in relation to the number of injections </w:t>
      </w:r>
      <w:r w:rsidR="001D54AD" w:rsidRPr="000B114D">
        <w:t xml:space="preserve">required for ublituximab and ocrelizumab over a </w:t>
      </w:r>
      <w:proofErr w:type="gramStart"/>
      <w:r w:rsidR="001D54AD" w:rsidRPr="000B114D">
        <w:t>two year</w:t>
      </w:r>
      <w:proofErr w:type="gramEnd"/>
      <w:r w:rsidR="001D54AD" w:rsidRPr="000B114D">
        <w:t xml:space="preserve"> </w:t>
      </w:r>
      <w:proofErr w:type="gramStart"/>
      <w:r w:rsidR="001D54AD" w:rsidRPr="000B114D">
        <w:t>time period</w:t>
      </w:r>
      <w:proofErr w:type="gramEnd"/>
      <w:r w:rsidR="007B0B80" w:rsidRPr="000B114D">
        <w:t xml:space="preserve">, </w:t>
      </w:r>
      <w:proofErr w:type="gramStart"/>
      <w:r w:rsidR="007B0B80" w:rsidRPr="000B114D">
        <w:t>on the basis of</w:t>
      </w:r>
      <w:proofErr w:type="gramEnd"/>
      <w:r w:rsidR="007B0B80" w:rsidRPr="000B114D">
        <w:t xml:space="preserve"> </w:t>
      </w:r>
      <w:r w:rsidR="00E35BB6" w:rsidRPr="000B114D">
        <w:t>partial accounting.</w:t>
      </w:r>
    </w:p>
    <w:p w14:paraId="16D02BB2" w14:textId="52ADBD04" w:rsidR="00276F88" w:rsidRDefault="0055207F" w:rsidP="00081C51">
      <w:pPr>
        <w:pStyle w:val="3-BodyText"/>
      </w:pPr>
      <w:r w:rsidRPr="00334A6B">
        <w:t xml:space="preserve">The results of the cost analyses </w:t>
      </w:r>
      <w:r w:rsidR="00773383" w:rsidRPr="00334A6B">
        <w:t xml:space="preserve">(using published AEMP) </w:t>
      </w:r>
      <w:r w:rsidR="00573FFF" w:rsidRPr="00334A6B">
        <w:t xml:space="preserve">as presented in the submission </w:t>
      </w:r>
      <w:r w:rsidRPr="00334A6B">
        <w:t xml:space="preserve">are shown in </w:t>
      </w:r>
      <w:r w:rsidRPr="00334A6B">
        <w:fldChar w:fldCharType="begin"/>
      </w:r>
      <w:r w:rsidRPr="00334A6B">
        <w:instrText xml:space="preserve"> REF _Ref188178010 \h </w:instrText>
      </w:r>
      <w:r w:rsidR="00334A6B" w:rsidRPr="00334A6B">
        <w:instrText xml:space="preserve"> \* MERGEFORMAT </w:instrText>
      </w:r>
      <w:r w:rsidRPr="00334A6B">
        <w:fldChar w:fldCharType="separate"/>
      </w:r>
      <w:r w:rsidR="00D925D4">
        <w:t xml:space="preserve">Table </w:t>
      </w:r>
      <w:r w:rsidR="00D925D4">
        <w:rPr>
          <w:noProof/>
        </w:rPr>
        <w:t>12</w:t>
      </w:r>
      <w:r w:rsidRPr="00334A6B">
        <w:fldChar w:fldCharType="end"/>
      </w:r>
      <w:r w:rsidR="00812FFE" w:rsidRPr="00334A6B">
        <w:t xml:space="preserve"> </w:t>
      </w:r>
      <w:r w:rsidR="00933625" w:rsidRPr="00334A6B">
        <w:t xml:space="preserve">with the </w:t>
      </w:r>
      <w:r w:rsidR="00B11863" w:rsidRPr="00334A6B">
        <w:t xml:space="preserve">price </w:t>
      </w:r>
      <w:r w:rsidR="00933625" w:rsidRPr="00334A6B">
        <w:t>of ublituximab calculated to</w:t>
      </w:r>
      <w:r w:rsidR="00B11863" w:rsidRPr="00334A6B">
        <w:t xml:space="preserve"> be</w:t>
      </w:r>
      <w:r w:rsidR="00933625" w:rsidRPr="00334A6B">
        <w:t xml:space="preserve"> cost minimise</w:t>
      </w:r>
      <w:r w:rsidR="00B11863" w:rsidRPr="00334A6B">
        <w:t xml:space="preserve">d </w:t>
      </w:r>
      <w:r w:rsidR="00933625" w:rsidRPr="00334A6B">
        <w:t>against each comparator</w:t>
      </w:r>
      <w:r w:rsidR="00A16518" w:rsidRPr="00334A6B">
        <w:t>.</w:t>
      </w:r>
    </w:p>
    <w:p w14:paraId="1DA972ED" w14:textId="7C9FA1C6" w:rsidR="0055207F" w:rsidRPr="0098262F" w:rsidRDefault="00812FFE" w:rsidP="00812FFE">
      <w:pPr>
        <w:pStyle w:val="Caption"/>
      </w:pPr>
      <w:bookmarkStart w:id="62" w:name="_Ref188178010"/>
      <w:r>
        <w:lastRenderedPageBreak/>
        <w:t xml:space="preserve">Table </w:t>
      </w:r>
      <w:r w:rsidR="00E96034">
        <w:fldChar w:fldCharType="begin"/>
      </w:r>
      <w:r w:rsidR="00E96034">
        <w:instrText xml:space="preserve"> SEQ Table \* ARABIC </w:instrText>
      </w:r>
      <w:r w:rsidR="00E96034">
        <w:fldChar w:fldCharType="separate"/>
      </w:r>
      <w:r w:rsidR="00D925D4">
        <w:rPr>
          <w:noProof/>
        </w:rPr>
        <w:t>12</w:t>
      </w:r>
      <w:r w:rsidR="00E96034">
        <w:rPr>
          <w:noProof/>
        </w:rPr>
        <w:fldChar w:fldCharType="end"/>
      </w:r>
      <w:bookmarkEnd w:id="62"/>
      <w:r w:rsidR="00D67C83">
        <w:rPr>
          <w:noProof/>
        </w:rPr>
        <w:t>2</w:t>
      </w:r>
      <w:r>
        <w:t xml:space="preserve">: </w:t>
      </w:r>
      <w:r w:rsidR="00355B07">
        <w:t>Cost minimisation calculations using published AEMP</w:t>
      </w:r>
      <w:r w:rsidR="00134486">
        <w:t xml:space="preserve"> as presented in the submission</w:t>
      </w:r>
      <w:r w:rsidR="00355B07">
        <w:t xml:space="preserve">. </w:t>
      </w:r>
    </w:p>
    <w:tbl>
      <w:tblPr>
        <w:tblStyle w:val="TableGrid"/>
        <w:tblW w:w="0" w:type="auto"/>
        <w:tblInd w:w="137" w:type="dxa"/>
        <w:tblLook w:val="04A0" w:firstRow="1" w:lastRow="0" w:firstColumn="1" w:lastColumn="0" w:noHBand="0" w:noVBand="1"/>
      </w:tblPr>
      <w:tblGrid>
        <w:gridCol w:w="2094"/>
        <w:gridCol w:w="1124"/>
        <w:gridCol w:w="1169"/>
        <w:gridCol w:w="1123"/>
        <w:gridCol w:w="1192"/>
        <w:gridCol w:w="1123"/>
        <w:gridCol w:w="1055"/>
      </w:tblGrid>
      <w:tr w:rsidR="00512091" w:rsidRPr="00F656EB" w14:paraId="2DF5F13F" w14:textId="77777777" w:rsidTr="58C81D04">
        <w:tc>
          <w:tcPr>
            <w:tcW w:w="2094" w:type="dxa"/>
          </w:tcPr>
          <w:p w14:paraId="0CB075DF" w14:textId="77777777" w:rsidR="00773383" w:rsidRPr="00F656EB" w:rsidRDefault="00773383" w:rsidP="00773383">
            <w:pPr>
              <w:pStyle w:val="TableText0"/>
            </w:pPr>
          </w:p>
        </w:tc>
        <w:tc>
          <w:tcPr>
            <w:tcW w:w="1124" w:type="dxa"/>
          </w:tcPr>
          <w:p w14:paraId="7CCBD155" w14:textId="220AA032" w:rsidR="00773383" w:rsidRPr="00F656EB" w:rsidRDefault="00773383" w:rsidP="58C81D04">
            <w:pPr>
              <w:pStyle w:val="TableText0"/>
            </w:pPr>
            <w:r w:rsidRPr="00F656EB">
              <w:t>ublituximab</w:t>
            </w:r>
          </w:p>
        </w:tc>
        <w:tc>
          <w:tcPr>
            <w:tcW w:w="1169" w:type="dxa"/>
            <w:tcBorders>
              <w:right w:val="double" w:sz="4" w:space="0" w:color="auto"/>
            </w:tcBorders>
          </w:tcPr>
          <w:p w14:paraId="322A98A0" w14:textId="658C3415" w:rsidR="00773383" w:rsidRPr="00F656EB" w:rsidRDefault="00773383" w:rsidP="00773383">
            <w:pPr>
              <w:pStyle w:val="TableText0"/>
              <w:rPr>
                <w:iCs/>
              </w:rPr>
            </w:pPr>
            <w:r w:rsidRPr="00F656EB">
              <w:rPr>
                <w:iCs/>
              </w:rPr>
              <w:t>ocrelizumab</w:t>
            </w:r>
          </w:p>
        </w:tc>
        <w:tc>
          <w:tcPr>
            <w:tcW w:w="1123" w:type="dxa"/>
            <w:tcBorders>
              <w:left w:val="double" w:sz="4" w:space="0" w:color="auto"/>
            </w:tcBorders>
          </w:tcPr>
          <w:p w14:paraId="272DF76F" w14:textId="13818934" w:rsidR="00773383" w:rsidRPr="000B114D" w:rsidRDefault="00773383" w:rsidP="58C81D04">
            <w:pPr>
              <w:pStyle w:val="TableText0"/>
            </w:pPr>
            <w:r w:rsidRPr="00F656EB">
              <w:t>ublituximab</w:t>
            </w:r>
          </w:p>
        </w:tc>
        <w:tc>
          <w:tcPr>
            <w:tcW w:w="1192" w:type="dxa"/>
            <w:tcBorders>
              <w:right w:val="double" w:sz="4" w:space="0" w:color="auto"/>
            </w:tcBorders>
          </w:tcPr>
          <w:p w14:paraId="297A37D7" w14:textId="43891B1B" w:rsidR="00773383" w:rsidRPr="00F656EB" w:rsidRDefault="00773383" w:rsidP="00773383">
            <w:pPr>
              <w:pStyle w:val="TableText0"/>
              <w:rPr>
                <w:iCs/>
              </w:rPr>
            </w:pPr>
            <w:r w:rsidRPr="00F656EB">
              <w:rPr>
                <w:iCs/>
              </w:rPr>
              <w:t>ofatumumab</w:t>
            </w:r>
          </w:p>
        </w:tc>
        <w:tc>
          <w:tcPr>
            <w:tcW w:w="1123" w:type="dxa"/>
            <w:tcBorders>
              <w:left w:val="double" w:sz="4" w:space="0" w:color="auto"/>
            </w:tcBorders>
          </w:tcPr>
          <w:p w14:paraId="50BCF6C4" w14:textId="4FD20C9D" w:rsidR="00773383" w:rsidRPr="00F656EB" w:rsidRDefault="00773383" w:rsidP="58C81D04">
            <w:pPr>
              <w:pStyle w:val="TableText0"/>
            </w:pPr>
            <w:r w:rsidRPr="00F656EB">
              <w:t>ublituximab</w:t>
            </w:r>
          </w:p>
        </w:tc>
        <w:tc>
          <w:tcPr>
            <w:tcW w:w="1055" w:type="dxa"/>
          </w:tcPr>
          <w:p w14:paraId="7C5397DD" w14:textId="187512BE" w:rsidR="00773383" w:rsidRPr="00F656EB" w:rsidRDefault="00773383" w:rsidP="00773383">
            <w:pPr>
              <w:pStyle w:val="TableText0"/>
              <w:rPr>
                <w:iCs/>
              </w:rPr>
            </w:pPr>
            <w:r w:rsidRPr="00F656EB">
              <w:rPr>
                <w:iCs/>
              </w:rPr>
              <w:t>fingolimod</w:t>
            </w:r>
          </w:p>
        </w:tc>
      </w:tr>
      <w:tr w:rsidR="00512091" w:rsidRPr="00F656EB" w14:paraId="04F68A26" w14:textId="77777777" w:rsidTr="58C81D04">
        <w:tc>
          <w:tcPr>
            <w:tcW w:w="2094" w:type="dxa"/>
          </w:tcPr>
          <w:p w14:paraId="5BE3B8C6" w14:textId="0E8B70BB" w:rsidR="00773383" w:rsidRPr="00F656EB" w:rsidRDefault="00773383" w:rsidP="00773383">
            <w:pPr>
              <w:pStyle w:val="TableText0"/>
              <w:rPr>
                <w:iCs/>
              </w:rPr>
            </w:pPr>
            <w:r w:rsidRPr="00F656EB">
              <w:rPr>
                <w:iCs/>
              </w:rPr>
              <w:t>Drug cost</w:t>
            </w:r>
          </w:p>
        </w:tc>
        <w:tc>
          <w:tcPr>
            <w:tcW w:w="1124" w:type="dxa"/>
            <w:shd w:val="clear" w:color="auto" w:fill="EEECE1" w:themeFill="background2"/>
          </w:tcPr>
          <w:p w14:paraId="4F34D062" w14:textId="5FA7160C" w:rsidR="00773383" w:rsidRPr="00F656EB" w:rsidRDefault="00933625" w:rsidP="00773383">
            <w:pPr>
              <w:pStyle w:val="TableText0"/>
              <w:rPr>
                <w:iCs/>
              </w:rPr>
            </w:pPr>
            <w:r w:rsidRPr="00F656EB">
              <w:rPr>
                <w:iCs/>
              </w:rPr>
              <w:t>$5,125.61</w:t>
            </w:r>
          </w:p>
        </w:tc>
        <w:tc>
          <w:tcPr>
            <w:tcW w:w="1169" w:type="dxa"/>
            <w:tcBorders>
              <w:right w:val="double" w:sz="4" w:space="0" w:color="auto"/>
            </w:tcBorders>
            <w:shd w:val="clear" w:color="auto" w:fill="auto"/>
          </w:tcPr>
          <w:p w14:paraId="382B18EB" w14:textId="284DE603" w:rsidR="00773383" w:rsidRPr="00F656EB" w:rsidRDefault="00773383" w:rsidP="00773383">
            <w:pPr>
              <w:pStyle w:val="TableText0"/>
              <w:rPr>
                <w:iCs/>
              </w:rPr>
            </w:pPr>
            <w:r w:rsidRPr="00F656EB">
              <w:rPr>
                <w:iCs/>
              </w:rPr>
              <w:t>$8,328.18</w:t>
            </w:r>
          </w:p>
        </w:tc>
        <w:tc>
          <w:tcPr>
            <w:tcW w:w="1123" w:type="dxa"/>
            <w:tcBorders>
              <w:left w:val="double" w:sz="4" w:space="0" w:color="auto"/>
            </w:tcBorders>
            <w:shd w:val="clear" w:color="auto" w:fill="EEECE1" w:themeFill="background2"/>
          </w:tcPr>
          <w:p w14:paraId="6867B6A0" w14:textId="3DEE34C3" w:rsidR="00773383" w:rsidRPr="00F656EB" w:rsidRDefault="00B11863" w:rsidP="00773383">
            <w:pPr>
              <w:pStyle w:val="TableText0"/>
              <w:rPr>
                <w:iCs/>
              </w:rPr>
            </w:pPr>
            <w:r w:rsidRPr="00792ACE">
              <w:rPr>
                <w:iCs/>
              </w:rPr>
              <w:t>$</w:t>
            </w:r>
            <w:r w:rsidRPr="008C0137">
              <w:rPr>
                <w:iCs/>
              </w:rPr>
              <w:t>4</w:t>
            </w:r>
            <w:r w:rsidR="000D203B" w:rsidRPr="008C0137">
              <w:rPr>
                <w:iCs/>
              </w:rPr>
              <w:t>,</w:t>
            </w:r>
            <w:r w:rsidRPr="008C0137">
              <w:rPr>
                <w:iCs/>
              </w:rPr>
              <w:t>235.22</w:t>
            </w:r>
          </w:p>
        </w:tc>
        <w:tc>
          <w:tcPr>
            <w:tcW w:w="1192" w:type="dxa"/>
            <w:tcBorders>
              <w:right w:val="double" w:sz="4" w:space="0" w:color="auto"/>
            </w:tcBorders>
            <w:shd w:val="clear" w:color="auto" w:fill="auto"/>
          </w:tcPr>
          <w:p w14:paraId="6DD60E5C" w14:textId="06A53FDE" w:rsidR="00773383" w:rsidRPr="00F656EB" w:rsidRDefault="00C31B06" w:rsidP="00773383">
            <w:pPr>
              <w:pStyle w:val="TableText0"/>
              <w:rPr>
                <w:iCs/>
              </w:rPr>
            </w:pPr>
            <w:r w:rsidRPr="00F656EB">
              <w:rPr>
                <w:iCs/>
              </w:rPr>
              <w:t>$2</w:t>
            </w:r>
            <w:r w:rsidR="00B11863" w:rsidRPr="00F656EB">
              <w:rPr>
                <w:iCs/>
              </w:rPr>
              <w:t>,058.29</w:t>
            </w:r>
          </w:p>
        </w:tc>
        <w:tc>
          <w:tcPr>
            <w:tcW w:w="1123" w:type="dxa"/>
            <w:tcBorders>
              <w:left w:val="double" w:sz="4" w:space="0" w:color="auto"/>
            </w:tcBorders>
            <w:shd w:val="clear" w:color="auto" w:fill="EEECE1" w:themeFill="background2"/>
          </w:tcPr>
          <w:p w14:paraId="47F1D163" w14:textId="642E57AF" w:rsidR="00773383" w:rsidRPr="00F656EB" w:rsidRDefault="00512091" w:rsidP="00773383">
            <w:pPr>
              <w:pStyle w:val="TableText0"/>
              <w:rPr>
                <w:iCs/>
              </w:rPr>
            </w:pPr>
            <w:r w:rsidRPr="00F656EB">
              <w:rPr>
                <w:iCs/>
              </w:rPr>
              <w:t>$</w:t>
            </w:r>
            <w:r w:rsidR="001F633E" w:rsidRPr="001F633E">
              <w:rPr>
                <w:iCs/>
                <w:color w:val="000000"/>
                <w:spacing w:val="53"/>
                <w:shd w:val="solid" w:color="000000" w:fill="000000"/>
                <w:fitText w:val="330" w:id="-663554559"/>
                <w14:textFill>
                  <w14:solidFill>
                    <w14:srgbClr w14:val="000000">
                      <w14:alpha w14:val="100000"/>
                    </w14:srgbClr>
                  </w14:solidFill>
                </w14:textFill>
              </w:rPr>
              <w:t>|||</w:t>
            </w:r>
            <w:r w:rsidR="001F633E" w:rsidRPr="001F633E">
              <w:rPr>
                <w:iCs/>
                <w:color w:val="000000"/>
                <w:spacing w:val="1"/>
                <w:shd w:val="solid" w:color="000000" w:fill="000000"/>
                <w:fitText w:val="330" w:id="-663554559"/>
                <w14:textFill>
                  <w14:solidFill>
                    <w14:srgbClr w14:val="000000">
                      <w14:alpha w14:val="100000"/>
                    </w14:srgbClr>
                  </w14:solidFill>
                </w14:textFill>
              </w:rPr>
              <w:t>|</w:t>
            </w:r>
          </w:p>
        </w:tc>
        <w:tc>
          <w:tcPr>
            <w:tcW w:w="1055" w:type="dxa"/>
          </w:tcPr>
          <w:p w14:paraId="22FAA772" w14:textId="17853DC0" w:rsidR="00773383" w:rsidRPr="00F656EB" w:rsidRDefault="00512091" w:rsidP="00773383">
            <w:pPr>
              <w:pStyle w:val="TableText0"/>
              <w:rPr>
                <w:iCs/>
                <w:vertAlign w:val="superscript"/>
              </w:rPr>
            </w:pPr>
            <w:r w:rsidRPr="00F656EB">
              <w:rPr>
                <w:iCs/>
              </w:rPr>
              <w:t>$830.63</w:t>
            </w:r>
            <w:r w:rsidR="00996935" w:rsidRPr="00F656EB">
              <w:rPr>
                <w:iCs/>
                <w:vertAlign w:val="superscript"/>
              </w:rPr>
              <w:t>6</w:t>
            </w:r>
          </w:p>
        </w:tc>
      </w:tr>
      <w:tr w:rsidR="00512091" w:rsidRPr="00F656EB" w14:paraId="18CDC8C2" w14:textId="77777777" w:rsidTr="58C81D04">
        <w:tc>
          <w:tcPr>
            <w:tcW w:w="2094" w:type="dxa"/>
          </w:tcPr>
          <w:p w14:paraId="5868246F" w14:textId="72513697" w:rsidR="00773383" w:rsidRPr="00F656EB" w:rsidRDefault="00773383" w:rsidP="00773383">
            <w:pPr>
              <w:pStyle w:val="TableText0"/>
              <w:rPr>
                <w:iCs/>
              </w:rPr>
            </w:pPr>
            <w:r w:rsidRPr="00F656EB">
              <w:rPr>
                <w:iCs/>
              </w:rPr>
              <w:t xml:space="preserve">Packs per </w:t>
            </w:r>
            <w:r w:rsidR="0018115F">
              <w:rPr>
                <w:iCs/>
              </w:rPr>
              <w:t xml:space="preserve">2 </w:t>
            </w:r>
            <w:r w:rsidRPr="00F656EB">
              <w:rPr>
                <w:iCs/>
              </w:rPr>
              <w:t>year</w:t>
            </w:r>
            <w:r w:rsidR="0018115F">
              <w:rPr>
                <w:iCs/>
              </w:rPr>
              <w:t>s</w:t>
            </w:r>
          </w:p>
        </w:tc>
        <w:tc>
          <w:tcPr>
            <w:tcW w:w="1124" w:type="dxa"/>
          </w:tcPr>
          <w:p w14:paraId="011E7D18" w14:textId="3E8D8C78" w:rsidR="00773383" w:rsidRPr="00F656EB" w:rsidRDefault="00933625" w:rsidP="00773383">
            <w:pPr>
              <w:pStyle w:val="TableText0"/>
              <w:rPr>
                <w:iCs/>
              </w:rPr>
            </w:pPr>
            <w:r w:rsidRPr="00F656EB">
              <w:rPr>
                <w:iCs/>
              </w:rPr>
              <w:t>13</w:t>
            </w:r>
          </w:p>
        </w:tc>
        <w:tc>
          <w:tcPr>
            <w:tcW w:w="1169" w:type="dxa"/>
            <w:tcBorders>
              <w:right w:val="double" w:sz="4" w:space="0" w:color="auto"/>
            </w:tcBorders>
          </w:tcPr>
          <w:p w14:paraId="09B1B86C" w14:textId="6FC36B57" w:rsidR="00773383" w:rsidRPr="00F656EB" w:rsidRDefault="00F42120" w:rsidP="00773383">
            <w:pPr>
              <w:pStyle w:val="TableText0"/>
              <w:rPr>
                <w:iCs/>
              </w:rPr>
            </w:pPr>
            <w:r>
              <w:rPr>
                <w:iCs/>
              </w:rPr>
              <w:t>8</w:t>
            </w:r>
          </w:p>
        </w:tc>
        <w:tc>
          <w:tcPr>
            <w:tcW w:w="1123" w:type="dxa"/>
            <w:tcBorders>
              <w:left w:val="double" w:sz="4" w:space="0" w:color="auto"/>
            </w:tcBorders>
          </w:tcPr>
          <w:p w14:paraId="01FCAB48" w14:textId="2BC6C69B" w:rsidR="00773383" w:rsidRPr="00F656EB" w:rsidRDefault="00B11863" w:rsidP="00773383">
            <w:pPr>
              <w:pStyle w:val="TableText0"/>
              <w:rPr>
                <w:iCs/>
              </w:rPr>
            </w:pPr>
            <w:r w:rsidRPr="00F656EB">
              <w:rPr>
                <w:iCs/>
              </w:rPr>
              <w:t>13</w:t>
            </w:r>
          </w:p>
        </w:tc>
        <w:tc>
          <w:tcPr>
            <w:tcW w:w="1192" w:type="dxa"/>
            <w:tcBorders>
              <w:right w:val="double" w:sz="4" w:space="0" w:color="auto"/>
            </w:tcBorders>
          </w:tcPr>
          <w:p w14:paraId="55438FEE" w14:textId="07AD9717" w:rsidR="00773383" w:rsidRPr="00F656EB" w:rsidRDefault="00B11863" w:rsidP="00773383">
            <w:pPr>
              <w:pStyle w:val="TableText0"/>
              <w:rPr>
                <w:iCs/>
              </w:rPr>
            </w:pPr>
            <w:r w:rsidRPr="00F656EB">
              <w:rPr>
                <w:iCs/>
              </w:rPr>
              <w:t>27</w:t>
            </w:r>
          </w:p>
        </w:tc>
        <w:tc>
          <w:tcPr>
            <w:tcW w:w="1123" w:type="dxa"/>
            <w:tcBorders>
              <w:left w:val="double" w:sz="4" w:space="0" w:color="auto"/>
            </w:tcBorders>
          </w:tcPr>
          <w:p w14:paraId="1BF58A73" w14:textId="30CBA3B2" w:rsidR="00773383" w:rsidRPr="00F656EB" w:rsidRDefault="00512091" w:rsidP="00773383">
            <w:pPr>
              <w:pStyle w:val="TableText0"/>
              <w:rPr>
                <w:iCs/>
              </w:rPr>
            </w:pPr>
            <w:r w:rsidRPr="00F656EB">
              <w:rPr>
                <w:iCs/>
              </w:rPr>
              <w:t>13</w:t>
            </w:r>
          </w:p>
        </w:tc>
        <w:tc>
          <w:tcPr>
            <w:tcW w:w="1055" w:type="dxa"/>
          </w:tcPr>
          <w:p w14:paraId="35CD1C91" w14:textId="36F9CAB0" w:rsidR="00773383" w:rsidRPr="00F656EB" w:rsidRDefault="006E36B1" w:rsidP="00773383">
            <w:pPr>
              <w:pStyle w:val="TableText0"/>
              <w:rPr>
                <w:iCs/>
              </w:rPr>
            </w:pPr>
            <w:r>
              <w:rPr>
                <w:iCs/>
              </w:rPr>
              <w:t>26.08</w:t>
            </w:r>
          </w:p>
        </w:tc>
      </w:tr>
      <w:tr w:rsidR="00512091" w:rsidRPr="00F656EB" w14:paraId="07F601C7" w14:textId="77777777" w:rsidTr="58C81D04">
        <w:tc>
          <w:tcPr>
            <w:tcW w:w="2094" w:type="dxa"/>
          </w:tcPr>
          <w:p w14:paraId="7CEB540A" w14:textId="522E4C0A" w:rsidR="00773383" w:rsidRPr="00F656EB" w:rsidRDefault="00773383" w:rsidP="00773383">
            <w:pPr>
              <w:pStyle w:val="TableText0"/>
              <w:rPr>
                <w:iCs/>
              </w:rPr>
            </w:pPr>
            <w:r w:rsidRPr="00F656EB">
              <w:rPr>
                <w:iCs/>
              </w:rPr>
              <w:t>Cost per 2 years</w:t>
            </w:r>
          </w:p>
        </w:tc>
        <w:tc>
          <w:tcPr>
            <w:tcW w:w="1124" w:type="dxa"/>
          </w:tcPr>
          <w:p w14:paraId="299B8B67" w14:textId="1E328406" w:rsidR="00773383" w:rsidRPr="00F656EB" w:rsidRDefault="00933625" w:rsidP="00773383">
            <w:pPr>
              <w:pStyle w:val="TableText0"/>
              <w:rPr>
                <w:iCs/>
              </w:rPr>
            </w:pPr>
            <w:r w:rsidRPr="00F656EB">
              <w:rPr>
                <w:iCs/>
              </w:rPr>
              <w:t>$66, 632.96</w:t>
            </w:r>
          </w:p>
        </w:tc>
        <w:tc>
          <w:tcPr>
            <w:tcW w:w="1169" w:type="dxa"/>
            <w:tcBorders>
              <w:right w:val="double" w:sz="4" w:space="0" w:color="auto"/>
            </w:tcBorders>
          </w:tcPr>
          <w:p w14:paraId="4F3FA87D" w14:textId="21F3FD6C" w:rsidR="00773383" w:rsidRPr="00F656EB" w:rsidRDefault="00773383" w:rsidP="00773383">
            <w:pPr>
              <w:pStyle w:val="TableText0"/>
              <w:rPr>
                <w:iCs/>
              </w:rPr>
            </w:pPr>
            <w:r w:rsidRPr="00F656EB">
              <w:rPr>
                <w:iCs/>
              </w:rPr>
              <w:t>$66,625.44</w:t>
            </w:r>
          </w:p>
        </w:tc>
        <w:tc>
          <w:tcPr>
            <w:tcW w:w="1123" w:type="dxa"/>
            <w:tcBorders>
              <w:left w:val="double" w:sz="4" w:space="0" w:color="auto"/>
            </w:tcBorders>
          </w:tcPr>
          <w:p w14:paraId="582F947B" w14:textId="315E9E37" w:rsidR="00773383" w:rsidRPr="00F656EB" w:rsidRDefault="00B11863" w:rsidP="00773383">
            <w:pPr>
              <w:pStyle w:val="TableText0"/>
              <w:rPr>
                <w:iCs/>
              </w:rPr>
            </w:pPr>
            <w:r w:rsidRPr="00F656EB">
              <w:rPr>
                <w:iCs/>
              </w:rPr>
              <w:t>$</w:t>
            </w:r>
            <w:r w:rsidRPr="008C0137">
              <w:rPr>
                <w:iCs/>
              </w:rPr>
              <w:t>55,057</w:t>
            </w:r>
          </w:p>
        </w:tc>
        <w:tc>
          <w:tcPr>
            <w:tcW w:w="1192" w:type="dxa"/>
            <w:tcBorders>
              <w:right w:val="double" w:sz="4" w:space="0" w:color="auto"/>
            </w:tcBorders>
          </w:tcPr>
          <w:p w14:paraId="3460210E" w14:textId="1A07F703" w:rsidR="00773383" w:rsidRPr="00F656EB" w:rsidRDefault="00B11863" w:rsidP="00773383">
            <w:pPr>
              <w:pStyle w:val="TableText0"/>
              <w:rPr>
                <w:iCs/>
              </w:rPr>
            </w:pPr>
            <w:r w:rsidRPr="00F656EB">
              <w:rPr>
                <w:iCs/>
              </w:rPr>
              <w:t>$55,573.83</w:t>
            </w:r>
          </w:p>
        </w:tc>
        <w:tc>
          <w:tcPr>
            <w:tcW w:w="1123" w:type="dxa"/>
            <w:tcBorders>
              <w:left w:val="double" w:sz="4" w:space="0" w:color="auto"/>
            </w:tcBorders>
          </w:tcPr>
          <w:p w14:paraId="66E0DEEA" w14:textId="56406D5E" w:rsidR="00773383" w:rsidRPr="00F656EB" w:rsidRDefault="00512091" w:rsidP="00773383">
            <w:pPr>
              <w:pStyle w:val="TableText0"/>
              <w:rPr>
                <w:iCs/>
              </w:rPr>
            </w:pPr>
            <w:r w:rsidRPr="00F656EB">
              <w:rPr>
                <w:iCs/>
              </w:rPr>
              <w:t>$</w:t>
            </w:r>
            <w:r w:rsidRPr="008C0137">
              <w:rPr>
                <w:iCs/>
              </w:rPr>
              <w:t>21,287.76</w:t>
            </w:r>
          </w:p>
        </w:tc>
        <w:tc>
          <w:tcPr>
            <w:tcW w:w="1055" w:type="dxa"/>
          </w:tcPr>
          <w:p w14:paraId="5BD4A620" w14:textId="7E3DFF2C" w:rsidR="00773383" w:rsidRPr="00F656EB" w:rsidRDefault="00512091" w:rsidP="00773383">
            <w:pPr>
              <w:pStyle w:val="TableText0"/>
              <w:rPr>
                <w:iCs/>
              </w:rPr>
            </w:pPr>
            <w:r w:rsidRPr="00F656EB">
              <w:rPr>
                <w:iCs/>
              </w:rPr>
              <w:t>$21,655.72</w:t>
            </w:r>
          </w:p>
        </w:tc>
      </w:tr>
      <w:tr w:rsidR="00512091" w:rsidRPr="00F656EB" w14:paraId="3270E37B" w14:textId="77777777" w:rsidTr="58C81D04">
        <w:tc>
          <w:tcPr>
            <w:tcW w:w="2094" w:type="dxa"/>
          </w:tcPr>
          <w:p w14:paraId="741BE676" w14:textId="77777777" w:rsidR="00773383" w:rsidRPr="00F656EB" w:rsidRDefault="00773383" w:rsidP="00773383">
            <w:pPr>
              <w:pStyle w:val="TableText0"/>
              <w:rPr>
                <w:iCs/>
              </w:rPr>
            </w:pPr>
            <w:r w:rsidRPr="00F656EB">
              <w:rPr>
                <w:iCs/>
              </w:rPr>
              <w:t>Concomitant medications</w:t>
            </w:r>
          </w:p>
          <w:p w14:paraId="2026B67B" w14:textId="77777777" w:rsidR="00996935" w:rsidRPr="00F656EB" w:rsidRDefault="00996935" w:rsidP="00773383">
            <w:pPr>
              <w:pStyle w:val="TableText0"/>
              <w:rPr>
                <w:iCs/>
              </w:rPr>
            </w:pPr>
          </w:p>
          <w:p w14:paraId="254420CE" w14:textId="6364CE50" w:rsidR="00996935" w:rsidRPr="00F656EB" w:rsidRDefault="00996935" w:rsidP="00773383">
            <w:pPr>
              <w:pStyle w:val="TableText0"/>
              <w:rPr>
                <w:iCs/>
              </w:rPr>
            </w:pPr>
            <w:r w:rsidRPr="00F656EB">
              <w:rPr>
                <w:iCs/>
              </w:rPr>
              <w:t>Corticosteroid</w:t>
            </w:r>
          </w:p>
          <w:p w14:paraId="137BA145" w14:textId="7EBC9F9C" w:rsidR="00933625" w:rsidRPr="00F656EB" w:rsidRDefault="00933625" w:rsidP="00773383">
            <w:pPr>
              <w:pStyle w:val="TableText0"/>
              <w:rPr>
                <w:iCs/>
              </w:rPr>
            </w:pPr>
            <w:r w:rsidRPr="00F656EB">
              <w:rPr>
                <w:iCs/>
              </w:rPr>
              <w:t>diphenhydramine</w:t>
            </w:r>
          </w:p>
        </w:tc>
        <w:tc>
          <w:tcPr>
            <w:tcW w:w="1124" w:type="dxa"/>
          </w:tcPr>
          <w:p w14:paraId="05C78804" w14:textId="77777777" w:rsidR="00933625" w:rsidRPr="00F656EB" w:rsidRDefault="00933625" w:rsidP="00773383">
            <w:pPr>
              <w:pStyle w:val="TableText0"/>
              <w:rPr>
                <w:iCs/>
              </w:rPr>
            </w:pPr>
          </w:p>
          <w:p w14:paraId="37B29367" w14:textId="77777777" w:rsidR="00933625" w:rsidRPr="00F656EB" w:rsidRDefault="00933625" w:rsidP="00773383">
            <w:pPr>
              <w:pStyle w:val="TableText0"/>
              <w:rPr>
                <w:iCs/>
              </w:rPr>
            </w:pPr>
          </w:p>
          <w:p w14:paraId="1E71081F" w14:textId="581123CC" w:rsidR="00933625" w:rsidRPr="00F656EB" w:rsidRDefault="00933625" w:rsidP="00773383">
            <w:pPr>
              <w:pStyle w:val="TableText0"/>
              <w:rPr>
                <w:iCs/>
                <w:vertAlign w:val="superscript"/>
              </w:rPr>
            </w:pPr>
            <w:r w:rsidRPr="00F656EB">
              <w:rPr>
                <w:iCs/>
              </w:rPr>
              <w:t>$0.65</w:t>
            </w:r>
            <w:r w:rsidR="00996935" w:rsidRPr="00F656EB">
              <w:rPr>
                <w:iCs/>
                <w:vertAlign w:val="superscript"/>
              </w:rPr>
              <w:t>1</w:t>
            </w:r>
          </w:p>
          <w:p w14:paraId="03AEF534" w14:textId="1F4650E8" w:rsidR="00933625" w:rsidRPr="00F656EB" w:rsidRDefault="00933625" w:rsidP="00773383">
            <w:pPr>
              <w:pStyle w:val="TableText0"/>
              <w:rPr>
                <w:iCs/>
                <w:vertAlign w:val="superscript"/>
              </w:rPr>
            </w:pPr>
            <w:r w:rsidRPr="00F656EB">
              <w:rPr>
                <w:iCs/>
              </w:rPr>
              <w:t>$0.16</w:t>
            </w:r>
            <w:r w:rsidR="00996935" w:rsidRPr="00F656EB">
              <w:rPr>
                <w:iCs/>
                <w:vertAlign w:val="superscript"/>
              </w:rPr>
              <w:t>3</w:t>
            </w:r>
          </w:p>
        </w:tc>
        <w:tc>
          <w:tcPr>
            <w:tcW w:w="1169" w:type="dxa"/>
            <w:tcBorders>
              <w:right w:val="double" w:sz="4" w:space="0" w:color="auto"/>
            </w:tcBorders>
          </w:tcPr>
          <w:p w14:paraId="1059899F" w14:textId="77777777" w:rsidR="00933625" w:rsidRPr="00F656EB" w:rsidRDefault="00933625" w:rsidP="00773383">
            <w:pPr>
              <w:pStyle w:val="TableText0"/>
              <w:rPr>
                <w:iCs/>
              </w:rPr>
            </w:pPr>
          </w:p>
          <w:p w14:paraId="0AD0B5DF" w14:textId="77777777" w:rsidR="00512091" w:rsidRPr="00F656EB" w:rsidRDefault="00512091" w:rsidP="00773383">
            <w:pPr>
              <w:pStyle w:val="TableText0"/>
              <w:rPr>
                <w:iCs/>
              </w:rPr>
            </w:pPr>
          </w:p>
          <w:p w14:paraId="3424416C" w14:textId="4F20299A" w:rsidR="00933625" w:rsidRPr="00F656EB" w:rsidRDefault="00933625" w:rsidP="00773383">
            <w:pPr>
              <w:pStyle w:val="TableText0"/>
              <w:rPr>
                <w:iCs/>
                <w:vertAlign w:val="superscript"/>
              </w:rPr>
            </w:pPr>
            <w:r w:rsidRPr="00F656EB">
              <w:rPr>
                <w:iCs/>
              </w:rPr>
              <w:t>$8.17</w:t>
            </w:r>
            <w:r w:rsidR="00996935" w:rsidRPr="00F656EB">
              <w:rPr>
                <w:iCs/>
                <w:vertAlign w:val="superscript"/>
              </w:rPr>
              <w:t>2</w:t>
            </w:r>
          </w:p>
          <w:p w14:paraId="6A01916C" w14:textId="679A9B29" w:rsidR="00933625" w:rsidRPr="00F656EB" w:rsidRDefault="00933625" w:rsidP="00773383">
            <w:pPr>
              <w:pStyle w:val="TableText0"/>
              <w:rPr>
                <w:iCs/>
                <w:vertAlign w:val="superscript"/>
              </w:rPr>
            </w:pPr>
            <w:r w:rsidRPr="00F656EB">
              <w:rPr>
                <w:iCs/>
              </w:rPr>
              <w:t>$0.16</w:t>
            </w:r>
            <w:r w:rsidR="00996935" w:rsidRPr="00F656EB">
              <w:rPr>
                <w:iCs/>
                <w:vertAlign w:val="superscript"/>
              </w:rPr>
              <w:t>3</w:t>
            </w:r>
          </w:p>
        </w:tc>
        <w:tc>
          <w:tcPr>
            <w:tcW w:w="1123" w:type="dxa"/>
            <w:tcBorders>
              <w:left w:val="double" w:sz="4" w:space="0" w:color="auto"/>
            </w:tcBorders>
          </w:tcPr>
          <w:p w14:paraId="47AB573B" w14:textId="77777777" w:rsidR="00512091" w:rsidRPr="00F656EB" w:rsidRDefault="00512091" w:rsidP="00773383">
            <w:pPr>
              <w:pStyle w:val="TableText0"/>
              <w:rPr>
                <w:iCs/>
              </w:rPr>
            </w:pPr>
          </w:p>
          <w:p w14:paraId="5AA8BC8D" w14:textId="77777777" w:rsidR="00512091" w:rsidRPr="00F656EB" w:rsidRDefault="00512091" w:rsidP="00773383">
            <w:pPr>
              <w:pStyle w:val="TableText0"/>
              <w:rPr>
                <w:iCs/>
              </w:rPr>
            </w:pPr>
          </w:p>
          <w:p w14:paraId="6C1E0110" w14:textId="3729DFEF" w:rsidR="00773383" w:rsidRPr="00F656EB" w:rsidRDefault="00B11863" w:rsidP="00773383">
            <w:pPr>
              <w:pStyle w:val="TableText0"/>
              <w:rPr>
                <w:iCs/>
                <w:vertAlign w:val="superscript"/>
              </w:rPr>
            </w:pPr>
            <w:r w:rsidRPr="00F656EB">
              <w:rPr>
                <w:iCs/>
              </w:rPr>
              <w:t>$0.65</w:t>
            </w:r>
            <w:r w:rsidR="00996935" w:rsidRPr="00F656EB">
              <w:rPr>
                <w:iCs/>
                <w:vertAlign w:val="superscript"/>
              </w:rPr>
              <w:t>1</w:t>
            </w:r>
          </w:p>
          <w:p w14:paraId="5934CBA7" w14:textId="313F6DA7" w:rsidR="00512091" w:rsidRPr="00F656EB" w:rsidRDefault="00512091" w:rsidP="00773383">
            <w:pPr>
              <w:pStyle w:val="TableText0"/>
              <w:rPr>
                <w:iCs/>
                <w:vertAlign w:val="superscript"/>
              </w:rPr>
            </w:pPr>
            <w:r w:rsidRPr="00F656EB">
              <w:rPr>
                <w:iCs/>
              </w:rPr>
              <w:t>$0.16</w:t>
            </w:r>
            <w:r w:rsidR="00996935" w:rsidRPr="00F656EB">
              <w:rPr>
                <w:iCs/>
                <w:vertAlign w:val="superscript"/>
              </w:rPr>
              <w:t>3</w:t>
            </w:r>
          </w:p>
        </w:tc>
        <w:tc>
          <w:tcPr>
            <w:tcW w:w="1192" w:type="dxa"/>
            <w:tcBorders>
              <w:right w:val="double" w:sz="4" w:space="0" w:color="auto"/>
            </w:tcBorders>
          </w:tcPr>
          <w:p w14:paraId="5975A354" w14:textId="3E9BE05E" w:rsidR="00773383" w:rsidRPr="00F656EB" w:rsidRDefault="00B11863" w:rsidP="00773383">
            <w:pPr>
              <w:pStyle w:val="TableText0"/>
              <w:rPr>
                <w:iCs/>
              </w:rPr>
            </w:pPr>
            <w:r w:rsidRPr="00F656EB">
              <w:rPr>
                <w:iCs/>
              </w:rPr>
              <w:t>0</w:t>
            </w:r>
          </w:p>
        </w:tc>
        <w:tc>
          <w:tcPr>
            <w:tcW w:w="1123" w:type="dxa"/>
            <w:tcBorders>
              <w:left w:val="double" w:sz="4" w:space="0" w:color="auto"/>
            </w:tcBorders>
          </w:tcPr>
          <w:p w14:paraId="39696932" w14:textId="77777777" w:rsidR="00512091" w:rsidRPr="00F656EB" w:rsidRDefault="00512091" w:rsidP="00512091">
            <w:pPr>
              <w:pStyle w:val="TableText0"/>
              <w:rPr>
                <w:iCs/>
              </w:rPr>
            </w:pPr>
          </w:p>
          <w:p w14:paraId="0F0F4685" w14:textId="77777777" w:rsidR="00996935" w:rsidRPr="00F656EB" w:rsidRDefault="00996935" w:rsidP="00512091">
            <w:pPr>
              <w:pStyle w:val="TableText0"/>
              <w:rPr>
                <w:iCs/>
              </w:rPr>
            </w:pPr>
          </w:p>
          <w:p w14:paraId="0DC1CDE5" w14:textId="5C80AAAA" w:rsidR="00512091" w:rsidRPr="00F656EB" w:rsidRDefault="00512091" w:rsidP="00512091">
            <w:pPr>
              <w:pStyle w:val="TableText0"/>
              <w:rPr>
                <w:iCs/>
                <w:vertAlign w:val="superscript"/>
              </w:rPr>
            </w:pPr>
            <w:r w:rsidRPr="00F656EB">
              <w:rPr>
                <w:iCs/>
              </w:rPr>
              <w:t>$0.65</w:t>
            </w:r>
            <w:r w:rsidR="00996935" w:rsidRPr="00F656EB">
              <w:rPr>
                <w:iCs/>
                <w:vertAlign w:val="superscript"/>
              </w:rPr>
              <w:t>1</w:t>
            </w:r>
          </w:p>
          <w:p w14:paraId="1107A94E" w14:textId="695E7FE0" w:rsidR="00512091" w:rsidRPr="00F656EB" w:rsidRDefault="00512091" w:rsidP="00512091">
            <w:pPr>
              <w:pStyle w:val="TableText0"/>
              <w:rPr>
                <w:iCs/>
                <w:vertAlign w:val="superscript"/>
              </w:rPr>
            </w:pPr>
            <w:r w:rsidRPr="00F656EB">
              <w:rPr>
                <w:iCs/>
              </w:rPr>
              <w:t>$0.16</w:t>
            </w:r>
            <w:r w:rsidR="00996935" w:rsidRPr="00F656EB">
              <w:rPr>
                <w:iCs/>
                <w:vertAlign w:val="superscript"/>
              </w:rPr>
              <w:t>3</w:t>
            </w:r>
          </w:p>
        </w:tc>
        <w:tc>
          <w:tcPr>
            <w:tcW w:w="1055" w:type="dxa"/>
          </w:tcPr>
          <w:p w14:paraId="6DF6DC5E" w14:textId="2B73459A" w:rsidR="00773383" w:rsidRPr="00F656EB" w:rsidRDefault="00512091" w:rsidP="00773383">
            <w:pPr>
              <w:pStyle w:val="TableText0"/>
              <w:rPr>
                <w:iCs/>
              </w:rPr>
            </w:pPr>
            <w:r w:rsidRPr="00F656EB">
              <w:rPr>
                <w:iCs/>
              </w:rPr>
              <w:t>0</w:t>
            </w:r>
          </w:p>
        </w:tc>
      </w:tr>
      <w:tr w:rsidR="00512091" w:rsidRPr="00F656EB" w14:paraId="641F2B23" w14:textId="77777777" w:rsidTr="58C81D04">
        <w:tc>
          <w:tcPr>
            <w:tcW w:w="2094" w:type="dxa"/>
          </w:tcPr>
          <w:p w14:paraId="4C11F486" w14:textId="77777777" w:rsidR="00773383" w:rsidRPr="00F656EB" w:rsidRDefault="00512091" w:rsidP="00773383">
            <w:pPr>
              <w:pStyle w:val="TableText0"/>
              <w:rPr>
                <w:iCs/>
              </w:rPr>
            </w:pPr>
            <w:r w:rsidRPr="00F656EB">
              <w:rPr>
                <w:iCs/>
              </w:rPr>
              <w:t>Other costs: I</w:t>
            </w:r>
            <w:r w:rsidR="00773383" w:rsidRPr="00F656EB">
              <w:rPr>
                <w:iCs/>
              </w:rPr>
              <w:t>V infusion costs</w:t>
            </w:r>
            <w:r w:rsidR="00B11863" w:rsidRPr="00F656EB">
              <w:rPr>
                <w:iCs/>
              </w:rPr>
              <w:t>/injection costs</w:t>
            </w:r>
            <w:r w:rsidR="00773383" w:rsidRPr="00F656EB">
              <w:rPr>
                <w:iCs/>
              </w:rPr>
              <w:t xml:space="preserve"> per 2 years</w:t>
            </w:r>
          </w:p>
          <w:p w14:paraId="4AE89AF1" w14:textId="43E74D46" w:rsidR="00512091" w:rsidRPr="00F656EB" w:rsidRDefault="00512091" w:rsidP="00773383">
            <w:pPr>
              <w:pStyle w:val="TableText0"/>
              <w:rPr>
                <w:iCs/>
              </w:rPr>
            </w:pPr>
            <w:r w:rsidRPr="00F656EB">
              <w:rPr>
                <w:iCs/>
              </w:rPr>
              <w:t>monitoring</w:t>
            </w:r>
          </w:p>
        </w:tc>
        <w:tc>
          <w:tcPr>
            <w:tcW w:w="1124" w:type="dxa"/>
          </w:tcPr>
          <w:p w14:paraId="588CE0C6" w14:textId="7E005231" w:rsidR="00773383" w:rsidRPr="00F656EB" w:rsidRDefault="00933625" w:rsidP="00773383">
            <w:pPr>
              <w:pStyle w:val="TableText0"/>
              <w:rPr>
                <w:iCs/>
                <w:vertAlign w:val="superscript"/>
              </w:rPr>
            </w:pPr>
            <w:r w:rsidRPr="00F656EB">
              <w:rPr>
                <w:iCs/>
              </w:rPr>
              <w:t>$558.00</w:t>
            </w:r>
            <w:r w:rsidR="00996935" w:rsidRPr="00F656EB">
              <w:rPr>
                <w:iCs/>
                <w:vertAlign w:val="superscript"/>
              </w:rPr>
              <w:t>4</w:t>
            </w:r>
          </w:p>
        </w:tc>
        <w:tc>
          <w:tcPr>
            <w:tcW w:w="1169" w:type="dxa"/>
            <w:tcBorders>
              <w:right w:val="double" w:sz="4" w:space="0" w:color="auto"/>
            </w:tcBorders>
          </w:tcPr>
          <w:p w14:paraId="2F97E1E0" w14:textId="6A4E75C2" w:rsidR="00773383" w:rsidRPr="00F656EB" w:rsidRDefault="00933625" w:rsidP="00773383">
            <w:pPr>
              <w:pStyle w:val="TableText0"/>
              <w:rPr>
                <w:iCs/>
                <w:vertAlign w:val="superscript"/>
              </w:rPr>
            </w:pPr>
            <w:r w:rsidRPr="00F656EB">
              <w:rPr>
                <w:iCs/>
              </w:rPr>
              <w:t>$558.00</w:t>
            </w:r>
            <w:r w:rsidR="00996935" w:rsidRPr="00F656EB">
              <w:rPr>
                <w:iCs/>
                <w:vertAlign w:val="superscript"/>
              </w:rPr>
              <w:t>4</w:t>
            </w:r>
          </w:p>
        </w:tc>
        <w:tc>
          <w:tcPr>
            <w:tcW w:w="1123" w:type="dxa"/>
            <w:tcBorders>
              <w:left w:val="double" w:sz="4" w:space="0" w:color="auto"/>
            </w:tcBorders>
          </w:tcPr>
          <w:p w14:paraId="70C10EF6" w14:textId="62E33C40" w:rsidR="00773383" w:rsidRPr="00F656EB" w:rsidRDefault="00512091" w:rsidP="00773383">
            <w:pPr>
              <w:pStyle w:val="TableText0"/>
              <w:rPr>
                <w:iCs/>
                <w:vertAlign w:val="superscript"/>
              </w:rPr>
            </w:pPr>
            <w:r w:rsidRPr="00F656EB">
              <w:rPr>
                <w:iCs/>
              </w:rPr>
              <w:t>$558.00</w:t>
            </w:r>
            <w:r w:rsidR="00996935" w:rsidRPr="00F656EB">
              <w:rPr>
                <w:iCs/>
                <w:vertAlign w:val="superscript"/>
              </w:rPr>
              <w:t>4</w:t>
            </w:r>
          </w:p>
        </w:tc>
        <w:tc>
          <w:tcPr>
            <w:tcW w:w="1192" w:type="dxa"/>
            <w:tcBorders>
              <w:right w:val="double" w:sz="4" w:space="0" w:color="auto"/>
            </w:tcBorders>
          </w:tcPr>
          <w:p w14:paraId="3967E33C" w14:textId="73A4E229" w:rsidR="00773383" w:rsidRPr="00F656EB" w:rsidRDefault="00B11863" w:rsidP="00773383">
            <w:pPr>
              <w:pStyle w:val="TableText0"/>
              <w:rPr>
                <w:iCs/>
                <w:vertAlign w:val="superscript"/>
              </w:rPr>
            </w:pPr>
            <w:r w:rsidRPr="00F656EB">
              <w:rPr>
                <w:iCs/>
              </w:rPr>
              <w:t>$42.85</w:t>
            </w:r>
            <w:r w:rsidR="00996935" w:rsidRPr="00F656EB">
              <w:rPr>
                <w:iCs/>
                <w:vertAlign w:val="superscript"/>
              </w:rPr>
              <w:t>5</w:t>
            </w:r>
          </w:p>
        </w:tc>
        <w:tc>
          <w:tcPr>
            <w:tcW w:w="1123" w:type="dxa"/>
            <w:tcBorders>
              <w:left w:val="double" w:sz="4" w:space="0" w:color="auto"/>
            </w:tcBorders>
          </w:tcPr>
          <w:p w14:paraId="618555FA" w14:textId="1C0F7A45" w:rsidR="00773383" w:rsidRPr="00F656EB" w:rsidRDefault="00512091" w:rsidP="00773383">
            <w:pPr>
              <w:pStyle w:val="TableText0"/>
              <w:rPr>
                <w:iCs/>
                <w:vertAlign w:val="superscript"/>
              </w:rPr>
            </w:pPr>
            <w:r w:rsidRPr="00F656EB">
              <w:rPr>
                <w:iCs/>
              </w:rPr>
              <w:t>$558.00</w:t>
            </w:r>
            <w:r w:rsidR="002F127E" w:rsidRPr="00F656EB">
              <w:rPr>
                <w:iCs/>
                <w:vertAlign w:val="superscript"/>
              </w:rPr>
              <w:t>4</w:t>
            </w:r>
          </w:p>
        </w:tc>
        <w:tc>
          <w:tcPr>
            <w:tcW w:w="1055" w:type="dxa"/>
          </w:tcPr>
          <w:p w14:paraId="53404836" w14:textId="6D9EB627" w:rsidR="00773383" w:rsidRPr="00F656EB" w:rsidRDefault="00512091" w:rsidP="00773383">
            <w:pPr>
              <w:pStyle w:val="TableText0"/>
              <w:rPr>
                <w:iCs/>
                <w:vertAlign w:val="superscript"/>
              </w:rPr>
            </w:pPr>
            <w:r w:rsidRPr="00F656EB">
              <w:rPr>
                <w:iCs/>
              </w:rPr>
              <w:t>$190.85</w:t>
            </w:r>
            <w:r w:rsidR="00996935" w:rsidRPr="00F656EB">
              <w:rPr>
                <w:iCs/>
                <w:vertAlign w:val="superscript"/>
              </w:rPr>
              <w:t>7</w:t>
            </w:r>
          </w:p>
        </w:tc>
      </w:tr>
      <w:tr w:rsidR="00512091" w:rsidRPr="00F656EB" w14:paraId="570A8885" w14:textId="77777777" w:rsidTr="58C81D04">
        <w:tc>
          <w:tcPr>
            <w:tcW w:w="2094" w:type="dxa"/>
          </w:tcPr>
          <w:p w14:paraId="21890052" w14:textId="202CAD0F" w:rsidR="00773383" w:rsidRPr="00F656EB" w:rsidRDefault="00773383" w:rsidP="00773383">
            <w:pPr>
              <w:pStyle w:val="TableText0"/>
              <w:rPr>
                <w:iCs/>
              </w:rPr>
            </w:pPr>
            <w:r w:rsidRPr="00F656EB">
              <w:rPr>
                <w:iCs/>
              </w:rPr>
              <w:t>Total cost over 2 years</w:t>
            </w:r>
          </w:p>
        </w:tc>
        <w:tc>
          <w:tcPr>
            <w:tcW w:w="1124" w:type="dxa"/>
          </w:tcPr>
          <w:p w14:paraId="1FDDFF84" w14:textId="6565046C" w:rsidR="00773383" w:rsidRPr="00F656EB" w:rsidRDefault="00933625" w:rsidP="00773383">
            <w:pPr>
              <w:pStyle w:val="TableText0"/>
              <w:rPr>
                <w:iCs/>
              </w:rPr>
            </w:pPr>
            <w:r w:rsidRPr="00F656EB">
              <w:rPr>
                <w:iCs/>
              </w:rPr>
              <w:t>$67,191.77</w:t>
            </w:r>
          </w:p>
        </w:tc>
        <w:tc>
          <w:tcPr>
            <w:tcW w:w="1169" w:type="dxa"/>
            <w:tcBorders>
              <w:right w:val="double" w:sz="4" w:space="0" w:color="auto"/>
            </w:tcBorders>
          </w:tcPr>
          <w:p w14:paraId="22A0277F" w14:textId="4064AC35" w:rsidR="00773383" w:rsidRPr="00F656EB" w:rsidRDefault="00933625" w:rsidP="00773383">
            <w:pPr>
              <w:pStyle w:val="TableText0"/>
              <w:rPr>
                <w:iCs/>
              </w:rPr>
            </w:pPr>
            <w:r w:rsidRPr="00F656EB">
              <w:rPr>
                <w:iCs/>
              </w:rPr>
              <w:t>$67,191.77</w:t>
            </w:r>
          </w:p>
        </w:tc>
        <w:tc>
          <w:tcPr>
            <w:tcW w:w="1123" w:type="dxa"/>
            <w:tcBorders>
              <w:left w:val="double" w:sz="4" w:space="0" w:color="auto"/>
            </w:tcBorders>
          </w:tcPr>
          <w:p w14:paraId="751803FB" w14:textId="6EF77D57" w:rsidR="00773383" w:rsidRPr="00F656EB" w:rsidRDefault="00512091" w:rsidP="00773383">
            <w:pPr>
              <w:pStyle w:val="TableText0"/>
              <w:rPr>
                <w:iCs/>
              </w:rPr>
            </w:pPr>
            <w:r w:rsidRPr="00F656EB">
              <w:rPr>
                <w:iCs/>
              </w:rPr>
              <w:t>$</w:t>
            </w:r>
            <w:r w:rsidRPr="008C0137">
              <w:rPr>
                <w:iCs/>
              </w:rPr>
              <w:t>55,616.68</w:t>
            </w:r>
          </w:p>
        </w:tc>
        <w:tc>
          <w:tcPr>
            <w:tcW w:w="1192" w:type="dxa"/>
            <w:tcBorders>
              <w:right w:val="double" w:sz="4" w:space="0" w:color="auto"/>
            </w:tcBorders>
          </w:tcPr>
          <w:p w14:paraId="355DB403" w14:textId="0E97D81A" w:rsidR="00773383" w:rsidRPr="00F656EB" w:rsidRDefault="00B11863" w:rsidP="00773383">
            <w:pPr>
              <w:pStyle w:val="TableText0"/>
              <w:rPr>
                <w:iCs/>
              </w:rPr>
            </w:pPr>
            <w:r w:rsidRPr="00F656EB">
              <w:rPr>
                <w:iCs/>
              </w:rPr>
              <w:t>$55,616.68</w:t>
            </w:r>
          </w:p>
        </w:tc>
        <w:tc>
          <w:tcPr>
            <w:tcW w:w="1123" w:type="dxa"/>
            <w:tcBorders>
              <w:left w:val="double" w:sz="4" w:space="0" w:color="auto"/>
            </w:tcBorders>
          </w:tcPr>
          <w:p w14:paraId="66CFAC48" w14:textId="09FB8CBD" w:rsidR="00773383" w:rsidRPr="00F656EB" w:rsidRDefault="00512091" w:rsidP="00773383">
            <w:pPr>
              <w:pStyle w:val="TableText0"/>
              <w:rPr>
                <w:iCs/>
              </w:rPr>
            </w:pPr>
            <w:r w:rsidRPr="00F656EB">
              <w:rPr>
                <w:iCs/>
              </w:rPr>
              <w:t>$</w:t>
            </w:r>
            <w:r w:rsidRPr="008C0137">
              <w:rPr>
                <w:iCs/>
              </w:rPr>
              <w:t>21,846.57</w:t>
            </w:r>
          </w:p>
        </w:tc>
        <w:tc>
          <w:tcPr>
            <w:tcW w:w="1055" w:type="dxa"/>
          </w:tcPr>
          <w:p w14:paraId="48113427" w14:textId="331E041E" w:rsidR="00773383" w:rsidRPr="00F656EB" w:rsidRDefault="00512091" w:rsidP="00773383">
            <w:pPr>
              <w:pStyle w:val="TableText0"/>
              <w:rPr>
                <w:iCs/>
              </w:rPr>
            </w:pPr>
            <w:r w:rsidRPr="00F656EB">
              <w:rPr>
                <w:iCs/>
              </w:rPr>
              <w:t>$21,846.57</w:t>
            </w:r>
          </w:p>
        </w:tc>
      </w:tr>
    </w:tbl>
    <w:p w14:paraId="4FE7D8D9" w14:textId="77777777" w:rsidR="00CF003A" w:rsidRDefault="00B11863" w:rsidP="00355B07">
      <w:pPr>
        <w:pStyle w:val="FooterTableFigure"/>
      </w:pPr>
      <w:r>
        <w:t>Source: Tables 3.2, 3.3 and 3.4, pp171, 172 and 173 of the submission.</w:t>
      </w:r>
      <w:r w:rsidR="00512091">
        <w:t xml:space="preserve"> Shaded cells show calculated prices for each comparison</w:t>
      </w:r>
      <w:r w:rsidR="00996935">
        <w:t xml:space="preserve">. </w:t>
      </w:r>
    </w:p>
    <w:p w14:paraId="7A491CB2" w14:textId="77777777" w:rsidR="00CF003A" w:rsidRDefault="00996935" w:rsidP="00355B07">
      <w:pPr>
        <w:pStyle w:val="FooterTableFigure"/>
      </w:pPr>
      <w:r>
        <w:rPr>
          <w:vertAlign w:val="superscript"/>
        </w:rPr>
        <w:t>1</w:t>
      </w:r>
      <w:r>
        <w:t xml:space="preserve"> Cost of dexamethasone.</w:t>
      </w:r>
    </w:p>
    <w:p w14:paraId="2E6F3F55" w14:textId="77777777" w:rsidR="00CF003A" w:rsidRDefault="00996935" w:rsidP="00355B07">
      <w:pPr>
        <w:pStyle w:val="FooterTableFigure"/>
      </w:pPr>
      <w:r>
        <w:rPr>
          <w:vertAlign w:val="superscript"/>
        </w:rPr>
        <w:t>2</w:t>
      </w:r>
      <w:r>
        <w:t xml:space="preserve"> Cost of IV methylprednisolone.</w:t>
      </w:r>
    </w:p>
    <w:p w14:paraId="1BB304D4" w14:textId="55299BAB" w:rsidR="00CF003A" w:rsidRDefault="00996935" w:rsidP="00355B07">
      <w:pPr>
        <w:pStyle w:val="FooterTableFigure"/>
      </w:pPr>
      <w:r>
        <w:rPr>
          <w:vertAlign w:val="superscript"/>
        </w:rPr>
        <w:t xml:space="preserve">3 </w:t>
      </w:r>
      <w:r>
        <w:t>Cost of 25</w:t>
      </w:r>
      <w:r w:rsidR="00A7109E">
        <w:t> </w:t>
      </w:r>
      <w:r>
        <w:t xml:space="preserve">mg diphenhydramine. </w:t>
      </w:r>
    </w:p>
    <w:p w14:paraId="2841081E" w14:textId="77777777" w:rsidR="00CF003A" w:rsidRDefault="00996935" w:rsidP="00355B07">
      <w:pPr>
        <w:pStyle w:val="FooterTableFigure"/>
      </w:pPr>
      <w:r>
        <w:rPr>
          <w:vertAlign w:val="superscript"/>
        </w:rPr>
        <w:t xml:space="preserve">4 </w:t>
      </w:r>
      <w:r>
        <w:t xml:space="preserve">Calculated as 5 * MBS item 14245, $111.60, full fee. </w:t>
      </w:r>
    </w:p>
    <w:p w14:paraId="58271AE4" w14:textId="77777777" w:rsidR="00CF003A" w:rsidRDefault="00996935" w:rsidP="00355B07">
      <w:pPr>
        <w:pStyle w:val="FooterTableFigure"/>
      </w:pPr>
      <w:r>
        <w:rPr>
          <w:vertAlign w:val="superscript"/>
        </w:rPr>
        <w:t>5</w:t>
      </w:r>
      <w:r w:rsidR="00CF003A">
        <w:rPr>
          <w:vertAlign w:val="superscript"/>
        </w:rPr>
        <w:t xml:space="preserve"> </w:t>
      </w:r>
      <w:r>
        <w:t>MBS item 23, full fee, as first injection should be performed under the guidance of a health professional.</w:t>
      </w:r>
    </w:p>
    <w:p w14:paraId="49923F92" w14:textId="62D9F6F7" w:rsidR="00CF003A" w:rsidRDefault="00996935" w:rsidP="00355B07">
      <w:pPr>
        <w:pStyle w:val="FooterTableFigure"/>
      </w:pPr>
      <w:r>
        <w:rPr>
          <w:vertAlign w:val="superscript"/>
        </w:rPr>
        <w:t>6</w:t>
      </w:r>
      <w:r w:rsidR="00CF003A">
        <w:rPr>
          <w:vertAlign w:val="superscript"/>
        </w:rPr>
        <w:t xml:space="preserve"> </w:t>
      </w:r>
      <w:r>
        <w:t>Weighted average price of 0.25</w:t>
      </w:r>
      <w:r w:rsidR="00A7109E">
        <w:t> </w:t>
      </w:r>
      <w:r>
        <w:t xml:space="preserve">mg and </w:t>
      </w:r>
      <w:r w:rsidR="00355B07">
        <w:t>0</w:t>
      </w:r>
      <w:r>
        <w:t>.5</w:t>
      </w:r>
      <w:r w:rsidR="00A7109E">
        <w:t> </w:t>
      </w:r>
      <w:r>
        <w:t xml:space="preserve">mg </w:t>
      </w:r>
      <w:r w:rsidR="00355B07">
        <w:t>fingolimod capsules.</w:t>
      </w:r>
    </w:p>
    <w:p w14:paraId="5BF3C67A" w14:textId="4D4CA785" w:rsidR="00832957" w:rsidRPr="00355B07" w:rsidRDefault="00355B07" w:rsidP="00355B07">
      <w:pPr>
        <w:pStyle w:val="FooterTableFigure"/>
      </w:pPr>
      <w:r>
        <w:rPr>
          <w:vertAlign w:val="superscript"/>
        </w:rPr>
        <w:t>7</w:t>
      </w:r>
      <w:r>
        <w:t xml:space="preserve"> MBS item 11716, first dose cardiac monitoring. </w:t>
      </w:r>
    </w:p>
    <w:p w14:paraId="06ECC2CD" w14:textId="21A2ED3D" w:rsidR="00203D9E" w:rsidRPr="000B114D" w:rsidRDefault="00355B07" w:rsidP="00810F7F">
      <w:pPr>
        <w:pStyle w:val="3-BodyText"/>
      </w:pPr>
      <w:r w:rsidRPr="00334A6B">
        <w:t xml:space="preserve">As noted above, the analyses included a </w:t>
      </w:r>
      <w:r w:rsidR="001F633E" w:rsidRPr="00B86E07">
        <w:rPr>
          <w:color w:val="000000"/>
          <w:w w:val="60"/>
          <w:shd w:val="solid" w:color="000000" w:fill="000000"/>
          <w:fitText w:val="470" w:id="-663554304"/>
          <w14:textFill>
            <w14:solidFill>
              <w14:srgbClr w14:val="000000">
                <w14:alpha w14:val="100000"/>
              </w14:srgbClr>
            </w14:solidFill>
          </w14:textFill>
        </w:rPr>
        <w:t>|||  ||</w:t>
      </w:r>
      <w:r w:rsidR="001F633E" w:rsidRPr="00B86E07">
        <w:rPr>
          <w:color w:val="000000"/>
          <w:spacing w:val="6"/>
          <w:w w:val="60"/>
          <w:shd w:val="solid" w:color="000000" w:fill="000000"/>
          <w:fitText w:val="470" w:id="-663554304"/>
          <w14:textFill>
            <w14:solidFill>
              <w14:srgbClr w14:val="000000">
                <w14:alpha w14:val="100000"/>
              </w14:srgbClr>
            </w14:solidFill>
          </w14:textFill>
        </w:rPr>
        <w:t>|</w:t>
      </w:r>
      <w:r w:rsidRPr="00334A6B">
        <w:t xml:space="preserve">% price premium for ublituximab compared to fingolimod, on the basis of the claim of superior effectiveness, which was not adequately supported. </w:t>
      </w:r>
      <w:r w:rsidR="00770D87" w:rsidRPr="000B114D">
        <w:t xml:space="preserve">The ESC considered that </w:t>
      </w:r>
      <w:r w:rsidR="000C42F5" w:rsidRPr="000B114D">
        <w:t xml:space="preserve">as </w:t>
      </w:r>
      <w:proofErr w:type="spellStart"/>
      <w:r w:rsidR="00770D87" w:rsidRPr="000B114D">
        <w:t>ublituximab’s</w:t>
      </w:r>
      <w:proofErr w:type="spellEnd"/>
      <w:r w:rsidR="00770D87" w:rsidRPr="000B114D">
        <w:t xml:space="preserve"> superiority claim to fingolimod was not supported, a price premium of any magnitude against fingolimod</w:t>
      </w:r>
      <w:r w:rsidR="000C42F5" w:rsidRPr="000B114D">
        <w:t xml:space="preserve"> was </w:t>
      </w:r>
      <w:r w:rsidR="00BA29A3" w:rsidRPr="000B114D">
        <w:t>unjustified.</w:t>
      </w:r>
    </w:p>
    <w:p w14:paraId="442D338A" w14:textId="64F3E0B1" w:rsidR="00136A5C" w:rsidRPr="00334A6B" w:rsidRDefault="00136A5C" w:rsidP="58C81D04">
      <w:pPr>
        <w:pStyle w:val="3-BodyText"/>
      </w:pPr>
      <w:r w:rsidRPr="00334A6B">
        <w:t xml:space="preserve">The </w:t>
      </w:r>
      <w:r w:rsidR="00B723F7" w:rsidRPr="00334A6B">
        <w:t>submission</w:t>
      </w:r>
      <w:r w:rsidRPr="00334A6B">
        <w:t xml:space="preserve"> used these </w:t>
      </w:r>
      <w:r w:rsidR="00B723F7" w:rsidRPr="00334A6B">
        <w:t>calculations</w:t>
      </w:r>
      <w:r w:rsidRPr="00334A6B">
        <w:t xml:space="preserve"> to derive a </w:t>
      </w:r>
      <w:r w:rsidR="00B723F7" w:rsidRPr="00334A6B">
        <w:t xml:space="preserve">weighted average price for ublituximab, as shown in </w:t>
      </w:r>
      <w:r w:rsidR="00E96034" w:rsidRPr="00334A6B">
        <w:fldChar w:fldCharType="begin"/>
      </w:r>
      <w:r w:rsidR="00E96034" w:rsidRPr="00334A6B">
        <w:instrText xml:space="preserve"> REF _Ref188178484 \h </w:instrText>
      </w:r>
      <w:r w:rsidR="00334A6B" w:rsidRPr="00334A6B">
        <w:instrText xml:space="preserve"> \* MERGEFORMAT </w:instrText>
      </w:r>
      <w:r w:rsidR="00E96034" w:rsidRPr="00334A6B">
        <w:fldChar w:fldCharType="separate"/>
      </w:r>
      <w:r w:rsidR="00D925D4" w:rsidRPr="00334A6B">
        <w:t xml:space="preserve">Table </w:t>
      </w:r>
      <w:r w:rsidR="00D925D4">
        <w:rPr>
          <w:noProof/>
        </w:rPr>
        <w:t>13</w:t>
      </w:r>
      <w:r w:rsidR="00E96034" w:rsidRPr="00334A6B">
        <w:fldChar w:fldCharType="end"/>
      </w:r>
      <w:r w:rsidR="00B723F7" w:rsidRPr="00334A6B">
        <w:t>.</w:t>
      </w:r>
    </w:p>
    <w:p w14:paraId="1F8D31DD" w14:textId="6BC14DBA" w:rsidR="00E96034" w:rsidRPr="00334A6B" w:rsidRDefault="00E96034" w:rsidP="00E96034">
      <w:pPr>
        <w:pStyle w:val="Caption"/>
      </w:pPr>
      <w:bookmarkStart w:id="63" w:name="_Ref188178484"/>
      <w:r w:rsidRPr="00334A6B">
        <w:t xml:space="preserve">Table </w:t>
      </w:r>
      <w:r>
        <w:fldChar w:fldCharType="begin"/>
      </w:r>
      <w:r>
        <w:instrText xml:space="preserve"> SEQ Table \* ARABIC </w:instrText>
      </w:r>
      <w:r>
        <w:fldChar w:fldCharType="separate"/>
      </w:r>
      <w:r w:rsidR="00D925D4">
        <w:rPr>
          <w:noProof/>
        </w:rPr>
        <w:t>13</w:t>
      </w:r>
      <w:r>
        <w:rPr>
          <w:noProof/>
        </w:rPr>
        <w:fldChar w:fldCharType="end"/>
      </w:r>
      <w:bookmarkEnd w:id="63"/>
      <w:r w:rsidR="00D67C83" w:rsidRPr="00334A6B">
        <w:rPr>
          <w:noProof/>
        </w:rPr>
        <w:t>3</w:t>
      </w:r>
      <w:r w:rsidRPr="00334A6B">
        <w:t xml:space="preserve">: Weighted average price </w:t>
      </w:r>
      <w:r w:rsidR="00FF036F" w:rsidRPr="00334A6B">
        <w:t xml:space="preserve">calculations </w:t>
      </w:r>
      <w:r w:rsidRPr="00334A6B">
        <w:t>based on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4"/>
        <w:gridCol w:w="951"/>
        <w:gridCol w:w="439"/>
        <w:gridCol w:w="559"/>
        <w:gridCol w:w="1001"/>
        <w:gridCol w:w="738"/>
        <w:gridCol w:w="559"/>
        <w:gridCol w:w="703"/>
        <w:gridCol w:w="705"/>
        <w:gridCol w:w="1246"/>
        <w:gridCol w:w="1102"/>
      </w:tblGrid>
      <w:tr w:rsidR="0038000D" w:rsidRPr="00334A6B" w14:paraId="305E6D2F" w14:textId="77777777" w:rsidTr="0038000D">
        <w:trPr>
          <w:trHeight w:val="20"/>
        </w:trPr>
        <w:tc>
          <w:tcPr>
            <w:tcW w:w="0" w:type="auto"/>
            <w:shd w:val="clear" w:color="auto" w:fill="auto"/>
            <w:vAlign w:val="bottom"/>
            <w:hideMark/>
          </w:tcPr>
          <w:p w14:paraId="63676AE3" w14:textId="77777777" w:rsidR="00B723F7" w:rsidRPr="00C70B16" w:rsidRDefault="00B723F7" w:rsidP="0038000D">
            <w:pPr>
              <w:pStyle w:val="In-tableHeading"/>
            </w:pPr>
            <w:r w:rsidRPr="00C70B16">
              <w:t>Comparator</w:t>
            </w:r>
          </w:p>
        </w:tc>
        <w:tc>
          <w:tcPr>
            <w:tcW w:w="528" w:type="pct"/>
            <w:shd w:val="clear" w:color="auto" w:fill="auto"/>
            <w:vAlign w:val="center"/>
            <w:hideMark/>
          </w:tcPr>
          <w:p w14:paraId="117C7D87" w14:textId="11B8EE68" w:rsidR="00B723F7" w:rsidRPr="00C70B16" w:rsidRDefault="00B723F7" w:rsidP="0038000D">
            <w:pPr>
              <w:pStyle w:val="In-tableHeading"/>
              <w:jc w:val="center"/>
            </w:pPr>
            <w:r w:rsidRPr="00C70B16">
              <w:t>PBS s</w:t>
            </w:r>
            <w:r w:rsidR="00B71993" w:rsidRPr="00C70B16">
              <w:t>cripts</w:t>
            </w:r>
            <w:r w:rsidRPr="00C70B16">
              <w:t xml:space="preserve"> per patient p.a.</w:t>
            </w:r>
          </w:p>
        </w:tc>
        <w:tc>
          <w:tcPr>
            <w:tcW w:w="553" w:type="pct"/>
            <w:gridSpan w:val="2"/>
            <w:shd w:val="clear" w:color="auto" w:fill="auto"/>
            <w:vAlign w:val="center"/>
            <w:hideMark/>
          </w:tcPr>
          <w:p w14:paraId="134B568F" w14:textId="7E9EB716" w:rsidR="00B723F7" w:rsidRPr="00C70B16" w:rsidRDefault="00B723F7" w:rsidP="0038000D">
            <w:pPr>
              <w:pStyle w:val="In-tableHeading"/>
              <w:jc w:val="center"/>
            </w:pPr>
            <w:r w:rsidRPr="00C70B16">
              <w:t>PBS Services</w:t>
            </w:r>
          </w:p>
          <w:p w14:paraId="6FE86F91" w14:textId="79ECFA4D" w:rsidR="00B723F7" w:rsidRPr="00C70B16" w:rsidRDefault="00B723F7" w:rsidP="0038000D">
            <w:pPr>
              <w:pStyle w:val="In-tableHeading"/>
              <w:jc w:val="center"/>
            </w:pPr>
            <w:r w:rsidRPr="00C70B16">
              <w:t>(2023-24)</w:t>
            </w:r>
          </w:p>
        </w:tc>
        <w:tc>
          <w:tcPr>
            <w:tcW w:w="555" w:type="pct"/>
            <w:shd w:val="clear" w:color="auto" w:fill="auto"/>
            <w:vAlign w:val="center"/>
            <w:hideMark/>
          </w:tcPr>
          <w:p w14:paraId="430D117A" w14:textId="60522B48" w:rsidR="00B723F7" w:rsidRPr="00C70B16" w:rsidRDefault="00F304ED" w:rsidP="0038000D">
            <w:pPr>
              <w:pStyle w:val="In-tableHeading"/>
              <w:jc w:val="center"/>
            </w:pPr>
            <w:proofErr w:type="spellStart"/>
            <w:r w:rsidRPr="00C70B16">
              <w:t>M</w:t>
            </w:r>
            <w:r w:rsidR="00B723F7" w:rsidRPr="00C70B16">
              <w:t>ths</w:t>
            </w:r>
            <w:proofErr w:type="spellEnd"/>
            <w:r w:rsidR="00B723F7" w:rsidRPr="00C70B16">
              <w:t xml:space="preserve"> of Treatment per </w:t>
            </w:r>
            <w:r w:rsidRPr="00C70B16">
              <w:t>script</w:t>
            </w:r>
          </w:p>
        </w:tc>
        <w:tc>
          <w:tcPr>
            <w:tcW w:w="719" w:type="pct"/>
            <w:gridSpan w:val="2"/>
            <w:shd w:val="clear" w:color="auto" w:fill="auto"/>
            <w:vAlign w:val="center"/>
            <w:hideMark/>
          </w:tcPr>
          <w:p w14:paraId="67643C46" w14:textId="77777777" w:rsidR="00B723F7" w:rsidRPr="00C70B16" w:rsidRDefault="00B723F7" w:rsidP="0038000D">
            <w:pPr>
              <w:pStyle w:val="In-tableHeading"/>
              <w:jc w:val="center"/>
            </w:pPr>
            <w:r w:rsidRPr="00C70B16">
              <w:t>No. of months of treatment</w:t>
            </w:r>
          </w:p>
        </w:tc>
        <w:tc>
          <w:tcPr>
            <w:tcW w:w="781" w:type="pct"/>
            <w:gridSpan w:val="2"/>
            <w:shd w:val="clear" w:color="auto" w:fill="auto"/>
            <w:vAlign w:val="center"/>
            <w:hideMark/>
          </w:tcPr>
          <w:p w14:paraId="0B694A29" w14:textId="77777777" w:rsidR="00B723F7" w:rsidRPr="00C70B16" w:rsidRDefault="00B723F7" w:rsidP="0038000D">
            <w:pPr>
              <w:pStyle w:val="In-tableHeading"/>
              <w:jc w:val="center"/>
            </w:pPr>
            <w:r w:rsidRPr="00C70B16">
              <w:t>Number of patients (derived = weighting)</w:t>
            </w:r>
          </w:p>
        </w:tc>
        <w:tc>
          <w:tcPr>
            <w:tcW w:w="691" w:type="pct"/>
            <w:shd w:val="clear" w:color="auto" w:fill="auto"/>
            <w:vAlign w:val="center"/>
            <w:hideMark/>
          </w:tcPr>
          <w:p w14:paraId="614EBC9E" w14:textId="77777777" w:rsidR="00B723F7" w:rsidRPr="00C70B16" w:rsidRDefault="00B723F7" w:rsidP="0038000D">
            <w:pPr>
              <w:pStyle w:val="In-tableHeading"/>
              <w:jc w:val="center"/>
            </w:pPr>
            <w:r w:rsidRPr="00C70B16">
              <w:t xml:space="preserve">Individual Cost </w:t>
            </w:r>
            <w:proofErr w:type="spellStart"/>
            <w:r w:rsidRPr="00C70B16">
              <w:t>analysed</w:t>
            </w:r>
            <w:proofErr w:type="spellEnd"/>
            <w:r w:rsidRPr="00C70B16">
              <w:t xml:space="preserve"> price</w:t>
            </w:r>
          </w:p>
        </w:tc>
        <w:tc>
          <w:tcPr>
            <w:tcW w:w="611" w:type="pct"/>
            <w:shd w:val="clear" w:color="auto" w:fill="auto"/>
            <w:vAlign w:val="center"/>
            <w:hideMark/>
          </w:tcPr>
          <w:p w14:paraId="24A6DC4E" w14:textId="4F808800" w:rsidR="00B723F7" w:rsidRPr="00C70B16" w:rsidRDefault="00B723F7" w:rsidP="0038000D">
            <w:pPr>
              <w:pStyle w:val="In-tableHeading"/>
              <w:jc w:val="center"/>
            </w:pPr>
            <w:r w:rsidRPr="00C70B16">
              <w:t>Weighted average price (AEMP)</w:t>
            </w:r>
          </w:p>
        </w:tc>
      </w:tr>
      <w:tr w:rsidR="0038000D" w:rsidRPr="00334A6B" w14:paraId="5011ED96" w14:textId="77777777" w:rsidTr="0038000D">
        <w:trPr>
          <w:trHeight w:val="20"/>
        </w:trPr>
        <w:tc>
          <w:tcPr>
            <w:tcW w:w="0" w:type="auto"/>
            <w:shd w:val="clear" w:color="auto" w:fill="auto"/>
            <w:noWrap/>
            <w:vAlign w:val="center"/>
            <w:hideMark/>
          </w:tcPr>
          <w:p w14:paraId="26A7E32E" w14:textId="77777777" w:rsidR="00B723F7" w:rsidRPr="00C70B16" w:rsidRDefault="00B723F7" w:rsidP="0038000D">
            <w:pPr>
              <w:pStyle w:val="TableText0"/>
              <w:rPr>
                <w:szCs w:val="20"/>
              </w:rPr>
            </w:pPr>
            <w:r w:rsidRPr="00C70B16">
              <w:rPr>
                <w:szCs w:val="20"/>
              </w:rPr>
              <w:t>Ocrelizumab</w:t>
            </w:r>
          </w:p>
          <w:p w14:paraId="68CFEC53" w14:textId="45213981" w:rsidR="00B723F7" w:rsidRPr="00C70B16" w:rsidRDefault="00B723F7" w:rsidP="0038000D">
            <w:pPr>
              <w:pStyle w:val="TableText0"/>
              <w:rPr>
                <w:szCs w:val="20"/>
              </w:rPr>
            </w:pPr>
            <w:r w:rsidRPr="00C70B16">
              <w:rPr>
                <w:szCs w:val="20"/>
              </w:rPr>
              <w:t xml:space="preserve"> 6 monthly IV</w:t>
            </w:r>
          </w:p>
        </w:tc>
        <w:tc>
          <w:tcPr>
            <w:tcW w:w="528" w:type="pct"/>
            <w:shd w:val="clear" w:color="auto" w:fill="auto"/>
            <w:noWrap/>
            <w:vAlign w:val="center"/>
            <w:hideMark/>
          </w:tcPr>
          <w:p w14:paraId="0BAA1A27" w14:textId="77777777" w:rsidR="00B723F7" w:rsidRPr="00C70B16" w:rsidRDefault="00B723F7" w:rsidP="0038000D">
            <w:pPr>
              <w:pStyle w:val="TableText0"/>
              <w:jc w:val="center"/>
              <w:rPr>
                <w:szCs w:val="20"/>
              </w:rPr>
            </w:pPr>
            <w:r w:rsidRPr="00C70B16">
              <w:rPr>
                <w:szCs w:val="20"/>
              </w:rPr>
              <w:t>2</w:t>
            </w:r>
          </w:p>
        </w:tc>
        <w:tc>
          <w:tcPr>
            <w:tcW w:w="243" w:type="pct"/>
            <w:shd w:val="clear" w:color="auto" w:fill="auto"/>
            <w:noWrap/>
            <w:vAlign w:val="center"/>
            <w:hideMark/>
          </w:tcPr>
          <w:p w14:paraId="17B9F029" w14:textId="77777777" w:rsidR="00B723F7" w:rsidRPr="00C70B16" w:rsidRDefault="00B723F7" w:rsidP="0038000D">
            <w:pPr>
              <w:pStyle w:val="TableText0"/>
              <w:jc w:val="center"/>
              <w:rPr>
                <w:szCs w:val="20"/>
              </w:rPr>
            </w:pPr>
            <w:r w:rsidRPr="00C70B16">
              <w:rPr>
                <w:szCs w:val="20"/>
              </w:rPr>
              <w:t>All</w:t>
            </w:r>
          </w:p>
        </w:tc>
        <w:tc>
          <w:tcPr>
            <w:tcW w:w="0" w:type="auto"/>
            <w:shd w:val="clear" w:color="auto" w:fill="auto"/>
            <w:noWrap/>
            <w:vAlign w:val="center"/>
            <w:hideMark/>
          </w:tcPr>
          <w:p w14:paraId="533F0BE4" w14:textId="77777777" w:rsidR="00B723F7" w:rsidRPr="00C70B16" w:rsidRDefault="00B723F7" w:rsidP="0038000D">
            <w:pPr>
              <w:pStyle w:val="TableText0"/>
              <w:jc w:val="center"/>
              <w:rPr>
                <w:szCs w:val="20"/>
              </w:rPr>
            </w:pPr>
            <w:r w:rsidRPr="00C70B16">
              <w:rPr>
                <w:szCs w:val="20"/>
              </w:rPr>
              <w:t>13,730</w:t>
            </w:r>
          </w:p>
        </w:tc>
        <w:tc>
          <w:tcPr>
            <w:tcW w:w="555" w:type="pct"/>
            <w:shd w:val="clear" w:color="auto" w:fill="auto"/>
            <w:noWrap/>
            <w:vAlign w:val="center"/>
            <w:hideMark/>
          </w:tcPr>
          <w:p w14:paraId="34B8101B" w14:textId="77777777" w:rsidR="00B723F7" w:rsidRPr="00C70B16" w:rsidRDefault="00B723F7" w:rsidP="0038000D">
            <w:pPr>
              <w:pStyle w:val="TableText0"/>
              <w:jc w:val="center"/>
              <w:rPr>
                <w:szCs w:val="20"/>
              </w:rPr>
            </w:pPr>
            <w:r w:rsidRPr="00C70B16">
              <w:rPr>
                <w:szCs w:val="20"/>
              </w:rPr>
              <w:t>6</w:t>
            </w:r>
          </w:p>
        </w:tc>
        <w:tc>
          <w:tcPr>
            <w:tcW w:w="719" w:type="pct"/>
            <w:gridSpan w:val="2"/>
            <w:shd w:val="clear" w:color="auto" w:fill="auto"/>
            <w:noWrap/>
            <w:vAlign w:val="center"/>
            <w:hideMark/>
          </w:tcPr>
          <w:p w14:paraId="144EB354" w14:textId="77777777" w:rsidR="00B723F7" w:rsidRPr="00C70B16" w:rsidRDefault="00B723F7" w:rsidP="0038000D">
            <w:pPr>
              <w:pStyle w:val="TableText0"/>
              <w:jc w:val="center"/>
              <w:rPr>
                <w:szCs w:val="20"/>
              </w:rPr>
            </w:pPr>
            <w:r w:rsidRPr="00C70B16">
              <w:rPr>
                <w:szCs w:val="20"/>
              </w:rPr>
              <w:t>82,380</w:t>
            </w:r>
          </w:p>
        </w:tc>
        <w:tc>
          <w:tcPr>
            <w:tcW w:w="390" w:type="pct"/>
            <w:shd w:val="clear" w:color="auto" w:fill="auto"/>
            <w:noWrap/>
            <w:vAlign w:val="center"/>
            <w:hideMark/>
          </w:tcPr>
          <w:p w14:paraId="2A4256FD" w14:textId="36EF6790" w:rsidR="00B723F7" w:rsidRPr="00C70B16" w:rsidRDefault="00B723F7" w:rsidP="0038000D">
            <w:pPr>
              <w:pStyle w:val="TableText0"/>
              <w:jc w:val="center"/>
              <w:rPr>
                <w:szCs w:val="20"/>
              </w:rPr>
            </w:pPr>
            <w:r w:rsidRPr="00C70B16">
              <w:rPr>
                <w:szCs w:val="20"/>
              </w:rPr>
              <w:t>6,865</w:t>
            </w:r>
          </w:p>
        </w:tc>
        <w:tc>
          <w:tcPr>
            <w:tcW w:w="390" w:type="pct"/>
            <w:shd w:val="clear" w:color="auto" w:fill="auto"/>
            <w:noWrap/>
            <w:vAlign w:val="center"/>
            <w:hideMark/>
          </w:tcPr>
          <w:p w14:paraId="4E0FE799" w14:textId="77777777" w:rsidR="00B723F7" w:rsidRPr="00C70B16" w:rsidRDefault="00B723F7" w:rsidP="0038000D">
            <w:pPr>
              <w:pStyle w:val="TableText0"/>
              <w:jc w:val="center"/>
              <w:rPr>
                <w:szCs w:val="20"/>
              </w:rPr>
            </w:pPr>
            <w:r w:rsidRPr="00C70B16">
              <w:rPr>
                <w:szCs w:val="20"/>
              </w:rPr>
              <w:t>58%</w:t>
            </w:r>
          </w:p>
        </w:tc>
        <w:tc>
          <w:tcPr>
            <w:tcW w:w="691" w:type="pct"/>
            <w:shd w:val="clear" w:color="auto" w:fill="auto"/>
            <w:noWrap/>
            <w:vAlign w:val="center"/>
            <w:hideMark/>
          </w:tcPr>
          <w:p w14:paraId="5334C18E" w14:textId="639686B1" w:rsidR="00B723F7" w:rsidRPr="005C2190" w:rsidRDefault="00B723F7" w:rsidP="0038000D">
            <w:pPr>
              <w:pStyle w:val="TableText0"/>
              <w:jc w:val="center"/>
              <w:rPr>
                <w:szCs w:val="20"/>
              </w:rPr>
            </w:pPr>
            <w:r w:rsidRPr="005C2190">
              <w:rPr>
                <w:szCs w:val="20"/>
              </w:rPr>
              <w:t>$5,125.61</w:t>
            </w:r>
          </w:p>
        </w:tc>
        <w:tc>
          <w:tcPr>
            <w:tcW w:w="611" w:type="pct"/>
            <w:vMerge w:val="restart"/>
            <w:shd w:val="clear" w:color="auto" w:fill="auto"/>
            <w:noWrap/>
            <w:vAlign w:val="center"/>
            <w:hideMark/>
          </w:tcPr>
          <w:p w14:paraId="29F250C9" w14:textId="0ED520A9" w:rsidR="00B723F7" w:rsidRPr="00C70B16" w:rsidRDefault="00B723F7" w:rsidP="0038000D">
            <w:pPr>
              <w:pStyle w:val="TableText0"/>
              <w:jc w:val="center"/>
              <w:rPr>
                <w:szCs w:val="20"/>
              </w:rPr>
            </w:pPr>
            <w:r w:rsidRPr="00C70B16">
              <w:rPr>
                <w:szCs w:val="20"/>
              </w:rPr>
              <w:t>$</w:t>
            </w:r>
            <w:r w:rsidR="001F633E" w:rsidRPr="001F633E">
              <w:rPr>
                <w:color w:val="000000"/>
                <w:spacing w:val="53"/>
                <w:szCs w:val="20"/>
                <w:shd w:val="solid" w:color="000000" w:fill="000000"/>
                <w:fitText w:val="330" w:id="-663554303"/>
                <w14:textFill>
                  <w14:solidFill>
                    <w14:srgbClr w14:val="000000">
                      <w14:alpha w14:val="100000"/>
                    </w14:srgbClr>
                  </w14:solidFill>
                </w14:textFill>
              </w:rPr>
              <w:t>|||</w:t>
            </w:r>
            <w:r w:rsidR="001F633E" w:rsidRPr="001F633E">
              <w:rPr>
                <w:color w:val="000000"/>
                <w:spacing w:val="1"/>
                <w:szCs w:val="20"/>
                <w:shd w:val="solid" w:color="000000" w:fill="000000"/>
                <w:fitText w:val="330" w:id="-663554303"/>
                <w14:textFill>
                  <w14:solidFill>
                    <w14:srgbClr w14:val="000000">
                      <w14:alpha w14:val="100000"/>
                    </w14:srgbClr>
                  </w14:solidFill>
                </w14:textFill>
              </w:rPr>
              <w:t>|</w:t>
            </w:r>
          </w:p>
        </w:tc>
      </w:tr>
      <w:tr w:rsidR="0038000D" w:rsidRPr="00334A6B" w14:paraId="26E6223E" w14:textId="77777777" w:rsidTr="0038000D">
        <w:trPr>
          <w:trHeight w:val="20"/>
        </w:trPr>
        <w:tc>
          <w:tcPr>
            <w:tcW w:w="0" w:type="auto"/>
            <w:vMerge w:val="restart"/>
            <w:shd w:val="clear" w:color="auto" w:fill="auto"/>
            <w:noWrap/>
            <w:vAlign w:val="center"/>
            <w:hideMark/>
          </w:tcPr>
          <w:p w14:paraId="758CACB5" w14:textId="77777777" w:rsidR="00B723F7" w:rsidRPr="00C70B16" w:rsidRDefault="00B723F7" w:rsidP="0038000D">
            <w:pPr>
              <w:pStyle w:val="TableText0"/>
              <w:rPr>
                <w:szCs w:val="20"/>
              </w:rPr>
            </w:pPr>
            <w:r w:rsidRPr="00C70B16">
              <w:rPr>
                <w:szCs w:val="20"/>
              </w:rPr>
              <w:t>Ofatumumab</w:t>
            </w:r>
          </w:p>
          <w:p w14:paraId="208D5D69" w14:textId="3A2D43BE" w:rsidR="00B723F7" w:rsidRPr="00C70B16" w:rsidRDefault="00B723F7" w:rsidP="0038000D">
            <w:pPr>
              <w:pStyle w:val="TableText0"/>
              <w:rPr>
                <w:szCs w:val="20"/>
              </w:rPr>
            </w:pPr>
            <w:r w:rsidRPr="00C70B16">
              <w:rPr>
                <w:szCs w:val="20"/>
              </w:rPr>
              <w:t>monthly SC</w:t>
            </w:r>
          </w:p>
        </w:tc>
        <w:tc>
          <w:tcPr>
            <w:tcW w:w="528" w:type="pct"/>
            <w:vMerge w:val="restart"/>
            <w:shd w:val="clear" w:color="auto" w:fill="auto"/>
            <w:noWrap/>
            <w:vAlign w:val="center"/>
            <w:hideMark/>
          </w:tcPr>
          <w:p w14:paraId="6A453E16" w14:textId="77777777" w:rsidR="00B723F7" w:rsidRPr="00C70B16" w:rsidRDefault="00B723F7" w:rsidP="0038000D">
            <w:pPr>
              <w:pStyle w:val="TableText0"/>
              <w:jc w:val="center"/>
              <w:rPr>
                <w:szCs w:val="20"/>
              </w:rPr>
            </w:pPr>
            <w:r w:rsidRPr="00C70B16">
              <w:rPr>
                <w:szCs w:val="20"/>
              </w:rPr>
              <w:t>12</w:t>
            </w:r>
          </w:p>
        </w:tc>
        <w:tc>
          <w:tcPr>
            <w:tcW w:w="243" w:type="pct"/>
            <w:shd w:val="clear" w:color="auto" w:fill="auto"/>
            <w:noWrap/>
            <w:vAlign w:val="center"/>
            <w:hideMark/>
          </w:tcPr>
          <w:p w14:paraId="7D6BD3FD" w14:textId="77777777" w:rsidR="00B723F7" w:rsidRPr="00C70B16" w:rsidRDefault="00B723F7" w:rsidP="0038000D">
            <w:pPr>
              <w:pStyle w:val="TableText0"/>
              <w:jc w:val="center"/>
              <w:rPr>
                <w:szCs w:val="20"/>
              </w:rPr>
            </w:pPr>
            <w:r w:rsidRPr="00C70B16">
              <w:rPr>
                <w:szCs w:val="20"/>
              </w:rPr>
              <w:t>Initial</w:t>
            </w:r>
          </w:p>
        </w:tc>
        <w:tc>
          <w:tcPr>
            <w:tcW w:w="0" w:type="auto"/>
            <w:shd w:val="clear" w:color="auto" w:fill="auto"/>
            <w:noWrap/>
            <w:vAlign w:val="center"/>
            <w:hideMark/>
          </w:tcPr>
          <w:p w14:paraId="2CB096BC" w14:textId="77777777" w:rsidR="00B723F7" w:rsidRPr="00C70B16" w:rsidRDefault="00B723F7" w:rsidP="0038000D">
            <w:pPr>
              <w:pStyle w:val="TableText0"/>
              <w:jc w:val="center"/>
              <w:rPr>
                <w:szCs w:val="20"/>
              </w:rPr>
            </w:pPr>
            <w:r w:rsidRPr="00C70B16">
              <w:rPr>
                <w:szCs w:val="20"/>
              </w:rPr>
              <w:t>1,246</w:t>
            </w:r>
          </w:p>
        </w:tc>
        <w:tc>
          <w:tcPr>
            <w:tcW w:w="555" w:type="pct"/>
            <w:shd w:val="clear" w:color="auto" w:fill="auto"/>
            <w:noWrap/>
            <w:vAlign w:val="center"/>
            <w:hideMark/>
          </w:tcPr>
          <w:p w14:paraId="0D936D83" w14:textId="77777777" w:rsidR="00B723F7" w:rsidRPr="00C70B16" w:rsidRDefault="00B723F7" w:rsidP="0038000D">
            <w:pPr>
              <w:pStyle w:val="TableText0"/>
              <w:jc w:val="center"/>
              <w:rPr>
                <w:szCs w:val="20"/>
              </w:rPr>
            </w:pPr>
            <w:r w:rsidRPr="00C70B16">
              <w:rPr>
                <w:szCs w:val="20"/>
              </w:rPr>
              <w:t>1</w:t>
            </w:r>
          </w:p>
        </w:tc>
        <w:tc>
          <w:tcPr>
            <w:tcW w:w="409" w:type="pct"/>
            <w:shd w:val="clear" w:color="auto" w:fill="auto"/>
            <w:noWrap/>
            <w:vAlign w:val="center"/>
            <w:hideMark/>
          </w:tcPr>
          <w:p w14:paraId="6BDCEB71" w14:textId="77777777" w:rsidR="00B723F7" w:rsidRPr="00C70B16" w:rsidRDefault="00B723F7" w:rsidP="0038000D">
            <w:pPr>
              <w:pStyle w:val="TableText0"/>
              <w:jc w:val="center"/>
              <w:rPr>
                <w:szCs w:val="20"/>
              </w:rPr>
            </w:pPr>
            <w:r w:rsidRPr="00C70B16">
              <w:rPr>
                <w:szCs w:val="20"/>
              </w:rPr>
              <w:t>1,246</w:t>
            </w:r>
          </w:p>
        </w:tc>
        <w:tc>
          <w:tcPr>
            <w:tcW w:w="309" w:type="pct"/>
            <w:vMerge w:val="restart"/>
            <w:shd w:val="clear" w:color="auto" w:fill="auto"/>
            <w:noWrap/>
            <w:vAlign w:val="center"/>
            <w:hideMark/>
          </w:tcPr>
          <w:p w14:paraId="15413861" w14:textId="77777777" w:rsidR="00B723F7" w:rsidRPr="00C70B16" w:rsidRDefault="00B723F7" w:rsidP="0038000D">
            <w:pPr>
              <w:pStyle w:val="TableText0"/>
              <w:jc w:val="center"/>
              <w:rPr>
                <w:szCs w:val="20"/>
              </w:rPr>
            </w:pPr>
            <w:r w:rsidRPr="00C70B16">
              <w:rPr>
                <w:szCs w:val="20"/>
              </w:rPr>
              <w:t>26,286</w:t>
            </w:r>
          </w:p>
        </w:tc>
        <w:tc>
          <w:tcPr>
            <w:tcW w:w="390" w:type="pct"/>
            <w:vMerge w:val="restart"/>
            <w:shd w:val="clear" w:color="auto" w:fill="auto"/>
            <w:noWrap/>
            <w:vAlign w:val="center"/>
            <w:hideMark/>
          </w:tcPr>
          <w:p w14:paraId="021C8B21" w14:textId="1964C5D3" w:rsidR="00B723F7" w:rsidRPr="00C70B16" w:rsidRDefault="00B723F7" w:rsidP="0038000D">
            <w:pPr>
              <w:pStyle w:val="TableText0"/>
              <w:jc w:val="center"/>
              <w:rPr>
                <w:szCs w:val="20"/>
              </w:rPr>
            </w:pPr>
            <w:r w:rsidRPr="00C70B16">
              <w:rPr>
                <w:szCs w:val="20"/>
              </w:rPr>
              <w:t>2,191</w:t>
            </w:r>
          </w:p>
        </w:tc>
        <w:tc>
          <w:tcPr>
            <w:tcW w:w="390" w:type="pct"/>
            <w:vMerge w:val="restart"/>
            <w:shd w:val="clear" w:color="auto" w:fill="auto"/>
            <w:noWrap/>
            <w:vAlign w:val="center"/>
            <w:hideMark/>
          </w:tcPr>
          <w:p w14:paraId="1C1212B5" w14:textId="77777777" w:rsidR="00B723F7" w:rsidRPr="00C70B16" w:rsidRDefault="00B723F7" w:rsidP="0038000D">
            <w:pPr>
              <w:pStyle w:val="TableText0"/>
              <w:jc w:val="center"/>
              <w:rPr>
                <w:szCs w:val="20"/>
              </w:rPr>
            </w:pPr>
            <w:r w:rsidRPr="00C70B16">
              <w:rPr>
                <w:szCs w:val="20"/>
              </w:rPr>
              <w:t>18%</w:t>
            </w:r>
          </w:p>
        </w:tc>
        <w:tc>
          <w:tcPr>
            <w:tcW w:w="691" w:type="pct"/>
            <w:vMerge w:val="restart"/>
            <w:shd w:val="clear" w:color="auto" w:fill="auto"/>
            <w:noWrap/>
            <w:vAlign w:val="center"/>
            <w:hideMark/>
          </w:tcPr>
          <w:p w14:paraId="7C64798D" w14:textId="20BA23A5" w:rsidR="00B723F7" w:rsidRPr="005C2190" w:rsidRDefault="00B723F7" w:rsidP="0038000D">
            <w:pPr>
              <w:pStyle w:val="TableText0"/>
              <w:jc w:val="center"/>
              <w:rPr>
                <w:szCs w:val="20"/>
              </w:rPr>
            </w:pPr>
            <w:r w:rsidRPr="005C2190">
              <w:rPr>
                <w:szCs w:val="20"/>
              </w:rPr>
              <w:t>$4,235.22</w:t>
            </w:r>
          </w:p>
        </w:tc>
        <w:tc>
          <w:tcPr>
            <w:tcW w:w="611" w:type="pct"/>
            <w:vMerge/>
            <w:vAlign w:val="center"/>
            <w:hideMark/>
          </w:tcPr>
          <w:p w14:paraId="35981839" w14:textId="77777777" w:rsidR="00B723F7" w:rsidRPr="00C70B16" w:rsidRDefault="00B723F7" w:rsidP="0038000D">
            <w:pPr>
              <w:pStyle w:val="TableText0"/>
              <w:jc w:val="center"/>
              <w:rPr>
                <w:szCs w:val="20"/>
              </w:rPr>
            </w:pPr>
          </w:p>
        </w:tc>
      </w:tr>
      <w:tr w:rsidR="0038000D" w:rsidRPr="00334A6B" w14:paraId="78FC691E" w14:textId="77777777" w:rsidTr="0038000D">
        <w:trPr>
          <w:trHeight w:val="20"/>
        </w:trPr>
        <w:tc>
          <w:tcPr>
            <w:tcW w:w="0" w:type="auto"/>
            <w:vMerge/>
            <w:vAlign w:val="center"/>
            <w:hideMark/>
          </w:tcPr>
          <w:p w14:paraId="08EFC27D" w14:textId="77777777" w:rsidR="00B723F7" w:rsidRPr="00C70B16" w:rsidRDefault="00B723F7" w:rsidP="0038000D">
            <w:pPr>
              <w:pStyle w:val="TableText0"/>
              <w:rPr>
                <w:szCs w:val="20"/>
              </w:rPr>
            </w:pPr>
          </w:p>
        </w:tc>
        <w:tc>
          <w:tcPr>
            <w:tcW w:w="528" w:type="pct"/>
            <w:vMerge/>
            <w:vAlign w:val="center"/>
            <w:hideMark/>
          </w:tcPr>
          <w:p w14:paraId="7104F9BE" w14:textId="77777777" w:rsidR="00B723F7" w:rsidRPr="00C70B16" w:rsidRDefault="00B723F7" w:rsidP="0038000D">
            <w:pPr>
              <w:pStyle w:val="TableText0"/>
              <w:jc w:val="center"/>
              <w:rPr>
                <w:szCs w:val="20"/>
              </w:rPr>
            </w:pPr>
          </w:p>
        </w:tc>
        <w:tc>
          <w:tcPr>
            <w:tcW w:w="243" w:type="pct"/>
            <w:shd w:val="clear" w:color="auto" w:fill="auto"/>
            <w:noWrap/>
            <w:vAlign w:val="center"/>
            <w:hideMark/>
          </w:tcPr>
          <w:p w14:paraId="66EDE109" w14:textId="74B60B04" w:rsidR="00B723F7" w:rsidRPr="00C70B16" w:rsidRDefault="00445FC7" w:rsidP="0038000D">
            <w:pPr>
              <w:pStyle w:val="TableText0"/>
              <w:jc w:val="center"/>
              <w:rPr>
                <w:szCs w:val="20"/>
              </w:rPr>
            </w:pPr>
            <w:proofErr w:type="spellStart"/>
            <w:r w:rsidRPr="00C70B16">
              <w:rPr>
                <w:szCs w:val="20"/>
              </w:rPr>
              <w:t>Con</w:t>
            </w:r>
            <w:r w:rsidR="00F304ED" w:rsidRPr="00C70B16">
              <w:rPr>
                <w:szCs w:val="20"/>
              </w:rPr>
              <w:t>t</w:t>
            </w:r>
            <w:proofErr w:type="spellEnd"/>
          </w:p>
        </w:tc>
        <w:tc>
          <w:tcPr>
            <w:tcW w:w="0" w:type="auto"/>
            <w:shd w:val="clear" w:color="auto" w:fill="auto"/>
            <w:noWrap/>
            <w:vAlign w:val="center"/>
            <w:hideMark/>
          </w:tcPr>
          <w:p w14:paraId="4EDF0F94" w14:textId="77777777" w:rsidR="00B723F7" w:rsidRPr="00C70B16" w:rsidRDefault="00B723F7" w:rsidP="0038000D">
            <w:pPr>
              <w:pStyle w:val="TableText0"/>
              <w:jc w:val="center"/>
              <w:rPr>
                <w:szCs w:val="20"/>
              </w:rPr>
            </w:pPr>
            <w:r w:rsidRPr="00C70B16">
              <w:rPr>
                <w:szCs w:val="20"/>
              </w:rPr>
              <w:t>25,040</w:t>
            </w:r>
          </w:p>
        </w:tc>
        <w:tc>
          <w:tcPr>
            <w:tcW w:w="555" w:type="pct"/>
            <w:shd w:val="clear" w:color="auto" w:fill="auto"/>
            <w:noWrap/>
            <w:vAlign w:val="center"/>
            <w:hideMark/>
          </w:tcPr>
          <w:p w14:paraId="5E657D86" w14:textId="77777777" w:rsidR="00B723F7" w:rsidRPr="00C70B16" w:rsidRDefault="00B723F7" w:rsidP="0038000D">
            <w:pPr>
              <w:pStyle w:val="TableText0"/>
              <w:jc w:val="center"/>
              <w:rPr>
                <w:szCs w:val="20"/>
              </w:rPr>
            </w:pPr>
            <w:r w:rsidRPr="00C70B16">
              <w:rPr>
                <w:szCs w:val="20"/>
              </w:rPr>
              <w:t>1</w:t>
            </w:r>
          </w:p>
        </w:tc>
        <w:tc>
          <w:tcPr>
            <w:tcW w:w="409" w:type="pct"/>
            <w:shd w:val="clear" w:color="auto" w:fill="auto"/>
            <w:noWrap/>
            <w:vAlign w:val="center"/>
            <w:hideMark/>
          </w:tcPr>
          <w:p w14:paraId="768D78EF" w14:textId="77777777" w:rsidR="00B723F7" w:rsidRPr="00C70B16" w:rsidRDefault="00B723F7" w:rsidP="0038000D">
            <w:pPr>
              <w:pStyle w:val="TableText0"/>
              <w:jc w:val="center"/>
              <w:rPr>
                <w:szCs w:val="20"/>
              </w:rPr>
            </w:pPr>
            <w:r w:rsidRPr="00C70B16">
              <w:rPr>
                <w:szCs w:val="20"/>
              </w:rPr>
              <w:t>25,040</w:t>
            </w:r>
          </w:p>
        </w:tc>
        <w:tc>
          <w:tcPr>
            <w:tcW w:w="309" w:type="pct"/>
            <w:vMerge/>
            <w:vAlign w:val="center"/>
            <w:hideMark/>
          </w:tcPr>
          <w:p w14:paraId="2C65614F" w14:textId="77777777" w:rsidR="00B723F7" w:rsidRPr="00C70B16" w:rsidRDefault="00B723F7" w:rsidP="0038000D">
            <w:pPr>
              <w:pStyle w:val="TableText0"/>
              <w:jc w:val="center"/>
              <w:rPr>
                <w:szCs w:val="20"/>
              </w:rPr>
            </w:pPr>
          </w:p>
        </w:tc>
        <w:tc>
          <w:tcPr>
            <w:tcW w:w="390" w:type="pct"/>
            <w:vMerge/>
            <w:vAlign w:val="center"/>
            <w:hideMark/>
          </w:tcPr>
          <w:p w14:paraId="4852F089" w14:textId="77777777" w:rsidR="00B723F7" w:rsidRPr="00C70B16" w:rsidRDefault="00B723F7" w:rsidP="0038000D">
            <w:pPr>
              <w:pStyle w:val="TableText0"/>
              <w:jc w:val="center"/>
              <w:rPr>
                <w:szCs w:val="20"/>
              </w:rPr>
            </w:pPr>
          </w:p>
        </w:tc>
        <w:tc>
          <w:tcPr>
            <w:tcW w:w="390" w:type="pct"/>
            <w:vMerge/>
            <w:vAlign w:val="center"/>
            <w:hideMark/>
          </w:tcPr>
          <w:p w14:paraId="30E293A2" w14:textId="77777777" w:rsidR="00B723F7" w:rsidRPr="00C70B16" w:rsidRDefault="00B723F7" w:rsidP="0038000D">
            <w:pPr>
              <w:pStyle w:val="TableText0"/>
              <w:jc w:val="center"/>
              <w:rPr>
                <w:szCs w:val="20"/>
              </w:rPr>
            </w:pPr>
          </w:p>
        </w:tc>
        <w:tc>
          <w:tcPr>
            <w:tcW w:w="691" w:type="pct"/>
            <w:vMerge/>
            <w:vAlign w:val="center"/>
            <w:hideMark/>
          </w:tcPr>
          <w:p w14:paraId="7F467BD9" w14:textId="77777777" w:rsidR="00B723F7" w:rsidRPr="00C70B16" w:rsidRDefault="00B723F7" w:rsidP="0038000D">
            <w:pPr>
              <w:pStyle w:val="TableText0"/>
              <w:jc w:val="center"/>
              <w:rPr>
                <w:szCs w:val="20"/>
              </w:rPr>
            </w:pPr>
          </w:p>
        </w:tc>
        <w:tc>
          <w:tcPr>
            <w:tcW w:w="611" w:type="pct"/>
            <w:vMerge/>
            <w:vAlign w:val="center"/>
            <w:hideMark/>
          </w:tcPr>
          <w:p w14:paraId="4E0A3768" w14:textId="77777777" w:rsidR="00B723F7" w:rsidRPr="00C70B16" w:rsidRDefault="00B723F7" w:rsidP="0038000D">
            <w:pPr>
              <w:pStyle w:val="TableText0"/>
              <w:jc w:val="center"/>
              <w:rPr>
                <w:szCs w:val="20"/>
              </w:rPr>
            </w:pPr>
          </w:p>
        </w:tc>
      </w:tr>
      <w:tr w:rsidR="0038000D" w:rsidRPr="00334A6B" w14:paraId="62CB5D97" w14:textId="77777777" w:rsidTr="0038000D">
        <w:trPr>
          <w:trHeight w:val="20"/>
        </w:trPr>
        <w:tc>
          <w:tcPr>
            <w:tcW w:w="0" w:type="auto"/>
            <w:shd w:val="clear" w:color="auto" w:fill="auto"/>
            <w:noWrap/>
            <w:vAlign w:val="center"/>
            <w:hideMark/>
          </w:tcPr>
          <w:p w14:paraId="5EB8FA9C" w14:textId="77777777" w:rsidR="00B723F7" w:rsidRPr="00C70B16" w:rsidRDefault="00B723F7" w:rsidP="0038000D">
            <w:pPr>
              <w:pStyle w:val="TableText0"/>
              <w:rPr>
                <w:szCs w:val="20"/>
              </w:rPr>
            </w:pPr>
            <w:r w:rsidRPr="00C70B16">
              <w:rPr>
                <w:szCs w:val="20"/>
              </w:rPr>
              <w:t>Fingolimod</w:t>
            </w:r>
          </w:p>
          <w:p w14:paraId="38DC60E7" w14:textId="1178B4B3" w:rsidR="00B723F7" w:rsidRPr="00C70B16" w:rsidRDefault="00B723F7" w:rsidP="0038000D">
            <w:pPr>
              <w:pStyle w:val="TableText0"/>
              <w:rPr>
                <w:szCs w:val="20"/>
              </w:rPr>
            </w:pPr>
            <w:r w:rsidRPr="00C70B16">
              <w:rPr>
                <w:szCs w:val="20"/>
              </w:rPr>
              <w:t>daily oral</w:t>
            </w:r>
          </w:p>
        </w:tc>
        <w:tc>
          <w:tcPr>
            <w:tcW w:w="528" w:type="pct"/>
            <w:shd w:val="clear" w:color="auto" w:fill="auto"/>
            <w:noWrap/>
            <w:vAlign w:val="center"/>
            <w:hideMark/>
          </w:tcPr>
          <w:p w14:paraId="797E44A6" w14:textId="77777777" w:rsidR="00B723F7" w:rsidRPr="00C70B16" w:rsidRDefault="00B723F7" w:rsidP="0038000D">
            <w:pPr>
              <w:pStyle w:val="TableText0"/>
              <w:jc w:val="center"/>
              <w:rPr>
                <w:szCs w:val="20"/>
              </w:rPr>
            </w:pPr>
            <w:r w:rsidRPr="00C70B16">
              <w:rPr>
                <w:szCs w:val="20"/>
              </w:rPr>
              <w:t>13.04</w:t>
            </w:r>
          </w:p>
        </w:tc>
        <w:tc>
          <w:tcPr>
            <w:tcW w:w="243" w:type="pct"/>
            <w:shd w:val="clear" w:color="auto" w:fill="auto"/>
            <w:noWrap/>
            <w:vAlign w:val="center"/>
            <w:hideMark/>
          </w:tcPr>
          <w:p w14:paraId="7C1C8020" w14:textId="77777777" w:rsidR="00B723F7" w:rsidRPr="00C70B16" w:rsidRDefault="00B723F7" w:rsidP="0038000D">
            <w:pPr>
              <w:pStyle w:val="TableText0"/>
              <w:jc w:val="center"/>
              <w:rPr>
                <w:szCs w:val="20"/>
              </w:rPr>
            </w:pPr>
            <w:r w:rsidRPr="00C70B16">
              <w:rPr>
                <w:szCs w:val="20"/>
              </w:rPr>
              <w:t>All</w:t>
            </w:r>
          </w:p>
        </w:tc>
        <w:tc>
          <w:tcPr>
            <w:tcW w:w="0" w:type="auto"/>
            <w:shd w:val="clear" w:color="auto" w:fill="auto"/>
            <w:noWrap/>
            <w:vAlign w:val="center"/>
            <w:hideMark/>
          </w:tcPr>
          <w:p w14:paraId="6C6C3426" w14:textId="77777777" w:rsidR="00B723F7" w:rsidRPr="00C70B16" w:rsidRDefault="00B723F7" w:rsidP="0038000D">
            <w:pPr>
              <w:pStyle w:val="TableText0"/>
              <w:jc w:val="center"/>
              <w:rPr>
                <w:szCs w:val="20"/>
              </w:rPr>
            </w:pPr>
            <w:r w:rsidRPr="00C70B16">
              <w:rPr>
                <w:szCs w:val="20"/>
              </w:rPr>
              <w:t>37,233</w:t>
            </w:r>
          </w:p>
        </w:tc>
        <w:tc>
          <w:tcPr>
            <w:tcW w:w="555" w:type="pct"/>
            <w:shd w:val="clear" w:color="auto" w:fill="auto"/>
            <w:noWrap/>
            <w:vAlign w:val="center"/>
            <w:hideMark/>
          </w:tcPr>
          <w:p w14:paraId="0E197EA2" w14:textId="77777777" w:rsidR="00B723F7" w:rsidRPr="00C70B16" w:rsidRDefault="00B723F7" w:rsidP="0038000D">
            <w:pPr>
              <w:pStyle w:val="TableText0"/>
              <w:jc w:val="center"/>
              <w:rPr>
                <w:szCs w:val="20"/>
              </w:rPr>
            </w:pPr>
            <w:r w:rsidRPr="00C70B16">
              <w:rPr>
                <w:szCs w:val="20"/>
              </w:rPr>
              <w:t>0.92</w:t>
            </w:r>
          </w:p>
        </w:tc>
        <w:tc>
          <w:tcPr>
            <w:tcW w:w="719" w:type="pct"/>
            <w:gridSpan w:val="2"/>
            <w:shd w:val="clear" w:color="auto" w:fill="auto"/>
            <w:noWrap/>
            <w:vAlign w:val="center"/>
            <w:hideMark/>
          </w:tcPr>
          <w:p w14:paraId="031BC4D4" w14:textId="77777777" w:rsidR="00B723F7" w:rsidRPr="00C70B16" w:rsidRDefault="00B723F7" w:rsidP="0038000D">
            <w:pPr>
              <w:pStyle w:val="TableText0"/>
              <w:jc w:val="center"/>
              <w:rPr>
                <w:szCs w:val="20"/>
              </w:rPr>
            </w:pPr>
            <w:r w:rsidRPr="00C70B16">
              <w:rPr>
                <w:szCs w:val="20"/>
              </w:rPr>
              <w:t>34,275</w:t>
            </w:r>
          </w:p>
        </w:tc>
        <w:tc>
          <w:tcPr>
            <w:tcW w:w="390" w:type="pct"/>
            <w:shd w:val="clear" w:color="auto" w:fill="auto"/>
            <w:noWrap/>
            <w:vAlign w:val="center"/>
            <w:hideMark/>
          </w:tcPr>
          <w:p w14:paraId="5B5AA06D" w14:textId="4A05E035" w:rsidR="00B723F7" w:rsidRPr="00C70B16" w:rsidRDefault="00B723F7" w:rsidP="0038000D">
            <w:pPr>
              <w:pStyle w:val="TableText0"/>
              <w:jc w:val="center"/>
              <w:rPr>
                <w:szCs w:val="20"/>
              </w:rPr>
            </w:pPr>
            <w:r w:rsidRPr="00C70B16">
              <w:rPr>
                <w:szCs w:val="20"/>
              </w:rPr>
              <w:t>2,856</w:t>
            </w:r>
          </w:p>
        </w:tc>
        <w:tc>
          <w:tcPr>
            <w:tcW w:w="390" w:type="pct"/>
            <w:shd w:val="clear" w:color="auto" w:fill="auto"/>
            <w:noWrap/>
            <w:vAlign w:val="center"/>
            <w:hideMark/>
          </w:tcPr>
          <w:p w14:paraId="3EC96445" w14:textId="77777777" w:rsidR="00B723F7" w:rsidRPr="00C70B16" w:rsidRDefault="00B723F7" w:rsidP="0038000D">
            <w:pPr>
              <w:pStyle w:val="TableText0"/>
              <w:jc w:val="center"/>
              <w:rPr>
                <w:szCs w:val="20"/>
              </w:rPr>
            </w:pPr>
            <w:r w:rsidRPr="00C70B16">
              <w:rPr>
                <w:szCs w:val="20"/>
              </w:rPr>
              <w:t>24%</w:t>
            </w:r>
          </w:p>
        </w:tc>
        <w:tc>
          <w:tcPr>
            <w:tcW w:w="691" w:type="pct"/>
            <w:shd w:val="clear" w:color="auto" w:fill="auto"/>
            <w:noWrap/>
            <w:vAlign w:val="center"/>
            <w:hideMark/>
          </w:tcPr>
          <w:p w14:paraId="4F188069" w14:textId="6F0CFC59" w:rsidR="00B723F7" w:rsidRPr="00C70B16" w:rsidRDefault="00B723F7" w:rsidP="0038000D">
            <w:pPr>
              <w:pStyle w:val="TableText0"/>
              <w:jc w:val="center"/>
              <w:rPr>
                <w:szCs w:val="20"/>
              </w:rPr>
            </w:pPr>
            <w:r w:rsidRPr="00C70B16">
              <w:rPr>
                <w:szCs w:val="20"/>
              </w:rPr>
              <w:t>$</w:t>
            </w:r>
            <w:r w:rsidR="001F633E" w:rsidRPr="001F633E">
              <w:rPr>
                <w:color w:val="000000"/>
                <w:spacing w:val="53"/>
                <w:szCs w:val="20"/>
                <w:shd w:val="solid" w:color="000000" w:fill="000000"/>
                <w:fitText w:val="330" w:id="-663554302"/>
                <w14:textFill>
                  <w14:solidFill>
                    <w14:srgbClr w14:val="000000">
                      <w14:alpha w14:val="100000"/>
                    </w14:srgbClr>
                  </w14:solidFill>
                </w14:textFill>
              </w:rPr>
              <w:t>|||</w:t>
            </w:r>
            <w:r w:rsidR="001F633E" w:rsidRPr="001F633E">
              <w:rPr>
                <w:color w:val="000000"/>
                <w:spacing w:val="1"/>
                <w:szCs w:val="20"/>
                <w:shd w:val="solid" w:color="000000" w:fill="000000"/>
                <w:fitText w:val="330" w:id="-663554302"/>
                <w14:textFill>
                  <w14:solidFill>
                    <w14:srgbClr w14:val="000000">
                      <w14:alpha w14:val="100000"/>
                    </w14:srgbClr>
                  </w14:solidFill>
                </w14:textFill>
              </w:rPr>
              <w:t>|</w:t>
            </w:r>
          </w:p>
        </w:tc>
        <w:tc>
          <w:tcPr>
            <w:tcW w:w="611" w:type="pct"/>
            <w:vMerge/>
            <w:vAlign w:val="center"/>
            <w:hideMark/>
          </w:tcPr>
          <w:p w14:paraId="7A0311B6" w14:textId="77777777" w:rsidR="00B723F7" w:rsidRPr="00C70B16" w:rsidRDefault="00B723F7" w:rsidP="0038000D">
            <w:pPr>
              <w:pStyle w:val="TableText0"/>
              <w:jc w:val="center"/>
              <w:rPr>
                <w:szCs w:val="20"/>
              </w:rPr>
            </w:pPr>
          </w:p>
        </w:tc>
      </w:tr>
      <w:tr w:rsidR="0038000D" w:rsidRPr="00334A6B" w14:paraId="30E7085F" w14:textId="77777777" w:rsidTr="0038000D">
        <w:trPr>
          <w:trHeight w:val="454"/>
        </w:trPr>
        <w:tc>
          <w:tcPr>
            <w:tcW w:w="0" w:type="auto"/>
            <w:shd w:val="clear" w:color="auto" w:fill="auto"/>
            <w:noWrap/>
            <w:vAlign w:val="center"/>
            <w:hideMark/>
          </w:tcPr>
          <w:p w14:paraId="54228DD6" w14:textId="141B07C6" w:rsidR="00B723F7" w:rsidRPr="00C70B16" w:rsidRDefault="00B723F7" w:rsidP="0038000D">
            <w:pPr>
              <w:pStyle w:val="TableText0"/>
              <w:rPr>
                <w:szCs w:val="20"/>
              </w:rPr>
            </w:pPr>
            <w:r w:rsidRPr="00C70B16">
              <w:rPr>
                <w:szCs w:val="20"/>
              </w:rPr>
              <w:t>Total</w:t>
            </w:r>
          </w:p>
        </w:tc>
        <w:tc>
          <w:tcPr>
            <w:tcW w:w="528" w:type="pct"/>
            <w:shd w:val="clear" w:color="auto" w:fill="auto"/>
            <w:noWrap/>
            <w:vAlign w:val="center"/>
            <w:hideMark/>
          </w:tcPr>
          <w:p w14:paraId="4CA81B4A" w14:textId="011C66CC" w:rsidR="00B723F7" w:rsidRPr="00C70B16" w:rsidRDefault="00B723F7" w:rsidP="0038000D">
            <w:pPr>
              <w:pStyle w:val="TableText0"/>
              <w:jc w:val="center"/>
              <w:rPr>
                <w:szCs w:val="20"/>
              </w:rPr>
            </w:pPr>
          </w:p>
        </w:tc>
        <w:tc>
          <w:tcPr>
            <w:tcW w:w="243" w:type="pct"/>
            <w:shd w:val="clear" w:color="auto" w:fill="auto"/>
            <w:noWrap/>
            <w:vAlign w:val="center"/>
            <w:hideMark/>
          </w:tcPr>
          <w:p w14:paraId="682BC9D6" w14:textId="39A04413" w:rsidR="00B723F7" w:rsidRPr="00C70B16" w:rsidRDefault="00B723F7" w:rsidP="0038000D">
            <w:pPr>
              <w:pStyle w:val="TableText0"/>
              <w:jc w:val="center"/>
              <w:rPr>
                <w:szCs w:val="20"/>
              </w:rPr>
            </w:pPr>
          </w:p>
        </w:tc>
        <w:tc>
          <w:tcPr>
            <w:tcW w:w="0" w:type="auto"/>
            <w:shd w:val="clear" w:color="auto" w:fill="auto"/>
            <w:noWrap/>
            <w:vAlign w:val="center"/>
            <w:hideMark/>
          </w:tcPr>
          <w:p w14:paraId="72EAFC6B" w14:textId="77777777" w:rsidR="00B723F7" w:rsidRPr="00C70B16" w:rsidRDefault="00B723F7" w:rsidP="0038000D">
            <w:pPr>
              <w:pStyle w:val="TableText0"/>
              <w:jc w:val="center"/>
              <w:rPr>
                <w:szCs w:val="20"/>
              </w:rPr>
            </w:pPr>
            <w:r w:rsidRPr="00C70B16">
              <w:rPr>
                <w:szCs w:val="20"/>
              </w:rPr>
              <w:t>77,249</w:t>
            </w:r>
          </w:p>
        </w:tc>
        <w:tc>
          <w:tcPr>
            <w:tcW w:w="555" w:type="pct"/>
            <w:shd w:val="clear" w:color="auto" w:fill="auto"/>
            <w:noWrap/>
            <w:vAlign w:val="center"/>
            <w:hideMark/>
          </w:tcPr>
          <w:p w14:paraId="3BE2815E" w14:textId="54606DEF" w:rsidR="00B723F7" w:rsidRPr="00C70B16" w:rsidRDefault="00B723F7" w:rsidP="0038000D">
            <w:pPr>
              <w:pStyle w:val="TableText0"/>
              <w:jc w:val="center"/>
              <w:rPr>
                <w:szCs w:val="20"/>
              </w:rPr>
            </w:pPr>
          </w:p>
        </w:tc>
        <w:tc>
          <w:tcPr>
            <w:tcW w:w="719" w:type="pct"/>
            <w:gridSpan w:val="2"/>
            <w:shd w:val="clear" w:color="auto" w:fill="auto"/>
            <w:noWrap/>
            <w:vAlign w:val="center"/>
            <w:hideMark/>
          </w:tcPr>
          <w:p w14:paraId="7B89CD95" w14:textId="77777777" w:rsidR="00B723F7" w:rsidRPr="00C70B16" w:rsidRDefault="00B723F7" w:rsidP="0038000D">
            <w:pPr>
              <w:pStyle w:val="TableText0"/>
              <w:jc w:val="center"/>
              <w:rPr>
                <w:szCs w:val="20"/>
              </w:rPr>
            </w:pPr>
            <w:r w:rsidRPr="00C70B16">
              <w:rPr>
                <w:szCs w:val="20"/>
              </w:rPr>
              <w:t>142,941</w:t>
            </w:r>
          </w:p>
        </w:tc>
        <w:tc>
          <w:tcPr>
            <w:tcW w:w="390" w:type="pct"/>
            <w:shd w:val="clear" w:color="auto" w:fill="auto"/>
            <w:noWrap/>
            <w:vAlign w:val="center"/>
            <w:hideMark/>
          </w:tcPr>
          <w:p w14:paraId="70A0D68B" w14:textId="5E771FB4" w:rsidR="00B723F7" w:rsidRPr="00C70B16" w:rsidRDefault="00B723F7" w:rsidP="0038000D">
            <w:pPr>
              <w:pStyle w:val="TableText0"/>
              <w:jc w:val="center"/>
              <w:rPr>
                <w:szCs w:val="20"/>
              </w:rPr>
            </w:pPr>
            <w:r w:rsidRPr="00C70B16">
              <w:rPr>
                <w:szCs w:val="20"/>
              </w:rPr>
              <w:t>11,912</w:t>
            </w:r>
          </w:p>
        </w:tc>
        <w:tc>
          <w:tcPr>
            <w:tcW w:w="390" w:type="pct"/>
            <w:shd w:val="clear" w:color="auto" w:fill="auto"/>
            <w:noWrap/>
            <w:vAlign w:val="center"/>
            <w:hideMark/>
          </w:tcPr>
          <w:p w14:paraId="655397A4" w14:textId="77777777" w:rsidR="00B723F7" w:rsidRPr="00C70B16" w:rsidRDefault="00B723F7" w:rsidP="0038000D">
            <w:pPr>
              <w:pStyle w:val="TableText0"/>
              <w:jc w:val="center"/>
              <w:rPr>
                <w:szCs w:val="20"/>
              </w:rPr>
            </w:pPr>
            <w:r w:rsidRPr="00C70B16">
              <w:rPr>
                <w:szCs w:val="20"/>
              </w:rPr>
              <w:t>100%</w:t>
            </w:r>
          </w:p>
        </w:tc>
        <w:tc>
          <w:tcPr>
            <w:tcW w:w="691" w:type="pct"/>
            <w:shd w:val="clear" w:color="auto" w:fill="auto"/>
            <w:noWrap/>
            <w:vAlign w:val="center"/>
            <w:hideMark/>
          </w:tcPr>
          <w:p w14:paraId="52ED663D" w14:textId="126657BF" w:rsidR="00B723F7" w:rsidRPr="00C70B16" w:rsidRDefault="00B723F7" w:rsidP="0038000D">
            <w:pPr>
              <w:pStyle w:val="TableText0"/>
              <w:jc w:val="center"/>
              <w:rPr>
                <w:szCs w:val="20"/>
              </w:rPr>
            </w:pPr>
          </w:p>
        </w:tc>
        <w:tc>
          <w:tcPr>
            <w:tcW w:w="611" w:type="pct"/>
            <w:shd w:val="clear" w:color="auto" w:fill="auto"/>
            <w:noWrap/>
            <w:vAlign w:val="center"/>
            <w:hideMark/>
          </w:tcPr>
          <w:p w14:paraId="78780F11" w14:textId="7B40FFC4" w:rsidR="00B723F7" w:rsidRPr="00C70B16" w:rsidRDefault="00B723F7" w:rsidP="0038000D">
            <w:pPr>
              <w:pStyle w:val="TableText0"/>
              <w:jc w:val="center"/>
              <w:rPr>
                <w:szCs w:val="20"/>
              </w:rPr>
            </w:pPr>
          </w:p>
        </w:tc>
      </w:tr>
    </w:tbl>
    <w:p w14:paraId="52BAF504" w14:textId="7A1F496C" w:rsidR="000B0097" w:rsidRPr="00334A6B" w:rsidRDefault="00AE372A" w:rsidP="00AE372A">
      <w:pPr>
        <w:pStyle w:val="TableFooter"/>
      </w:pPr>
      <w:r w:rsidRPr="00334A6B">
        <w:t>Source: Table 3.5, p 175 of the submission.</w:t>
      </w:r>
    </w:p>
    <w:p w14:paraId="6609E7A6" w14:textId="54FB2BB3" w:rsidR="006D0165" w:rsidRPr="00334A6B" w:rsidRDefault="001E2F24" w:rsidP="001E26A0">
      <w:pPr>
        <w:pStyle w:val="3-BodyText"/>
      </w:pPr>
      <w:r w:rsidRPr="00334A6B">
        <w:t xml:space="preserve">Should the PBAC accept the clinical claim of overall non-inferior effectiveness and safety, the cost-minimisation approach must establish that the cost per patient for treatment with </w:t>
      </w:r>
      <w:r w:rsidR="00355B07" w:rsidRPr="00334A6B">
        <w:t>u</w:t>
      </w:r>
      <w:r w:rsidR="00E96034" w:rsidRPr="00334A6B">
        <w:t>b</w:t>
      </w:r>
      <w:r w:rsidR="00355B07" w:rsidRPr="00334A6B">
        <w:t>lituximab</w:t>
      </w:r>
      <w:r w:rsidRPr="00334A6B">
        <w:t xml:space="preserve"> would be no more than the cost per patient of </w:t>
      </w:r>
      <w:r w:rsidR="00DB2992" w:rsidRPr="00334A6B">
        <w:t>the alternative therapies, which includes the nominated comparators of ocrelizumab, ofatumumab and fingolimod and may also include other high efficacy tier drugs including natalizumab, alemtuzumab, cladribine</w:t>
      </w:r>
      <w:r w:rsidR="00630C7A" w:rsidRPr="00334A6B">
        <w:t xml:space="preserve"> and ozanimod</w:t>
      </w:r>
      <w:r w:rsidR="00355B07" w:rsidRPr="00334A6B">
        <w:t>.</w:t>
      </w:r>
      <w:r w:rsidRPr="00334A6B">
        <w:t xml:space="preserve"> Where these cost per patient calculations are uncertain, the guiding principle is that the Australian </w:t>
      </w:r>
      <w:r w:rsidRPr="00334A6B">
        <w:lastRenderedPageBreak/>
        <w:t>Government should not bear the financial risk of this uncertainty because the Australian population already has access to therapy that is at least as effective and safe.</w:t>
      </w:r>
      <w:r w:rsidR="002A7943" w:rsidRPr="00334A6B">
        <w:t xml:space="preserve"> </w:t>
      </w:r>
    </w:p>
    <w:p w14:paraId="57BF8CBD" w14:textId="5C8E8F85" w:rsidR="00DE4273" w:rsidRDefault="00355B07" w:rsidP="58C81D04">
      <w:pPr>
        <w:pStyle w:val="3-BodyText"/>
      </w:pPr>
      <w:r w:rsidRPr="00334A6B">
        <w:t>N</w:t>
      </w:r>
      <w:r w:rsidR="00DE4273" w:rsidRPr="00334A6B">
        <w:t>o</w:t>
      </w:r>
      <w:r w:rsidR="006C04D4" w:rsidRPr="00334A6B">
        <w:t xml:space="preserve"> compelling</w:t>
      </w:r>
      <w:r w:rsidR="00DE4273" w:rsidRPr="00334A6B">
        <w:t xml:space="preserve"> evidence was provided that </w:t>
      </w:r>
      <w:r w:rsidRPr="00334A6B">
        <w:t>ublituximab</w:t>
      </w:r>
      <w:r w:rsidR="00DE4273" w:rsidRPr="00334A6B">
        <w:t xml:space="preserve"> provides a significant improvement in efficacy and/or safety over </w:t>
      </w:r>
      <w:r w:rsidR="00812FFE" w:rsidRPr="00334A6B">
        <w:t>ocrelizumab, ofatumumab or fingolimod.</w:t>
      </w:r>
    </w:p>
    <w:p w14:paraId="387374D6" w14:textId="08B6AE77" w:rsidR="009D6E27" w:rsidRPr="000B114D" w:rsidRDefault="009D6E27" w:rsidP="58C81D04">
      <w:pPr>
        <w:pStyle w:val="3-BodyText"/>
      </w:pPr>
      <w:r w:rsidRPr="000B114D">
        <w:t xml:space="preserve">In the context of the clinical conclusion, the ESC advised that the weighted </w:t>
      </w:r>
      <w:r w:rsidR="009379F4" w:rsidRPr="000B114D">
        <w:t>cost analysis</w:t>
      </w:r>
      <w:r w:rsidRPr="000B114D">
        <w:t xml:space="preserve"> presented in the submission was not justified and a cost-minimisation against</w:t>
      </w:r>
      <w:r w:rsidR="009379F4" w:rsidRPr="000B114D">
        <w:t xml:space="preserve"> the</w:t>
      </w:r>
      <w:r w:rsidRPr="000B114D">
        <w:t xml:space="preserve"> least-costly alternative </w:t>
      </w:r>
      <w:r w:rsidR="009379F4" w:rsidRPr="000B114D">
        <w:t>DMT</w:t>
      </w:r>
      <w:r w:rsidRPr="000B114D">
        <w:t xml:space="preserve"> within the pool of existing ‘higher-tier’ RRMS agents</w:t>
      </w:r>
      <w:r w:rsidR="00081C51" w:rsidRPr="000B114D">
        <w:t xml:space="preserve">, consistent with Section 101(3B) of the </w:t>
      </w:r>
      <w:r w:rsidR="00081C51" w:rsidRPr="00F74DB3">
        <w:rPr>
          <w:i/>
          <w:iCs/>
        </w:rPr>
        <w:t>National Health Act 1953</w:t>
      </w:r>
      <w:r w:rsidR="009379F4" w:rsidRPr="000B114D">
        <w:t xml:space="preserve"> was likely</w:t>
      </w:r>
      <w:r w:rsidR="00081C51" w:rsidRPr="000B114D">
        <w:t xml:space="preserve"> more</w:t>
      </w:r>
      <w:r w:rsidR="009379F4" w:rsidRPr="000B114D">
        <w:t xml:space="preserve"> appropriate.</w:t>
      </w:r>
    </w:p>
    <w:p w14:paraId="472842D7" w14:textId="27566DA2" w:rsidR="00C25D9C" w:rsidRPr="00004D7E" w:rsidRDefault="00C25D9C" w:rsidP="00004D7E">
      <w:pPr>
        <w:pStyle w:val="4-SubsectionHeading"/>
      </w:pPr>
      <w:bookmarkStart w:id="64" w:name="_Toc22897646"/>
      <w:bookmarkStart w:id="65" w:name="_Toc193112863"/>
      <w:r w:rsidRPr="00004D7E">
        <w:t>Drug cost/patient/year</w:t>
      </w:r>
      <w:bookmarkEnd w:id="64"/>
      <w:bookmarkEnd w:id="65"/>
    </w:p>
    <w:p w14:paraId="3DBFE151" w14:textId="520ECE78" w:rsidR="00494207" w:rsidRPr="00E96034" w:rsidRDefault="00E96034" w:rsidP="002B05A1">
      <w:pPr>
        <w:pStyle w:val="3-BodyText"/>
      </w:pPr>
      <w:bookmarkStart w:id="66" w:name="_Hlk107307804"/>
      <w:r w:rsidRPr="58C81D04">
        <w:t xml:space="preserve">Using the weighted average AEMP as calculated in </w:t>
      </w:r>
      <w:r>
        <w:fldChar w:fldCharType="begin"/>
      </w:r>
      <w:r>
        <w:instrText xml:space="preserve"> REF _Ref188178484 \h </w:instrText>
      </w:r>
      <w:r>
        <w:fldChar w:fldCharType="separate"/>
      </w:r>
      <w:r w:rsidR="00D925D4" w:rsidRPr="00334A6B">
        <w:t xml:space="preserve">Table </w:t>
      </w:r>
      <w:r w:rsidR="00D925D4">
        <w:rPr>
          <w:noProof/>
        </w:rPr>
        <w:t>13</w:t>
      </w:r>
      <w:r>
        <w:fldChar w:fldCharType="end"/>
      </w:r>
      <w:r w:rsidRPr="58C81D04">
        <w:t xml:space="preserve"> based on the published prices of the comparators, the cost per patient per year would be $</w:t>
      </w:r>
      <w:r w:rsidR="001F633E" w:rsidRPr="001F633E">
        <w:rPr>
          <w:color w:val="000000"/>
          <w:w w:val="60"/>
          <w:shd w:val="solid" w:color="000000" w:fill="000000"/>
          <w:fitText w:val="470" w:id="-663554301"/>
          <w14:textFill>
            <w14:solidFill>
              <w14:srgbClr w14:val="000000">
                <w14:alpha w14:val="100000"/>
              </w14:srgbClr>
            </w14:solidFill>
          </w14:textFill>
        </w:rPr>
        <w:t>||</w:t>
      </w:r>
      <w:proofErr w:type="gramStart"/>
      <w:r w:rsidR="001F633E" w:rsidRPr="001F633E">
        <w:rPr>
          <w:color w:val="000000"/>
          <w:w w:val="60"/>
          <w:shd w:val="solid" w:color="000000" w:fill="000000"/>
          <w:fitText w:val="470" w:id="-663554301"/>
          <w14:textFill>
            <w14:solidFill>
              <w14:srgbClr w14:val="000000">
                <w14:alpha w14:val="100000"/>
              </w14:srgbClr>
            </w14:solidFill>
          </w14:textFill>
        </w:rPr>
        <w:t>|  |</w:t>
      </w:r>
      <w:proofErr w:type="gramEnd"/>
      <w:r w:rsidR="001F633E" w:rsidRPr="001F633E">
        <w:rPr>
          <w:color w:val="000000"/>
          <w:w w:val="60"/>
          <w:shd w:val="solid" w:color="000000" w:fill="000000"/>
          <w:fitText w:val="470" w:id="-663554301"/>
          <w14:textFill>
            <w14:solidFill>
              <w14:srgbClr w14:val="000000">
                <w14:alpha w14:val="100000"/>
              </w14:srgbClr>
            </w14:solidFill>
          </w14:textFill>
        </w:rPr>
        <w:t>|</w:t>
      </w:r>
      <w:r w:rsidR="001F633E" w:rsidRPr="001F633E">
        <w:rPr>
          <w:color w:val="000000"/>
          <w:spacing w:val="6"/>
          <w:w w:val="60"/>
          <w:shd w:val="solid" w:color="000000" w:fill="000000"/>
          <w:fitText w:val="470" w:id="-663554301"/>
          <w14:textFill>
            <w14:solidFill>
              <w14:srgbClr w14:val="000000">
                <w14:alpha w14:val="100000"/>
              </w14:srgbClr>
            </w14:solidFill>
          </w14:textFill>
        </w:rPr>
        <w:t>|</w:t>
      </w:r>
      <w:r w:rsidR="00A16518" w:rsidRPr="58C81D04">
        <w:t xml:space="preserve">. </w:t>
      </w:r>
    </w:p>
    <w:p w14:paraId="268768EF" w14:textId="3626F292" w:rsidR="00B60939" w:rsidRPr="00004D7E" w:rsidRDefault="00B60939" w:rsidP="00004D7E">
      <w:pPr>
        <w:pStyle w:val="4-SubsectionHeading"/>
      </w:pPr>
      <w:bookmarkStart w:id="67" w:name="_Toc22897647"/>
      <w:bookmarkStart w:id="68" w:name="_Toc193112864"/>
      <w:bookmarkEnd w:id="66"/>
      <w:r w:rsidRPr="00004D7E">
        <w:t>Estimated PBS usage &amp; financial implications</w:t>
      </w:r>
      <w:bookmarkEnd w:id="67"/>
      <w:bookmarkEnd w:id="68"/>
    </w:p>
    <w:p w14:paraId="404C10DA" w14:textId="41C41AFC" w:rsidR="003B4AFE" w:rsidRPr="007E6EA5" w:rsidRDefault="00C25D9C" w:rsidP="007E6EA5">
      <w:pPr>
        <w:pStyle w:val="3-BodyText"/>
        <w:rPr>
          <w:rFonts w:ascii="Arial Narrow" w:hAnsi="Arial Narrow"/>
          <w:b/>
          <w:sz w:val="20"/>
          <w:szCs w:val="24"/>
        </w:rPr>
      </w:pPr>
      <w:r w:rsidRPr="00334A6B">
        <w:t xml:space="preserve">This submission </w:t>
      </w:r>
      <w:r w:rsidR="00860227">
        <w:t>was not</w:t>
      </w:r>
      <w:r w:rsidR="00D23D11" w:rsidRPr="00334A6B">
        <w:t xml:space="preserve"> </w:t>
      </w:r>
      <w:r w:rsidRPr="00334A6B">
        <w:t>considered by DUSC.</w:t>
      </w:r>
      <w:r w:rsidR="00816C66" w:rsidRPr="00334A6B">
        <w:t xml:space="preserve"> The submission appropriately used a market share approach to estimate the use and financial implications of listing ublituximab.</w:t>
      </w:r>
      <w:r w:rsidR="003B4AFE" w:rsidRPr="00334A6B">
        <w:t xml:space="preserve"> The key inputs used in the estimates are shown in</w:t>
      </w:r>
      <w:r w:rsidR="00E96034" w:rsidRPr="00334A6B">
        <w:t xml:space="preserve"> </w:t>
      </w:r>
      <w:r w:rsidRPr="00334A6B">
        <w:fldChar w:fldCharType="begin"/>
      </w:r>
      <w:r w:rsidRPr="00334A6B">
        <w:instrText xml:space="preserve"> REF _Ref188178840 \h </w:instrText>
      </w:r>
      <w:r w:rsidR="00334A6B" w:rsidRPr="00334A6B">
        <w:instrText xml:space="preserve"> \* MERGEFORMAT </w:instrText>
      </w:r>
      <w:r w:rsidRPr="00334A6B">
        <w:fldChar w:fldCharType="separate"/>
      </w:r>
      <w:r w:rsidR="00D925D4" w:rsidRPr="00334A6B">
        <w:t xml:space="preserve">Table </w:t>
      </w:r>
      <w:r w:rsidR="00D925D4">
        <w:rPr>
          <w:noProof/>
        </w:rPr>
        <w:t>14</w:t>
      </w:r>
      <w:r w:rsidRPr="00334A6B">
        <w:fldChar w:fldCharType="end"/>
      </w:r>
      <w:bookmarkStart w:id="69" w:name="_Ref104805262"/>
      <w:r w:rsidR="007F38D9" w:rsidRPr="00334A6B">
        <w:t>4</w:t>
      </w:r>
      <w:r w:rsidR="00A16518" w:rsidRPr="00334A6B">
        <w:t xml:space="preserve">. </w:t>
      </w:r>
    </w:p>
    <w:p w14:paraId="3393BCE7" w14:textId="01B397FB" w:rsidR="00E42F73" w:rsidRPr="00334A6B" w:rsidRDefault="00E96034" w:rsidP="00E96034">
      <w:pPr>
        <w:pStyle w:val="TableFigureHeading"/>
        <w:rPr>
          <w:rStyle w:val="CommentReference"/>
          <w:b/>
          <w:szCs w:val="24"/>
        </w:rPr>
      </w:pPr>
      <w:bookmarkStart w:id="70" w:name="_Ref188178840"/>
      <w:bookmarkEnd w:id="69"/>
      <w:r w:rsidRPr="00334A6B">
        <w:t xml:space="preserve">Table </w:t>
      </w:r>
      <w:r>
        <w:fldChar w:fldCharType="begin"/>
      </w:r>
      <w:r>
        <w:instrText xml:space="preserve"> SEQ Table \* ARABIC </w:instrText>
      </w:r>
      <w:r>
        <w:fldChar w:fldCharType="separate"/>
      </w:r>
      <w:r w:rsidR="00D925D4">
        <w:rPr>
          <w:noProof/>
        </w:rPr>
        <w:t>14</w:t>
      </w:r>
      <w:r>
        <w:rPr>
          <w:noProof/>
        </w:rPr>
        <w:fldChar w:fldCharType="end"/>
      </w:r>
      <w:bookmarkEnd w:id="70"/>
      <w:r w:rsidR="007F38D9" w:rsidRPr="00334A6B">
        <w:rPr>
          <w:noProof/>
        </w:rPr>
        <w:t>4</w:t>
      </w:r>
      <w:r w:rsidRPr="00334A6B">
        <w:t xml:space="preserve">: </w:t>
      </w:r>
      <w:r w:rsidR="00E42F73" w:rsidRPr="00334A6B">
        <w:rPr>
          <w:rStyle w:val="CommentReference"/>
          <w:b/>
          <w:szCs w:val="24"/>
        </w:rPr>
        <w:t>Key inputs for financial estimates</w:t>
      </w:r>
    </w:p>
    <w:tbl>
      <w:tblPr>
        <w:tblStyle w:val="TableGrid"/>
        <w:tblW w:w="5000" w:type="pct"/>
        <w:tblLayout w:type="fixed"/>
        <w:tblLook w:val="04A0" w:firstRow="1" w:lastRow="0" w:firstColumn="1" w:lastColumn="0" w:noHBand="0" w:noVBand="1"/>
      </w:tblPr>
      <w:tblGrid>
        <w:gridCol w:w="1695"/>
        <w:gridCol w:w="4963"/>
        <w:gridCol w:w="2359"/>
      </w:tblGrid>
      <w:tr w:rsidR="00E42F73" w:rsidRPr="00334A6B" w14:paraId="7AFD013A" w14:textId="77777777" w:rsidTr="58C81D04">
        <w:tc>
          <w:tcPr>
            <w:tcW w:w="940" w:type="pct"/>
          </w:tcPr>
          <w:p w14:paraId="45C2C4CE" w14:textId="370E9AAB" w:rsidR="00E42F73" w:rsidRPr="00334A6B" w:rsidRDefault="004658B5" w:rsidP="0038000D">
            <w:pPr>
              <w:pStyle w:val="In-tableHeading"/>
            </w:pPr>
            <w:r w:rsidRPr="00334A6B">
              <w:t>Parameter</w:t>
            </w:r>
          </w:p>
        </w:tc>
        <w:tc>
          <w:tcPr>
            <w:tcW w:w="2752" w:type="pct"/>
          </w:tcPr>
          <w:p w14:paraId="5C04F956" w14:textId="559E8DB1" w:rsidR="00E42F73" w:rsidRPr="00334A6B" w:rsidRDefault="004658B5" w:rsidP="0038000D">
            <w:pPr>
              <w:pStyle w:val="In-tableHeading"/>
            </w:pPr>
            <w:r w:rsidRPr="00334A6B">
              <w:t>Value applied and source</w:t>
            </w:r>
          </w:p>
        </w:tc>
        <w:tc>
          <w:tcPr>
            <w:tcW w:w="1308" w:type="pct"/>
          </w:tcPr>
          <w:p w14:paraId="45DE44AA" w14:textId="4713F72E" w:rsidR="00E42F73" w:rsidRPr="00334A6B" w:rsidRDefault="004658B5" w:rsidP="0038000D">
            <w:pPr>
              <w:pStyle w:val="In-tableHeading"/>
            </w:pPr>
            <w:r w:rsidRPr="00334A6B">
              <w:t>Comment</w:t>
            </w:r>
          </w:p>
        </w:tc>
      </w:tr>
      <w:tr w:rsidR="00E42F73" w:rsidRPr="00334A6B" w14:paraId="4BEF206D" w14:textId="77777777" w:rsidTr="58C81D04">
        <w:tc>
          <w:tcPr>
            <w:tcW w:w="940" w:type="pct"/>
          </w:tcPr>
          <w:p w14:paraId="5724F53F" w14:textId="0656374B" w:rsidR="00E42F73" w:rsidRPr="00334A6B" w:rsidRDefault="003B4AFE" w:rsidP="007925DF">
            <w:pPr>
              <w:pStyle w:val="TableText0"/>
            </w:pPr>
            <w:r w:rsidRPr="00334A6B">
              <w:t xml:space="preserve">Market data </w:t>
            </w:r>
          </w:p>
        </w:tc>
        <w:tc>
          <w:tcPr>
            <w:tcW w:w="2752" w:type="pct"/>
          </w:tcPr>
          <w:p w14:paraId="2974F923" w14:textId="4A2E7ED9" w:rsidR="00E42F73" w:rsidRPr="00334A6B" w:rsidRDefault="003B4AFE" w:rsidP="007925DF">
            <w:pPr>
              <w:pStyle w:val="TableText0"/>
            </w:pPr>
            <w:r w:rsidRPr="00334A6B">
              <w:t>Medicare/PBS Item reports</w:t>
            </w:r>
          </w:p>
        </w:tc>
        <w:tc>
          <w:tcPr>
            <w:tcW w:w="1308" w:type="pct"/>
          </w:tcPr>
          <w:p w14:paraId="078672CF" w14:textId="6159563D" w:rsidR="00E42F73" w:rsidRPr="00334A6B" w:rsidRDefault="007C4891" w:rsidP="007925DF">
            <w:pPr>
              <w:pStyle w:val="TableText0"/>
            </w:pPr>
            <w:r w:rsidRPr="00334A6B">
              <w:t xml:space="preserve"> Appropriate</w:t>
            </w:r>
          </w:p>
        </w:tc>
      </w:tr>
      <w:tr w:rsidR="00E42F73" w:rsidRPr="00334A6B" w14:paraId="72C9FBDD" w14:textId="77777777" w:rsidTr="58C81D04">
        <w:tc>
          <w:tcPr>
            <w:tcW w:w="940" w:type="pct"/>
          </w:tcPr>
          <w:p w14:paraId="2FBBDC67" w14:textId="547244BA" w:rsidR="00E42F73" w:rsidRPr="00334A6B" w:rsidRDefault="004658B5" w:rsidP="007925DF">
            <w:pPr>
              <w:pStyle w:val="TableText0"/>
            </w:pPr>
            <w:r w:rsidRPr="00334A6B">
              <w:t>Uptake rate</w:t>
            </w:r>
          </w:p>
        </w:tc>
        <w:tc>
          <w:tcPr>
            <w:tcW w:w="2752" w:type="pct"/>
          </w:tcPr>
          <w:p w14:paraId="5D90FF21" w14:textId="3B4E5FBE" w:rsidR="007C4891" w:rsidRPr="00334A6B" w:rsidRDefault="003B4AFE" w:rsidP="007925DF">
            <w:pPr>
              <w:pStyle w:val="TableText0"/>
            </w:pPr>
            <w:r w:rsidRPr="00334A6B">
              <w:t>Sponsor assumption</w:t>
            </w:r>
            <w:r w:rsidR="007C4891" w:rsidRPr="00334A6B">
              <w:t xml:space="preserve"> for each comparator. </w:t>
            </w:r>
          </w:p>
          <w:tbl>
            <w:tblPr>
              <w:tblStyle w:val="TableGrid"/>
              <w:tblW w:w="0" w:type="auto"/>
              <w:tblLook w:val="04A0" w:firstRow="1" w:lastRow="0" w:firstColumn="1" w:lastColumn="0" w:noHBand="0" w:noVBand="1"/>
            </w:tblPr>
            <w:tblGrid>
              <w:gridCol w:w="1083"/>
              <w:gridCol w:w="1068"/>
              <w:gridCol w:w="1276"/>
              <w:gridCol w:w="1134"/>
            </w:tblGrid>
            <w:tr w:rsidR="007C4891" w:rsidRPr="00334A6B" w14:paraId="5550E8A1" w14:textId="77777777" w:rsidTr="009C0C4E">
              <w:tc>
                <w:tcPr>
                  <w:tcW w:w="1083" w:type="dxa"/>
                </w:tcPr>
                <w:p w14:paraId="60D8EB7D" w14:textId="77777777" w:rsidR="007C4891" w:rsidRPr="00334A6B" w:rsidRDefault="007C4891" w:rsidP="007925DF">
                  <w:pPr>
                    <w:pStyle w:val="TableText0"/>
                  </w:pPr>
                </w:p>
              </w:tc>
              <w:tc>
                <w:tcPr>
                  <w:tcW w:w="1068" w:type="dxa"/>
                </w:tcPr>
                <w:p w14:paraId="7CCF0EC5" w14:textId="3A1792C7" w:rsidR="007C4891" w:rsidRPr="00334A6B" w:rsidRDefault="007C4891" w:rsidP="007925DF">
                  <w:pPr>
                    <w:pStyle w:val="TableText0"/>
                  </w:pPr>
                  <w:r w:rsidRPr="00334A6B">
                    <w:t>fingolimod</w:t>
                  </w:r>
                </w:p>
              </w:tc>
              <w:tc>
                <w:tcPr>
                  <w:tcW w:w="1276" w:type="dxa"/>
                </w:tcPr>
                <w:p w14:paraId="2E769F24" w14:textId="10BC09A2" w:rsidR="007C4891" w:rsidRPr="00334A6B" w:rsidRDefault="007C4891" w:rsidP="007925DF">
                  <w:pPr>
                    <w:pStyle w:val="TableText0"/>
                  </w:pPr>
                  <w:r w:rsidRPr="00334A6B">
                    <w:t>Ocrelizumab</w:t>
                  </w:r>
                </w:p>
              </w:tc>
              <w:tc>
                <w:tcPr>
                  <w:tcW w:w="1134" w:type="dxa"/>
                </w:tcPr>
                <w:p w14:paraId="17C4006C" w14:textId="490D99CF" w:rsidR="007C4891" w:rsidRPr="00334A6B" w:rsidRDefault="007C4891" w:rsidP="007925DF">
                  <w:pPr>
                    <w:pStyle w:val="TableText0"/>
                  </w:pPr>
                  <w:r w:rsidRPr="00334A6B">
                    <w:t>ofatumumab</w:t>
                  </w:r>
                </w:p>
              </w:tc>
            </w:tr>
            <w:tr w:rsidR="007C4891" w:rsidRPr="00334A6B" w14:paraId="64FE251B" w14:textId="77777777" w:rsidTr="009C0C4E">
              <w:tc>
                <w:tcPr>
                  <w:tcW w:w="1083" w:type="dxa"/>
                </w:tcPr>
                <w:p w14:paraId="1BF94793" w14:textId="21B1A6AD" w:rsidR="007C4891" w:rsidRPr="00334A6B" w:rsidRDefault="007C4891" w:rsidP="007925DF">
                  <w:pPr>
                    <w:pStyle w:val="TableText0"/>
                  </w:pPr>
                  <w:r w:rsidRPr="00334A6B">
                    <w:t>Year 1</w:t>
                  </w:r>
                </w:p>
              </w:tc>
              <w:tc>
                <w:tcPr>
                  <w:tcW w:w="1068" w:type="dxa"/>
                </w:tcPr>
                <w:p w14:paraId="453B9922" w14:textId="7008966D" w:rsidR="007C4891" w:rsidRPr="00334A6B" w:rsidRDefault="001F633E" w:rsidP="007925DF">
                  <w:pPr>
                    <w:pStyle w:val="TableText0"/>
                  </w:pPr>
                  <w:r w:rsidRPr="001F633E">
                    <w:rPr>
                      <w:color w:val="000000"/>
                      <w:spacing w:val="53"/>
                      <w:shd w:val="solid" w:color="000000" w:fill="000000"/>
                      <w:fitText w:val="330" w:id="-663554300"/>
                      <w14:textFill>
                        <w14:solidFill>
                          <w14:srgbClr w14:val="000000">
                            <w14:alpha w14:val="100000"/>
                          </w14:srgbClr>
                        </w14:solidFill>
                      </w14:textFill>
                    </w:rPr>
                    <w:t>|||</w:t>
                  </w:r>
                  <w:r w:rsidRPr="001F633E">
                    <w:rPr>
                      <w:color w:val="000000"/>
                      <w:spacing w:val="1"/>
                      <w:shd w:val="solid" w:color="000000" w:fill="000000"/>
                      <w:fitText w:val="330" w:id="-663554300"/>
                      <w14:textFill>
                        <w14:solidFill>
                          <w14:srgbClr w14:val="000000">
                            <w14:alpha w14:val="100000"/>
                          </w14:srgbClr>
                        </w14:solidFill>
                      </w14:textFill>
                    </w:rPr>
                    <w:t>|</w:t>
                  </w:r>
                  <w:r w:rsidR="007C4891" w:rsidRPr="00334A6B">
                    <w:t>%</w:t>
                  </w:r>
                </w:p>
              </w:tc>
              <w:tc>
                <w:tcPr>
                  <w:tcW w:w="1276" w:type="dxa"/>
                </w:tcPr>
                <w:p w14:paraId="1A6E992D" w14:textId="4783BC0F" w:rsidR="007C4891" w:rsidRPr="00334A6B" w:rsidRDefault="001F633E" w:rsidP="007925DF">
                  <w:pPr>
                    <w:pStyle w:val="TableText0"/>
                  </w:pPr>
                  <w:r w:rsidRPr="001F633E">
                    <w:rPr>
                      <w:color w:val="000000"/>
                      <w:spacing w:val="53"/>
                      <w:shd w:val="solid" w:color="000000" w:fill="000000"/>
                      <w:fitText w:val="330" w:id="-663554299"/>
                      <w14:textFill>
                        <w14:solidFill>
                          <w14:srgbClr w14:val="000000">
                            <w14:alpha w14:val="100000"/>
                          </w14:srgbClr>
                        </w14:solidFill>
                      </w14:textFill>
                    </w:rPr>
                    <w:t>|||</w:t>
                  </w:r>
                  <w:r w:rsidRPr="001F633E">
                    <w:rPr>
                      <w:color w:val="000000"/>
                      <w:spacing w:val="1"/>
                      <w:shd w:val="solid" w:color="000000" w:fill="000000"/>
                      <w:fitText w:val="330" w:id="-663554299"/>
                      <w14:textFill>
                        <w14:solidFill>
                          <w14:srgbClr w14:val="000000">
                            <w14:alpha w14:val="100000"/>
                          </w14:srgbClr>
                        </w14:solidFill>
                      </w14:textFill>
                    </w:rPr>
                    <w:t>|</w:t>
                  </w:r>
                  <w:r w:rsidR="007C4891" w:rsidRPr="00334A6B">
                    <w:t>%</w:t>
                  </w:r>
                </w:p>
              </w:tc>
              <w:tc>
                <w:tcPr>
                  <w:tcW w:w="1134" w:type="dxa"/>
                </w:tcPr>
                <w:p w14:paraId="1FF71570" w14:textId="54B78D2A" w:rsidR="007C4891" w:rsidRPr="00334A6B" w:rsidRDefault="001F633E" w:rsidP="007925DF">
                  <w:pPr>
                    <w:pStyle w:val="TableText0"/>
                  </w:pPr>
                  <w:r w:rsidRPr="001F633E">
                    <w:rPr>
                      <w:color w:val="000000"/>
                      <w:spacing w:val="53"/>
                      <w:shd w:val="solid" w:color="000000" w:fill="000000"/>
                      <w:fitText w:val="330" w:id="-663554298"/>
                      <w14:textFill>
                        <w14:solidFill>
                          <w14:srgbClr w14:val="000000">
                            <w14:alpha w14:val="100000"/>
                          </w14:srgbClr>
                        </w14:solidFill>
                      </w14:textFill>
                    </w:rPr>
                    <w:t>|||</w:t>
                  </w:r>
                  <w:r w:rsidRPr="001F633E">
                    <w:rPr>
                      <w:color w:val="000000"/>
                      <w:spacing w:val="1"/>
                      <w:shd w:val="solid" w:color="000000" w:fill="000000"/>
                      <w:fitText w:val="330" w:id="-663554298"/>
                      <w14:textFill>
                        <w14:solidFill>
                          <w14:srgbClr w14:val="000000">
                            <w14:alpha w14:val="100000"/>
                          </w14:srgbClr>
                        </w14:solidFill>
                      </w14:textFill>
                    </w:rPr>
                    <w:t>|</w:t>
                  </w:r>
                  <w:r w:rsidR="007C4891" w:rsidRPr="00334A6B">
                    <w:t>%</w:t>
                  </w:r>
                </w:p>
              </w:tc>
            </w:tr>
            <w:tr w:rsidR="007C4891" w:rsidRPr="00334A6B" w14:paraId="70EB80F8" w14:textId="77777777" w:rsidTr="009C0C4E">
              <w:tc>
                <w:tcPr>
                  <w:tcW w:w="1083" w:type="dxa"/>
                </w:tcPr>
                <w:p w14:paraId="04E2583A" w14:textId="4A95BF39" w:rsidR="007C4891" w:rsidRPr="00334A6B" w:rsidRDefault="007C4891" w:rsidP="007925DF">
                  <w:pPr>
                    <w:pStyle w:val="TableText0"/>
                  </w:pPr>
                  <w:r w:rsidRPr="00334A6B">
                    <w:t>Year 2</w:t>
                  </w:r>
                </w:p>
              </w:tc>
              <w:tc>
                <w:tcPr>
                  <w:tcW w:w="1068" w:type="dxa"/>
                </w:tcPr>
                <w:p w14:paraId="7A5F4D42" w14:textId="7B784AA5" w:rsidR="007C4891" w:rsidRPr="00334A6B" w:rsidRDefault="001F633E" w:rsidP="007925DF">
                  <w:pPr>
                    <w:pStyle w:val="TableText0"/>
                  </w:pPr>
                  <w:r w:rsidRPr="001F633E">
                    <w:rPr>
                      <w:color w:val="000000"/>
                      <w:spacing w:val="53"/>
                      <w:shd w:val="solid" w:color="000000" w:fill="000000"/>
                      <w:fitText w:val="330" w:id="-663554297"/>
                      <w14:textFill>
                        <w14:solidFill>
                          <w14:srgbClr w14:val="000000">
                            <w14:alpha w14:val="100000"/>
                          </w14:srgbClr>
                        </w14:solidFill>
                      </w14:textFill>
                    </w:rPr>
                    <w:t>|||</w:t>
                  </w:r>
                  <w:r w:rsidRPr="001F633E">
                    <w:rPr>
                      <w:color w:val="000000"/>
                      <w:spacing w:val="1"/>
                      <w:shd w:val="solid" w:color="000000" w:fill="000000"/>
                      <w:fitText w:val="330" w:id="-663554297"/>
                      <w14:textFill>
                        <w14:solidFill>
                          <w14:srgbClr w14:val="000000">
                            <w14:alpha w14:val="100000"/>
                          </w14:srgbClr>
                        </w14:solidFill>
                      </w14:textFill>
                    </w:rPr>
                    <w:t>|</w:t>
                  </w:r>
                  <w:r w:rsidR="007C4891" w:rsidRPr="00334A6B">
                    <w:t>%</w:t>
                  </w:r>
                </w:p>
              </w:tc>
              <w:tc>
                <w:tcPr>
                  <w:tcW w:w="1276" w:type="dxa"/>
                </w:tcPr>
                <w:p w14:paraId="3523D2EA" w14:textId="1CC132CF" w:rsidR="007C4891" w:rsidRPr="00334A6B" w:rsidRDefault="001F633E" w:rsidP="007925DF">
                  <w:pPr>
                    <w:pStyle w:val="TableText0"/>
                  </w:pPr>
                  <w:r w:rsidRPr="001F633E">
                    <w:rPr>
                      <w:color w:val="000000"/>
                      <w:spacing w:val="53"/>
                      <w:shd w:val="solid" w:color="000000" w:fill="000000"/>
                      <w:fitText w:val="330" w:id="-663554296"/>
                      <w14:textFill>
                        <w14:solidFill>
                          <w14:srgbClr w14:val="000000">
                            <w14:alpha w14:val="100000"/>
                          </w14:srgbClr>
                        </w14:solidFill>
                      </w14:textFill>
                    </w:rPr>
                    <w:t>|||</w:t>
                  </w:r>
                  <w:r w:rsidRPr="001F633E">
                    <w:rPr>
                      <w:color w:val="000000"/>
                      <w:spacing w:val="1"/>
                      <w:shd w:val="solid" w:color="000000" w:fill="000000"/>
                      <w:fitText w:val="330" w:id="-663554296"/>
                      <w14:textFill>
                        <w14:solidFill>
                          <w14:srgbClr w14:val="000000">
                            <w14:alpha w14:val="100000"/>
                          </w14:srgbClr>
                        </w14:solidFill>
                      </w14:textFill>
                    </w:rPr>
                    <w:t>|</w:t>
                  </w:r>
                  <w:r w:rsidR="007C4891" w:rsidRPr="00334A6B">
                    <w:t>%</w:t>
                  </w:r>
                </w:p>
              </w:tc>
              <w:tc>
                <w:tcPr>
                  <w:tcW w:w="1134" w:type="dxa"/>
                </w:tcPr>
                <w:p w14:paraId="3A5F311A" w14:textId="7BE87709" w:rsidR="007C4891" w:rsidRPr="00334A6B" w:rsidRDefault="001F633E" w:rsidP="007925DF">
                  <w:pPr>
                    <w:pStyle w:val="TableText0"/>
                  </w:pPr>
                  <w:r w:rsidRPr="001F633E">
                    <w:rPr>
                      <w:color w:val="000000"/>
                      <w:spacing w:val="53"/>
                      <w:shd w:val="solid" w:color="000000" w:fill="000000"/>
                      <w:fitText w:val="330" w:id="-663554295"/>
                      <w14:textFill>
                        <w14:solidFill>
                          <w14:srgbClr w14:val="000000">
                            <w14:alpha w14:val="100000"/>
                          </w14:srgbClr>
                        </w14:solidFill>
                      </w14:textFill>
                    </w:rPr>
                    <w:t>|||</w:t>
                  </w:r>
                  <w:r w:rsidRPr="001F633E">
                    <w:rPr>
                      <w:color w:val="000000"/>
                      <w:spacing w:val="1"/>
                      <w:shd w:val="solid" w:color="000000" w:fill="000000"/>
                      <w:fitText w:val="330" w:id="-663554295"/>
                      <w14:textFill>
                        <w14:solidFill>
                          <w14:srgbClr w14:val="000000">
                            <w14:alpha w14:val="100000"/>
                          </w14:srgbClr>
                        </w14:solidFill>
                      </w14:textFill>
                    </w:rPr>
                    <w:t>|</w:t>
                  </w:r>
                  <w:r w:rsidR="007C4891" w:rsidRPr="00334A6B">
                    <w:t>%</w:t>
                  </w:r>
                </w:p>
              </w:tc>
            </w:tr>
            <w:tr w:rsidR="007C4891" w:rsidRPr="00334A6B" w14:paraId="140B49EB" w14:textId="77777777" w:rsidTr="009C0C4E">
              <w:tc>
                <w:tcPr>
                  <w:tcW w:w="1083" w:type="dxa"/>
                </w:tcPr>
                <w:p w14:paraId="15BF91B9" w14:textId="3CD93C32" w:rsidR="007C4891" w:rsidRPr="00334A6B" w:rsidRDefault="007C4891" w:rsidP="007925DF">
                  <w:pPr>
                    <w:pStyle w:val="TableText0"/>
                  </w:pPr>
                  <w:r w:rsidRPr="00334A6B">
                    <w:t>Year 3</w:t>
                  </w:r>
                </w:p>
              </w:tc>
              <w:tc>
                <w:tcPr>
                  <w:tcW w:w="1068" w:type="dxa"/>
                </w:tcPr>
                <w:p w14:paraId="714621C6" w14:textId="7085EB73" w:rsidR="007C4891" w:rsidRPr="00334A6B" w:rsidRDefault="001F633E" w:rsidP="007925DF">
                  <w:pPr>
                    <w:pStyle w:val="TableText0"/>
                  </w:pPr>
                  <w:r w:rsidRPr="001F633E">
                    <w:rPr>
                      <w:color w:val="000000"/>
                      <w:spacing w:val="53"/>
                      <w:shd w:val="solid" w:color="000000" w:fill="000000"/>
                      <w:fitText w:val="330" w:id="-663554294"/>
                      <w14:textFill>
                        <w14:solidFill>
                          <w14:srgbClr w14:val="000000">
                            <w14:alpha w14:val="100000"/>
                          </w14:srgbClr>
                        </w14:solidFill>
                      </w14:textFill>
                    </w:rPr>
                    <w:t>|||</w:t>
                  </w:r>
                  <w:r w:rsidRPr="001F633E">
                    <w:rPr>
                      <w:color w:val="000000"/>
                      <w:spacing w:val="1"/>
                      <w:shd w:val="solid" w:color="000000" w:fill="000000"/>
                      <w:fitText w:val="330" w:id="-663554294"/>
                      <w14:textFill>
                        <w14:solidFill>
                          <w14:srgbClr w14:val="000000">
                            <w14:alpha w14:val="100000"/>
                          </w14:srgbClr>
                        </w14:solidFill>
                      </w14:textFill>
                    </w:rPr>
                    <w:t>|</w:t>
                  </w:r>
                  <w:r w:rsidR="007C4891" w:rsidRPr="00334A6B">
                    <w:t>%</w:t>
                  </w:r>
                </w:p>
              </w:tc>
              <w:tc>
                <w:tcPr>
                  <w:tcW w:w="1276" w:type="dxa"/>
                </w:tcPr>
                <w:p w14:paraId="2A8A9248" w14:textId="5EF9C9B5" w:rsidR="007C4891" w:rsidRPr="00334A6B" w:rsidRDefault="001F633E" w:rsidP="007925DF">
                  <w:pPr>
                    <w:pStyle w:val="TableText0"/>
                  </w:pPr>
                  <w:r w:rsidRPr="001F633E">
                    <w:rPr>
                      <w:color w:val="000000"/>
                      <w:spacing w:val="53"/>
                      <w:shd w:val="solid" w:color="000000" w:fill="000000"/>
                      <w:fitText w:val="330" w:id="-663554293"/>
                      <w14:textFill>
                        <w14:solidFill>
                          <w14:srgbClr w14:val="000000">
                            <w14:alpha w14:val="100000"/>
                          </w14:srgbClr>
                        </w14:solidFill>
                      </w14:textFill>
                    </w:rPr>
                    <w:t>|||</w:t>
                  </w:r>
                  <w:r w:rsidRPr="001F633E">
                    <w:rPr>
                      <w:color w:val="000000"/>
                      <w:spacing w:val="1"/>
                      <w:shd w:val="solid" w:color="000000" w:fill="000000"/>
                      <w:fitText w:val="330" w:id="-663554293"/>
                      <w14:textFill>
                        <w14:solidFill>
                          <w14:srgbClr w14:val="000000">
                            <w14:alpha w14:val="100000"/>
                          </w14:srgbClr>
                        </w14:solidFill>
                      </w14:textFill>
                    </w:rPr>
                    <w:t>|</w:t>
                  </w:r>
                  <w:r w:rsidR="007C4891" w:rsidRPr="00334A6B">
                    <w:t>%</w:t>
                  </w:r>
                </w:p>
              </w:tc>
              <w:tc>
                <w:tcPr>
                  <w:tcW w:w="1134" w:type="dxa"/>
                </w:tcPr>
                <w:p w14:paraId="211A9678" w14:textId="2E856120" w:rsidR="007C4891" w:rsidRPr="00334A6B" w:rsidRDefault="001F633E" w:rsidP="007925DF">
                  <w:pPr>
                    <w:pStyle w:val="TableText0"/>
                  </w:pPr>
                  <w:r w:rsidRPr="001F633E">
                    <w:rPr>
                      <w:color w:val="000000"/>
                      <w:spacing w:val="53"/>
                      <w:shd w:val="solid" w:color="000000" w:fill="000000"/>
                      <w:fitText w:val="330" w:id="-663554292"/>
                      <w14:textFill>
                        <w14:solidFill>
                          <w14:srgbClr w14:val="000000">
                            <w14:alpha w14:val="100000"/>
                          </w14:srgbClr>
                        </w14:solidFill>
                      </w14:textFill>
                    </w:rPr>
                    <w:t>|||</w:t>
                  </w:r>
                  <w:r w:rsidRPr="001F633E">
                    <w:rPr>
                      <w:color w:val="000000"/>
                      <w:spacing w:val="1"/>
                      <w:shd w:val="solid" w:color="000000" w:fill="000000"/>
                      <w:fitText w:val="330" w:id="-663554292"/>
                      <w14:textFill>
                        <w14:solidFill>
                          <w14:srgbClr w14:val="000000">
                            <w14:alpha w14:val="100000"/>
                          </w14:srgbClr>
                        </w14:solidFill>
                      </w14:textFill>
                    </w:rPr>
                    <w:t>|</w:t>
                  </w:r>
                  <w:r w:rsidR="007C4891" w:rsidRPr="00334A6B">
                    <w:t>%</w:t>
                  </w:r>
                </w:p>
              </w:tc>
            </w:tr>
            <w:tr w:rsidR="007C4891" w:rsidRPr="00334A6B" w14:paraId="36D485A6" w14:textId="77777777" w:rsidTr="009C0C4E">
              <w:tc>
                <w:tcPr>
                  <w:tcW w:w="1083" w:type="dxa"/>
                </w:tcPr>
                <w:p w14:paraId="101F8B6C" w14:textId="7CCB5440" w:rsidR="007C4891" w:rsidRPr="00334A6B" w:rsidRDefault="007C4891" w:rsidP="007925DF">
                  <w:pPr>
                    <w:pStyle w:val="TableText0"/>
                  </w:pPr>
                  <w:r w:rsidRPr="00334A6B">
                    <w:t>Year 4</w:t>
                  </w:r>
                </w:p>
              </w:tc>
              <w:tc>
                <w:tcPr>
                  <w:tcW w:w="1068" w:type="dxa"/>
                </w:tcPr>
                <w:p w14:paraId="253479EA" w14:textId="0F31AFB3" w:rsidR="007C4891" w:rsidRPr="00334A6B" w:rsidRDefault="001F633E" w:rsidP="007925DF">
                  <w:pPr>
                    <w:pStyle w:val="TableText0"/>
                  </w:pPr>
                  <w:r w:rsidRPr="001F633E">
                    <w:rPr>
                      <w:color w:val="000000"/>
                      <w:spacing w:val="53"/>
                      <w:shd w:val="solid" w:color="000000" w:fill="000000"/>
                      <w:fitText w:val="330" w:id="-663554291"/>
                      <w14:textFill>
                        <w14:solidFill>
                          <w14:srgbClr w14:val="000000">
                            <w14:alpha w14:val="100000"/>
                          </w14:srgbClr>
                        </w14:solidFill>
                      </w14:textFill>
                    </w:rPr>
                    <w:t>|||</w:t>
                  </w:r>
                  <w:r w:rsidRPr="001F633E">
                    <w:rPr>
                      <w:color w:val="000000"/>
                      <w:spacing w:val="1"/>
                      <w:shd w:val="solid" w:color="000000" w:fill="000000"/>
                      <w:fitText w:val="330" w:id="-663554291"/>
                      <w14:textFill>
                        <w14:solidFill>
                          <w14:srgbClr w14:val="000000">
                            <w14:alpha w14:val="100000"/>
                          </w14:srgbClr>
                        </w14:solidFill>
                      </w14:textFill>
                    </w:rPr>
                    <w:t>|</w:t>
                  </w:r>
                  <w:r w:rsidR="007C4891" w:rsidRPr="00334A6B">
                    <w:t>%</w:t>
                  </w:r>
                </w:p>
              </w:tc>
              <w:tc>
                <w:tcPr>
                  <w:tcW w:w="1276" w:type="dxa"/>
                </w:tcPr>
                <w:p w14:paraId="6935CB04" w14:textId="30A77AA0" w:rsidR="007C4891" w:rsidRPr="00334A6B" w:rsidRDefault="001F633E" w:rsidP="007925DF">
                  <w:pPr>
                    <w:pStyle w:val="TableText0"/>
                  </w:pPr>
                  <w:r w:rsidRPr="001F633E">
                    <w:rPr>
                      <w:color w:val="000000"/>
                      <w:spacing w:val="53"/>
                      <w:shd w:val="solid" w:color="000000" w:fill="000000"/>
                      <w:fitText w:val="330" w:id="-663554290"/>
                      <w14:textFill>
                        <w14:solidFill>
                          <w14:srgbClr w14:val="000000">
                            <w14:alpha w14:val="100000"/>
                          </w14:srgbClr>
                        </w14:solidFill>
                      </w14:textFill>
                    </w:rPr>
                    <w:t>|||</w:t>
                  </w:r>
                  <w:r w:rsidRPr="001F633E">
                    <w:rPr>
                      <w:color w:val="000000"/>
                      <w:spacing w:val="1"/>
                      <w:shd w:val="solid" w:color="000000" w:fill="000000"/>
                      <w:fitText w:val="330" w:id="-663554290"/>
                      <w14:textFill>
                        <w14:solidFill>
                          <w14:srgbClr w14:val="000000">
                            <w14:alpha w14:val="100000"/>
                          </w14:srgbClr>
                        </w14:solidFill>
                      </w14:textFill>
                    </w:rPr>
                    <w:t>|</w:t>
                  </w:r>
                  <w:r w:rsidR="007C4891" w:rsidRPr="00334A6B">
                    <w:t>%</w:t>
                  </w:r>
                </w:p>
              </w:tc>
              <w:tc>
                <w:tcPr>
                  <w:tcW w:w="1134" w:type="dxa"/>
                </w:tcPr>
                <w:p w14:paraId="4FBA3D75" w14:textId="0CAB056C" w:rsidR="007C4891" w:rsidRPr="00334A6B" w:rsidRDefault="001F633E" w:rsidP="007925DF">
                  <w:pPr>
                    <w:pStyle w:val="TableText0"/>
                  </w:pPr>
                  <w:r w:rsidRPr="001F633E">
                    <w:rPr>
                      <w:color w:val="000000"/>
                      <w:spacing w:val="53"/>
                      <w:shd w:val="solid" w:color="000000" w:fill="000000"/>
                      <w:fitText w:val="330" w:id="-663554289"/>
                      <w14:textFill>
                        <w14:solidFill>
                          <w14:srgbClr w14:val="000000">
                            <w14:alpha w14:val="100000"/>
                          </w14:srgbClr>
                        </w14:solidFill>
                      </w14:textFill>
                    </w:rPr>
                    <w:t>|||</w:t>
                  </w:r>
                  <w:r w:rsidRPr="001F633E">
                    <w:rPr>
                      <w:color w:val="000000"/>
                      <w:spacing w:val="1"/>
                      <w:shd w:val="solid" w:color="000000" w:fill="000000"/>
                      <w:fitText w:val="330" w:id="-663554289"/>
                      <w14:textFill>
                        <w14:solidFill>
                          <w14:srgbClr w14:val="000000">
                            <w14:alpha w14:val="100000"/>
                          </w14:srgbClr>
                        </w14:solidFill>
                      </w14:textFill>
                    </w:rPr>
                    <w:t>|</w:t>
                  </w:r>
                  <w:r w:rsidR="007C4891" w:rsidRPr="00334A6B">
                    <w:t>%</w:t>
                  </w:r>
                </w:p>
              </w:tc>
            </w:tr>
            <w:tr w:rsidR="007C4891" w:rsidRPr="00334A6B" w14:paraId="45E9B8A9" w14:textId="77777777" w:rsidTr="009C0C4E">
              <w:tc>
                <w:tcPr>
                  <w:tcW w:w="1083" w:type="dxa"/>
                </w:tcPr>
                <w:p w14:paraId="12180A79" w14:textId="34126A88" w:rsidR="007C4891" w:rsidRPr="00334A6B" w:rsidRDefault="007C4891" w:rsidP="007925DF">
                  <w:pPr>
                    <w:pStyle w:val="TableText0"/>
                  </w:pPr>
                  <w:r w:rsidRPr="00334A6B">
                    <w:t>Year 5</w:t>
                  </w:r>
                </w:p>
              </w:tc>
              <w:tc>
                <w:tcPr>
                  <w:tcW w:w="1068" w:type="dxa"/>
                </w:tcPr>
                <w:p w14:paraId="3F567D47" w14:textId="583B8801" w:rsidR="007C4891" w:rsidRPr="00334A6B" w:rsidRDefault="001F633E" w:rsidP="007925DF">
                  <w:pPr>
                    <w:pStyle w:val="TableText0"/>
                  </w:pPr>
                  <w:r w:rsidRPr="001F633E">
                    <w:rPr>
                      <w:color w:val="000000"/>
                      <w:spacing w:val="53"/>
                      <w:shd w:val="solid" w:color="000000" w:fill="000000"/>
                      <w:fitText w:val="330" w:id="-663554288"/>
                      <w14:textFill>
                        <w14:solidFill>
                          <w14:srgbClr w14:val="000000">
                            <w14:alpha w14:val="100000"/>
                          </w14:srgbClr>
                        </w14:solidFill>
                      </w14:textFill>
                    </w:rPr>
                    <w:t>|||</w:t>
                  </w:r>
                  <w:r w:rsidRPr="001F633E">
                    <w:rPr>
                      <w:color w:val="000000"/>
                      <w:spacing w:val="1"/>
                      <w:shd w:val="solid" w:color="000000" w:fill="000000"/>
                      <w:fitText w:val="330" w:id="-663554288"/>
                      <w14:textFill>
                        <w14:solidFill>
                          <w14:srgbClr w14:val="000000">
                            <w14:alpha w14:val="100000"/>
                          </w14:srgbClr>
                        </w14:solidFill>
                      </w14:textFill>
                    </w:rPr>
                    <w:t>|</w:t>
                  </w:r>
                  <w:r w:rsidR="007C4891" w:rsidRPr="00334A6B">
                    <w:t>%</w:t>
                  </w:r>
                </w:p>
              </w:tc>
              <w:tc>
                <w:tcPr>
                  <w:tcW w:w="1276" w:type="dxa"/>
                </w:tcPr>
                <w:p w14:paraId="7410E4E8" w14:textId="4C13EDA0" w:rsidR="007C4891" w:rsidRPr="00334A6B" w:rsidRDefault="001F633E" w:rsidP="007925DF">
                  <w:pPr>
                    <w:pStyle w:val="TableText0"/>
                  </w:pPr>
                  <w:r w:rsidRPr="001F633E">
                    <w:rPr>
                      <w:color w:val="000000"/>
                      <w:spacing w:val="53"/>
                      <w:shd w:val="solid" w:color="000000" w:fill="000000"/>
                      <w:fitText w:val="330" w:id="-663554304"/>
                      <w14:textFill>
                        <w14:solidFill>
                          <w14:srgbClr w14:val="000000">
                            <w14:alpha w14:val="100000"/>
                          </w14:srgbClr>
                        </w14:solidFill>
                      </w14:textFill>
                    </w:rPr>
                    <w:t>|||</w:t>
                  </w:r>
                  <w:r w:rsidRPr="001F633E">
                    <w:rPr>
                      <w:color w:val="000000"/>
                      <w:spacing w:val="1"/>
                      <w:shd w:val="solid" w:color="000000" w:fill="000000"/>
                      <w:fitText w:val="330" w:id="-663554304"/>
                      <w14:textFill>
                        <w14:solidFill>
                          <w14:srgbClr w14:val="000000">
                            <w14:alpha w14:val="100000"/>
                          </w14:srgbClr>
                        </w14:solidFill>
                      </w14:textFill>
                    </w:rPr>
                    <w:t>|</w:t>
                  </w:r>
                  <w:r w:rsidR="007C4891" w:rsidRPr="00334A6B">
                    <w:t>%</w:t>
                  </w:r>
                </w:p>
              </w:tc>
              <w:tc>
                <w:tcPr>
                  <w:tcW w:w="1134" w:type="dxa"/>
                </w:tcPr>
                <w:p w14:paraId="472A897F" w14:textId="21AA1C61" w:rsidR="007C4891" w:rsidRPr="00334A6B" w:rsidRDefault="001F633E" w:rsidP="007925DF">
                  <w:pPr>
                    <w:pStyle w:val="TableText0"/>
                  </w:pPr>
                  <w:r w:rsidRPr="001F633E">
                    <w:rPr>
                      <w:color w:val="000000"/>
                      <w:spacing w:val="53"/>
                      <w:shd w:val="solid" w:color="000000" w:fill="000000"/>
                      <w:fitText w:val="330" w:id="-663554303"/>
                      <w14:textFill>
                        <w14:solidFill>
                          <w14:srgbClr w14:val="000000">
                            <w14:alpha w14:val="100000"/>
                          </w14:srgbClr>
                        </w14:solidFill>
                      </w14:textFill>
                    </w:rPr>
                    <w:t>|||</w:t>
                  </w:r>
                  <w:r w:rsidRPr="001F633E">
                    <w:rPr>
                      <w:color w:val="000000"/>
                      <w:spacing w:val="1"/>
                      <w:shd w:val="solid" w:color="000000" w:fill="000000"/>
                      <w:fitText w:val="330" w:id="-663554303"/>
                      <w14:textFill>
                        <w14:solidFill>
                          <w14:srgbClr w14:val="000000">
                            <w14:alpha w14:val="100000"/>
                          </w14:srgbClr>
                        </w14:solidFill>
                      </w14:textFill>
                    </w:rPr>
                    <w:t>|</w:t>
                  </w:r>
                  <w:r w:rsidR="007C4891" w:rsidRPr="00334A6B">
                    <w:t>%</w:t>
                  </w:r>
                </w:p>
              </w:tc>
            </w:tr>
            <w:tr w:rsidR="007C4891" w:rsidRPr="00334A6B" w14:paraId="637CD05E" w14:textId="77777777" w:rsidTr="009C0C4E">
              <w:tc>
                <w:tcPr>
                  <w:tcW w:w="1083" w:type="dxa"/>
                </w:tcPr>
                <w:p w14:paraId="325DF7F9" w14:textId="1C1B6FE1" w:rsidR="007C4891" w:rsidRPr="00334A6B" w:rsidRDefault="007C4891" w:rsidP="007925DF">
                  <w:pPr>
                    <w:pStyle w:val="TableText0"/>
                  </w:pPr>
                  <w:r w:rsidRPr="00334A6B">
                    <w:t>Year 6</w:t>
                  </w:r>
                </w:p>
              </w:tc>
              <w:tc>
                <w:tcPr>
                  <w:tcW w:w="1068" w:type="dxa"/>
                </w:tcPr>
                <w:p w14:paraId="59FED75C" w14:textId="1C4F55CD" w:rsidR="007C4891" w:rsidRPr="00334A6B" w:rsidRDefault="001F633E" w:rsidP="007925DF">
                  <w:pPr>
                    <w:pStyle w:val="TableText0"/>
                  </w:pPr>
                  <w:r w:rsidRPr="001F633E">
                    <w:rPr>
                      <w:color w:val="000000"/>
                      <w:spacing w:val="53"/>
                      <w:shd w:val="solid" w:color="000000" w:fill="000000"/>
                      <w:fitText w:val="330" w:id="-663554302"/>
                      <w14:textFill>
                        <w14:solidFill>
                          <w14:srgbClr w14:val="000000">
                            <w14:alpha w14:val="100000"/>
                          </w14:srgbClr>
                        </w14:solidFill>
                      </w14:textFill>
                    </w:rPr>
                    <w:t>|||</w:t>
                  </w:r>
                  <w:r w:rsidRPr="001F633E">
                    <w:rPr>
                      <w:color w:val="000000"/>
                      <w:spacing w:val="1"/>
                      <w:shd w:val="solid" w:color="000000" w:fill="000000"/>
                      <w:fitText w:val="330" w:id="-663554302"/>
                      <w14:textFill>
                        <w14:solidFill>
                          <w14:srgbClr w14:val="000000">
                            <w14:alpha w14:val="100000"/>
                          </w14:srgbClr>
                        </w14:solidFill>
                      </w14:textFill>
                    </w:rPr>
                    <w:t>|</w:t>
                  </w:r>
                  <w:r w:rsidR="007C4891" w:rsidRPr="00334A6B">
                    <w:t>%</w:t>
                  </w:r>
                </w:p>
              </w:tc>
              <w:tc>
                <w:tcPr>
                  <w:tcW w:w="1276" w:type="dxa"/>
                </w:tcPr>
                <w:p w14:paraId="2098BE57" w14:textId="3D9C24D2" w:rsidR="007C4891" w:rsidRPr="00334A6B" w:rsidRDefault="001F633E" w:rsidP="007925DF">
                  <w:pPr>
                    <w:pStyle w:val="TableText0"/>
                  </w:pPr>
                  <w:r w:rsidRPr="001F633E">
                    <w:rPr>
                      <w:color w:val="000000"/>
                      <w:spacing w:val="53"/>
                      <w:shd w:val="solid" w:color="000000" w:fill="000000"/>
                      <w:fitText w:val="330" w:id="-663554301"/>
                      <w14:textFill>
                        <w14:solidFill>
                          <w14:srgbClr w14:val="000000">
                            <w14:alpha w14:val="100000"/>
                          </w14:srgbClr>
                        </w14:solidFill>
                      </w14:textFill>
                    </w:rPr>
                    <w:t>|||</w:t>
                  </w:r>
                  <w:r w:rsidRPr="001F633E">
                    <w:rPr>
                      <w:color w:val="000000"/>
                      <w:spacing w:val="1"/>
                      <w:shd w:val="solid" w:color="000000" w:fill="000000"/>
                      <w:fitText w:val="330" w:id="-663554301"/>
                      <w14:textFill>
                        <w14:solidFill>
                          <w14:srgbClr w14:val="000000">
                            <w14:alpha w14:val="100000"/>
                          </w14:srgbClr>
                        </w14:solidFill>
                      </w14:textFill>
                    </w:rPr>
                    <w:t>|</w:t>
                  </w:r>
                  <w:r w:rsidR="007C4891" w:rsidRPr="00334A6B">
                    <w:t>%</w:t>
                  </w:r>
                </w:p>
              </w:tc>
              <w:tc>
                <w:tcPr>
                  <w:tcW w:w="1134" w:type="dxa"/>
                </w:tcPr>
                <w:p w14:paraId="1ECAC1E2" w14:textId="4111038B" w:rsidR="007C4891" w:rsidRPr="00334A6B" w:rsidRDefault="001F633E" w:rsidP="007925DF">
                  <w:pPr>
                    <w:pStyle w:val="TableText0"/>
                  </w:pPr>
                  <w:r w:rsidRPr="001F633E">
                    <w:rPr>
                      <w:color w:val="000000"/>
                      <w:spacing w:val="53"/>
                      <w:shd w:val="solid" w:color="000000" w:fill="000000"/>
                      <w:fitText w:val="330" w:id="-663554300"/>
                      <w14:textFill>
                        <w14:solidFill>
                          <w14:srgbClr w14:val="000000">
                            <w14:alpha w14:val="100000"/>
                          </w14:srgbClr>
                        </w14:solidFill>
                      </w14:textFill>
                    </w:rPr>
                    <w:t>|||</w:t>
                  </w:r>
                  <w:r w:rsidRPr="001F633E">
                    <w:rPr>
                      <w:color w:val="000000"/>
                      <w:spacing w:val="1"/>
                      <w:shd w:val="solid" w:color="000000" w:fill="000000"/>
                      <w:fitText w:val="330" w:id="-663554300"/>
                      <w14:textFill>
                        <w14:solidFill>
                          <w14:srgbClr w14:val="000000">
                            <w14:alpha w14:val="100000"/>
                          </w14:srgbClr>
                        </w14:solidFill>
                      </w14:textFill>
                    </w:rPr>
                    <w:t>|</w:t>
                  </w:r>
                  <w:r w:rsidR="007C4891" w:rsidRPr="00334A6B">
                    <w:t>%</w:t>
                  </w:r>
                </w:p>
              </w:tc>
            </w:tr>
          </w:tbl>
          <w:p w14:paraId="550316FC" w14:textId="224779CA" w:rsidR="00E42F73" w:rsidRPr="00334A6B" w:rsidRDefault="00E42F73" w:rsidP="007925DF">
            <w:pPr>
              <w:pStyle w:val="TableText0"/>
            </w:pPr>
          </w:p>
        </w:tc>
        <w:tc>
          <w:tcPr>
            <w:tcW w:w="1308" w:type="pct"/>
          </w:tcPr>
          <w:p w14:paraId="7295AAE5" w14:textId="229EC0CF" w:rsidR="00E42F73" w:rsidRPr="00334A6B" w:rsidRDefault="007C4891" w:rsidP="007925DF">
            <w:pPr>
              <w:pStyle w:val="TableText0"/>
            </w:pPr>
            <w:r w:rsidRPr="00334A6B">
              <w:t xml:space="preserve">Most likely to replace ocrelizumab rather than fingolimod or ofatumumab therefore </w:t>
            </w:r>
            <w:r w:rsidR="00AD38E5" w:rsidRPr="00334A6B">
              <w:t>market</w:t>
            </w:r>
            <w:r w:rsidRPr="00334A6B">
              <w:t xml:space="preserve"> </w:t>
            </w:r>
            <w:r w:rsidR="00AD38E5" w:rsidRPr="00334A6B">
              <w:t>share</w:t>
            </w:r>
            <w:r w:rsidRPr="00334A6B">
              <w:t xml:space="preserve"> may be </w:t>
            </w:r>
            <w:r w:rsidR="00AD38E5" w:rsidRPr="00334A6B">
              <w:t>overestimated</w:t>
            </w:r>
            <w:r w:rsidRPr="00334A6B">
              <w:t>.</w:t>
            </w:r>
            <w:r w:rsidR="001B2571" w:rsidRPr="00334A6B">
              <w:t xml:space="preserve"> Tested in sensitivity analyses. </w:t>
            </w:r>
          </w:p>
        </w:tc>
      </w:tr>
      <w:tr w:rsidR="00A05C32" w:rsidRPr="00334A6B" w14:paraId="512A8938" w14:textId="77777777" w:rsidTr="58C81D04">
        <w:tc>
          <w:tcPr>
            <w:tcW w:w="940" w:type="pct"/>
          </w:tcPr>
          <w:p w14:paraId="006B470A" w14:textId="5E7CC3D3" w:rsidR="00A05C32" w:rsidRPr="00334A6B" w:rsidRDefault="00A05C32" w:rsidP="007925DF">
            <w:pPr>
              <w:pStyle w:val="TableText0"/>
            </w:pPr>
            <w:r w:rsidRPr="00334A6B">
              <w:t>Compliance rate</w:t>
            </w:r>
          </w:p>
          <w:p w14:paraId="1F4C70A3" w14:textId="7648B60B" w:rsidR="00A05C32" w:rsidRPr="00334A6B" w:rsidRDefault="00A05C32" w:rsidP="007925DF">
            <w:pPr>
              <w:pStyle w:val="TableText0"/>
            </w:pPr>
          </w:p>
        </w:tc>
        <w:tc>
          <w:tcPr>
            <w:tcW w:w="2752" w:type="pct"/>
          </w:tcPr>
          <w:p w14:paraId="5289CDB1" w14:textId="449DE2A3" w:rsidR="00A05C32" w:rsidRPr="00334A6B" w:rsidRDefault="00AD38E5" w:rsidP="007925DF">
            <w:pPr>
              <w:pStyle w:val="TableText0"/>
            </w:pPr>
            <w:r w:rsidRPr="00334A6B">
              <w:t>Assumes 100%</w:t>
            </w:r>
          </w:p>
        </w:tc>
        <w:tc>
          <w:tcPr>
            <w:tcW w:w="1308" w:type="pct"/>
          </w:tcPr>
          <w:p w14:paraId="0BA4ED26" w14:textId="3305DAA4" w:rsidR="00A05C32" w:rsidRPr="00334A6B" w:rsidRDefault="00AD38E5" w:rsidP="007925DF">
            <w:pPr>
              <w:pStyle w:val="TableText0"/>
            </w:pPr>
            <w:r w:rsidRPr="00334A6B">
              <w:t>May be an overestimate</w:t>
            </w:r>
            <w:r w:rsidR="001B2571" w:rsidRPr="00334A6B">
              <w:t>; tested in sensitivity analyses</w:t>
            </w:r>
          </w:p>
        </w:tc>
      </w:tr>
      <w:tr w:rsidR="004658B5" w:rsidRPr="00334A6B" w14:paraId="7DA05E57" w14:textId="77777777" w:rsidTr="58C81D04">
        <w:tc>
          <w:tcPr>
            <w:tcW w:w="940" w:type="pct"/>
          </w:tcPr>
          <w:p w14:paraId="38021BE8" w14:textId="35CF0A54" w:rsidR="004658B5" w:rsidRPr="00334A6B" w:rsidRDefault="004658B5" w:rsidP="007925DF">
            <w:pPr>
              <w:pStyle w:val="TableText0"/>
            </w:pPr>
            <w:r w:rsidRPr="00334A6B">
              <w:t xml:space="preserve">offsets for </w:t>
            </w:r>
            <w:r w:rsidR="00AD38E5" w:rsidRPr="00334A6B">
              <w:t>concomitant therapies</w:t>
            </w:r>
          </w:p>
        </w:tc>
        <w:tc>
          <w:tcPr>
            <w:tcW w:w="2752" w:type="pct"/>
          </w:tcPr>
          <w:p w14:paraId="7756602B" w14:textId="47B44F6D" w:rsidR="00AD38E5" w:rsidRPr="00334A6B" w:rsidRDefault="00AD38E5" w:rsidP="007925DF">
            <w:pPr>
              <w:pStyle w:val="TableText0"/>
            </w:pPr>
            <w:r w:rsidRPr="00334A6B">
              <w:t>PBS items:</w:t>
            </w:r>
          </w:p>
          <w:p w14:paraId="2E9A2355" w14:textId="17DF5BCF" w:rsidR="004658B5" w:rsidRPr="00334A6B" w:rsidRDefault="00AD38E5" w:rsidP="007925DF">
            <w:pPr>
              <w:pStyle w:val="TableText0"/>
            </w:pPr>
            <w:r w:rsidRPr="00334A6B">
              <w:t>1928L- methylprednisolone injection, $8.17</w:t>
            </w:r>
          </w:p>
          <w:p w14:paraId="43F57750" w14:textId="3A04CF52" w:rsidR="00AD38E5" w:rsidRPr="00334A6B" w:rsidRDefault="00AD38E5" w:rsidP="007925DF">
            <w:pPr>
              <w:pStyle w:val="TableText0"/>
            </w:pPr>
            <w:r w:rsidRPr="00334A6B">
              <w:t>2507Y – dexamethasone 4mg tablet, $0.65</w:t>
            </w:r>
          </w:p>
        </w:tc>
        <w:tc>
          <w:tcPr>
            <w:tcW w:w="1308" w:type="pct"/>
          </w:tcPr>
          <w:p w14:paraId="3AEEFE59" w14:textId="02A18C64" w:rsidR="004658B5" w:rsidRPr="00334A6B" w:rsidRDefault="00AD38E5" w:rsidP="00D244B6">
            <w:pPr>
              <w:pStyle w:val="TableText0"/>
            </w:pPr>
            <w:r w:rsidRPr="00334A6B">
              <w:t xml:space="preserve">Consistent with Section 3, but assumes all patients will use dexamethasone </w:t>
            </w:r>
            <w:proofErr w:type="spellStart"/>
            <w:proofErr w:type="gramStart"/>
            <w:r w:rsidRPr="00334A6B">
              <w:t>pre med</w:t>
            </w:r>
            <w:proofErr w:type="spellEnd"/>
            <w:proofErr w:type="gramEnd"/>
            <w:r w:rsidRPr="00334A6B">
              <w:t xml:space="preserve"> rather than IV steroids – likely overestimate.</w:t>
            </w:r>
          </w:p>
        </w:tc>
      </w:tr>
      <w:tr w:rsidR="004658B5" w:rsidRPr="00334A6B" w14:paraId="7B7FA999" w14:textId="77777777" w:rsidTr="58C81D04">
        <w:tc>
          <w:tcPr>
            <w:tcW w:w="940" w:type="pct"/>
          </w:tcPr>
          <w:p w14:paraId="2C67FF14" w14:textId="65846C5C" w:rsidR="004658B5" w:rsidRPr="00334A6B" w:rsidRDefault="004658B5" w:rsidP="007925DF">
            <w:pPr>
              <w:pStyle w:val="TableText0"/>
            </w:pPr>
            <w:r w:rsidRPr="00334A6B">
              <w:t>MBS item</w:t>
            </w:r>
          </w:p>
        </w:tc>
        <w:tc>
          <w:tcPr>
            <w:tcW w:w="2752" w:type="pct"/>
          </w:tcPr>
          <w:p w14:paraId="1DC67982" w14:textId="264ABB92" w:rsidR="004658B5" w:rsidRPr="00334A6B" w:rsidRDefault="00AD38E5" w:rsidP="007925DF">
            <w:pPr>
              <w:pStyle w:val="TableText0"/>
            </w:pPr>
            <w:r w:rsidRPr="00334A6B">
              <w:t>MBS item 14245 – IV infusion, $111.60</w:t>
            </w:r>
          </w:p>
          <w:p w14:paraId="3BD3C597" w14:textId="77777777" w:rsidR="00AD38E5" w:rsidRPr="00334A6B" w:rsidRDefault="00AD38E5" w:rsidP="007925DF">
            <w:pPr>
              <w:pStyle w:val="TableText0"/>
            </w:pPr>
            <w:r w:rsidRPr="00334A6B">
              <w:t>MBS item 11716, continuous ambulatory ECG, $190.85</w:t>
            </w:r>
          </w:p>
          <w:p w14:paraId="2CB17643" w14:textId="10D4A443" w:rsidR="00AD38E5" w:rsidRPr="00334A6B" w:rsidRDefault="00AD38E5" w:rsidP="007925DF">
            <w:pPr>
              <w:pStyle w:val="TableText0"/>
            </w:pPr>
            <w:r w:rsidRPr="00334A6B">
              <w:t xml:space="preserve">MBS Item 23, GP </w:t>
            </w:r>
            <w:r w:rsidR="00771EF0" w:rsidRPr="00334A6B">
              <w:t>consult level</w:t>
            </w:r>
            <w:r w:rsidRPr="00334A6B">
              <w:t xml:space="preserve"> B, $42.85</w:t>
            </w:r>
          </w:p>
        </w:tc>
        <w:tc>
          <w:tcPr>
            <w:tcW w:w="1308" w:type="pct"/>
          </w:tcPr>
          <w:p w14:paraId="2F12B392" w14:textId="30DADD75" w:rsidR="004658B5" w:rsidRPr="00334A6B" w:rsidRDefault="00AD38E5" w:rsidP="58C81D04">
            <w:pPr>
              <w:pStyle w:val="TableText0"/>
            </w:pPr>
            <w:r w:rsidRPr="00334A6B">
              <w:t>Consistent with</w:t>
            </w:r>
            <w:r w:rsidR="003F62EB" w:rsidRPr="00334A6B">
              <w:t xml:space="preserve"> Section 3</w:t>
            </w:r>
            <w:r w:rsidR="00771EF0" w:rsidRPr="00334A6B">
              <w:t xml:space="preserve">. </w:t>
            </w:r>
            <w:r w:rsidRPr="00334A6B">
              <w:t>IV infusion costs may be appropriate. ECG and GP costs inappropriate and an overestimate</w:t>
            </w:r>
            <w:r w:rsidR="00771EF0" w:rsidRPr="00334A6B">
              <w:t xml:space="preserve">. </w:t>
            </w:r>
          </w:p>
        </w:tc>
      </w:tr>
    </w:tbl>
    <w:p w14:paraId="00C0DDD8" w14:textId="54200C05" w:rsidR="00276F88" w:rsidRPr="00334A6B" w:rsidRDefault="00E42F73" w:rsidP="007925DF">
      <w:pPr>
        <w:pStyle w:val="FooterTableFigure"/>
      </w:pPr>
      <w:r w:rsidRPr="00334A6B">
        <w:t xml:space="preserve">Source: </w:t>
      </w:r>
      <w:r w:rsidR="00AD38E5" w:rsidRPr="00334A6B">
        <w:t>compiled form Section 4 of the submission.</w:t>
      </w:r>
    </w:p>
    <w:p w14:paraId="26FB6670" w14:textId="73E8BEC0" w:rsidR="00B505C8" w:rsidRPr="00A5498D" w:rsidRDefault="003F62EB" w:rsidP="00A5498D">
      <w:pPr>
        <w:pStyle w:val="3-BodyText"/>
        <w:rPr>
          <w:color w:val="0066FF"/>
        </w:rPr>
      </w:pPr>
      <w:r w:rsidRPr="00334A6B">
        <w:t>The estimated number of scripts and total financial impact as presented in the submission using published prices is shown in</w:t>
      </w:r>
      <w:r w:rsidR="00E96034" w:rsidRPr="00334A6B">
        <w:t xml:space="preserve"> </w:t>
      </w:r>
      <w:r w:rsidRPr="00334A6B">
        <w:fldChar w:fldCharType="begin"/>
      </w:r>
      <w:r w:rsidRPr="00334A6B">
        <w:instrText xml:space="preserve"> REF _Ref104805295 \h </w:instrText>
      </w:r>
      <w:r w:rsidR="00334A6B" w:rsidRPr="00334A6B">
        <w:instrText xml:space="preserve"> \* MERGEFORMAT </w:instrText>
      </w:r>
      <w:r w:rsidRPr="00334A6B">
        <w:fldChar w:fldCharType="separate"/>
      </w:r>
      <w:r w:rsidR="00D925D4" w:rsidRPr="00334A6B">
        <w:t xml:space="preserve">Table </w:t>
      </w:r>
      <w:r w:rsidR="00D925D4">
        <w:rPr>
          <w:noProof/>
        </w:rPr>
        <w:t>15</w:t>
      </w:r>
      <w:r w:rsidRPr="00334A6B">
        <w:fldChar w:fldCharType="end"/>
      </w:r>
      <w:r w:rsidR="007F38D9" w:rsidRPr="00334A6B">
        <w:t>5</w:t>
      </w:r>
      <w:r w:rsidRPr="00334A6B">
        <w:t xml:space="preserve">. </w:t>
      </w:r>
    </w:p>
    <w:p w14:paraId="38EC053C" w14:textId="471AD485" w:rsidR="00C25D9C" w:rsidRPr="00334A6B" w:rsidRDefault="00E16AD8" w:rsidP="00E16AD8">
      <w:pPr>
        <w:pStyle w:val="Caption"/>
      </w:pPr>
      <w:bookmarkStart w:id="71" w:name="_Ref104805295"/>
      <w:r w:rsidRPr="00334A6B">
        <w:lastRenderedPageBreak/>
        <w:t xml:space="preserve">Table </w:t>
      </w:r>
      <w:r w:rsidR="00E96034">
        <w:fldChar w:fldCharType="begin"/>
      </w:r>
      <w:r w:rsidR="00E96034">
        <w:instrText xml:space="preserve"> SEQ Table \* ARABIC </w:instrText>
      </w:r>
      <w:r w:rsidR="00E96034">
        <w:fldChar w:fldCharType="separate"/>
      </w:r>
      <w:r w:rsidR="00D925D4">
        <w:rPr>
          <w:noProof/>
        </w:rPr>
        <w:t>15</w:t>
      </w:r>
      <w:r w:rsidR="00E96034">
        <w:rPr>
          <w:noProof/>
        </w:rPr>
        <w:fldChar w:fldCharType="end"/>
      </w:r>
      <w:bookmarkEnd w:id="71"/>
      <w:r w:rsidR="007F38D9" w:rsidRPr="00334A6B">
        <w:rPr>
          <w:noProof/>
        </w:rPr>
        <w:t>5</w:t>
      </w:r>
      <w:r w:rsidRPr="00334A6B">
        <w:t>:</w:t>
      </w:r>
      <w:r w:rsidR="002A2F50" w:rsidRPr="00334A6B">
        <w:rPr>
          <w:rStyle w:val="CommentReference"/>
          <w:b/>
          <w:szCs w:val="24"/>
        </w:rPr>
        <w:t xml:space="preserve"> Estimated use and financial implications</w:t>
      </w:r>
      <w:r w:rsidR="007C4891" w:rsidRPr="00334A6B">
        <w:rPr>
          <w:rStyle w:val="CommentReference"/>
          <w:b/>
          <w:szCs w:val="24"/>
        </w:rPr>
        <w:t xml:space="preserve"> based on published prices, DPMQ</w:t>
      </w:r>
    </w:p>
    <w:tbl>
      <w:tblPr>
        <w:tblStyle w:val="TableGrid"/>
        <w:tblW w:w="5028" w:type="pct"/>
        <w:tblLayout w:type="fixed"/>
        <w:tblCellMar>
          <w:left w:w="28" w:type="dxa"/>
          <w:right w:w="28" w:type="dxa"/>
        </w:tblCellMar>
        <w:tblLook w:val="04A0" w:firstRow="1" w:lastRow="0" w:firstColumn="1" w:lastColumn="0" w:noHBand="0" w:noVBand="1"/>
      </w:tblPr>
      <w:tblGrid>
        <w:gridCol w:w="2264"/>
        <w:gridCol w:w="1138"/>
        <w:gridCol w:w="1133"/>
        <w:gridCol w:w="1133"/>
        <w:gridCol w:w="1133"/>
        <w:gridCol w:w="1133"/>
        <w:gridCol w:w="1133"/>
      </w:tblGrid>
      <w:tr w:rsidR="00276F88" w:rsidRPr="005B799B" w14:paraId="43A2A3A1" w14:textId="77777777" w:rsidTr="005D33F6">
        <w:trPr>
          <w:trHeight w:val="20"/>
        </w:trPr>
        <w:tc>
          <w:tcPr>
            <w:tcW w:w="1248" w:type="pct"/>
          </w:tcPr>
          <w:p w14:paraId="0A4E41E1" w14:textId="77777777" w:rsidR="00385A9D" w:rsidRPr="005B799B" w:rsidRDefault="00385A9D" w:rsidP="0038000D">
            <w:pPr>
              <w:pStyle w:val="In-tableHeading"/>
              <w:rPr>
                <w:szCs w:val="20"/>
              </w:rPr>
            </w:pPr>
          </w:p>
        </w:tc>
        <w:tc>
          <w:tcPr>
            <w:tcW w:w="627" w:type="pct"/>
            <w:vAlign w:val="center"/>
          </w:tcPr>
          <w:p w14:paraId="77420B6F" w14:textId="77777777" w:rsidR="00385A9D" w:rsidRPr="005B799B" w:rsidRDefault="00385A9D" w:rsidP="005D33F6">
            <w:pPr>
              <w:pStyle w:val="In-tableHeading"/>
              <w:jc w:val="center"/>
              <w:rPr>
                <w:szCs w:val="20"/>
              </w:rPr>
            </w:pPr>
            <w:r w:rsidRPr="005B799B">
              <w:rPr>
                <w:szCs w:val="20"/>
              </w:rPr>
              <w:t>Year 1</w:t>
            </w:r>
          </w:p>
        </w:tc>
        <w:tc>
          <w:tcPr>
            <w:tcW w:w="625" w:type="pct"/>
            <w:vAlign w:val="center"/>
          </w:tcPr>
          <w:p w14:paraId="3BBD9218" w14:textId="77777777" w:rsidR="00385A9D" w:rsidRPr="005B799B" w:rsidRDefault="00385A9D" w:rsidP="005D33F6">
            <w:pPr>
              <w:pStyle w:val="In-tableHeading"/>
              <w:jc w:val="center"/>
              <w:rPr>
                <w:szCs w:val="20"/>
              </w:rPr>
            </w:pPr>
            <w:r w:rsidRPr="005B799B">
              <w:rPr>
                <w:szCs w:val="20"/>
              </w:rPr>
              <w:t>Year 2</w:t>
            </w:r>
          </w:p>
        </w:tc>
        <w:tc>
          <w:tcPr>
            <w:tcW w:w="625" w:type="pct"/>
            <w:vAlign w:val="center"/>
          </w:tcPr>
          <w:p w14:paraId="729A646E" w14:textId="77777777" w:rsidR="00385A9D" w:rsidRPr="005B799B" w:rsidRDefault="00385A9D" w:rsidP="005D33F6">
            <w:pPr>
              <w:pStyle w:val="In-tableHeading"/>
              <w:jc w:val="center"/>
              <w:rPr>
                <w:szCs w:val="20"/>
              </w:rPr>
            </w:pPr>
            <w:r w:rsidRPr="005B799B">
              <w:rPr>
                <w:szCs w:val="20"/>
              </w:rPr>
              <w:t>Year 3</w:t>
            </w:r>
          </w:p>
        </w:tc>
        <w:tc>
          <w:tcPr>
            <w:tcW w:w="625" w:type="pct"/>
            <w:vAlign w:val="center"/>
          </w:tcPr>
          <w:p w14:paraId="280BB544" w14:textId="77777777" w:rsidR="00385A9D" w:rsidRPr="005B799B" w:rsidRDefault="00385A9D" w:rsidP="005D33F6">
            <w:pPr>
              <w:pStyle w:val="In-tableHeading"/>
              <w:jc w:val="center"/>
              <w:rPr>
                <w:szCs w:val="20"/>
              </w:rPr>
            </w:pPr>
            <w:r w:rsidRPr="005B799B">
              <w:rPr>
                <w:szCs w:val="20"/>
              </w:rPr>
              <w:t>Year 4</w:t>
            </w:r>
          </w:p>
        </w:tc>
        <w:tc>
          <w:tcPr>
            <w:tcW w:w="625" w:type="pct"/>
            <w:vAlign w:val="center"/>
          </w:tcPr>
          <w:p w14:paraId="6435BB5B" w14:textId="77777777" w:rsidR="00385A9D" w:rsidRPr="005B799B" w:rsidRDefault="00385A9D" w:rsidP="005D33F6">
            <w:pPr>
              <w:pStyle w:val="In-tableHeading"/>
              <w:jc w:val="center"/>
              <w:rPr>
                <w:szCs w:val="20"/>
              </w:rPr>
            </w:pPr>
            <w:r w:rsidRPr="005B799B">
              <w:rPr>
                <w:szCs w:val="20"/>
              </w:rPr>
              <w:t>Year 5</w:t>
            </w:r>
          </w:p>
        </w:tc>
        <w:tc>
          <w:tcPr>
            <w:tcW w:w="626" w:type="pct"/>
            <w:vAlign w:val="center"/>
          </w:tcPr>
          <w:p w14:paraId="7C618119" w14:textId="77777777" w:rsidR="00385A9D" w:rsidRPr="005B799B" w:rsidRDefault="00385A9D" w:rsidP="005D33F6">
            <w:pPr>
              <w:pStyle w:val="In-tableHeading"/>
              <w:jc w:val="center"/>
              <w:rPr>
                <w:szCs w:val="20"/>
              </w:rPr>
            </w:pPr>
            <w:r w:rsidRPr="005B799B">
              <w:rPr>
                <w:szCs w:val="20"/>
              </w:rPr>
              <w:t>Year 6</w:t>
            </w:r>
          </w:p>
        </w:tc>
      </w:tr>
      <w:tr w:rsidR="00385A9D" w:rsidRPr="005B799B" w14:paraId="3C519059" w14:textId="77777777" w:rsidTr="005D33F6">
        <w:trPr>
          <w:trHeight w:val="20"/>
        </w:trPr>
        <w:tc>
          <w:tcPr>
            <w:tcW w:w="5000" w:type="pct"/>
            <w:gridSpan w:val="7"/>
          </w:tcPr>
          <w:p w14:paraId="516C2197" w14:textId="77777777" w:rsidR="00385A9D" w:rsidRPr="005B799B" w:rsidRDefault="00385A9D" w:rsidP="0038000D">
            <w:pPr>
              <w:pStyle w:val="In-tableHeading"/>
              <w:rPr>
                <w:szCs w:val="20"/>
              </w:rPr>
            </w:pPr>
            <w:r w:rsidRPr="005B799B">
              <w:rPr>
                <w:szCs w:val="20"/>
              </w:rPr>
              <w:t>Estimated extent of use</w:t>
            </w:r>
          </w:p>
        </w:tc>
      </w:tr>
      <w:tr w:rsidR="00276F88" w:rsidRPr="005B799B" w14:paraId="6C360F6B" w14:textId="77777777" w:rsidTr="005D33F6">
        <w:trPr>
          <w:trHeight w:val="20"/>
        </w:trPr>
        <w:tc>
          <w:tcPr>
            <w:tcW w:w="1248" w:type="pct"/>
          </w:tcPr>
          <w:p w14:paraId="62B31341" w14:textId="1E6A48AC" w:rsidR="00DA3190" w:rsidRPr="005B799B" w:rsidRDefault="00DA3190" w:rsidP="00DA3190">
            <w:pPr>
              <w:pStyle w:val="TableText0"/>
              <w:rPr>
                <w:szCs w:val="20"/>
              </w:rPr>
            </w:pPr>
            <w:r w:rsidRPr="005B799B">
              <w:rPr>
                <w:szCs w:val="20"/>
              </w:rPr>
              <w:t>Number of patients</w:t>
            </w:r>
          </w:p>
        </w:tc>
        <w:tc>
          <w:tcPr>
            <w:tcW w:w="627" w:type="pct"/>
            <w:vAlign w:val="center"/>
          </w:tcPr>
          <w:p w14:paraId="0AF68533" w14:textId="441AA4D1" w:rsidR="00DA3190" w:rsidRPr="00CA6EBE" w:rsidRDefault="001F633E" w:rsidP="005B799B">
            <w:pPr>
              <w:pStyle w:val="TableText0"/>
              <w:jc w:val="center"/>
              <w:rPr>
                <w:bCs w:val="0"/>
                <w:szCs w:val="20"/>
                <w:vertAlign w:val="superscript"/>
              </w:rPr>
            </w:pPr>
            <w:r w:rsidRPr="001F633E">
              <w:rPr>
                <w:bCs w:val="0"/>
                <w:color w:val="000000"/>
                <w:spacing w:val="53"/>
                <w:szCs w:val="20"/>
                <w:shd w:val="solid" w:color="000000" w:fill="000000"/>
                <w:fitText w:val="330" w:id="-663554299"/>
                <w14:textFill>
                  <w14:solidFill>
                    <w14:srgbClr w14:val="000000">
                      <w14:alpha w14:val="100000"/>
                    </w14:srgbClr>
                  </w14:solidFill>
                </w14:textFill>
              </w:rPr>
              <w:t>|||</w:t>
            </w:r>
            <w:r w:rsidRPr="001F633E">
              <w:rPr>
                <w:bCs w:val="0"/>
                <w:color w:val="000000"/>
                <w:spacing w:val="1"/>
                <w:szCs w:val="20"/>
                <w:shd w:val="solid" w:color="000000" w:fill="000000"/>
                <w:fitText w:val="330" w:id="-663554299"/>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2E60AE2D" w14:textId="108F624D" w:rsidR="00DA3190" w:rsidRPr="005B799B" w:rsidRDefault="001F633E" w:rsidP="005B799B">
            <w:pPr>
              <w:pStyle w:val="TableText0"/>
              <w:jc w:val="center"/>
              <w:rPr>
                <w:bCs w:val="0"/>
                <w:szCs w:val="20"/>
              </w:rPr>
            </w:pPr>
            <w:r w:rsidRPr="001F633E">
              <w:rPr>
                <w:bCs w:val="0"/>
                <w:color w:val="000000"/>
                <w:spacing w:val="49"/>
                <w:szCs w:val="20"/>
                <w:shd w:val="solid" w:color="000000" w:fill="000000"/>
                <w:fitText w:val="320" w:id="-663554298"/>
                <w14:textFill>
                  <w14:solidFill>
                    <w14:srgbClr w14:val="000000">
                      <w14:alpha w14:val="100000"/>
                    </w14:srgbClr>
                  </w14:solidFill>
                </w14:textFill>
              </w:rPr>
              <w:t>|||</w:t>
            </w:r>
            <w:r w:rsidRPr="001F633E">
              <w:rPr>
                <w:bCs w:val="0"/>
                <w:color w:val="000000"/>
                <w:spacing w:val="3"/>
                <w:szCs w:val="20"/>
                <w:shd w:val="solid" w:color="000000" w:fill="000000"/>
                <w:fitText w:val="320" w:id="-663554298"/>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4E06B41C" w14:textId="5F68A992" w:rsidR="00DA3190" w:rsidRPr="005B799B" w:rsidRDefault="001F633E" w:rsidP="005B799B">
            <w:pPr>
              <w:pStyle w:val="TableText0"/>
              <w:jc w:val="center"/>
              <w:rPr>
                <w:bCs w:val="0"/>
                <w:szCs w:val="20"/>
              </w:rPr>
            </w:pPr>
            <w:r w:rsidRPr="001F633E">
              <w:rPr>
                <w:bCs w:val="0"/>
                <w:color w:val="000000"/>
                <w:spacing w:val="49"/>
                <w:szCs w:val="20"/>
                <w:shd w:val="solid" w:color="000000" w:fill="000000"/>
                <w:fitText w:val="320" w:id="-663554297"/>
                <w14:textFill>
                  <w14:solidFill>
                    <w14:srgbClr w14:val="000000">
                      <w14:alpha w14:val="100000"/>
                    </w14:srgbClr>
                  </w14:solidFill>
                </w14:textFill>
              </w:rPr>
              <w:t>|||</w:t>
            </w:r>
            <w:r w:rsidRPr="001F633E">
              <w:rPr>
                <w:bCs w:val="0"/>
                <w:color w:val="000000"/>
                <w:spacing w:val="3"/>
                <w:szCs w:val="20"/>
                <w:shd w:val="solid" w:color="000000" w:fill="000000"/>
                <w:fitText w:val="320" w:id="-663554297"/>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7238861D" w14:textId="14CCFA11" w:rsidR="00DA3190" w:rsidRPr="005B799B" w:rsidRDefault="001F633E" w:rsidP="005B799B">
            <w:pPr>
              <w:pStyle w:val="TableText0"/>
              <w:jc w:val="center"/>
              <w:rPr>
                <w:bCs w:val="0"/>
                <w:szCs w:val="20"/>
              </w:rPr>
            </w:pPr>
            <w:r w:rsidRPr="001F633E">
              <w:rPr>
                <w:bCs w:val="0"/>
                <w:color w:val="000000"/>
                <w:spacing w:val="49"/>
                <w:szCs w:val="20"/>
                <w:shd w:val="solid" w:color="000000" w:fill="000000"/>
                <w:fitText w:val="320" w:id="-663554296"/>
                <w14:textFill>
                  <w14:solidFill>
                    <w14:srgbClr w14:val="000000">
                      <w14:alpha w14:val="100000"/>
                    </w14:srgbClr>
                  </w14:solidFill>
                </w14:textFill>
              </w:rPr>
              <w:t>|||</w:t>
            </w:r>
            <w:r w:rsidRPr="001F633E">
              <w:rPr>
                <w:bCs w:val="0"/>
                <w:color w:val="000000"/>
                <w:spacing w:val="3"/>
                <w:szCs w:val="20"/>
                <w:shd w:val="solid" w:color="000000" w:fill="000000"/>
                <w:fitText w:val="320" w:id="-663554296"/>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7D7DEE9B" w14:textId="3BAEEDC3" w:rsidR="00DA3190" w:rsidRPr="005B799B" w:rsidRDefault="001F633E" w:rsidP="005B799B">
            <w:pPr>
              <w:pStyle w:val="TableText0"/>
              <w:jc w:val="center"/>
              <w:rPr>
                <w:bCs w:val="0"/>
                <w:szCs w:val="20"/>
              </w:rPr>
            </w:pPr>
            <w:r w:rsidRPr="001F633E">
              <w:rPr>
                <w:bCs w:val="0"/>
                <w:color w:val="000000"/>
                <w:spacing w:val="49"/>
                <w:szCs w:val="20"/>
                <w:shd w:val="solid" w:color="000000" w:fill="000000"/>
                <w:fitText w:val="320" w:id="-663554295"/>
                <w14:textFill>
                  <w14:solidFill>
                    <w14:srgbClr w14:val="000000">
                      <w14:alpha w14:val="100000"/>
                    </w14:srgbClr>
                  </w14:solidFill>
                </w14:textFill>
              </w:rPr>
              <w:t>|||</w:t>
            </w:r>
            <w:r w:rsidRPr="001F633E">
              <w:rPr>
                <w:bCs w:val="0"/>
                <w:color w:val="000000"/>
                <w:spacing w:val="3"/>
                <w:szCs w:val="20"/>
                <w:shd w:val="solid" w:color="000000" w:fill="000000"/>
                <w:fitText w:val="320" w:id="-663554295"/>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6" w:type="pct"/>
            <w:vAlign w:val="center"/>
          </w:tcPr>
          <w:p w14:paraId="6337BC0C" w14:textId="23524758" w:rsidR="00DA3190" w:rsidRPr="005B799B" w:rsidRDefault="001F633E" w:rsidP="005B799B">
            <w:pPr>
              <w:pStyle w:val="TableText0"/>
              <w:jc w:val="center"/>
              <w:rPr>
                <w:bCs w:val="0"/>
                <w:szCs w:val="20"/>
              </w:rPr>
            </w:pPr>
            <w:r w:rsidRPr="001F633E">
              <w:rPr>
                <w:bCs w:val="0"/>
                <w:color w:val="000000"/>
                <w:spacing w:val="49"/>
                <w:szCs w:val="20"/>
                <w:shd w:val="solid" w:color="000000" w:fill="000000"/>
                <w:fitText w:val="320" w:id="-663554294"/>
                <w14:textFill>
                  <w14:solidFill>
                    <w14:srgbClr w14:val="000000">
                      <w14:alpha w14:val="100000"/>
                    </w14:srgbClr>
                  </w14:solidFill>
                </w14:textFill>
              </w:rPr>
              <w:t>|||</w:t>
            </w:r>
            <w:r w:rsidRPr="001F633E">
              <w:rPr>
                <w:bCs w:val="0"/>
                <w:color w:val="000000"/>
                <w:spacing w:val="3"/>
                <w:szCs w:val="20"/>
                <w:shd w:val="solid" w:color="000000" w:fill="000000"/>
                <w:fitText w:val="320" w:id="-663554294"/>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r>
      <w:tr w:rsidR="00276F88" w:rsidRPr="005B799B" w14:paraId="1CEE4D09" w14:textId="77777777" w:rsidTr="005D33F6">
        <w:trPr>
          <w:trHeight w:val="20"/>
        </w:trPr>
        <w:tc>
          <w:tcPr>
            <w:tcW w:w="1248" w:type="pct"/>
          </w:tcPr>
          <w:p w14:paraId="229A1EDF" w14:textId="6E72AF25" w:rsidR="00DA3190" w:rsidRPr="005B799B" w:rsidRDefault="00DA3190" w:rsidP="58C81D04">
            <w:pPr>
              <w:pStyle w:val="TableText0"/>
              <w:rPr>
                <w:szCs w:val="20"/>
                <w:vertAlign w:val="superscript"/>
              </w:rPr>
            </w:pPr>
            <w:r w:rsidRPr="005B799B">
              <w:rPr>
                <w:szCs w:val="20"/>
              </w:rPr>
              <w:t xml:space="preserve">Number of scripts </w:t>
            </w:r>
            <w:proofErr w:type="spellStart"/>
            <w:r w:rsidRPr="005B799B">
              <w:rPr>
                <w:szCs w:val="20"/>
              </w:rPr>
              <w:t>dispensed</w:t>
            </w:r>
            <w:r w:rsidRPr="005B799B">
              <w:rPr>
                <w:szCs w:val="20"/>
                <w:vertAlign w:val="superscript"/>
              </w:rPr>
              <w:t>a</w:t>
            </w:r>
            <w:proofErr w:type="spellEnd"/>
          </w:p>
        </w:tc>
        <w:tc>
          <w:tcPr>
            <w:tcW w:w="627" w:type="pct"/>
            <w:vAlign w:val="center"/>
          </w:tcPr>
          <w:p w14:paraId="0D9F25C2" w14:textId="74F52683" w:rsidR="00DA3190" w:rsidRPr="005B799B" w:rsidRDefault="001F633E" w:rsidP="005B799B">
            <w:pPr>
              <w:pStyle w:val="TableText0"/>
              <w:jc w:val="center"/>
              <w:rPr>
                <w:bCs w:val="0"/>
                <w:color w:val="000000"/>
                <w:szCs w:val="20"/>
              </w:rPr>
            </w:pPr>
            <w:r w:rsidRPr="001F633E">
              <w:rPr>
                <w:bCs w:val="0"/>
                <w:color w:val="000000"/>
                <w:spacing w:val="53"/>
                <w:szCs w:val="20"/>
                <w:shd w:val="solid" w:color="000000" w:fill="000000"/>
                <w:fitText w:val="330" w:id="-663554293"/>
                <w14:textFill>
                  <w14:solidFill>
                    <w14:srgbClr w14:val="000000">
                      <w14:alpha w14:val="100000"/>
                    </w14:srgbClr>
                  </w14:solidFill>
                </w14:textFill>
              </w:rPr>
              <w:t>|||</w:t>
            </w:r>
            <w:r w:rsidRPr="001F633E">
              <w:rPr>
                <w:bCs w:val="0"/>
                <w:color w:val="000000"/>
                <w:spacing w:val="1"/>
                <w:szCs w:val="20"/>
                <w:shd w:val="solid" w:color="000000" w:fill="000000"/>
                <w:fitText w:val="330" w:id="-663554293"/>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2D7847AA" w14:textId="617E370C" w:rsidR="00DA3190" w:rsidRPr="005B799B" w:rsidRDefault="001F633E" w:rsidP="005B799B">
            <w:pPr>
              <w:pStyle w:val="TableText0"/>
              <w:jc w:val="center"/>
              <w:rPr>
                <w:bCs w:val="0"/>
                <w:color w:val="000000"/>
                <w:szCs w:val="20"/>
              </w:rPr>
            </w:pPr>
            <w:r w:rsidRPr="001F633E">
              <w:rPr>
                <w:bCs w:val="0"/>
                <w:color w:val="000000"/>
                <w:spacing w:val="49"/>
                <w:szCs w:val="20"/>
                <w:shd w:val="solid" w:color="000000" w:fill="000000"/>
                <w:fitText w:val="320" w:id="-663554292"/>
                <w14:textFill>
                  <w14:solidFill>
                    <w14:srgbClr w14:val="000000">
                      <w14:alpha w14:val="100000"/>
                    </w14:srgbClr>
                  </w14:solidFill>
                </w14:textFill>
              </w:rPr>
              <w:t>|||</w:t>
            </w:r>
            <w:r w:rsidRPr="001F633E">
              <w:rPr>
                <w:bCs w:val="0"/>
                <w:color w:val="000000"/>
                <w:spacing w:val="3"/>
                <w:szCs w:val="20"/>
                <w:shd w:val="solid" w:color="000000" w:fill="000000"/>
                <w:fitText w:val="320" w:id="-663554292"/>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7A620378" w14:textId="322A337F" w:rsidR="00DA3190" w:rsidRPr="005B799B" w:rsidRDefault="001F633E" w:rsidP="005B799B">
            <w:pPr>
              <w:pStyle w:val="TableText0"/>
              <w:jc w:val="center"/>
              <w:rPr>
                <w:bCs w:val="0"/>
                <w:color w:val="000000"/>
                <w:szCs w:val="20"/>
              </w:rPr>
            </w:pPr>
            <w:r w:rsidRPr="001F633E">
              <w:rPr>
                <w:bCs w:val="0"/>
                <w:color w:val="000000"/>
                <w:spacing w:val="49"/>
                <w:szCs w:val="20"/>
                <w:shd w:val="solid" w:color="000000" w:fill="000000"/>
                <w:fitText w:val="320" w:id="-663554291"/>
                <w14:textFill>
                  <w14:solidFill>
                    <w14:srgbClr w14:val="000000">
                      <w14:alpha w14:val="100000"/>
                    </w14:srgbClr>
                  </w14:solidFill>
                </w14:textFill>
              </w:rPr>
              <w:t>|||</w:t>
            </w:r>
            <w:r w:rsidRPr="001F633E">
              <w:rPr>
                <w:bCs w:val="0"/>
                <w:color w:val="000000"/>
                <w:spacing w:val="3"/>
                <w:szCs w:val="20"/>
                <w:shd w:val="solid" w:color="000000" w:fill="000000"/>
                <w:fitText w:val="320" w:id="-663554291"/>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c>
          <w:tcPr>
            <w:tcW w:w="625" w:type="pct"/>
            <w:vAlign w:val="center"/>
          </w:tcPr>
          <w:p w14:paraId="1D2C1413" w14:textId="4F4C7A7A" w:rsidR="00DA3190" w:rsidRPr="005B799B" w:rsidRDefault="001F633E" w:rsidP="005B799B">
            <w:pPr>
              <w:pStyle w:val="TableText0"/>
              <w:jc w:val="center"/>
              <w:rPr>
                <w:bCs w:val="0"/>
                <w:color w:val="000000"/>
                <w:szCs w:val="20"/>
              </w:rPr>
            </w:pPr>
            <w:r w:rsidRPr="001F633E">
              <w:rPr>
                <w:bCs w:val="0"/>
                <w:color w:val="000000"/>
                <w:spacing w:val="49"/>
                <w:szCs w:val="20"/>
                <w:shd w:val="solid" w:color="000000" w:fill="000000"/>
                <w:fitText w:val="320" w:id="-663554290"/>
                <w14:textFill>
                  <w14:solidFill>
                    <w14:srgbClr w14:val="000000">
                      <w14:alpha w14:val="100000"/>
                    </w14:srgbClr>
                  </w14:solidFill>
                </w14:textFill>
              </w:rPr>
              <w:t>|||</w:t>
            </w:r>
            <w:r w:rsidRPr="001F633E">
              <w:rPr>
                <w:bCs w:val="0"/>
                <w:color w:val="000000"/>
                <w:spacing w:val="3"/>
                <w:szCs w:val="20"/>
                <w:shd w:val="solid" w:color="000000" w:fill="000000"/>
                <w:fitText w:val="320" w:id="-663554290"/>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c>
          <w:tcPr>
            <w:tcW w:w="625" w:type="pct"/>
            <w:vAlign w:val="center"/>
          </w:tcPr>
          <w:p w14:paraId="3F0ACB95" w14:textId="6A93C8C3" w:rsidR="00DA3190" w:rsidRPr="005B799B" w:rsidRDefault="001F633E" w:rsidP="005B799B">
            <w:pPr>
              <w:pStyle w:val="TableText0"/>
              <w:jc w:val="center"/>
              <w:rPr>
                <w:bCs w:val="0"/>
                <w:color w:val="000000"/>
                <w:szCs w:val="20"/>
              </w:rPr>
            </w:pPr>
            <w:r w:rsidRPr="001F633E">
              <w:rPr>
                <w:bCs w:val="0"/>
                <w:color w:val="000000"/>
                <w:spacing w:val="49"/>
                <w:szCs w:val="20"/>
                <w:shd w:val="solid" w:color="000000" w:fill="000000"/>
                <w:fitText w:val="320" w:id="-663554289"/>
                <w14:textFill>
                  <w14:solidFill>
                    <w14:srgbClr w14:val="000000">
                      <w14:alpha w14:val="100000"/>
                    </w14:srgbClr>
                  </w14:solidFill>
                </w14:textFill>
              </w:rPr>
              <w:t>|||</w:t>
            </w:r>
            <w:r w:rsidRPr="001F633E">
              <w:rPr>
                <w:bCs w:val="0"/>
                <w:color w:val="000000"/>
                <w:spacing w:val="3"/>
                <w:szCs w:val="20"/>
                <w:shd w:val="solid" w:color="000000" w:fill="000000"/>
                <w:fitText w:val="320" w:id="-663554289"/>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c>
          <w:tcPr>
            <w:tcW w:w="626" w:type="pct"/>
            <w:vAlign w:val="center"/>
          </w:tcPr>
          <w:p w14:paraId="1C30F331" w14:textId="0B30091D" w:rsidR="00DA3190" w:rsidRPr="005B799B" w:rsidRDefault="001F633E" w:rsidP="005B799B">
            <w:pPr>
              <w:pStyle w:val="TableText0"/>
              <w:jc w:val="center"/>
              <w:rPr>
                <w:bCs w:val="0"/>
                <w:color w:val="000000"/>
                <w:szCs w:val="20"/>
              </w:rPr>
            </w:pPr>
            <w:r w:rsidRPr="001F633E">
              <w:rPr>
                <w:bCs w:val="0"/>
                <w:color w:val="000000"/>
                <w:spacing w:val="49"/>
                <w:szCs w:val="20"/>
                <w:shd w:val="solid" w:color="000000" w:fill="000000"/>
                <w:fitText w:val="320" w:id="-663554288"/>
                <w14:textFill>
                  <w14:solidFill>
                    <w14:srgbClr w14:val="000000">
                      <w14:alpha w14:val="100000"/>
                    </w14:srgbClr>
                  </w14:solidFill>
                </w14:textFill>
              </w:rPr>
              <w:t>|||</w:t>
            </w:r>
            <w:r w:rsidRPr="001F633E">
              <w:rPr>
                <w:bCs w:val="0"/>
                <w:color w:val="000000"/>
                <w:spacing w:val="3"/>
                <w:szCs w:val="20"/>
                <w:shd w:val="solid" w:color="000000" w:fill="000000"/>
                <w:fitText w:val="320" w:id="-663554288"/>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r>
      <w:tr w:rsidR="00DA3190" w:rsidRPr="005B799B" w14:paraId="1E699D47" w14:textId="77777777" w:rsidTr="005D33F6">
        <w:trPr>
          <w:trHeight w:val="20"/>
        </w:trPr>
        <w:tc>
          <w:tcPr>
            <w:tcW w:w="5000" w:type="pct"/>
            <w:gridSpan w:val="7"/>
          </w:tcPr>
          <w:p w14:paraId="7D0E0884" w14:textId="4E0B7DAD" w:rsidR="00DA3190" w:rsidRPr="005B799B" w:rsidRDefault="00DA3190" w:rsidP="0038000D">
            <w:pPr>
              <w:pStyle w:val="In-tableHeading"/>
              <w:rPr>
                <w:szCs w:val="20"/>
              </w:rPr>
            </w:pPr>
            <w:r w:rsidRPr="005B799B">
              <w:rPr>
                <w:szCs w:val="20"/>
              </w:rPr>
              <w:t>Estimated financial implications of ublituximab</w:t>
            </w:r>
          </w:p>
        </w:tc>
      </w:tr>
      <w:tr w:rsidR="00276F88" w:rsidRPr="005B799B" w14:paraId="4B4ACF1A" w14:textId="77777777" w:rsidTr="005D33F6">
        <w:trPr>
          <w:trHeight w:val="20"/>
        </w:trPr>
        <w:tc>
          <w:tcPr>
            <w:tcW w:w="1248" w:type="pct"/>
          </w:tcPr>
          <w:p w14:paraId="467993BD" w14:textId="618A57F1" w:rsidR="00DA3190" w:rsidRPr="005B799B" w:rsidRDefault="00DA3190" w:rsidP="00DA3190">
            <w:pPr>
              <w:pStyle w:val="TableText0"/>
              <w:rPr>
                <w:szCs w:val="20"/>
              </w:rPr>
            </w:pPr>
            <w:r w:rsidRPr="005B799B">
              <w:rPr>
                <w:szCs w:val="20"/>
              </w:rPr>
              <w:t>Cost to PBS/RPBS less copayments</w:t>
            </w:r>
          </w:p>
        </w:tc>
        <w:tc>
          <w:tcPr>
            <w:tcW w:w="627" w:type="pct"/>
            <w:vAlign w:val="center"/>
          </w:tcPr>
          <w:p w14:paraId="4125A2B6" w14:textId="2CEBE35B" w:rsidR="00DA3190" w:rsidRPr="005B799B" w:rsidRDefault="00DA3190" w:rsidP="005B799B">
            <w:pPr>
              <w:pStyle w:val="TableText0"/>
              <w:jc w:val="center"/>
              <w:rPr>
                <w:bCs w:val="0"/>
                <w:szCs w:val="20"/>
              </w:rPr>
            </w:pPr>
            <w:r w:rsidRPr="005B799B">
              <w:rPr>
                <w:rFonts w:cs="Arial"/>
                <w:bCs w:val="0"/>
                <w:color w:val="000000"/>
                <w:szCs w:val="20"/>
                <w:lang w:val="en-GB"/>
              </w:rPr>
              <w:t>$</w:t>
            </w:r>
            <w:r w:rsidR="001F633E" w:rsidRPr="001F633E">
              <w:rPr>
                <w:rFonts w:cs="Arial"/>
                <w:bCs w:val="0"/>
                <w:color w:val="000000"/>
                <w:spacing w:val="53"/>
                <w:szCs w:val="20"/>
                <w:shd w:val="solid" w:color="000000" w:fill="000000"/>
                <w:fitText w:val="330" w:id="-663554304"/>
                <w:lang w:val="en-GB"/>
                <w14:textFill>
                  <w14:solidFill>
                    <w14:srgbClr w14:val="000000">
                      <w14:alpha w14:val="100000"/>
                    </w14:srgbClr>
                  </w14:solidFill>
                </w14:textFill>
              </w:rPr>
              <w:t>|||</w:t>
            </w:r>
            <w:r w:rsidR="001F633E" w:rsidRPr="001F633E">
              <w:rPr>
                <w:rFonts w:cs="Arial"/>
                <w:bCs w:val="0"/>
                <w:color w:val="000000"/>
                <w:spacing w:val="1"/>
                <w:szCs w:val="20"/>
                <w:shd w:val="solid" w:color="000000" w:fill="000000"/>
                <w:fitText w:val="330" w:id="-663554304"/>
                <w:lang w:val="en-GB"/>
                <w14:textFill>
                  <w14:solidFill>
                    <w14:srgbClr w14:val="000000">
                      <w14:alpha w14:val="100000"/>
                    </w14:srgbClr>
                  </w14:solidFill>
                </w14:textFill>
              </w:rPr>
              <w:t>|</w:t>
            </w:r>
            <w:r w:rsidR="00CA6EBE">
              <w:rPr>
                <w:bCs w:val="0"/>
                <w:color w:val="000000"/>
                <w:szCs w:val="20"/>
                <w:lang w:val="en-GB"/>
              </w:rPr>
              <w:t xml:space="preserve"> </w:t>
            </w:r>
            <w:r w:rsidR="00CA6EBE">
              <w:rPr>
                <w:bCs w:val="0"/>
                <w:szCs w:val="20"/>
                <w:vertAlign w:val="superscript"/>
              </w:rPr>
              <w:t>3</w:t>
            </w:r>
          </w:p>
        </w:tc>
        <w:tc>
          <w:tcPr>
            <w:tcW w:w="625" w:type="pct"/>
            <w:vAlign w:val="center"/>
          </w:tcPr>
          <w:p w14:paraId="5BDFECEB" w14:textId="3874886E" w:rsidR="00DA3190" w:rsidRPr="005B799B" w:rsidRDefault="00DA3190" w:rsidP="005B799B">
            <w:pPr>
              <w:pStyle w:val="TableText0"/>
              <w:jc w:val="center"/>
              <w:rPr>
                <w:bCs w:val="0"/>
                <w:szCs w:val="20"/>
              </w:rPr>
            </w:pPr>
            <w:r w:rsidRPr="005B799B">
              <w:rPr>
                <w:rFonts w:cs="Arial"/>
                <w:bCs w:val="0"/>
                <w:color w:val="000000"/>
                <w:szCs w:val="20"/>
                <w:lang w:val="en-GB"/>
              </w:rPr>
              <w:t>$</w:t>
            </w:r>
            <w:r w:rsidR="001F633E" w:rsidRPr="001F633E">
              <w:rPr>
                <w:rFonts w:cs="Arial"/>
                <w:bCs w:val="0"/>
                <w:color w:val="000000"/>
                <w:spacing w:val="53"/>
                <w:szCs w:val="20"/>
                <w:shd w:val="solid" w:color="000000" w:fill="000000"/>
                <w:fitText w:val="330" w:id="-663554303"/>
                <w:lang w:val="en-GB"/>
                <w14:textFill>
                  <w14:solidFill>
                    <w14:srgbClr w14:val="000000">
                      <w14:alpha w14:val="100000"/>
                    </w14:srgbClr>
                  </w14:solidFill>
                </w14:textFill>
              </w:rPr>
              <w:t>|||</w:t>
            </w:r>
            <w:r w:rsidR="001F633E" w:rsidRPr="001F633E">
              <w:rPr>
                <w:rFonts w:cs="Arial"/>
                <w:bCs w:val="0"/>
                <w:color w:val="000000"/>
                <w:spacing w:val="1"/>
                <w:szCs w:val="20"/>
                <w:shd w:val="solid" w:color="000000" w:fill="000000"/>
                <w:fitText w:val="330" w:id="-663554303"/>
                <w:lang w:val="en-GB"/>
                <w14:textFill>
                  <w14:solidFill>
                    <w14:srgbClr w14:val="000000">
                      <w14:alpha w14:val="100000"/>
                    </w14:srgbClr>
                  </w14:solidFill>
                </w14:textFill>
              </w:rPr>
              <w:t>|</w:t>
            </w:r>
            <w:r w:rsidR="00CA6EBE">
              <w:rPr>
                <w:bCs w:val="0"/>
                <w:color w:val="000000"/>
                <w:szCs w:val="20"/>
                <w:lang w:val="en-GB"/>
              </w:rPr>
              <w:t xml:space="preserve"> </w:t>
            </w:r>
            <w:r w:rsidR="00CA6EBE">
              <w:rPr>
                <w:bCs w:val="0"/>
                <w:szCs w:val="20"/>
                <w:vertAlign w:val="superscript"/>
              </w:rPr>
              <w:t>4</w:t>
            </w:r>
          </w:p>
        </w:tc>
        <w:tc>
          <w:tcPr>
            <w:tcW w:w="625" w:type="pct"/>
            <w:vAlign w:val="center"/>
          </w:tcPr>
          <w:p w14:paraId="3890D42E" w14:textId="2A1E0FFE" w:rsidR="00DA3190" w:rsidRPr="005B799B" w:rsidRDefault="00DA3190" w:rsidP="005B799B">
            <w:pPr>
              <w:pStyle w:val="TableText0"/>
              <w:jc w:val="center"/>
              <w:rPr>
                <w:bCs w:val="0"/>
                <w:szCs w:val="20"/>
              </w:rPr>
            </w:pPr>
            <w:r w:rsidRPr="005B799B">
              <w:rPr>
                <w:rFonts w:cs="Arial"/>
                <w:bCs w:val="0"/>
                <w:color w:val="000000"/>
                <w:szCs w:val="20"/>
                <w:lang w:val="en-GB"/>
              </w:rPr>
              <w:t>$</w:t>
            </w:r>
            <w:r w:rsidR="001F633E" w:rsidRPr="001F633E">
              <w:rPr>
                <w:rFonts w:cs="Arial"/>
                <w:bCs w:val="0"/>
                <w:color w:val="000000"/>
                <w:spacing w:val="53"/>
                <w:szCs w:val="20"/>
                <w:shd w:val="solid" w:color="000000" w:fill="000000"/>
                <w:fitText w:val="330" w:id="-663554302"/>
                <w:lang w:val="en-GB"/>
                <w14:textFill>
                  <w14:solidFill>
                    <w14:srgbClr w14:val="000000">
                      <w14:alpha w14:val="100000"/>
                    </w14:srgbClr>
                  </w14:solidFill>
                </w14:textFill>
              </w:rPr>
              <w:t>|||</w:t>
            </w:r>
            <w:r w:rsidR="001F633E" w:rsidRPr="001F633E">
              <w:rPr>
                <w:rFonts w:cs="Arial"/>
                <w:bCs w:val="0"/>
                <w:color w:val="000000"/>
                <w:spacing w:val="1"/>
                <w:szCs w:val="20"/>
                <w:shd w:val="solid" w:color="000000" w:fill="000000"/>
                <w:fitText w:val="330" w:id="-663554302"/>
                <w:lang w:val="en-GB"/>
                <w14:textFill>
                  <w14:solidFill>
                    <w14:srgbClr w14:val="000000">
                      <w14:alpha w14:val="100000"/>
                    </w14:srgbClr>
                  </w14:solidFill>
                </w14:textFill>
              </w:rPr>
              <w:t>|</w:t>
            </w:r>
            <w:r w:rsidR="00CA6EBE">
              <w:rPr>
                <w:bCs w:val="0"/>
                <w:color w:val="000000"/>
                <w:szCs w:val="20"/>
                <w:lang w:val="en-GB"/>
              </w:rPr>
              <w:t xml:space="preserve"> </w:t>
            </w:r>
            <w:r w:rsidR="00CA6EBE">
              <w:rPr>
                <w:bCs w:val="0"/>
                <w:szCs w:val="20"/>
                <w:vertAlign w:val="superscript"/>
              </w:rPr>
              <w:t>5</w:t>
            </w:r>
          </w:p>
        </w:tc>
        <w:tc>
          <w:tcPr>
            <w:tcW w:w="625" w:type="pct"/>
            <w:vAlign w:val="center"/>
          </w:tcPr>
          <w:p w14:paraId="2728B643" w14:textId="5BB474E7" w:rsidR="00DA3190" w:rsidRPr="005B799B" w:rsidRDefault="00DA3190" w:rsidP="005B799B">
            <w:pPr>
              <w:pStyle w:val="TableText0"/>
              <w:jc w:val="center"/>
              <w:rPr>
                <w:bCs w:val="0"/>
                <w:szCs w:val="20"/>
              </w:rPr>
            </w:pPr>
            <w:r w:rsidRPr="005B799B">
              <w:rPr>
                <w:rFonts w:cs="Arial"/>
                <w:bCs w:val="0"/>
                <w:color w:val="000000"/>
                <w:szCs w:val="20"/>
                <w:lang w:val="en-GB"/>
              </w:rPr>
              <w:t>$</w:t>
            </w:r>
            <w:r w:rsidR="001F633E" w:rsidRPr="001F633E">
              <w:rPr>
                <w:rFonts w:cs="Arial"/>
                <w:bCs w:val="0"/>
                <w:color w:val="000000"/>
                <w:spacing w:val="53"/>
                <w:szCs w:val="20"/>
                <w:shd w:val="solid" w:color="000000" w:fill="000000"/>
                <w:fitText w:val="330" w:id="-663554301"/>
                <w:lang w:val="en-GB"/>
                <w14:textFill>
                  <w14:solidFill>
                    <w14:srgbClr w14:val="000000">
                      <w14:alpha w14:val="100000"/>
                    </w14:srgbClr>
                  </w14:solidFill>
                </w14:textFill>
              </w:rPr>
              <w:t>|||</w:t>
            </w:r>
            <w:r w:rsidR="001F633E" w:rsidRPr="001F633E">
              <w:rPr>
                <w:rFonts w:cs="Arial"/>
                <w:bCs w:val="0"/>
                <w:color w:val="000000"/>
                <w:spacing w:val="1"/>
                <w:szCs w:val="20"/>
                <w:shd w:val="solid" w:color="000000" w:fill="000000"/>
                <w:fitText w:val="330" w:id="-663554301"/>
                <w:lang w:val="en-GB"/>
                <w14:textFill>
                  <w14:solidFill>
                    <w14:srgbClr w14:val="000000">
                      <w14:alpha w14:val="100000"/>
                    </w14:srgbClr>
                  </w14:solidFill>
                </w14:textFill>
              </w:rPr>
              <w:t>|</w:t>
            </w:r>
            <w:r w:rsidR="00CA6EBE">
              <w:rPr>
                <w:bCs w:val="0"/>
                <w:color w:val="000000"/>
                <w:szCs w:val="20"/>
                <w:lang w:val="en-GB"/>
              </w:rPr>
              <w:t xml:space="preserve"> </w:t>
            </w:r>
            <w:r w:rsidR="00CA6EBE">
              <w:rPr>
                <w:bCs w:val="0"/>
                <w:szCs w:val="20"/>
                <w:vertAlign w:val="superscript"/>
              </w:rPr>
              <w:t>6</w:t>
            </w:r>
          </w:p>
        </w:tc>
        <w:tc>
          <w:tcPr>
            <w:tcW w:w="625" w:type="pct"/>
            <w:vAlign w:val="center"/>
          </w:tcPr>
          <w:p w14:paraId="5FE5021A" w14:textId="3C020A63" w:rsidR="00DA3190" w:rsidRPr="005B799B" w:rsidRDefault="00DA3190" w:rsidP="005B799B">
            <w:pPr>
              <w:pStyle w:val="TableText0"/>
              <w:jc w:val="center"/>
              <w:rPr>
                <w:bCs w:val="0"/>
                <w:szCs w:val="20"/>
              </w:rPr>
            </w:pPr>
            <w:r w:rsidRPr="005B799B">
              <w:rPr>
                <w:rFonts w:cs="Arial"/>
                <w:bCs w:val="0"/>
                <w:color w:val="000000"/>
                <w:szCs w:val="20"/>
                <w:lang w:val="en-GB"/>
              </w:rPr>
              <w:t>$</w:t>
            </w:r>
            <w:r w:rsidR="001F633E" w:rsidRPr="001F633E">
              <w:rPr>
                <w:rFonts w:cs="Arial"/>
                <w:bCs w:val="0"/>
                <w:color w:val="000000"/>
                <w:spacing w:val="53"/>
                <w:szCs w:val="20"/>
                <w:shd w:val="solid" w:color="000000" w:fill="000000"/>
                <w:fitText w:val="330" w:id="-663554300"/>
                <w:lang w:val="en-GB"/>
                <w14:textFill>
                  <w14:solidFill>
                    <w14:srgbClr w14:val="000000">
                      <w14:alpha w14:val="100000"/>
                    </w14:srgbClr>
                  </w14:solidFill>
                </w14:textFill>
              </w:rPr>
              <w:t>|||</w:t>
            </w:r>
            <w:r w:rsidR="001F633E" w:rsidRPr="001F633E">
              <w:rPr>
                <w:rFonts w:cs="Arial"/>
                <w:bCs w:val="0"/>
                <w:color w:val="000000"/>
                <w:spacing w:val="1"/>
                <w:szCs w:val="20"/>
                <w:shd w:val="solid" w:color="000000" w:fill="000000"/>
                <w:fitText w:val="330" w:id="-663554300"/>
                <w:lang w:val="en-GB"/>
                <w14:textFill>
                  <w14:solidFill>
                    <w14:srgbClr w14:val="000000">
                      <w14:alpha w14:val="100000"/>
                    </w14:srgbClr>
                  </w14:solidFill>
                </w14:textFill>
              </w:rPr>
              <w:t>|</w:t>
            </w:r>
            <w:r w:rsidR="00CA6EBE">
              <w:rPr>
                <w:bCs w:val="0"/>
                <w:color w:val="000000"/>
                <w:szCs w:val="20"/>
                <w:lang w:val="en-GB"/>
              </w:rPr>
              <w:t xml:space="preserve"> </w:t>
            </w:r>
            <w:r w:rsidR="00CA6EBE">
              <w:rPr>
                <w:bCs w:val="0"/>
                <w:szCs w:val="20"/>
                <w:vertAlign w:val="superscript"/>
              </w:rPr>
              <w:t>6</w:t>
            </w:r>
          </w:p>
        </w:tc>
        <w:tc>
          <w:tcPr>
            <w:tcW w:w="626" w:type="pct"/>
            <w:vAlign w:val="center"/>
          </w:tcPr>
          <w:p w14:paraId="6F8E9082" w14:textId="4C3FF5DE" w:rsidR="00DA3190" w:rsidRPr="005B799B" w:rsidRDefault="00DA3190" w:rsidP="005B799B">
            <w:pPr>
              <w:pStyle w:val="TableText0"/>
              <w:jc w:val="center"/>
              <w:rPr>
                <w:bCs w:val="0"/>
                <w:szCs w:val="20"/>
              </w:rPr>
            </w:pPr>
            <w:r w:rsidRPr="005B799B">
              <w:rPr>
                <w:rFonts w:cs="Arial"/>
                <w:bCs w:val="0"/>
                <w:color w:val="000000"/>
                <w:szCs w:val="20"/>
                <w:lang w:val="en-GB"/>
              </w:rPr>
              <w:t>$</w:t>
            </w:r>
            <w:r w:rsidR="001F633E" w:rsidRPr="001F633E">
              <w:rPr>
                <w:rFonts w:cs="Arial"/>
                <w:bCs w:val="0"/>
                <w:color w:val="000000"/>
                <w:spacing w:val="53"/>
                <w:szCs w:val="20"/>
                <w:shd w:val="solid" w:color="000000" w:fill="000000"/>
                <w:fitText w:val="330" w:id="-663554299"/>
                <w:lang w:val="en-GB"/>
                <w14:textFill>
                  <w14:solidFill>
                    <w14:srgbClr w14:val="000000">
                      <w14:alpha w14:val="100000"/>
                    </w14:srgbClr>
                  </w14:solidFill>
                </w14:textFill>
              </w:rPr>
              <w:t>|||</w:t>
            </w:r>
            <w:r w:rsidR="001F633E" w:rsidRPr="001F633E">
              <w:rPr>
                <w:rFonts w:cs="Arial"/>
                <w:bCs w:val="0"/>
                <w:color w:val="000000"/>
                <w:spacing w:val="1"/>
                <w:szCs w:val="20"/>
                <w:shd w:val="solid" w:color="000000" w:fill="000000"/>
                <w:fitText w:val="330" w:id="-663554299"/>
                <w:lang w:val="en-GB"/>
                <w14:textFill>
                  <w14:solidFill>
                    <w14:srgbClr w14:val="000000">
                      <w14:alpha w14:val="100000"/>
                    </w14:srgbClr>
                  </w14:solidFill>
                </w14:textFill>
              </w:rPr>
              <w:t>|</w:t>
            </w:r>
            <w:r w:rsidR="00CA6EBE">
              <w:rPr>
                <w:bCs w:val="0"/>
                <w:color w:val="000000"/>
                <w:szCs w:val="20"/>
                <w:lang w:val="en-GB"/>
              </w:rPr>
              <w:t xml:space="preserve"> </w:t>
            </w:r>
            <w:r w:rsidR="00CA6EBE">
              <w:rPr>
                <w:bCs w:val="0"/>
                <w:szCs w:val="20"/>
                <w:vertAlign w:val="superscript"/>
              </w:rPr>
              <w:t>6</w:t>
            </w:r>
          </w:p>
        </w:tc>
      </w:tr>
      <w:tr w:rsidR="00DA3190" w:rsidRPr="005B799B" w14:paraId="344AC0E2" w14:textId="77777777" w:rsidTr="005D33F6">
        <w:trPr>
          <w:trHeight w:val="20"/>
        </w:trPr>
        <w:tc>
          <w:tcPr>
            <w:tcW w:w="5000" w:type="pct"/>
            <w:gridSpan w:val="7"/>
          </w:tcPr>
          <w:p w14:paraId="0FF7E64D" w14:textId="2BB7BE47" w:rsidR="00DA3190" w:rsidRPr="005B799B" w:rsidRDefault="00DA3190" w:rsidP="0038000D">
            <w:pPr>
              <w:pStyle w:val="In-tableHeading"/>
              <w:rPr>
                <w:szCs w:val="20"/>
              </w:rPr>
            </w:pPr>
            <w:r w:rsidRPr="005B799B">
              <w:rPr>
                <w:szCs w:val="20"/>
              </w:rPr>
              <w:t>Estimated financial implications for fingolimod, ocrelizumab and ofatumumab</w:t>
            </w:r>
          </w:p>
        </w:tc>
      </w:tr>
      <w:tr w:rsidR="00276F88" w:rsidRPr="005B799B" w14:paraId="0CE077D9" w14:textId="77777777" w:rsidTr="005D33F6">
        <w:trPr>
          <w:trHeight w:val="20"/>
        </w:trPr>
        <w:tc>
          <w:tcPr>
            <w:tcW w:w="1248" w:type="pct"/>
          </w:tcPr>
          <w:p w14:paraId="40F6A2C5" w14:textId="24D0D9E4" w:rsidR="00DA3190" w:rsidRPr="005B799B" w:rsidRDefault="00DA3190" w:rsidP="00DA3190">
            <w:pPr>
              <w:pStyle w:val="TableText0"/>
              <w:rPr>
                <w:szCs w:val="20"/>
              </w:rPr>
            </w:pPr>
            <w:r w:rsidRPr="005B799B">
              <w:rPr>
                <w:szCs w:val="20"/>
              </w:rPr>
              <w:t>Number of scripts replaced - fingolimod</w:t>
            </w:r>
          </w:p>
        </w:tc>
        <w:tc>
          <w:tcPr>
            <w:tcW w:w="627" w:type="pct"/>
            <w:vAlign w:val="center"/>
          </w:tcPr>
          <w:p w14:paraId="50CF2446" w14:textId="521901D4" w:rsidR="00DA3190" w:rsidRPr="005B799B" w:rsidRDefault="001F633E" w:rsidP="005B799B">
            <w:pPr>
              <w:pStyle w:val="TableText0"/>
              <w:jc w:val="center"/>
              <w:rPr>
                <w:szCs w:val="20"/>
              </w:rPr>
            </w:pPr>
            <w:r w:rsidRPr="001F633E">
              <w:rPr>
                <w:color w:val="000000"/>
                <w:spacing w:val="53"/>
                <w:szCs w:val="20"/>
                <w:shd w:val="solid" w:color="000000" w:fill="000000"/>
                <w:fitText w:val="330" w:id="-663554298"/>
                <w14:textFill>
                  <w14:solidFill>
                    <w14:srgbClr w14:val="000000">
                      <w14:alpha w14:val="100000"/>
                    </w14:srgbClr>
                  </w14:solidFill>
                </w14:textFill>
              </w:rPr>
              <w:t>|||</w:t>
            </w:r>
            <w:r w:rsidRPr="001F633E">
              <w:rPr>
                <w:color w:val="000000"/>
                <w:spacing w:val="1"/>
                <w:szCs w:val="20"/>
                <w:shd w:val="solid" w:color="000000" w:fill="000000"/>
                <w:fitText w:val="330" w:id="-663554298"/>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35AF80ED" w14:textId="62847040"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7"/>
                <w14:textFill>
                  <w14:solidFill>
                    <w14:srgbClr w14:val="000000">
                      <w14:alpha w14:val="100000"/>
                    </w14:srgbClr>
                  </w14:solidFill>
                </w14:textFill>
              </w:rPr>
              <w:t>|||</w:t>
            </w:r>
            <w:r w:rsidRPr="001F633E">
              <w:rPr>
                <w:color w:val="000000"/>
                <w:spacing w:val="3"/>
                <w:szCs w:val="20"/>
                <w:shd w:val="solid" w:color="000000" w:fill="000000"/>
                <w:fitText w:val="320" w:id="-663554297"/>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28F1C25D" w14:textId="2094CEFB"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6"/>
                <w14:textFill>
                  <w14:solidFill>
                    <w14:srgbClr w14:val="000000">
                      <w14:alpha w14:val="100000"/>
                    </w14:srgbClr>
                  </w14:solidFill>
                </w14:textFill>
              </w:rPr>
              <w:t>|||</w:t>
            </w:r>
            <w:r w:rsidRPr="001F633E">
              <w:rPr>
                <w:color w:val="000000"/>
                <w:spacing w:val="3"/>
                <w:szCs w:val="20"/>
                <w:shd w:val="solid" w:color="000000" w:fill="000000"/>
                <w:fitText w:val="320" w:id="-663554296"/>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5DBA4173" w14:textId="5F2B2FEC"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5"/>
                <w14:textFill>
                  <w14:solidFill>
                    <w14:srgbClr w14:val="000000">
                      <w14:alpha w14:val="100000"/>
                    </w14:srgbClr>
                  </w14:solidFill>
                </w14:textFill>
              </w:rPr>
              <w:t>|||</w:t>
            </w:r>
            <w:r w:rsidRPr="001F633E">
              <w:rPr>
                <w:color w:val="000000"/>
                <w:spacing w:val="3"/>
                <w:szCs w:val="20"/>
                <w:shd w:val="solid" w:color="000000" w:fill="000000"/>
                <w:fitText w:val="320" w:id="-663554295"/>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4D6DC68C" w14:textId="6C396409"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4"/>
                <w14:textFill>
                  <w14:solidFill>
                    <w14:srgbClr w14:val="000000">
                      <w14:alpha w14:val="100000"/>
                    </w14:srgbClr>
                  </w14:solidFill>
                </w14:textFill>
              </w:rPr>
              <w:t>|||</w:t>
            </w:r>
            <w:r w:rsidRPr="001F633E">
              <w:rPr>
                <w:color w:val="000000"/>
                <w:spacing w:val="3"/>
                <w:szCs w:val="20"/>
                <w:shd w:val="solid" w:color="000000" w:fill="000000"/>
                <w:fitText w:val="320" w:id="-663554294"/>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6" w:type="pct"/>
            <w:vAlign w:val="center"/>
          </w:tcPr>
          <w:p w14:paraId="0766C6AC" w14:textId="20ED969A"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3"/>
                <w14:textFill>
                  <w14:solidFill>
                    <w14:srgbClr w14:val="000000">
                      <w14:alpha w14:val="100000"/>
                    </w14:srgbClr>
                  </w14:solidFill>
                </w14:textFill>
              </w:rPr>
              <w:t>|||</w:t>
            </w:r>
            <w:r w:rsidRPr="001F633E">
              <w:rPr>
                <w:color w:val="000000"/>
                <w:spacing w:val="3"/>
                <w:szCs w:val="20"/>
                <w:shd w:val="solid" w:color="000000" w:fill="000000"/>
                <w:fitText w:val="320" w:id="-663554293"/>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r>
      <w:tr w:rsidR="00276F88" w:rsidRPr="005B799B" w14:paraId="03936FDA" w14:textId="77777777" w:rsidTr="005D33F6">
        <w:trPr>
          <w:trHeight w:val="20"/>
        </w:trPr>
        <w:tc>
          <w:tcPr>
            <w:tcW w:w="1248" w:type="pct"/>
          </w:tcPr>
          <w:p w14:paraId="0015F11A" w14:textId="09B5FDD8" w:rsidR="00DA3190" w:rsidRPr="005B799B" w:rsidRDefault="00DA3190" w:rsidP="00DA3190">
            <w:pPr>
              <w:pStyle w:val="TableText0"/>
              <w:rPr>
                <w:szCs w:val="20"/>
              </w:rPr>
            </w:pPr>
            <w:r w:rsidRPr="005B799B">
              <w:rPr>
                <w:szCs w:val="20"/>
              </w:rPr>
              <w:t>Number of scripts replaced - ocrelizumab</w:t>
            </w:r>
          </w:p>
        </w:tc>
        <w:tc>
          <w:tcPr>
            <w:tcW w:w="627" w:type="pct"/>
            <w:vAlign w:val="center"/>
          </w:tcPr>
          <w:p w14:paraId="64CF30C9" w14:textId="48E34334" w:rsidR="00DA3190" w:rsidRPr="005B799B" w:rsidRDefault="001F633E" w:rsidP="005B799B">
            <w:pPr>
              <w:pStyle w:val="TableText0"/>
              <w:jc w:val="center"/>
              <w:rPr>
                <w:szCs w:val="20"/>
              </w:rPr>
            </w:pPr>
            <w:r w:rsidRPr="001F633E">
              <w:rPr>
                <w:color w:val="000000"/>
                <w:spacing w:val="53"/>
                <w:szCs w:val="20"/>
                <w:shd w:val="solid" w:color="000000" w:fill="000000"/>
                <w:fitText w:val="330" w:id="-663554292"/>
                <w14:textFill>
                  <w14:solidFill>
                    <w14:srgbClr w14:val="000000">
                      <w14:alpha w14:val="100000"/>
                    </w14:srgbClr>
                  </w14:solidFill>
                </w14:textFill>
              </w:rPr>
              <w:t>|||</w:t>
            </w:r>
            <w:r w:rsidRPr="001F633E">
              <w:rPr>
                <w:color w:val="000000"/>
                <w:spacing w:val="1"/>
                <w:szCs w:val="20"/>
                <w:shd w:val="solid" w:color="000000" w:fill="000000"/>
                <w:fitText w:val="330" w:id="-663554292"/>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7B8F6DA7" w14:textId="20193A90"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1"/>
                <w14:textFill>
                  <w14:solidFill>
                    <w14:srgbClr w14:val="000000">
                      <w14:alpha w14:val="100000"/>
                    </w14:srgbClr>
                  </w14:solidFill>
                </w14:textFill>
              </w:rPr>
              <w:t>|||</w:t>
            </w:r>
            <w:r w:rsidRPr="001F633E">
              <w:rPr>
                <w:color w:val="000000"/>
                <w:spacing w:val="3"/>
                <w:szCs w:val="20"/>
                <w:shd w:val="solid" w:color="000000" w:fill="000000"/>
                <w:fitText w:val="320" w:id="-663554291"/>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486E96F4" w14:textId="6E11B1D0"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0"/>
                <w14:textFill>
                  <w14:solidFill>
                    <w14:srgbClr w14:val="000000">
                      <w14:alpha w14:val="100000"/>
                    </w14:srgbClr>
                  </w14:solidFill>
                </w14:textFill>
              </w:rPr>
              <w:t>|||</w:t>
            </w:r>
            <w:r w:rsidRPr="001F633E">
              <w:rPr>
                <w:color w:val="000000"/>
                <w:spacing w:val="3"/>
                <w:szCs w:val="20"/>
                <w:shd w:val="solid" w:color="000000" w:fill="000000"/>
                <w:fitText w:val="320" w:id="-663554290"/>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55A1EF13" w14:textId="457138AE"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89"/>
                <w14:textFill>
                  <w14:solidFill>
                    <w14:srgbClr w14:val="000000">
                      <w14:alpha w14:val="100000"/>
                    </w14:srgbClr>
                  </w14:solidFill>
                </w14:textFill>
              </w:rPr>
              <w:t>|||</w:t>
            </w:r>
            <w:r w:rsidRPr="001F633E">
              <w:rPr>
                <w:color w:val="000000"/>
                <w:spacing w:val="3"/>
                <w:szCs w:val="20"/>
                <w:shd w:val="solid" w:color="000000" w:fill="000000"/>
                <w:fitText w:val="320" w:id="-663554289"/>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c>
          <w:tcPr>
            <w:tcW w:w="625" w:type="pct"/>
            <w:vAlign w:val="center"/>
          </w:tcPr>
          <w:p w14:paraId="405D7CFA" w14:textId="544713E2"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88"/>
                <w14:textFill>
                  <w14:solidFill>
                    <w14:srgbClr w14:val="000000">
                      <w14:alpha w14:val="100000"/>
                    </w14:srgbClr>
                  </w14:solidFill>
                </w14:textFill>
              </w:rPr>
              <w:t>|||</w:t>
            </w:r>
            <w:r w:rsidRPr="001F633E">
              <w:rPr>
                <w:color w:val="000000"/>
                <w:spacing w:val="3"/>
                <w:szCs w:val="20"/>
                <w:shd w:val="solid" w:color="000000" w:fill="000000"/>
                <w:fitText w:val="320" w:id="-663554288"/>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c>
          <w:tcPr>
            <w:tcW w:w="626" w:type="pct"/>
            <w:vAlign w:val="center"/>
          </w:tcPr>
          <w:p w14:paraId="5D904AD3" w14:textId="5A8BD95F" w:rsidR="00DA3190" w:rsidRPr="005B799B" w:rsidRDefault="001F633E" w:rsidP="005B799B">
            <w:pPr>
              <w:pStyle w:val="TableText0"/>
              <w:jc w:val="center"/>
              <w:rPr>
                <w:szCs w:val="20"/>
              </w:rPr>
            </w:pPr>
            <w:r w:rsidRPr="001F633E">
              <w:rPr>
                <w:color w:val="000000"/>
                <w:spacing w:val="49"/>
                <w:szCs w:val="20"/>
                <w:shd w:val="solid" w:color="000000" w:fill="000000"/>
                <w:fitText w:val="320" w:id="-663554304"/>
                <w14:textFill>
                  <w14:solidFill>
                    <w14:srgbClr w14:val="000000">
                      <w14:alpha w14:val="100000"/>
                    </w14:srgbClr>
                  </w14:solidFill>
                </w14:textFill>
              </w:rPr>
              <w:t>|||</w:t>
            </w:r>
            <w:r w:rsidRPr="001F633E">
              <w:rPr>
                <w:color w:val="000000"/>
                <w:spacing w:val="3"/>
                <w:szCs w:val="20"/>
                <w:shd w:val="solid" w:color="000000" w:fill="000000"/>
                <w:fitText w:val="320" w:id="-663554304"/>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r>
      <w:tr w:rsidR="00276F88" w:rsidRPr="005B799B" w14:paraId="1BA065C7" w14:textId="77777777" w:rsidTr="005D33F6">
        <w:trPr>
          <w:trHeight w:val="20"/>
        </w:trPr>
        <w:tc>
          <w:tcPr>
            <w:tcW w:w="1248" w:type="pct"/>
          </w:tcPr>
          <w:p w14:paraId="1AB5B0A7" w14:textId="4C5B8DD0" w:rsidR="00DA3190" w:rsidRPr="005B799B" w:rsidRDefault="00DA3190" w:rsidP="00DA3190">
            <w:pPr>
              <w:pStyle w:val="TableText0"/>
              <w:rPr>
                <w:szCs w:val="20"/>
              </w:rPr>
            </w:pPr>
            <w:r w:rsidRPr="005B799B">
              <w:rPr>
                <w:szCs w:val="20"/>
              </w:rPr>
              <w:t>Number of scripts replaced - ofatumumab</w:t>
            </w:r>
          </w:p>
        </w:tc>
        <w:tc>
          <w:tcPr>
            <w:tcW w:w="627" w:type="pct"/>
            <w:vAlign w:val="center"/>
          </w:tcPr>
          <w:p w14:paraId="4746AD11" w14:textId="12F942A0" w:rsidR="00DA3190" w:rsidRPr="005B799B" w:rsidRDefault="001F633E" w:rsidP="005B799B">
            <w:pPr>
              <w:pStyle w:val="TableText0"/>
              <w:jc w:val="center"/>
              <w:rPr>
                <w:szCs w:val="20"/>
              </w:rPr>
            </w:pPr>
            <w:r w:rsidRPr="001F633E">
              <w:rPr>
                <w:color w:val="000000"/>
                <w:spacing w:val="53"/>
                <w:szCs w:val="20"/>
                <w:shd w:val="solid" w:color="000000" w:fill="000000"/>
                <w:fitText w:val="330" w:id="-663554303"/>
                <w14:textFill>
                  <w14:solidFill>
                    <w14:srgbClr w14:val="000000">
                      <w14:alpha w14:val="100000"/>
                    </w14:srgbClr>
                  </w14:solidFill>
                </w14:textFill>
              </w:rPr>
              <w:t>|||</w:t>
            </w:r>
            <w:r w:rsidRPr="001F633E">
              <w:rPr>
                <w:color w:val="000000"/>
                <w:spacing w:val="1"/>
                <w:szCs w:val="20"/>
                <w:shd w:val="solid" w:color="000000" w:fill="000000"/>
                <w:fitText w:val="330" w:id="-663554303"/>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7D6A3A11" w14:textId="1F60F87F" w:rsidR="00DA3190" w:rsidRPr="005B799B" w:rsidRDefault="001F633E" w:rsidP="005B799B">
            <w:pPr>
              <w:pStyle w:val="TableText0"/>
              <w:jc w:val="center"/>
              <w:rPr>
                <w:szCs w:val="20"/>
              </w:rPr>
            </w:pPr>
            <w:r w:rsidRPr="001F633E">
              <w:rPr>
                <w:color w:val="000000"/>
                <w:spacing w:val="49"/>
                <w:szCs w:val="20"/>
                <w:shd w:val="solid" w:color="000000" w:fill="000000"/>
                <w:fitText w:val="320" w:id="-663554302"/>
                <w14:textFill>
                  <w14:solidFill>
                    <w14:srgbClr w14:val="000000">
                      <w14:alpha w14:val="100000"/>
                    </w14:srgbClr>
                  </w14:solidFill>
                </w14:textFill>
              </w:rPr>
              <w:t>|||</w:t>
            </w:r>
            <w:r w:rsidRPr="001F633E">
              <w:rPr>
                <w:color w:val="000000"/>
                <w:spacing w:val="3"/>
                <w:szCs w:val="20"/>
                <w:shd w:val="solid" w:color="000000" w:fill="000000"/>
                <w:fitText w:val="320" w:id="-663554302"/>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c>
          <w:tcPr>
            <w:tcW w:w="625" w:type="pct"/>
            <w:vAlign w:val="center"/>
          </w:tcPr>
          <w:p w14:paraId="6F4296A8" w14:textId="04B8ED7F" w:rsidR="00DA3190" w:rsidRPr="005B799B" w:rsidRDefault="001F633E" w:rsidP="005B799B">
            <w:pPr>
              <w:pStyle w:val="TableText0"/>
              <w:jc w:val="center"/>
              <w:rPr>
                <w:szCs w:val="20"/>
              </w:rPr>
            </w:pPr>
            <w:r w:rsidRPr="001F633E">
              <w:rPr>
                <w:color w:val="000000"/>
                <w:spacing w:val="49"/>
                <w:szCs w:val="20"/>
                <w:shd w:val="solid" w:color="000000" w:fill="000000"/>
                <w:fitText w:val="320" w:id="-663554301"/>
                <w14:textFill>
                  <w14:solidFill>
                    <w14:srgbClr w14:val="000000">
                      <w14:alpha w14:val="100000"/>
                    </w14:srgbClr>
                  </w14:solidFill>
                </w14:textFill>
              </w:rPr>
              <w:t>|||</w:t>
            </w:r>
            <w:r w:rsidRPr="001F633E">
              <w:rPr>
                <w:color w:val="000000"/>
                <w:spacing w:val="3"/>
                <w:szCs w:val="20"/>
                <w:shd w:val="solid" w:color="000000" w:fill="000000"/>
                <w:fitText w:val="320" w:id="-663554301"/>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c>
          <w:tcPr>
            <w:tcW w:w="625" w:type="pct"/>
            <w:vAlign w:val="center"/>
          </w:tcPr>
          <w:p w14:paraId="689AAE3B" w14:textId="745B5B9D" w:rsidR="00DA3190" w:rsidRPr="005B799B" w:rsidRDefault="001F633E" w:rsidP="005B799B">
            <w:pPr>
              <w:pStyle w:val="TableText0"/>
              <w:jc w:val="center"/>
              <w:rPr>
                <w:szCs w:val="20"/>
              </w:rPr>
            </w:pPr>
            <w:r w:rsidRPr="001F633E">
              <w:rPr>
                <w:color w:val="000000"/>
                <w:spacing w:val="49"/>
                <w:szCs w:val="20"/>
                <w:shd w:val="solid" w:color="000000" w:fill="000000"/>
                <w:fitText w:val="320" w:id="-663554300"/>
                <w14:textFill>
                  <w14:solidFill>
                    <w14:srgbClr w14:val="000000">
                      <w14:alpha w14:val="100000"/>
                    </w14:srgbClr>
                  </w14:solidFill>
                </w14:textFill>
              </w:rPr>
              <w:t>|||</w:t>
            </w:r>
            <w:r w:rsidRPr="001F633E">
              <w:rPr>
                <w:color w:val="000000"/>
                <w:spacing w:val="3"/>
                <w:szCs w:val="20"/>
                <w:shd w:val="solid" w:color="000000" w:fill="000000"/>
                <w:fitText w:val="320" w:id="-663554300"/>
                <w14:textFill>
                  <w14:solidFill>
                    <w14:srgbClr w14:val="000000">
                      <w14:alpha w14:val="100000"/>
                    </w14:srgbClr>
                  </w14:solidFill>
                </w14:textFill>
              </w:rPr>
              <w:t>|</w:t>
            </w:r>
            <w:r w:rsidR="00CA6EBE">
              <w:rPr>
                <w:bCs w:val="0"/>
                <w:color w:val="000000"/>
                <w:szCs w:val="20"/>
                <w:lang w:val="en-GB"/>
              </w:rPr>
              <w:t xml:space="preserve"> </w:t>
            </w:r>
            <w:r w:rsidR="00CA6EBE">
              <w:rPr>
                <w:bCs w:val="0"/>
                <w:szCs w:val="20"/>
                <w:vertAlign w:val="superscript"/>
              </w:rPr>
              <w:t>7</w:t>
            </w:r>
          </w:p>
        </w:tc>
        <w:tc>
          <w:tcPr>
            <w:tcW w:w="625" w:type="pct"/>
            <w:vAlign w:val="center"/>
          </w:tcPr>
          <w:p w14:paraId="111AE960" w14:textId="3A0D6B5D"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9"/>
                <w14:textFill>
                  <w14:solidFill>
                    <w14:srgbClr w14:val="000000">
                      <w14:alpha w14:val="100000"/>
                    </w14:srgbClr>
                  </w14:solidFill>
                </w14:textFill>
              </w:rPr>
              <w:t>|||</w:t>
            </w:r>
            <w:r w:rsidRPr="001F633E">
              <w:rPr>
                <w:color w:val="000000"/>
                <w:spacing w:val="3"/>
                <w:szCs w:val="20"/>
                <w:shd w:val="solid" w:color="000000" w:fill="000000"/>
                <w:fitText w:val="320" w:id="-663554299"/>
                <w14:textFill>
                  <w14:solidFill>
                    <w14:srgbClr w14:val="000000">
                      <w14:alpha w14:val="100000"/>
                    </w14:srgbClr>
                  </w14:solidFill>
                </w14:textFill>
              </w:rPr>
              <w:t>|</w:t>
            </w:r>
            <w:r w:rsidR="00CA6EBE">
              <w:rPr>
                <w:bCs w:val="0"/>
                <w:color w:val="000000"/>
                <w:szCs w:val="20"/>
                <w:lang w:val="en-GB"/>
              </w:rPr>
              <w:t xml:space="preserve"> </w:t>
            </w:r>
            <w:r w:rsidR="00CA6EBE">
              <w:rPr>
                <w:bCs w:val="0"/>
                <w:szCs w:val="20"/>
                <w:vertAlign w:val="superscript"/>
              </w:rPr>
              <w:t>7</w:t>
            </w:r>
          </w:p>
        </w:tc>
        <w:tc>
          <w:tcPr>
            <w:tcW w:w="626" w:type="pct"/>
            <w:vAlign w:val="center"/>
          </w:tcPr>
          <w:p w14:paraId="5077B67B" w14:textId="1BDDC9A4"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8"/>
                <w14:textFill>
                  <w14:solidFill>
                    <w14:srgbClr w14:val="000000">
                      <w14:alpha w14:val="100000"/>
                    </w14:srgbClr>
                  </w14:solidFill>
                </w14:textFill>
              </w:rPr>
              <w:t>|||</w:t>
            </w:r>
            <w:r w:rsidRPr="001F633E">
              <w:rPr>
                <w:color w:val="000000"/>
                <w:spacing w:val="3"/>
                <w:szCs w:val="20"/>
                <w:shd w:val="solid" w:color="000000" w:fill="000000"/>
                <w:fitText w:val="320" w:id="-663554298"/>
                <w14:textFill>
                  <w14:solidFill>
                    <w14:srgbClr w14:val="000000">
                      <w14:alpha w14:val="100000"/>
                    </w14:srgbClr>
                  </w14:solidFill>
                </w14:textFill>
              </w:rPr>
              <w:t>|</w:t>
            </w:r>
            <w:r w:rsidR="00CA6EBE">
              <w:rPr>
                <w:bCs w:val="0"/>
                <w:color w:val="000000"/>
                <w:szCs w:val="20"/>
                <w:lang w:val="en-GB"/>
              </w:rPr>
              <w:t xml:space="preserve"> </w:t>
            </w:r>
            <w:r w:rsidR="00CA6EBE">
              <w:rPr>
                <w:bCs w:val="0"/>
                <w:szCs w:val="20"/>
                <w:vertAlign w:val="superscript"/>
              </w:rPr>
              <w:t>7</w:t>
            </w:r>
          </w:p>
        </w:tc>
      </w:tr>
      <w:tr w:rsidR="00276F88" w:rsidRPr="005B799B" w14:paraId="56446452" w14:textId="77777777" w:rsidTr="005D33F6">
        <w:trPr>
          <w:trHeight w:val="20"/>
        </w:trPr>
        <w:tc>
          <w:tcPr>
            <w:tcW w:w="1248" w:type="pct"/>
          </w:tcPr>
          <w:p w14:paraId="269F7377" w14:textId="4BF9A589" w:rsidR="00DA3190" w:rsidRPr="005B799B" w:rsidRDefault="00DA3190" w:rsidP="00DA3190">
            <w:pPr>
              <w:pStyle w:val="TableText0"/>
              <w:rPr>
                <w:szCs w:val="20"/>
              </w:rPr>
            </w:pPr>
            <w:r w:rsidRPr="005B799B">
              <w:rPr>
                <w:szCs w:val="20"/>
              </w:rPr>
              <w:t>Total number of scripts replaced</w:t>
            </w:r>
          </w:p>
        </w:tc>
        <w:tc>
          <w:tcPr>
            <w:tcW w:w="627" w:type="pct"/>
            <w:vAlign w:val="center"/>
          </w:tcPr>
          <w:p w14:paraId="4E1D515B" w14:textId="7250A009" w:rsidR="00DA3190" w:rsidRPr="005B799B" w:rsidRDefault="001F633E" w:rsidP="005B799B">
            <w:pPr>
              <w:pStyle w:val="TableText0"/>
              <w:jc w:val="center"/>
              <w:rPr>
                <w:szCs w:val="20"/>
              </w:rPr>
            </w:pPr>
            <w:r w:rsidRPr="001F633E">
              <w:rPr>
                <w:color w:val="000000"/>
                <w:spacing w:val="53"/>
                <w:szCs w:val="20"/>
                <w:shd w:val="solid" w:color="000000" w:fill="000000"/>
                <w:fitText w:val="330" w:id="-663554297"/>
                <w14:textFill>
                  <w14:solidFill>
                    <w14:srgbClr w14:val="000000">
                      <w14:alpha w14:val="100000"/>
                    </w14:srgbClr>
                  </w14:solidFill>
                </w14:textFill>
              </w:rPr>
              <w:t>|||</w:t>
            </w:r>
            <w:r w:rsidRPr="001F633E">
              <w:rPr>
                <w:color w:val="000000"/>
                <w:spacing w:val="1"/>
                <w:szCs w:val="20"/>
                <w:shd w:val="solid" w:color="000000" w:fill="000000"/>
                <w:fitText w:val="330" w:id="-663554297"/>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2</w:t>
            </w:r>
          </w:p>
        </w:tc>
        <w:tc>
          <w:tcPr>
            <w:tcW w:w="625" w:type="pct"/>
            <w:vAlign w:val="center"/>
          </w:tcPr>
          <w:p w14:paraId="55C6E194" w14:textId="7281AA11"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6"/>
                <w14:textFill>
                  <w14:solidFill>
                    <w14:srgbClr w14:val="000000">
                      <w14:alpha w14:val="100000"/>
                    </w14:srgbClr>
                  </w14:solidFill>
                </w14:textFill>
              </w:rPr>
              <w:t>|||</w:t>
            </w:r>
            <w:r w:rsidRPr="001F633E">
              <w:rPr>
                <w:color w:val="000000"/>
                <w:spacing w:val="3"/>
                <w:szCs w:val="20"/>
                <w:shd w:val="solid" w:color="000000" w:fill="000000"/>
                <w:fitText w:val="320" w:id="-663554296"/>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7</w:t>
            </w:r>
          </w:p>
        </w:tc>
        <w:tc>
          <w:tcPr>
            <w:tcW w:w="625" w:type="pct"/>
            <w:vAlign w:val="center"/>
          </w:tcPr>
          <w:p w14:paraId="49C8DC95" w14:textId="3F0DA06B"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5"/>
                <w14:textFill>
                  <w14:solidFill>
                    <w14:srgbClr w14:val="000000">
                      <w14:alpha w14:val="100000"/>
                    </w14:srgbClr>
                  </w14:solidFill>
                </w14:textFill>
              </w:rPr>
              <w:t>|||</w:t>
            </w:r>
            <w:r w:rsidRPr="001F633E">
              <w:rPr>
                <w:color w:val="000000"/>
                <w:spacing w:val="3"/>
                <w:szCs w:val="20"/>
                <w:shd w:val="solid" w:color="000000" w:fill="000000"/>
                <w:fitText w:val="320" w:id="-663554295"/>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7</w:t>
            </w:r>
          </w:p>
        </w:tc>
        <w:tc>
          <w:tcPr>
            <w:tcW w:w="625" w:type="pct"/>
            <w:vAlign w:val="center"/>
          </w:tcPr>
          <w:p w14:paraId="39C31699" w14:textId="30EB2B97"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4"/>
                <w14:textFill>
                  <w14:solidFill>
                    <w14:srgbClr w14:val="000000">
                      <w14:alpha w14:val="100000"/>
                    </w14:srgbClr>
                  </w14:solidFill>
                </w14:textFill>
              </w:rPr>
              <w:t>|||</w:t>
            </w:r>
            <w:r w:rsidRPr="001F633E">
              <w:rPr>
                <w:color w:val="000000"/>
                <w:spacing w:val="3"/>
                <w:szCs w:val="20"/>
                <w:shd w:val="solid" w:color="000000" w:fill="000000"/>
                <w:fitText w:val="320" w:id="-663554294"/>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8</w:t>
            </w:r>
          </w:p>
        </w:tc>
        <w:tc>
          <w:tcPr>
            <w:tcW w:w="625" w:type="pct"/>
            <w:vAlign w:val="center"/>
          </w:tcPr>
          <w:p w14:paraId="0C46B697" w14:textId="3741B716"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3"/>
                <w14:textFill>
                  <w14:solidFill>
                    <w14:srgbClr w14:val="000000">
                      <w14:alpha w14:val="100000"/>
                    </w14:srgbClr>
                  </w14:solidFill>
                </w14:textFill>
              </w:rPr>
              <w:t>|||</w:t>
            </w:r>
            <w:r w:rsidRPr="001F633E">
              <w:rPr>
                <w:color w:val="000000"/>
                <w:spacing w:val="3"/>
                <w:szCs w:val="20"/>
                <w:shd w:val="solid" w:color="000000" w:fill="000000"/>
                <w:fitText w:val="320" w:id="-663554293"/>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8</w:t>
            </w:r>
          </w:p>
        </w:tc>
        <w:tc>
          <w:tcPr>
            <w:tcW w:w="626" w:type="pct"/>
            <w:vAlign w:val="center"/>
          </w:tcPr>
          <w:p w14:paraId="0FD76B84" w14:textId="5037CF95" w:rsidR="00DA3190" w:rsidRPr="005B799B" w:rsidRDefault="001F633E" w:rsidP="005B799B">
            <w:pPr>
              <w:pStyle w:val="TableText0"/>
              <w:jc w:val="center"/>
              <w:rPr>
                <w:szCs w:val="20"/>
              </w:rPr>
            </w:pPr>
            <w:r w:rsidRPr="001F633E">
              <w:rPr>
                <w:color w:val="000000"/>
                <w:spacing w:val="49"/>
                <w:szCs w:val="20"/>
                <w:shd w:val="solid" w:color="000000" w:fill="000000"/>
                <w:fitText w:val="320" w:id="-663554292"/>
                <w14:textFill>
                  <w14:solidFill>
                    <w14:srgbClr w14:val="000000">
                      <w14:alpha w14:val="100000"/>
                    </w14:srgbClr>
                  </w14:solidFill>
                </w14:textFill>
              </w:rPr>
              <w:t>|||</w:t>
            </w:r>
            <w:r w:rsidRPr="001F633E">
              <w:rPr>
                <w:color w:val="000000"/>
                <w:spacing w:val="3"/>
                <w:szCs w:val="20"/>
                <w:shd w:val="solid" w:color="000000" w:fill="000000"/>
                <w:fitText w:val="320" w:id="-663554292"/>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8</w:t>
            </w:r>
          </w:p>
        </w:tc>
      </w:tr>
      <w:tr w:rsidR="00276F88" w:rsidRPr="005B799B" w14:paraId="60165879" w14:textId="77777777" w:rsidTr="005D33F6">
        <w:trPr>
          <w:trHeight w:val="20"/>
        </w:trPr>
        <w:tc>
          <w:tcPr>
            <w:tcW w:w="1248" w:type="pct"/>
          </w:tcPr>
          <w:p w14:paraId="625200E9" w14:textId="71827CDB" w:rsidR="006D6412" w:rsidRPr="005B799B" w:rsidRDefault="006D6412" w:rsidP="006D6412">
            <w:pPr>
              <w:pStyle w:val="TableText0"/>
              <w:rPr>
                <w:szCs w:val="20"/>
                <w:vertAlign w:val="superscript"/>
              </w:rPr>
            </w:pPr>
            <w:r w:rsidRPr="005B799B">
              <w:rPr>
                <w:szCs w:val="20"/>
              </w:rPr>
              <w:t xml:space="preserve">Total number of concomitant medicines scripts </w:t>
            </w:r>
            <w:proofErr w:type="spellStart"/>
            <w:r w:rsidRPr="005B799B">
              <w:rPr>
                <w:szCs w:val="20"/>
              </w:rPr>
              <w:t>replaced</w:t>
            </w:r>
            <w:r w:rsidR="006031A8">
              <w:rPr>
                <w:szCs w:val="20"/>
                <w:vertAlign w:val="superscript"/>
              </w:rPr>
              <w:t>b</w:t>
            </w:r>
            <w:proofErr w:type="spellEnd"/>
          </w:p>
        </w:tc>
        <w:tc>
          <w:tcPr>
            <w:tcW w:w="627" w:type="pct"/>
            <w:vAlign w:val="center"/>
          </w:tcPr>
          <w:p w14:paraId="7EF9E7C5" w14:textId="77F042F4" w:rsidR="006D6412" w:rsidRPr="005B799B" w:rsidRDefault="001F633E" w:rsidP="005B799B">
            <w:pPr>
              <w:pStyle w:val="TableText0"/>
              <w:jc w:val="center"/>
              <w:rPr>
                <w:szCs w:val="20"/>
              </w:rPr>
            </w:pPr>
            <w:r w:rsidRPr="001F633E">
              <w:rPr>
                <w:color w:val="000000"/>
                <w:spacing w:val="53"/>
                <w:szCs w:val="20"/>
                <w:shd w:val="solid" w:color="000000" w:fill="000000"/>
                <w:fitText w:val="330" w:id="-663554291"/>
                <w14:textFill>
                  <w14:solidFill>
                    <w14:srgbClr w14:val="000000">
                      <w14:alpha w14:val="100000"/>
                    </w14:srgbClr>
                  </w14:solidFill>
                </w14:textFill>
              </w:rPr>
              <w:t>|||</w:t>
            </w:r>
            <w:r w:rsidRPr="001F633E">
              <w:rPr>
                <w:color w:val="000000"/>
                <w:spacing w:val="1"/>
                <w:szCs w:val="20"/>
                <w:shd w:val="solid" w:color="000000" w:fill="000000"/>
                <w:fitText w:val="330" w:id="-663554291"/>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543D7DCE" w14:textId="1D064831" w:rsidR="006D6412" w:rsidRPr="005B799B" w:rsidRDefault="001F633E" w:rsidP="005B799B">
            <w:pPr>
              <w:pStyle w:val="TableText0"/>
              <w:jc w:val="center"/>
              <w:rPr>
                <w:szCs w:val="20"/>
              </w:rPr>
            </w:pPr>
            <w:r w:rsidRPr="001F633E">
              <w:rPr>
                <w:color w:val="000000"/>
                <w:spacing w:val="49"/>
                <w:szCs w:val="20"/>
                <w:shd w:val="solid" w:color="000000" w:fill="000000"/>
                <w:fitText w:val="320" w:id="-663554290"/>
                <w14:textFill>
                  <w14:solidFill>
                    <w14:srgbClr w14:val="000000">
                      <w14:alpha w14:val="100000"/>
                    </w14:srgbClr>
                  </w14:solidFill>
                </w14:textFill>
              </w:rPr>
              <w:t>|||</w:t>
            </w:r>
            <w:r w:rsidRPr="001F633E">
              <w:rPr>
                <w:color w:val="000000"/>
                <w:spacing w:val="3"/>
                <w:szCs w:val="20"/>
                <w:shd w:val="solid" w:color="000000" w:fill="000000"/>
                <w:fitText w:val="320" w:id="-663554290"/>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561030CF" w14:textId="7E73C29E" w:rsidR="006D6412" w:rsidRPr="005B799B" w:rsidRDefault="001F633E" w:rsidP="005B799B">
            <w:pPr>
              <w:pStyle w:val="TableText0"/>
              <w:jc w:val="center"/>
              <w:rPr>
                <w:szCs w:val="20"/>
              </w:rPr>
            </w:pPr>
            <w:r w:rsidRPr="001F633E">
              <w:rPr>
                <w:color w:val="000000"/>
                <w:spacing w:val="49"/>
                <w:szCs w:val="20"/>
                <w:shd w:val="solid" w:color="000000" w:fill="000000"/>
                <w:fitText w:val="320" w:id="-663554289"/>
                <w14:textFill>
                  <w14:solidFill>
                    <w14:srgbClr w14:val="000000">
                      <w14:alpha w14:val="100000"/>
                    </w14:srgbClr>
                  </w14:solidFill>
                </w14:textFill>
              </w:rPr>
              <w:t>|||</w:t>
            </w:r>
            <w:r w:rsidRPr="001F633E">
              <w:rPr>
                <w:color w:val="000000"/>
                <w:spacing w:val="3"/>
                <w:szCs w:val="20"/>
                <w:shd w:val="solid" w:color="000000" w:fill="000000"/>
                <w:fitText w:val="320" w:id="-663554289"/>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462D6165" w14:textId="6D523719" w:rsidR="006D6412" w:rsidRPr="005B799B" w:rsidRDefault="001F633E" w:rsidP="005B799B">
            <w:pPr>
              <w:pStyle w:val="TableText0"/>
              <w:jc w:val="center"/>
              <w:rPr>
                <w:szCs w:val="20"/>
              </w:rPr>
            </w:pPr>
            <w:r w:rsidRPr="001F633E">
              <w:rPr>
                <w:color w:val="000000"/>
                <w:spacing w:val="49"/>
                <w:szCs w:val="20"/>
                <w:shd w:val="solid" w:color="000000" w:fill="000000"/>
                <w:fitText w:val="320" w:id="-663554288"/>
                <w14:textFill>
                  <w14:solidFill>
                    <w14:srgbClr w14:val="000000">
                      <w14:alpha w14:val="100000"/>
                    </w14:srgbClr>
                  </w14:solidFill>
                </w14:textFill>
              </w:rPr>
              <w:t>|||</w:t>
            </w:r>
            <w:r w:rsidRPr="001F633E">
              <w:rPr>
                <w:color w:val="000000"/>
                <w:spacing w:val="3"/>
                <w:szCs w:val="20"/>
                <w:shd w:val="solid" w:color="000000" w:fill="000000"/>
                <w:fitText w:val="320" w:id="-663554288"/>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5" w:type="pct"/>
            <w:vAlign w:val="center"/>
          </w:tcPr>
          <w:p w14:paraId="55FE449E" w14:textId="004B9227" w:rsidR="006D6412" w:rsidRPr="005B799B" w:rsidRDefault="001F633E" w:rsidP="005B799B">
            <w:pPr>
              <w:pStyle w:val="TableText0"/>
              <w:jc w:val="center"/>
              <w:rPr>
                <w:szCs w:val="20"/>
              </w:rPr>
            </w:pPr>
            <w:r w:rsidRPr="001F633E">
              <w:rPr>
                <w:color w:val="000000"/>
                <w:spacing w:val="49"/>
                <w:szCs w:val="20"/>
                <w:shd w:val="solid" w:color="000000" w:fill="000000"/>
                <w:fitText w:val="320" w:id="-663554304"/>
                <w14:textFill>
                  <w14:solidFill>
                    <w14:srgbClr w14:val="000000">
                      <w14:alpha w14:val="100000"/>
                    </w14:srgbClr>
                  </w14:solidFill>
                </w14:textFill>
              </w:rPr>
              <w:t>|||</w:t>
            </w:r>
            <w:r w:rsidRPr="001F633E">
              <w:rPr>
                <w:color w:val="000000"/>
                <w:spacing w:val="3"/>
                <w:szCs w:val="20"/>
                <w:shd w:val="solid" w:color="000000" w:fill="000000"/>
                <w:fitText w:val="320" w:id="-663554304"/>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c>
          <w:tcPr>
            <w:tcW w:w="626" w:type="pct"/>
            <w:vAlign w:val="center"/>
          </w:tcPr>
          <w:p w14:paraId="169B54F1" w14:textId="7292BC2E" w:rsidR="006D6412" w:rsidRPr="005B799B" w:rsidRDefault="001F633E" w:rsidP="005B799B">
            <w:pPr>
              <w:pStyle w:val="TableText0"/>
              <w:jc w:val="center"/>
              <w:rPr>
                <w:szCs w:val="20"/>
              </w:rPr>
            </w:pPr>
            <w:r w:rsidRPr="001F633E">
              <w:rPr>
                <w:color w:val="000000"/>
                <w:spacing w:val="49"/>
                <w:szCs w:val="20"/>
                <w:shd w:val="solid" w:color="000000" w:fill="000000"/>
                <w:fitText w:val="320" w:id="-663554303"/>
                <w14:textFill>
                  <w14:solidFill>
                    <w14:srgbClr w14:val="000000">
                      <w14:alpha w14:val="100000"/>
                    </w14:srgbClr>
                  </w14:solidFill>
                </w14:textFill>
              </w:rPr>
              <w:t>|||</w:t>
            </w:r>
            <w:r w:rsidRPr="001F633E">
              <w:rPr>
                <w:color w:val="000000"/>
                <w:spacing w:val="3"/>
                <w:szCs w:val="20"/>
                <w:shd w:val="solid" w:color="000000" w:fill="000000"/>
                <w:fitText w:val="320" w:id="-663554303"/>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1</w:t>
            </w:r>
          </w:p>
        </w:tc>
      </w:tr>
      <w:tr w:rsidR="00276F88" w:rsidRPr="005B799B" w14:paraId="3D093C42" w14:textId="77777777" w:rsidTr="005D33F6">
        <w:trPr>
          <w:trHeight w:val="20"/>
        </w:trPr>
        <w:tc>
          <w:tcPr>
            <w:tcW w:w="1248" w:type="pct"/>
          </w:tcPr>
          <w:p w14:paraId="7D04C470" w14:textId="4247EED1" w:rsidR="006D6412" w:rsidRPr="005B799B" w:rsidRDefault="006D6412" w:rsidP="006D6412">
            <w:pPr>
              <w:pStyle w:val="TableText0"/>
              <w:rPr>
                <w:szCs w:val="20"/>
              </w:rPr>
            </w:pPr>
            <w:r w:rsidRPr="005B799B">
              <w:rPr>
                <w:szCs w:val="20"/>
              </w:rPr>
              <w:t>Cost to PBS/RPBS less copayments</w:t>
            </w:r>
          </w:p>
        </w:tc>
        <w:tc>
          <w:tcPr>
            <w:tcW w:w="627" w:type="pct"/>
            <w:vAlign w:val="center"/>
          </w:tcPr>
          <w:p w14:paraId="3AF0FC4B" w14:textId="55CADEEA" w:rsidR="006D6412" w:rsidRPr="005B799B" w:rsidRDefault="006D6412"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302"/>
                <w14:textFill>
                  <w14:solidFill>
                    <w14:srgbClr w14:val="000000">
                      <w14:alpha w14:val="100000"/>
                    </w14:srgbClr>
                  </w14:solidFill>
                </w14:textFill>
              </w:rPr>
              <w:t>|||</w:t>
            </w:r>
            <w:r w:rsidR="001F633E" w:rsidRPr="001F633E">
              <w:rPr>
                <w:color w:val="000000"/>
                <w:spacing w:val="1"/>
                <w:szCs w:val="20"/>
                <w:shd w:val="solid" w:color="000000" w:fill="000000"/>
                <w:fitText w:val="330" w:id="-663554302"/>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4A0B899C" w14:textId="64C4750E" w:rsidR="006D6412" w:rsidRPr="005B799B" w:rsidRDefault="006D6412"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301"/>
                <w14:textFill>
                  <w14:solidFill>
                    <w14:srgbClr w14:val="000000">
                      <w14:alpha w14:val="100000"/>
                    </w14:srgbClr>
                  </w14:solidFill>
                </w14:textFill>
              </w:rPr>
              <w:t>|||</w:t>
            </w:r>
            <w:r w:rsidR="001F633E" w:rsidRPr="001F633E">
              <w:rPr>
                <w:color w:val="000000"/>
                <w:spacing w:val="1"/>
                <w:szCs w:val="20"/>
                <w:shd w:val="solid" w:color="000000" w:fill="000000"/>
                <w:fitText w:val="330" w:id="-663554301"/>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37AB00A3" w14:textId="44DC7AD3" w:rsidR="006D6412" w:rsidRPr="005B799B" w:rsidRDefault="006D6412"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300"/>
                <w14:textFill>
                  <w14:solidFill>
                    <w14:srgbClr w14:val="000000">
                      <w14:alpha w14:val="100000"/>
                    </w14:srgbClr>
                  </w14:solidFill>
                </w14:textFill>
              </w:rPr>
              <w:t>|||</w:t>
            </w:r>
            <w:r w:rsidR="001F633E" w:rsidRPr="001F633E">
              <w:rPr>
                <w:color w:val="000000"/>
                <w:spacing w:val="1"/>
                <w:szCs w:val="20"/>
                <w:shd w:val="solid" w:color="000000" w:fill="000000"/>
                <w:fitText w:val="330" w:id="-663554300"/>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36443453" w14:textId="5853757E" w:rsidR="006D6412" w:rsidRPr="005B799B" w:rsidRDefault="006D6412"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299"/>
                <w14:textFill>
                  <w14:solidFill>
                    <w14:srgbClr w14:val="000000">
                      <w14:alpha w14:val="100000"/>
                    </w14:srgbClr>
                  </w14:solidFill>
                </w14:textFill>
              </w:rPr>
              <w:t>|||</w:t>
            </w:r>
            <w:r w:rsidR="001F633E" w:rsidRPr="001F633E">
              <w:rPr>
                <w:color w:val="000000"/>
                <w:spacing w:val="1"/>
                <w:szCs w:val="20"/>
                <w:shd w:val="solid" w:color="000000" w:fill="000000"/>
                <w:fitText w:val="330" w:id="-663554299"/>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71981616" w14:textId="473F2623" w:rsidR="006D6412" w:rsidRPr="005B799B" w:rsidRDefault="006D6412"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298"/>
                <w14:textFill>
                  <w14:solidFill>
                    <w14:srgbClr w14:val="000000">
                      <w14:alpha w14:val="100000"/>
                    </w14:srgbClr>
                  </w14:solidFill>
                </w14:textFill>
              </w:rPr>
              <w:t>|||</w:t>
            </w:r>
            <w:r w:rsidR="001F633E" w:rsidRPr="001F633E">
              <w:rPr>
                <w:color w:val="000000"/>
                <w:spacing w:val="1"/>
                <w:szCs w:val="20"/>
                <w:shd w:val="solid" w:color="000000" w:fill="000000"/>
                <w:fitText w:val="330" w:id="-663554298"/>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6" w:type="pct"/>
            <w:vAlign w:val="center"/>
          </w:tcPr>
          <w:p w14:paraId="72944433" w14:textId="698EF0AC" w:rsidR="006D6412" w:rsidRPr="005B799B" w:rsidRDefault="006D6412"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48"/>
                <w14:textFill>
                  <w14:solidFill>
                    <w14:srgbClr w14:val="000000">
                      <w14:alpha w14:val="100000"/>
                    </w14:srgbClr>
                  </w14:solidFill>
                </w14:textFill>
              </w:rPr>
              <w:t>|||</w:t>
            </w:r>
            <w:r w:rsidR="001F633E" w:rsidRPr="001F633E">
              <w:rPr>
                <w:color w:val="000000"/>
                <w:spacing w:val="1"/>
                <w:szCs w:val="20"/>
                <w:shd w:val="solid" w:color="000000" w:fill="000000"/>
                <w:fitText w:val="330" w:id="-663554048"/>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r>
      <w:tr w:rsidR="006D6412" w:rsidRPr="005B799B" w14:paraId="4FA07BD8" w14:textId="77777777" w:rsidTr="005D33F6">
        <w:trPr>
          <w:trHeight w:val="20"/>
        </w:trPr>
        <w:tc>
          <w:tcPr>
            <w:tcW w:w="5000" w:type="pct"/>
            <w:gridSpan w:val="7"/>
          </w:tcPr>
          <w:p w14:paraId="1A627EA0" w14:textId="32F97B5F" w:rsidR="006D6412" w:rsidRPr="005B799B" w:rsidRDefault="006D6412" w:rsidP="0038000D">
            <w:pPr>
              <w:pStyle w:val="In-tableHeading"/>
              <w:rPr>
                <w:szCs w:val="20"/>
              </w:rPr>
            </w:pPr>
            <w:r w:rsidRPr="005B799B">
              <w:rPr>
                <w:szCs w:val="20"/>
              </w:rPr>
              <w:t>Net financial implications</w:t>
            </w:r>
            <w:r w:rsidRPr="005B799B">
              <w:rPr>
                <w:color w:val="4BACC6" w:themeColor="accent5"/>
                <w:szCs w:val="20"/>
              </w:rPr>
              <w:t xml:space="preserve"> </w:t>
            </w:r>
          </w:p>
        </w:tc>
      </w:tr>
      <w:tr w:rsidR="00276F88" w:rsidRPr="005B799B" w14:paraId="3F33D4C6" w14:textId="77777777" w:rsidTr="005D33F6">
        <w:trPr>
          <w:trHeight w:val="20"/>
        </w:trPr>
        <w:tc>
          <w:tcPr>
            <w:tcW w:w="1248" w:type="pct"/>
          </w:tcPr>
          <w:p w14:paraId="5ABBDE64" w14:textId="77777777" w:rsidR="00AD38E5" w:rsidRPr="005B799B" w:rsidRDefault="00AD38E5" w:rsidP="00AD38E5">
            <w:pPr>
              <w:pStyle w:val="TableText0"/>
              <w:rPr>
                <w:szCs w:val="20"/>
              </w:rPr>
            </w:pPr>
            <w:r w:rsidRPr="005B799B">
              <w:rPr>
                <w:szCs w:val="20"/>
              </w:rPr>
              <w:t>Net cost to PBS/RPBS</w:t>
            </w:r>
          </w:p>
        </w:tc>
        <w:tc>
          <w:tcPr>
            <w:tcW w:w="627" w:type="pct"/>
            <w:vAlign w:val="center"/>
          </w:tcPr>
          <w:p w14:paraId="744F82C2" w14:textId="5C653CF3" w:rsidR="00AD38E5" w:rsidRPr="005B799B" w:rsidRDefault="00AD38E5"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47"/>
                <w14:textFill>
                  <w14:solidFill>
                    <w14:srgbClr w14:val="000000">
                      <w14:alpha w14:val="100000"/>
                    </w14:srgbClr>
                  </w14:solidFill>
                </w14:textFill>
              </w:rPr>
              <w:t>|||</w:t>
            </w:r>
            <w:r w:rsidR="001F633E" w:rsidRPr="001F633E">
              <w:rPr>
                <w:color w:val="000000"/>
                <w:spacing w:val="1"/>
                <w:szCs w:val="20"/>
                <w:shd w:val="solid" w:color="000000" w:fill="000000"/>
                <w:fitText w:val="330" w:id="-663554047"/>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295843EA" w14:textId="3225AB56" w:rsidR="00AD38E5" w:rsidRPr="005B799B" w:rsidRDefault="00AD38E5"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46"/>
                <w14:textFill>
                  <w14:solidFill>
                    <w14:srgbClr w14:val="000000">
                      <w14:alpha w14:val="100000"/>
                    </w14:srgbClr>
                  </w14:solidFill>
                </w14:textFill>
              </w:rPr>
              <w:t>|||</w:t>
            </w:r>
            <w:r w:rsidR="001F633E" w:rsidRPr="001F633E">
              <w:rPr>
                <w:color w:val="000000"/>
                <w:spacing w:val="1"/>
                <w:szCs w:val="20"/>
                <w:shd w:val="solid" w:color="000000" w:fill="000000"/>
                <w:fitText w:val="330" w:id="-663554046"/>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3A32302A" w14:textId="620600E2" w:rsidR="00AD38E5" w:rsidRPr="005B799B" w:rsidRDefault="00AD38E5"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45"/>
                <w14:textFill>
                  <w14:solidFill>
                    <w14:srgbClr w14:val="000000">
                      <w14:alpha w14:val="100000"/>
                    </w14:srgbClr>
                  </w14:solidFill>
                </w14:textFill>
              </w:rPr>
              <w:t>|||</w:t>
            </w:r>
            <w:r w:rsidR="001F633E" w:rsidRPr="001F633E">
              <w:rPr>
                <w:color w:val="000000"/>
                <w:spacing w:val="1"/>
                <w:szCs w:val="20"/>
                <w:shd w:val="solid" w:color="000000" w:fill="000000"/>
                <w:fitText w:val="330" w:id="-663554045"/>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326E9207" w14:textId="620C3809" w:rsidR="00AD38E5" w:rsidRPr="005B799B" w:rsidRDefault="00AD38E5"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44"/>
                <w14:textFill>
                  <w14:solidFill>
                    <w14:srgbClr w14:val="000000">
                      <w14:alpha w14:val="100000"/>
                    </w14:srgbClr>
                  </w14:solidFill>
                </w14:textFill>
              </w:rPr>
              <w:t>|||</w:t>
            </w:r>
            <w:r w:rsidR="001F633E" w:rsidRPr="001F633E">
              <w:rPr>
                <w:color w:val="000000"/>
                <w:spacing w:val="1"/>
                <w:szCs w:val="20"/>
                <w:shd w:val="solid" w:color="000000" w:fill="000000"/>
                <w:fitText w:val="330" w:id="-663554044"/>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56E4D70E" w14:textId="7CBF6829" w:rsidR="00AD38E5" w:rsidRPr="005B799B" w:rsidRDefault="00AD38E5"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43"/>
                <w14:textFill>
                  <w14:solidFill>
                    <w14:srgbClr w14:val="000000">
                      <w14:alpha w14:val="100000"/>
                    </w14:srgbClr>
                  </w14:solidFill>
                </w14:textFill>
              </w:rPr>
              <w:t>|||</w:t>
            </w:r>
            <w:r w:rsidR="001F633E" w:rsidRPr="001F633E">
              <w:rPr>
                <w:color w:val="000000"/>
                <w:spacing w:val="1"/>
                <w:szCs w:val="20"/>
                <w:shd w:val="solid" w:color="000000" w:fill="000000"/>
                <w:fitText w:val="330" w:id="-663554043"/>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6" w:type="pct"/>
            <w:vAlign w:val="center"/>
          </w:tcPr>
          <w:p w14:paraId="241B1CFD" w14:textId="66839AB7" w:rsidR="00AD38E5" w:rsidRPr="005B799B" w:rsidRDefault="00AD38E5"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42"/>
                <w14:textFill>
                  <w14:solidFill>
                    <w14:srgbClr w14:val="000000">
                      <w14:alpha w14:val="100000"/>
                    </w14:srgbClr>
                  </w14:solidFill>
                </w14:textFill>
              </w:rPr>
              <w:t>|||</w:t>
            </w:r>
            <w:r w:rsidR="001F633E" w:rsidRPr="001F633E">
              <w:rPr>
                <w:color w:val="000000"/>
                <w:spacing w:val="1"/>
                <w:szCs w:val="20"/>
                <w:shd w:val="solid" w:color="000000" w:fill="000000"/>
                <w:fitText w:val="330" w:id="-663554042"/>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r>
      <w:tr w:rsidR="00276F88" w:rsidRPr="005B799B" w14:paraId="571B64F4" w14:textId="77777777" w:rsidTr="005D33F6">
        <w:trPr>
          <w:trHeight w:val="20"/>
        </w:trPr>
        <w:tc>
          <w:tcPr>
            <w:tcW w:w="1248" w:type="pct"/>
          </w:tcPr>
          <w:p w14:paraId="427698FB" w14:textId="71646D05" w:rsidR="003F62EB" w:rsidRPr="005B799B" w:rsidRDefault="003F62EB" w:rsidP="003F62EB">
            <w:pPr>
              <w:pStyle w:val="TableText0"/>
              <w:rPr>
                <w:szCs w:val="20"/>
              </w:rPr>
            </w:pPr>
            <w:r w:rsidRPr="005B799B">
              <w:rPr>
                <w:szCs w:val="20"/>
              </w:rPr>
              <w:t>Net cost to MBS/</w:t>
            </w:r>
            <w:r w:rsidRPr="005B799B" w:rsidDel="00D244B6">
              <w:rPr>
                <w:szCs w:val="20"/>
              </w:rPr>
              <w:t xml:space="preserve"> </w:t>
            </w:r>
            <w:r w:rsidRPr="005B799B">
              <w:rPr>
                <w:szCs w:val="20"/>
              </w:rPr>
              <w:t>Services Australia/other</w:t>
            </w:r>
          </w:p>
        </w:tc>
        <w:tc>
          <w:tcPr>
            <w:tcW w:w="627" w:type="pct"/>
            <w:vAlign w:val="center"/>
          </w:tcPr>
          <w:p w14:paraId="5AD7A1FC" w14:textId="4453BB62" w:rsidR="003F62EB" w:rsidRPr="005B799B" w:rsidRDefault="003F62EB" w:rsidP="005B799B">
            <w:pPr>
              <w:pStyle w:val="TableText0"/>
              <w:jc w:val="center"/>
              <w:rPr>
                <w:bCs w:val="0"/>
                <w:szCs w:val="20"/>
              </w:rPr>
            </w:pPr>
            <w:r w:rsidRPr="005B799B">
              <w:rPr>
                <w:bCs w:val="0"/>
                <w:szCs w:val="20"/>
              </w:rPr>
              <w:t>$</w:t>
            </w:r>
            <w:r w:rsidR="001F633E" w:rsidRPr="001F633E">
              <w:rPr>
                <w:bCs w:val="0"/>
                <w:color w:val="000000"/>
                <w:spacing w:val="49"/>
                <w:szCs w:val="20"/>
                <w:shd w:val="solid" w:color="000000" w:fill="000000"/>
                <w:fitText w:val="320" w:id="-663554041"/>
                <w14:textFill>
                  <w14:solidFill>
                    <w14:srgbClr w14:val="000000">
                      <w14:alpha w14:val="100000"/>
                    </w14:srgbClr>
                  </w14:solidFill>
                </w14:textFill>
              </w:rPr>
              <w:t>|||</w:t>
            </w:r>
            <w:r w:rsidR="001F633E" w:rsidRPr="001F633E">
              <w:rPr>
                <w:bCs w:val="0"/>
                <w:color w:val="000000"/>
                <w:spacing w:val="3"/>
                <w:szCs w:val="20"/>
                <w:shd w:val="solid" w:color="000000" w:fill="000000"/>
                <w:fitText w:val="320" w:id="-663554041"/>
                <w14:textFill>
                  <w14:solidFill>
                    <w14:srgbClr w14:val="000000">
                      <w14:alpha w14:val="100000"/>
                    </w14:srgbClr>
                  </w14:solidFill>
                </w14:textFill>
              </w:rPr>
              <w:t>|</w:t>
            </w:r>
            <w:r w:rsidR="00F14FF3">
              <w:rPr>
                <w:bCs w:val="0"/>
                <w:szCs w:val="20"/>
              </w:rPr>
              <w:t xml:space="preserve"> </w:t>
            </w:r>
            <w:r w:rsidR="00F14FF3">
              <w:rPr>
                <w:bCs w:val="0"/>
                <w:szCs w:val="20"/>
                <w:vertAlign w:val="superscript"/>
              </w:rPr>
              <w:t>10</w:t>
            </w:r>
          </w:p>
        </w:tc>
        <w:tc>
          <w:tcPr>
            <w:tcW w:w="625" w:type="pct"/>
            <w:vAlign w:val="center"/>
          </w:tcPr>
          <w:p w14:paraId="1D6E215B" w14:textId="6BBAAED3" w:rsidR="003F62EB" w:rsidRPr="005B799B" w:rsidRDefault="003F62EB" w:rsidP="005B799B">
            <w:pPr>
              <w:pStyle w:val="TableText0"/>
              <w:jc w:val="center"/>
              <w:rPr>
                <w:bCs w:val="0"/>
                <w:szCs w:val="20"/>
              </w:rPr>
            </w:pPr>
            <w:r w:rsidRPr="005B799B">
              <w:rPr>
                <w:bCs w:val="0"/>
                <w:szCs w:val="20"/>
              </w:rPr>
              <w:t>$</w:t>
            </w:r>
            <w:r w:rsidR="001F633E" w:rsidRPr="001F633E">
              <w:rPr>
                <w:bCs w:val="0"/>
                <w:color w:val="000000"/>
                <w:spacing w:val="53"/>
                <w:szCs w:val="20"/>
                <w:shd w:val="solid" w:color="000000" w:fill="000000"/>
                <w:fitText w:val="330" w:id="-663554040"/>
                <w14:textFill>
                  <w14:solidFill>
                    <w14:srgbClr w14:val="000000">
                      <w14:alpha w14:val="100000"/>
                    </w14:srgbClr>
                  </w14:solidFill>
                </w14:textFill>
              </w:rPr>
              <w:t>|||</w:t>
            </w:r>
            <w:r w:rsidR="001F633E" w:rsidRPr="001F633E">
              <w:rPr>
                <w:bCs w:val="0"/>
                <w:color w:val="000000"/>
                <w:spacing w:val="1"/>
                <w:szCs w:val="20"/>
                <w:shd w:val="solid" w:color="000000" w:fill="000000"/>
                <w:fitText w:val="330" w:id="-663554040"/>
                <w14:textFill>
                  <w14:solidFill>
                    <w14:srgbClr w14:val="000000">
                      <w14:alpha w14:val="100000"/>
                    </w14:srgbClr>
                  </w14:solidFill>
                </w14:textFill>
              </w:rPr>
              <w:t>|</w:t>
            </w:r>
            <w:r w:rsidR="00F14FF3">
              <w:rPr>
                <w:bCs w:val="0"/>
                <w:szCs w:val="20"/>
              </w:rPr>
              <w:t xml:space="preserve"> </w:t>
            </w:r>
            <w:r w:rsidR="00F14FF3">
              <w:rPr>
                <w:bCs w:val="0"/>
                <w:szCs w:val="20"/>
                <w:vertAlign w:val="superscript"/>
              </w:rPr>
              <w:t>10</w:t>
            </w:r>
          </w:p>
        </w:tc>
        <w:tc>
          <w:tcPr>
            <w:tcW w:w="625" w:type="pct"/>
            <w:vAlign w:val="center"/>
          </w:tcPr>
          <w:p w14:paraId="25026D9D" w14:textId="78CC7142" w:rsidR="003F62EB" w:rsidRPr="005B799B" w:rsidRDefault="003F62EB" w:rsidP="005B799B">
            <w:pPr>
              <w:pStyle w:val="TableText0"/>
              <w:jc w:val="center"/>
              <w:rPr>
                <w:bCs w:val="0"/>
                <w:szCs w:val="20"/>
              </w:rPr>
            </w:pPr>
            <w:r w:rsidRPr="005B799B">
              <w:rPr>
                <w:bCs w:val="0"/>
                <w:szCs w:val="20"/>
              </w:rPr>
              <w:t>$</w:t>
            </w:r>
            <w:r w:rsidR="001F633E" w:rsidRPr="001F633E">
              <w:rPr>
                <w:bCs w:val="0"/>
                <w:color w:val="000000"/>
                <w:spacing w:val="53"/>
                <w:szCs w:val="20"/>
                <w:shd w:val="solid" w:color="000000" w:fill="000000"/>
                <w:fitText w:val="330" w:id="-663554039"/>
                <w14:textFill>
                  <w14:solidFill>
                    <w14:srgbClr w14:val="000000">
                      <w14:alpha w14:val="100000"/>
                    </w14:srgbClr>
                  </w14:solidFill>
                </w14:textFill>
              </w:rPr>
              <w:t>|||</w:t>
            </w:r>
            <w:r w:rsidR="001F633E" w:rsidRPr="001F633E">
              <w:rPr>
                <w:bCs w:val="0"/>
                <w:color w:val="000000"/>
                <w:spacing w:val="1"/>
                <w:szCs w:val="20"/>
                <w:shd w:val="solid" w:color="000000" w:fill="000000"/>
                <w:fitText w:val="330" w:id="-663554039"/>
                <w14:textFill>
                  <w14:solidFill>
                    <w14:srgbClr w14:val="000000">
                      <w14:alpha w14:val="100000"/>
                    </w14:srgbClr>
                  </w14:solidFill>
                </w14:textFill>
              </w:rPr>
              <w:t>|</w:t>
            </w:r>
            <w:r w:rsidR="00F14FF3">
              <w:rPr>
                <w:bCs w:val="0"/>
                <w:szCs w:val="20"/>
              </w:rPr>
              <w:t xml:space="preserve"> </w:t>
            </w:r>
            <w:r w:rsidR="00F14FF3">
              <w:rPr>
                <w:bCs w:val="0"/>
                <w:szCs w:val="20"/>
                <w:vertAlign w:val="superscript"/>
              </w:rPr>
              <w:t>10</w:t>
            </w:r>
          </w:p>
        </w:tc>
        <w:tc>
          <w:tcPr>
            <w:tcW w:w="625" w:type="pct"/>
            <w:vAlign w:val="center"/>
          </w:tcPr>
          <w:p w14:paraId="6933D36F" w14:textId="1B579C3F" w:rsidR="003F62EB" w:rsidRPr="005B799B" w:rsidRDefault="003F62EB" w:rsidP="005B799B">
            <w:pPr>
              <w:pStyle w:val="TableText0"/>
              <w:jc w:val="center"/>
              <w:rPr>
                <w:bCs w:val="0"/>
                <w:szCs w:val="20"/>
              </w:rPr>
            </w:pPr>
            <w:r w:rsidRPr="005B799B">
              <w:rPr>
                <w:bCs w:val="0"/>
                <w:szCs w:val="20"/>
              </w:rPr>
              <w:t>$</w:t>
            </w:r>
            <w:r w:rsidR="001F633E" w:rsidRPr="001F633E">
              <w:rPr>
                <w:bCs w:val="0"/>
                <w:color w:val="000000"/>
                <w:spacing w:val="53"/>
                <w:szCs w:val="20"/>
                <w:shd w:val="solid" w:color="000000" w:fill="000000"/>
                <w:fitText w:val="330" w:id="-663554038"/>
                <w14:textFill>
                  <w14:solidFill>
                    <w14:srgbClr w14:val="000000">
                      <w14:alpha w14:val="100000"/>
                    </w14:srgbClr>
                  </w14:solidFill>
                </w14:textFill>
              </w:rPr>
              <w:t>|||</w:t>
            </w:r>
            <w:r w:rsidR="001F633E" w:rsidRPr="001F633E">
              <w:rPr>
                <w:bCs w:val="0"/>
                <w:color w:val="000000"/>
                <w:spacing w:val="1"/>
                <w:szCs w:val="20"/>
                <w:shd w:val="solid" w:color="000000" w:fill="000000"/>
                <w:fitText w:val="330" w:id="-663554038"/>
                <w14:textFill>
                  <w14:solidFill>
                    <w14:srgbClr w14:val="000000">
                      <w14:alpha w14:val="100000"/>
                    </w14:srgbClr>
                  </w14:solidFill>
                </w14:textFill>
              </w:rPr>
              <w:t>|</w:t>
            </w:r>
            <w:r w:rsidR="00F14FF3">
              <w:rPr>
                <w:bCs w:val="0"/>
                <w:szCs w:val="20"/>
              </w:rPr>
              <w:t xml:space="preserve"> </w:t>
            </w:r>
            <w:r w:rsidR="00F14FF3">
              <w:rPr>
                <w:bCs w:val="0"/>
                <w:szCs w:val="20"/>
                <w:vertAlign w:val="superscript"/>
              </w:rPr>
              <w:t>10</w:t>
            </w:r>
          </w:p>
        </w:tc>
        <w:tc>
          <w:tcPr>
            <w:tcW w:w="625" w:type="pct"/>
            <w:vAlign w:val="center"/>
          </w:tcPr>
          <w:p w14:paraId="04433A65" w14:textId="3F152024" w:rsidR="003F62EB" w:rsidRPr="005B799B" w:rsidRDefault="003F62EB" w:rsidP="005B799B">
            <w:pPr>
              <w:pStyle w:val="TableText0"/>
              <w:jc w:val="center"/>
              <w:rPr>
                <w:bCs w:val="0"/>
                <w:szCs w:val="20"/>
              </w:rPr>
            </w:pPr>
            <w:r w:rsidRPr="005B799B">
              <w:rPr>
                <w:bCs w:val="0"/>
                <w:szCs w:val="20"/>
              </w:rPr>
              <w:t>$</w:t>
            </w:r>
            <w:r w:rsidR="001F633E" w:rsidRPr="001F633E">
              <w:rPr>
                <w:bCs w:val="0"/>
                <w:color w:val="000000"/>
                <w:spacing w:val="53"/>
                <w:szCs w:val="20"/>
                <w:shd w:val="solid" w:color="000000" w:fill="000000"/>
                <w:fitText w:val="330" w:id="-663554037"/>
                <w14:textFill>
                  <w14:solidFill>
                    <w14:srgbClr w14:val="000000">
                      <w14:alpha w14:val="100000"/>
                    </w14:srgbClr>
                  </w14:solidFill>
                </w14:textFill>
              </w:rPr>
              <w:t>|||</w:t>
            </w:r>
            <w:r w:rsidR="001F633E" w:rsidRPr="001F633E">
              <w:rPr>
                <w:bCs w:val="0"/>
                <w:color w:val="000000"/>
                <w:spacing w:val="1"/>
                <w:szCs w:val="20"/>
                <w:shd w:val="solid" w:color="000000" w:fill="000000"/>
                <w:fitText w:val="330" w:id="-663554037"/>
                <w14:textFill>
                  <w14:solidFill>
                    <w14:srgbClr w14:val="000000">
                      <w14:alpha w14:val="100000"/>
                    </w14:srgbClr>
                  </w14:solidFill>
                </w14:textFill>
              </w:rPr>
              <w:t>|</w:t>
            </w:r>
            <w:r w:rsidR="00F14FF3">
              <w:rPr>
                <w:bCs w:val="0"/>
                <w:szCs w:val="20"/>
              </w:rPr>
              <w:t xml:space="preserve"> </w:t>
            </w:r>
            <w:r w:rsidR="00F14FF3">
              <w:rPr>
                <w:bCs w:val="0"/>
                <w:szCs w:val="20"/>
                <w:vertAlign w:val="superscript"/>
              </w:rPr>
              <w:t>10</w:t>
            </w:r>
          </w:p>
        </w:tc>
        <w:tc>
          <w:tcPr>
            <w:tcW w:w="626" w:type="pct"/>
            <w:vAlign w:val="center"/>
          </w:tcPr>
          <w:p w14:paraId="2223EBD7" w14:textId="44674B57" w:rsidR="003F62EB" w:rsidRPr="005B799B" w:rsidRDefault="003F62EB" w:rsidP="005B799B">
            <w:pPr>
              <w:pStyle w:val="TableText0"/>
              <w:jc w:val="center"/>
              <w:rPr>
                <w:bCs w:val="0"/>
                <w:szCs w:val="20"/>
              </w:rPr>
            </w:pPr>
            <w:r w:rsidRPr="005B799B">
              <w:rPr>
                <w:bCs w:val="0"/>
                <w:szCs w:val="20"/>
              </w:rPr>
              <w:t>$</w:t>
            </w:r>
            <w:r w:rsidR="001F633E" w:rsidRPr="001F633E">
              <w:rPr>
                <w:bCs w:val="0"/>
                <w:color w:val="000000"/>
                <w:spacing w:val="53"/>
                <w:szCs w:val="20"/>
                <w:shd w:val="solid" w:color="000000" w:fill="000000"/>
                <w:fitText w:val="330" w:id="-663554036"/>
                <w14:textFill>
                  <w14:solidFill>
                    <w14:srgbClr w14:val="000000">
                      <w14:alpha w14:val="100000"/>
                    </w14:srgbClr>
                  </w14:solidFill>
                </w14:textFill>
              </w:rPr>
              <w:t>|||</w:t>
            </w:r>
            <w:r w:rsidR="001F633E" w:rsidRPr="001F633E">
              <w:rPr>
                <w:bCs w:val="0"/>
                <w:color w:val="000000"/>
                <w:spacing w:val="1"/>
                <w:szCs w:val="20"/>
                <w:shd w:val="solid" w:color="000000" w:fill="000000"/>
                <w:fitText w:val="330" w:id="-663554036"/>
                <w14:textFill>
                  <w14:solidFill>
                    <w14:srgbClr w14:val="000000">
                      <w14:alpha w14:val="100000"/>
                    </w14:srgbClr>
                  </w14:solidFill>
                </w14:textFill>
              </w:rPr>
              <w:t>|</w:t>
            </w:r>
            <w:r w:rsidR="00F14FF3">
              <w:rPr>
                <w:bCs w:val="0"/>
                <w:szCs w:val="20"/>
              </w:rPr>
              <w:t xml:space="preserve"> </w:t>
            </w:r>
            <w:r w:rsidR="00F14FF3">
              <w:rPr>
                <w:bCs w:val="0"/>
                <w:szCs w:val="20"/>
                <w:vertAlign w:val="superscript"/>
              </w:rPr>
              <w:t>10</w:t>
            </w:r>
          </w:p>
        </w:tc>
      </w:tr>
      <w:tr w:rsidR="00276F88" w:rsidRPr="005B799B" w14:paraId="123830C0" w14:textId="77777777" w:rsidTr="005D33F6">
        <w:trPr>
          <w:trHeight w:val="20"/>
        </w:trPr>
        <w:tc>
          <w:tcPr>
            <w:tcW w:w="1248" w:type="pct"/>
          </w:tcPr>
          <w:p w14:paraId="50FCDA47" w14:textId="126B6C4B" w:rsidR="003F62EB" w:rsidRPr="005B799B" w:rsidRDefault="003F62EB" w:rsidP="003F62EB">
            <w:pPr>
              <w:pStyle w:val="TableText0"/>
              <w:rPr>
                <w:szCs w:val="20"/>
              </w:rPr>
            </w:pPr>
            <w:r w:rsidRPr="005B799B">
              <w:rPr>
                <w:szCs w:val="20"/>
              </w:rPr>
              <w:t>Net cost to Government</w:t>
            </w:r>
          </w:p>
        </w:tc>
        <w:tc>
          <w:tcPr>
            <w:tcW w:w="627" w:type="pct"/>
            <w:vAlign w:val="center"/>
          </w:tcPr>
          <w:p w14:paraId="0F4EB661" w14:textId="3E6AD338" w:rsidR="003F62EB" w:rsidRPr="005B799B" w:rsidRDefault="003F62EB"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35"/>
                <w14:textFill>
                  <w14:solidFill>
                    <w14:srgbClr w14:val="000000">
                      <w14:alpha w14:val="100000"/>
                    </w14:srgbClr>
                  </w14:solidFill>
                </w14:textFill>
              </w:rPr>
              <w:t>|||</w:t>
            </w:r>
            <w:r w:rsidR="001F633E" w:rsidRPr="001F633E">
              <w:rPr>
                <w:color w:val="000000"/>
                <w:spacing w:val="1"/>
                <w:szCs w:val="20"/>
                <w:shd w:val="solid" w:color="000000" w:fill="000000"/>
                <w:fitText w:val="330" w:id="-663554035"/>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59B75FE2" w14:textId="5FA2EBF8" w:rsidR="003F62EB" w:rsidRPr="005B799B" w:rsidRDefault="003F62EB"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34"/>
                <w14:textFill>
                  <w14:solidFill>
                    <w14:srgbClr w14:val="000000">
                      <w14:alpha w14:val="100000"/>
                    </w14:srgbClr>
                  </w14:solidFill>
                </w14:textFill>
              </w:rPr>
              <w:t>|||</w:t>
            </w:r>
            <w:r w:rsidR="001F633E" w:rsidRPr="001F633E">
              <w:rPr>
                <w:color w:val="000000"/>
                <w:spacing w:val="1"/>
                <w:szCs w:val="20"/>
                <w:shd w:val="solid" w:color="000000" w:fill="000000"/>
                <w:fitText w:val="330" w:id="-663554034"/>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6AE6473A" w14:textId="4DB6C9E3" w:rsidR="003F62EB" w:rsidRPr="005B799B" w:rsidRDefault="003F62EB"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33"/>
                <w14:textFill>
                  <w14:solidFill>
                    <w14:srgbClr w14:val="000000">
                      <w14:alpha w14:val="100000"/>
                    </w14:srgbClr>
                  </w14:solidFill>
                </w14:textFill>
              </w:rPr>
              <w:t>|||</w:t>
            </w:r>
            <w:r w:rsidR="001F633E" w:rsidRPr="001F633E">
              <w:rPr>
                <w:color w:val="000000"/>
                <w:spacing w:val="1"/>
                <w:szCs w:val="20"/>
                <w:shd w:val="solid" w:color="000000" w:fill="000000"/>
                <w:fitText w:val="330" w:id="-663554033"/>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1F476C04" w14:textId="595ACC81" w:rsidR="003F62EB" w:rsidRPr="005B799B" w:rsidRDefault="003F62EB"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32"/>
                <w14:textFill>
                  <w14:solidFill>
                    <w14:srgbClr w14:val="000000">
                      <w14:alpha w14:val="100000"/>
                    </w14:srgbClr>
                  </w14:solidFill>
                </w14:textFill>
              </w:rPr>
              <w:t>|||</w:t>
            </w:r>
            <w:r w:rsidR="001F633E" w:rsidRPr="001F633E">
              <w:rPr>
                <w:color w:val="000000"/>
                <w:spacing w:val="1"/>
                <w:szCs w:val="20"/>
                <w:shd w:val="solid" w:color="000000" w:fill="000000"/>
                <w:fitText w:val="330" w:id="-663554032"/>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5" w:type="pct"/>
            <w:vAlign w:val="center"/>
          </w:tcPr>
          <w:p w14:paraId="12079751" w14:textId="08C52A8A" w:rsidR="003F62EB" w:rsidRPr="005B799B" w:rsidRDefault="003F62EB"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48"/>
                <w14:textFill>
                  <w14:solidFill>
                    <w14:srgbClr w14:val="000000">
                      <w14:alpha w14:val="100000"/>
                    </w14:srgbClr>
                  </w14:solidFill>
                </w14:textFill>
              </w:rPr>
              <w:t>|||</w:t>
            </w:r>
            <w:r w:rsidR="001F633E" w:rsidRPr="001F633E">
              <w:rPr>
                <w:color w:val="000000"/>
                <w:spacing w:val="1"/>
                <w:szCs w:val="20"/>
                <w:shd w:val="solid" w:color="000000" w:fill="000000"/>
                <w:fitText w:val="330" w:id="-663554048"/>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c>
          <w:tcPr>
            <w:tcW w:w="626" w:type="pct"/>
            <w:vAlign w:val="center"/>
          </w:tcPr>
          <w:p w14:paraId="4844CB4D" w14:textId="0CC8DF7B" w:rsidR="003F62EB" w:rsidRPr="005B799B" w:rsidRDefault="003F62EB" w:rsidP="005B799B">
            <w:pPr>
              <w:pStyle w:val="TableText0"/>
              <w:jc w:val="center"/>
              <w:rPr>
                <w:szCs w:val="20"/>
              </w:rPr>
            </w:pPr>
            <w:r w:rsidRPr="005B799B">
              <w:rPr>
                <w:szCs w:val="20"/>
              </w:rPr>
              <w:t>-$</w:t>
            </w:r>
            <w:r w:rsidR="001F633E" w:rsidRPr="001F633E">
              <w:rPr>
                <w:color w:val="000000"/>
                <w:spacing w:val="53"/>
                <w:szCs w:val="20"/>
                <w:shd w:val="solid" w:color="000000" w:fill="000000"/>
                <w:fitText w:val="330" w:id="-663554047"/>
                <w14:textFill>
                  <w14:solidFill>
                    <w14:srgbClr w14:val="000000">
                      <w14:alpha w14:val="100000"/>
                    </w14:srgbClr>
                  </w14:solidFill>
                </w14:textFill>
              </w:rPr>
              <w:t>|||</w:t>
            </w:r>
            <w:r w:rsidR="001F633E" w:rsidRPr="001F633E">
              <w:rPr>
                <w:color w:val="000000"/>
                <w:spacing w:val="1"/>
                <w:szCs w:val="20"/>
                <w:shd w:val="solid" w:color="000000" w:fill="000000"/>
                <w:fitText w:val="330" w:id="-663554047"/>
                <w14:textFill>
                  <w14:solidFill>
                    <w14:srgbClr w14:val="000000">
                      <w14:alpha w14:val="100000"/>
                    </w14:srgbClr>
                  </w14:solidFill>
                </w14:textFill>
              </w:rPr>
              <w:t>|</w:t>
            </w:r>
            <w:r w:rsidR="00CA6EBE">
              <w:rPr>
                <w:bCs w:val="0"/>
                <w:szCs w:val="20"/>
              </w:rPr>
              <w:t xml:space="preserve"> </w:t>
            </w:r>
            <w:r w:rsidR="00CA6EBE">
              <w:rPr>
                <w:bCs w:val="0"/>
                <w:szCs w:val="20"/>
                <w:vertAlign w:val="superscript"/>
              </w:rPr>
              <w:t>9</w:t>
            </w:r>
          </w:p>
        </w:tc>
      </w:tr>
    </w:tbl>
    <w:p w14:paraId="7B6A5C0A" w14:textId="77777777" w:rsidR="006031A8" w:rsidRDefault="00620C25" w:rsidP="00620C25">
      <w:pPr>
        <w:pStyle w:val="FooterTableFigure"/>
      </w:pPr>
      <w:r w:rsidRPr="00334A6B">
        <w:t xml:space="preserve">Source: </w:t>
      </w:r>
      <w:r w:rsidR="001B2571" w:rsidRPr="00334A6B">
        <w:t>Constructed form Section 4 and the Section 4 Excel workbook in the submission.</w:t>
      </w:r>
      <w:r w:rsidR="00621EAA" w:rsidRPr="00334A6B">
        <w:t xml:space="preserve"> </w:t>
      </w:r>
    </w:p>
    <w:p w14:paraId="4D0F4473" w14:textId="77777777" w:rsidR="006031A8" w:rsidRDefault="00DA3190" w:rsidP="00620C25">
      <w:pPr>
        <w:pStyle w:val="FooterTableFigure"/>
      </w:pPr>
      <w:r w:rsidRPr="00334A6B">
        <w:rPr>
          <w:vertAlign w:val="superscript"/>
        </w:rPr>
        <w:t xml:space="preserve">a </w:t>
      </w:r>
      <w:r w:rsidRPr="00334A6B">
        <w:t>Assumes 2 scripts per year and 100% adherence.</w:t>
      </w:r>
      <w:r w:rsidR="00AB4749" w:rsidRPr="00334A6B">
        <w:t xml:space="preserve"> </w:t>
      </w:r>
    </w:p>
    <w:p w14:paraId="484CF5B6" w14:textId="35FCD346" w:rsidR="00620C25" w:rsidRDefault="006031A8" w:rsidP="00500F2D">
      <w:pPr>
        <w:pStyle w:val="FooterTableFigure"/>
        <w:spacing w:after="0"/>
      </w:pPr>
      <w:r>
        <w:rPr>
          <w:vertAlign w:val="superscript"/>
        </w:rPr>
        <w:t>b</w:t>
      </w:r>
      <w:r w:rsidR="00CA6EBE">
        <w:rPr>
          <w:vertAlign w:val="superscript"/>
        </w:rPr>
        <w:t xml:space="preserve"> </w:t>
      </w:r>
      <w:r w:rsidR="00AB4749" w:rsidRPr="00334A6B">
        <w:t>includes methylprednisolone and dexamethasone</w:t>
      </w:r>
    </w:p>
    <w:p w14:paraId="21CA9D9E" w14:textId="77777777" w:rsidR="00500F2D" w:rsidRPr="009A6D58" w:rsidRDefault="00500F2D" w:rsidP="00500F2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50D6D2B" w14:textId="04CBF124" w:rsidR="00500F2D" w:rsidRPr="009A6D58" w:rsidRDefault="00500F2D" w:rsidP="00500F2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6B5468" w:rsidRPr="006B5468">
        <w:rPr>
          <w:rFonts w:ascii="Arial Narrow" w:hAnsi="Arial Narrow"/>
          <w:i/>
          <w:sz w:val="18"/>
          <w:szCs w:val="18"/>
        </w:rPr>
        <w:t>500 to &lt; 5,000</w:t>
      </w:r>
    </w:p>
    <w:p w14:paraId="1F22025C" w14:textId="6EFBEDEC" w:rsidR="00500F2D" w:rsidRPr="009A6D58" w:rsidRDefault="00500F2D" w:rsidP="00500F2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C46584" w:rsidRPr="00C46584">
        <w:rPr>
          <w:rFonts w:ascii="Arial Narrow" w:hAnsi="Arial Narrow"/>
          <w:i/>
          <w:sz w:val="18"/>
          <w:szCs w:val="18"/>
        </w:rPr>
        <w:t>5,000 to &lt; 10,000</w:t>
      </w:r>
    </w:p>
    <w:p w14:paraId="76C14116" w14:textId="10733FF8" w:rsidR="00500F2D" w:rsidRDefault="00500F2D" w:rsidP="00500F2D">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CA5BE8" w:rsidRPr="00CA5BE8">
        <w:rPr>
          <w:rFonts w:ascii="Arial Narrow" w:hAnsi="Arial Narrow"/>
          <w:i/>
          <w:sz w:val="18"/>
          <w:szCs w:val="18"/>
        </w:rPr>
        <w:t>$30 million to &lt; $40 million</w:t>
      </w:r>
    </w:p>
    <w:p w14:paraId="6EEAD5A3" w14:textId="1AEE36D2" w:rsidR="00500F2D" w:rsidRDefault="00500F2D" w:rsidP="00500F2D">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524896" w:rsidRPr="00524896">
        <w:rPr>
          <w:rFonts w:ascii="Arial Narrow" w:hAnsi="Arial Narrow"/>
          <w:i/>
          <w:sz w:val="18"/>
          <w:szCs w:val="18"/>
        </w:rPr>
        <w:t>$60 million to &lt; $70 million</w:t>
      </w:r>
    </w:p>
    <w:p w14:paraId="4212B6BD" w14:textId="46DCAFF1" w:rsidR="00500F2D" w:rsidRDefault="00500F2D" w:rsidP="00500F2D">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7A319E" w:rsidRPr="007A319E">
        <w:rPr>
          <w:rFonts w:ascii="Arial Narrow" w:hAnsi="Arial Narrow"/>
          <w:i/>
          <w:sz w:val="18"/>
          <w:szCs w:val="18"/>
        </w:rPr>
        <w:t>$90 million to &lt; $100 million</w:t>
      </w:r>
    </w:p>
    <w:p w14:paraId="62F9597C" w14:textId="2E18708C" w:rsidR="00500F2D" w:rsidRDefault="00500F2D" w:rsidP="00500F2D">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5D33F6" w:rsidRPr="005D33F6">
        <w:rPr>
          <w:rFonts w:ascii="Arial Narrow" w:hAnsi="Arial Narrow"/>
          <w:i/>
          <w:sz w:val="18"/>
          <w:szCs w:val="18"/>
        </w:rPr>
        <w:t>$100 million to &lt; $200 million</w:t>
      </w:r>
    </w:p>
    <w:p w14:paraId="12EAC84F" w14:textId="2A6E228F" w:rsidR="00500F2D" w:rsidRPr="009A6D58" w:rsidRDefault="00500F2D" w:rsidP="00500F2D">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886DBD" w:rsidRPr="00886DBD">
        <w:rPr>
          <w:rFonts w:ascii="Arial Narrow" w:hAnsi="Arial Narrow"/>
          <w:i/>
          <w:sz w:val="18"/>
          <w:szCs w:val="18"/>
        </w:rPr>
        <w:t>10,000 to &lt; 20,000</w:t>
      </w:r>
    </w:p>
    <w:p w14:paraId="54134581" w14:textId="3AD4C727" w:rsidR="00500F2D" w:rsidRPr="009A6D58" w:rsidRDefault="00500F2D" w:rsidP="00500F2D">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95262D" w:rsidRPr="0095262D">
        <w:rPr>
          <w:rFonts w:ascii="Arial Narrow" w:hAnsi="Arial Narrow"/>
          <w:i/>
          <w:sz w:val="18"/>
          <w:szCs w:val="18"/>
        </w:rPr>
        <w:t>20,000 to &lt; 30,000</w:t>
      </w:r>
    </w:p>
    <w:p w14:paraId="025E58A8" w14:textId="71103E56" w:rsidR="00500F2D" w:rsidRDefault="00500F2D" w:rsidP="00500F2D">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FF665C" w:rsidRPr="00FF665C">
        <w:rPr>
          <w:rFonts w:ascii="Arial Narrow" w:hAnsi="Arial Narrow"/>
          <w:i/>
          <w:sz w:val="18"/>
          <w:szCs w:val="18"/>
        </w:rPr>
        <w:t>net cost saving</w:t>
      </w:r>
    </w:p>
    <w:p w14:paraId="6727C25A" w14:textId="495D7A60" w:rsidR="00500F2D" w:rsidRPr="00500F2D" w:rsidRDefault="00500F2D" w:rsidP="00500F2D">
      <w:pPr>
        <w:spacing w:after="120"/>
        <w:rPr>
          <w:rStyle w:val="CommentReference"/>
          <w:b w:val="0"/>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E95F13" w:rsidRPr="00E95F13">
        <w:rPr>
          <w:rFonts w:ascii="Arial Narrow" w:hAnsi="Arial Narrow"/>
          <w:i/>
          <w:sz w:val="18"/>
          <w:szCs w:val="18"/>
        </w:rPr>
        <w:t>$0 to &lt; $10 million</w:t>
      </w:r>
    </w:p>
    <w:p w14:paraId="32E7840D" w14:textId="2CDED702" w:rsidR="00D244B6" w:rsidRPr="00334A6B" w:rsidRDefault="003F62EB" w:rsidP="00606FBA">
      <w:pPr>
        <w:pStyle w:val="3-BodyText"/>
      </w:pPr>
      <w:r w:rsidRPr="00334A6B">
        <w:t>The</w:t>
      </w:r>
      <w:r w:rsidR="001B2571" w:rsidRPr="00334A6B">
        <w:t xml:space="preserve"> inclusion of</w:t>
      </w:r>
      <w:r w:rsidRPr="00334A6B">
        <w:t xml:space="preserve"> </w:t>
      </w:r>
      <w:r w:rsidR="001B2571" w:rsidRPr="00334A6B">
        <w:t xml:space="preserve">the cost of methylprednisolone being replaced by dexamethasone likely underestimates the cost as both steroids can be used as premedication. </w:t>
      </w:r>
      <w:r w:rsidR="00804A9C" w:rsidRPr="00334A6B">
        <w:t>I</w:t>
      </w:r>
      <w:r w:rsidR="001B2571" w:rsidRPr="00334A6B">
        <w:t xml:space="preserve">nclusion of a change in the use of cardiac monitoring due to reduction in fingolimod use </w:t>
      </w:r>
      <w:r w:rsidR="00804A9C" w:rsidRPr="00334A6B">
        <w:t xml:space="preserve">might be </w:t>
      </w:r>
      <w:r w:rsidR="006573AD" w:rsidRPr="00334A6B">
        <w:t>reasonable</w:t>
      </w:r>
      <w:r w:rsidR="00804A9C" w:rsidRPr="00334A6B">
        <w:t>, but</w:t>
      </w:r>
      <w:r w:rsidR="001B2571" w:rsidRPr="00334A6B">
        <w:t xml:space="preserve"> a reduction in the use of health professional consultations for training in subcutaneous injections</w:t>
      </w:r>
      <w:r w:rsidR="00804A9C" w:rsidRPr="00334A6B">
        <w:t xml:space="preserve"> is </w:t>
      </w:r>
      <w:r w:rsidR="001B2571" w:rsidRPr="00334A6B">
        <w:t xml:space="preserve">probably </w:t>
      </w:r>
      <w:r w:rsidR="00804A9C" w:rsidRPr="00334A6B">
        <w:t xml:space="preserve">an </w:t>
      </w:r>
      <w:r w:rsidR="001B2571" w:rsidRPr="00334A6B">
        <w:t>overestimate</w:t>
      </w:r>
      <w:r w:rsidR="0092147D" w:rsidRPr="00334A6B">
        <w:t xml:space="preserve">. </w:t>
      </w:r>
    </w:p>
    <w:p w14:paraId="6539865F" w14:textId="7DA175E9" w:rsidR="00AE372A" w:rsidRDefault="001B2571" w:rsidP="00AE372A">
      <w:pPr>
        <w:pStyle w:val="3-BodyText"/>
      </w:pPr>
      <w:r w:rsidRPr="00334A6B">
        <w:t xml:space="preserve">The submission presented sensitivity analyses varying the assumptions about market uptake and compliance. </w:t>
      </w:r>
    </w:p>
    <w:p w14:paraId="7B20BB43" w14:textId="03D217CB" w:rsidR="001B2571" w:rsidRPr="00DE19F7" w:rsidRDefault="00E96034" w:rsidP="00E96034">
      <w:pPr>
        <w:pStyle w:val="Caption"/>
      </w:pPr>
      <w:bookmarkStart w:id="72" w:name="_Ref188178960"/>
      <w:r>
        <w:lastRenderedPageBreak/>
        <w:t>Table</w:t>
      </w:r>
      <w:bookmarkEnd w:id="72"/>
      <w:r w:rsidR="007F38D9">
        <w:t xml:space="preserve"> 16</w:t>
      </w:r>
      <w:r>
        <w:t xml:space="preserve">: </w:t>
      </w:r>
      <w:r w:rsidR="001B2571" w:rsidRPr="00DE19F7">
        <w:t>Summary of Sensitivity Analysis</w:t>
      </w:r>
      <w:r w:rsidR="001B2571">
        <w:t xml:space="preserve"> (at published prices)</w:t>
      </w:r>
    </w:p>
    <w:tbl>
      <w:tblPr>
        <w:tblW w:w="9130" w:type="dxa"/>
        <w:tblLayout w:type="fixed"/>
        <w:tblCellMar>
          <w:left w:w="57" w:type="dxa"/>
          <w:right w:w="57" w:type="dxa"/>
        </w:tblCellMar>
        <w:tblLook w:val="04A0" w:firstRow="1" w:lastRow="0" w:firstColumn="1" w:lastColumn="0" w:noHBand="0" w:noVBand="1"/>
      </w:tblPr>
      <w:tblGrid>
        <w:gridCol w:w="3114"/>
        <w:gridCol w:w="992"/>
        <w:gridCol w:w="992"/>
        <w:gridCol w:w="993"/>
        <w:gridCol w:w="992"/>
        <w:gridCol w:w="992"/>
        <w:gridCol w:w="1055"/>
      </w:tblGrid>
      <w:tr w:rsidR="001B2571" w:rsidRPr="00DE19F7" w14:paraId="6A9E7608" w14:textId="77777777" w:rsidTr="007561DF">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ECCE" w14:textId="77777777" w:rsidR="001B2571" w:rsidRPr="00DE19F7" w:rsidRDefault="001B2571" w:rsidP="001B2571">
            <w:pPr>
              <w:pStyle w:val="TableText0"/>
            </w:pPr>
            <w:r w:rsidRPr="00DE19F7">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D5713B" w14:textId="77777777" w:rsidR="001B2571" w:rsidRPr="00DE19F7" w:rsidRDefault="001B2571" w:rsidP="005D33F6">
            <w:pPr>
              <w:pStyle w:val="TableText0"/>
              <w:jc w:val="center"/>
              <w:rPr>
                <w:b/>
              </w:rPr>
            </w:pPr>
            <w:r w:rsidRPr="0025069E">
              <w:rPr>
                <w:b/>
              </w:rPr>
              <w:t>Year 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65A879" w14:textId="77777777" w:rsidR="001B2571" w:rsidRPr="00DE19F7" w:rsidRDefault="001B2571" w:rsidP="005D33F6">
            <w:pPr>
              <w:pStyle w:val="TableText0"/>
              <w:jc w:val="center"/>
              <w:rPr>
                <w:b/>
              </w:rPr>
            </w:pPr>
            <w:r w:rsidRPr="0025069E">
              <w:rPr>
                <w:b/>
              </w:rPr>
              <w:t>Year 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0FCDABC" w14:textId="77777777" w:rsidR="001B2571" w:rsidRPr="00DE19F7" w:rsidRDefault="001B2571" w:rsidP="005D33F6">
            <w:pPr>
              <w:pStyle w:val="TableText0"/>
              <w:jc w:val="center"/>
              <w:rPr>
                <w:b/>
              </w:rPr>
            </w:pPr>
            <w:r w:rsidRPr="0025069E">
              <w:rPr>
                <w:b/>
              </w:rPr>
              <w:t>Year 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6041A6" w14:textId="77777777" w:rsidR="001B2571" w:rsidRPr="00DE19F7" w:rsidRDefault="001B2571" w:rsidP="005D33F6">
            <w:pPr>
              <w:pStyle w:val="TableText0"/>
              <w:jc w:val="center"/>
              <w:rPr>
                <w:b/>
              </w:rPr>
            </w:pPr>
            <w:r w:rsidRPr="0025069E">
              <w:rPr>
                <w:b/>
              </w:rPr>
              <w:t>Year 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C377F7" w14:textId="77777777" w:rsidR="001B2571" w:rsidRPr="00DE19F7" w:rsidRDefault="001B2571" w:rsidP="005D33F6">
            <w:pPr>
              <w:pStyle w:val="TableText0"/>
              <w:jc w:val="center"/>
              <w:rPr>
                <w:b/>
              </w:rPr>
            </w:pPr>
            <w:r w:rsidRPr="0025069E">
              <w:rPr>
                <w:b/>
              </w:rPr>
              <w:t>Year 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07DDFF79" w14:textId="77777777" w:rsidR="001B2571" w:rsidRPr="00DE19F7" w:rsidRDefault="001B2571" w:rsidP="005D33F6">
            <w:pPr>
              <w:pStyle w:val="TableText0"/>
              <w:jc w:val="center"/>
              <w:rPr>
                <w:b/>
              </w:rPr>
            </w:pPr>
            <w:r w:rsidRPr="0025069E">
              <w:rPr>
                <w:b/>
              </w:rPr>
              <w:t>Year 6</w:t>
            </w:r>
          </w:p>
        </w:tc>
      </w:tr>
      <w:tr w:rsidR="001B2571" w:rsidRPr="00DE19F7" w14:paraId="482ED286" w14:textId="77777777" w:rsidTr="007561DF">
        <w:trPr>
          <w:trHeight w:val="20"/>
        </w:trPr>
        <w:tc>
          <w:tcPr>
            <w:tcW w:w="9130" w:type="dxa"/>
            <w:gridSpan w:val="7"/>
            <w:tcBorders>
              <w:top w:val="nil"/>
              <w:left w:val="single" w:sz="4" w:space="0" w:color="auto"/>
              <w:bottom w:val="single" w:sz="4" w:space="0" w:color="auto"/>
              <w:right w:val="single" w:sz="4" w:space="0" w:color="auto"/>
            </w:tcBorders>
            <w:shd w:val="clear" w:color="auto" w:fill="auto"/>
            <w:noWrap/>
            <w:vAlign w:val="center"/>
            <w:hideMark/>
          </w:tcPr>
          <w:p w14:paraId="5C231022" w14:textId="77777777" w:rsidR="001B2571" w:rsidRPr="00AE372A" w:rsidRDefault="001B2571" w:rsidP="005D33F6">
            <w:pPr>
              <w:pStyle w:val="TableText0"/>
              <w:rPr>
                <w:b/>
              </w:rPr>
            </w:pPr>
            <w:r w:rsidRPr="00AE372A">
              <w:rPr>
                <w:b/>
              </w:rPr>
              <w:t>Base Case</w:t>
            </w:r>
          </w:p>
        </w:tc>
      </w:tr>
      <w:tr w:rsidR="001B2571" w:rsidRPr="00DE19F7" w14:paraId="6A03A742"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4F4748" w14:textId="77777777" w:rsidR="001B2571" w:rsidRPr="00AE372A" w:rsidRDefault="001B2571" w:rsidP="005D33F6">
            <w:pPr>
              <w:pStyle w:val="TableText0"/>
            </w:pPr>
            <w:r w:rsidRPr="58C81D04">
              <w:t>Number of Ublituximab Rx</w:t>
            </w:r>
          </w:p>
        </w:tc>
        <w:tc>
          <w:tcPr>
            <w:tcW w:w="992" w:type="dxa"/>
            <w:tcBorders>
              <w:top w:val="nil"/>
              <w:left w:val="nil"/>
              <w:bottom w:val="single" w:sz="4" w:space="0" w:color="auto"/>
              <w:right w:val="single" w:sz="4" w:space="0" w:color="auto"/>
            </w:tcBorders>
            <w:shd w:val="clear" w:color="auto" w:fill="auto"/>
            <w:noWrap/>
            <w:vAlign w:val="center"/>
          </w:tcPr>
          <w:p w14:paraId="476E5E83" w14:textId="76C9A5C3" w:rsidR="001B2571" w:rsidRPr="00AE372A" w:rsidRDefault="001F633E" w:rsidP="005D33F6">
            <w:pPr>
              <w:pStyle w:val="TableText0"/>
              <w:jc w:val="center"/>
            </w:pPr>
            <w:r w:rsidRPr="001F633E">
              <w:rPr>
                <w:color w:val="000000"/>
                <w:spacing w:val="53"/>
                <w:shd w:val="solid" w:color="000000" w:fill="000000"/>
                <w:fitText w:val="330" w:id="-663554046"/>
                <w14:textFill>
                  <w14:solidFill>
                    <w14:srgbClr w14:val="000000">
                      <w14:alpha w14:val="100000"/>
                    </w14:srgbClr>
                  </w14:solidFill>
                </w14:textFill>
              </w:rPr>
              <w:t>|||</w:t>
            </w:r>
            <w:r w:rsidRPr="001F633E">
              <w:rPr>
                <w:color w:val="000000"/>
                <w:spacing w:val="1"/>
                <w:shd w:val="solid" w:color="000000" w:fill="000000"/>
                <w:fitText w:val="330" w:id="-663554046"/>
                <w14:textFill>
                  <w14:solidFill>
                    <w14:srgbClr w14:val="000000">
                      <w14:alpha w14:val="100000"/>
                    </w14:srgbClr>
                  </w14:solidFill>
                </w14:textFill>
              </w:rPr>
              <w:t>|</w:t>
            </w:r>
            <w:r w:rsidR="00266C94">
              <w:t xml:space="preserve"> </w:t>
            </w:r>
            <w:r w:rsidR="00266C94">
              <w:rPr>
                <w:vertAlign w:val="superscript"/>
              </w:rPr>
              <w:t>1</w:t>
            </w:r>
            <w:r w:rsidR="001B2571" w:rsidRPr="00AE372A">
              <w:t xml:space="preserve"> Rx</w:t>
            </w:r>
          </w:p>
        </w:tc>
        <w:tc>
          <w:tcPr>
            <w:tcW w:w="992" w:type="dxa"/>
            <w:tcBorders>
              <w:top w:val="nil"/>
              <w:left w:val="nil"/>
              <w:bottom w:val="single" w:sz="4" w:space="0" w:color="auto"/>
              <w:right w:val="single" w:sz="4" w:space="0" w:color="auto"/>
            </w:tcBorders>
            <w:shd w:val="clear" w:color="auto" w:fill="auto"/>
            <w:noWrap/>
            <w:vAlign w:val="center"/>
          </w:tcPr>
          <w:p w14:paraId="702C9AC2" w14:textId="4444FF4E" w:rsidR="001B2571" w:rsidRPr="00AE372A" w:rsidRDefault="001F633E" w:rsidP="005D33F6">
            <w:pPr>
              <w:pStyle w:val="TableText0"/>
              <w:jc w:val="center"/>
            </w:pPr>
            <w:r w:rsidRPr="001F633E">
              <w:rPr>
                <w:color w:val="000000"/>
                <w:spacing w:val="53"/>
                <w:shd w:val="solid" w:color="000000" w:fill="000000"/>
                <w:fitText w:val="330" w:id="-663554045"/>
                <w14:textFill>
                  <w14:solidFill>
                    <w14:srgbClr w14:val="000000">
                      <w14:alpha w14:val="100000"/>
                    </w14:srgbClr>
                  </w14:solidFill>
                </w14:textFill>
              </w:rPr>
              <w:t>|||</w:t>
            </w:r>
            <w:r w:rsidRPr="001F633E">
              <w:rPr>
                <w:color w:val="000000"/>
                <w:spacing w:val="1"/>
                <w:shd w:val="solid" w:color="000000" w:fill="000000"/>
                <w:fitText w:val="330" w:id="-663554045"/>
                <w14:textFill>
                  <w14:solidFill>
                    <w14:srgbClr w14:val="000000">
                      <w14:alpha w14:val="100000"/>
                    </w14:srgbClr>
                  </w14:solidFill>
                </w14:textFill>
              </w:rPr>
              <w:t>|</w:t>
            </w:r>
            <w:r w:rsidR="00266C94">
              <w:t xml:space="preserve"> </w:t>
            </w:r>
            <w:r w:rsidR="00266C94">
              <w:rPr>
                <w:vertAlign w:val="superscript"/>
              </w:rPr>
              <w:t>1</w:t>
            </w:r>
            <w:r w:rsidR="00266C94" w:rsidRPr="00AE372A">
              <w:t xml:space="preserve"> </w:t>
            </w:r>
            <w:r w:rsidR="001B2571" w:rsidRPr="00AE372A">
              <w:t>Rx</w:t>
            </w:r>
          </w:p>
        </w:tc>
        <w:tc>
          <w:tcPr>
            <w:tcW w:w="993" w:type="dxa"/>
            <w:tcBorders>
              <w:top w:val="nil"/>
              <w:left w:val="nil"/>
              <w:bottom w:val="single" w:sz="4" w:space="0" w:color="auto"/>
              <w:right w:val="single" w:sz="4" w:space="0" w:color="auto"/>
            </w:tcBorders>
            <w:shd w:val="clear" w:color="auto" w:fill="auto"/>
            <w:noWrap/>
            <w:vAlign w:val="center"/>
          </w:tcPr>
          <w:p w14:paraId="7A39F624" w14:textId="320E65A1" w:rsidR="001B2571" w:rsidRPr="00AE372A" w:rsidRDefault="001F633E" w:rsidP="005D33F6">
            <w:pPr>
              <w:pStyle w:val="TableText0"/>
              <w:jc w:val="center"/>
            </w:pPr>
            <w:r w:rsidRPr="001F633E">
              <w:rPr>
                <w:color w:val="000000"/>
                <w:spacing w:val="53"/>
                <w:shd w:val="solid" w:color="000000" w:fill="000000"/>
                <w:fitText w:val="330" w:id="-663554044"/>
                <w14:textFill>
                  <w14:solidFill>
                    <w14:srgbClr w14:val="000000">
                      <w14:alpha w14:val="100000"/>
                    </w14:srgbClr>
                  </w14:solidFill>
                </w14:textFill>
              </w:rPr>
              <w:t>|||</w:t>
            </w:r>
            <w:r w:rsidRPr="001F633E">
              <w:rPr>
                <w:color w:val="000000"/>
                <w:spacing w:val="1"/>
                <w:shd w:val="solid" w:color="000000" w:fill="000000"/>
                <w:fitText w:val="330" w:id="-663554044"/>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992" w:type="dxa"/>
            <w:tcBorders>
              <w:top w:val="nil"/>
              <w:left w:val="nil"/>
              <w:bottom w:val="single" w:sz="4" w:space="0" w:color="auto"/>
              <w:right w:val="single" w:sz="4" w:space="0" w:color="auto"/>
            </w:tcBorders>
            <w:shd w:val="clear" w:color="auto" w:fill="auto"/>
            <w:noWrap/>
            <w:vAlign w:val="center"/>
          </w:tcPr>
          <w:p w14:paraId="1CA4B20D" w14:textId="3495E22D" w:rsidR="001B2571" w:rsidRPr="00AE372A" w:rsidRDefault="001F633E" w:rsidP="005D33F6">
            <w:pPr>
              <w:pStyle w:val="TableText0"/>
              <w:jc w:val="center"/>
            </w:pPr>
            <w:r w:rsidRPr="001F633E">
              <w:rPr>
                <w:color w:val="000000"/>
                <w:spacing w:val="53"/>
                <w:shd w:val="solid" w:color="000000" w:fill="000000"/>
                <w:fitText w:val="330" w:id="-663554043"/>
                <w14:textFill>
                  <w14:solidFill>
                    <w14:srgbClr w14:val="000000">
                      <w14:alpha w14:val="100000"/>
                    </w14:srgbClr>
                  </w14:solidFill>
                </w14:textFill>
              </w:rPr>
              <w:t>|||</w:t>
            </w:r>
            <w:r w:rsidRPr="001F633E">
              <w:rPr>
                <w:color w:val="000000"/>
                <w:spacing w:val="1"/>
                <w:shd w:val="solid" w:color="000000" w:fill="000000"/>
                <w:fitText w:val="330" w:id="-663554043"/>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992" w:type="dxa"/>
            <w:tcBorders>
              <w:top w:val="nil"/>
              <w:left w:val="nil"/>
              <w:bottom w:val="single" w:sz="4" w:space="0" w:color="auto"/>
              <w:right w:val="single" w:sz="4" w:space="0" w:color="auto"/>
            </w:tcBorders>
            <w:shd w:val="clear" w:color="auto" w:fill="auto"/>
            <w:noWrap/>
            <w:vAlign w:val="center"/>
          </w:tcPr>
          <w:p w14:paraId="754F50A5" w14:textId="4DC48B97" w:rsidR="001B2571" w:rsidRPr="00AE372A" w:rsidRDefault="001F633E" w:rsidP="005D33F6">
            <w:pPr>
              <w:pStyle w:val="TableText0"/>
              <w:jc w:val="center"/>
            </w:pPr>
            <w:r w:rsidRPr="001F633E">
              <w:rPr>
                <w:color w:val="000000"/>
                <w:spacing w:val="53"/>
                <w:shd w:val="solid" w:color="000000" w:fill="000000"/>
                <w:fitText w:val="330" w:id="-663554042"/>
                <w14:textFill>
                  <w14:solidFill>
                    <w14:srgbClr w14:val="000000">
                      <w14:alpha w14:val="100000"/>
                    </w14:srgbClr>
                  </w14:solidFill>
                </w14:textFill>
              </w:rPr>
              <w:t>|||</w:t>
            </w:r>
            <w:r w:rsidRPr="001F633E">
              <w:rPr>
                <w:color w:val="000000"/>
                <w:spacing w:val="1"/>
                <w:shd w:val="solid" w:color="000000" w:fill="000000"/>
                <w:fitText w:val="330" w:id="-663554042"/>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1055" w:type="dxa"/>
            <w:tcBorders>
              <w:top w:val="nil"/>
              <w:left w:val="nil"/>
              <w:bottom w:val="single" w:sz="4" w:space="0" w:color="auto"/>
              <w:right w:val="single" w:sz="4" w:space="0" w:color="auto"/>
            </w:tcBorders>
            <w:shd w:val="clear" w:color="auto" w:fill="auto"/>
            <w:noWrap/>
            <w:vAlign w:val="center"/>
          </w:tcPr>
          <w:p w14:paraId="7ED5C56B" w14:textId="17489CE7" w:rsidR="001B2571" w:rsidRPr="00AE372A" w:rsidRDefault="001F633E" w:rsidP="005D33F6">
            <w:pPr>
              <w:pStyle w:val="TableText0"/>
              <w:jc w:val="center"/>
            </w:pPr>
            <w:r w:rsidRPr="001F633E">
              <w:rPr>
                <w:color w:val="000000"/>
                <w:spacing w:val="49"/>
                <w:shd w:val="solid" w:color="000000" w:fill="000000"/>
                <w:fitText w:val="320" w:id="-663554041"/>
                <w14:textFill>
                  <w14:solidFill>
                    <w14:srgbClr w14:val="000000">
                      <w14:alpha w14:val="100000"/>
                    </w14:srgbClr>
                  </w14:solidFill>
                </w14:textFill>
              </w:rPr>
              <w:t>|||</w:t>
            </w:r>
            <w:r w:rsidRPr="001F633E">
              <w:rPr>
                <w:color w:val="000000"/>
                <w:spacing w:val="3"/>
                <w:shd w:val="solid" w:color="000000" w:fill="000000"/>
                <w:fitText w:val="320" w:id="-663554041"/>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r>
      <w:tr w:rsidR="001B2571" w:rsidRPr="00DE19F7" w14:paraId="0CD76738"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3485E4" w14:textId="77777777" w:rsidR="001B2571" w:rsidRPr="00AE372A" w:rsidRDefault="001B2571" w:rsidP="005D33F6">
            <w:pPr>
              <w:pStyle w:val="TableText0"/>
            </w:pPr>
            <w:r w:rsidRPr="58C81D04">
              <w:t>Net Cost of Ublituximab to PBS/RPBS</w:t>
            </w:r>
          </w:p>
        </w:tc>
        <w:tc>
          <w:tcPr>
            <w:tcW w:w="992" w:type="dxa"/>
            <w:tcBorders>
              <w:top w:val="nil"/>
              <w:left w:val="nil"/>
              <w:bottom w:val="single" w:sz="4" w:space="0" w:color="auto"/>
              <w:right w:val="single" w:sz="4" w:space="0" w:color="auto"/>
            </w:tcBorders>
            <w:shd w:val="clear" w:color="auto" w:fill="auto"/>
            <w:noWrap/>
            <w:vAlign w:val="center"/>
          </w:tcPr>
          <w:p w14:paraId="5F01396B" w14:textId="1EDA37A1"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0"/>
                <w14:textFill>
                  <w14:solidFill>
                    <w14:srgbClr w14:val="000000">
                      <w14:alpha w14:val="100000"/>
                    </w14:srgbClr>
                  </w14:solidFill>
                </w14:textFill>
              </w:rPr>
              <w:t>|||</w:t>
            </w:r>
            <w:r w:rsidR="001F633E" w:rsidRPr="001F633E">
              <w:rPr>
                <w:color w:val="000000"/>
                <w:spacing w:val="1"/>
                <w:shd w:val="solid" w:color="000000" w:fill="000000"/>
                <w:fitText w:val="330" w:id="-663554040"/>
                <w14:textFill>
                  <w14:solidFill>
                    <w14:srgbClr w14:val="000000">
                      <w14:alpha w14:val="100000"/>
                    </w14:srgbClr>
                  </w14:solidFill>
                </w14:textFill>
              </w:rPr>
              <w:t>|</w:t>
            </w:r>
            <w:r w:rsidR="00266C94">
              <w:t xml:space="preserve"> </w:t>
            </w:r>
            <w:r w:rsidR="00266C94">
              <w:rPr>
                <w:vertAlign w:val="superscript"/>
              </w:rPr>
              <w:t>3</w:t>
            </w:r>
          </w:p>
        </w:tc>
        <w:tc>
          <w:tcPr>
            <w:tcW w:w="992" w:type="dxa"/>
            <w:tcBorders>
              <w:top w:val="nil"/>
              <w:left w:val="nil"/>
              <w:bottom w:val="single" w:sz="4" w:space="0" w:color="auto"/>
              <w:right w:val="single" w:sz="4" w:space="0" w:color="auto"/>
            </w:tcBorders>
            <w:shd w:val="clear" w:color="auto" w:fill="auto"/>
            <w:noWrap/>
            <w:vAlign w:val="center"/>
          </w:tcPr>
          <w:p w14:paraId="4D04A38C" w14:textId="5DFC2DCD"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9"/>
                <w14:textFill>
                  <w14:solidFill>
                    <w14:srgbClr w14:val="000000">
                      <w14:alpha w14:val="100000"/>
                    </w14:srgbClr>
                  </w14:solidFill>
                </w14:textFill>
              </w:rPr>
              <w:t>|||</w:t>
            </w:r>
            <w:r w:rsidR="001F633E" w:rsidRPr="001F633E">
              <w:rPr>
                <w:color w:val="000000"/>
                <w:spacing w:val="1"/>
                <w:shd w:val="solid" w:color="000000" w:fill="000000"/>
                <w:fitText w:val="330" w:id="-663554039"/>
                <w14:textFill>
                  <w14:solidFill>
                    <w14:srgbClr w14:val="000000">
                      <w14:alpha w14:val="100000"/>
                    </w14:srgbClr>
                  </w14:solidFill>
                </w14:textFill>
              </w:rPr>
              <w:t>|</w:t>
            </w:r>
            <w:r w:rsidR="00266C94">
              <w:t xml:space="preserve"> </w:t>
            </w:r>
            <w:r w:rsidR="00266C94">
              <w:rPr>
                <w:vertAlign w:val="superscript"/>
              </w:rPr>
              <w:t>4</w:t>
            </w:r>
          </w:p>
        </w:tc>
        <w:tc>
          <w:tcPr>
            <w:tcW w:w="993" w:type="dxa"/>
            <w:tcBorders>
              <w:top w:val="nil"/>
              <w:left w:val="nil"/>
              <w:bottom w:val="single" w:sz="4" w:space="0" w:color="auto"/>
              <w:right w:val="single" w:sz="4" w:space="0" w:color="auto"/>
            </w:tcBorders>
            <w:shd w:val="clear" w:color="auto" w:fill="auto"/>
            <w:noWrap/>
            <w:vAlign w:val="center"/>
          </w:tcPr>
          <w:p w14:paraId="46031E5B" w14:textId="6989EC19"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8"/>
                <w14:textFill>
                  <w14:solidFill>
                    <w14:srgbClr w14:val="000000">
                      <w14:alpha w14:val="100000"/>
                    </w14:srgbClr>
                  </w14:solidFill>
                </w14:textFill>
              </w:rPr>
              <w:t>|||</w:t>
            </w:r>
            <w:r w:rsidR="001F633E" w:rsidRPr="001F633E">
              <w:rPr>
                <w:color w:val="000000"/>
                <w:spacing w:val="1"/>
                <w:shd w:val="solid" w:color="000000" w:fill="000000"/>
                <w:fitText w:val="330" w:id="-663554038"/>
                <w14:textFill>
                  <w14:solidFill>
                    <w14:srgbClr w14:val="000000">
                      <w14:alpha w14:val="100000"/>
                    </w14:srgbClr>
                  </w14:solidFill>
                </w14:textFill>
              </w:rPr>
              <w:t>|</w:t>
            </w:r>
            <w:r w:rsidR="00266C94">
              <w:t xml:space="preserve"> </w:t>
            </w:r>
            <w:r w:rsidR="00266C94">
              <w:rPr>
                <w:vertAlign w:val="superscript"/>
              </w:rPr>
              <w:t>5</w:t>
            </w:r>
          </w:p>
        </w:tc>
        <w:tc>
          <w:tcPr>
            <w:tcW w:w="992" w:type="dxa"/>
            <w:tcBorders>
              <w:top w:val="nil"/>
              <w:left w:val="nil"/>
              <w:bottom w:val="single" w:sz="4" w:space="0" w:color="auto"/>
              <w:right w:val="single" w:sz="4" w:space="0" w:color="auto"/>
            </w:tcBorders>
            <w:shd w:val="clear" w:color="auto" w:fill="auto"/>
            <w:noWrap/>
            <w:vAlign w:val="center"/>
          </w:tcPr>
          <w:p w14:paraId="00B06380" w14:textId="2A44AA91"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7"/>
                <w14:textFill>
                  <w14:solidFill>
                    <w14:srgbClr w14:val="000000">
                      <w14:alpha w14:val="100000"/>
                    </w14:srgbClr>
                  </w14:solidFill>
                </w14:textFill>
              </w:rPr>
              <w:t>|||</w:t>
            </w:r>
            <w:r w:rsidR="001F633E" w:rsidRPr="001F633E">
              <w:rPr>
                <w:color w:val="000000"/>
                <w:spacing w:val="1"/>
                <w:shd w:val="solid" w:color="000000" w:fill="000000"/>
                <w:fitText w:val="330" w:id="-663554037"/>
                <w14:textFill>
                  <w14:solidFill>
                    <w14:srgbClr w14:val="000000">
                      <w14:alpha w14:val="100000"/>
                    </w14:srgbClr>
                  </w14:solidFill>
                </w14:textFill>
              </w:rPr>
              <w:t>|</w:t>
            </w:r>
            <w:r w:rsidR="00266C94">
              <w:t xml:space="preserve"> </w:t>
            </w:r>
            <w:r w:rsidR="00266C94">
              <w:rPr>
                <w:vertAlign w:val="superscript"/>
              </w:rPr>
              <w:t>6</w:t>
            </w:r>
          </w:p>
        </w:tc>
        <w:tc>
          <w:tcPr>
            <w:tcW w:w="992" w:type="dxa"/>
            <w:tcBorders>
              <w:top w:val="nil"/>
              <w:left w:val="nil"/>
              <w:bottom w:val="single" w:sz="4" w:space="0" w:color="auto"/>
              <w:right w:val="single" w:sz="4" w:space="0" w:color="auto"/>
            </w:tcBorders>
            <w:shd w:val="clear" w:color="auto" w:fill="auto"/>
            <w:noWrap/>
            <w:vAlign w:val="center"/>
          </w:tcPr>
          <w:p w14:paraId="09E5E232" w14:textId="168960D9"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6"/>
                <w14:textFill>
                  <w14:solidFill>
                    <w14:srgbClr w14:val="000000">
                      <w14:alpha w14:val="100000"/>
                    </w14:srgbClr>
                  </w14:solidFill>
                </w14:textFill>
              </w:rPr>
              <w:t>|||</w:t>
            </w:r>
            <w:r w:rsidR="001F633E" w:rsidRPr="001F633E">
              <w:rPr>
                <w:color w:val="000000"/>
                <w:spacing w:val="1"/>
                <w:shd w:val="solid" w:color="000000" w:fill="000000"/>
                <w:fitText w:val="330" w:id="-663554036"/>
                <w14:textFill>
                  <w14:solidFill>
                    <w14:srgbClr w14:val="000000">
                      <w14:alpha w14:val="100000"/>
                    </w14:srgbClr>
                  </w14:solidFill>
                </w14:textFill>
              </w:rPr>
              <w:t>|</w:t>
            </w:r>
            <w:r w:rsidR="00266C94">
              <w:t xml:space="preserve"> </w:t>
            </w:r>
            <w:r w:rsidR="00266C94">
              <w:rPr>
                <w:vertAlign w:val="superscript"/>
              </w:rPr>
              <w:t>6</w:t>
            </w:r>
          </w:p>
        </w:tc>
        <w:tc>
          <w:tcPr>
            <w:tcW w:w="1055" w:type="dxa"/>
            <w:tcBorders>
              <w:top w:val="nil"/>
              <w:left w:val="nil"/>
              <w:bottom w:val="single" w:sz="4" w:space="0" w:color="auto"/>
              <w:right w:val="single" w:sz="4" w:space="0" w:color="auto"/>
            </w:tcBorders>
            <w:shd w:val="clear" w:color="auto" w:fill="auto"/>
            <w:noWrap/>
            <w:vAlign w:val="center"/>
          </w:tcPr>
          <w:p w14:paraId="53235096" w14:textId="6806A142"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5"/>
                <w14:textFill>
                  <w14:solidFill>
                    <w14:srgbClr w14:val="000000">
                      <w14:alpha w14:val="100000"/>
                    </w14:srgbClr>
                  </w14:solidFill>
                </w14:textFill>
              </w:rPr>
              <w:t>|||</w:t>
            </w:r>
            <w:r w:rsidR="001F633E" w:rsidRPr="001F633E">
              <w:rPr>
                <w:color w:val="000000"/>
                <w:spacing w:val="1"/>
                <w:shd w:val="solid" w:color="000000" w:fill="000000"/>
                <w:fitText w:val="330" w:id="-663554035"/>
                <w14:textFill>
                  <w14:solidFill>
                    <w14:srgbClr w14:val="000000">
                      <w14:alpha w14:val="100000"/>
                    </w14:srgbClr>
                  </w14:solidFill>
                </w14:textFill>
              </w:rPr>
              <w:t>|</w:t>
            </w:r>
            <w:r w:rsidR="00266C94">
              <w:t xml:space="preserve"> </w:t>
            </w:r>
            <w:r w:rsidR="00266C94">
              <w:rPr>
                <w:vertAlign w:val="superscript"/>
              </w:rPr>
              <w:t>6</w:t>
            </w:r>
          </w:p>
        </w:tc>
      </w:tr>
      <w:tr w:rsidR="001B2571" w:rsidRPr="00DE19F7" w14:paraId="196E79BE"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E9F8D9C" w14:textId="77777777" w:rsidR="001B2571" w:rsidRPr="00AE372A" w:rsidRDefault="001B2571" w:rsidP="005D33F6">
            <w:pPr>
              <w:pStyle w:val="TableText0"/>
            </w:pPr>
            <w:r w:rsidRPr="00AE372A">
              <w:t>Net Savings to PBS/RPBS from displaced medications</w:t>
            </w:r>
          </w:p>
        </w:tc>
        <w:tc>
          <w:tcPr>
            <w:tcW w:w="992" w:type="dxa"/>
            <w:tcBorders>
              <w:top w:val="nil"/>
              <w:left w:val="nil"/>
              <w:bottom w:val="single" w:sz="4" w:space="0" w:color="auto"/>
              <w:right w:val="single" w:sz="4" w:space="0" w:color="auto"/>
            </w:tcBorders>
            <w:shd w:val="clear" w:color="auto" w:fill="auto"/>
            <w:noWrap/>
            <w:vAlign w:val="center"/>
          </w:tcPr>
          <w:p w14:paraId="0A087157" w14:textId="53DE12D6"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4"/>
                <w14:textFill>
                  <w14:solidFill>
                    <w14:srgbClr w14:val="000000">
                      <w14:alpha w14:val="100000"/>
                    </w14:srgbClr>
                  </w14:solidFill>
                </w14:textFill>
              </w:rPr>
              <w:t>|||</w:t>
            </w:r>
            <w:r w:rsidR="001F633E" w:rsidRPr="001F633E">
              <w:rPr>
                <w:color w:val="000000"/>
                <w:spacing w:val="1"/>
                <w:shd w:val="solid" w:color="000000" w:fill="000000"/>
                <w:fitText w:val="330" w:id="-663554034"/>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00F0DE04" w14:textId="23368FB6"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3"/>
                <w14:textFill>
                  <w14:solidFill>
                    <w14:srgbClr w14:val="000000">
                      <w14:alpha w14:val="100000"/>
                    </w14:srgbClr>
                  </w14:solidFill>
                </w14:textFill>
              </w:rPr>
              <w:t>|||</w:t>
            </w:r>
            <w:r w:rsidR="001F633E" w:rsidRPr="001F633E">
              <w:rPr>
                <w:color w:val="000000"/>
                <w:spacing w:val="1"/>
                <w:shd w:val="solid" w:color="000000" w:fill="000000"/>
                <w:fitText w:val="330" w:id="-663554033"/>
                <w14:textFill>
                  <w14:solidFill>
                    <w14:srgbClr w14:val="000000">
                      <w14:alpha w14:val="100000"/>
                    </w14:srgbClr>
                  </w14:solidFill>
                </w14:textFill>
              </w:rPr>
              <w:t>|</w:t>
            </w:r>
            <w:r w:rsidR="00266C94">
              <w:t xml:space="preserve"> </w:t>
            </w:r>
            <w:r w:rsidR="00266C94">
              <w:rPr>
                <w:vertAlign w:val="superscript"/>
              </w:rPr>
              <w:t>7</w:t>
            </w:r>
          </w:p>
        </w:tc>
        <w:tc>
          <w:tcPr>
            <w:tcW w:w="993" w:type="dxa"/>
            <w:tcBorders>
              <w:top w:val="nil"/>
              <w:left w:val="nil"/>
              <w:bottom w:val="single" w:sz="4" w:space="0" w:color="auto"/>
              <w:right w:val="single" w:sz="4" w:space="0" w:color="auto"/>
            </w:tcBorders>
            <w:shd w:val="clear" w:color="auto" w:fill="auto"/>
            <w:noWrap/>
            <w:vAlign w:val="center"/>
          </w:tcPr>
          <w:p w14:paraId="3381F6E7" w14:textId="30A36E8E"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2"/>
                <w14:textFill>
                  <w14:solidFill>
                    <w14:srgbClr w14:val="000000">
                      <w14:alpha w14:val="100000"/>
                    </w14:srgbClr>
                  </w14:solidFill>
                </w14:textFill>
              </w:rPr>
              <w:t>|||</w:t>
            </w:r>
            <w:r w:rsidR="001F633E" w:rsidRPr="001F633E">
              <w:rPr>
                <w:color w:val="000000"/>
                <w:spacing w:val="1"/>
                <w:shd w:val="solid" w:color="000000" w:fill="000000"/>
                <w:fitText w:val="330" w:id="-663554032"/>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1BE9BF48" w14:textId="2347E6FE"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8"/>
                <w14:textFill>
                  <w14:solidFill>
                    <w14:srgbClr w14:val="000000">
                      <w14:alpha w14:val="100000"/>
                    </w14:srgbClr>
                  </w14:solidFill>
                </w14:textFill>
              </w:rPr>
              <w:t>|||</w:t>
            </w:r>
            <w:r w:rsidR="001F633E" w:rsidRPr="001F633E">
              <w:rPr>
                <w:color w:val="000000"/>
                <w:spacing w:val="1"/>
                <w:shd w:val="solid" w:color="000000" w:fill="000000"/>
                <w:fitText w:val="330" w:id="-663554048"/>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715BF772" w14:textId="220ABDA0"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7"/>
                <w14:textFill>
                  <w14:solidFill>
                    <w14:srgbClr w14:val="000000">
                      <w14:alpha w14:val="100000"/>
                    </w14:srgbClr>
                  </w14:solidFill>
                </w14:textFill>
              </w:rPr>
              <w:t>|||</w:t>
            </w:r>
            <w:r w:rsidR="001F633E" w:rsidRPr="001F633E">
              <w:rPr>
                <w:color w:val="000000"/>
                <w:spacing w:val="1"/>
                <w:shd w:val="solid" w:color="000000" w:fill="000000"/>
                <w:fitText w:val="330" w:id="-663554047"/>
                <w14:textFill>
                  <w14:solidFill>
                    <w14:srgbClr w14:val="000000">
                      <w14:alpha w14:val="100000"/>
                    </w14:srgbClr>
                  </w14:solidFill>
                </w14:textFill>
              </w:rPr>
              <w:t>|</w:t>
            </w:r>
            <w:r w:rsidR="00266C94">
              <w:t xml:space="preserve"> </w:t>
            </w:r>
            <w:r w:rsidR="00266C94">
              <w:rPr>
                <w:vertAlign w:val="superscript"/>
              </w:rPr>
              <w:t>7</w:t>
            </w:r>
          </w:p>
        </w:tc>
        <w:tc>
          <w:tcPr>
            <w:tcW w:w="1055" w:type="dxa"/>
            <w:tcBorders>
              <w:top w:val="nil"/>
              <w:left w:val="nil"/>
              <w:bottom w:val="single" w:sz="4" w:space="0" w:color="auto"/>
              <w:right w:val="single" w:sz="4" w:space="0" w:color="auto"/>
            </w:tcBorders>
            <w:shd w:val="clear" w:color="auto" w:fill="auto"/>
            <w:noWrap/>
            <w:vAlign w:val="center"/>
          </w:tcPr>
          <w:p w14:paraId="7030C124" w14:textId="3349B3C3"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6"/>
                <w14:textFill>
                  <w14:solidFill>
                    <w14:srgbClr w14:val="000000">
                      <w14:alpha w14:val="100000"/>
                    </w14:srgbClr>
                  </w14:solidFill>
                </w14:textFill>
              </w:rPr>
              <w:t>|||</w:t>
            </w:r>
            <w:r w:rsidR="001F633E" w:rsidRPr="001F633E">
              <w:rPr>
                <w:color w:val="000000"/>
                <w:spacing w:val="1"/>
                <w:shd w:val="solid" w:color="000000" w:fill="000000"/>
                <w:fitText w:val="330" w:id="-663554046"/>
                <w14:textFill>
                  <w14:solidFill>
                    <w14:srgbClr w14:val="000000">
                      <w14:alpha w14:val="100000"/>
                    </w14:srgbClr>
                  </w14:solidFill>
                </w14:textFill>
              </w:rPr>
              <w:t>|</w:t>
            </w:r>
            <w:r w:rsidR="00266C94">
              <w:t xml:space="preserve"> </w:t>
            </w:r>
            <w:r w:rsidR="00266C94">
              <w:rPr>
                <w:vertAlign w:val="superscript"/>
              </w:rPr>
              <w:t>7</w:t>
            </w:r>
          </w:p>
        </w:tc>
      </w:tr>
      <w:tr w:rsidR="001B2571" w:rsidRPr="00DE19F7" w14:paraId="1F30CBC1"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E4124A6" w14:textId="77777777" w:rsidR="001B2571" w:rsidRPr="00AE372A" w:rsidRDefault="001B2571" w:rsidP="005D33F6">
            <w:pPr>
              <w:pStyle w:val="TableText0"/>
            </w:pPr>
            <w:r w:rsidRPr="00AE372A">
              <w:t>Net Savings to PBS/RPBS</w:t>
            </w:r>
          </w:p>
        </w:tc>
        <w:tc>
          <w:tcPr>
            <w:tcW w:w="992" w:type="dxa"/>
            <w:tcBorders>
              <w:top w:val="nil"/>
              <w:left w:val="nil"/>
              <w:bottom w:val="single" w:sz="4" w:space="0" w:color="auto"/>
              <w:right w:val="single" w:sz="4" w:space="0" w:color="auto"/>
            </w:tcBorders>
            <w:shd w:val="clear" w:color="auto" w:fill="auto"/>
            <w:noWrap/>
            <w:vAlign w:val="center"/>
          </w:tcPr>
          <w:p w14:paraId="6427B7BD" w14:textId="0BC76CDE"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5"/>
                <w14:textFill>
                  <w14:solidFill>
                    <w14:srgbClr w14:val="000000">
                      <w14:alpha w14:val="100000"/>
                    </w14:srgbClr>
                  </w14:solidFill>
                </w14:textFill>
              </w:rPr>
              <w:t>|||</w:t>
            </w:r>
            <w:r w:rsidR="001F633E" w:rsidRPr="001F633E">
              <w:rPr>
                <w:color w:val="000000"/>
                <w:spacing w:val="1"/>
                <w:shd w:val="solid" w:color="000000" w:fill="000000"/>
                <w:fitText w:val="330" w:id="-663554045"/>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62C0B9C8" w14:textId="5A4FC375"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4"/>
                <w14:textFill>
                  <w14:solidFill>
                    <w14:srgbClr w14:val="000000">
                      <w14:alpha w14:val="100000"/>
                    </w14:srgbClr>
                  </w14:solidFill>
                </w14:textFill>
              </w:rPr>
              <w:t>|||</w:t>
            </w:r>
            <w:r w:rsidR="001F633E" w:rsidRPr="001F633E">
              <w:rPr>
                <w:color w:val="000000"/>
                <w:spacing w:val="1"/>
                <w:shd w:val="solid" w:color="000000" w:fill="000000"/>
                <w:fitText w:val="330" w:id="-663554044"/>
                <w14:textFill>
                  <w14:solidFill>
                    <w14:srgbClr w14:val="000000">
                      <w14:alpha w14:val="100000"/>
                    </w14:srgbClr>
                  </w14:solidFill>
                </w14:textFill>
              </w:rPr>
              <w:t>|</w:t>
            </w:r>
            <w:r w:rsidR="00266C94">
              <w:t xml:space="preserve"> </w:t>
            </w:r>
            <w:r w:rsidR="00266C94">
              <w:rPr>
                <w:vertAlign w:val="superscript"/>
              </w:rPr>
              <w:t>7</w:t>
            </w:r>
          </w:p>
        </w:tc>
        <w:tc>
          <w:tcPr>
            <w:tcW w:w="993" w:type="dxa"/>
            <w:tcBorders>
              <w:top w:val="nil"/>
              <w:left w:val="nil"/>
              <w:bottom w:val="single" w:sz="4" w:space="0" w:color="auto"/>
              <w:right w:val="single" w:sz="4" w:space="0" w:color="auto"/>
            </w:tcBorders>
            <w:shd w:val="clear" w:color="auto" w:fill="auto"/>
            <w:noWrap/>
            <w:vAlign w:val="center"/>
          </w:tcPr>
          <w:p w14:paraId="16A40B9F" w14:textId="19F8DEFA"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3"/>
                <w14:textFill>
                  <w14:solidFill>
                    <w14:srgbClr w14:val="000000">
                      <w14:alpha w14:val="100000"/>
                    </w14:srgbClr>
                  </w14:solidFill>
                </w14:textFill>
              </w:rPr>
              <w:t>|||</w:t>
            </w:r>
            <w:r w:rsidR="001F633E" w:rsidRPr="001F633E">
              <w:rPr>
                <w:color w:val="000000"/>
                <w:spacing w:val="1"/>
                <w:shd w:val="solid" w:color="000000" w:fill="000000"/>
                <w:fitText w:val="330" w:id="-663554043"/>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2E5E7DB2" w14:textId="3C90D2E8"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2"/>
                <w14:textFill>
                  <w14:solidFill>
                    <w14:srgbClr w14:val="000000">
                      <w14:alpha w14:val="100000"/>
                    </w14:srgbClr>
                  </w14:solidFill>
                </w14:textFill>
              </w:rPr>
              <w:t>|||</w:t>
            </w:r>
            <w:r w:rsidR="001F633E" w:rsidRPr="001F633E">
              <w:rPr>
                <w:color w:val="000000"/>
                <w:spacing w:val="1"/>
                <w:shd w:val="solid" w:color="000000" w:fill="000000"/>
                <w:fitText w:val="330" w:id="-663554042"/>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7A08F292" w14:textId="4920EFC9"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1"/>
                <w14:textFill>
                  <w14:solidFill>
                    <w14:srgbClr w14:val="000000">
                      <w14:alpha w14:val="100000"/>
                    </w14:srgbClr>
                  </w14:solidFill>
                </w14:textFill>
              </w:rPr>
              <w:t>|||</w:t>
            </w:r>
            <w:r w:rsidR="001F633E" w:rsidRPr="001F633E">
              <w:rPr>
                <w:color w:val="000000"/>
                <w:spacing w:val="1"/>
                <w:shd w:val="solid" w:color="000000" w:fill="000000"/>
                <w:fitText w:val="330" w:id="-663554041"/>
                <w14:textFill>
                  <w14:solidFill>
                    <w14:srgbClr w14:val="000000">
                      <w14:alpha w14:val="100000"/>
                    </w14:srgbClr>
                  </w14:solidFill>
                </w14:textFill>
              </w:rPr>
              <w:t>|</w:t>
            </w:r>
            <w:r w:rsidR="00266C94">
              <w:t xml:space="preserve"> </w:t>
            </w:r>
            <w:r w:rsidR="00266C94">
              <w:rPr>
                <w:vertAlign w:val="superscript"/>
              </w:rPr>
              <w:t>7</w:t>
            </w:r>
          </w:p>
        </w:tc>
        <w:tc>
          <w:tcPr>
            <w:tcW w:w="1055" w:type="dxa"/>
            <w:tcBorders>
              <w:top w:val="nil"/>
              <w:left w:val="nil"/>
              <w:bottom w:val="single" w:sz="4" w:space="0" w:color="auto"/>
              <w:right w:val="single" w:sz="4" w:space="0" w:color="auto"/>
            </w:tcBorders>
            <w:shd w:val="clear" w:color="auto" w:fill="auto"/>
            <w:noWrap/>
            <w:vAlign w:val="center"/>
          </w:tcPr>
          <w:p w14:paraId="444ED43C" w14:textId="7053C607"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40"/>
                <w14:textFill>
                  <w14:solidFill>
                    <w14:srgbClr w14:val="000000">
                      <w14:alpha w14:val="100000"/>
                    </w14:srgbClr>
                  </w14:solidFill>
                </w14:textFill>
              </w:rPr>
              <w:t>|||</w:t>
            </w:r>
            <w:r w:rsidR="001F633E" w:rsidRPr="001F633E">
              <w:rPr>
                <w:color w:val="000000"/>
                <w:spacing w:val="1"/>
                <w:shd w:val="solid" w:color="000000" w:fill="000000"/>
                <w:fitText w:val="330" w:id="-663554040"/>
                <w14:textFill>
                  <w14:solidFill>
                    <w14:srgbClr w14:val="000000">
                      <w14:alpha w14:val="100000"/>
                    </w14:srgbClr>
                  </w14:solidFill>
                </w14:textFill>
              </w:rPr>
              <w:t>|</w:t>
            </w:r>
            <w:r w:rsidR="00266C94">
              <w:t xml:space="preserve"> </w:t>
            </w:r>
            <w:r w:rsidR="00266C94">
              <w:rPr>
                <w:vertAlign w:val="superscript"/>
              </w:rPr>
              <w:t>7</w:t>
            </w:r>
          </w:p>
        </w:tc>
      </w:tr>
      <w:tr w:rsidR="001B2571" w:rsidRPr="00DE19F7" w14:paraId="30D320CC"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05694E" w14:textId="77777777" w:rsidR="001B2571" w:rsidRPr="00AE372A" w:rsidRDefault="001B2571" w:rsidP="005D33F6">
            <w:pPr>
              <w:pStyle w:val="TableText0"/>
            </w:pPr>
            <w:r w:rsidRPr="00AE372A">
              <w:t>Net Cost to MBS</w:t>
            </w:r>
          </w:p>
        </w:tc>
        <w:tc>
          <w:tcPr>
            <w:tcW w:w="992" w:type="dxa"/>
            <w:tcBorders>
              <w:top w:val="nil"/>
              <w:left w:val="nil"/>
              <w:bottom w:val="single" w:sz="4" w:space="0" w:color="auto"/>
              <w:right w:val="single" w:sz="4" w:space="0" w:color="auto"/>
            </w:tcBorders>
            <w:shd w:val="clear" w:color="auto" w:fill="auto"/>
            <w:noWrap/>
            <w:vAlign w:val="center"/>
          </w:tcPr>
          <w:p w14:paraId="20A5A609" w14:textId="57D6D919"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9"/>
                <w14:textFill>
                  <w14:solidFill>
                    <w14:srgbClr w14:val="000000">
                      <w14:alpha w14:val="100000"/>
                    </w14:srgbClr>
                  </w14:solidFill>
                </w14:textFill>
              </w:rPr>
              <w:t>|||</w:t>
            </w:r>
            <w:r w:rsidR="001F633E" w:rsidRPr="001F633E">
              <w:rPr>
                <w:color w:val="000000"/>
                <w:spacing w:val="1"/>
                <w:shd w:val="solid" w:color="000000" w:fill="000000"/>
                <w:fitText w:val="330" w:id="-663554039"/>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0DDF72CD" w14:textId="1FC045B4"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8"/>
                <w14:textFill>
                  <w14:solidFill>
                    <w14:srgbClr w14:val="000000">
                      <w14:alpha w14:val="100000"/>
                    </w14:srgbClr>
                  </w14:solidFill>
                </w14:textFill>
              </w:rPr>
              <w:t>|||</w:t>
            </w:r>
            <w:r w:rsidR="001F633E" w:rsidRPr="001F633E">
              <w:rPr>
                <w:color w:val="000000"/>
                <w:spacing w:val="1"/>
                <w:shd w:val="solid" w:color="000000" w:fill="000000"/>
                <w:fitText w:val="330" w:id="-663554038"/>
                <w14:textFill>
                  <w14:solidFill>
                    <w14:srgbClr w14:val="000000">
                      <w14:alpha w14:val="100000"/>
                    </w14:srgbClr>
                  </w14:solidFill>
                </w14:textFill>
              </w:rPr>
              <w:t>|</w:t>
            </w:r>
            <w:r w:rsidR="00266C94">
              <w:t xml:space="preserve"> </w:t>
            </w:r>
            <w:r w:rsidR="00266C94">
              <w:rPr>
                <w:vertAlign w:val="superscript"/>
              </w:rPr>
              <w:t>8</w:t>
            </w:r>
          </w:p>
        </w:tc>
        <w:tc>
          <w:tcPr>
            <w:tcW w:w="993" w:type="dxa"/>
            <w:tcBorders>
              <w:top w:val="nil"/>
              <w:left w:val="nil"/>
              <w:bottom w:val="single" w:sz="4" w:space="0" w:color="auto"/>
              <w:right w:val="single" w:sz="4" w:space="0" w:color="auto"/>
            </w:tcBorders>
            <w:shd w:val="clear" w:color="auto" w:fill="auto"/>
            <w:noWrap/>
            <w:vAlign w:val="center"/>
          </w:tcPr>
          <w:p w14:paraId="5043D98B" w14:textId="30FBCF0E"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7"/>
                <w14:textFill>
                  <w14:solidFill>
                    <w14:srgbClr w14:val="000000">
                      <w14:alpha w14:val="100000"/>
                    </w14:srgbClr>
                  </w14:solidFill>
                </w14:textFill>
              </w:rPr>
              <w:t>|||</w:t>
            </w:r>
            <w:r w:rsidR="001F633E" w:rsidRPr="001F633E">
              <w:rPr>
                <w:color w:val="000000"/>
                <w:spacing w:val="1"/>
                <w:shd w:val="solid" w:color="000000" w:fill="000000"/>
                <w:fitText w:val="330" w:id="-663554037"/>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55FD96BE" w14:textId="1268FC08"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6"/>
                <w14:textFill>
                  <w14:solidFill>
                    <w14:srgbClr w14:val="000000">
                      <w14:alpha w14:val="100000"/>
                    </w14:srgbClr>
                  </w14:solidFill>
                </w14:textFill>
              </w:rPr>
              <w:t>|||</w:t>
            </w:r>
            <w:r w:rsidR="001F633E" w:rsidRPr="001F633E">
              <w:rPr>
                <w:color w:val="000000"/>
                <w:spacing w:val="1"/>
                <w:shd w:val="solid" w:color="000000" w:fill="000000"/>
                <w:fitText w:val="330" w:id="-663554036"/>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7C8CCA6A" w14:textId="2512C842"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5"/>
                <w14:textFill>
                  <w14:solidFill>
                    <w14:srgbClr w14:val="000000">
                      <w14:alpha w14:val="100000"/>
                    </w14:srgbClr>
                  </w14:solidFill>
                </w14:textFill>
              </w:rPr>
              <w:t>|||</w:t>
            </w:r>
            <w:r w:rsidR="001F633E" w:rsidRPr="001F633E">
              <w:rPr>
                <w:color w:val="000000"/>
                <w:spacing w:val="1"/>
                <w:shd w:val="solid" w:color="000000" w:fill="000000"/>
                <w:fitText w:val="330" w:id="-663554035"/>
                <w14:textFill>
                  <w14:solidFill>
                    <w14:srgbClr w14:val="000000">
                      <w14:alpha w14:val="100000"/>
                    </w14:srgbClr>
                  </w14:solidFill>
                </w14:textFill>
              </w:rPr>
              <w:t>|</w:t>
            </w:r>
            <w:r w:rsidR="00266C94">
              <w:t xml:space="preserve"> </w:t>
            </w:r>
            <w:r w:rsidR="00266C94">
              <w:rPr>
                <w:vertAlign w:val="superscript"/>
              </w:rPr>
              <w:t>8</w:t>
            </w:r>
          </w:p>
        </w:tc>
        <w:tc>
          <w:tcPr>
            <w:tcW w:w="1055" w:type="dxa"/>
            <w:tcBorders>
              <w:top w:val="nil"/>
              <w:left w:val="nil"/>
              <w:bottom w:val="single" w:sz="4" w:space="0" w:color="auto"/>
              <w:right w:val="single" w:sz="4" w:space="0" w:color="auto"/>
            </w:tcBorders>
            <w:shd w:val="clear" w:color="auto" w:fill="auto"/>
            <w:noWrap/>
            <w:vAlign w:val="center"/>
          </w:tcPr>
          <w:p w14:paraId="403E4B14" w14:textId="5B9FFA15"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4034"/>
                <w14:textFill>
                  <w14:solidFill>
                    <w14:srgbClr w14:val="000000">
                      <w14:alpha w14:val="100000"/>
                    </w14:srgbClr>
                  </w14:solidFill>
                </w14:textFill>
              </w:rPr>
              <w:t>|||</w:t>
            </w:r>
            <w:r w:rsidR="001F633E" w:rsidRPr="001F633E">
              <w:rPr>
                <w:color w:val="000000"/>
                <w:spacing w:val="1"/>
                <w:shd w:val="solid" w:color="000000" w:fill="000000"/>
                <w:fitText w:val="330" w:id="-663554034"/>
                <w14:textFill>
                  <w14:solidFill>
                    <w14:srgbClr w14:val="000000">
                      <w14:alpha w14:val="100000"/>
                    </w14:srgbClr>
                  </w14:solidFill>
                </w14:textFill>
              </w:rPr>
              <w:t>|</w:t>
            </w:r>
            <w:r w:rsidR="00266C94">
              <w:t xml:space="preserve"> </w:t>
            </w:r>
            <w:r w:rsidR="00266C94">
              <w:rPr>
                <w:vertAlign w:val="superscript"/>
              </w:rPr>
              <w:t>8</w:t>
            </w:r>
          </w:p>
        </w:tc>
      </w:tr>
      <w:tr w:rsidR="001B2571" w:rsidRPr="00DE19F7" w14:paraId="6F9ED5F3"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9E067B" w14:textId="77777777" w:rsidR="001B2571" w:rsidRPr="00AE372A" w:rsidRDefault="001B2571" w:rsidP="005D33F6">
            <w:pPr>
              <w:pStyle w:val="TableText0"/>
              <w:rPr>
                <w:b/>
              </w:rPr>
            </w:pPr>
            <w:r w:rsidRPr="00AE372A">
              <w:rPr>
                <w:b/>
              </w:rPr>
              <w:t>Net Savings</w:t>
            </w:r>
            <w:r w:rsidRPr="00AE372A">
              <w:t xml:space="preserve"> </w:t>
            </w:r>
            <w:r w:rsidRPr="00AE372A">
              <w:rPr>
                <w:b/>
              </w:rPr>
              <w:t xml:space="preserve">to Government </w:t>
            </w:r>
          </w:p>
        </w:tc>
        <w:tc>
          <w:tcPr>
            <w:tcW w:w="992" w:type="dxa"/>
            <w:tcBorders>
              <w:top w:val="nil"/>
              <w:left w:val="nil"/>
              <w:bottom w:val="single" w:sz="4" w:space="0" w:color="auto"/>
              <w:right w:val="single" w:sz="4" w:space="0" w:color="auto"/>
            </w:tcBorders>
            <w:shd w:val="clear" w:color="auto" w:fill="auto"/>
            <w:noWrap/>
            <w:vAlign w:val="center"/>
          </w:tcPr>
          <w:p w14:paraId="7F6B6463" w14:textId="5A04FAEF"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4033"/>
                <w14:textFill>
                  <w14:solidFill>
                    <w14:srgbClr w14:val="000000">
                      <w14:alpha w14:val="100000"/>
                    </w14:srgbClr>
                  </w14:solidFill>
                </w14:textFill>
              </w:rPr>
              <w:t>|||</w:t>
            </w:r>
            <w:r w:rsidR="001F633E" w:rsidRPr="001F633E">
              <w:rPr>
                <w:b/>
                <w:color w:val="000000"/>
                <w:spacing w:val="3"/>
                <w:shd w:val="solid" w:color="000000" w:fill="000000"/>
                <w:fitText w:val="360" w:id="-663554033"/>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55F723A6" w14:textId="148E4CF1"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4032"/>
                <w14:textFill>
                  <w14:solidFill>
                    <w14:srgbClr w14:val="000000">
                      <w14:alpha w14:val="100000"/>
                    </w14:srgbClr>
                  </w14:solidFill>
                </w14:textFill>
              </w:rPr>
              <w:t>|||</w:t>
            </w:r>
            <w:r w:rsidR="001F633E" w:rsidRPr="001F633E">
              <w:rPr>
                <w:b/>
                <w:color w:val="000000"/>
                <w:spacing w:val="3"/>
                <w:shd w:val="solid" w:color="000000" w:fill="000000"/>
                <w:fitText w:val="360" w:id="-663554032"/>
                <w14:textFill>
                  <w14:solidFill>
                    <w14:srgbClr w14:val="000000">
                      <w14:alpha w14:val="100000"/>
                    </w14:srgbClr>
                  </w14:solidFill>
                </w14:textFill>
              </w:rPr>
              <w:t>|</w:t>
            </w:r>
            <w:r w:rsidR="00266C94">
              <w:t xml:space="preserve"> </w:t>
            </w:r>
            <w:r w:rsidR="00266C94">
              <w:rPr>
                <w:vertAlign w:val="superscript"/>
              </w:rPr>
              <w:t>7</w:t>
            </w:r>
          </w:p>
        </w:tc>
        <w:tc>
          <w:tcPr>
            <w:tcW w:w="993" w:type="dxa"/>
            <w:tcBorders>
              <w:top w:val="nil"/>
              <w:left w:val="nil"/>
              <w:bottom w:val="single" w:sz="4" w:space="0" w:color="auto"/>
              <w:right w:val="single" w:sz="4" w:space="0" w:color="auto"/>
            </w:tcBorders>
            <w:shd w:val="clear" w:color="auto" w:fill="auto"/>
            <w:noWrap/>
            <w:vAlign w:val="center"/>
          </w:tcPr>
          <w:p w14:paraId="051F708C" w14:textId="3854C208"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4048"/>
                <w14:textFill>
                  <w14:solidFill>
                    <w14:srgbClr w14:val="000000">
                      <w14:alpha w14:val="100000"/>
                    </w14:srgbClr>
                  </w14:solidFill>
                </w14:textFill>
              </w:rPr>
              <w:t>|||</w:t>
            </w:r>
            <w:r w:rsidR="001F633E" w:rsidRPr="001F633E">
              <w:rPr>
                <w:b/>
                <w:color w:val="000000"/>
                <w:spacing w:val="3"/>
                <w:shd w:val="solid" w:color="000000" w:fill="000000"/>
                <w:fitText w:val="360" w:id="-663554048"/>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222D6B26" w14:textId="6779E694"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4047"/>
                <w14:textFill>
                  <w14:solidFill>
                    <w14:srgbClr w14:val="000000">
                      <w14:alpha w14:val="100000"/>
                    </w14:srgbClr>
                  </w14:solidFill>
                </w14:textFill>
              </w:rPr>
              <w:t>|||</w:t>
            </w:r>
            <w:r w:rsidR="001F633E" w:rsidRPr="001F633E">
              <w:rPr>
                <w:b/>
                <w:color w:val="000000"/>
                <w:spacing w:val="3"/>
                <w:shd w:val="solid" w:color="000000" w:fill="000000"/>
                <w:fitText w:val="360" w:id="-663554047"/>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437464CD" w14:textId="2572E840"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4046"/>
                <w14:textFill>
                  <w14:solidFill>
                    <w14:srgbClr w14:val="000000">
                      <w14:alpha w14:val="100000"/>
                    </w14:srgbClr>
                  </w14:solidFill>
                </w14:textFill>
              </w:rPr>
              <w:t>|||</w:t>
            </w:r>
            <w:r w:rsidR="001F633E" w:rsidRPr="001F633E">
              <w:rPr>
                <w:b/>
                <w:color w:val="000000"/>
                <w:spacing w:val="3"/>
                <w:shd w:val="solid" w:color="000000" w:fill="000000"/>
                <w:fitText w:val="360" w:id="-663554046"/>
                <w14:textFill>
                  <w14:solidFill>
                    <w14:srgbClr w14:val="000000">
                      <w14:alpha w14:val="100000"/>
                    </w14:srgbClr>
                  </w14:solidFill>
                </w14:textFill>
              </w:rPr>
              <w:t>|</w:t>
            </w:r>
            <w:r w:rsidR="00266C94">
              <w:t xml:space="preserve"> </w:t>
            </w:r>
            <w:r w:rsidR="00266C94">
              <w:rPr>
                <w:vertAlign w:val="superscript"/>
              </w:rPr>
              <w:t>7</w:t>
            </w:r>
          </w:p>
        </w:tc>
        <w:tc>
          <w:tcPr>
            <w:tcW w:w="1055" w:type="dxa"/>
            <w:tcBorders>
              <w:top w:val="nil"/>
              <w:left w:val="nil"/>
              <w:bottom w:val="single" w:sz="4" w:space="0" w:color="auto"/>
              <w:right w:val="single" w:sz="4" w:space="0" w:color="auto"/>
            </w:tcBorders>
            <w:shd w:val="clear" w:color="auto" w:fill="auto"/>
            <w:noWrap/>
            <w:vAlign w:val="center"/>
          </w:tcPr>
          <w:p w14:paraId="634BD7B3" w14:textId="5223C2D2"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4045"/>
                <w14:textFill>
                  <w14:solidFill>
                    <w14:srgbClr w14:val="000000">
                      <w14:alpha w14:val="100000"/>
                    </w14:srgbClr>
                  </w14:solidFill>
                </w14:textFill>
              </w:rPr>
              <w:t>|||</w:t>
            </w:r>
            <w:r w:rsidR="001F633E" w:rsidRPr="001F633E">
              <w:rPr>
                <w:b/>
                <w:color w:val="000000"/>
                <w:spacing w:val="3"/>
                <w:shd w:val="solid" w:color="000000" w:fill="000000"/>
                <w:fitText w:val="360" w:id="-663554045"/>
                <w14:textFill>
                  <w14:solidFill>
                    <w14:srgbClr w14:val="000000">
                      <w14:alpha w14:val="100000"/>
                    </w14:srgbClr>
                  </w14:solidFill>
                </w14:textFill>
              </w:rPr>
              <w:t>|</w:t>
            </w:r>
            <w:r w:rsidR="00266C94">
              <w:t xml:space="preserve"> </w:t>
            </w:r>
            <w:r w:rsidR="00266C94">
              <w:rPr>
                <w:vertAlign w:val="superscript"/>
              </w:rPr>
              <w:t>7</w:t>
            </w:r>
          </w:p>
        </w:tc>
      </w:tr>
      <w:tr w:rsidR="001B2571" w:rsidRPr="00DE19F7" w14:paraId="236623A0" w14:textId="77777777" w:rsidTr="007561DF">
        <w:trPr>
          <w:trHeight w:val="20"/>
        </w:trPr>
        <w:tc>
          <w:tcPr>
            <w:tcW w:w="9130" w:type="dxa"/>
            <w:gridSpan w:val="7"/>
            <w:tcBorders>
              <w:top w:val="nil"/>
              <w:left w:val="single" w:sz="4" w:space="0" w:color="auto"/>
              <w:bottom w:val="single" w:sz="4" w:space="0" w:color="auto"/>
              <w:right w:val="single" w:sz="4" w:space="0" w:color="auto"/>
            </w:tcBorders>
            <w:shd w:val="clear" w:color="auto" w:fill="auto"/>
            <w:vAlign w:val="center"/>
            <w:hideMark/>
          </w:tcPr>
          <w:p w14:paraId="3B82C902" w14:textId="77777777" w:rsidR="001B2571" w:rsidRPr="00AE372A" w:rsidRDefault="001B2571" w:rsidP="005D33F6">
            <w:pPr>
              <w:pStyle w:val="TableText0"/>
              <w:rPr>
                <w:b/>
              </w:rPr>
            </w:pPr>
            <w:r w:rsidRPr="00AE372A">
              <w:rPr>
                <w:b/>
              </w:rPr>
              <w:t>SS1: Higher market uptake rate</w:t>
            </w:r>
          </w:p>
        </w:tc>
      </w:tr>
      <w:tr w:rsidR="001B2571" w:rsidRPr="00DE19F7" w14:paraId="04005C0D"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071790F" w14:textId="77777777" w:rsidR="001B2571" w:rsidRPr="00AE372A" w:rsidRDefault="001B2571" w:rsidP="005D33F6">
            <w:pPr>
              <w:pStyle w:val="TableText0"/>
            </w:pPr>
            <w:r w:rsidRPr="58C81D04">
              <w:t>Number of Ublituximab Rx</w:t>
            </w:r>
          </w:p>
        </w:tc>
        <w:tc>
          <w:tcPr>
            <w:tcW w:w="992" w:type="dxa"/>
            <w:tcBorders>
              <w:top w:val="nil"/>
              <w:left w:val="nil"/>
              <w:bottom w:val="single" w:sz="4" w:space="0" w:color="auto"/>
              <w:right w:val="single" w:sz="4" w:space="0" w:color="auto"/>
            </w:tcBorders>
            <w:shd w:val="clear" w:color="auto" w:fill="auto"/>
            <w:noWrap/>
            <w:vAlign w:val="center"/>
          </w:tcPr>
          <w:p w14:paraId="3C3DF650" w14:textId="2C34629B" w:rsidR="001B2571" w:rsidRPr="00AE372A" w:rsidRDefault="001F633E" w:rsidP="005D33F6">
            <w:pPr>
              <w:pStyle w:val="TableText0"/>
              <w:jc w:val="center"/>
            </w:pPr>
            <w:r w:rsidRPr="001F633E">
              <w:rPr>
                <w:color w:val="000000"/>
                <w:spacing w:val="53"/>
                <w:shd w:val="solid" w:color="000000" w:fill="000000"/>
                <w:fitText w:val="330" w:id="-663554044"/>
                <w14:textFill>
                  <w14:solidFill>
                    <w14:srgbClr w14:val="000000">
                      <w14:alpha w14:val="100000"/>
                    </w14:srgbClr>
                  </w14:solidFill>
                </w14:textFill>
              </w:rPr>
              <w:t>|||</w:t>
            </w:r>
            <w:r w:rsidRPr="001F633E">
              <w:rPr>
                <w:color w:val="000000"/>
                <w:spacing w:val="1"/>
                <w:shd w:val="solid" w:color="000000" w:fill="000000"/>
                <w:fitText w:val="330" w:id="-663554044"/>
                <w14:textFill>
                  <w14:solidFill>
                    <w14:srgbClr w14:val="000000">
                      <w14:alpha w14:val="100000"/>
                    </w14:srgbClr>
                  </w14:solidFill>
                </w14:textFill>
              </w:rPr>
              <w:t>|</w:t>
            </w:r>
            <w:r w:rsidR="00266C94">
              <w:t xml:space="preserve"> </w:t>
            </w:r>
            <w:r w:rsidR="00266C94">
              <w:rPr>
                <w:vertAlign w:val="superscript"/>
              </w:rPr>
              <w:t>1</w:t>
            </w:r>
            <w:r w:rsidR="001B2571" w:rsidRPr="00AE372A">
              <w:t xml:space="preserve"> Rx</w:t>
            </w:r>
          </w:p>
        </w:tc>
        <w:tc>
          <w:tcPr>
            <w:tcW w:w="992" w:type="dxa"/>
            <w:tcBorders>
              <w:top w:val="nil"/>
              <w:left w:val="nil"/>
              <w:bottom w:val="single" w:sz="4" w:space="0" w:color="auto"/>
              <w:right w:val="single" w:sz="4" w:space="0" w:color="auto"/>
            </w:tcBorders>
            <w:shd w:val="clear" w:color="auto" w:fill="auto"/>
            <w:noWrap/>
            <w:vAlign w:val="center"/>
          </w:tcPr>
          <w:p w14:paraId="301F27F1" w14:textId="7DE7DA79" w:rsidR="001B2571" w:rsidRPr="00AE372A" w:rsidRDefault="001F633E" w:rsidP="005D33F6">
            <w:pPr>
              <w:pStyle w:val="TableText0"/>
              <w:jc w:val="center"/>
            </w:pPr>
            <w:r w:rsidRPr="001F633E">
              <w:rPr>
                <w:color w:val="000000"/>
                <w:spacing w:val="53"/>
                <w:shd w:val="solid" w:color="000000" w:fill="000000"/>
                <w:fitText w:val="330" w:id="-663554043"/>
                <w14:textFill>
                  <w14:solidFill>
                    <w14:srgbClr w14:val="000000">
                      <w14:alpha w14:val="100000"/>
                    </w14:srgbClr>
                  </w14:solidFill>
                </w14:textFill>
              </w:rPr>
              <w:t>|||</w:t>
            </w:r>
            <w:r w:rsidRPr="001F633E">
              <w:rPr>
                <w:color w:val="000000"/>
                <w:spacing w:val="1"/>
                <w:shd w:val="solid" w:color="000000" w:fill="000000"/>
                <w:fitText w:val="330" w:id="-663554043"/>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993" w:type="dxa"/>
            <w:tcBorders>
              <w:top w:val="nil"/>
              <w:left w:val="nil"/>
              <w:bottom w:val="single" w:sz="4" w:space="0" w:color="auto"/>
              <w:right w:val="single" w:sz="4" w:space="0" w:color="auto"/>
            </w:tcBorders>
            <w:shd w:val="clear" w:color="auto" w:fill="auto"/>
            <w:noWrap/>
            <w:vAlign w:val="center"/>
          </w:tcPr>
          <w:p w14:paraId="364C09F7" w14:textId="1804CA14" w:rsidR="001B2571" w:rsidRPr="00AE372A" w:rsidRDefault="001F633E" w:rsidP="005D33F6">
            <w:pPr>
              <w:pStyle w:val="TableText0"/>
              <w:jc w:val="center"/>
            </w:pPr>
            <w:r w:rsidRPr="001F633E">
              <w:rPr>
                <w:color w:val="000000"/>
                <w:spacing w:val="53"/>
                <w:shd w:val="solid" w:color="000000" w:fill="000000"/>
                <w:fitText w:val="330" w:id="-663554042"/>
                <w14:textFill>
                  <w14:solidFill>
                    <w14:srgbClr w14:val="000000">
                      <w14:alpha w14:val="100000"/>
                    </w14:srgbClr>
                  </w14:solidFill>
                </w14:textFill>
              </w:rPr>
              <w:t>|||</w:t>
            </w:r>
            <w:r w:rsidRPr="001F633E">
              <w:rPr>
                <w:color w:val="000000"/>
                <w:spacing w:val="1"/>
                <w:shd w:val="solid" w:color="000000" w:fill="000000"/>
                <w:fitText w:val="330" w:id="-663554042"/>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992" w:type="dxa"/>
            <w:tcBorders>
              <w:top w:val="nil"/>
              <w:left w:val="nil"/>
              <w:bottom w:val="single" w:sz="4" w:space="0" w:color="auto"/>
              <w:right w:val="single" w:sz="4" w:space="0" w:color="auto"/>
            </w:tcBorders>
            <w:shd w:val="clear" w:color="auto" w:fill="auto"/>
            <w:noWrap/>
            <w:vAlign w:val="center"/>
          </w:tcPr>
          <w:p w14:paraId="1E27122A" w14:textId="687FAFF8" w:rsidR="001B2571" w:rsidRPr="00AE372A" w:rsidRDefault="001F633E" w:rsidP="005D33F6">
            <w:pPr>
              <w:pStyle w:val="TableText0"/>
              <w:jc w:val="center"/>
            </w:pPr>
            <w:r w:rsidRPr="001F633E">
              <w:rPr>
                <w:color w:val="000000"/>
                <w:spacing w:val="53"/>
                <w:shd w:val="solid" w:color="000000" w:fill="000000"/>
                <w:fitText w:val="330" w:id="-663554041"/>
                <w14:textFill>
                  <w14:solidFill>
                    <w14:srgbClr w14:val="000000">
                      <w14:alpha w14:val="100000"/>
                    </w14:srgbClr>
                  </w14:solidFill>
                </w14:textFill>
              </w:rPr>
              <w:t>|||</w:t>
            </w:r>
            <w:r w:rsidRPr="001F633E">
              <w:rPr>
                <w:color w:val="000000"/>
                <w:spacing w:val="1"/>
                <w:shd w:val="solid" w:color="000000" w:fill="000000"/>
                <w:fitText w:val="330" w:id="-663554041"/>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992" w:type="dxa"/>
            <w:tcBorders>
              <w:top w:val="nil"/>
              <w:left w:val="nil"/>
              <w:bottom w:val="single" w:sz="4" w:space="0" w:color="auto"/>
              <w:right w:val="single" w:sz="4" w:space="0" w:color="auto"/>
            </w:tcBorders>
            <w:shd w:val="clear" w:color="auto" w:fill="auto"/>
            <w:noWrap/>
            <w:vAlign w:val="center"/>
          </w:tcPr>
          <w:p w14:paraId="5BF08908" w14:textId="3A8CDC7E" w:rsidR="001B2571" w:rsidRPr="00AE372A" w:rsidRDefault="001F633E" w:rsidP="005D33F6">
            <w:pPr>
              <w:pStyle w:val="TableText0"/>
              <w:jc w:val="center"/>
            </w:pPr>
            <w:r w:rsidRPr="001F633E">
              <w:rPr>
                <w:color w:val="000000"/>
                <w:spacing w:val="53"/>
                <w:shd w:val="solid" w:color="000000" w:fill="000000"/>
                <w:fitText w:val="330" w:id="-663554040"/>
                <w14:textFill>
                  <w14:solidFill>
                    <w14:srgbClr w14:val="000000">
                      <w14:alpha w14:val="100000"/>
                    </w14:srgbClr>
                  </w14:solidFill>
                </w14:textFill>
              </w:rPr>
              <w:t>|||</w:t>
            </w:r>
            <w:r w:rsidRPr="001F633E">
              <w:rPr>
                <w:color w:val="000000"/>
                <w:spacing w:val="1"/>
                <w:shd w:val="solid" w:color="000000" w:fill="000000"/>
                <w:fitText w:val="330" w:id="-663554040"/>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1055" w:type="dxa"/>
            <w:tcBorders>
              <w:top w:val="nil"/>
              <w:left w:val="nil"/>
              <w:bottom w:val="single" w:sz="4" w:space="0" w:color="auto"/>
              <w:right w:val="single" w:sz="4" w:space="0" w:color="auto"/>
            </w:tcBorders>
            <w:shd w:val="clear" w:color="auto" w:fill="auto"/>
            <w:noWrap/>
            <w:vAlign w:val="center"/>
          </w:tcPr>
          <w:p w14:paraId="35C5E574" w14:textId="117B4B2E" w:rsidR="001B2571" w:rsidRPr="00AE372A" w:rsidRDefault="001F633E" w:rsidP="005D33F6">
            <w:pPr>
              <w:pStyle w:val="TableText0"/>
              <w:jc w:val="center"/>
            </w:pPr>
            <w:r w:rsidRPr="001F633E">
              <w:rPr>
                <w:color w:val="000000"/>
                <w:spacing w:val="49"/>
                <w:shd w:val="solid" w:color="000000" w:fill="000000"/>
                <w:fitText w:val="320" w:id="-663553792"/>
                <w14:textFill>
                  <w14:solidFill>
                    <w14:srgbClr w14:val="000000">
                      <w14:alpha w14:val="100000"/>
                    </w14:srgbClr>
                  </w14:solidFill>
                </w14:textFill>
              </w:rPr>
              <w:t>|||</w:t>
            </w:r>
            <w:r w:rsidRPr="001F633E">
              <w:rPr>
                <w:color w:val="000000"/>
                <w:spacing w:val="3"/>
                <w:shd w:val="solid" w:color="000000" w:fill="000000"/>
                <w:fitText w:val="320" w:id="-663553792"/>
                <w14:textFill>
                  <w14:solidFill>
                    <w14:srgbClr w14:val="000000">
                      <w14:alpha w14:val="100000"/>
                    </w14:srgbClr>
                  </w14:solidFill>
                </w14:textFill>
              </w:rPr>
              <w:t>|</w:t>
            </w:r>
            <w:r w:rsidR="00266C94">
              <w:t xml:space="preserve"> </w:t>
            </w:r>
            <w:r w:rsidR="00266C94">
              <w:rPr>
                <w:vertAlign w:val="superscript"/>
              </w:rPr>
              <w:t>9</w:t>
            </w:r>
            <w:r w:rsidR="001B2571" w:rsidRPr="00AE372A">
              <w:t xml:space="preserve"> Rx</w:t>
            </w:r>
          </w:p>
        </w:tc>
      </w:tr>
      <w:tr w:rsidR="001B2571" w:rsidRPr="00DE19F7" w14:paraId="17CF882D"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CD80816" w14:textId="77777777" w:rsidR="001B2571" w:rsidRPr="00AE372A" w:rsidRDefault="001B2571" w:rsidP="005D33F6">
            <w:pPr>
              <w:pStyle w:val="TableText0"/>
            </w:pPr>
            <w:r w:rsidRPr="58C81D04">
              <w:t>Net Cost of Ublituximab to PBS/RPBS</w:t>
            </w:r>
          </w:p>
        </w:tc>
        <w:tc>
          <w:tcPr>
            <w:tcW w:w="992" w:type="dxa"/>
            <w:tcBorders>
              <w:top w:val="nil"/>
              <w:left w:val="nil"/>
              <w:bottom w:val="single" w:sz="4" w:space="0" w:color="auto"/>
              <w:right w:val="single" w:sz="4" w:space="0" w:color="auto"/>
            </w:tcBorders>
            <w:shd w:val="clear" w:color="auto" w:fill="auto"/>
            <w:noWrap/>
            <w:vAlign w:val="center"/>
          </w:tcPr>
          <w:p w14:paraId="26BAF1A9" w14:textId="5FF23879"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91"/>
                <w14:textFill>
                  <w14:solidFill>
                    <w14:srgbClr w14:val="000000">
                      <w14:alpha w14:val="100000"/>
                    </w14:srgbClr>
                  </w14:solidFill>
                </w14:textFill>
              </w:rPr>
              <w:t>|||</w:t>
            </w:r>
            <w:r w:rsidR="001F633E" w:rsidRPr="001F633E">
              <w:rPr>
                <w:color w:val="000000"/>
                <w:spacing w:val="1"/>
                <w:shd w:val="solid" w:color="000000" w:fill="000000"/>
                <w:fitText w:val="330" w:id="-663553791"/>
                <w14:textFill>
                  <w14:solidFill>
                    <w14:srgbClr w14:val="000000">
                      <w14:alpha w14:val="100000"/>
                    </w14:srgbClr>
                  </w14:solidFill>
                </w14:textFill>
              </w:rPr>
              <w:t>|</w:t>
            </w:r>
            <w:r w:rsidR="00D626CC">
              <w:t xml:space="preserve"> </w:t>
            </w:r>
            <w:r w:rsidR="00D626CC">
              <w:rPr>
                <w:vertAlign w:val="superscript"/>
              </w:rPr>
              <w:t>10</w:t>
            </w:r>
          </w:p>
        </w:tc>
        <w:tc>
          <w:tcPr>
            <w:tcW w:w="992" w:type="dxa"/>
            <w:tcBorders>
              <w:top w:val="nil"/>
              <w:left w:val="nil"/>
              <w:bottom w:val="single" w:sz="4" w:space="0" w:color="auto"/>
              <w:right w:val="single" w:sz="4" w:space="0" w:color="auto"/>
            </w:tcBorders>
            <w:shd w:val="clear" w:color="auto" w:fill="auto"/>
            <w:noWrap/>
            <w:vAlign w:val="center"/>
          </w:tcPr>
          <w:p w14:paraId="6CD5A6AD" w14:textId="5E8757B2"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90"/>
                <w14:textFill>
                  <w14:solidFill>
                    <w14:srgbClr w14:val="000000">
                      <w14:alpha w14:val="100000"/>
                    </w14:srgbClr>
                  </w14:solidFill>
                </w14:textFill>
              </w:rPr>
              <w:t>|||</w:t>
            </w:r>
            <w:r w:rsidR="001F633E" w:rsidRPr="001F633E">
              <w:rPr>
                <w:color w:val="000000"/>
                <w:spacing w:val="1"/>
                <w:shd w:val="solid" w:color="000000" w:fill="000000"/>
                <w:fitText w:val="330" w:id="-663553790"/>
                <w14:textFill>
                  <w14:solidFill>
                    <w14:srgbClr w14:val="000000">
                      <w14:alpha w14:val="100000"/>
                    </w14:srgbClr>
                  </w14:solidFill>
                </w14:textFill>
              </w:rPr>
              <w:t>|</w:t>
            </w:r>
            <w:r w:rsidR="00D626CC">
              <w:t xml:space="preserve"> </w:t>
            </w:r>
            <w:r w:rsidR="00D626CC">
              <w:rPr>
                <w:vertAlign w:val="superscript"/>
              </w:rPr>
              <w:t>11</w:t>
            </w:r>
          </w:p>
        </w:tc>
        <w:tc>
          <w:tcPr>
            <w:tcW w:w="993" w:type="dxa"/>
            <w:tcBorders>
              <w:top w:val="nil"/>
              <w:left w:val="nil"/>
              <w:bottom w:val="single" w:sz="4" w:space="0" w:color="auto"/>
              <w:right w:val="single" w:sz="4" w:space="0" w:color="auto"/>
            </w:tcBorders>
            <w:shd w:val="clear" w:color="auto" w:fill="auto"/>
            <w:noWrap/>
            <w:vAlign w:val="center"/>
          </w:tcPr>
          <w:p w14:paraId="5B682339" w14:textId="51ED176F"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9"/>
                <w14:textFill>
                  <w14:solidFill>
                    <w14:srgbClr w14:val="000000">
                      <w14:alpha w14:val="100000"/>
                    </w14:srgbClr>
                  </w14:solidFill>
                </w14:textFill>
              </w:rPr>
              <w:t>|||</w:t>
            </w:r>
            <w:r w:rsidR="001F633E" w:rsidRPr="001F633E">
              <w:rPr>
                <w:color w:val="000000"/>
                <w:spacing w:val="1"/>
                <w:shd w:val="solid" w:color="000000" w:fill="000000"/>
                <w:fitText w:val="330" w:id="-663553789"/>
                <w14:textFill>
                  <w14:solidFill>
                    <w14:srgbClr w14:val="000000">
                      <w14:alpha w14:val="100000"/>
                    </w14:srgbClr>
                  </w14:solidFill>
                </w14:textFill>
              </w:rPr>
              <w:t>|</w:t>
            </w:r>
            <w:r w:rsidR="00266C94">
              <w:t xml:space="preserve"> </w:t>
            </w:r>
            <w:r w:rsidR="00266C94">
              <w:rPr>
                <w:vertAlign w:val="superscript"/>
              </w:rPr>
              <w:t>5</w:t>
            </w:r>
          </w:p>
        </w:tc>
        <w:tc>
          <w:tcPr>
            <w:tcW w:w="992" w:type="dxa"/>
            <w:tcBorders>
              <w:top w:val="nil"/>
              <w:left w:val="nil"/>
              <w:bottom w:val="single" w:sz="4" w:space="0" w:color="auto"/>
              <w:right w:val="single" w:sz="4" w:space="0" w:color="auto"/>
            </w:tcBorders>
            <w:shd w:val="clear" w:color="auto" w:fill="auto"/>
            <w:noWrap/>
            <w:vAlign w:val="center"/>
          </w:tcPr>
          <w:p w14:paraId="451C1C98" w14:textId="4B425080"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8"/>
                <w14:textFill>
                  <w14:solidFill>
                    <w14:srgbClr w14:val="000000">
                      <w14:alpha w14:val="100000"/>
                    </w14:srgbClr>
                  </w14:solidFill>
                </w14:textFill>
              </w:rPr>
              <w:t>|||</w:t>
            </w:r>
            <w:r w:rsidR="001F633E" w:rsidRPr="001F633E">
              <w:rPr>
                <w:color w:val="000000"/>
                <w:spacing w:val="1"/>
                <w:shd w:val="solid" w:color="000000" w:fill="000000"/>
                <w:fitText w:val="330" w:id="-663553788"/>
                <w14:textFill>
                  <w14:solidFill>
                    <w14:srgbClr w14:val="000000">
                      <w14:alpha w14:val="100000"/>
                    </w14:srgbClr>
                  </w14:solidFill>
                </w14:textFill>
              </w:rPr>
              <w:t>|</w:t>
            </w:r>
            <w:r w:rsidR="00266C94">
              <w:t xml:space="preserve"> </w:t>
            </w:r>
            <w:r w:rsidR="00266C94">
              <w:rPr>
                <w:vertAlign w:val="superscript"/>
              </w:rPr>
              <w:t>6</w:t>
            </w:r>
          </w:p>
        </w:tc>
        <w:tc>
          <w:tcPr>
            <w:tcW w:w="992" w:type="dxa"/>
            <w:tcBorders>
              <w:top w:val="nil"/>
              <w:left w:val="nil"/>
              <w:bottom w:val="single" w:sz="4" w:space="0" w:color="auto"/>
              <w:right w:val="single" w:sz="4" w:space="0" w:color="auto"/>
            </w:tcBorders>
            <w:shd w:val="clear" w:color="auto" w:fill="auto"/>
            <w:noWrap/>
            <w:vAlign w:val="center"/>
          </w:tcPr>
          <w:p w14:paraId="6281D9B8" w14:textId="3EF3C547"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7"/>
                <w14:textFill>
                  <w14:solidFill>
                    <w14:srgbClr w14:val="000000">
                      <w14:alpha w14:val="100000"/>
                    </w14:srgbClr>
                  </w14:solidFill>
                </w14:textFill>
              </w:rPr>
              <w:t>|||</w:t>
            </w:r>
            <w:r w:rsidR="001F633E" w:rsidRPr="001F633E">
              <w:rPr>
                <w:color w:val="000000"/>
                <w:spacing w:val="1"/>
                <w:shd w:val="solid" w:color="000000" w:fill="000000"/>
                <w:fitText w:val="330" w:id="-663553787"/>
                <w14:textFill>
                  <w14:solidFill>
                    <w14:srgbClr w14:val="000000">
                      <w14:alpha w14:val="100000"/>
                    </w14:srgbClr>
                  </w14:solidFill>
                </w14:textFill>
              </w:rPr>
              <w:t>|</w:t>
            </w:r>
            <w:r w:rsidR="00266C94">
              <w:t xml:space="preserve"> </w:t>
            </w:r>
            <w:r w:rsidR="00266C94">
              <w:rPr>
                <w:vertAlign w:val="superscript"/>
              </w:rPr>
              <w:t>6</w:t>
            </w:r>
          </w:p>
        </w:tc>
        <w:tc>
          <w:tcPr>
            <w:tcW w:w="1055" w:type="dxa"/>
            <w:tcBorders>
              <w:top w:val="nil"/>
              <w:left w:val="nil"/>
              <w:bottom w:val="single" w:sz="4" w:space="0" w:color="auto"/>
              <w:right w:val="single" w:sz="4" w:space="0" w:color="auto"/>
            </w:tcBorders>
            <w:shd w:val="clear" w:color="auto" w:fill="auto"/>
            <w:noWrap/>
            <w:vAlign w:val="center"/>
          </w:tcPr>
          <w:p w14:paraId="2A8A5444" w14:textId="51790DF8"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6"/>
                <w14:textFill>
                  <w14:solidFill>
                    <w14:srgbClr w14:val="000000">
                      <w14:alpha w14:val="100000"/>
                    </w14:srgbClr>
                  </w14:solidFill>
                </w14:textFill>
              </w:rPr>
              <w:t>|||</w:t>
            </w:r>
            <w:r w:rsidR="001F633E" w:rsidRPr="001F633E">
              <w:rPr>
                <w:color w:val="000000"/>
                <w:spacing w:val="1"/>
                <w:shd w:val="solid" w:color="000000" w:fill="000000"/>
                <w:fitText w:val="330" w:id="-663553786"/>
                <w14:textFill>
                  <w14:solidFill>
                    <w14:srgbClr w14:val="000000">
                      <w14:alpha w14:val="100000"/>
                    </w14:srgbClr>
                  </w14:solidFill>
                </w14:textFill>
              </w:rPr>
              <w:t>|</w:t>
            </w:r>
            <w:r w:rsidR="00266C94">
              <w:t xml:space="preserve"> </w:t>
            </w:r>
            <w:r w:rsidR="00266C94">
              <w:rPr>
                <w:vertAlign w:val="superscript"/>
              </w:rPr>
              <w:t>6</w:t>
            </w:r>
          </w:p>
        </w:tc>
      </w:tr>
      <w:tr w:rsidR="001B2571" w:rsidRPr="00DE19F7" w14:paraId="429CAECA"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A7E72A" w14:textId="77777777" w:rsidR="001B2571" w:rsidRPr="00AE372A" w:rsidRDefault="001B2571" w:rsidP="005D33F6">
            <w:pPr>
              <w:pStyle w:val="TableText0"/>
            </w:pPr>
            <w:r w:rsidRPr="00AE372A">
              <w:t>Net Savings to PBS/RPBS from displaced medications</w:t>
            </w:r>
          </w:p>
        </w:tc>
        <w:tc>
          <w:tcPr>
            <w:tcW w:w="992" w:type="dxa"/>
            <w:tcBorders>
              <w:top w:val="nil"/>
              <w:left w:val="nil"/>
              <w:bottom w:val="single" w:sz="4" w:space="0" w:color="auto"/>
              <w:right w:val="single" w:sz="4" w:space="0" w:color="auto"/>
            </w:tcBorders>
            <w:shd w:val="clear" w:color="auto" w:fill="auto"/>
            <w:noWrap/>
            <w:vAlign w:val="center"/>
          </w:tcPr>
          <w:p w14:paraId="375BEE4E" w14:textId="0DDC7136"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5"/>
                <w14:textFill>
                  <w14:solidFill>
                    <w14:srgbClr w14:val="000000">
                      <w14:alpha w14:val="100000"/>
                    </w14:srgbClr>
                  </w14:solidFill>
                </w14:textFill>
              </w:rPr>
              <w:t>|||</w:t>
            </w:r>
            <w:r w:rsidR="001F633E" w:rsidRPr="001F633E">
              <w:rPr>
                <w:color w:val="000000"/>
                <w:spacing w:val="1"/>
                <w:shd w:val="solid" w:color="000000" w:fill="000000"/>
                <w:fitText w:val="330" w:id="-663553785"/>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5CD1FB14" w14:textId="142F2E68"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4"/>
                <w14:textFill>
                  <w14:solidFill>
                    <w14:srgbClr w14:val="000000">
                      <w14:alpha w14:val="100000"/>
                    </w14:srgbClr>
                  </w14:solidFill>
                </w14:textFill>
              </w:rPr>
              <w:t>|||</w:t>
            </w:r>
            <w:r w:rsidR="001F633E" w:rsidRPr="001F633E">
              <w:rPr>
                <w:color w:val="000000"/>
                <w:spacing w:val="1"/>
                <w:shd w:val="solid" w:color="000000" w:fill="000000"/>
                <w:fitText w:val="330" w:id="-663553784"/>
                <w14:textFill>
                  <w14:solidFill>
                    <w14:srgbClr w14:val="000000">
                      <w14:alpha w14:val="100000"/>
                    </w14:srgbClr>
                  </w14:solidFill>
                </w14:textFill>
              </w:rPr>
              <w:t>|</w:t>
            </w:r>
            <w:r w:rsidR="00266C94">
              <w:t xml:space="preserve"> </w:t>
            </w:r>
            <w:r w:rsidR="00266C94">
              <w:rPr>
                <w:vertAlign w:val="superscript"/>
              </w:rPr>
              <w:t>7</w:t>
            </w:r>
          </w:p>
        </w:tc>
        <w:tc>
          <w:tcPr>
            <w:tcW w:w="993" w:type="dxa"/>
            <w:tcBorders>
              <w:top w:val="nil"/>
              <w:left w:val="nil"/>
              <w:bottom w:val="single" w:sz="4" w:space="0" w:color="auto"/>
              <w:right w:val="single" w:sz="4" w:space="0" w:color="auto"/>
            </w:tcBorders>
            <w:shd w:val="clear" w:color="auto" w:fill="auto"/>
            <w:noWrap/>
            <w:vAlign w:val="center"/>
          </w:tcPr>
          <w:p w14:paraId="7E9A18CF" w14:textId="35B5C4B5"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3"/>
                <w14:textFill>
                  <w14:solidFill>
                    <w14:srgbClr w14:val="000000">
                      <w14:alpha w14:val="100000"/>
                    </w14:srgbClr>
                  </w14:solidFill>
                </w14:textFill>
              </w:rPr>
              <w:t>|||</w:t>
            </w:r>
            <w:r w:rsidR="001F633E" w:rsidRPr="001F633E">
              <w:rPr>
                <w:color w:val="000000"/>
                <w:spacing w:val="1"/>
                <w:shd w:val="solid" w:color="000000" w:fill="000000"/>
                <w:fitText w:val="330" w:id="-663553783"/>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78B6C8A3" w14:textId="60B50658"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2"/>
                <w14:textFill>
                  <w14:solidFill>
                    <w14:srgbClr w14:val="000000">
                      <w14:alpha w14:val="100000"/>
                    </w14:srgbClr>
                  </w14:solidFill>
                </w14:textFill>
              </w:rPr>
              <w:t>|||</w:t>
            </w:r>
            <w:r w:rsidR="001F633E" w:rsidRPr="001F633E">
              <w:rPr>
                <w:color w:val="000000"/>
                <w:spacing w:val="1"/>
                <w:shd w:val="solid" w:color="000000" w:fill="000000"/>
                <w:fitText w:val="330" w:id="-663553782"/>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173C16C5" w14:textId="217C0F20"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1"/>
                <w14:textFill>
                  <w14:solidFill>
                    <w14:srgbClr w14:val="000000">
                      <w14:alpha w14:val="100000"/>
                    </w14:srgbClr>
                  </w14:solidFill>
                </w14:textFill>
              </w:rPr>
              <w:t>|||</w:t>
            </w:r>
            <w:r w:rsidR="001F633E" w:rsidRPr="001F633E">
              <w:rPr>
                <w:color w:val="000000"/>
                <w:spacing w:val="1"/>
                <w:shd w:val="solid" w:color="000000" w:fill="000000"/>
                <w:fitText w:val="330" w:id="-663553781"/>
                <w14:textFill>
                  <w14:solidFill>
                    <w14:srgbClr w14:val="000000">
                      <w14:alpha w14:val="100000"/>
                    </w14:srgbClr>
                  </w14:solidFill>
                </w14:textFill>
              </w:rPr>
              <w:t>|</w:t>
            </w:r>
            <w:r w:rsidR="00266C94">
              <w:t xml:space="preserve"> </w:t>
            </w:r>
            <w:r w:rsidR="00266C94">
              <w:rPr>
                <w:vertAlign w:val="superscript"/>
              </w:rPr>
              <w:t>7</w:t>
            </w:r>
          </w:p>
        </w:tc>
        <w:tc>
          <w:tcPr>
            <w:tcW w:w="1055" w:type="dxa"/>
            <w:tcBorders>
              <w:top w:val="nil"/>
              <w:left w:val="nil"/>
              <w:bottom w:val="single" w:sz="4" w:space="0" w:color="auto"/>
              <w:right w:val="single" w:sz="4" w:space="0" w:color="auto"/>
            </w:tcBorders>
            <w:shd w:val="clear" w:color="auto" w:fill="auto"/>
            <w:noWrap/>
            <w:vAlign w:val="center"/>
          </w:tcPr>
          <w:p w14:paraId="77423949" w14:textId="7510AEDB"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0"/>
                <w14:textFill>
                  <w14:solidFill>
                    <w14:srgbClr w14:val="000000">
                      <w14:alpha w14:val="100000"/>
                    </w14:srgbClr>
                  </w14:solidFill>
                </w14:textFill>
              </w:rPr>
              <w:t>|||</w:t>
            </w:r>
            <w:r w:rsidR="001F633E" w:rsidRPr="001F633E">
              <w:rPr>
                <w:color w:val="000000"/>
                <w:spacing w:val="1"/>
                <w:shd w:val="solid" w:color="000000" w:fill="000000"/>
                <w:fitText w:val="330" w:id="-663553780"/>
                <w14:textFill>
                  <w14:solidFill>
                    <w14:srgbClr w14:val="000000">
                      <w14:alpha w14:val="100000"/>
                    </w14:srgbClr>
                  </w14:solidFill>
                </w14:textFill>
              </w:rPr>
              <w:t>|</w:t>
            </w:r>
            <w:r w:rsidR="00266C94">
              <w:t xml:space="preserve"> </w:t>
            </w:r>
            <w:r w:rsidR="00266C94">
              <w:rPr>
                <w:vertAlign w:val="superscript"/>
              </w:rPr>
              <w:t>7</w:t>
            </w:r>
          </w:p>
        </w:tc>
      </w:tr>
      <w:tr w:rsidR="001B2571" w:rsidRPr="00DE19F7" w14:paraId="069CB350"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EA4C3C" w14:textId="77777777" w:rsidR="001B2571" w:rsidRPr="00AE372A" w:rsidRDefault="001B2571" w:rsidP="005D33F6">
            <w:pPr>
              <w:pStyle w:val="TableText0"/>
            </w:pPr>
            <w:r w:rsidRPr="00AE372A">
              <w:t>Net Cost to PBS/RPBS</w:t>
            </w:r>
          </w:p>
        </w:tc>
        <w:tc>
          <w:tcPr>
            <w:tcW w:w="992" w:type="dxa"/>
            <w:tcBorders>
              <w:top w:val="nil"/>
              <w:left w:val="nil"/>
              <w:bottom w:val="single" w:sz="4" w:space="0" w:color="auto"/>
              <w:right w:val="single" w:sz="4" w:space="0" w:color="auto"/>
            </w:tcBorders>
            <w:shd w:val="clear" w:color="auto" w:fill="auto"/>
            <w:noWrap/>
            <w:vAlign w:val="center"/>
          </w:tcPr>
          <w:p w14:paraId="2A7B4CE6" w14:textId="6B145EDE"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79"/>
                <w14:textFill>
                  <w14:solidFill>
                    <w14:srgbClr w14:val="000000">
                      <w14:alpha w14:val="100000"/>
                    </w14:srgbClr>
                  </w14:solidFill>
                </w14:textFill>
              </w:rPr>
              <w:t>|||</w:t>
            </w:r>
            <w:r w:rsidR="001F633E" w:rsidRPr="001F633E">
              <w:rPr>
                <w:color w:val="000000"/>
                <w:spacing w:val="1"/>
                <w:shd w:val="solid" w:color="000000" w:fill="000000"/>
                <w:fitText w:val="330" w:id="-663553779"/>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5741E8BF" w14:textId="02987085"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78"/>
                <w14:textFill>
                  <w14:solidFill>
                    <w14:srgbClr w14:val="000000">
                      <w14:alpha w14:val="100000"/>
                    </w14:srgbClr>
                  </w14:solidFill>
                </w14:textFill>
              </w:rPr>
              <w:t>|||</w:t>
            </w:r>
            <w:r w:rsidR="001F633E" w:rsidRPr="001F633E">
              <w:rPr>
                <w:color w:val="000000"/>
                <w:spacing w:val="1"/>
                <w:shd w:val="solid" w:color="000000" w:fill="000000"/>
                <w:fitText w:val="330" w:id="-663553778"/>
                <w14:textFill>
                  <w14:solidFill>
                    <w14:srgbClr w14:val="000000">
                      <w14:alpha w14:val="100000"/>
                    </w14:srgbClr>
                  </w14:solidFill>
                </w14:textFill>
              </w:rPr>
              <w:t>|</w:t>
            </w:r>
            <w:r w:rsidR="00266C94">
              <w:t xml:space="preserve"> </w:t>
            </w:r>
            <w:r w:rsidR="00266C94">
              <w:rPr>
                <w:vertAlign w:val="superscript"/>
              </w:rPr>
              <w:t>7</w:t>
            </w:r>
          </w:p>
        </w:tc>
        <w:tc>
          <w:tcPr>
            <w:tcW w:w="993" w:type="dxa"/>
            <w:tcBorders>
              <w:top w:val="nil"/>
              <w:left w:val="nil"/>
              <w:bottom w:val="single" w:sz="4" w:space="0" w:color="auto"/>
              <w:right w:val="single" w:sz="4" w:space="0" w:color="auto"/>
            </w:tcBorders>
            <w:shd w:val="clear" w:color="auto" w:fill="auto"/>
            <w:noWrap/>
            <w:vAlign w:val="center"/>
          </w:tcPr>
          <w:p w14:paraId="168AD562" w14:textId="32A6DD32"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77"/>
                <w14:textFill>
                  <w14:solidFill>
                    <w14:srgbClr w14:val="000000">
                      <w14:alpha w14:val="100000"/>
                    </w14:srgbClr>
                  </w14:solidFill>
                </w14:textFill>
              </w:rPr>
              <w:t>|||</w:t>
            </w:r>
            <w:r w:rsidR="001F633E" w:rsidRPr="001F633E">
              <w:rPr>
                <w:color w:val="000000"/>
                <w:spacing w:val="1"/>
                <w:shd w:val="solid" w:color="000000" w:fill="000000"/>
                <w:fitText w:val="330" w:id="-663553777"/>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6728DCF4" w14:textId="1B56B717"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76"/>
                <w14:textFill>
                  <w14:solidFill>
                    <w14:srgbClr w14:val="000000">
                      <w14:alpha w14:val="100000"/>
                    </w14:srgbClr>
                  </w14:solidFill>
                </w14:textFill>
              </w:rPr>
              <w:t>|||</w:t>
            </w:r>
            <w:r w:rsidR="001F633E" w:rsidRPr="001F633E">
              <w:rPr>
                <w:color w:val="000000"/>
                <w:spacing w:val="1"/>
                <w:shd w:val="solid" w:color="000000" w:fill="000000"/>
                <w:fitText w:val="330" w:id="-663553776"/>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25B15A01" w14:textId="3E7114D8"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92"/>
                <w14:textFill>
                  <w14:solidFill>
                    <w14:srgbClr w14:val="000000">
                      <w14:alpha w14:val="100000"/>
                    </w14:srgbClr>
                  </w14:solidFill>
                </w14:textFill>
              </w:rPr>
              <w:t>|||</w:t>
            </w:r>
            <w:r w:rsidR="001F633E" w:rsidRPr="001F633E">
              <w:rPr>
                <w:color w:val="000000"/>
                <w:spacing w:val="1"/>
                <w:shd w:val="solid" w:color="000000" w:fill="000000"/>
                <w:fitText w:val="330" w:id="-663553792"/>
                <w14:textFill>
                  <w14:solidFill>
                    <w14:srgbClr w14:val="000000">
                      <w14:alpha w14:val="100000"/>
                    </w14:srgbClr>
                  </w14:solidFill>
                </w14:textFill>
              </w:rPr>
              <w:t>|</w:t>
            </w:r>
            <w:r w:rsidR="00266C94">
              <w:t xml:space="preserve"> </w:t>
            </w:r>
            <w:r w:rsidR="00266C94">
              <w:rPr>
                <w:vertAlign w:val="superscript"/>
              </w:rPr>
              <w:t>7</w:t>
            </w:r>
          </w:p>
        </w:tc>
        <w:tc>
          <w:tcPr>
            <w:tcW w:w="1055" w:type="dxa"/>
            <w:tcBorders>
              <w:top w:val="nil"/>
              <w:left w:val="nil"/>
              <w:bottom w:val="single" w:sz="4" w:space="0" w:color="auto"/>
              <w:right w:val="single" w:sz="4" w:space="0" w:color="auto"/>
            </w:tcBorders>
            <w:shd w:val="clear" w:color="auto" w:fill="auto"/>
            <w:noWrap/>
            <w:vAlign w:val="center"/>
          </w:tcPr>
          <w:p w14:paraId="1FD69848" w14:textId="5EAF6DC3"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91"/>
                <w14:textFill>
                  <w14:solidFill>
                    <w14:srgbClr w14:val="000000">
                      <w14:alpha w14:val="100000"/>
                    </w14:srgbClr>
                  </w14:solidFill>
                </w14:textFill>
              </w:rPr>
              <w:t>|||</w:t>
            </w:r>
            <w:r w:rsidR="001F633E" w:rsidRPr="001F633E">
              <w:rPr>
                <w:color w:val="000000"/>
                <w:spacing w:val="1"/>
                <w:shd w:val="solid" w:color="000000" w:fill="000000"/>
                <w:fitText w:val="330" w:id="-663553791"/>
                <w14:textFill>
                  <w14:solidFill>
                    <w14:srgbClr w14:val="000000">
                      <w14:alpha w14:val="100000"/>
                    </w14:srgbClr>
                  </w14:solidFill>
                </w14:textFill>
              </w:rPr>
              <w:t>|</w:t>
            </w:r>
            <w:r w:rsidR="00266C94">
              <w:t xml:space="preserve"> </w:t>
            </w:r>
            <w:r w:rsidR="00266C94">
              <w:rPr>
                <w:vertAlign w:val="superscript"/>
              </w:rPr>
              <w:t>7</w:t>
            </w:r>
          </w:p>
        </w:tc>
      </w:tr>
      <w:tr w:rsidR="001B2571" w:rsidRPr="00DE19F7" w14:paraId="0E324578"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497BD88" w14:textId="77777777" w:rsidR="001B2571" w:rsidRPr="00AE372A" w:rsidRDefault="001B2571" w:rsidP="005D33F6">
            <w:pPr>
              <w:pStyle w:val="TableText0"/>
            </w:pPr>
            <w:r w:rsidRPr="00AE372A">
              <w:t>Net Cost to MBS</w:t>
            </w:r>
          </w:p>
        </w:tc>
        <w:tc>
          <w:tcPr>
            <w:tcW w:w="992" w:type="dxa"/>
            <w:tcBorders>
              <w:top w:val="nil"/>
              <w:left w:val="nil"/>
              <w:bottom w:val="single" w:sz="4" w:space="0" w:color="auto"/>
              <w:right w:val="single" w:sz="4" w:space="0" w:color="auto"/>
            </w:tcBorders>
            <w:shd w:val="clear" w:color="auto" w:fill="auto"/>
            <w:noWrap/>
            <w:vAlign w:val="center"/>
          </w:tcPr>
          <w:p w14:paraId="0C4EF076" w14:textId="3BF0E423"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90"/>
                <w14:textFill>
                  <w14:solidFill>
                    <w14:srgbClr w14:val="000000">
                      <w14:alpha w14:val="100000"/>
                    </w14:srgbClr>
                  </w14:solidFill>
                </w14:textFill>
              </w:rPr>
              <w:t>|||</w:t>
            </w:r>
            <w:r w:rsidR="001F633E" w:rsidRPr="001F633E">
              <w:rPr>
                <w:color w:val="000000"/>
                <w:spacing w:val="1"/>
                <w:shd w:val="solid" w:color="000000" w:fill="000000"/>
                <w:fitText w:val="330" w:id="-663553790"/>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4B6BA17A" w14:textId="22243073"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9"/>
                <w14:textFill>
                  <w14:solidFill>
                    <w14:srgbClr w14:val="000000">
                      <w14:alpha w14:val="100000"/>
                    </w14:srgbClr>
                  </w14:solidFill>
                </w14:textFill>
              </w:rPr>
              <w:t>|||</w:t>
            </w:r>
            <w:r w:rsidR="001F633E" w:rsidRPr="001F633E">
              <w:rPr>
                <w:color w:val="000000"/>
                <w:spacing w:val="1"/>
                <w:shd w:val="solid" w:color="000000" w:fill="000000"/>
                <w:fitText w:val="330" w:id="-663553789"/>
                <w14:textFill>
                  <w14:solidFill>
                    <w14:srgbClr w14:val="000000">
                      <w14:alpha w14:val="100000"/>
                    </w14:srgbClr>
                  </w14:solidFill>
                </w14:textFill>
              </w:rPr>
              <w:t>|</w:t>
            </w:r>
            <w:r w:rsidR="00266C94">
              <w:t xml:space="preserve"> </w:t>
            </w:r>
            <w:r w:rsidR="00266C94">
              <w:rPr>
                <w:vertAlign w:val="superscript"/>
              </w:rPr>
              <w:t>8</w:t>
            </w:r>
          </w:p>
        </w:tc>
        <w:tc>
          <w:tcPr>
            <w:tcW w:w="993" w:type="dxa"/>
            <w:tcBorders>
              <w:top w:val="nil"/>
              <w:left w:val="nil"/>
              <w:bottom w:val="single" w:sz="4" w:space="0" w:color="auto"/>
              <w:right w:val="single" w:sz="4" w:space="0" w:color="auto"/>
            </w:tcBorders>
            <w:shd w:val="clear" w:color="auto" w:fill="auto"/>
            <w:noWrap/>
            <w:vAlign w:val="center"/>
          </w:tcPr>
          <w:p w14:paraId="7B1EB183" w14:textId="1C135395"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8"/>
                <w14:textFill>
                  <w14:solidFill>
                    <w14:srgbClr w14:val="000000">
                      <w14:alpha w14:val="100000"/>
                    </w14:srgbClr>
                  </w14:solidFill>
                </w14:textFill>
              </w:rPr>
              <w:t>|||</w:t>
            </w:r>
            <w:r w:rsidR="001F633E" w:rsidRPr="001F633E">
              <w:rPr>
                <w:color w:val="000000"/>
                <w:spacing w:val="1"/>
                <w:shd w:val="solid" w:color="000000" w:fill="000000"/>
                <w:fitText w:val="330" w:id="-663553788"/>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638CF9E1" w14:textId="0C829F46"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7"/>
                <w14:textFill>
                  <w14:solidFill>
                    <w14:srgbClr w14:val="000000">
                      <w14:alpha w14:val="100000"/>
                    </w14:srgbClr>
                  </w14:solidFill>
                </w14:textFill>
              </w:rPr>
              <w:t>|||</w:t>
            </w:r>
            <w:r w:rsidR="001F633E" w:rsidRPr="001F633E">
              <w:rPr>
                <w:color w:val="000000"/>
                <w:spacing w:val="1"/>
                <w:shd w:val="solid" w:color="000000" w:fill="000000"/>
                <w:fitText w:val="330" w:id="-663553787"/>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325B205B" w14:textId="4205A8D5"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6"/>
                <w14:textFill>
                  <w14:solidFill>
                    <w14:srgbClr w14:val="000000">
                      <w14:alpha w14:val="100000"/>
                    </w14:srgbClr>
                  </w14:solidFill>
                </w14:textFill>
              </w:rPr>
              <w:t>|||</w:t>
            </w:r>
            <w:r w:rsidR="001F633E" w:rsidRPr="001F633E">
              <w:rPr>
                <w:color w:val="000000"/>
                <w:spacing w:val="1"/>
                <w:shd w:val="solid" w:color="000000" w:fill="000000"/>
                <w:fitText w:val="330" w:id="-663553786"/>
                <w14:textFill>
                  <w14:solidFill>
                    <w14:srgbClr w14:val="000000">
                      <w14:alpha w14:val="100000"/>
                    </w14:srgbClr>
                  </w14:solidFill>
                </w14:textFill>
              </w:rPr>
              <w:t>|</w:t>
            </w:r>
            <w:r w:rsidR="00266C94">
              <w:t xml:space="preserve"> </w:t>
            </w:r>
            <w:r w:rsidR="00266C94">
              <w:rPr>
                <w:vertAlign w:val="superscript"/>
              </w:rPr>
              <w:t>8</w:t>
            </w:r>
          </w:p>
        </w:tc>
        <w:tc>
          <w:tcPr>
            <w:tcW w:w="1055" w:type="dxa"/>
            <w:tcBorders>
              <w:top w:val="nil"/>
              <w:left w:val="nil"/>
              <w:bottom w:val="single" w:sz="4" w:space="0" w:color="auto"/>
              <w:right w:val="single" w:sz="4" w:space="0" w:color="auto"/>
            </w:tcBorders>
            <w:shd w:val="clear" w:color="auto" w:fill="auto"/>
            <w:noWrap/>
            <w:vAlign w:val="center"/>
          </w:tcPr>
          <w:p w14:paraId="6CF500F2" w14:textId="2F6E04E5"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5"/>
                <w14:textFill>
                  <w14:solidFill>
                    <w14:srgbClr w14:val="000000">
                      <w14:alpha w14:val="100000"/>
                    </w14:srgbClr>
                  </w14:solidFill>
                </w14:textFill>
              </w:rPr>
              <w:t>|||</w:t>
            </w:r>
            <w:r w:rsidR="001F633E" w:rsidRPr="001F633E">
              <w:rPr>
                <w:color w:val="000000"/>
                <w:spacing w:val="1"/>
                <w:shd w:val="solid" w:color="000000" w:fill="000000"/>
                <w:fitText w:val="330" w:id="-663553785"/>
                <w14:textFill>
                  <w14:solidFill>
                    <w14:srgbClr w14:val="000000">
                      <w14:alpha w14:val="100000"/>
                    </w14:srgbClr>
                  </w14:solidFill>
                </w14:textFill>
              </w:rPr>
              <w:t>|</w:t>
            </w:r>
            <w:r w:rsidR="00266C94">
              <w:t xml:space="preserve"> </w:t>
            </w:r>
            <w:r w:rsidR="00266C94">
              <w:rPr>
                <w:vertAlign w:val="superscript"/>
              </w:rPr>
              <w:t>8</w:t>
            </w:r>
          </w:p>
        </w:tc>
      </w:tr>
      <w:tr w:rsidR="001B2571" w:rsidRPr="00DE19F7" w14:paraId="1726C094"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99FC251" w14:textId="77777777" w:rsidR="001B2571" w:rsidRPr="00AE372A" w:rsidRDefault="001B2571" w:rsidP="005D33F6">
            <w:pPr>
              <w:pStyle w:val="TableText0"/>
            </w:pPr>
            <w:r w:rsidRPr="00AE372A">
              <w:rPr>
                <w:b/>
              </w:rPr>
              <w:t xml:space="preserve">Net Cost to Government </w:t>
            </w:r>
          </w:p>
        </w:tc>
        <w:tc>
          <w:tcPr>
            <w:tcW w:w="992" w:type="dxa"/>
            <w:tcBorders>
              <w:top w:val="nil"/>
              <w:left w:val="nil"/>
              <w:bottom w:val="single" w:sz="4" w:space="0" w:color="auto"/>
              <w:right w:val="single" w:sz="4" w:space="0" w:color="auto"/>
            </w:tcBorders>
            <w:shd w:val="clear" w:color="auto" w:fill="auto"/>
            <w:noWrap/>
            <w:vAlign w:val="center"/>
          </w:tcPr>
          <w:p w14:paraId="40EE8055" w14:textId="1CD6C574"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784"/>
                <w14:textFill>
                  <w14:solidFill>
                    <w14:srgbClr w14:val="000000">
                      <w14:alpha w14:val="100000"/>
                    </w14:srgbClr>
                  </w14:solidFill>
                </w14:textFill>
              </w:rPr>
              <w:t>|||</w:t>
            </w:r>
            <w:r w:rsidR="001F633E" w:rsidRPr="001F633E">
              <w:rPr>
                <w:b/>
                <w:color w:val="000000"/>
                <w:spacing w:val="3"/>
                <w:shd w:val="solid" w:color="000000" w:fill="000000"/>
                <w:fitText w:val="360" w:id="-663553784"/>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18BE0DBB" w14:textId="6835FE08"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783"/>
                <w14:textFill>
                  <w14:solidFill>
                    <w14:srgbClr w14:val="000000">
                      <w14:alpha w14:val="100000"/>
                    </w14:srgbClr>
                  </w14:solidFill>
                </w14:textFill>
              </w:rPr>
              <w:t>|||</w:t>
            </w:r>
            <w:r w:rsidR="001F633E" w:rsidRPr="001F633E">
              <w:rPr>
                <w:b/>
                <w:color w:val="000000"/>
                <w:spacing w:val="3"/>
                <w:shd w:val="solid" w:color="000000" w:fill="000000"/>
                <w:fitText w:val="360" w:id="-663553783"/>
                <w14:textFill>
                  <w14:solidFill>
                    <w14:srgbClr w14:val="000000">
                      <w14:alpha w14:val="100000"/>
                    </w14:srgbClr>
                  </w14:solidFill>
                </w14:textFill>
              </w:rPr>
              <w:t>|</w:t>
            </w:r>
            <w:r w:rsidR="00266C94">
              <w:t xml:space="preserve"> </w:t>
            </w:r>
            <w:r w:rsidR="00266C94">
              <w:rPr>
                <w:vertAlign w:val="superscript"/>
              </w:rPr>
              <w:t>7</w:t>
            </w:r>
          </w:p>
        </w:tc>
        <w:tc>
          <w:tcPr>
            <w:tcW w:w="993" w:type="dxa"/>
            <w:tcBorders>
              <w:top w:val="nil"/>
              <w:left w:val="nil"/>
              <w:bottom w:val="single" w:sz="4" w:space="0" w:color="auto"/>
              <w:right w:val="single" w:sz="4" w:space="0" w:color="auto"/>
            </w:tcBorders>
            <w:shd w:val="clear" w:color="auto" w:fill="auto"/>
            <w:noWrap/>
            <w:vAlign w:val="center"/>
          </w:tcPr>
          <w:p w14:paraId="4E217209" w14:textId="511D07CB"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782"/>
                <w14:textFill>
                  <w14:solidFill>
                    <w14:srgbClr w14:val="000000">
                      <w14:alpha w14:val="100000"/>
                    </w14:srgbClr>
                  </w14:solidFill>
                </w14:textFill>
              </w:rPr>
              <w:t>|||</w:t>
            </w:r>
            <w:r w:rsidR="001F633E" w:rsidRPr="001F633E">
              <w:rPr>
                <w:b/>
                <w:color w:val="000000"/>
                <w:spacing w:val="3"/>
                <w:shd w:val="solid" w:color="000000" w:fill="000000"/>
                <w:fitText w:val="360" w:id="-663553782"/>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74209876" w14:textId="59DB2B8C"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781"/>
                <w14:textFill>
                  <w14:solidFill>
                    <w14:srgbClr w14:val="000000">
                      <w14:alpha w14:val="100000"/>
                    </w14:srgbClr>
                  </w14:solidFill>
                </w14:textFill>
              </w:rPr>
              <w:t>|||</w:t>
            </w:r>
            <w:r w:rsidR="001F633E" w:rsidRPr="001F633E">
              <w:rPr>
                <w:b/>
                <w:color w:val="000000"/>
                <w:spacing w:val="3"/>
                <w:shd w:val="solid" w:color="000000" w:fill="000000"/>
                <w:fitText w:val="360" w:id="-663553781"/>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2185D4DD" w14:textId="6E64BB69"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780"/>
                <w14:textFill>
                  <w14:solidFill>
                    <w14:srgbClr w14:val="000000">
                      <w14:alpha w14:val="100000"/>
                    </w14:srgbClr>
                  </w14:solidFill>
                </w14:textFill>
              </w:rPr>
              <w:t>|||</w:t>
            </w:r>
            <w:r w:rsidR="001F633E" w:rsidRPr="001F633E">
              <w:rPr>
                <w:b/>
                <w:color w:val="000000"/>
                <w:spacing w:val="3"/>
                <w:shd w:val="solid" w:color="000000" w:fill="000000"/>
                <w:fitText w:val="360" w:id="-663553780"/>
                <w14:textFill>
                  <w14:solidFill>
                    <w14:srgbClr w14:val="000000">
                      <w14:alpha w14:val="100000"/>
                    </w14:srgbClr>
                  </w14:solidFill>
                </w14:textFill>
              </w:rPr>
              <w:t>|</w:t>
            </w:r>
            <w:r w:rsidR="00266C94">
              <w:t xml:space="preserve"> </w:t>
            </w:r>
            <w:r w:rsidR="00266C94">
              <w:rPr>
                <w:vertAlign w:val="superscript"/>
              </w:rPr>
              <w:t>7</w:t>
            </w:r>
          </w:p>
        </w:tc>
        <w:tc>
          <w:tcPr>
            <w:tcW w:w="1055" w:type="dxa"/>
            <w:tcBorders>
              <w:top w:val="nil"/>
              <w:left w:val="nil"/>
              <w:bottom w:val="single" w:sz="4" w:space="0" w:color="auto"/>
              <w:right w:val="single" w:sz="4" w:space="0" w:color="auto"/>
            </w:tcBorders>
            <w:shd w:val="clear" w:color="auto" w:fill="auto"/>
            <w:noWrap/>
            <w:vAlign w:val="center"/>
          </w:tcPr>
          <w:p w14:paraId="2643EEA4" w14:textId="32FA595A"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779"/>
                <w14:textFill>
                  <w14:solidFill>
                    <w14:srgbClr w14:val="000000">
                      <w14:alpha w14:val="100000"/>
                    </w14:srgbClr>
                  </w14:solidFill>
                </w14:textFill>
              </w:rPr>
              <w:t>|||</w:t>
            </w:r>
            <w:r w:rsidR="001F633E" w:rsidRPr="001F633E">
              <w:rPr>
                <w:b/>
                <w:color w:val="000000"/>
                <w:spacing w:val="3"/>
                <w:shd w:val="solid" w:color="000000" w:fill="000000"/>
                <w:fitText w:val="360" w:id="-663553779"/>
                <w14:textFill>
                  <w14:solidFill>
                    <w14:srgbClr w14:val="000000">
                      <w14:alpha w14:val="100000"/>
                    </w14:srgbClr>
                  </w14:solidFill>
                </w14:textFill>
              </w:rPr>
              <w:t>|</w:t>
            </w:r>
            <w:r w:rsidR="00266C94">
              <w:t xml:space="preserve"> </w:t>
            </w:r>
            <w:r w:rsidR="00266C94">
              <w:rPr>
                <w:vertAlign w:val="superscript"/>
              </w:rPr>
              <w:t>7</w:t>
            </w:r>
          </w:p>
        </w:tc>
      </w:tr>
      <w:tr w:rsidR="001B2571" w:rsidRPr="00DE19F7" w14:paraId="2F31C3BB" w14:textId="77777777" w:rsidTr="007561DF">
        <w:trPr>
          <w:trHeight w:val="20"/>
        </w:trPr>
        <w:tc>
          <w:tcPr>
            <w:tcW w:w="9130" w:type="dxa"/>
            <w:gridSpan w:val="7"/>
            <w:tcBorders>
              <w:top w:val="nil"/>
              <w:left w:val="single" w:sz="4" w:space="0" w:color="auto"/>
              <w:bottom w:val="single" w:sz="4" w:space="0" w:color="auto"/>
              <w:right w:val="single" w:sz="4" w:space="0" w:color="auto"/>
            </w:tcBorders>
            <w:shd w:val="clear" w:color="auto" w:fill="auto"/>
            <w:vAlign w:val="center"/>
            <w:hideMark/>
          </w:tcPr>
          <w:p w14:paraId="44B6ADAE" w14:textId="77777777" w:rsidR="001B2571" w:rsidRPr="00AE372A" w:rsidRDefault="001B2571" w:rsidP="005D33F6">
            <w:pPr>
              <w:pStyle w:val="TableText0"/>
              <w:rPr>
                <w:b/>
              </w:rPr>
            </w:pPr>
            <w:r w:rsidRPr="00AE372A">
              <w:rPr>
                <w:b/>
              </w:rPr>
              <w:t>SS2: Reduced comparator adherence</w:t>
            </w:r>
          </w:p>
        </w:tc>
      </w:tr>
      <w:tr w:rsidR="001B2571" w:rsidRPr="00DE19F7" w14:paraId="15B876DF"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2E9668" w14:textId="77777777" w:rsidR="001B2571" w:rsidRPr="00AE372A" w:rsidRDefault="001B2571" w:rsidP="005D33F6">
            <w:pPr>
              <w:pStyle w:val="TableText0"/>
            </w:pPr>
            <w:r w:rsidRPr="58C81D04">
              <w:t>Number of Ublituximab Rx</w:t>
            </w:r>
          </w:p>
        </w:tc>
        <w:tc>
          <w:tcPr>
            <w:tcW w:w="992" w:type="dxa"/>
            <w:tcBorders>
              <w:top w:val="nil"/>
              <w:left w:val="nil"/>
              <w:bottom w:val="single" w:sz="4" w:space="0" w:color="auto"/>
              <w:right w:val="single" w:sz="4" w:space="0" w:color="auto"/>
            </w:tcBorders>
            <w:shd w:val="clear" w:color="auto" w:fill="auto"/>
            <w:noWrap/>
            <w:vAlign w:val="center"/>
          </w:tcPr>
          <w:p w14:paraId="4D4CD378" w14:textId="15F43FBE" w:rsidR="001B2571" w:rsidRPr="00AE372A" w:rsidRDefault="001F633E" w:rsidP="005D33F6">
            <w:pPr>
              <w:pStyle w:val="TableText0"/>
              <w:jc w:val="center"/>
            </w:pPr>
            <w:r w:rsidRPr="001F633E">
              <w:rPr>
                <w:color w:val="000000"/>
                <w:spacing w:val="53"/>
                <w:shd w:val="solid" w:color="000000" w:fill="000000"/>
                <w:fitText w:val="330" w:id="-663553778"/>
                <w14:textFill>
                  <w14:solidFill>
                    <w14:srgbClr w14:val="000000">
                      <w14:alpha w14:val="100000"/>
                    </w14:srgbClr>
                  </w14:solidFill>
                </w14:textFill>
              </w:rPr>
              <w:t>|||</w:t>
            </w:r>
            <w:r w:rsidRPr="001F633E">
              <w:rPr>
                <w:color w:val="000000"/>
                <w:spacing w:val="1"/>
                <w:shd w:val="solid" w:color="000000" w:fill="000000"/>
                <w:fitText w:val="330" w:id="-663553778"/>
                <w14:textFill>
                  <w14:solidFill>
                    <w14:srgbClr w14:val="000000">
                      <w14:alpha w14:val="100000"/>
                    </w14:srgbClr>
                  </w14:solidFill>
                </w14:textFill>
              </w:rPr>
              <w:t>|</w:t>
            </w:r>
            <w:r w:rsidR="00266C94">
              <w:t xml:space="preserve"> </w:t>
            </w:r>
            <w:r w:rsidR="00266C94">
              <w:rPr>
                <w:vertAlign w:val="superscript"/>
              </w:rPr>
              <w:t>1</w:t>
            </w:r>
            <w:r w:rsidR="001B2571" w:rsidRPr="00AE372A">
              <w:t xml:space="preserve"> Rx</w:t>
            </w:r>
          </w:p>
        </w:tc>
        <w:tc>
          <w:tcPr>
            <w:tcW w:w="992" w:type="dxa"/>
            <w:tcBorders>
              <w:top w:val="nil"/>
              <w:left w:val="nil"/>
              <w:bottom w:val="single" w:sz="4" w:space="0" w:color="auto"/>
              <w:right w:val="single" w:sz="4" w:space="0" w:color="auto"/>
            </w:tcBorders>
            <w:shd w:val="clear" w:color="auto" w:fill="auto"/>
            <w:noWrap/>
            <w:vAlign w:val="center"/>
          </w:tcPr>
          <w:p w14:paraId="17598B92" w14:textId="4EABAA9C" w:rsidR="001B2571" w:rsidRPr="00AE372A" w:rsidRDefault="001F633E" w:rsidP="005D33F6">
            <w:pPr>
              <w:pStyle w:val="TableText0"/>
              <w:jc w:val="center"/>
            </w:pPr>
            <w:r w:rsidRPr="001F633E">
              <w:rPr>
                <w:color w:val="000000"/>
                <w:spacing w:val="53"/>
                <w:shd w:val="solid" w:color="000000" w:fill="000000"/>
                <w:fitText w:val="330" w:id="-663553777"/>
                <w14:textFill>
                  <w14:solidFill>
                    <w14:srgbClr w14:val="000000">
                      <w14:alpha w14:val="100000"/>
                    </w14:srgbClr>
                  </w14:solidFill>
                </w14:textFill>
              </w:rPr>
              <w:t>|||</w:t>
            </w:r>
            <w:r w:rsidRPr="001F633E">
              <w:rPr>
                <w:color w:val="000000"/>
                <w:spacing w:val="1"/>
                <w:shd w:val="solid" w:color="000000" w:fill="000000"/>
                <w:fitText w:val="330" w:id="-663553777"/>
                <w14:textFill>
                  <w14:solidFill>
                    <w14:srgbClr w14:val="000000">
                      <w14:alpha w14:val="100000"/>
                    </w14:srgbClr>
                  </w14:solidFill>
                </w14:textFill>
              </w:rPr>
              <w:t>|</w:t>
            </w:r>
            <w:r w:rsidR="00266C94">
              <w:t xml:space="preserve"> </w:t>
            </w:r>
            <w:r w:rsidR="00266C94">
              <w:rPr>
                <w:vertAlign w:val="superscript"/>
              </w:rPr>
              <w:t>1</w:t>
            </w:r>
            <w:r w:rsidR="001B2571" w:rsidRPr="00AE372A">
              <w:t xml:space="preserve"> Rx</w:t>
            </w:r>
          </w:p>
        </w:tc>
        <w:tc>
          <w:tcPr>
            <w:tcW w:w="993" w:type="dxa"/>
            <w:tcBorders>
              <w:top w:val="nil"/>
              <w:left w:val="nil"/>
              <w:bottom w:val="single" w:sz="4" w:space="0" w:color="auto"/>
              <w:right w:val="single" w:sz="4" w:space="0" w:color="auto"/>
            </w:tcBorders>
            <w:shd w:val="clear" w:color="auto" w:fill="auto"/>
            <w:noWrap/>
            <w:vAlign w:val="center"/>
          </w:tcPr>
          <w:p w14:paraId="614C25DF" w14:textId="72E673A0" w:rsidR="001B2571" w:rsidRPr="00AE372A" w:rsidRDefault="001F633E" w:rsidP="005D33F6">
            <w:pPr>
              <w:pStyle w:val="TableText0"/>
              <w:jc w:val="center"/>
            </w:pPr>
            <w:r w:rsidRPr="001F633E">
              <w:rPr>
                <w:color w:val="000000"/>
                <w:spacing w:val="53"/>
                <w:shd w:val="solid" w:color="000000" w:fill="000000"/>
                <w:fitText w:val="330" w:id="-663553776"/>
                <w14:textFill>
                  <w14:solidFill>
                    <w14:srgbClr w14:val="000000">
                      <w14:alpha w14:val="100000"/>
                    </w14:srgbClr>
                  </w14:solidFill>
                </w14:textFill>
              </w:rPr>
              <w:t>|||</w:t>
            </w:r>
            <w:r w:rsidRPr="001F633E">
              <w:rPr>
                <w:color w:val="000000"/>
                <w:spacing w:val="1"/>
                <w:shd w:val="solid" w:color="000000" w:fill="000000"/>
                <w:fitText w:val="330" w:id="-663553776"/>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992" w:type="dxa"/>
            <w:tcBorders>
              <w:top w:val="nil"/>
              <w:left w:val="nil"/>
              <w:bottom w:val="single" w:sz="4" w:space="0" w:color="auto"/>
              <w:right w:val="single" w:sz="4" w:space="0" w:color="auto"/>
            </w:tcBorders>
            <w:shd w:val="clear" w:color="auto" w:fill="auto"/>
            <w:noWrap/>
            <w:vAlign w:val="center"/>
          </w:tcPr>
          <w:p w14:paraId="4155C0F1" w14:textId="4186BD21" w:rsidR="001B2571" w:rsidRPr="00AE372A" w:rsidRDefault="001F633E" w:rsidP="005D33F6">
            <w:pPr>
              <w:pStyle w:val="TableText0"/>
              <w:jc w:val="center"/>
            </w:pPr>
            <w:r w:rsidRPr="001F633E">
              <w:rPr>
                <w:color w:val="000000"/>
                <w:spacing w:val="53"/>
                <w:shd w:val="solid" w:color="000000" w:fill="000000"/>
                <w:fitText w:val="330" w:id="-663553792"/>
                <w14:textFill>
                  <w14:solidFill>
                    <w14:srgbClr w14:val="000000">
                      <w14:alpha w14:val="100000"/>
                    </w14:srgbClr>
                  </w14:solidFill>
                </w14:textFill>
              </w:rPr>
              <w:t>|||</w:t>
            </w:r>
            <w:r w:rsidRPr="001F633E">
              <w:rPr>
                <w:color w:val="000000"/>
                <w:spacing w:val="1"/>
                <w:shd w:val="solid" w:color="000000" w:fill="000000"/>
                <w:fitText w:val="330" w:id="-663553792"/>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992" w:type="dxa"/>
            <w:tcBorders>
              <w:top w:val="nil"/>
              <w:left w:val="nil"/>
              <w:bottom w:val="single" w:sz="4" w:space="0" w:color="auto"/>
              <w:right w:val="single" w:sz="4" w:space="0" w:color="auto"/>
            </w:tcBorders>
            <w:shd w:val="clear" w:color="auto" w:fill="auto"/>
            <w:noWrap/>
            <w:vAlign w:val="center"/>
          </w:tcPr>
          <w:p w14:paraId="11D7AABB" w14:textId="252F9168" w:rsidR="001B2571" w:rsidRPr="00AE372A" w:rsidRDefault="001F633E" w:rsidP="005D33F6">
            <w:pPr>
              <w:pStyle w:val="TableText0"/>
              <w:jc w:val="center"/>
            </w:pPr>
            <w:r w:rsidRPr="001F633E">
              <w:rPr>
                <w:color w:val="000000"/>
                <w:spacing w:val="53"/>
                <w:shd w:val="solid" w:color="000000" w:fill="000000"/>
                <w:fitText w:val="330" w:id="-663553791"/>
                <w14:textFill>
                  <w14:solidFill>
                    <w14:srgbClr w14:val="000000">
                      <w14:alpha w14:val="100000"/>
                    </w14:srgbClr>
                  </w14:solidFill>
                </w14:textFill>
              </w:rPr>
              <w:t>|||</w:t>
            </w:r>
            <w:r w:rsidRPr="001F633E">
              <w:rPr>
                <w:color w:val="000000"/>
                <w:spacing w:val="1"/>
                <w:shd w:val="solid" w:color="000000" w:fill="000000"/>
                <w:fitText w:val="330" w:id="-663553791"/>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c>
          <w:tcPr>
            <w:tcW w:w="1055" w:type="dxa"/>
            <w:tcBorders>
              <w:top w:val="nil"/>
              <w:left w:val="nil"/>
              <w:bottom w:val="single" w:sz="4" w:space="0" w:color="auto"/>
              <w:right w:val="single" w:sz="4" w:space="0" w:color="auto"/>
            </w:tcBorders>
            <w:shd w:val="clear" w:color="auto" w:fill="auto"/>
            <w:noWrap/>
            <w:vAlign w:val="center"/>
          </w:tcPr>
          <w:p w14:paraId="19BD7EDC" w14:textId="163E7880" w:rsidR="001B2571" w:rsidRPr="00AE372A" w:rsidRDefault="001F633E" w:rsidP="005D33F6">
            <w:pPr>
              <w:pStyle w:val="TableText0"/>
              <w:jc w:val="center"/>
            </w:pPr>
            <w:r w:rsidRPr="001F633E">
              <w:rPr>
                <w:color w:val="000000"/>
                <w:spacing w:val="49"/>
                <w:shd w:val="solid" w:color="000000" w:fill="000000"/>
                <w:fitText w:val="320" w:id="-663553790"/>
                <w14:textFill>
                  <w14:solidFill>
                    <w14:srgbClr w14:val="000000">
                      <w14:alpha w14:val="100000"/>
                    </w14:srgbClr>
                  </w14:solidFill>
                </w14:textFill>
              </w:rPr>
              <w:t>|||</w:t>
            </w:r>
            <w:r w:rsidRPr="001F633E">
              <w:rPr>
                <w:color w:val="000000"/>
                <w:spacing w:val="3"/>
                <w:shd w:val="solid" w:color="000000" w:fill="000000"/>
                <w:fitText w:val="320" w:id="-663553790"/>
                <w14:textFill>
                  <w14:solidFill>
                    <w14:srgbClr w14:val="000000">
                      <w14:alpha w14:val="100000"/>
                    </w14:srgbClr>
                  </w14:solidFill>
                </w14:textFill>
              </w:rPr>
              <w:t>|</w:t>
            </w:r>
            <w:r w:rsidR="00266C94">
              <w:t xml:space="preserve"> </w:t>
            </w:r>
            <w:r w:rsidR="00266C94">
              <w:rPr>
                <w:vertAlign w:val="superscript"/>
              </w:rPr>
              <w:t>2</w:t>
            </w:r>
            <w:r w:rsidR="001B2571" w:rsidRPr="00AE372A">
              <w:t xml:space="preserve"> Rx</w:t>
            </w:r>
          </w:p>
        </w:tc>
      </w:tr>
      <w:tr w:rsidR="001B2571" w:rsidRPr="00DE19F7" w14:paraId="6FABACE3"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B4FE49" w14:textId="77777777" w:rsidR="001B2571" w:rsidRPr="00AE372A" w:rsidRDefault="001B2571" w:rsidP="005D33F6">
            <w:pPr>
              <w:pStyle w:val="TableText0"/>
            </w:pPr>
            <w:r w:rsidRPr="58C81D04">
              <w:t>Net Cost of Ublituximab to PBS/RPBS</w:t>
            </w:r>
          </w:p>
        </w:tc>
        <w:tc>
          <w:tcPr>
            <w:tcW w:w="992" w:type="dxa"/>
            <w:tcBorders>
              <w:top w:val="nil"/>
              <w:left w:val="nil"/>
              <w:bottom w:val="single" w:sz="4" w:space="0" w:color="auto"/>
              <w:right w:val="single" w:sz="4" w:space="0" w:color="auto"/>
            </w:tcBorders>
            <w:shd w:val="clear" w:color="auto" w:fill="auto"/>
            <w:noWrap/>
            <w:vAlign w:val="center"/>
          </w:tcPr>
          <w:p w14:paraId="1A8C15FB" w14:textId="1B9EC295"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9"/>
                <w14:textFill>
                  <w14:solidFill>
                    <w14:srgbClr w14:val="000000">
                      <w14:alpha w14:val="100000"/>
                    </w14:srgbClr>
                  </w14:solidFill>
                </w14:textFill>
              </w:rPr>
              <w:t>|||</w:t>
            </w:r>
            <w:r w:rsidR="001F633E" w:rsidRPr="001F633E">
              <w:rPr>
                <w:color w:val="000000"/>
                <w:spacing w:val="1"/>
                <w:shd w:val="solid" w:color="000000" w:fill="000000"/>
                <w:fitText w:val="330" w:id="-663553789"/>
                <w14:textFill>
                  <w14:solidFill>
                    <w14:srgbClr w14:val="000000">
                      <w14:alpha w14:val="100000"/>
                    </w14:srgbClr>
                  </w14:solidFill>
                </w14:textFill>
              </w:rPr>
              <w:t>|</w:t>
            </w:r>
            <w:r w:rsidR="00266C94">
              <w:t xml:space="preserve"> </w:t>
            </w:r>
            <w:r w:rsidR="00266C94">
              <w:rPr>
                <w:vertAlign w:val="superscript"/>
              </w:rPr>
              <w:t>3</w:t>
            </w:r>
          </w:p>
        </w:tc>
        <w:tc>
          <w:tcPr>
            <w:tcW w:w="992" w:type="dxa"/>
            <w:tcBorders>
              <w:top w:val="nil"/>
              <w:left w:val="nil"/>
              <w:bottom w:val="single" w:sz="4" w:space="0" w:color="auto"/>
              <w:right w:val="single" w:sz="4" w:space="0" w:color="auto"/>
            </w:tcBorders>
            <w:shd w:val="clear" w:color="auto" w:fill="auto"/>
            <w:noWrap/>
            <w:vAlign w:val="center"/>
          </w:tcPr>
          <w:p w14:paraId="0B340166" w14:textId="5AD3D6D2"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8"/>
                <w14:textFill>
                  <w14:solidFill>
                    <w14:srgbClr w14:val="000000">
                      <w14:alpha w14:val="100000"/>
                    </w14:srgbClr>
                  </w14:solidFill>
                </w14:textFill>
              </w:rPr>
              <w:t>|||</w:t>
            </w:r>
            <w:r w:rsidR="001F633E" w:rsidRPr="001F633E">
              <w:rPr>
                <w:color w:val="000000"/>
                <w:spacing w:val="1"/>
                <w:shd w:val="solid" w:color="000000" w:fill="000000"/>
                <w:fitText w:val="330" w:id="-663553788"/>
                <w14:textFill>
                  <w14:solidFill>
                    <w14:srgbClr w14:val="000000">
                      <w14:alpha w14:val="100000"/>
                    </w14:srgbClr>
                  </w14:solidFill>
                </w14:textFill>
              </w:rPr>
              <w:t>|</w:t>
            </w:r>
            <w:r w:rsidR="00266C94">
              <w:t xml:space="preserve"> </w:t>
            </w:r>
            <w:r w:rsidR="00266C94">
              <w:rPr>
                <w:vertAlign w:val="superscript"/>
              </w:rPr>
              <w:t>4</w:t>
            </w:r>
          </w:p>
        </w:tc>
        <w:tc>
          <w:tcPr>
            <w:tcW w:w="993" w:type="dxa"/>
            <w:tcBorders>
              <w:top w:val="nil"/>
              <w:left w:val="nil"/>
              <w:bottom w:val="single" w:sz="4" w:space="0" w:color="auto"/>
              <w:right w:val="single" w:sz="4" w:space="0" w:color="auto"/>
            </w:tcBorders>
            <w:shd w:val="clear" w:color="auto" w:fill="auto"/>
            <w:noWrap/>
            <w:vAlign w:val="center"/>
          </w:tcPr>
          <w:p w14:paraId="652656E8" w14:textId="5DCC2B81"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787"/>
                <w14:textFill>
                  <w14:solidFill>
                    <w14:srgbClr w14:val="000000">
                      <w14:alpha w14:val="100000"/>
                    </w14:srgbClr>
                  </w14:solidFill>
                </w14:textFill>
              </w:rPr>
              <w:t>|||</w:t>
            </w:r>
            <w:r w:rsidR="001F633E" w:rsidRPr="001F633E">
              <w:rPr>
                <w:color w:val="000000"/>
                <w:spacing w:val="1"/>
                <w:shd w:val="solid" w:color="000000" w:fill="000000"/>
                <w:fitText w:val="330" w:id="-663553787"/>
                <w14:textFill>
                  <w14:solidFill>
                    <w14:srgbClr w14:val="000000">
                      <w14:alpha w14:val="100000"/>
                    </w14:srgbClr>
                  </w14:solidFill>
                </w14:textFill>
              </w:rPr>
              <w:t>|</w:t>
            </w:r>
            <w:r w:rsidR="00266C94">
              <w:t xml:space="preserve"> </w:t>
            </w:r>
            <w:r w:rsidR="00266C94">
              <w:rPr>
                <w:vertAlign w:val="superscript"/>
              </w:rPr>
              <w:t>5</w:t>
            </w:r>
          </w:p>
        </w:tc>
        <w:tc>
          <w:tcPr>
            <w:tcW w:w="992" w:type="dxa"/>
            <w:tcBorders>
              <w:top w:val="nil"/>
              <w:left w:val="nil"/>
              <w:bottom w:val="single" w:sz="4" w:space="0" w:color="auto"/>
              <w:right w:val="single" w:sz="4" w:space="0" w:color="auto"/>
            </w:tcBorders>
            <w:shd w:val="clear" w:color="auto" w:fill="auto"/>
            <w:noWrap/>
            <w:vAlign w:val="center"/>
          </w:tcPr>
          <w:p w14:paraId="0AE0EC9C" w14:textId="400FB993"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6"/>
                <w14:textFill>
                  <w14:solidFill>
                    <w14:srgbClr w14:val="000000">
                      <w14:alpha w14:val="100000"/>
                    </w14:srgbClr>
                  </w14:solidFill>
                </w14:textFill>
              </w:rPr>
              <w:t>|||</w:t>
            </w:r>
            <w:r w:rsidR="001F633E" w:rsidRPr="001F633E">
              <w:rPr>
                <w:color w:val="000000"/>
                <w:spacing w:val="1"/>
                <w:shd w:val="solid" w:color="000000" w:fill="000000"/>
                <w:fitText w:val="330" w:id="-663553536"/>
                <w14:textFill>
                  <w14:solidFill>
                    <w14:srgbClr w14:val="000000">
                      <w14:alpha w14:val="100000"/>
                    </w14:srgbClr>
                  </w14:solidFill>
                </w14:textFill>
              </w:rPr>
              <w:t>|</w:t>
            </w:r>
            <w:r w:rsidR="00266C94">
              <w:t xml:space="preserve"> </w:t>
            </w:r>
            <w:r w:rsidR="00266C94">
              <w:rPr>
                <w:vertAlign w:val="superscript"/>
              </w:rPr>
              <w:t>6</w:t>
            </w:r>
          </w:p>
        </w:tc>
        <w:tc>
          <w:tcPr>
            <w:tcW w:w="992" w:type="dxa"/>
            <w:tcBorders>
              <w:top w:val="nil"/>
              <w:left w:val="nil"/>
              <w:bottom w:val="single" w:sz="4" w:space="0" w:color="auto"/>
              <w:right w:val="single" w:sz="4" w:space="0" w:color="auto"/>
            </w:tcBorders>
            <w:shd w:val="clear" w:color="auto" w:fill="auto"/>
            <w:noWrap/>
            <w:vAlign w:val="center"/>
          </w:tcPr>
          <w:p w14:paraId="71E1C67B" w14:textId="0198C6B9"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5"/>
                <w14:textFill>
                  <w14:solidFill>
                    <w14:srgbClr w14:val="000000">
                      <w14:alpha w14:val="100000"/>
                    </w14:srgbClr>
                  </w14:solidFill>
                </w14:textFill>
              </w:rPr>
              <w:t>|||</w:t>
            </w:r>
            <w:r w:rsidR="001F633E" w:rsidRPr="001F633E">
              <w:rPr>
                <w:color w:val="000000"/>
                <w:spacing w:val="1"/>
                <w:shd w:val="solid" w:color="000000" w:fill="000000"/>
                <w:fitText w:val="330" w:id="-663553535"/>
                <w14:textFill>
                  <w14:solidFill>
                    <w14:srgbClr w14:val="000000">
                      <w14:alpha w14:val="100000"/>
                    </w14:srgbClr>
                  </w14:solidFill>
                </w14:textFill>
              </w:rPr>
              <w:t>|</w:t>
            </w:r>
            <w:r w:rsidR="00266C94">
              <w:t xml:space="preserve"> </w:t>
            </w:r>
            <w:r w:rsidR="00266C94">
              <w:rPr>
                <w:vertAlign w:val="superscript"/>
              </w:rPr>
              <w:t>6</w:t>
            </w:r>
          </w:p>
        </w:tc>
        <w:tc>
          <w:tcPr>
            <w:tcW w:w="1055" w:type="dxa"/>
            <w:tcBorders>
              <w:top w:val="nil"/>
              <w:left w:val="nil"/>
              <w:bottom w:val="single" w:sz="4" w:space="0" w:color="auto"/>
              <w:right w:val="single" w:sz="4" w:space="0" w:color="auto"/>
            </w:tcBorders>
            <w:shd w:val="clear" w:color="auto" w:fill="auto"/>
            <w:noWrap/>
            <w:vAlign w:val="center"/>
          </w:tcPr>
          <w:p w14:paraId="7D884428" w14:textId="4B3B8160"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4"/>
                <w14:textFill>
                  <w14:solidFill>
                    <w14:srgbClr w14:val="000000">
                      <w14:alpha w14:val="100000"/>
                    </w14:srgbClr>
                  </w14:solidFill>
                </w14:textFill>
              </w:rPr>
              <w:t>|||</w:t>
            </w:r>
            <w:r w:rsidR="001F633E" w:rsidRPr="001F633E">
              <w:rPr>
                <w:color w:val="000000"/>
                <w:spacing w:val="1"/>
                <w:shd w:val="solid" w:color="000000" w:fill="000000"/>
                <w:fitText w:val="330" w:id="-663553534"/>
                <w14:textFill>
                  <w14:solidFill>
                    <w14:srgbClr w14:val="000000">
                      <w14:alpha w14:val="100000"/>
                    </w14:srgbClr>
                  </w14:solidFill>
                </w14:textFill>
              </w:rPr>
              <w:t>|</w:t>
            </w:r>
            <w:r w:rsidR="00266C94">
              <w:t xml:space="preserve"> </w:t>
            </w:r>
            <w:r w:rsidR="00266C94">
              <w:rPr>
                <w:vertAlign w:val="superscript"/>
              </w:rPr>
              <w:t>6</w:t>
            </w:r>
          </w:p>
        </w:tc>
      </w:tr>
      <w:tr w:rsidR="001B2571" w:rsidRPr="00DE19F7" w14:paraId="49073581"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8147222" w14:textId="77777777" w:rsidR="001B2571" w:rsidRPr="00AE372A" w:rsidRDefault="001B2571" w:rsidP="005D33F6">
            <w:pPr>
              <w:pStyle w:val="TableText0"/>
            </w:pPr>
            <w:r w:rsidRPr="00AE372A">
              <w:t>Net Savings to PBS/RPBS from displaced medications</w:t>
            </w:r>
          </w:p>
        </w:tc>
        <w:tc>
          <w:tcPr>
            <w:tcW w:w="992" w:type="dxa"/>
            <w:tcBorders>
              <w:top w:val="nil"/>
              <w:left w:val="nil"/>
              <w:bottom w:val="single" w:sz="4" w:space="0" w:color="auto"/>
              <w:right w:val="single" w:sz="4" w:space="0" w:color="auto"/>
            </w:tcBorders>
            <w:shd w:val="clear" w:color="auto" w:fill="auto"/>
            <w:noWrap/>
            <w:vAlign w:val="center"/>
          </w:tcPr>
          <w:p w14:paraId="336B4AF5" w14:textId="5312B67B"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3"/>
                <w14:textFill>
                  <w14:solidFill>
                    <w14:srgbClr w14:val="000000">
                      <w14:alpha w14:val="100000"/>
                    </w14:srgbClr>
                  </w14:solidFill>
                </w14:textFill>
              </w:rPr>
              <w:t>|||</w:t>
            </w:r>
            <w:r w:rsidR="001F633E" w:rsidRPr="001F633E">
              <w:rPr>
                <w:color w:val="000000"/>
                <w:spacing w:val="1"/>
                <w:shd w:val="solid" w:color="000000" w:fill="000000"/>
                <w:fitText w:val="330" w:id="-663553533"/>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36277338" w14:textId="35C6F559"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2"/>
                <w14:textFill>
                  <w14:solidFill>
                    <w14:srgbClr w14:val="000000">
                      <w14:alpha w14:val="100000"/>
                    </w14:srgbClr>
                  </w14:solidFill>
                </w14:textFill>
              </w:rPr>
              <w:t>|||</w:t>
            </w:r>
            <w:r w:rsidR="001F633E" w:rsidRPr="001F633E">
              <w:rPr>
                <w:color w:val="000000"/>
                <w:spacing w:val="1"/>
                <w:shd w:val="solid" w:color="000000" w:fill="000000"/>
                <w:fitText w:val="330" w:id="-663553532"/>
                <w14:textFill>
                  <w14:solidFill>
                    <w14:srgbClr w14:val="000000">
                      <w14:alpha w14:val="100000"/>
                    </w14:srgbClr>
                  </w14:solidFill>
                </w14:textFill>
              </w:rPr>
              <w:t>|</w:t>
            </w:r>
            <w:r w:rsidR="00266C94">
              <w:t xml:space="preserve"> </w:t>
            </w:r>
            <w:r w:rsidR="00266C94">
              <w:rPr>
                <w:vertAlign w:val="superscript"/>
              </w:rPr>
              <w:t>7</w:t>
            </w:r>
          </w:p>
        </w:tc>
        <w:tc>
          <w:tcPr>
            <w:tcW w:w="993" w:type="dxa"/>
            <w:tcBorders>
              <w:top w:val="nil"/>
              <w:left w:val="nil"/>
              <w:bottom w:val="single" w:sz="4" w:space="0" w:color="auto"/>
              <w:right w:val="single" w:sz="4" w:space="0" w:color="auto"/>
            </w:tcBorders>
            <w:shd w:val="clear" w:color="auto" w:fill="auto"/>
            <w:noWrap/>
            <w:vAlign w:val="center"/>
          </w:tcPr>
          <w:p w14:paraId="227BF97F" w14:textId="5AB9304A"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1"/>
                <w14:textFill>
                  <w14:solidFill>
                    <w14:srgbClr w14:val="000000">
                      <w14:alpha w14:val="100000"/>
                    </w14:srgbClr>
                  </w14:solidFill>
                </w14:textFill>
              </w:rPr>
              <w:t>|||</w:t>
            </w:r>
            <w:r w:rsidR="001F633E" w:rsidRPr="001F633E">
              <w:rPr>
                <w:color w:val="000000"/>
                <w:spacing w:val="1"/>
                <w:shd w:val="solid" w:color="000000" w:fill="000000"/>
                <w:fitText w:val="330" w:id="-663553531"/>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091F41ED" w14:textId="10B5A7B4"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0"/>
                <w14:textFill>
                  <w14:solidFill>
                    <w14:srgbClr w14:val="000000">
                      <w14:alpha w14:val="100000"/>
                    </w14:srgbClr>
                  </w14:solidFill>
                </w14:textFill>
              </w:rPr>
              <w:t>|||</w:t>
            </w:r>
            <w:r w:rsidR="001F633E" w:rsidRPr="001F633E">
              <w:rPr>
                <w:color w:val="000000"/>
                <w:spacing w:val="1"/>
                <w:shd w:val="solid" w:color="000000" w:fill="000000"/>
                <w:fitText w:val="330" w:id="-663553530"/>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0F30CAD6" w14:textId="11B7E3E3"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9"/>
                <w14:textFill>
                  <w14:solidFill>
                    <w14:srgbClr w14:val="000000">
                      <w14:alpha w14:val="100000"/>
                    </w14:srgbClr>
                  </w14:solidFill>
                </w14:textFill>
              </w:rPr>
              <w:t>|||</w:t>
            </w:r>
            <w:r w:rsidR="001F633E" w:rsidRPr="001F633E">
              <w:rPr>
                <w:color w:val="000000"/>
                <w:spacing w:val="1"/>
                <w:shd w:val="solid" w:color="000000" w:fill="000000"/>
                <w:fitText w:val="330" w:id="-663553529"/>
                <w14:textFill>
                  <w14:solidFill>
                    <w14:srgbClr w14:val="000000">
                      <w14:alpha w14:val="100000"/>
                    </w14:srgbClr>
                  </w14:solidFill>
                </w14:textFill>
              </w:rPr>
              <w:t>|</w:t>
            </w:r>
            <w:r w:rsidR="00266C94">
              <w:t xml:space="preserve"> </w:t>
            </w:r>
            <w:r w:rsidR="00266C94">
              <w:rPr>
                <w:vertAlign w:val="superscript"/>
              </w:rPr>
              <w:t>7</w:t>
            </w:r>
          </w:p>
        </w:tc>
        <w:tc>
          <w:tcPr>
            <w:tcW w:w="1055" w:type="dxa"/>
            <w:tcBorders>
              <w:top w:val="nil"/>
              <w:left w:val="nil"/>
              <w:bottom w:val="single" w:sz="4" w:space="0" w:color="auto"/>
              <w:right w:val="single" w:sz="4" w:space="0" w:color="auto"/>
            </w:tcBorders>
            <w:shd w:val="clear" w:color="auto" w:fill="auto"/>
            <w:noWrap/>
            <w:vAlign w:val="center"/>
          </w:tcPr>
          <w:p w14:paraId="5DE22DE3" w14:textId="297641BF"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8"/>
                <w14:textFill>
                  <w14:solidFill>
                    <w14:srgbClr w14:val="000000">
                      <w14:alpha w14:val="100000"/>
                    </w14:srgbClr>
                  </w14:solidFill>
                </w14:textFill>
              </w:rPr>
              <w:t>|||</w:t>
            </w:r>
            <w:r w:rsidR="001F633E" w:rsidRPr="001F633E">
              <w:rPr>
                <w:color w:val="000000"/>
                <w:spacing w:val="1"/>
                <w:shd w:val="solid" w:color="000000" w:fill="000000"/>
                <w:fitText w:val="330" w:id="-663553528"/>
                <w14:textFill>
                  <w14:solidFill>
                    <w14:srgbClr w14:val="000000">
                      <w14:alpha w14:val="100000"/>
                    </w14:srgbClr>
                  </w14:solidFill>
                </w14:textFill>
              </w:rPr>
              <w:t>|</w:t>
            </w:r>
            <w:r w:rsidR="00266C94">
              <w:t xml:space="preserve"> </w:t>
            </w:r>
            <w:r w:rsidR="00266C94">
              <w:rPr>
                <w:vertAlign w:val="superscript"/>
              </w:rPr>
              <w:t>7</w:t>
            </w:r>
          </w:p>
        </w:tc>
      </w:tr>
      <w:tr w:rsidR="001B2571" w:rsidRPr="00DE19F7" w14:paraId="55A6D155"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49C801D" w14:textId="77777777" w:rsidR="001B2571" w:rsidRPr="00AE372A" w:rsidRDefault="001B2571" w:rsidP="005D33F6">
            <w:pPr>
              <w:pStyle w:val="TableText0"/>
            </w:pPr>
            <w:r w:rsidRPr="00AE372A">
              <w:t>Net Cost to PBS/RPBS</w:t>
            </w:r>
          </w:p>
        </w:tc>
        <w:tc>
          <w:tcPr>
            <w:tcW w:w="992" w:type="dxa"/>
            <w:tcBorders>
              <w:top w:val="nil"/>
              <w:left w:val="nil"/>
              <w:bottom w:val="single" w:sz="4" w:space="0" w:color="auto"/>
              <w:right w:val="single" w:sz="4" w:space="0" w:color="auto"/>
            </w:tcBorders>
            <w:shd w:val="clear" w:color="auto" w:fill="auto"/>
            <w:noWrap/>
            <w:vAlign w:val="center"/>
          </w:tcPr>
          <w:p w14:paraId="72EBA1BD" w14:textId="14431537"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7"/>
                <w14:textFill>
                  <w14:solidFill>
                    <w14:srgbClr w14:val="000000">
                      <w14:alpha w14:val="100000"/>
                    </w14:srgbClr>
                  </w14:solidFill>
                </w14:textFill>
              </w:rPr>
              <w:t>|||</w:t>
            </w:r>
            <w:r w:rsidR="001F633E" w:rsidRPr="001F633E">
              <w:rPr>
                <w:color w:val="000000"/>
                <w:spacing w:val="1"/>
                <w:shd w:val="solid" w:color="000000" w:fill="000000"/>
                <w:fitText w:val="330" w:id="-663553527"/>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54A8BB42" w14:textId="4AAABA5F"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6"/>
                <w14:textFill>
                  <w14:solidFill>
                    <w14:srgbClr w14:val="000000">
                      <w14:alpha w14:val="100000"/>
                    </w14:srgbClr>
                  </w14:solidFill>
                </w14:textFill>
              </w:rPr>
              <w:t>|||</w:t>
            </w:r>
            <w:r w:rsidR="001F633E" w:rsidRPr="001F633E">
              <w:rPr>
                <w:color w:val="000000"/>
                <w:spacing w:val="1"/>
                <w:shd w:val="solid" w:color="000000" w:fill="000000"/>
                <w:fitText w:val="330" w:id="-663553526"/>
                <w14:textFill>
                  <w14:solidFill>
                    <w14:srgbClr w14:val="000000">
                      <w14:alpha w14:val="100000"/>
                    </w14:srgbClr>
                  </w14:solidFill>
                </w14:textFill>
              </w:rPr>
              <w:t>|</w:t>
            </w:r>
            <w:r w:rsidR="00266C94">
              <w:t xml:space="preserve"> </w:t>
            </w:r>
            <w:r w:rsidR="00266C94">
              <w:rPr>
                <w:vertAlign w:val="superscript"/>
              </w:rPr>
              <w:t>7</w:t>
            </w:r>
          </w:p>
        </w:tc>
        <w:tc>
          <w:tcPr>
            <w:tcW w:w="993" w:type="dxa"/>
            <w:tcBorders>
              <w:top w:val="nil"/>
              <w:left w:val="nil"/>
              <w:bottom w:val="single" w:sz="4" w:space="0" w:color="auto"/>
              <w:right w:val="single" w:sz="4" w:space="0" w:color="auto"/>
            </w:tcBorders>
            <w:shd w:val="clear" w:color="auto" w:fill="auto"/>
            <w:noWrap/>
            <w:vAlign w:val="center"/>
          </w:tcPr>
          <w:p w14:paraId="6824A685" w14:textId="3BC22EA4"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5"/>
                <w14:textFill>
                  <w14:solidFill>
                    <w14:srgbClr w14:val="000000">
                      <w14:alpha w14:val="100000"/>
                    </w14:srgbClr>
                  </w14:solidFill>
                </w14:textFill>
              </w:rPr>
              <w:t>|||</w:t>
            </w:r>
            <w:r w:rsidR="001F633E" w:rsidRPr="001F633E">
              <w:rPr>
                <w:color w:val="000000"/>
                <w:spacing w:val="1"/>
                <w:shd w:val="solid" w:color="000000" w:fill="000000"/>
                <w:fitText w:val="330" w:id="-663553525"/>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61152A76" w14:textId="4AA66E64"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4"/>
                <w14:textFill>
                  <w14:solidFill>
                    <w14:srgbClr w14:val="000000">
                      <w14:alpha w14:val="100000"/>
                    </w14:srgbClr>
                  </w14:solidFill>
                </w14:textFill>
              </w:rPr>
              <w:t>|||</w:t>
            </w:r>
            <w:r w:rsidR="001F633E" w:rsidRPr="001F633E">
              <w:rPr>
                <w:color w:val="000000"/>
                <w:spacing w:val="1"/>
                <w:shd w:val="solid" w:color="000000" w:fill="000000"/>
                <w:fitText w:val="330" w:id="-663553524"/>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040ACB29" w14:textId="3F21AD92"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3"/>
                <w14:textFill>
                  <w14:solidFill>
                    <w14:srgbClr w14:val="000000">
                      <w14:alpha w14:val="100000"/>
                    </w14:srgbClr>
                  </w14:solidFill>
                </w14:textFill>
              </w:rPr>
              <w:t>|||</w:t>
            </w:r>
            <w:r w:rsidR="001F633E" w:rsidRPr="001F633E">
              <w:rPr>
                <w:color w:val="000000"/>
                <w:spacing w:val="1"/>
                <w:shd w:val="solid" w:color="000000" w:fill="000000"/>
                <w:fitText w:val="330" w:id="-663553523"/>
                <w14:textFill>
                  <w14:solidFill>
                    <w14:srgbClr w14:val="000000">
                      <w14:alpha w14:val="100000"/>
                    </w14:srgbClr>
                  </w14:solidFill>
                </w14:textFill>
              </w:rPr>
              <w:t>|</w:t>
            </w:r>
            <w:r w:rsidR="00266C94">
              <w:t xml:space="preserve"> </w:t>
            </w:r>
            <w:r w:rsidR="00266C94">
              <w:rPr>
                <w:vertAlign w:val="superscript"/>
              </w:rPr>
              <w:t>7</w:t>
            </w:r>
          </w:p>
        </w:tc>
        <w:tc>
          <w:tcPr>
            <w:tcW w:w="1055" w:type="dxa"/>
            <w:tcBorders>
              <w:top w:val="nil"/>
              <w:left w:val="nil"/>
              <w:bottom w:val="single" w:sz="4" w:space="0" w:color="auto"/>
              <w:right w:val="single" w:sz="4" w:space="0" w:color="auto"/>
            </w:tcBorders>
            <w:shd w:val="clear" w:color="auto" w:fill="auto"/>
            <w:noWrap/>
            <w:vAlign w:val="center"/>
          </w:tcPr>
          <w:p w14:paraId="2D2092A7" w14:textId="107481A4"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2"/>
                <w14:textFill>
                  <w14:solidFill>
                    <w14:srgbClr w14:val="000000">
                      <w14:alpha w14:val="100000"/>
                    </w14:srgbClr>
                  </w14:solidFill>
                </w14:textFill>
              </w:rPr>
              <w:t>|||</w:t>
            </w:r>
            <w:r w:rsidR="001F633E" w:rsidRPr="001F633E">
              <w:rPr>
                <w:color w:val="000000"/>
                <w:spacing w:val="1"/>
                <w:shd w:val="solid" w:color="000000" w:fill="000000"/>
                <w:fitText w:val="330" w:id="-663553522"/>
                <w14:textFill>
                  <w14:solidFill>
                    <w14:srgbClr w14:val="000000">
                      <w14:alpha w14:val="100000"/>
                    </w14:srgbClr>
                  </w14:solidFill>
                </w14:textFill>
              </w:rPr>
              <w:t>|</w:t>
            </w:r>
            <w:r w:rsidR="00266C94">
              <w:t xml:space="preserve"> </w:t>
            </w:r>
            <w:r w:rsidR="00266C94">
              <w:rPr>
                <w:vertAlign w:val="superscript"/>
              </w:rPr>
              <w:t>7</w:t>
            </w:r>
          </w:p>
        </w:tc>
      </w:tr>
      <w:tr w:rsidR="001B2571" w:rsidRPr="00DE19F7" w14:paraId="358C9705"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B97A59" w14:textId="77777777" w:rsidR="001B2571" w:rsidRPr="00AE372A" w:rsidRDefault="001B2571" w:rsidP="005D33F6">
            <w:pPr>
              <w:pStyle w:val="TableText0"/>
            </w:pPr>
            <w:r w:rsidRPr="00AE372A">
              <w:t>Net Cost to MBS</w:t>
            </w:r>
          </w:p>
        </w:tc>
        <w:tc>
          <w:tcPr>
            <w:tcW w:w="992" w:type="dxa"/>
            <w:tcBorders>
              <w:top w:val="nil"/>
              <w:left w:val="nil"/>
              <w:bottom w:val="single" w:sz="4" w:space="0" w:color="auto"/>
              <w:right w:val="single" w:sz="4" w:space="0" w:color="auto"/>
            </w:tcBorders>
            <w:shd w:val="clear" w:color="auto" w:fill="auto"/>
            <w:noWrap/>
            <w:vAlign w:val="center"/>
          </w:tcPr>
          <w:p w14:paraId="1597ABAF" w14:textId="13EF6493"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1"/>
                <w14:textFill>
                  <w14:solidFill>
                    <w14:srgbClr w14:val="000000">
                      <w14:alpha w14:val="100000"/>
                    </w14:srgbClr>
                  </w14:solidFill>
                </w14:textFill>
              </w:rPr>
              <w:t>|||</w:t>
            </w:r>
            <w:r w:rsidR="001F633E" w:rsidRPr="001F633E">
              <w:rPr>
                <w:color w:val="000000"/>
                <w:spacing w:val="1"/>
                <w:shd w:val="solid" w:color="000000" w:fill="000000"/>
                <w:fitText w:val="330" w:id="-663553521"/>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76A21C15" w14:textId="145AEDD5"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20"/>
                <w14:textFill>
                  <w14:solidFill>
                    <w14:srgbClr w14:val="000000">
                      <w14:alpha w14:val="100000"/>
                    </w14:srgbClr>
                  </w14:solidFill>
                </w14:textFill>
              </w:rPr>
              <w:t>|||</w:t>
            </w:r>
            <w:r w:rsidR="001F633E" w:rsidRPr="001F633E">
              <w:rPr>
                <w:color w:val="000000"/>
                <w:spacing w:val="1"/>
                <w:shd w:val="solid" w:color="000000" w:fill="000000"/>
                <w:fitText w:val="330" w:id="-663553520"/>
                <w14:textFill>
                  <w14:solidFill>
                    <w14:srgbClr w14:val="000000">
                      <w14:alpha w14:val="100000"/>
                    </w14:srgbClr>
                  </w14:solidFill>
                </w14:textFill>
              </w:rPr>
              <w:t>|</w:t>
            </w:r>
            <w:r w:rsidR="00266C94">
              <w:t xml:space="preserve"> </w:t>
            </w:r>
            <w:r w:rsidR="00266C94">
              <w:rPr>
                <w:vertAlign w:val="superscript"/>
              </w:rPr>
              <w:t>8</w:t>
            </w:r>
          </w:p>
        </w:tc>
        <w:tc>
          <w:tcPr>
            <w:tcW w:w="993" w:type="dxa"/>
            <w:tcBorders>
              <w:top w:val="nil"/>
              <w:left w:val="nil"/>
              <w:bottom w:val="single" w:sz="4" w:space="0" w:color="auto"/>
              <w:right w:val="single" w:sz="4" w:space="0" w:color="auto"/>
            </w:tcBorders>
            <w:shd w:val="clear" w:color="auto" w:fill="auto"/>
            <w:noWrap/>
            <w:vAlign w:val="center"/>
          </w:tcPr>
          <w:p w14:paraId="441C44B8" w14:textId="285191DD"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6"/>
                <w14:textFill>
                  <w14:solidFill>
                    <w14:srgbClr w14:val="000000">
                      <w14:alpha w14:val="100000"/>
                    </w14:srgbClr>
                  </w14:solidFill>
                </w14:textFill>
              </w:rPr>
              <w:t>|||</w:t>
            </w:r>
            <w:r w:rsidR="001F633E" w:rsidRPr="001F633E">
              <w:rPr>
                <w:color w:val="000000"/>
                <w:spacing w:val="1"/>
                <w:shd w:val="solid" w:color="000000" w:fill="000000"/>
                <w:fitText w:val="330" w:id="-663553536"/>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0B8520B0" w14:textId="29E654DF"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5"/>
                <w14:textFill>
                  <w14:solidFill>
                    <w14:srgbClr w14:val="000000">
                      <w14:alpha w14:val="100000"/>
                    </w14:srgbClr>
                  </w14:solidFill>
                </w14:textFill>
              </w:rPr>
              <w:t>|||</w:t>
            </w:r>
            <w:r w:rsidR="001F633E" w:rsidRPr="001F633E">
              <w:rPr>
                <w:color w:val="000000"/>
                <w:spacing w:val="1"/>
                <w:shd w:val="solid" w:color="000000" w:fill="000000"/>
                <w:fitText w:val="330" w:id="-663553535"/>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0D43AB40" w14:textId="474E0D88"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4"/>
                <w14:textFill>
                  <w14:solidFill>
                    <w14:srgbClr w14:val="000000">
                      <w14:alpha w14:val="100000"/>
                    </w14:srgbClr>
                  </w14:solidFill>
                </w14:textFill>
              </w:rPr>
              <w:t>|||</w:t>
            </w:r>
            <w:r w:rsidR="001F633E" w:rsidRPr="001F633E">
              <w:rPr>
                <w:color w:val="000000"/>
                <w:spacing w:val="1"/>
                <w:shd w:val="solid" w:color="000000" w:fill="000000"/>
                <w:fitText w:val="330" w:id="-663553534"/>
                <w14:textFill>
                  <w14:solidFill>
                    <w14:srgbClr w14:val="000000">
                      <w14:alpha w14:val="100000"/>
                    </w14:srgbClr>
                  </w14:solidFill>
                </w14:textFill>
              </w:rPr>
              <w:t>|</w:t>
            </w:r>
            <w:r w:rsidR="00266C94">
              <w:t xml:space="preserve"> </w:t>
            </w:r>
            <w:r w:rsidR="00266C94">
              <w:rPr>
                <w:vertAlign w:val="superscript"/>
              </w:rPr>
              <w:t>8</w:t>
            </w:r>
          </w:p>
        </w:tc>
        <w:tc>
          <w:tcPr>
            <w:tcW w:w="1055" w:type="dxa"/>
            <w:tcBorders>
              <w:top w:val="nil"/>
              <w:left w:val="nil"/>
              <w:bottom w:val="single" w:sz="4" w:space="0" w:color="auto"/>
              <w:right w:val="single" w:sz="4" w:space="0" w:color="auto"/>
            </w:tcBorders>
            <w:shd w:val="clear" w:color="auto" w:fill="auto"/>
            <w:noWrap/>
            <w:vAlign w:val="center"/>
          </w:tcPr>
          <w:p w14:paraId="780D6946" w14:textId="7A97A85F" w:rsidR="001B2571" w:rsidRPr="00AE372A" w:rsidRDefault="001B2571" w:rsidP="005D33F6">
            <w:pPr>
              <w:pStyle w:val="TableText0"/>
              <w:jc w:val="center"/>
            </w:pPr>
            <w:r w:rsidRPr="00AE372A">
              <w:t>$</w:t>
            </w:r>
            <w:r w:rsidR="001F633E" w:rsidRPr="001F633E">
              <w:rPr>
                <w:color w:val="000000"/>
                <w:spacing w:val="53"/>
                <w:shd w:val="solid" w:color="000000" w:fill="000000"/>
                <w:fitText w:val="330" w:id="-663553533"/>
                <w14:textFill>
                  <w14:solidFill>
                    <w14:srgbClr w14:val="000000">
                      <w14:alpha w14:val="100000"/>
                    </w14:srgbClr>
                  </w14:solidFill>
                </w14:textFill>
              </w:rPr>
              <w:t>|||</w:t>
            </w:r>
            <w:r w:rsidR="001F633E" w:rsidRPr="001F633E">
              <w:rPr>
                <w:color w:val="000000"/>
                <w:spacing w:val="1"/>
                <w:shd w:val="solid" w:color="000000" w:fill="000000"/>
                <w:fitText w:val="330" w:id="-663553533"/>
                <w14:textFill>
                  <w14:solidFill>
                    <w14:srgbClr w14:val="000000">
                      <w14:alpha w14:val="100000"/>
                    </w14:srgbClr>
                  </w14:solidFill>
                </w14:textFill>
              </w:rPr>
              <w:t>|</w:t>
            </w:r>
            <w:r w:rsidR="00266C94">
              <w:t xml:space="preserve"> </w:t>
            </w:r>
            <w:r w:rsidR="00266C94">
              <w:rPr>
                <w:vertAlign w:val="superscript"/>
              </w:rPr>
              <w:t>8</w:t>
            </w:r>
          </w:p>
        </w:tc>
      </w:tr>
      <w:tr w:rsidR="001B2571" w:rsidRPr="00DE19F7" w14:paraId="33697104" w14:textId="77777777" w:rsidTr="007561DF">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D8A6691" w14:textId="77777777" w:rsidR="001B2571" w:rsidRPr="00AE372A" w:rsidRDefault="001B2571" w:rsidP="005D33F6">
            <w:pPr>
              <w:pStyle w:val="TableText0"/>
            </w:pPr>
            <w:r w:rsidRPr="00AE372A">
              <w:rPr>
                <w:b/>
              </w:rPr>
              <w:t xml:space="preserve">Net Cost to Government </w:t>
            </w:r>
          </w:p>
        </w:tc>
        <w:tc>
          <w:tcPr>
            <w:tcW w:w="992" w:type="dxa"/>
            <w:tcBorders>
              <w:top w:val="nil"/>
              <w:left w:val="nil"/>
              <w:bottom w:val="single" w:sz="4" w:space="0" w:color="auto"/>
              <w:right w:val="single" w:sz="4" w:space="0" w:color="auto"/>
            </w:tcBorders>
            <w:shd w:val="clear" w:color="auto" w:fill="auto"/>
            <w:noWrap/>
            <w:vAlign w:val="center"/>
          </w:tcPr>
          <w:p w14:paraId="718DBB03" w14:textId="1B06FC10"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532"/>
                <w14:textFill>
                  <w14:solidFill>
                    <w14:srgbClr w14:val="000000">
                      <w14:alpha w14:val="100000"/>
                    </w14:srgbClr>
                  </w14:solidFill>
                </w14:textFill>
              </w:rPr>
              <w:t>|||</w:t>
            </w:r>
            <w:r w:rsidR="001F633E" w:rsidRPr="001F633E">
              <w:rPr>
                <w:b/>
                <w:color w:val="000000"/>
                <w:spacing w:val="3"/>
                <w:shd w:val="solid" w:color="000000" w:fill="000000"/>
                <w:fitText w:val="360" w:id="-663553532"/>
                <w14:textFill>
                  <w14:solidFill>
                    <w14:srgbClr w14:val="000000">
                      <w14:alpha w14:val="100000"/>
                    </w14:srgbClr>
                  </w14:solidFill>
                </w14:textFill>
              </w:rPr>
              <w:t>|</w:t>
            </w:r>
            <w:r w:rsidR="00266C94">
              <w:t xml:space="preserve"> </w:t>
            </w:r>
            <w:r w:rsidR="00266C94">
              <w:rPr>
                <w:vertAlign w:val="superscript"/>
              </w:rPr>
              <w:t>8</w:t>
            </w:r>
          </w:p>
        </w:tc>
        <w:tc>
          <w:tcPr>
            <w:tcW w:w="992" w:type="dxa"/>
            <w:tcBorders>
              <w:top w:val="nil"/>
              <w:left w:val="nil"/>
              <w:bottom w:val="single" w:sz="4" w:space="0" w:color="auto"/>
              <w:right w:val="single" w:sz="4" w:space="0" w:color="auto"/>
            </w:tcBorders>
            <w:shd w:val="clear" w:color="auto" w:fill="auto"/>
            <w:noWrap/>
            <w:vAlign w:val="center"/>
          </w:tcPr>
          <w:p w14:paraId="654C6955" w14:textId="27229902"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531"/>
                <w14:textFill>
                  <w14:solidFill>
                    <w14:srgbClr w14:val="000000">
                      <w14:alpha w14:val="100000"/>
                    </w14:srgbClr>
                  </w14:solidFill>
                </w14:textFill>
              </w:rPr>
              <w:t>|||</w:t>
            </w:r>
            <w:r w:rsidR="001F633E" w:rsidRPr="001F633E">
              <w:rPr>
                <w:b/>
                <w:color w:val="000000"/>
                <w:spacing w:val="3"/>
                <w:shd w:val="solid" w:color="000000" w:fill="000000"/>
                <w:fitText w:val="360" w:id="-663553531"/>
                <w14:textFill>
                  <w14:solidFill>
                    <w14:srgbClr w14:val="000000">
                      <w14:alpha w14:val="100000"/>
                    </w14:srgbClr>
                  </w14:solidFill>
                </w14:textFill>
              </w:rPr>
              <w:t>|</w:t>
            </w:r>
            <w:r w:rsidR="00266C94">
              <w:t xml:space="preserve"> </w:t>
            </w:r>
            <w:r w:rsidR="00266C94">
              <w:rPr>
                <w:vertAlign w:val="superscript"/>
              </w:rPr>
              <w:t>7</w:t>
            </w:r>
          </w:p>
        </w:tc>
        <w:tc>
          <w:tcPr>
            <w:tcW w:w="993" w:type="dxa"/>
            <w:tcBorders>
              <w:top w:val="nil"/>
              <w:left w:val="nil"/>
              <w:bottom w:val="single" w:sz="4" w:space="0" w:color="auto"/>
              <w:right w:val="single" w:sz="4" w:space="0" w:color="auto"/>
            </w:tcBorders>
            <w:shd w:val="clear" w:color="auto" w:fill="auto"/>
            <w:noWrap/>
            <w:vAlign w:val="center"/>
          </w:tcPr>
          <w:p w14:paraId="3F71DCD6" w14:textId="6D034578"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530"/>
                <w14:textFill>
                  <w14:solidFill>
                    <w14:srgbClr w14:val="000000">
                      <w14:alpha w14:val="100000"/>
                    </w14:srgbClr>
                  </w14:solidFill>
                </w14:textFill>
              </w:rPr>
              <w:t>|||</w:t>
            </w:r>
            <w:r w:rsidR="001F633E" w:rsidRPr="001F633E">
              <w:rPr>
                <w:b/>
                <w:color w:val="000000"/>
                <w:spacing w:val="3"/>
                <w:shd w:val="solid" w:color="000000" w:fill="000000"/>
                <w:fitText w:val="360" w:id="-663553530"/>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0E31DA5B" w14:textId="3632C78C"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529"/>
                <w14:textFill>
                  <w14:solidFill>
                    <w14:srgbClr w14:val="000000">
                      <w14:alpha w14:val="100000"/>
                    </w14:srgbClr>
                  </w14:solidFill>
                </w14:textFill>
              </w:rPr>
              <w:t>|||</w:t>
            </w:r>
            <w:r w:rsidR="001F633E" w:rsidRPr="001F633E">
              <w:rPr>
                <w:b/>
                <w:color w:val="000000"/>
                <w:spacing w:val="3"/>
                <w:shd w:val="solid" w:color="000000" w:fill="000000"/>
                <w:fitText w:val="360" w:id="-663553529"/>
                <w14:textFill>
                  <w14:solidFill>
                    <w14:srgbClr w14:val="000000">
                      <w14:alpha w14:val="100000"/>
                    </w14:srgbClr>
                  </w14:solidFill>
                </w14:textFill>
              </w:rPr>
              <w:t>|</w:t>
            </w:r>
            <w:r w:rsidR="00266C94">
              <w:t xml:space="preserve"> </w:t>
            </w:r>
            <w:r w:rsidR="00266C94">
              <w:rPr>
                <w:vertAlign w:val="superscript"/>
              </w:rPr>
              <w:t>7</w:t>
            </w:r>
          </w:p>
        </w:tc>
        <w:tc>
          <w:tcPr>
            <w:tcW w:w="992" w:type="dxa"/>
            <w:tcBorders>
              <w:top w:val="nil"/>
              <w:left w:val="nil"/>
              <w:bottom w:val="single" w:sz="4" w:space="0" w:color="auto"/>
              <w:right w:val="single" w:sz="4" w:space="0" w:color="auto"/>
            </w:tcBorders>
            <w:shd w:val="clear" w:color="auto" w:fill="auto"/>
            <w:noWrap/>
            <w:vAlign w:val="center"/>
          </w:tcPr>
          <w:p w14:paraId="29929C04" w14:textId="1CA37F0C"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528"/>
                <w14:textFill>
                  <w14:solidFill>
                    <w14:srgbClr w14:val="000000">
                      <w14:alpha w14:val="100000"/>
                    </w14:srgbClr>
                  </w14:solidFill>
                </w14:textFill>
              </w:rPr>
              <w:t>|||</w:t>
            </w:r>
            <w:r w:rsidR="001F633E" w:rsidRPr="001F633E">
              <w:rPr>
                <w:b/>
                <w:color w:val="000000"/>
                <w:spacing w:val="3"/>
                <w:shd w:val="solid" w:color="000000" w:fill="000000"/>
                <w:fitText w:val="360" w:id="-663553528"/>
                <w14:textFill>
                  <w14:solidFill>
                    <w14:srgbClr w14:val="000000">
                      <w14:alpha w14:val="100000"/>
                    </w14:srgbClr>
                  </w14:solidFill>
                </w14:textFill>
              </w:rPr>
              <w:t>|</w:t>
            </w:r>
            <w:r w:rsidR="00266C94">
              <w:t xml:space="preserve"> </w:t>
            </w:r>
            <w:r w:rsidR="00266C94">
              <w:rPr>
                <w:vertAlign w:val="superscript"/>
              </w:rPr>
              <w:t>7</w:t>
            </w:r>
          </w:p>
        </w:tc>
        <w:tc>
          <w:tcPr>
            <w:tcW w:w="1055" w:type="dxa"/>
            <w:tcBorders>
              <w:top w:val="nil"/>
              <w:left w:val="nil"/>
              <w:bottom w:val="single" w:sz="4" w:space="0" w:color="auto"/>
              <w:right w:val="single" w:sz="4" w:space="0" w:color="auto"/>
            </w:tcBorders>
            <w:shd w:val="clear" w:color="auto" w:fill="auto"/>
            <w:noWrap/>
            <w:vAlign w:val="center"/>
          </w:tcPr>
          <w:p w14:paraId="78781FD0" w14:textId="3AA2FBFC" w:rsidR="001B2571" w:rsidRPr="00AE372A" w:rsidRDefault="001B2571" w:rsidP="005D33F6">
            <w:pPr>
              <w:pStyle w:val="TableText0"/>
              <w:jc w:val="center"/>
              <w:rPr>
                <w:b/>
              </w:rPr>
            </w:pPr>
            <w:r w:rsidRPr="00AE372A">
              <w:rPr>
                <w:b/>
              </w:rPr>
              <w:t>-$</w:t>
            </w:r>
            <w:r w:rsidR="001F633E" w:rsidRPr="001F633E">
              <w:rPr>
                <w:b/>
                <w:color w:val="000000"/>
                <w:spacing w:val="58"/>
                <w:shd w:val="solid" w:color="000000" w:fill="000000"/>
                <w:fitText w:val="360" w:id="-663553527"/>
                <w14:textFill>
                  <w14:solidFill>
                    <w14:srgbClr w14:val="000000">
                      <w14:alpha w14:val="100000"/>
                    </w14:srgbClr>
                  </w14:solidFill>
                </w14:textFill>
              </w:rPr>
              <w:t>|||</w:t>
            </w:r>
            <w:r w:rsidR="001F633E" w:rsidRPr="001F633E">
              <w:rPr>
                <w:b/>
                <w:color w:val="000000"/>
                <w:spacing w:val="3"/>
                <w:shd w:val="solid" w:color="000000" w:fill="000000"/>
                <w:fitText w:val="360" w:id="-663553527"/>
                <w14:textFill>
                  <w14:solidFill>
                    <w14:srgbClr w14:val="000000">
                      <w14:alpha w14:val="100000"/>
                    </w14:srgbClr>
                  </w14:solidFill>
                </w14:textFill>
              </w:rPr>
              <w:t>|</w:t>
            </w:r>
            <w:r w:rsidR="00266C94">
              <w:t xml:space="preserve"> </w:t>
            </w:r>
            <w:r w:rsidR="00266C94">
              <w:rPr>
                <w:vertAlign w:val="superscript"/>
              </w:rPr>
              <w:t>7</w:t>
            </w:r>
          </w:p>
        </w:tc>
      </w:tr>
    </w:tbl>
    <w:p w14:paraId="2994A4BC" w14:textId="5B1FBA52" w:rsidR="00925C9D" w:rsidRDefault="00AE372A" w:rsidP="00266C94">
      <w:pPr>
        <w:pStyle w:val="TableFooter"/>
      </w:pPr>
      <w:r>
        <w:t>Source: Table 4.17, p196 of the submission.</w:t>
      </w:r>
    </w:p>
    <w:p w14:paraId="7BFD92C7" w14:textId="77777777" w:rsidR="00925C9D" w:rsidRPr="009A6D58" w:rsidRDefault="00925C9D" w:rsidP="00925C9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9F4D4C7" w14:textId="51782B8C" w:rsidR="00925C9D" w:rsidRPr="009A6D58" w:rsidRDefault="00925C9D" w:rsidP="00925C9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AF2118" w:rsidRPr="00AF2118">
        <w:rPr>
          <w:rFonts w:ascii="Arial Narrow" w:hAnsi="Arial Narrow"/>
          <w:i/>
          <w:sz w:val="18"/>
          <w:szCs w:val="18"/>
        </w:rPr>
        <w:t>500 to &lt; 5,000</w:t>
      </w:r>
    </w:p>
    <w:p w14:paraId="5093B321" w14:textId="6E80B940" w:rsidR="00925C9D" w:rsidRPr="009A6D58" w:rsidRDefault="00925C9D" w:rsidP="00925C9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875375" w:rsidRPr="00875375">
        <w:rPr>
          <w:rFonts w:ascii="Arial Narrow" w:hAnsi="Arial Narrow"/>
          <w:i/>
          <w:sz w:val="18"/>
          <w:szCs w:val="18"/>
        </w:rPr>
        <w:t>5,000 to &lt; 10,000</w:t>
      </w:r>
    </w:p>
    <w:p w14:paraId="4D4BD4DA" w14:textId="7AF938EB" w:rsidR="00925C9D" w:rsidRDefault="00925C9D" w:rsidP="00925C9D">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F768A6" w:rsidRPr="00F768A6">
        <w:rPr>
          <w:rFonts w:ascii="Arial Narrow" w:hAnsi="Arial Narrow"/>
          <w:i/>
          <w:sz w:val="18"/>
          <w:szCs w:val="18"/>
        </w:rPr>
        <w:t>$30 million to &lt; $40 million</w:t>
      </w:r>
    </w:p>
    <w:p w14:paraId="71317D31" w14:textId="2830FEE4" w:rsidR="00925C9D" w:rsidRDefault="00925C9D" w:rsidP="00925C9D">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583DA7" w:rsidRPr="00583DA7">
        <w:rPr>
          <w:rFonts w:ascii="Arial Narrow" w:hAnsi="Arial Narrow"/>
          <w:i/>
          <w:sz w:val="18"/>
          <w:szCs w:val="18"/>
        </w:rPr>
        <w:t>$60 million to &lt; $70 million</w:t>
      </w:r>
    </w:p>
    <w:p w14:paraId="129CC461" w14:textId="3AF3FC3E" w:rsidR="00925C9D" w:rsidRDefault="00925C9D" w:rsidP="00925C9D">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542FEE" w:rsidRPr="00542FEE">
        <w:rPr>
          <w:rFonts w:ascii="Arial Narrow" w:hAnsi="Arial Narrow"/>
          <w:i/>
          <w:sz w:val="18"/>
          <w:szCs w:val="18"/>
        </w:rPr>
        <w:t>$90 million to &lt; $100 million</w:t>
      </w:r>
    </w:p>
    <w:p w14:paraId="23266F38" w14:textId="4D8C198A" w:rsidR="00925C9D" w:rsidRDefault="00925C9D" w:rsidP="00925C9D">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D30500" w:rsidRPr="00D30500">
        <w:rPr>
          <w:rFonts w:ascii="Arial Narrow" w:hAnsi="Arial Narrow"/>
          <w:i/>
          <w:sz w:val="18"/>
          <w:szCs w:val="18"/>
        </w:rPr>
        <w:t>$100 million to &lt; $200 million</w:t>
      </w:r>
    </w:p>
    <w:p w14:paraId="148570BE" w14:textId="5BBA566E" w:rsidR="00925C9D" w:rsidRPr="009A6D58" w:rsidRDefault="00925C9D" w:rsidP="00925C9D">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1509BA" w:rsidRPr="001509BA">
        <w:rPr>
          <w:rFonts w:ascii="Arial Narrow" w:hAnsi="Arial Narrow"/>
          <w:i/>
          <w:sz w:val="18"/>
          <w:szCs w:val="18"/>
        </w:rPr>
        <w:t>net cost saving</w:t>
      </w:r>
    </w:p>
    <w:p w14:paraId="5E42E1BE" w14:textId="69E30FD2" w:rsidR="00925C9D" w:rsidRPr="009A6D58" w:rsidRDefault="00925C9D" w:rsidP="00925C9D">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110FF5" w:rsidRPr="00110FF5">
        <w:rPr>
          <w:rFonts w:ascii="Arial Narrow" w:hAnsi="Arial Narrow"/>
          <w:i/>
          <w:sz w:val="18"/>
          <w:szCs w:val="18"/>
        </w:rPr>
        <w:t>$0 to &lt; $10 million</w:t>
      </w:r>
    </w:p>
    <w:p w14:paraId="46DB231E" w14:textId="1880C289" w:rsidR="00925C9D" w:rsidRDefault="00925C9D" w:rsidP="00925C9D">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4F494A" w:rsidRPr="004F494A">
        <w:rPr>
          <w:rFonts w:ascii="Arial Narrow" w:hAnsi="Arial Narrow"/>
          <w:i/>
          <w:sz w:val="18"/>
          <w:szCs w:val="18"/>
        </w:rPr>
        <w:t>10,000 to &lt; 20,000</w:t>
      </w:r>
    </w:p>
    <w:p w14:paraId="5FDF21B8" w14:textId="36F6D02B" w:rsidR="00925C9D" w:rsidRDefault="00925C9D" w:rsidP="00925C9D">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CE507A" w:rsidRPr="00CE507A">
        <w:rPr>
          <w:rFonts w:ascii="Arial Narrow" w:hAnsi="Arial Narrow"/>
          <w:i/>
          <w:sz w:val="18"/>
          <w:szCs w:val="18"/>
        </w:rPr>
        <w:t>$40 million to &lt; $50 million</w:t>
      </w:r>
    </w:p>
    <w:p w14:paraId="18D9FC04" w14:textId="64DA5949" w:rsidR="00925C9D" w:rsidRPr="00925C9D" w:rsidRDefault="00925C9D" w:rsidP="00925C9D">
      <w:pPr>
        <w:spacing w:after="120"/>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E65856" w:rsidRPr="00E65856">
        <w:rPr>
          <w:rFonts w:ascii="Arial Narrow" w:hAnsi="Arial Narrow"/>
          <w:i/>
          <w:sz w:val="18"/>
          <w:szCs w:val="18"/>
        </w:rPr>
        <w:t>$70 million to &lt; $80 million</w:t>
      </w:r>
    </w:p>
    <w:p w14:paraId="2238DEE9" w14:textId="3E6A228B" w:rsidR="00576972" w:rsidRPr="000B114D" w:rsidRDefault="00576972" w:rsidP="00606FBA">
      <w:pPr>
        <w:pStyle w:val="4-SubsectionHeading"/>
        <w:rPr>
          <w:i w:val="0"/>
        </w:rPr>
      </w:pPr>
      <w:bookmarkStart w:id="73" w:name="_Toc22897648"/>
      <w:bookmarkStart w:id="74" w:name="_Toc193112865"/>
      <w:r w:rsidRPr="000B114D">
        <w:rPr>
          <w:i w:val="0"/>
        </w:rPr>
        <w:t>Quality Use of Medicines</w:t>
      </w:r>
      <w:bookmarkEnd w:id="73"/>
      <w:bookmarkEnd w:id="74"/>
    </w:p>
    <w:p w14:paraId="38BD0AEF" w14:textId="533EF650" w:rsidR="00576972" w:rsidRPr="00E96034" w:rsidRDefault="00AE372A" w:rsidP="00606FBA">
      <w:pPr>
        <w:pStyle w:val="3-BodyText"/>
      </w:pPr>
      <w:r w:rsidRPr="58C81D04">
        <w:t>The submission stated that there will be a quality use of medicines program including health professional education sessions, patient support material and a post marketing surveillance study</w:t>
      </w:r>
      <w:r w:rsidR="0092147D" w:rsidRPr="58C81D04">
        <w:t xml:space="preserve">. </w:t>
      </w:r>
    </w:p>
    <w:p w14:paraId="6015A395" w14:textId="2EDB6A4E" w:rsidR="00576972" w:rsidRPr="000B114D" w:rsidRDefault="00576972" w:rsidP="00606FBA">
      <w:pPr>
        <w:pStyle w:val="4-SubsectionHeading"/>
        <w:rPr>
          <w:i w:val="0"/>
        </w:rPr>
      </w:pPr>
      <w:bookmarkStart w:id="75" w:name="_Toc22897649"/>
      <w:bookmarkStart w:id="76" w:name="_Toc193112866"/>
      <w:r w:rsidRPr="000B114D">
        <w:rPr>
          <w:i w:val="0"/>
        </w:rPr>
        <w:t>Financial Management – Risk Sharing Arrangements</w:t>
      </w:r>
      <w:bookmarkEnd w:id="75"/>
      <w:bookmarkEnd w:id="76"/>
    </w:p>
    <w:p w14:paraId="25BA2464" w14:textId="378F8C2D" w:rsidR="00AE372A" w:rsidRPr="00E96034" w:rsidRDefault="00AE372A" w:rsidP="00AE372A">
      <w:pPr>
        <w:pStyle w:val="3-BodyText"/>
      </w:pPr>
      <w:r w:rsidRPr="00E96034">
        <w:t>The submission did not propose a Risk Share agreement but did request a Special Pricing Arrangement on the grounds that ocrelizumab and ofatumumab have SPAs.</w:t>
      </w:r>
    </w:p>
    <w:p w14:paraId="24D00B49" w14:textId="01715DB2" w:rsidR="009A46C9" w:rsidRPr="000B114D" w:rsidRDefault="0042410B" w:rsidP="00823174">
      <w:pPr>
        <w:pStyle w:val="3-BodyText"/>
        <w:numPr>
          <w:ilvl w:val="0"/>
          <w:numId w:val="0"/>
        </w:numPr>
        <w:ind w:left="720" w:hanging="11"/>
      </w:pPr>
      <w:r w:rsidRPr="00C33D30">
        <w:rPr>
          <w:i/>
        </w:rPr>
        <w:t>For more detail on PBAC’s view, see section 7 PBAC outcome.</w:t>
      </w:r>
    </w:p>
    <w:p w14:paraId="71522CB3" w14:textId="77A6B79C" w:rsidR="00177769" w:rsidRPr="0090150D" w:rsidRDefault="00F22E11" w:rsidP="00177769">
      <w:pPr>
        <w:pStyle w:val="2-SectionHeading"/>
      </w:pPr>
      <w:bookmarkStart w:id="77" w:name="_Hlk76381249"/>
      <w:bookmarkStart w:id="78" w:name="_Hlk76377955"/>
      <w:r>
        <w:lastRenderedPageBreak/>
        <w:t>P</w:t>
      </w:r>
      <w:r w:rsidR="00177769" w:rsidRPr="0090150D">
        <w:t>BAC Outcome</w:t>
      </w:r>
    </w:p>
    <w:p w14:paraId="1E2CE129" w14:textId="79FAEDEF" w:rsidR="000064D6" w:rsidRDefault="000064D6" w:rsidP="000064D6">
      <w:pPr>
        <w:widowControl w:val="0"/>
        <w:numPr>
          <w:ilvl w:val="1"/>
          <w:numId w:val="6"/>
        </w:numPr>
        <w:spacing w:after="120"/>
        <w:rPr>
          <w:rFonts w:asciiTheme="minorHAnsi" w:hAnsiTheme="minorHAnsi"/>
          <w:snapToGrid w:val="0"/>
          <w:lang w:val="en-GB"/>
        </w:rPr>
      </w:pPr>
      <w:r w:rsidRPr="00786CF0">
        <w:rPr>
          <w:rFonts w:asciiTheme="minorHAnsi" w:hAnsiTheme="minorHAnsi"/>
          <w:snapToGrid w:val="0"/>
          <w:lang w:val="en-GB"/>
        </w:rPr>
        <w:t xml:space="preserve">The PBAC recommended the Section 100 </w:t>
      </w:r>
      <w:r w:rsidR="00A46F46">
        <w:rPr>
          <w:rFonts w:asciiTheme="minorHAnsi" w:hAnsiTheme="minorHAnsi"/>
          <w:snapToGrid w:val="0"/>
          <w:lang w:val="en-GB"/>
        </w:rPr>
        <w:t>(</w:t>
      </w:r>
      <w:r w:rsidRPr="00786CF0">
        <w:rPr>
          <w:rFonts w:asciiTheme="minorHAnsi" w:hAnsiTheme="minorHAnsi"/>
          <w:snapToGrid w:val="0"/>
          <w:lang w:val="en-GB"/>
        </w:rPr>
        <w:t>Highly Specialised Drugs Program</w:t>
      </w:r>
      <w:r w:rsidR="00A46F46">
        <w:rPr>
          <w:rFonts w:asciiTheme="minorHAnsi" w:hAnsiTheme="minorHAnsi"/>
          <w:snapToGrid w:val="0"/>
          <w:lang w:val="en-GB"/>
        </w:rPr>
        <w:t xml:space="preserve"> – </w:t>
      </w:r>
      <w:r w:rsidR="00F22E11">
        <w:rPr>
          <w:rFonts w:asciiTheme="minorHAnsi" w:hAnsiTheme="minorHAnsi"/>
          <w:snapToGrid w:val="0"/>
          <w:lang w:val="en-GB"/>
        </w:rPr>
        <w:t>P</w:t>
      </w:r>
      <w:r w:rsidR="00A46F46">
        <w:rPr>
          <w:rFonts w:asciiTheme="minorHAnsi" w:hAnsiTheme="minorHAnsi"/>
          <w:snapToGrid w:val="0"/>
          <w:lang w:val="en-GB"/>
        </w:rPr>
        <w:t xml:space="preserve">ublic and </w:t>
      </w:r>
      <w:r w:rsidR="00F22E11">
        <w:rPr>
          <w:rFonts w:asciiTheme="minorHAnsi" w:hAnsiTheme="minorHAnsi"/>
          <w:snapToGrid w:val="0"/>
          <w:lang w:val="en-GB"/>
        </w:rPr>
        <w:t>P</w:t>
      </w:r>
      <w:r w:rsidR="00A46F46">
        <w:rPr>
          <w:rFonts w:asciiTheme="minorHAnsi" w:hAnsiTheme="minorHAnsi"/>
          <w:snapToGrid w:val="0"/>
          <w:lang w:val="en-GB"/>
        </w:rPr>
        <w:t xml:space="preserve">rivate </w:t>
      </w:r>
      <w:r w:rsidR="00F22E11">
        <w:rPr>
          <w:rFonts w:asciiTheme="minorHAnsi" w:hAnsiTheme="minorHAnsi"/>
          <w:snapToGrid w:val="0"/>
          <w:lang w:val="en-GB"/>
        </w:rPr>
        <w:t>H</w:t>
      </w:r>
      <w:r w:rsidR="00A46F46">
        <w:rPr>
          <w:rFonts w:asciiTheme="minorHAnsi" w:hAnsiTheme="minorHAnsi"/>
          <w:snapToGrid w:val="0"/>
          <w:lang w:val="en-GB"/>
        </w:rPr>
        <w:t>ospitals), Authority Required (Streamlined)</w:t>
      </w:r>
      <w:r w:rsidRPr="00786CF0">
        <w:rPr>
          <w:rFonts w:asciiTheme="minorHAnsi" w:hAnsiTheme="minorHAnsi"/>
          <w:snapToGrid w:val="0"/>
          <w:lang w:val="en-GB"/>
        </w:rPr>
        <w:t xml:space="preserve"> listing of</w:t>
      </w:r>
      <w:r w:rsidR="00A46F46">
        <w:rPr>
          <w:rFonts w:asciiTheme="minorHAnsi" w:hAnsiTheme="minorHAnsi"/>
          <w:snapToGrid w:val="0"/>
          <w:lang w:val="en-GB"/>
        </w:rPr>
        <w:t xml:space="preserve"> </w:t>
      </w:r>
      <w:r w:rsidRPr="00786CF0">
        <w:rPr>
          <w:rFonts w:asciiTheme="minorHAnsi" w:hAnsiTheme="minorHAnsi"/>
          <w:snapToGrid w:val="0"/>
          <w:lang w:val="en-GB"/>
        </w:rPr>
        <w:t xml:space="preserve">ublituximab for the treatment of relapsing-remitting multiple sclerosis (RRMS). The PBAC’s recommendation for listing was based on, among other matters, its assessment that the cost-effectiveness of ublituximab would be acceptable if it were cost-minimised to the least costly alternative therapy available on the PBS for RRMS previously classified into the high efficacy </w:t>
      </w:r>
      <w:r w:rsidR="005B7595">
        <w:rPr>
          <w:rFonts w:asciiTheme="minorHAnsi" w:hAnsiTheme="minorHAnsi"/>
          <w:snapToGrid w:val="0"/>
          <w:lang w:val="en-GB"/>
        </w:rPr>
        <w:t>tier</w:t>
      </w:r>
      <w:r w:rsidR="003774B1">
        <w:rPr>
          <w:rFonts w:asciiTheme="minorHAnsi" w:hAnsiTheme="minorHAnsi"/>
          <w:snapToGrid w:val="0"/>
          <w:lang w:val="en-GB"/>
        </w:rPr>
        <w:t xml:space="preserve"> </w:t>
      </w:r>
      <w:r w:rsidRPr="00786CF0">
        <w:rPr>
          <w:rFonts w:asciiTheme="minorHAnsi" w:hAnsiTheme="minorHAnsi"/>
          <w:snapToGrid w:val="0"/>
          <w:lang w:val="en-GB"/>
        </w:rPr>
        <w:t>(</w:t>
      </w:r>
      <w:r w:rsidR="001E5CC1">
        <w:rPr>
          <w:rFonts w:asciiTheme="minorHAnsi" w:hAnsiTheme="minorHAnsi"/>
          <w:snapToGrid w:val="0"/>
          <w:lang w:val="en-GB"/>
        </w:rPr>
        <w:t>a</w:t>
      </w:r>
      <w:r w:rsidR="00E76AE4">
        <w:rPr>
          <w:rFonts w:asciiTheme="minorHAnsi" w:hAnsiTheme="minorHAnsi"/>
          <w:snapToGrid w:val="0"/>
          <w:lang w:val="en-GB"/>
        </w:rPr>
        <w:t>t time of PBAC consideration, this</w:t>
      </w:r>
      <w:r w:rsidRPr="00250986">
        <w:rPr>
          <w:rFonts w:asciiTheme="minorHAnsi" w:hAnsiTheme="minorHAnsi"/>
          <w:snapToGrid w:val="0"/>
          <w:lang w:val="en-GB"/>
        </w:rPr>
        <w:t xml:space="preserve"> group includes fingolimod, cladribine, ozanimod, natalizumab, alemtuzumab, ocrelizumab and ofatumumab).</w:t>
      </w:r>
    </w:p>
    <w:p w14:paraId="7DEC3341" w14:textId="6D2C3AC2" w:rsidR="007F1D3B" w:rsidRPr="007F1D3B" w:rsidRDefault="007F1D3B" w:rsidP="007F1D3B">
      <w:pPr>
        <w:widowControl w:val="0"/>
        <w:numPr>
          <w:ilvl w:val="1"/>
          <w:numId w:val="6"/>
        </w:numPr>
        <w:spacing w:after="120"/>
        <w:rPr>
          <w:rFonts w:asciiTheme="minorHAnsi" w:hAnsiTheme="minorHAnsi" w:cstheme="minorHAnsi"/>
          <w:snapToGrid w:val="0"/>
          <w:lang w:val="en-GB"/>
        </w:rPr>
      </w:pPr>
      <w:r w:rsidRPr="007555BE">
        <w:rPr>
          <w:rFonts w:asciiTheme="minorHAnsi" w:hAnsiTheme="minorHAnsi" w:cstheme="minorHAnsi"/>
          <w:snapToGrid w:val="0"/>
          <w:lang w:val="en-GB"/>
        </w:rPr>
        <w:t>In making this recommendation, the PBAC</w:t>
      </w:r>
      <w:r>
        <w:rPr>
          <w:rFonts w:asciiTheme="minorHAnsi" w:hAnsiTheme="minorHAnsi" w:cstheme="minorHAnsi"/>
          <w:snapToGrid w:val="0"/>
          <w:lang w:val="en-GB"/>
        </w:rPr>
        <w:t xml:space="preserve"> noted the submission made a claim of superior</w:t>
      </w:r>
      <w:r w:rsidR="00D70C2D">
        <w:rPr>
          <w:rFonts w:asciiTheme="minorHAnsi" w:hAnsiTheme="minorHAnsi" w:cstheme="minorHAnsi"/>
          <w:snapToGrid w:val="0"/>
          <w:lang w:val="en-GB"/>
        </w:rPr>
        <w:t xml:space="preserve"> comparative effectiveness over fingolimod, however</w:t>
      </w:r>
      <w:r w:rsidRPr="007555BE">
        <w:rPr>
          <w:rFonts w:asciiTheme="minorHAnsi" w:hAnsiTheme="minorHAnsi" w:cstheme="minorHAnsi"/>
          <w:snapToGrid w:val="0"/>
          <w:lang w:val="en-GB"/>
        </w:rPr>
        <w:t xml:space="preserve"> considered the clinical evidence presented was not sufficiently reliable for the purposes of establishing</w:t>
      </w:r>
      <w:r>
        <w:rPr>
          <w:rFonts w:asciiTheme="minorHAnsi" w:hAnsiTheme="minorHAnsi" w:cstheme="minorHAnsi"/>
          <w:snapToGrid w:val="0"/>
          <w:lang w:val="en-GB"/>
        </w:rPr>
        <w:t xml:space="preserve"> </w:t>
      </w:r>
      <w:r w:rsidRPr="007555BE">
        <w:rPr>
          <w:rFonts w:asciiTheme="minorHAnsi" w:hAnsiTheme="minorHAnsi" w:cstheme="minorHAnsi"/>
          <w:snapToGrid w:val="0"/>
          <w:lang w:val="en-GB"/>
        </w:rPr>
        <w:t>superiority</w:t>
      </w:r>
      <w:r w:rsidR="00374121">
        <w:rPr>
          <w:rFonts w:asciiTheme="minorHAnsi" w:hAnsiTheme="minorHAnsi" w:cstheme="minorHAnsi"/>
          <w:snapToGrid w:val="0"/>
          <w:lang w:val="en-GB"/>
        </w:rPr>
        <w:t xml:space="preserve"> over</w:t>
      </w:r>
      <w:r w:rsidRPr="007555BE">
        <w:rPr>
          <w:rFonts w:asciiTheme="minorHAnsi" w:hAnsiTheme="minorHAnsi" w:cstheme="minorHAnsi"/>
          <w:snapToGrid w:val="0"/>
          <w:lang w:val="en-GB"/>
        </w:rPr>
        <w:t xml:space="preserve"> </w:t>
      </w:r>
      <w:r w:rsidR="002134FF">
        <w:rPr>
          <w:rFonts w:asciiTheme="minorHAnsi" w:hAnsiTheme="minorHAnsi" w:cstheme="minorHAnsi"/>
          <w:snapToGrid w:val="0"/>
          <w:lang w:val="en-GB"/>
        </w:rPr>
        <w:t>fingolimod (or any of the other comparators). The PBAC’s view of the presented evidence and clinical claims are discussed further below.</w:t>
      </w:r>
      <w:r w:rsidRPr="007555BE">
        <w:rPr>
          <w:rFonts w:asciiTheme="minorHAnsi" w:hAnsiTheme="minorHAnsi" w:cstheme="minorHAnsi"/>
          <w:snapToGrid w:val="0"/>
          <w:lang w:val="en-GB"/>
        </w:rPr>
        <w:t xml:space="preserve"> </w:t>
      </w:r>
    </w:p>
    <w:p w14:paraId="3AC69FC9" w14:textId="5871CEC5" w:rsidR="000064D6" w:rsidRPr="00EB6320" w:rsidRDefault="000064D6" w:rsidP="000064D6">
      <w:pPr>
        <w:widowControl w:val="0"/>
        <w:numPr>
          <w:ilvl w:val="1"/>
          <w:numId w:val="6"/>
        </w:numPr>
        <w:spacing w:after="120"/>
        <w:rPr>
          <w:rFonts w:asciiTheme="minorHAnsi" w:hAnsiTheme="minorHAnsi"/>
          <w:snapToGrid w:val="0"/>
          <w:lang w:val="en-GB"/>
        </w:rPr>
      </w:pPr>
      <w:r>
        <w:rPr>
          <w:rFonts w:asciiTheme="minorHAnsi" w:hAnsiTheme="minorHAnsi"/>
          <w:snapToGrid w:val="0"/>
          <w:lang w:val="en-GB"/>
        </w:rPr>
        <w:t xml:space="preserve">The PBAC considered the nominated comparators (ocrelizumab, ofatumumab and fingolimod) were reasonable proxies for the other disease modifying therapies (DMTs) in the high efficacy </w:t>
      </w:r>
      <w:r w:rsidR="005B7595">
        <w:rPr>
          <w:rFonts w:asciiTheme="minorHAnsi" w:hAnsiTheme="minorHAnsi"/>
          <w:snapToGrid w:val="0"/>
          <w:lang w:val="en-GB"/>
        </w:rPr>
        <w:t>tier</w:t>
      </w:r>
      <w:r>
        <w:rPr>
          <w:rFonts w:asciiTheme="minorHAnsi" w:hAnsiTheme="minorHAnsi"/>
          <w:snapToGrid w:val="0"/>
          <w:lang w:val="en-GB"/>
        </w:rPr>
        <w:t>.</w:t>
      </w:r>
    </w:p>
    <w:p w14:paraId="25DC4B3A" w14:textId="324FB829" w:rsidR="004B7F01" w:rsidRPr="004B7F01" w:rsidRDefault="000064D6" w:rsidP="000064D6">
      <w:pPr>
        <w:widowControl w:val="0"/>
        <w:numPr>
          <w:ilvl w:val="1"/>
          <w:numId w:val="6"/>
        </w:numPr>
        <w:spacing w:after="120"/>
        <w:rPr>
          <w:snapToGrid w:val="0"/>
        </w:rPr>
      </w:pPr>
      <w:bookmarkStart w:id="79" w:name="_Ref198123771"/>
      <w:r w:rsidRPr="00F95462">
        <w:rPr>
          <w:rFonts w:asciiTheme="minorHAnsi" w:hAnsiTheme="minorHAnsi"/>
          <w:snapToGrid w:val="0"/>
          <w:lang w:val="en-GB"/>
        </w:rPr>
        <w:t xml:space="preserve">The PBAC advised the </w:t>
      </w:r>
      <w:proofErr w:type="spellStart"/>
      <w:r w:rsidRPr="00F95462">
        <w:rPr>
          <w:rFonts w:asciiTheme="minorHAnsi" w:hAnsiTheme="minorHAnsi"/>
          <w:snapToGrid w:val="0"/>
          <w:lang w:val="en-GB"/>
        </w:rPr>
        <w:t>equi</w:t>
      </w:r>
      <w:proofErr w:type="spellEnd"/>
      <w:r w:rsidRPr="00F95462">
        <w:rPr>
          <w:rFonts w:asciiTheme="minorHAnsi" w:hAnsiTheme="minorHAnsi"/>
          <w:snapToGrid w:val="0"/>
          <w:lang w:val="en-GB"/>
        </w:rPr>
        <w:t>-effective dos</w:t>
      </w:r>
      <w:r w:rsidR="00FF5B8B">
        <w:rPr>
          <w:rFonts w:asciiTheme="minorHAnsi" w:hAnsiTheme="minorHAnsi"/>
          <w:snapToGrid w:val="0"/>
          <w:lang w:val="en-GB"/>
        </w:rPr>
        <w:t>es</w:t>
      </w:r>
      <w:r w:rsidR="004B7F01">
        <w:rPr>
          <w:rFonts w:asciiTheme="minorHAnsi" w:hAnsiTheme="minorHAnsi"/>
          <w:snapToGrid w:val="0"/>
          <w:lang w:val="en-GB"/>
        </w:rPr>
        <w:t xml:space="preserve"> of </w:t>
      </w:r>
      <w:proofErr w:type="spellStart"/>
      <w:proofErr w:type="gramStart"/>
      <w:r w:rsidR="004B7F01">
        <w:rPr>
          <w:rFonts w:asciiTheme="minorHAnsi" w:hAnsiTheme="minorHAnsi"/>
          <w:snapToGrid w:val="0"/>
          <w:lang w:val="en-GB"/>
        </w:rPr>
        <w:t>ublituximab</w:t>
      </w:r>
      <w:proofErr w:type="spellEnd"/>
      <w:proofErr w:type="gramEnd"/>
      <w:r w:rsidR="004B7F01">
        <w:rPr>
          <w:rFonts w:asciiTheme="minorHAnsi" w:hAnsiTheme="minorHAnsi"/>
          <w:snapToGrid w:val="0"/>
          <w:lang w:val="en-GB"/>
        </w:rPr>
        <w:t xml:space="preserve"> and the nominated comparators</w:t>
      </w:r>
      <w:r w:rsidR="00FF5B8B">
        <w:rPr>
          <w:rFonts w:asciiTheme="minorHAnsi" w:hAnsiTheme="minorHAnsi"/>
          <w:snapToGrid w:val="0"/>
          <w:lang w:val="en-GB"/>
        </w:rPr>
        <w:t xml:space="preserve"> are as follows:</w:t>
      </w:r>
      <w:bookmarkEnd w:id="79"/>
      <w:r w:rsidR="00FF5B8B">
        <w:rPr>
          <w:rFonts w:asciiTheme="minorHAnsi" w:hAnsiTheme="minorHAnsi"/>
          <w:snapToGrid w:val="0"/>
          <w:lang w:val="en-GB"/>
        </w:rPr>
        <w:t xml:space="preserve"> </w:t>
      </w:r>
    </w:p>
    <w:p w14:paraId="70ECBD34" w14:textId="587EE4A7" w:rsidR="000064D6" w:rsidRPr="00E65856" w:rsidRDefault="004B7F01" w:rsidP="00E65856">
      <w:pPr>
        <w:pStyle w:val="ListParagraph"/>
        <w:jc w:val="both"/>
      </w:pPr>
      <w:r w:rsidRPr="00E65856">
        <w:t>U</w:t>
      </w:r>
      <w:r w:rsidR="000064D6" w:rsidRPr="00E65856">
        <w:t>blituximab 150 mg by intravenous (IV) infusion at week 0, followed by a second dose of 450 mg IV infusion at week 2 and subsequent doses of 450 mg IV infusion every 24 weeks thereafter</w:t>
      </w:r>
      <w:r w:rsidR="003C6CBE" w:rsidRPr="00E65856">
        <w:t xml:space="preserve">; </w:t>
      </w:r>
      <w:r w:rsidR="000064D6" w:rsidRPr="00E65856" w:rsidDel="003C6CBE">
        <w:t xml:space="preserve"> </w:t>
      </w:r>
    </w:p>
    <w:p w14:paraId="7B175F0B" w14:textId="72FE0AB2" w:rsidR="004C331C" w:rsidRPr="00E65856" w:rsidRDefault="004C331C" w:rsidP="00E65856">
      <w:pPr>
        <w:pStyle w:val="ListParagraph"/>
        <w:jc w:val="both"/>
      </w:pPr>
      <w:r w:rsidRPr="00E65856">
        <w:t xml:space="preserve">Ocrelizumab 5 x 600 mg infusion packs (2 x 300 mg vials per </w:t>
      </w:r>
      <w:r w:rsidR="00651241">
        <w:t>script</w:t>
      </w:r>
      <w:r w:rsidRPr="00E65856">
        <w:t xml:space="preserve">), with the first dose split into 300 mg at each of week 0 and 2, with subsequent doses of </w:t>
      </w:r>
      <w:r w:rsidR="007561DF" w:rsidRPr="00E65856">
        <w:t>600</w:t>
      </w:r>
      <w:r w:rsidR="007561DF">
        <w:t> </w:t>
      </w:r>
      <w:r w:rsidRPr="00E65856">
        <w:t>mg every 24 weeks</w:t>
      </w:r>
      <w:r w:rsidR="003C6CBE" w:rsidRPr="00E65856">
        <w:t>;</w:t>
      </w:r>
    </w:p>
    <w:p w14:paraId="4AA61AD0" w14:textId="16ED3744" w:rsidR="004C331C" w:rsidRPr="00E65856" w:rsidRDefault="004C331C" w:rsidP="00E65856">
      <w:pPr>
        <w:pStyle w:val="ListParagraph"/>
        <w:jc w:val="both"/>
      </w:pPr>
      <w:r w:rsidRPr="00E65856">
        <w:t xml:space="preserve">Ofatumumab 28 x 20 mg doses, with doses at week 0, 1,2,4 and </w:t>
      </w:r>
      <w:r w:rsidR="007561DF" w:rsidRPr="00E65856">
        <w:t>4</w:t>
      </w:r>
      <w:r w:rsidR="007561DF">
        <w:t> </w:t>
      </w:r>
      <w:r w:rsidRPr="00E65856">
        <w:t>weekly thereafter</w:t>
      </w:r>
      <w:r w:rsidR="003C6CBE" w:rsidRPr="00E65856">
        <w:t>;</w:t>
      </w:r>
      <w:r w:rsidRPr="00E65856">
        <w:t xml:space="preserve"> and</w:t>
      </w:r>
    </w:p>
    <w:p w14:paraId="22449E3E" w14:textId="517D1F1F" w:rsidR="00954E46" w:rsidRPr="00E65856" w:rsidRDefault="004C331C" w:rsidP="00E65856">
      <w:pPr>
        <w:pStyle w:val="ListParagraph"/>
        <w:jc w:val="both"/>
      </w:pPr>
      <w:r w:rsidRPr="00E65856">
        <w:t>Fingolimod 0.5 mg /day</w:t>
      </w:r>
      <w:r w:rsidR="003C6CBE" w:rsidRPr="00E65856">
        <w:t>.</w:t>
      </w:r>
    </w:p>
    <w:p w14:paraId="16F5AB76" w14:textId="0D2193B0" w:rsidR="0034072B" w:rsidRDefault="0034072B" w:rsidP="003C6CBE">
      <w:pPr>
        <w:widowControl w:val="0"/>
        <w:spacing w:after="120"/>
        <w:ind w:left="720"/>
        <w:rPr>
          <w:rFonts w:asciiTheme="minorHAnsi" w:hAnsiTheme="minorHAnsi"/>
          <w:snapToGrid w:val="0"/>
          <w:lang w:val="en-GB"/>
        </w:rPr>
      </w:pPr>
      <w:r>
        <w:t xml:space="preserve">Furthermore, </w:t>
      </w:r>
      <w:r w:rsidRPr="003D7382">
        <w:rPr>
          <w:rFonts w:asciiTheme="minorHAnsi" w:hAnsiTheme="minorHAnsi"/>
          <w:snapToGrid w:val="0"/>
          <w:lang w:val="en-GB"/>
        </w:rPr>
        <w:t>t</w:t>
      </w:r>
      <w:r>
        <w:t>he</w:t>
      </w:r>
      <w:r>
        <w:rPr>
          <w:rFonts w:asciiTheme="minorHAnsi" w:hAnsiTheme="minorHAnsi"/>
          <w:snapToGrid w:val="0"/>
          <w:lang w:val="en-GB"/>
        </w:rPr>
        <w:t xml:space="preserve"> PBAC advised the </w:t>
      </w:r>
      <w:proofErr w:type="spellStart"/>
      <w:r>
        <w:rPr>
          <w:rFonts w:asciiTheme="minorHAnsi" w:hAnsiTheme="minorHAnsi"/>
          <w:snapToGrid w:val="0"/>
          <w:lang w:val="en-GB"/>
        </w:rPr>
        <w:t>equi</w:t>
      </w:r>
      <w:proofErr w:type="spellEnd"/>
      <w:r>
        <w:rPr>
          <w:rFonts w:asciiTheme="minorHAnsi" w:hAnsiTheme="minorHAnsi"/>
          <w:snapToGrid w:val="0"/>
          <w:lang w:val="en-GB"/>
        </w:rPr>
        <w:t xml:space="preserve">-effective dosing for all other alternative therapies in the high efficacy </w:t>
      </w:r>
      <w:r w:rsidR="005B7595">
        <w:rPr>
          <w:rFonts w:asciiTheme="minorHAnsi" w:hAnsiTheme="minorHAnsi"/>
          <w:snapToGrid w:val="0"/>
          <w:lang w:val="en-GB"/>
        </w:rPr>
        <w:t>tier</w:t>
      </w:r>
      <w:r>
        <w:rPr>
          <w:rFonts w:asciiTheme="minorHAnsi" w:hAnsiTheme="minorHAnsi"/>
          <w:snapToGrid w:val="0"/>
          <w:lang w:val="en-GB"/>
        </w:rPr>
        <w:t xml:space="preserve"> could be derived with reference to the relevant TGA Product Information and the latest PBS Public Summary Documents in order to ascertain the least costly alternative therapy over 2 yea</w:t>
      </w:r>
      <w:r w:rsidR="00E76AE4">
        <w:rPr>
          <w:rFonts w:asciiTheme="minorHAnsi" w:hAnsiTheme="minorHAnsi"/>
          <w:snapToGrid w:val="0"/>
          <w:lang w:val="en-GB"/>
        </w:rPr>
        <w:t>rs</w:t>
      </w:r>
      <w:r>
        <w:rPr>
          <w:rFonts w:asciiTheme="minorHAnsi" w:hAnsiTheme="minorHAnsi"/>
          <w:snapToGrid w:val="0"/>
          <w:lang w:val="en-GB"/>
        </w:rPr>
        <w:t>.</w:t>
      </w:r>
    </w:p>
    <w:p w14:paraId="1A82CB26" w14:textId="041BE8A9" w:rsidR="00737526" w:rsidRDefault="00737526" w:rsidP="000064D6">
      <w:pPr>
        <w:widowControl w:val="0"/>
        <w:numPr>
          <w:ilvl w:val="1"/>
          <w:numId w:val="6"/>
        </w:numPr>
        <w:spacing w:after="120"/>
        <w:rPr>
          <w:rFonts w:asciiTheme="minorHAnsi" w:hAnsiTheme="minorHAnsi" w:cstheme="minorHAnsi"/>
          <w:snapToGrid w:val="0"/>
          <w:lang w:val="en-GB"/>
        </w:rPr>
      </w:pPr>
      <w:r w:rsidRPr="00737526">
        <w:rPr>
          <w:rFonts w:asciiTheme="minorHAnsi" w:hAnsiTheme="minorHAnsi" w:cstheme="minorHAnsi"/>
          <w:snapToGrid w:val="0"/>
          <w:lang w:val="en-GB"/>
        </w:rPr>
        <w:t xml:space="preserve">The PBAC considered it was appropriate for the listing to be consistent with other RRMS DMTs, and that as an infusible agent, ocrelizumab was the most applicable similar listing. The Committee considered </w:t>
      </w:r>
      <w:r w:rsidR="00C26630">
        <w:rPr>
          <w:rFonts w:asciiTheme="minorHAnsi" w:hAnsiTheme="minorHAnsi" w:cstheme="minorHAnsi"/>
          <w:snapToGrid w:val="0"/>
          <w:lang w:val="en-GB"/>
        </w:rPr>
        <w:t xml:space="preserve">that it </w:t>
      </w:r>
      <w:r w:rsidRPr="00737526">
        <w:rPr>
          <w:rFonts w:asciiTheme="minorHAnsi" w:hAnsiTheme="minorHAnsi" w:cstheme="minorHAnsi"/>
          <w:snapToGrid w:val="0"/>
          <w:lang w:val="en-GB"/>
        </w:rPr>
        <w:t>was reasonable for the listing to not be prescriptive about the class of antihistamine to be used</w:t>
      </w:r>
      <w:r w:rsidR="00497386">
        <w:rPr>
          <w:rFonts w:asciiTheme="minorHAnsi" w:hAnsiTheme="minorHAnsi" w:cstheme="minorHAnsi"/>
          <w:snapToGrid w:val="0"/>
          <w:lang w:val="en-GB"/>
        </w:rPr>
        <w:t xml:space="preserve"> as pre-medication</w:t>
      </w:r>
      <w:r w:rsidRPr="00737526">
        <w:rPr>
          <w:rFonts w:asciiTheme="minorHAnsi" w:hAnsiTheme="minorHAnsi" w:cstheme="minorHAnsi"/>
          <w:snapToGrid w:val="0"/>
          <w:lang w:val="en-GB"/>
        </w:rPr>
        <w:t xml:space="preserve">, however noted diphenhydramine was </w:t>
      </w:r>
      <w:r w:rsidR="00497386">
        <w:rPr>
          <w:rFonts w:asciiTheme="minorHAnsi" w:hAnsiTheme="minorHAnsi" w:cstheme="minorHAnsi"/>
          <w:snapToGrid w:val="0"/>
          <w:lang w:val="en-GB"/>
        </w:rPr>
        <w:t>used</w:t>
      </w:r>
      <w:r w:rsidRPr="00737526">
        <w:rPr>
          <w:rFonts w:asciiTheme="minorHAnsi" w:hAnsiTheme="minorHAnsi" w:cstheme="minorHAnsi"/>
          <w:snapToGrid w:val="0"/>
          <w:lang w:val="en-GB"/>
        </w:rPr>
        <w:t xml:space="preserve"> in the clinical trials.</w:t>
      </w:r>
    </w:p>
    <w:p w14:paraId="04509F78" w14:textId="4B303187" w:rsidR="00377627" w:rsidRDefault="000064D6" w:rsidP="000064D6">
      <w:pPr>
        <w:widowControl w:val="0"/>
        <w:numPr>
          <w:ilvl w:val="1"/>
          <w:numId w:val="6"/>
        </w:numPr>
        <w:spacing w:after="120"/>
        <w:rPr>
          <w:rFonts w:asciiTheme="minorHAnsi" w:hAnsiTheme="minorHAnsi" w:cstheme="minorHAnsi"/>
          <w:snapToGrid w:val="0"/>
          <w:lang w:val="en-GB"/>
        </w:rPr>
      </w:pPr>
      <w:r>
        <w:rPr>
          <w:rFonts w:asciiTheme="minorHAnsi" w:hAnsiTheme="minorHAnsi" w:cstheme="minorHAnsi"/>
          <w:snapToGrid w:val="0"/>
          <w:lang w:val="en-GB"/>
        </w:rPr>
        <w:lastRenderedPageBreak/>
        <w:t>The PBAC noted there was no direct comparative evidence between ublituximab and any of the nominated comparators</w:t>
      </w:r>
      <w:r w:rsidR="00423CD3">
        <w:rPr>
          <w:rFonts w:asciiTheme="minorHAnsi" w:hAnsiTheme="minorHAnsi" w:cstheme="minorHAnsi"/>
          <w:snapToGrid w:val="0"/>
          <w:lang w:val="en-GB"/>
        </w:rPr>
        <w:t xml:space="preserve">, and noted the </w:t>
      </w:r>
      <w:r w:rsidR="00B8242C">
        <w:rPr>
          <w:rFonts w:asciiTheme="minorHAnsi" w:hAnsiTheme="minorHAnsi" w:cstheme="minorHAnsi"/>
          <w:snapToGrid w:val="0"/>
          <w:lang w:val="en-GB"/>
        </w:rPr>
        <w:t>pivotal trials (ULTIMATE I/II) were randomised controlled trials versus</w:t>
      </w:r>
      <w:r w:rsidR="00927A5F">
        <w:rPr>
          <w:rFonts w:asciiTheme="minorHAnsi" w:hAnsiTheme="minorHAnsi" w:cstheme="minorHAnsi"/>
          <w:snapToGrid w:val="0"/>
          <w:lang w:val="en-GB"/>
        </w:rPr>
        <w:t xml:space="preserve"> teriflunomide, which it recalled </w:t>
      </w:r>
      <w:r w:rsidR="0019762A">
        <w:rPr>
          <w:rFonts w:asciiTheme="minorHAnsi" w:hAnsiTheme="minorHAnsi" w:cstheme="minorHAnsi"/>
          <w:snapToGrid w:val="0"/>
          <w:lang w:val="en-GB"/>
        </w:rPr>
        <w:t xml:space="preserve">was categorised into the lower efficacy </w:t>
      </w:r>
      <w:r w:rsidR="005B7595">
        <w:rPr>
          <w:rFonts w:asciiTheme="minorHAnsi" w:hAnsiTheme="minorHAnsi" w:cstheme="minorHAnsi"/>
          <w:snapToGrid w:val="0"/>
          <w:lang w:val="en-GB"/>
        </w:rPr>
        <w:t>tier</w:t>
      </w:r>
      <w:r w:rsidR="0019762A">
        <w:rPr>
          <w:rFonts w:asciiTheme="minorHAnsi" w:hAnsiTheme="minorHAnsi" w:cstheme="minorHAnsi"/>
          <w:snapToGrid w:val="0"/>
          <w:lang w:val="en-GB"/>
        </w:rPr>
        <w:t xml:space="preserve"> of RRMS therapies</w:t>
      </w:r>
      <w:r w:rsidR="00377627">
        <w:rPr>
          <w:rFonts w:asciiTheme="minorHAnsi" w:hAnsiTheme="minorHAnsi" w:cstheme="minorHAnsi"/>
          <w:snapToGrid w:val="0"/>
          <w:lang w:val="en-GB"/>
        </w:rPr>
        <w:t xml:space="preserve">. Based on the presented evidence, the PBAC was satisfied that </w:t>
      </w:r>
      <w:r w:rsidR="00973821">
        <w:rPr>
          <w:rFonts w:asciiTheme="minorHAnsi" w:hAnsiTheme="minorHAnsi" w:cstheme="minorHAnsi"/>
          <w:snapToGrid w:val="0"/>
          <w:lang w:val="en-GB"/>
        </w:rPr>
        <w:t xml:space="preserve">ublituximab provides, for some patients, a significant improvement in effectiveness over teriflunomide for the purposes of Section 101(3B) of the </w:t>
      </w:r>
      <w:r w:rsidR="00973821">
        <w:rPr>
          <w:rFonts w:asciiTheme="minorHAnsi" w:hAnsiTheme="minorHAnsi" w:cstheme="minorHAnsi"/>
          <w:i/>
          <w:iCs/>
          <w:snapToGrid w:val="0"/>
          <w:lang w:val="en-GB"/>
        </w:rPr>
        <w:t>National Health Act 1953</w:t>
      </w:r>
      <w:r w:rsidR="00F340C8">
        <w:rPr>
          <w:rFonts w:asciiTheme="minorHAnsi" w:hAnsiTheme="minorHAnsi" w:cstheme="minorHAnsi"/>
          <w:snapToGrid w:val="0"/>
          <w:lang w:val="en-GB"/>
        </w:rPr>
        <w:t xml:space="preserve"> and also considered, based on previously determined relativities, that ublituximab </w:t>
      </w:r>
      <w:r w:rsidR="003C756E">
        <w:rPr>
          <w:rFonts w:asciiTheme="minorHAnsi" w:hAnsiTheme="minorHAnsi" w:cstheme="minorHAnsi"/>
          <w:snapToGrid w:val="0"/>
          <w:lang w:val="en-GB"/>
        </w:rPr>
        <w:t>also provides, for some patients, a significant improvement in effectiveness over the other lower tier therapies (interferon beta-1a/1b, peginterferon beta-1a, glatiramer acetate, d</w:t>
      </w:r>
      <w:r w:rsidR="00944141">
        <w:rPr>
          <w:rFonts w:asciiTheme="minorHAnsi" w:hAnsiTheme="minorHAnsi" w:cstheme="minorHAnsi"/>
          <w:snapToGrid w:val="0"/>
          <w:lang w:val="en-GB"/>
        </w:rPr>
        <w:t>imethyl fumarate and diroximel fumarate)</w:t>
      </w:r>
      <w:r w:rsidR="007075CF">
        <w:rPr>
          <w:rFonts w:asciiTheme="minorHAnsi" w:hAnsiTheme="minorHAnsi" w:cstheme="minorHAnsi"/>
          <w:snapToGrid w:val="0"/>
          <w:lang w:val="en-GB"/>
        </w:rPr>
        <w:t>.</w:t>
      </w:r>
    </w:p>
    <w:p w14:paraId="6763A40C" w14:textId="54191CD1" w:rsidR="00C341B9" w:rsidRPr="00C341B9" w:rsidRDefault="00C341B9" w:rsidP="00C341B9">
      <w:pPr>
        <w:widowControl w:val="0"/>
        <w:numPr>
          <w:ilvl w:val="1"/>
          <w:numId w:val="6"/>
        </w:numPr>
        <w:spacing w:after="120"/>
        <w:rPr>
          <w:rFonts w:asciiTheme="minorHAnsi" w:hAnsiTheme="minorHAnsi" w:cstheme="minorHAnsi"/>
          <w:snapToGrid w:val="0"/>
          <w:lang w:val="en-GB"/>
        </w:rPr>
      </w:pPr>
      <w:r>
        <w:rPr>
          <w:rFonts w:asciiTheme="minorHAnsi" w:hAnsiTheme="minorHAnsi" w:cstheme="minorHAnsi"/>
          <w:snapToGrid w:val="0"/>
          <w:lang w:val="en-GB"/>
        </w:rPr>
        <w:t xml:space="preserve">Overall, the PBAC considered the single-step indirect treatment comparison versus ofatumumab to be the most robust and most compelling evidence to assess the comparative effectiveness of ublituximab to both ofatumumab and the alternative therapies. The Committee considered that both the ublituximab trials (ULTIMATE I/II) and ofatumumab trials (ASCLEPIOS I/II) </w:t>
      </w:r>
      <w:r w:rsidRPr="00D55125">
        <w:rPr>
          <w:rFonts w:asciiTheme="minorHAnsi" w:hAnsiTheme="minorHAnsi" w:cstheme="minorHAnsi"/>
          <w:snapToGrid w:val="0"/>
          <w:lang w:val="en-GB"/>
        </w:rPr>
        <w:t xml:space="preserve">were high quality and at low risk of </w:t>
      </w:r>
      <w:proofErr w:type="gramStart"/>
      <w:r w:rsidRPr="00D55125">
        <w:rPr>
          <w:rFonts w:asciiTheme="minorHAnsi" w:hAnsiTheme="minorHAnsi" w:cstheme="minorHAnsi"/>
          <w:snapToGrid w:val="0"/>
          <w:lang w:val="en-GB"/>
        </w:rPr>
        <w:t>bias</w:t>
      </w:r>
      <w:r>
        <w:rPr>
          <w:rFonts w:asciiTheme="minorHAnsi" w:hAnsiTheme="minorHAnsi" w:cstheme="minorHAnsi"/>
          <w:snapToGrid w:val="0"/>
          <w:lang w:val="en-GB"/>
        </w:rPr>
        <w:t>,</w:t>
      </w:r>
      <w:r w:rsidRPr="00D55125">
        <w:rPr>
          <w:rFonts w:asciiTheme="minorHAnsi" w:hAnsiTheme="minorHAnsi" w:cstheme="minorHAnsi"/>
          <w:snapToGrid w:val="0"/>
          <w:lang w:val="en-GB"/>
        </w:rPr>
        <w:t xml:space="preserve"> and</w:t>
      </w:r>
      <w:proofErr w:type="gramEnd"/>
      <w:r w:rsidRPr="00D55125">
        <w:rPr>
          <w:rFonts w:asciiTheme="minorHAnsi" w:hAnsiTheme="minorHAnsi" w:cstheme="minorHAnsi"/>
          <w:snapToGrid w:val="0"/>
          <w:lang w:val="en-GB"/>
        </w:rPr>
        <w:t xml:space="preserve"> </w:t>
      </w:r>
      <w:r>
        <w:rPr>
          <w:rFonts w:asciiTheme="minorHAnsi" w:hAnsiTheme="minorHAnsi" w:cstheme="minorHAnsi"/>
          <w:snapToGrid w:val="0"/>
          <w:lang w:val="en-GB"/>
        </w:rPr>
        <w:t xml:space="preserve">also noted </w:t>
      </w:r>
      <w:r w:rsidRPr="00D55125">
        <w:rPr>
          <w:rFonts w:asciiTheme="minorHAnsi" w:hAnsiTheme="minorHAnsi" w:cstheme="minorHAnsi"/>
          <w:snapToGrid w:val="0"/>
          <w:lang w:val="en-GB"/>
        </w:rPr>
        <w:t>the common comparator of teriflunomide allowed for a single step</w:t>
      </w:r>
      <w:r>
        <w:rPr>
          <w:rFonts w:asciiTheme="minorHAnsi" w:hAnsiTheme="minorHAnsi" w:cstheme="minorHAnsi"/>
          <w:snapToGrid w:val="0"/>
          <w:lang w:val="en-GB"/>
        </w:rPr>
        <w:t xml:space="preserve"> indirect</w:t>
      </w:r>
      <w:r w:rsidRPr="00D55125">
        <w:rPr>
          <w:rFonts w:asciiTheme="minorHAnsi" w:hAnsiTheme="minorHAnsi" w:cstheme="minorHAnsi"/>
          <w:snapToGrid w:val="0"/>
          <w:lang w:val="en-GB"/>
        </w:rPr>
        <w:t xml:space="preserve"> comparison. The PBAC noted the results of the indirect treatment comparisons found no statistically significant differences in annualised relapse rate ratio (RR 0.98, 95% CI 0.68, 1.40), or hazard of confirmed disability progression at either 12 weeks (HR 1.29, 95% CI 0.72, 2.30) or 24 weeks (HR 0.97, 95% CI 0.49, 1.92), and considered that overall, the available evidence likely supported a conclusion of non-inferior comparative effectiveness of ublituximab and ofatumumab.</w:t>
      </w:r>
    </w:p>
    <w:p w14:paraId="5F426A8C" w14:textId="00C9C56B" w:rsidR="000064D6" w:rsidRDefault="00251BA3" w:rsidP="005E553D">
      <w:pPr>
        <w:widowControl w:val="0"/>
        <w:numPr>
          <w:ilvl w:val="1"/>
          <w:numId w:val="6"/>
        </w:numPr>
        <w:spacing w:after="120"/>
        <w:rPr>
          <w:rFonts w:asciiTheme="minorHAnsi" w:hAnsiTheme="minorHAnsi" w:cstheme="minorHAnsi"/>
          <w:snapToGrid w:val="0"/>
          <w:lang w:val="en-GB"/>
        </w:rPr>
      </w:pPr>
      <w:r>
        <w:rPr>
          <w:rFonts w:asciiTheme="minorHAnsi" w:hAnsiTheme="minorHAnsi" w:cstheme="minorHAnsi"/>
          <w:snapToGrid w:val="0"/>
          <w:lang w:val="en-GB"/>
        </w:rPr>
        <w:t xml:space="preserve">The PBAC noted the submission made a claim of superior comparative effectiveness over </w:t>
      </w:r>
      <w:proofErr w:type="gramStart"/>
      <w:r>
        <w:rPr>
          <w:rFonts w:asciiTheme="minorHAnsi" w:hAnsiTheme="minorHAnsi" w:cstheme="minorHAnsi"/>
          <w:snapToGrid w:val="0"/>
          <w:lang w:val="en-GB"/>
        </w:rPr>
        <w:t>fingolimod, and</w:t>
      </w:r>
      <w:proofErr w:type="gramEnd"/>
      <w:r>
        <w:rPr>
          <w:rFonts w:asciiTheme="minorHAnsi" w:hAnsiTheme="minorHAnsi" w:cstheme="minorHAnsi"/>
          <w:snapToGrid w:val="0"/>
          <w:lang w:val="en-GB"/>
        </w:rPr>
        <w:t xml:space="preserve"> cla</w:t>
      </w:r>
      <w:r w:rsidR="00F64FC9">
        <w:rPr>
          <w:rFonts w:asciiTheme="minorHAnsi" w:hAnsiTheme="minorHAnsi" w:cstheme="minorHAnsi"/>
          <w:snapToGrid w:val="0"/>
          <w:lang w:val="en-GB"/>
        </w:rPr>
        <w:t xml:space="preserve">ims of non-inferior comparative effectiveness to ofatumumab and ocrelizumab. The </w:t>
      </w:r>
      <w:r w:rsidR="000064D6">
        <w:rPr>
          <w:rFonts w:asciiTheme="minorHAnsi" w:hAnsiTheme="minorHAnsi" w:cstheme="minorHAnsi"/>
          <w:snapToGrid w:val="0"/>
          <w:lang w:val="en-GB"/>
        </w:rPr>
        <w:t>PBAC recalled</w:t>
      </w:r>
      <w:r w:rsidR="00F64FC9">
        <w:rPr>
          <w:rFonts w:asciiTheme="minorHAnsi" w:hAnsiTheme="minorHAnsi" w:cstheme="minorHAnsi"/>
          <w:snapToGrid w:val="0"/>
          <w:lang w:val="en-GB"/>
        </w:rPr>
        <w:t xml:space="preserve"> that in March 2024, it considered a submission for </w:t>
      </w:r>
      <w:r w:rsidR="00F005C4">
        <w:rPr>
          <w:rFonts w:asciiTheme="minorHAnsi" w:hAnsiTheme="minorHAnsi" w:cstheme="minorHAnsi"/>
          <w:snapToGrid w:val="0"/>
          <w:lang w:val="en-GB"/>
        </w:rPr>
        <w:t xml:space="preserve">ofatumumab which sought to separate the current higher efficacy </w:t>
      </w:r>
      <w:r w:rsidR="005B7595">
        <w:rPr>
          <w:rFonts w:asciiTheme="minorHAnsi" w:hAnsiTheme="minorHAnsi" w:cstheme="minorHAnsi"/>
          <w:snapToGrid w:val="0"/>
          <w:lang w:val="en-GB"/>
        </w:rPr>
        <w:t>tier</w:t>
      </w:r>
      <w:r w:rsidR="00F005C4">
        <w:rPr>
          <w:rFonts w:asciiTheme="minorHAnsi" w:hAnsiTheme="minorHAnsi" w:cstheme="minorHAnsi"/>
          <w:snapToGrid w:val="0"/>
          <w:lang w:val="en-GB"/>
        </w:rPr>
        <w:t xml:space="preserve"> of </w:t>
      </w:r>
      <w:r w:rsidR="00111574">
        <w:rPr>
          <w:rFonts w:asciiTheme="minorHAnsi" w:hAnsiTheme="minorHAnsi" w:cstheme="minorHAnsi"/>
          <w:snapToGrid w:val="0"/>
          <w:lang w:val="en-GB"/>
        </w:rPr>
        <w:t xml:space="preserve">RRMS </w:t>
      </w:r>
      <w:r w:rsidR="0097003F">
        <w:rPr>
          <w:rFonts w:asciiTheme="minorHAnsi" w:hAnsiTheme="minorHAnsi" w:cstheme="minorHAnsi"/>
          <w:snapToGrid w:val="0"/>
          <w:lang w:val="en-GB"/>
        </w:rPr>
        <w:t>DMTs</w:t>
      </w:r>
      <w:r w:rsidR="00111574">
        <w:rPr>
          <w:rFonts w:asciiTheme="minorHAnsi" w:hAnsiTheme="minorHAnsi" w:cstheme="minorHAnsi"/>
          <w:snapToGrid w:val="0"/>
          <w:lang w:val="en-GB"/>
        </w:rPr>
        <w:t xml:space="preserve"> into two distinct efficacy tiers</w:t>
      </w:r>
      <w:r w:rsidR="00E43CB2">
        <w:rPr>
          <w:rFonts w:asciiTheme="minorHAnsi" w:hAnsiTheme="minorHAnsi" w:cstheme="minorHAnsi"/>
          <w:snapToGrid w:val="0"/>
          <w:lang w:val="en-GB"/>
        </w:rPr>
        <w:t>. The Committee further recalled it did not support th</w:t>
      </w:r>
      <w:r w:rsidR="00E358CC">
        <w:rPr>
          <w:rFonts w:asciiTheme="minorHAnsi" w:hAnsiTheme="minorHAnsi" w:cstheme="minorHAnsi"/>
          <w:snapToGrid w:val="0"/>
          <w:lang w:val="en-GB"/>
        </w:rPr>
        <w:t>e</w:t>
      </w:r>
      <w:r w:rsidR="00E43CB2">
        <w:rPr>
          <w:rFonts w:asciiTheme="minorHAnsi" w:hAnsiTheme="minorHAnsi" w:cstheme="minorHAnsi"/>
          <w:snapToGrid w:val="0"/>
          <w:lang w:val="en-GB"/>
        </w:rPr>
        <w:t xml:space="preserve"> change</w:t>
      </w:r>
      <w:r w:rsidR="00E358CC">
        <w:rPr>
          <w:rFonts w:asciiTheme="minorHAnsi" w:hAnsiTheme="minorHAnsi" w:cstheme="minorHAnsi"/>
          <w:snapToGrid w:val="0"/>
          <w:lang w:val="en-GB"/>
        </w:rPr>
        <w:t xml:space="preserve"> at that time</w:t>
      </w:r>
      <w:r w:rsidR="008D0245">
        <w:rPr>
          <w:rFonts w:asciiTheme="minorHAnsi" w:hAnsiTheme="minorHAnsi" w:cstheme="minorHAnsi"/>
          <w:snapToGrid w:val="0"/>
          <w:lang w:val="en-GB"/>
        </w:rPr>
        <w:t>, on the basis the clinical evidence presented did not adequately support the submission’s underlying claim that ofatumumab has superior comparative effectiveness versus fingolimod</w:t>
      </w:r>
      <w:r w:rsidR="009B232B">
        <w:rPr>
          <w:rFonts w:asciiTheme="minorHAnsi" w:hAnsiTheme="minorHAnsi" w:cstheme="minorHAnsi"/>
          <w:snapToGrid w:val="0"/>
          <w:lang w:val="en-GB"/>
        </w:rPr>
        <w:t xml:space="preserve">, as the submission lacked direct comparative evidence and relied on a two-step indirect treatment comparison </w:t>
      </w:r>
      <w:r w:rsidR="00F4771D">
        <w:rPr>
          <w:rFonts w:asciiTheme="minorHAnsi" w:hAnsiTheme="minorHAnsi" w:cstheme="minorHAnsi"/>
          <w:snapToGrid w:val="0"/>
          <w:lang w:val="en-GB"/>
        </w:rPr>
        <w:t>that, in its view, had substantial transitivity issues</w:t>
      </w:r>
      <w:r w:rsidR="00C70D5B">
        <w:rPr>
          <w:rFonts w:asciiTheme="minorHAnsi" w:hAnsiTheme="minorHAnsi" w:cstheme="minorHAnsi"/>
          <w:snapToGrid w:val="0"/>
          <w:lang w:val="en-GB"/>
        </w:rPr>
        <w:t xml:space="preserve"> and some of the included trials had an unknown amount of bias (paragraph 7.1, ofatumumab PSD, March 2024 PBAC meeting). The PBAC noted</w:t>
      </w:r>
      <w:r w:rsidR="000064D6">
        <w:rPr>
          <w:rFonts w:asciiTheme="minorHAnsi" w:hAnsiTheme="minorHAnsi" w:cstheme="minorHAnsi"/>
          <w:snapToGrid w:val="0"/>
          <w:lang w:val="en-GB"/>
        </w:rPr>
        <w:t xml:space="preserve"> the</w:t>
      </w:r>
      <w:r w:rsidR="00951FA3">
        <w:rPr>
          <w:rFonts w:asciiTheme="minorHAnsi" w:hAnsiTheme="minorHAnsi" w:cstheme="minorHAnsi"/>
          <w:snapToGrid w:val="0"/>
          <w:lang w:val="en-GB"/>
        </w:rPr>
        <w:t xml:space="preserve"> fingolimod</w:t>
      </w:r>
      <w:r w:rsidR="000064D6">
        <w:rPr>
          <w:rFonts w:asciiTheme="minorHAnsi" w:hAnsiTheme="minorHAnsi" w:cstheme="minorHAnsi"/>
          <w:snapToGrid w:val="0"/>
          <w:lang w:val="en-GB"/>
        </w:rPr>
        <w:t xml:space="preserve"> </w:t>
      </w:r>
      <w:r w:rsidR="001D3603">
        <w:rPr>
          <w:rFonts w:asciiTheme="minorHAnsi" w:hAnsiTheme="minorHAnsi" w:cstheme="minorHAnsi"/>
          <w:snapToGrid w:val="0"/>
          <w:lang w:val="en-GB"/>
        </w:rPr>
        <w:t xml:space="preserve">trials </w:t>
      </w:r>
      <w:r w:rsidR="00C70D5B">
        <w:rPr>
          <w:rFonts w:asciiTheme="minorHAnsi" w:hAnsiTheme="minorHAnsi" w:cstheme="minorHAnsi"/>
          <w:snapToGrid w:val="0"/>
          <w:lang w:val="en-GB"/>
        </w:rPr>
        <w:t>presented</w:t>
      </w:r>
      <w:r w:rsidR="002513EB">
        <w:rPr>
          <w:rFonts w:asciiTheme="minorHAnsi" w:hAnsiTheme="minorHAnsi" w:cstheme="minorHAnsi"/>
          <w:snapToGrid w:val="0"/>
          <w:lang w:val="en-GB"/>
        </w:rPr>
        <w:t xml:space="preserve"> (FREEDOMS I/II)</w:t>
      </w:r>
      <w:r w:rsidR="00C70D5B">
        <w:rPr>
          <w:rFonts w:asciiTheme="minorHAnsi" w:hAnsiTheme="minorHAnsi" w:cstheme="minorHAnsi"/>
          <w:snapToGrid w:val="0"/>
          <w:lang w:val="en-GB"/>
        </w:rPr>
        <w:t xml:space="preserve"> to inform the </w:t>
      </w:r>
      <w:r w:rsidR="001A0B5F">
        <w:rPr>
          <w:rFonts w:asciiTheme="minorHAnsi" w:hAnsiTheme="minorHAnsi" w:cstheme="minorHAnsi"/>
          <w:snapToGrid w:val="0"/>
          <w:lang w:val="en-GB"/>
        </w:rPr>
        <w:t>ublituximab submission</w:t>
      </w:r>
      <w:r w:rsidR="001D3603">
        <w:rPr>
          <w:rFonts w:asciiTheme="minorHAnsi" w:hAnsiTheme="minorHAnsi" w:cstheme="minorHAnsi"/>
          <w:snapToGrid w:val="0"/>
          <w:lang w:val="en-GB"/>
        </w:rPr>
        <w:t>’s</w:t>
      </w:r>
      <w:r w:rsidR="001A0B5F">
        <w:rPr>
          <w:rFonts w:asciiTheme="minorHAnsi" w:hAnsiTheme="minorHAnsi" w:cstheme="minorHAnsi"/>
          <w:snapToGrid w:val="0"/>
          <w:lang w:val="en-GB"/>
        </w:rPr>
        <w:t xml:space="preserve"> claim of superior comparative effectiveness over fingolimod was the same</w:t>
      </w:r>
      <w:r w:rsidR="00951FA3">
        <w:rPr>
          <w:rFonts w:asciiTheme="minorHAnsi" w:hAnsiTheme="minorHAnsi" w:cstheme="minorHAnsi"/>
          <w:snapToGrid w:val="0"/>
          <w:lang w:val="en-GB"/>
        </w:rPr>
        <w:t xml:space="preserve"> as in the </w:t>
      </w:r>
      <w:r w:rsidR="002513EB">
        <w:rPr>
          <w:rFonts w:asciiTheme="minorHAnsi" w:hAnsiTheme="minorHAnsi" w:cstheme="minorHAnsi"/>
          <w:snapToGrid w:val="0"/>
          <w:lang w:val="en-GB"/>
        </w:rPr>
        <w:t>ofatumumab submission</w:t>
      </w:r>
      <w:r w:rsidR="001A0B5F">
        <w:rPr>
          <w:rFonts w:asciiTheme="minorHAnsi" w:hAnsiTheme="minorHAnsi" w:cstheme="minorHAnsi"/>
          <w:snapToGrid w:val="0"/>
          <w:lang w:val="en-GB"/>
        </w:rPr>
        <w:t xml:space="preserve">, including the reliance on </w:t>
      </w:r>
      <w:r w:rsidR="004A596A">
        <w:rPr>
          <w:rFonts w:asciiTheme="minorHAnsi" w:hAnsiTheme="minorHAnsi" w:cstheme="minorHAnsi"/>
          <w:snapToGrid w:val="0"/>
          <w:lang w:val="en-GB"/>
        </w:rPr>
        <w:t xml:space="preserve">the same teriflunomide bridging </w:t>
      </w:r>
      <w:r w:rsidR="00FC63D6">
        <w:rPr>
          <w:rFonts w:asciiTheme="minorHAnsi" w:hAnsiTheme="minorHAnsi" w:cstheme="minorHAnsi"/>
          <w:snapToGrid w:val="0"/>
          <w:lang w:val="en-GB"/>
        </w:rPr>
        <w:t>studies</w:t>
      </w:r>
      <w:r w:rsidR="00422BDB">
        <w:rPr>
          <w:rFonts w:asciiTheme="minorHAnsi" w:hAnsiTheme="minorHAnsi" w:cstheme="minorHAnsi"/>
          <w:snapToGrid w:val="0"/>
          <w:lang w:val="en-GB"/>
        </w:rPr>
        <w:t xml:space="preserve"> (TEMSO and TOWER)</w:t>
      </w:r>
      <w:r w:rsidR="007825C7">
        <w:rPr>
          <w:rFonts w:asciiTheme="minorHAnsi" w:hAnsiTheme="minorHAnsi" w:cstheme="minorHAnsi"/>
          <w:snapToGrid w:val="0"/>
          <w:lang w:val="en-GB"/>
        </w:rPr>
        <w:t xml:space="preserve"> it had considered to be at a high risk of bias</w:t>
      </w:r>
      <w:r w:rsidR="00FC63D6">
        <w:rPr>
          <w:rFonts w:asciiTheme="minorHAnsi" w:hAnsiTheme="minorHAnsi" w:cstheme="minorHAnsi"/>
          <w:snapToGrid w:val="0"/>
          <w:lang w:val="en-GB"/>
        </w:rPr>
        <w:t xml:space="preserve"> for the two</w:t>
      </w:r>
      <w:r w:rsidR="002F2355">
        <w:rPr>
          <w:rFonts w:asciiTheme="minorHAnsi" w:hAnsiTheme="minorHAnsi" w:cstheme="minorHAnsi"/>
          <w:snapToGrid w:val="0"/>
          <w:lang w:val="en-GB"/>
        </w:rPr>
        <w:t>-step indirect comparison</w:t>
      </w:r>
      <w:r w:rsidR="001D3603">
        <w:rPr>
          <w:rFonts w:asciiTheme="minorHAnsi" w:hAnsiTheme="minorHAnsi" w:cstheme="minorHAnsi"/>
          <w:snapToGrid w:val="0"/>
          <w:lang w:val="en-GB"/>
        </w:rPr>
        <w:t>,</w:t>
      </w:r>
      <w:r w:rsidR="00873106">
        <w:rPr>
          <w:rFonts w:asciiTheme="minorHAnsi" w:hAnsiTheme="minorHAnsi" w:cstheme="minorHAnsi"/>
          <w:snapToGrid w:val="0"/>
          <w:lang w:val="en-GB"/>
        </w:rPr>
        <w:t xml:space="preserve"> and considered therefore the comparison of ublituximab and fingolimod</w:t>
      </w:r>
      <w:r w:rsidR="003440FF">
        <w:rPr>
          <w:rFonts w:asciiTheme="minorHAnsi" w:hAnsiTheme="minorHAnsi" w:cstheme="minorHAnsi"/>
          <w:snapToGrid w:val="0"/>
          <w:lang w:val="en-GB"/>
        </w:rPr>
        <w:t xml:space="preserve"> suffer</w:t>
      </w:r>
      <w:r w:rsidR="00065D5E">
        <w:rPr>
          <w:rFonts w:asciiTheme="minorHAnsi" w:hAnsiTheme="minorHAnsi" w:cstheme="minorHAnsi"/>
          <w:snapToGrid w:val="0"/>
          <w:lang w:val="en-GB"/>
        </w:rPr>
        <w:t>ed</w:t>
      </w:r>
      <w:r w:rsidR="003440FF">
        <w:rPr>
          <w:rFonts w:asciiTheme="minorHAnsi" w:hAnsiTheme="minorHAnsi" w:cstheme="minorHAnsi"/>
          <w:snapToGrid w:val="0"/>
          <w:lang w:val="en-GB"/>
        </w:rPr>
        <w:t xml:space="preserve"> from the same inherent </w:t>
      </w:r>
      <w:r w:rsidR="00AF7199">
        <w:rPr>
          <w:rFonts w:asciiTheme="minorHAnsi" w:hAnsiTheme="minorHAnsi" w:cstheme="minorHAnsi"/>
          <w:snapToGrid w:val="0"/>
          <w:lang w:val="en-GB"/>
        </w:rPr>
        <w:t>uncertainties and weaknesses.</w:t>
      </w:r>
      <w:r w:rsidR="000064D6">
        <w:rPr>
          <w:rFonts w:asciiTheme="minorHAnsi" w:hAnsiTheme="minorHAnsi" w:cstheme="minorHAnsi"/>
          <w:snapToGrid w:val="0"/>
          <w:lang w:val="en-GB"/>
        </w:rPr>
        <w:t xml:space="preserve"> </w:t>
      </w:r>
      <w:r w:rsidR="00BF0141">
        <w:rPr>
          <w:rFonts w:asciiTheme="minorHAnsi" w:hAnsiTheme="minorHAnsi" w:cstheme="minorHAnsi"/>
          <w:snapToGrid w:val="0"/>
          <w:lang w:val="en-GB"/>
        </w:rPr>
        <w:t xml:space="preserve">The PBAC noted the comment and statistical analysis regarding the impact of the potential bias on the comparison (paragraph </w:t>
      </w:r>
      <w:r w:rsidR="00BF0141">
        <w:rPr>
          <w:rFonts w:asciiTheme="minorHAnsi" w:hAnsiTheme="minorHAnsi" w:cstheme="minorHAnsi"/>
          <w:snapToGrid w:val="0"/>
          <w:lang w:val="en-GB"/>
        </w:rPr>
        <w:fldChar w:fldCharType="begin"/>
      </w:r>
      <w:r w:rsidR="00BF0141">
        <w:rPr>
          <w:rFonts w:asciiTheme="minorHAnsi" w:hAnsiTheme="minorHAnsi" w:cstheme="minorHAnsi"/>
          <w:snapToGrid w:val="0"/>
          <w:lang w:val="en-GB"/>
        </w:rPr>
        <w:instrText xml:space="preserve"> REF _Ref198731414 \r \h </w:instrText>
      </w:r>
      <w:r w:rsidR="00BF0141">
        <w:rPr>
          <w:rFonts w:asciiTheme="minorHAnsi" w:hAnsiTheme="minorHAnsi" w:cstheme="minorHAnsi"/>
          <w:snapToGrid w:val="0"/>
          <w:lang w:val="en-GB"/>
        </w:rPr>
      </w:r>
      <w:r w:rsidR="00BF0141">
        <w:rPr>
          <w:rFonts w:asciiTheme="minorHAnsi" w:hAnsiTheme="minorHAnsi" w:cstheme="minorHAnsi"/>
          <w:snapToGrid w:val="0"/>
          <w:lang w:val="en-GB"/>
        </w:rPr>
        <w:fldChar w:fldCharType="separate"/>
      </w:r>
      <w:r w:rsidR="00D925D4">
        <w:rPr>
          <w:rFonts w:asciiTheme="minorHAnsi" w:hAnsiTheme="minorHAnsi" w:cstheme="minorHAnsi"/>
          <w:snapToGrid w:val="0"/>
          <w:lang w:val="en-GB"/>
        </w:rPr>
        <w:t>6.45</w:t>
      </w:r>
      <w:r w:rsidR="00BF0141">
        <w:rPr>
          <w:rFonts w:asciiTheme="minorHAnsi" w:hAnsiTheme="minorHAnsi" w:cstheme="minorHAnsi"/>
          <w:snapToGrid w:val="0"/>
          <w:lang w:val="en-GB"/>
        </w:rPr>
        <w:fldChar w:fldCharType="end"/>
      </w:r>
      <w:r w:rsidR="00BF0141">
        <w:rPr>
          <w:rFonts w:asciiTheme="minorHAnsi" w:hAnsiTheme="minorHAnsi" w:cstheme="minorHAnsi"/>
          <w:snapToGrid w:val="0"/>
          <w:lang w:val="en-GB"/>
        </w:rPr>
        <w:t xml:space="preserve"> refers).</w:t>
      </w:r>
      <w:r w:rsidR="00FA3ED9">
        <w:rPr>
          <w:rFonts w:asciiTheme="minorHAnsi" w:hAnsiTheme="minorHAnsi" w:cstheme="minorHAnsi"/>
          <w:snapToGrid w:val="0"/>
          <w:lang w:val="en-GB"/>
        </w:rPr>
        <w:t xml:space="preserve"> </w:t>
      </w:r>
      <w:r w:rsidR="00FA3ED9" w:rsidRPr="00FA3ED9">
        <w:rPr>
          <w:rFonts w:asciiTheme="minorHAnsi" w:hAnsiTheme="minorHAnsi" w:cstheme="minorHAnsi"/>
          <w:snapToGrid w:val="0"/>
          <w:lang w:val="en-GB"/>
        </w:rPr>
        <w:lastRenderedPageBreak/>
        <w:t>In drawing its conclusions</w:t>
      </w:r>
      <w:r w:rsidR="00FA3ED9">
        <w:rPr>
          <w:rFonts w:asciiTheme="minorHAnsi" w:hAnsiTheme="minorHAnsi" w:cstheme="minorHAnsi"/>
          <w:snapToGrid w:val="0"/>
          <w:lang w:val="en-GB"/>
        </w:rPr>
        <w:t>,</w:t>
      </w:r>
      <w:r w:rsidR="00FA3ED9" w:rsidRPr="00FA3ED9">
        <w:rPr>
          <w:rFonts w:asciiTheme="minorHAnsi" w:hAnsiTheme="minorHAnsi" w:cstheme="minorHAnsi"/>
          <w:snapToGrid w:val="0"/>
          <w:lang w:val="en-GB"/>
        </w:rPr>
        <w:t xml:space="preserve"> the PBAC </w:t>
      </w:r>
      <w:proofErr w:type="gramStart"/>
      <w:r w:rsidR="00FA3ED9">
        <w:rPr>
          <w:rFonts w:asciiTheme="minorHAnsi" w:hAnsiTheme="minorHAnsi" w:cstheme="minorHAnsi"/>
          <w:snapToGrid w:val="0"/>
          <w:lang w:val="en-GB"/>
        </w:rPr>
        <w:t>took</w:t>
      </w:r>
      <w:r w:rsidR="00FA3ED9" w:rsidRPr="00FA3ED9">
        <w:rPr>
          <w:rFonts w:asciiTheme="minorHAnsi" w:hAnsiTheme="minorHAnsi" w:cstheme="minorHAnsi"/>
          <w:snapToGrid w:val="0"/>
          <w:lang w:val="en-GB"/>
        </w:rPr>
        <w:t xml:space="preserve"> into account</w:t>
      </w:r>
      <w:proofErr w:type="gramEnd"/>
      <w:r w:rsidR="00FA3ED9" w:rsidRPr="00FA3ED9">
        <w:rPr>
          <w:rFonts w:asciiTheme="minorHAnsi" w:hAnsiTheme="minorHAnsi" w:cstheme="minorHAnsi"/>
          <w:snapToGrid w:val="0"/>
          <w:lang w:val="en-GB"/>
        </w:rPr>
        <w:t xml:space="preserve"> the statistical analyses and associated comments regarding the potential bias on the comparison</w:t>
      </w:r>
      <w:r w:rsidR="00FA3ED9">
        <w:rPr>
          <w:rFonts w:asciiTheme="minorHAnsi" w:hAnsiTheme="minorHAnsi" w:cstheme="minorHAnsi"/>
          <w:snapToGrid w:val="0"/>
          <w:lang w:val="en-GB"/>
        </w:rPr>
        <w:t>.</w:t>
      </w:r>
    </w:p>
    <w:p w14:paraId="5818671A" w14:textId="48A83CFF" w:rsidR="006C1F37" w:rsidRDefault="006D2FB9" w:rsidP="006C1F37">
      <w:pPr>
        <w:widowControl w:val="0"/>
        <w:numPr>
          <w:ilvl w:val="1"/>
          <w:numId w:val="6"/>
        </w:numPr>
        <w:spacing w:after="120"/>
        <w:rPr>
          <w:rFonts w:asciiTheme="minorHAnsi" w:hAnsiTheme="minorHAnsi" w:cstheme="minorHAnsi"/>
          <w:snapToGrid w:val="0"/>
          <w:lang w:val="en-GB"/>
        </w:rPr>
      </w:pPr>
      <w:r>
        <w:rPr>
          <w:rFonts w:asciiTheme="minorHAnsi" w:hAnsiTheme="minorHAnsi" w:cstheme="minorHAnsi"/>
          <w:snapToGrid w:val="0"/>
          <w:lang w:val="en-GB"/>
        </w:rPr>
        <w:t xml:space="preserve">The PBAC also noted the submission presented an </w:t>
      </w:r>
      <w:r w:rsidR="006C1F37">
        <w:rPr>
          <w:rFonts w:asciiTheme="minorHAnsi" w:hAnsiTheme="minorHAnsi" w:cstheme="minorHAnsi"/>
          <w:snapToGrid w:val="0"/>
          <w:lang w:val="en-GB"/>
        </w:rPr>
        <w:t>additional</w:t>
      </w:r>
      <w:r>
        <w:rPr>
          <w:rFonts w:asciiTheme="minorHAnsi" w:hAnsiTheme="minorHAnsi" w:cstheme="minorHAnsi"/>
          <w:snapToGrid w:val="0"/>
          <w:lang w:val="en-GB"/>
        </w:rPr>
        <w:t xml:space="preserve"> network meta-analysis</w:t>
      </w:r>
      <w:r w:rsidR="006C1F37">
        <w:rPr>
          <w:rFonts w:asciiTheme="minorHAnsi" w:hAnsiTheme="minorHAnsi" w:cstheme="minorHAnsi"/>
          <w:snapToGrid w:val="0"/>
          <w:lang w:val="en-GB"/>
        </w:rPr>
        <w:t xml:space="preserve"> </w:t>
      </w:r>
      <w:r w:rsidR="004249B1">
        <w:rPr>
          <w:rFonts w:asciiTheme="minorHAnsi" w:hAnsiTheme="minorHAnsi" w:cstheme="minorHAnsi"/>
          <w:snapToGrid w:val="0"/>
          <w:lang w:val="en-GB"/>
        </w:rPr>
        <w:t>(</w:t>
      </w:r>
      <w:r w:rsidR="006C1F37">
        <w:rPr>
          <w:rFonts w:asciiTheme="minorHAnsi" w:hAnsiTheme="minorHAnsi" w:cstheme="minorHAnsi"/>
          <w:snapToGrid w:val="0"/>
          <w:lang w:val="en-GB"/>
        </w:rPr>
        <w:t>NMA</w:t>
      </w:r>
      <w:r w:rsidR="004249B1">
        <w:rPr>
          <w:rFonts w:asciiTheme="minorHAnsi" w:hAnsiTheme="minorHAnsi" w:cstheme="minorHAnsi"/>
          <w:snapToGrid w:val="0"/>
          <w:lang w:val="en-GB"/>
        </w:rPr>
        <w:t>)</w:t>
      </w:r>
      <w:r w:rsidR="006C1F37">
        <w:rPr>
          <w:rFonts w:asciiTheme="minorHAnsi" w:hAnsiTheme="minorHAnsi" w:cstheme="minorHAnsi"/>
          <w:snapToGrid w:val="0"/>
          <w:lang w:val="en-GB"/>
        </w:rPr>
        <w:t xml:space="preserve"> </w:t>
      </w:r>
      <w:r w:rsidR="004249B1">
        <w:rPr>
          <w:rFonts w:asciiTheme="minorHAnsi" w:hAnsiTheme="minorHAnsi" w:cstheme="minorHAnsi"/>
          <w:snapToGrid w:val="0"/>
          <w:lang w:val="en-GB"/>
        </w:rPr>
        <w:t>and</w:t>
      </w:r>
      <w:r w:rsidR="001326EC">
        <w:rPr>
          <w:rFonts w:asciiTheme="minorHAnsi" w:hAnsiTheme="minorHAnsi" w:cstheme="minorHAnsi"/>
          <w:snapToGrid w:val="0"/>
          <w:lang w:val="en-GB"/>
        </w:rPr>
        <w:t xml:space="preserve"> agreed</w:t>
      </w:r>
      <w:r w:rsidR="004249B1">
        <w:rPr>
          <w:rFonts w:asciiTheme="minorHAnsi" w:hAnsiTheme="minorHAnsi" w:cstheme="minorHAnsi"/>
          <w:snapToGrid w:val="0"/>
          <w:lang w:val="en-GB"/>
        </w:rPr>
        <w:t xml:space="preserve"> </w:t>
      </w:r>
      <w:r w:rsidR="006C1F37">
        <w:rPr>
          <w:rFonts w:asciiTheme="minorHAnsi" w:hAnsiTheme="minorHAnsi" w:cstheme="minorHAnsi"/>
          <w:snapToGrid w:val="0"/>
          <w:lang w:val="en-GB"/>
        </w:rPr>
        <w:t>with the ESC</w:t>
      </w:r>
      <w:r w:rsidR="00B47483">
        <w:rPr>
          <w:rFonts w:asciiTheme="minorHAnsi" w:hAnsiTheme="minorHAnsi" w:cstheme="minorHAnsi"/>
          <w:snapToGrid w:val="0"/>
          <w:lang w:val="en-GB"/>
        </w:rPr>
        <w:t xml:space="preserve"> </w:t>
      </w:r>
      <w:r w:rsidR="00B47483" w:rsidRPr="00B47483">
        <w:rPr>
          <w:rFonts w:asciiTheme="minorHAnsi" w:hAnsiTheme="minorHAnsi" w:cstheme="minorHAnsi"/>
          <w:snapToGrid w:val="0"/>
          <w:lang w:val="en-GB"/>
        </w:rPr>
        <w:t>that the NMA presented in the current submission (ICER 2024) did not appear to provide additional certainty to inform</w:t>
      </w:r>
      <w:r w:rsidR="00B47483">
        <w:rPr>
          <w:rFonts w:asciiTheme="minorHAnsi" w:hAnsiTheme="minorHAnsi" w:cstheme="minorHAnsi"/>
          <w:snapToGrid w:val="0"/>
          <w:lang w:val="en-GB"/>
        </w:rPr>
        <w:t xml:space="preserve"> a</w:t>
      </w:r>
      <w:r w:rsidR="00B47483" w:rsidRPr="00B47483">
        <w:rPr>
          <w:rFonts w:asciiTheme="minorHAnsi" w:hAnsiTheme="minorHAnsi" w:cstheme="minorHAnsi"/>
          <w:snapToGrid w:val="0"/>
          <w:lang w:val="en-GB"/>
        </w:rPr>
        <w:t xml:space="preserve"> claim of superiority than the NMA used to support the similar claim for ofatumumab in March</w:t>
      </w:r>
      <w:r w:rsidR="00E1020E">
        <w:rPr>
          <w:rFonts w:asciiTheme="minorHAnsi" w:hAnsiTheme="minorHAnsi" w:cstheme="minorHAnsi"/>
          <w:snapToGrid w:val="0"/>
          <w:lang w:val="en-GB"/>
        </w:rPr>
        <w:t> </w:t>
      </w:r>
      <w:r w:rsidR="00B47483" w:rsidRPr="00B47483">
        <w:rPr>
          <w:rFonts w:asciiTheme="minorHAnsi" w:hAnsiTheme="minorHAnsi" w:cstheme="minorHAnsi"/>
          <w:snapToGrid w:val="0"/>
          <w:lang w:val="en-GB"/>
        </w:rPr>
        <w:t>2024 (</w:t>
      </w:r>
      <w:proofErr w:type="spellStart"/>
      <w:r w:rsidR="00B47483" w:rsidRPr="00B47483">
        <w:rPr>
          <w:rFonts w:asciiTheme="minorHAnsi" w:hAnsiTheme="minorHAnsi" w:cstheme="minorHAnsi"/>
          <w:snapToGrid w:val="0"/>
          <w:lang w:val="en-GB"/>
        </w:rPr>
        <w:t>Samjoo</w:t>
      </w:r>
      <w:proofErr w:type="spellEnd"/>
      <w:r w:rsidR="00B47483" w:rsidRPr="00B47483">
        <w:rPr>
          <w:rFonts w:asciiTheme="minorHAnsi" w:hAnsiTheme="minorHAnsi" w:cstheme="minorHAnsi"/>
          <w:snapToGrid w:val="0"/>
          <w:lang w:val="en-GB"/>
        </w:rPr>
        <w:t xml:space="preserve"> 2023)</w:t>
      </w:r>
      <w:r w:rsidR="006C1F37">
        <w:rPr>
          <w:rFonts w:asciiTheme="minorHAnsi" w:hAnsiTheme="minorHAnsi" w:cstheme="minorHAnsi"/>
          <w:snapToGrid w:val="0"/>
          <w:lang w:val="en-GB"/>
        </w:rPr>
        <w:t xml:space="preserve"> </w:t>
      </w:r>
      <w:r w:rsidR="001D3603">
        <w:rPr>
          <w:rFonts w:asciiTheme="minorHAnsi" w:hAnsiTheme="minorHAnsi" w:cstheme="minorHAnsi"/>
          <w:snapToGrid w:val="0"/>
          <w:lang w:val="en-GB"/>
        </w:rPr>
        <w:t>i.e.</w:t>
      </w:r>
      <w:r w:rsidR="002D40F2">
        <w:rPr>
          <w:rFonts w:asciiTheme="minorHAnsi" w:hAnsiTheme="minorHAnsi" w:cstheme="minorHAnsi"/>
          <w:snapToGrid w:val="0"/>
          <w:lang w:val="en-GB"/>
        </w:rPr>
        <w:t xml:space="preserve"> given the</w:t>
      </w:r>
      <w:r w:rsidR="00474181">
        <w:rPr>
          <w:rFonts w:asciiTheme="minorHAnsi" w:hAnsiTheme="minorHAnsi" w:cstheme="minorHAnsi"/>
          <w:snapToGrid w:val="0"/>
          <w:lang w:val="en-GB"/>
        </w:rPr>
        <w:t xml:space="preserve"> consistently</w:t>
      </w:r>
      <w:r w:rsidR="002D40F2">
        <w:rPr>
          <w:rFonts w:asciiTheme="minorHAnsi" w:hAnsiTheme="minorHAnsi" w:cstheme="minorHAnsi"/>
          <w:snapToGrid w:val="0"/>
          <w:lang w:val="en-GB"/>
        </w:rPr>
        <w:t xml:space="preserve"> overlapping 95% confidence intervals</w:t>
      </w:r>
      <w:r w:rsidR="00474181">
        <w:rPr>
          <w:rFonts w:asciiTheme="minorHAnsi" w:hAnsiTheme="minorHAnsi" w:cstheme="minorHAnsi"/>
          <w:snapToGrid w:val="0"/>
          <w:lang w:val="en-GB"/>
        </w:rPr>
        <w:t>,</w:t>
      </w:r>
      <w:r w:rsidR="006C1F37">
        <w:rPr>
          <w:rFonts w:asciiTheme="minorHAnsi" w:hAnsiTheme="minorHAnsi" w:cstheme="minorHAnsi"/>
          <w:snapToGrid w:val="0"/>
          <w:lang w:val="en-GB"/>
        </w:rPr>
        <w:t xml:space="preserve"> </w:t>
      </w:r>
      <w:r w:rsidR="002D40F2">
        <w:rPr>
          <w:rFonts w:asciiTheme="minorHAnsi" w:hAnsiTheme="minorHAnsi" w:cstheme="minorHAnsi"/>
          <w:snapToGrid w:val="0"/>
          <w:lang w:val="en-GB"/>
        </w:rPr>
        <w:t>the</w:t>
      </w:r>
      <w:r w:rsidR="00474181">
        <w:rPr>
          <w:rFonts w:asciiTheme="minorHAnsi" w:hAnsiTheme="minorHAnsi" w:cstheme="minorHAnsi"/>
          <w:snapToGrid w:val="0"/>
          <w:lang w:val="en-GB"/>
        </w:rPr>
        <w:t>se analyses</w:t>
      </w:r>
      <w:r w:rsidR="002D40F2">
        <w:rPr>
          <w:rFonts w:asciiTheme="minorHAnsi" w:hAnsiTheme="minorHAnsi" w:cstheme="minorHAnsi"/>
          <w:snapToGrid w:val="0"/>
          <w:lang w:val="en-GB"/>
        </w:rPr>
        <w:t xml:space="preserve"> did not</w:t>
      </w:r>
      <w:r w:rsidR="00474181">
        <w:rPr>
          <w:rFonts w:asciiTheme="minorHAnsi" w:hAnsiTheme="minorHAnsi" w:cstheme="minorHAnsi"/>
          <w:snapToGrid w:val="0"/>
          <w:lang w:val="en-GB"/>
        </w:rPr>
        <w:t xml:space="preserve"> support</w:t>
      </w:r>
      <w:r w:rsidR="002D40F2">
        <w:rPr>
          <w:rFonts w:asciiTheme="minorHAnsi" w:hAnsiTheme="minorHAnsi" w:cstheme="minorHAnsi"/>
          <w:snapToGrid w:val="0"/>
          <w:lang w:val="en-GB"/>
        </w:rPr>
        <w:t xml:space="preserve"> a</w:t>
      </w:r>
      <w:r w:rsidR="001326EC">
        <w:rPr>
          <w:rFonts w:asciiTheme="minorHAnsi" w:hAnsiTheme="minorHAnsi" w:cstheme="minorHAnsi"/>
          <w:snapToGrid w:val="0"/>
          <w:lang w:val="en-GB"/>
        </w:rPr>
        <w:t xml:space="preserve"> </w:t>
      </w:r>
      <w:r w:rsidR="00B47483">
        <w:rPr>
          <w:rFonts w:asciiTheme="minorHAnsi" w:hAnsiTheme="minorHAnsi" w:cstheme="minorHAnsi"/>
          <w:snapToGrid w:val="0"/>
          <w:lang w:val="en-GB"/>
        </w:rPr>
        <w:t>conclusion</w:t>
      </w:r>
      <w:r w:rsidR="006C1F37">
        <w:rPr>
          <w:rFonts w:asciiTheme="minorHAnsi" w:hAnsiTheme="minorHAnsi" w:cstheme="minorHAnsi"/>
          <w:snapToGrid w:val="0"/>
          <w:lang w:val="en-GB"/>
        </w:rPr>
        <w:t xml:space="preserve"> of </w:t>
      </w:r>
      <w:r w:rsidR="002D40F2">
        <w:rPr>
          <w:rFonts w:asciiTheme="minorHAnsi" w:hAnsiTheme="minorHAnsi" w:cstheme="minorHAnsi"/>
          <w:snapToGrid w:val="0"/>
          <w:lang w:val="en-GB"/>
        </w:rPr>
        <w:t>superiority</w:t>
      </w:r>
      <w:r w:rsidR="00385A1E">
        <w:rPr>
          <w:rFonts w:asciiTheme="minorHAnsi" w:hAnsiTheme="minorHAnsi" w:cstheme="minorHAnsi"/>
          <w:snapToGrid w:val="0"/>
          <w:lang w:val="en-GB"/>
        </w:rPr>
        <w:t xml:space="preserve"> for</w:t>
      </w:r>
      <w:r w:rsidR="002D40F2">
        <w:rPr>
          <w:rFonts w:asciiTheme="minorHAnsi" w:hAnsiTheme="minorHAnsi" w:cstheme="minorHAnsi"/>
          <w:snapToGrid w:val="0"/>
          <w:lang w:val="en-GB"/>
        </w:rPr>
        <w:t xml:space="preserve"> </w:t>
      </w:r>
      <w:r w:rsidR="006C1F37">
        <w:rPr>
          <w:rFonts w:asciiTheme="minorHAnsi" w:hAnsiTheme="minorHAnsi" w:cstheme="minorHAnsi"/>
          <w:snapToGrid w:val="0"/>
          <w:lang w:val="en-GB"/>
        </w:rPr>
        <w:t xml:space="preserve">ublituximab </w:t>
      </w:r>
      <w:r w:rsidR="00385A1E">
        <w:rPr>
          <w:rFonts w:asciiTheme="minorHAnsi" w:hAnsiTheme="minorHAnsi" w:cstheme="minorHAnsi"/>
          <w:snapToGrid w:val="0"/>
          <w:lang w:val="en-GB"/>
        </w:rPr>
        <w:t>over</w:t>
      </w:r>
      <w:r w:rsidR="006C1F37">
        <w:rPr>
          <w:rFonts w:asciiTheme="minorHAnsi" w:hAnsiTheme="minorHAnsi" w:cstheme="minorHAnsi"/>
          <w:snapToGrid w:val="0"/>
          <w:lang w:val="en-GB"/>
        </w:rPr>
        <w:t xml:space="preserve"> fingolimod</w:t>
      </w:r>
      <w:r w:rsidR="004249B1">
        <w:rPr>
          <w:rFonts w:asciiTheme="minorHAnsi" w:hAnsiTheme="minorHAnsi" w:cstheme="minorHAnsi"/>
          <w:snapToGrid w:val="0"/>
          <w:lang w:val="en-GB"/>
        </w:rPr>
        <w:t xml:space="preserve"> (paragraph</w:t>
      </w:r>
      <w:r w:rsidR="007C517B">
        <w:rPr>
          <w:rFonts w:asciiTheme="minorHAnsi" w:hAnsiTheme="minorHAnsi" w:cstheme="minorHAnsi"/>
          <w:snapToGrid w:val="0"/>
          <w:lang w:val="en-GB"/>
        </w:rPr>
        <w:t xml:space="preserve"> </w:t>
      </w:r>
      <w:r w:rsidR="007C517B">
        <w:rPr>
          <w:rFonts w:asciiTheme="minorHAnsi" w:hAnsiTheme="minorHAnsi" w:cstheme="minorHAnsi"/>
          <w:snapToGrid w:val="0"/>
          <w:lang w:val="en-GB"/>
        </w:rPr>
        <w:fldChar w:fldCharType="begin"/>
      </w:r>
      <w:r w:rsidR="007C517B">
        <w:rPr>
          <w:rFonts w:asciiTheme="minorHAnsi" w:hAnsiTheme="minorHAnsi" w:cstheme="minorHAnsi"/>
          <w:snapToGrid w:val="0"/>
          <w:lang w:val="en-GB"/>
        </w:rPr>
        <w:instrText xml:space="preserve"> REF _Ref198119351 \r \h </w:instrText>
      </w:r>
      <w:r w:rsidR="007C517B">
        <w:rPr>
          <w:rFonts w:asciiTheme="minorHAnsi" w:hAnsiTheme="minorHAnsi" w:cstheme="minorHAnsi"/>
          <w:snapToGrid w:val="0"/>
          <w:lang w:val="en-GB"/>
        </w:rPr>
      </w:r>
      <w:r w:rsidR="007C517B">
        <w:rPr>
          <w:rFonts w:asciiTheme="minorHAnsi" w:hAnsiTheme="minorHAnsi" w:cstheme="minorHAnsi"/>
          <w:snapToGrid w:val="0"/>
          <w:lang w:val="en-GB"/>
        </w:rPr>
        <w:fldChar w:fldCharType="separate"/>
      </w:r>
      <w:r w:rsidR="00D925D4">
        <w:rPr>
          <w:rFonts w:asciiTheme="minorHAnsi" w:hAnsiTheme="minorHAnsi" w:cstheme="minorHAnsi"/>
          <w:snapToGrid w:val="0"/>
          <w:lang w:val="en-GB"/>
        </w:rPr>
        <w:t>6.49</w:t>
      </w:r>
      <w:r w:rsidR="007C517B">
        <w:rPr>
          <w:rFonts w:asciiTheme="minorHAnsi" w:hAnsiTheme="minorHAnsi" w:cstheme="minorHAnsi"/>
          <w:snapToGrid w:val="0"/>
          <w:lang w:val="en-GB"/>
        </w:rPr>
        <w:fldChar w:fldCharType="end"/>
      </w:r>
      <w:r w:rsidR="007C517B">
        <w:rPr>
          <w:rFonts w:asciiTheme="minorHAnsi" w:hAnsiTheme="minorHAnsi" w:cstheme="minorHAnsi"/>
          <w:snapToGrid w:val="0"/>
          <w:lang w:val="en-GB"/>
        </w:rPr>
        <w:t>)</w:t>
      </w:r>
      <w:r w:rsidR="006C1F37">
        <w:rPr>
          <w:rFonts w:asciiTheme="minorHAnsi" w:hAnsiTheme="minorHAnsi" w:cstheme="minorHAnsi"/>
          <w:snapToGrid w:val="0"/>
          <w:lang w:val="en-GB"/>
        </w:rPr>
        <w:t xml:space="preserve">. </w:t>
      </w:r>
    </w:p>
    <w:p w14:paraId="038C7639" w14:textId="2F396A80" w:rsidR="00474181" w:rsidRDefault="00474181" w:rsidP="006C1F37">
      <w:pPr>
        <w:widowControl w:val="0"/>
        <w:numPr>
          <w:ilvl w:val="1"/>
          <w:numId w:val="6"/>
        </w:numPr>
        <w:spacing w:after="120"/>
        <w:rPr>
          <w:rFonts w:asciiTheme="minorHAnsi" w:hAnsiTheme="minorHAnsi" w:cstheme="minorHAnsi"/>
          <w:snapToGrid w:val="0"/>
          <w:lang w:val="en-GB"/>
        </w:rPr>
      </w:pPr>
      <w:r>
        <w:rPr>
          <w:rFonts w:asciiTheme="minorHAnsi" w:hAnsiTheme="minorHAnsi" w:cstheme="minorHAnsi"/>
          <w:snapToGrid w:val="0"/>
          <w:lang w:val="en-GB"/>
        </w:rPr>
        <w:t xml:space="preserve">With respect to the analyses and clinical claim of non-inferior comparative effectiveness versus ocrelizumab, the PBAC considered the </w:t>
      </w:r>
      <w:r w:rsidR="004D4C4A">
        <w:rPr>
          <w:rFonts w:asciiTheme="minorHAnsi" w:hAnsiTheme="minorHAnsi" w:cstheme="minorHAnsi"/>
          <w:snapToGrid w:val="0"/>
          <w:lang w:val="en-GB"/>
        </w:rPr>
        <w:t xml:space="preserve">two-step indirect treatment comparison via interferon beta 1-a was </w:t>
      </w:r>
      <w:r w:rsidR="00FA3643">
        <w:rPr>
          <w:rFonts w:asciiTheme="minorHAnsi" w:hAnsiTheme="minorHAnsi" w:cstheme="minorHAnsi"/>
          <w:snapToGrid w:val="0"/>
          <w:lang w:val="en-GB"/>
        </w:rPr>
        <w:t>also inherently uncertain given the risk of bias concerns with the</w:t>
      </w:r>
      <w:r w:rsidR="005E3E1A">
        <w:rPr>
          <w:rFonts w:asciiTheme="minorHAnsi" w:hAnsiTheme="minorHAnsi" w:cstheme="minorHAnsi"/>
          <w:snapToGrid w:val="0"/>
          <w:lang w:val="en-GB"/>
        </w:rPr>
        <w:t xml:space="preserve"> bridging trial of teriflunomide and interferon beta-1a (TENERE). However, the Committee considered that as the comparison was used to support a claim of non-inferiority (rather than superiority), the </w:t>
      </w:r>
      <w:r w:rsidR="00BA2EB2">
        <w:rPr>
          <w:rFonts w:asciiTheme="minorHAnsi" w:hAnsiTheme="minorHAnsi" w:cstheme="minorHAnsi"/>
          <w:snapToGrid w:val="0"/>
          <w:lang w:val="en-GB"/>
        </w:rPr>
        <w:t xml:space="preserve">evidence tended to be more supportive for such a </w:t>
      </w:r>
      <w:r w:rsidR="00D5166A">
        <w:rPr>
          <w:rFonts w:asciiTheme="minorHAnsi" w:hAnsiTheme="minorHAnsi" w:cstheme="minorHAnsi"/>
          <w:snapToGrid w:val="0"/>
          <w:lang w:val="en-GB"/>
        </w:rPr>
        <w:t>claim but</w:t>
      </w:r>
      <w:r w:rsidR="00BA2EB2">
        <w:rPr>
          <w:rFonts w:asciiTheme="minorHAnsi" w:hAnsiTheme="minorHAnsi" w:cstheme="minorHAnsi"/>
          <w:snapToGrid w:val="0"/>
          <w:lang w:val="en-GB"/>
        </w:rPr>
        <w:t xml:space="preserve"> still included substantial uncertainty. </w:t>
      </w:r>
    </w:p>
    <w:p w14:paraId="3824F7A1" w14:textId="6AC777E8" w:rsidR="00F50402" w:rsidRDefault="00AC0EC8" w:rsidP="006C1F37">
      <w:pPr>
        <w:widowControl w:val="0"/>
        <w:numPr>
          <w:ilvl w:val="1"/>
          <w:numId w:val="6"/>
        </w:numPr>
        <w:spacing w:after="120"/>
        <w:rPr>
          <w:rFonts w:asciiTheme="minorHAnsi" w:hAnsiTheme="minorHAnsi" w:cstheme="minorHAnsi"/>
          <w:snapToGrid w:val="0"/>
          <w:lang w:val="en-GB"/>
        </w:rPr>
      </w:pPr>
      <w:r>
        <w:rPr>
          <w:lang w:val="en-GB"/>
        </w:rPr>
        <w:t xml:space="preserve">Given its view on the comparative effectiveness of ublituximab to the nominated comparators of fingolimod, ofatumumab and </w:t>
      </w:r>
      <w:r w:rsidR="00BB2233">
        <w:rPr>
          <w:lang w:val="en-GB"/>
        </w:rPr>
        <w:t>ocrelizumab, the PBAC</w:t>
      </w:r>
      <w:r w:rsidR="0002748F">
        <w:rPr>
          <w:lang w:val="en-GB"/>
        </w:rPr>
        <w:t xml:space="preserve"> recalled it had considered a submission for ofatumumab </w:t>
      </w:r>
      <w:r w:rsidR="00D1426A">
        <w:rPr>
          <w:lang w:val="en-GB"/>
        </w:rPr>
        <w:t>for RRMS</w:t>
      </w:r>
      <w:r w:rsidR="0002748F">
        <w:rPr>
          <w:lang w:val="en-GB"/>
        </w:rPr>
        <w:t xml:space="preserve"> in March 2024 that made a claim of superior comparative effectiveness over fingolimod and requested the formation of a third (‘mid’) efficacy tier in RRMS and that it did not accept either of those claims/requests.</w:t>
      </w:r>
      <w:r w:rsidR="00E92D09">
        <w:rPr>
          <w:lang w:val="en-GB"/>
        </w:rPr>
        <w:t xml:space="preserve"> The PBAC also recalled that when it first considered ofatumumab in March 2021, i</w:t>
      </w:r>
      <w:r w:rsidR="00D1426A">
        <w:rPr>
          <w:lang w:val="en-GB"/>
        </w:rPr>
        <w:t>ts recommendation</w:t>
      </w:r>
      <w:r w:rsidR="00F11517" w:rsidRPr="00F11517">
        <w:rPr>
          <w:rFonts w:asciiTheme="minorHAnsi" w:hAnsiTheme="minorHAnsi" w:cstheme="minorHAnsi"/>
          <w:snapToGrid w:val="0"/>
          <w:lang w:val="en-GB"/>
        </w:rPr>
        <w:t xml:space="preserve"> established relativities of non-inferiority of ofatumumab to the other higher efficacy </w:t>
      </w:r>
      <w:r w:rsidR="005B7595">
        <w:rPr>
          <w:rFonts w:asciiTheme="minorHAnsi" w:hAnsiTheme="minorHAnsi" w:cstheme="minorHAnsi"/>
          <w:snapToGrid w:val="0"/>
          <w:lang w:val="en-GB"/>
        </w:rPr>
        <w:t>tier</w:t>
      </w:r>
      <w:r w:rsidR="00F11517" w:rsidRPr="00F11517">
        <w:rPr>
          <w:rFonts w:asciiTheme="minorHAnsi" w:hAnsiTheme="minorHAnsi" w:cstheme="minorHAnsi"/>
          <w:snapToGrid w:val="0"/>
          <w:lang w:val="en-GB"/>
        </w:rPr>
        <w:t xml:space="preserve"> drugs established when it first considered ofatumumab for RRMS in March 2021 (paragraph 7.1, ofatumumab PSD, March 2021 PBAC meeting</w:t>
      </w:r>
      <w:r w:rsidR="00F11517" w:rsidRPr="00D1426A">
        <w:rPr>
          <w:rFonts w:asciiTheme="minorHAnsi" w:hAnsiTheme="minorHAnsi" w:cstheme="minorHAnsi"/>
          <w:snapToGrid w:val="0"/>
          <w:lang w:val="en-GB"/>
        </w:rPr>
        <w:t>)</w:t>
      </w:r>
      <w:r w:rsidR="00D1426A">
        <w:rPr>
          <w:rFonts w:asciiTheme="minorHAnsi" w:hAnsiTheme="minorHAnsi" w:cstheme="minorHAnsi"/>
          <w:snapToGrid w:val="0"/>
          <w:lang w:val="en-GB"/>
        </w:rPr>
        <w:t>. Overall, the PBAC</w:t>
      </w:r>
      <w:r w:rsidR="00F11517" w:rsidRPr="00D1426A">
        <w:rPr>
          <w:rFonts w:asciiTheme="minorHAnsi" w:hAnsiTheme="minorHAnsi" w:cstheme="minorHAnsi"/>
          <w:snapToGrid w:val="0"/>
          <w:lang w:val="en-GB"/>
        </w:rPr>
        <w:t xml:space="preserve"> considered it was reasonable to conclude that</w:t>
      </w:r>
      <w:r w:rsidR="00D1426A">
        <w:rPr>
          <w:rFonts w:asciiTheme="minorHAnsi" w:hAnsiTheme="minorHAnsi" w:cstheme="minorHAnsi"/>
          <w:snapToGrid w:val="0"/>
          <w:lang w:val="en-GB"/>
        </w:rPr>
        <w:t xml:space="preserve">, </w:t>
      </w:r>
      <w:r w:rsidR="00F11517" w:rsidRPr="00F11517">
        <w:rPr>
          <w:rFonts w:asciiTheme="minorHAnsi" w:hAnsiTheme="minorHAnsi" w:cstheme="minorHAnsi"/>
          <w:snapToGrid w:val="0"/>
          <w:lang w:val="en-GB"/>
        </w:rPr>
        <w:t xml:space="preserve">given its view </w:t>
      </w:r>
      <w:r w:rsidR="00D1426A">
        <w:rPr>
          <w:rFonts w:asciiTheme="minorHAnsi" w:hAnsiTheme="minorHAnsi" w:cstheme="minorHAnsi"/>
          <w:snapToGrid w:val="0"/>
          <w:lang w:val="en-GB"/>
        </w:rPr>
        <w:t xml:space="preserve">on the </w:t>
      </w:r>
      <w:r w:rsidR="00F11517" w:rsidRPr="00F11517">
        <w:rPr>
          <w:rFonts w:asciiTheme="minorHAnsi" w:hAnsiTheme="minorHAnsi" w:cstheme="minorHAnsi"/>
          <w:snapToGrid w:val="0"/>
          <w:lang w:val="en-GB"/>
        </w:rPr>
        <w:t xml:space="preserve">comparative effectiveness of </w:t>
      </w:r>
      <w:r w:rsidR="00D1426A">
        <w:rPr>
          <w:rFonts w:asciiTheme="minorHAnsi" w:hAnsiTheme="minorHAnsi" w:cstheme="minorHAnsi"/>
          <w:snapToGrid w:val="0"/>
          <w:lang w:val="en-GB"/>
        </w:rPr>
        <w:t xml:space="preserve">ublituximab and </w:t>
      </w:r>
      <w:r w:rsidR="00F11517" w:rsidRPr="00F11517">
        <w:rPr>
          <w:rFonts w:asciiTheme="minorHAnsi" w:hAnsiTheme="minorHAnsi" w:cstheme="minorHAnsi"/>
          <w:snapToGrid w:val="0"/>
          <w:lang w:val="en-GB"/>
        </w:rPr>
        <w:t>ofatumumab</w:t>
      </w:r>
      <w:r w:rsidR="00D1426A">
        <w:rPr>
          <w:rFonts w:asciiTheme="minorHAnsi" w:hAnsiTheme="minorHAnsi" w:cstheme="minorHAnsi"/>
          <w:snapToGrid w:val="0"/>
          <w:lang w:val="en-GB"/>
        </w:rPr>
        <w:t>,</w:t>
      </w:r>
      <w:r w:rsidR="00F11517" w:rsidRPr="00F11517">
        <w:rPr>
          <w:rFonts w:asciiTheme="minorHAnsi" w:hAnsiTheme="minorHAnsi" w:cstheme="minorHAnsi"/>
          <w:snapToGrid w:val="0"/>
          <w:lang w:val="en-GB"/>
        </w:rPr>
        <w:t xml:space="preserve"> ublituximab was also likely to be of non-inferior comparative effectiveness to the other therapies in the higher efficacy </w:t>
      </w:r>
      <w:r w:rsidR="005B7595">
        <w:rPr>
          <w:rFonts w:asciiTheme="minorHAnsi" w:hAnsiTheme="minorHAnsi" w:cstheme="minorHAnsi"/>
          <w:snapToGrid w:val="0"/>
          <w:lang w:val="en-GB"/>
        </w:rPr>
        <w:t>tier</w:t>
      </w:r>
      <w:r w:rsidR="00F11517" w:rsidRPr="00F11517">
        <w:rPr>
          <w:rFonts w:asciiTheme="minorHAnsi" w:hAnsiTheme="minorHAnsi" w:cstheme="minorHAnsi"/>
          <w:snapToGrid w:val="0"/>
          <w:lang w:val="en-GB"/>
        </w:rPr>
        <w:t>, including ofatumumab, ocrelizumab, fingolimod, cladribine, ozanimod, natalizumab and alemtuzumab.</w:t>
      </w:r>
    </w:p>
    <w:p w14:paraId="3B383334" w14:textId="721C04AD" w:rsidR="006C1F37" w:rsidRPr="00CF3ADF" w:rsidRDefault="00670BF2" w:rsidP="006C1F37">
      <w:pPr>
        <w:widowControl w:val="0"/>
        <w:numPr>
          <w:ilvl w:val="1"/>
          <w:numId w:val="6"/>
        </w:numPr>
        <w:spacing w:after="120"/>
        <w:rPr>
          <w:rFonts w:asciiTheme="minorHAnsi" w:hAnsiTheme="minorHAnsi" w:cstheme="minorHAnsi"/>
          <w:snapToGrid w:val="0"/>
          <w:lang w:val="en-GB"/>
        </w:rPr>
      </w:pPr>
      <w:r>
        <w:t>The</w:t>
      </w:r>
      <w:r w:rsidR="00116BC8">
        <w:t xml:space="preserve"> PBAC noted the submission made a claim of non-inferior </w:t>
      </w:r>
      <w:r>
        <w:t>comparative safety to ofat</w:t>
      </w:r>
      <w:r w:rsidR="000E1353">
        <w:t>umumab, fingolimod and ocrelizumab. T</w:t>
      </w:r>
      <w:r w:rsidR="000E1353" w:rsidRPr="000E1353">
        <w:t xml:space="preserve">he </w:t>
      </w:r>
      <w:r w:rsidR="000E1353">
        <w:t>Committee</w:t>
      </w:r>
      <w:r w:rsidR="000E1353" w:rsidRPr="000E1353">
        <w:t xml:space="preserve"> considered the safety data presented indicated similar rates of adverse events between therapies, and whilst the adverse event profiles of these therapies differ, considered overall that the submission claim of non-inferior comparative safety was likely to be reasonable.</w:t>
      </w:r>
    </w:p>
    <w:p w14:paraId="4C4C9F37" w14:textId="4887F586" w:rsidR="00B633BA" w:rsidRPr="00DF2E32" w:rsidRDefault="00B633BA" w:rsidP="00DF2E32">
      <w:pPr>
        <w:pStyle w:val="3-BodyText"/>
        <w:rPr>
          <w:rFonts w:eastAsia="Times New Roman" w:cstheme="minorHAnsi"/>
          <w:snapToGrid w:val="0"/>
          <w:szCs w:val="24"/>
          <w:lang w:val="en-GB"/>
        </w:rPr>
      </w:pPr>
      <w:r w:rsidRPr="00B633BA">
        <w:rPr>
          <w:snapToGrid w:val="0"/>
          <w:lang w:val="en-GB"/>
        </w:rPr>
        <w:t xml:space="preserve">The PBAC noted the submission presented a weighted cost minimisation approach (CMA) based on proportional replacement of fingolimod (24%), ofatumumab (18%) and ocrelizumab (58%), with an additional </w:t>
      </w:r>
      <w:r w:rsidR="001F633E" w:rsidRPr="001F633E">
        <w:rPr>
          <w:snapToGrid w:val="0"/>
          <w:color w:val="000000"/>
          <w:w w:val="60"/>
          <w:shd w:val="solid" w:color="000000" w:fill="000000"/>
          <w:fitText w:val="470" w:id="-663553526"/>
          <w:lang w:val="en-GB"/>
          <w14:textFill>
            <w14:solidFill>
              <w14:srgbClr w14:val="000000">
                <w14:alpha w14:val="100000"/>
              </w14:srgbClr>
            </w14:solidFill>
          </w14:textFill>
        </w:rPr>
        <w:t>||</w:t>
      </w:r>
      <w:proofErr w:type="gramStart"/>
      <w:r w:rsidR="001F633E" w:rsidRPr="001F633E">
        <w:rPr>
          <w:snapToGrid w:val="0"/>
          <w:color w:val="000000"/>
          <w:w w:val="60"/>
          <w:shd w:val="solid" w:color="000000" w:fill="000000"/>
          <w:fitText w:val="470" w:id="-663553526"/>
          <w:lang w:val="en-GB"/>
          <w14:textFill>
            <w14:solidFill>
              <w14:srgbClr w14:val="000000">
                <w14:alpha w14:val="100000"/>
              </w14:srgbClr>
            </w14:solidFill>
          </w14:textFill>
        </w:rPr>
        <w:t>|  |</w:t>
      </w:r>
      <w:proofErr w:type="gramEnd"/>
      <w:r w:rsidR="001F633E" w:rsidRPr="001F633E">
        <w:rPr>
          <w:snapToGrid w:val="0"/>
          <w:color w:val="000000"/>
          <w:w w:val="60"/>
          <w:shd w:val="solid" w:color="000000" w:fill="000000"/>
          <w:fitText w:val="470" w:id="-663553526"/>
          <w:lang w:val="en-GB"/>
          <w14:textFill>
            <w14:solidFill>
              <w14:srgbClr w14:val="000000">
                <w14:alpha w14:val="100000"/>
              </w14:srgbClr>
            </w14:solidFill>
          </w14:textFill>
        </w:rPr>
        <w:t>|</w:t>
      </w:r>
      <w:r w:rsidR="001F633E" w:rsidRPr="001F633E">
        <w:rPr>
          <w:snapToGrid w:val="0"/>
          <w:color w:val="000000"/>
          <w:spacing w:val="6"/>
          <w:w w:val="60"/>
          <w:shd w:val="solid" w:color="000000" w:fill="000000"/>
          <w:fitText w:val="470" w:id="-663553526"/>
          <w:lang w:val="en-GB"/>
          <w14:textFill>
            <w14:solidFill>
              <w14:srgbClr w14:val="000000">
                <w14:alpha w14:val="100000"/>
              </w14:srgbClr>
            </w14:solidFill>
          </w14:textFill>
        </w:rPr>
        <w:t>|</w:t>
      </w:r>
      <w:r w:rsidRPr="00B633BA">
        <w:rPr>
          <w:snapToGrid w:val="0"/>
          <w:lang w:val="en-GB"/>
        </w:rPr>
        <w:t xml:space="preserve">% premium requested over fingolimod </w:t>
      </w:r>
      <w:r w:rsidR="00D1426A">
        <w:rPr>
          <w:snapToGrid w:val="0"/>
          <w:lang w:val="en-GB"/>
        </w:rPr>
        <w:t>given</w:t>
      </w:r>
      <w:r w:rsidRPr="00B633BA">
        <w:rPr>
          <w:snapToGrid w:val="0"/>
          <w:lang w:val="en-GB"/>
        </w:rPr>
        <w:t xml:space="preserve"> the claim of superior comparative effectiveness. The PBAC considered this approach was inconsistent with recent previous recommendations for RRMS DMTs which have been based on a CMA to the least costly alternative therapy (including </w:t>
      </w:r>
      <w:r w:rsidRPr="00B633BA">
        <w:rPr>
          <w:snapToGrid w:val="0"/>
          <w:lang w:val="en-GB"/>
        </w:rPr>
        <w:lastRenderedPageBreak/>
        <w:t xml:space="preserve">ofatumumab). Given its view on the clinical claim of superior comparative effectiveness versus fingolimod not being adequately supported, the PBAC considered a price premium over fingolimod was not justified. Furthermore, the PBAC considered there was no clear population identified for whom ublituximab is a suitable therapy where fingolimod, ofatumumab, ocrelizumab or the other alternatives are not, and as a result the PBAC did not support the rationale for the weighted pricing approach. Therefore, the PBAC considered it was appropriate for the CMA to be conducted over two years versus the least costly alternative using approved ex-manufacturer prices, with costs based </w:t>
      </w:r>
      <w:r w:rsidR="00320F18">
        <w:rPr>
          <w:snapToGrid w:val="0"/>
          <w:lang w:val="en-GB"/>
        </w:rPr>
        <w:t xml:space="preserve">on </w:t>
      </w:r>
      <w:r w:rsidRPr="00B633BA">
        <w:rPr>
          <w:snapToGrid w:val="0"/>
          <w:lang w:val="en-GB"/>
        </w:rPr>
        <w:t xml:space="preserve">the </w:t>
      </w:r>
      <w:proofErr w:type="spellStart"/>
      <w:r w:rsidRPr="00B633BA">
        <w:rPr>
          <w:snapToGrid w:val="0"/>
          <w:lang w:val="en-GB"/>
        </w:rPr>
        <w:t>equi</w:t>
      </w:r>
      <w:proofErr w:type="spellEnd"/>
      <w:r w:rsidRPr="00B633BA">
        <w:rPr>
          <w:snapToGrid w:val="0"/>
          <w:lang w:val="en-GB"/>
        </w:rPr>
        <w:t xml:space="preserve">-effective doses recommended in paragraph </w:t>
      </w:r>
      <w:r w:rsidR="00815DF5" w:rsidRPr="00DF72C4">
        <w:rPr>
          <w:snapToGrid w:val="0"/>
          <w:lang w:val="en-GB"/>
        </w:rPr>
        <w:fldChar w:fldCharType="begin"/>
      </w:r>
      <w:r w:rsidR="00815DF5" w:rsidRPr="00DF72C4">
        <w:rPr>
          <w:snapToGrid w:val="0"/>
          <w:lang w:val="en-GB"/>
        </w:rPr>
        <w:instrText xml:space="preserve"> REF _Ref198123771 \r \h </w:instrText>
      </w:r>
      <w:r w:rsidR="00DF72C4">
        <w:rPr>
          <w:snapToGrid w:val="0"/>
          <w:lang w:val="en-GB"/>
        </w:rPr>
        <w:instrText xml:space="preserve"> \* MERGEFORMAT </w:instrText>
      </w:r>
      <w:r w:rsidR="00815DF5" w:rsidRPr="00DF72C4">
        <w:rPr>
          <w:snapToGrid w:val="0"/>
          <w:lang w:val="en-GB"/>
        </w:rPr>
      </w:r>
      <w:r w:rsidR="00815DF5" w:rsidRPr="00DF72C4">
        <w:rPr>
          <w:snapToGrid w:val="0"/>
          <w:lang w:val="en-GB"/>
        </w:rPr>
        <w:fldChar w:fldCharType="separate"/>
      </w:r>
      <w:r w:rsidR="00D925D4">
        <w:rPr>
          <w:snapToGrid w:val="0"/>
          <w:lang w:val="en-GB"/>
        </w:rPr>
        <w:t>7.4</w:t>
      </w:r>
      <w:r w:rsidR="00815DF5" w:rsidRPr="00DF72C4">
        <w:rPr>
          <w:snapToGrid w:val="0"/>
          <w:lang w:val="en-GB"/>
        </w:rPr>
        <w:fldChar w:fldCharType="end"/>
      </w:r>
      <w:r w:rsidRPr="00B633BA">
        <w:rPr>
          <w:snapToGrid w:val="0"/>
          <w:lang w:val="en-GB"/>
        </w:rPr>
        <w:t xml:space="preserve"> above, and that cost of other higher efficacy </w:t>
      </w:r>
      <w:r w:rsidR="005B7595">
        <w:rPr>
          <w:snapToGrid w:val="0"/>
          <w:lang w:val="en-GB"/>
        </w:rPr>
        <w:t>tier</w:t>
      </w:r>
      <w:r w:rsidRPr="00B633BA">
        <w:rPr>
          <w:snapToGrid w:val="0"/>
          <w:lang w:val="en-GB"/>
        </w:rPr>
        <w:t xml:space="preserve"> therapies could be established per the method outlined in paragraph </w:t>
      </w:r>
      <w:r w:rsidR="00815DF5" w:rsidRPr="00DF72C4">
        <w:rPr>
          <w:snapToGrid w:val="0"/>
          <w:lang w:val="en-GB"/>
        </w:rPr>
        <w:fldChar w:fldCharType="begin"/>
      </w:r>
      <w:r w:rsidR="00815DF5" w:rsidRPr="00DF72C4">
        <w:rPr>
          <w:snapToGrid w:val="0"/>
          <w:lang w:val="en-GB"/>
        </w:rPr>
        <w:instrText xml:space="preserve"> REF _Ref198123771 \r \h </w:instrText>
      </w:r>
      <w:r w:rsidR="00DF72C4">
        <w:rPr>
          <w:snapToGrid w:val="0"/>
          <w:lang w:val="en-GB"/>
        </w:rPr>
        <w:instrText xml:space="preserve"> \* MERGEFORMAT </w:instrText>
      </w:r>
      <w:r w:rsidR="00815DF5" w:rsidRPr="00DF72C4">
        <w:rPr>
          <w:snapToGrid w:val="0"/>
          <w:lang w:val="en-GB"/>
        </w:rPr>
      </w:r>
      <w:r w:rsidR="00815DF5" w:rsidRPr="00DF72C4">
        <w:rPr>
          <w:snapToGrid w:val="0"/>
          <w:lang w:val="en-GB"/>
        </w:rPr>
        <w:fldChar w:fldCharType="separate"/>
      </w:r>
      <w:r w:rsidR="00D925D4">
        <w:rPr>
          <w:snapToGrid w:val="0"/>
          <w:lang w:val="en-GB"/>
        </w:rPr>
        <w:t>7.4</w:t>
      </w:r>
      <w:r w:rsidR="00815DF5" w:rsidRPr="00DF72C4">
        <w:rPr>
          <w:snapToGrid w:val="0"/>
          <w:lang w:val="en-GB"/>
        </w:rPr>
        <w:fldChar w:fldCharType="end"/>
      </w:r>
      <w:r w:rsidRPr="00B633BA">
        <w:rPr>
          <w:snapToGrid w:val="0"/>
          <w:lang w:val="en-GB"/>
        </w:rPr>
        <w:t xml:space="preserve"> to establish the least costly alternative therapy. </w:t>
      </w:r>
      <w:r w:rsidR="00DF2E32" w:rsidRPr="00DF2E32">
        <w:rPr>
          <w:rFonts w:eastAsia="Times New Roman" w:cstheme="minorHAnsi"/>
          <w:snapToGrid w:val="0"/>
          <w:szCs w:val="24"/>
          <w:lang w:val="en-GB"/>
        </w:rPr>
        <w:t xml:space="preserve">The PBAC </w:t>
      </w:r>
      <w:r w:rsidR="00DF2E32">
        <w:rPr>
          <w:rFonts w:eastAsia="Times New Roman" w:cstheme="minorHAnsi"/>
          <w:snapToGrid w:val="0"/>
          <w:szCs w:val="24"/>
          <w:lang w:val="en-GB"/>
        </w:rPr>
        <w:t xml:space="preserve">also </w:t>
      </w:r>
      <w:r w:rsidR="00DF2E32" w:rsidRPr="00DF2E32">
        <w:rPr>
          <w:rFonts w:eastAsia="Times New Roman" w:cstheme="minorHAnsi"/>
          <w:snapToGrid w:val="0"/>
          <w:szCs w:val="24"/>
          <w:lang w:val="en-GB"/>
        </w:rPr>
        <w:t xml:space="preserve">considered the CMA should account for administration and pre-medication costs as outlined in the CMA presented in the </w:t>
      </w:r>
      <w:r w:rsidR="006141D4" w:rsidRPr="00DF72C4">
        <w:rPr>
          <w:rFonts w:eastAsia="Times New Roman" w:cstheme="minorHAnsi"/>
          <w:snapToGrid w:val="0"/>
          <w:szCs w:val="24"/>
          <w:lang w:val="en-GB"/>
        </w:rPr>
        <w:t>evaluation</w:t>
      </w:r>
      <w:r w:rsidR="00DF2E32">
        <w:rPr>
          <w:rFonts w:eastAsia="Times New Roman" w:cstheme="minorHAnsi"/>
          <w:snapToGrid w:val="0"/>
          <w:szCs w:val="24"/>
          <w:lang w:val="en-GB"/>
        </w:rPr>
        <w:t>, where relevant</w:t>
      </w:r>
      <w:r w:rsidR="00DF2E32" w:rsidRPr="00DF2E32">
        <w:rPr>
          <w:rFonts w:eastAsia="Times New Roman" w:cstheme="minorHAnsi"/>
          <w:snapToGrid w:val="0"/>
          <w:szCs w:val="24"/>
          <w:lang w:val="en-GB"/>
        </w:rPr>
        <w:t>.</w:t>
      </w:r>
    </w:p>
    <w:p w14:paraId="591EEED3" w14:textId="750BEA01" w:rsidR="00BC004C" w:rsidRPr="00EA7620" w:rsidRDefault="00BC004C" w:rsidP="00BC004C">
      <w:pPr>
        <w:widowControl w:val="0"/>
        <w:numPr>
          <w:ilvl w:val="1"/>
          <w:numId w:val="6"/>
        </w:numPr>
        <w:spacing w:after="120"/>
        <w:rPr>
          <w:rFonts w:asciiTheme="minorHAnsi" w:hAnsiTheme="minorHAnsi" w:cstheme="minorHAnsi"/>
          <w:snapToGrid w:val="0"/>
          <w:lang w:val="en-GB"/>
        </w:rPr>
      </w:pPr>
      <w:r w:rsidRPr="00791973">
        <w:rPr>
          <w:rFonts w:asciiTheme="minorHAnsi" w:hAnsiTheme="minorHAnsi" w:cstheme="minorHAnsi"/>
          <w:snapToGrid w:val="0"/>
        </w:rPr>
        <w:t xml:space="preserve">The PBAC considered the market share approach used in the submission and noted that the utilisation and financial expenditure of </w:t>
      </w:r>
      <w:r>
        <w:rPr>
          <w:rFonts w:asciiTheme="minorHAnsi" w:hAnsiTheme="minorHAnsi" w:cstheme="minorHAnsi"/>
          <w:snapToGrid w:val="0"/>
        </w:rPr>
        <w:t>ublituximab will be primarily</w:t>
      </w:r>
      <w:r w:rsidRPr="00791973">
        <w:rPr>
          <w:rFonts w:asciiTheme="minorHAnsi" w:hAnsiTheme="minorHAnsi" w:cstheme="minorHAnsi"/>
          <w:snapToGrid w:val="0"/>
        </w:rPr>
        <w:t xml:space="preserve"> determined by the</w:t>
      </w:r>
      <w:r>
        <w:rPr>
          <w:rFonts w:asciiTheme="minorHAnsi" w:hAnsiTheme="minorHAnsi" w:cstheme="minorHAnsi"/>
          <w:snapToGrid w:val="0"/>
        </w:rPr>
        <w:t xml:space="preserve"> least-costly</w:t>
      </w:r>
      <w:r w:rsidRPr="00791973">
        <w:rPr>
          <w:rFonts w:asciiTheme="minorHAnsi" w:hAnsiTheme="minorHAnsi" w:cstheme="minorHAnsi"/>
          <w:snapToGrid w:val="0"/>
        </w:rPr>
        <w:t xml:space="preserve"> alternative RRMS therapies substituted. The PBAC noted that the base case resulted in a net </w:t>
      </w:r>
      <w:r>
        <w:rPr>
          <w:rFonts w:asciiTheme="minorHAnsi" w:hAnsiTheme="minorHAnsi" w:cstheme="minorHAnsi"/>
          <w:snapToGrid w:val="0"/>
        </w:rPr>
        <w:t>save</w:t>
      </w:r>
      <w:r w:rsidR="009245B1">
        <w:rPr>
          <w:rFonts w:asciiTheme="minorHAnsi" w:hAnsiTheme="minorHAnsi" w:cstheme="minorHAnsi"/>
          <w:snapToGrid w:val="0"/>
        </w:rPr>
        <w:t xml:space="preserve"> arising from the weighted CMA approach to derive the price of </w:t>
      </w:r>
      <w:r w:rsidR="006A2B6F">
        <w:rPr>
          <w:rFonts w:asciiTheme="minorHAnsi" w:hAnsiTheme="minorHAnsi" w:cstheme="minorHAnsi"/>
          <w:snapToGrid w:val="0"/>
        </w:rPr>
        <w:t xml:space="preserve">ublituximab </w:t>
      </w:r>
      <w:r w:rsidR="000B6510">
        <w:rPr>
          <w:rFonts w:asciiTheme="minorHAnsi" w:hAnsiTheme="minorHAnsi" w:cstheme="minorHAnsi"/>
          <w:snapToGrid w:val="0"/>
        </w:rPr>
        <w:t>and the assumed rates of substitution of fingolimod, ofatumumab and ocrelizumab</w:t>
      </w:r>
      <w:r w:rsidR="008D6773">
        <w:rPr>
          <w:rFonts w:asciiTheme="minorHAnsi" w:hAnsiTheme="minorHAnsi" w:cstheme="minorHAnsi"/>
          <w:snapToGrid w:val="0"/>
        </w:rPr>
        <w:t xml:space="preserve">, but considered the estimates should be </w:t>
      </w:r>
      <w:r w:rsidR="000D5C7D">
        <w:rPr>
          <w:rFonts w:asciiTheme="minorHAnsi" w:hAnsiTheme="minorHAnsi" w:cstheme="minorHAnsi"/>
          <w:snapToGrid w:val="0"/>
        </w:rPr>
        <w:t xml:space="preserve">based on the </w:t>
      </w:r>
      <w:proofErr w:type="spellStart"/>
      <w:r w:rsidR="000D5C7D">
        <w:rPr>
          <w:rFonts w:asciiTheme="minorHAnsi" w:hAnsiTheme="minorHAnsi" w:cstheme="minorHAnsi"/>
          <w:snapToGrid w:val="0"/>
        </w:rPr>
        <w:t>equi</w:t>
      </w:r>
      <w:proofErr w:type="spellEnd"/>
      <w:r w:rsidR="000D5C7D">
        <w:rPr>
          <w:rFonts w:asciiTheme="minorHAnsi" w:hAnsiTheme="minorHAnsi" w:cstheme="minorHAnsi"/>
          <w:snapToGrid w:val="0"/>
        </w:rPr>
        <w:t xml:space="preserve">-effective doses outlined in </w:t>
      </w:r>
      <w:r w:rsidR="000D5C7D">
        <w:rPr>
          <w:rFonts w:asciiTheme="minorHAnsi" w:hAnsiTheme="minorHAnsi" w:cstheme="minorHAnsi"/>
          <w:snapToGrid w:val="0"/>
        </w:rPr>
        <w:fldChar w:fldCharType="begin"/>
      </w:r>
      <w:r w:rsidR="000D5C7D">
        <w:rPr>
          <w:rFonts w:asciiTheme="minorHAnsi" w:hAnsiTheme="minorHAnsi" w:cstheme="minorHAnsi"/>
          <w:snapToGrid w:val="0"/>
        </w:rPr>
        <w:instrText xml:space="preserve"> REF _Ref198123771 \r \h </w:instrText>
      </w:r>
      <w:r w:rsidR="000D5C7D">
        <w:rPr>
          <w:rFonts w:asciiTheme="minorHAnsi" w:hAnsiTheme="minorHAnsi" w:cstheme="minorHAnsi"/>
          <w:snapToGrid w:val="0"/>
        </w:rPr>
      </w:r>
      <w:r w:rsidR="000D5C7D">
        <w:rPr>
          <w:rFonts w:asciiTheme="minorHAnsi" w:hAnsiTheme="minorHAnsi" w:cstheme="minorHAnsi"/>
          <w:snapToGrid w:val="0"/>
        </w:rPr>
        <w:fldChar w:fldCharType="separate"/>
      </w:r>
      <w:r w:rsidR="00D925D4">
        <w:rPr>
          <w:rFonts w:asciiTheme="minorHAnsi" w:hAnsiTheme="minorHAnsi" w:cstheme="minorHAnsi"/>
          <w:snapToGrid w:val="0"/>
        </w:rPr>
        <w:t>7.4</w:t>
      </w:r>
      <w:r w:rsidR="000D5C7D">
        <w:rPr>
          <w:rFonts w:asciiTheme="minorHAnsi" w:hAnsiTheme="minorHAnsi" w:cstheme="minorHAnsi"/>
          <w:snapToGrid w:val="0"/>
        </w:rPr>
        <w:fldChar w:fldCharType="end"/>
      </w:r>
      <w:r w:rsidR="000B6510">
        <w:rPr>
          <w:rFonts w:asciiTheme="minorHAnsi" w:hAnsiTheme="minorHAnsi" w:cstheme="minorHAnsi"/>
          <w:snapToGrid w:val="0"/>
        </w:rPr>
        <w:t>. The Committee also noted th</w:t>
      </w:r>
      <w:r w:rsidR="00CE7FEC">
        <w:rPr>
          <w:rFonts w:asciiTheme="minorHAnsi" w:hAnsiTheme="minorHAnsi" w:cstheme="minorHAnsi"/>
          <w:snapToGrid w:val="0"/>
        </w:rPr>
        <w:t xml:space="preserve">e estimates were based on published prices </w:t>
      </w:r>
      <w:r w:rsidR="002C4713">
        <w:rPr>
          <w:rFonts w:asciiTheme="minorHAnsi" w:hAnsiTheme="minorHAnsi" w:cstheme="minorHAnsi"/>
          <w:snapToGrid w:val="0"/>
        </w:rPr>
        <w:t xml:space="preserve">of </w:t>
      </w:r>
      <w:r w:rsidR="00D52B23">
        <w:rPr>
          <w:rFonts w:asciiTheme="minorHAnsi" w:hAnsiTheme="minorHAnsi" w:cstheme="minorHAnsi"/>
          <w:snapToGrid w:val="0"/>
        </w:rPr>
        <w:t>these agents, where</w:t>
      </w:r>
      <w:r w:rsidR="00751EEE">
        <w:rPr>
          <w:rFonts w:asciiTheme="minorHAnsi" w:hAnsiTheme="minorHAnsi" w:cstheme="minorHAnsi"/>
          <w:snapToGrid w:val="0"/>
        </w:rPr>
        <w:t xml:space="preserve"> such</w:t>
      </w:r>
      <w:r w:rsidR="00D52B23">
        <w:rPr>
          <w:rFonts w:asciiTheme="minorHAnsi" w:hAnsiTheme="minorHAnsi" w:cstheme="minorHAnsi"/>
          <w:snapToGrid w:val="0"/>
        </w:rPr>
        <w:t xml:space="preserve"> Special Pricing Arrangements exist.</w:t>
      </w:r>
      <w:r w:rsidRPr="00791973">
        <w:rPr>
          <w:rFonts w:asciiTheme="minorHAnsi" w:hAnsiTheme="minorHAnsi" w:cstheme="minorHAnsi"/>
          <w:snapToGrid w:val="0"/>
        </w:rPr>
        <w:t xml:space="preserve"> </w:t>
      </w:r>
      <w:r w:rsidR="004F2FC7">
        <w:rPr>
          <w:rFonts w:asciiTheme="minorHAnsi" w:hAnsiTheme="minorHAnsi" w:cstheme="minorHAnsi"/>
          <w:snapToGrid w:val="0"/>
        </w:rPr>
        <w:t>The PBAC</w:t>
      </w:r>
      <w:r w:rsidR="00565C3F">
        <w:rPr>
          <w:rFonts w:asciiTheme="minorHAnsi" w:hAnsiTheme="minorHAnsi" w:cstheme="minorHAnsi"/>
          <w:snapToGrid w:val="0"/>
        </w:rPr>
        <w:t xml:space="preserve"> also</w:t>
      </w:r>
      <w:r w:rsidR="004F2FC7">
        <w:rPr>
          <w:rFonts w:asciiTheme="minorHAnsi" w:hAnsiTheme="minorHAnsi" w:cstheme="minorHAnsi"/>
          <w:snapToGrid w:val="0"/>
        </w:rPr>
        <w:t xml:space="preserve"> considered that,</w:t>
      </w:r>
      <w:r w:rsidR="00565C3F">
        <w:rPr>
          <w:rFonts w:asciiTheme="minorHAnsi" w:hAnsiTheme="minorHAnsi" w:cstheme="minorHAnsi"/>
          <w:snapToGrid w:val="0"/>
        </w:rPr>
        <w:t xml:space="preserve"> whilst there may be some limited substitution from lower tier agents, the listing of ublituximab would not materially alter the nature of the RRMS market. Overall, the Committee considered that,</w:t>
      </w:r>
      <w:r w:rsidR="004F2FC7">
        <w:rPr>
          <w:rFonts w:asciiTheme="minorHAnsi" w:hAnsiTheme="minorHAnsi" w:cstheme="minorHAnsi"/>
          <w:snapToGrid w:val="0"/>
        </w:rPr>
        <w:t xml:space="preserve"> if listed on a cost minimisation basis with the least costly alternative </w:t>
      </w:r>
      <w:r w:rsidR="005B7595">
        <w:rPr>
          <w:rFonts w:asciiTheme="minorHAnsi" w:hAnsiTheme="minorHAnsi" w:cstheme="minorHAnsi"/>
          <w:snapToGrid w:val="0"/>
        </w:rPr>
        <w:t>higher efficacy</w:t>
      </w:r>
      <w:r w:rsidR="00751EEE">
        <w:rPr>
          <w:rFonts w:asciiTheme="minorHAnsi" w:hAnsiTheme="minorHAnsi" w:cstheme="minorHAnsi"/>
          <w:snapToGrid w:val="0"/>
        </w:rPr>
        <w:t xml:space="preserve"> tier therapy, that </w:t>
      </w:r>
      <w:r w:rsidR="00565C3F">
        <w:rPr>
          <w:rFonts w:asciiTheme="minorHAnsi" w:hAnsiTheme="minorHAnsi" w:cstheme="minorHAnsi"/>
          <w:snapToGrid w:val="0"/>
        </w:rPr>
        <w:t xml:space="preserve">the listing would likely be cost neutral </w:t>
      </w:r>
      <w:r w:rsidR="00430490">
        <w:rPr>
          <w:rFonts w:asciiTheme="minorHAnsi" w:hAnsiTheme="minorHAnsi" w:cstheme="minorHAnsi"/>
          <w:snapToGrid w:val="0"/>
        </w:rPr>
        <w:t xml:space="preserve">or modestly cost saving to the PBS, as it would effectively only replace therapies that are of equivalent cost or more expensive, and the substitution of lower cost, lower tier therapies would be very low. </w:t>
      </w:r>
    </w:p>
    <w:p w14:paraId="43A3FB00" w14:textId="49F0C258" w:rsidR="003774B1" w:rsidRPr="003774B1" w:rsidRDefault="003774B1" w:rsidP="003774B1">
      <w:pPr>
        <w:widowControl w:val="0"/>
        <w:numPr>
          <w:ilvl w:val="1"/>
          <w:numId w:val="6"/>
        </w:numPr>
        <w:spacing w:after="120"/>
        <w:rPr>
          <w:rFonts w:asciiTheme="minorHAnsi" w:hAnsiTheme="minorHAnsi" w:cstheme="minorHAnsi"/>
          <w:snapToGrid w:val="0"/>
          <w:lang w:val="en-GB"/>
        </w:rPr>
      </w:pPr>
      <w:r w:rsidRPr="00EA7620">
        <w:rPr>
          <w:rFonts w:asciiTheme="minorHAnsi" w:hAnsiTheme="minorHAnsi" w:cstheme="minorHAnsi"/>
          <w:snapToGrid w:val="0"/>
        </w:rPr>
        <w:t xml:space="preserve">The PBAC advised that, under section 101(3BA) of the </w:t>
      </w:r>
      <w:r w:rsidRPr="00F74DB3">
        <w:rPr>
          <w:rFonts w:asciiTheme="minorHAnsi" w:hAnsiTheme="minorHAnsi" w:cstheme="minorHAnsi"/>
          <w:i/>
          <w:iCs/>
          <w:snapToGrid w:val="0"/>
        </w:rPr>
        <w:t>National Health Act 1953</w:t>
      </w:r>
      <w:r w:rsidRPr="00EA7620">
        <w:rPr>
          <w:rFonts w:asciiTheme="minorHAnsi" w:hAnsiTheme="minorHAnsi" w:cstheme="minorHAnsi"/>
          <w:snapToGrid w:val="0"/>
        </w:rPr>
        <w:t xml:space="preserve"> </w:t>
      </w:r>
      <w:r>
        <w:rPr>
          <w:rFonts w:asciiTheme="minorHAnsi" w:hAnsiTheme="minorHAnsi" w:cstheme="minorHAnsi"/>
          <w:snapToGrid w:val="0"/>
        </w:rPr>
        <w:t>ublituximab</w:t>
      </w:r>
      <w:r w:rsidRPr="00EA7620">
        <w:rPr>
          <w:rFonts w:asciiTheme="minorHAnsi" w:hAnsiTheme="minorHAnsi" w:cstheme="minorHAnsi"/>
          <w:snapToGrid w:val="0"/>
        </w:rPr>
        <w:t xml:space="preserve"> should be treated as interchangeable with </w:t>
      </w:r>
      <w:r>
        <w:rPr>
          <w:rFonts w:asciiTheme="minorHAnsi" w:hAnsiTheme="minorHAnsi" w:cstheme="minorHAnsi"/>
          <w:snapToGrid w:val="0"/>
        </w:rPr>
        <w:t xml:space="preserve">ofatumumab, </w:t>
      </w:r>
      <w:r w:rsidRPr="00EA7620">
        <w:rPr>
          <w:rFonts w:asciiTheme="minorHAnsi" w:hAnsiTheme="minorHAnsi" w:cstheme="minorHAnsi"/>
          <w:snapToGrid w:val="0"/>
        </w:rPr>
        <w:t>ocrelizumab, fingolimod, ozanimod, cladribine</w:t>
      </w:r>
      <w:r w:rsidR="001067DD">
        <w:rPr>
          <w:rFonts w:asciiTheme="minorHAnsi" w:hAnsiTheme="minorHAnsi" w:cstheme="minorHAnsi"/>
          <w:snapToGrid w:val="0"/>
        </w:rPr>
        <w:t>, natalizumab</w:t>
      </w:r>
      <w:r w:rsidRPr="00EA7620">
        <w:rPr>
          <w:rFonts w:asciiTheme="minorHAnsi" w:hAnsiTheme="minorHAnsi" w:cstheme="minorHAnsi"/>
          <w:snapToGrid w:val="0"/>
        </w:rPr>
        <w:t xml:space="preserve"> and alemtuzumab. </w:t>
      </w:r>
    </w:p>
    <w:p w14:paraId="04E10CAA" w14:textId="77777777" w:rsidR="003774B1" w:rsidRPr="003774B1" w:rsidRDefault="003774B1" w:rsidP="003774B1">
      <w:pPr>
        <w:widowControl w:val="0"/>
        <w:numPr>
          <w:ilvl w:val="1"/>
          <w:numId w:val="6"/>
        </w:numPr>
        <w:spacing w:after="120"/>
        <w:rPr>
          <w:rFonts w:asciiTheme="minorHAnsi" w:hAnsiTheme="minorHAnsi" w:cstheme="minorHAnsi"/>
          <w:snapToGrid w:val="0"/>
          <w:lang w:val="en-GB"/>
        </w:rPr>
      </w:pPr>
      <w:r w:rsidRPr="00EA7620">
        <w:rPr>
          <w:rFonts w:asciiTheme="minorHAnsi" w:hAnsiTheme="minorHAnsi" w:cstheme="minorHAnsi"/>
          <w:snapToGrid w:val="0"/>
        </w:rPr>
        <w:t xml:space="preserve">The PBAC advised that </w:t>
      </w:r>
      <w:r>
        <w:rPr>
          <w:rFonts w:asciiTheme="minorHAnsi" w:hAnsiTheme="minorHAnsi" w:cstheme="minorHAnsi"/>
          <w:snapToGrid w:val="0"/>
        </w:rPr>
        <w:t>ublituximab</w:t>
      </w:r>
      <w:r w:rsidRPr="00EA7620">
        <w:rPr>
          <w:rFonts w:asciiTheme="minorHAnsi" w:hAnsiTheme="minorHAnsi" w:cstheme="minorHAnsi"/>
          <w:snapToGrid w:val="0"/>
        </w:rPr>
        <w:t xml:space="preserve"> is not suitable for prescribing by nurse practitioners, consistent with other RRMS DMT listings. </w:t>
      </w:r>
    </w:p>
    <w:p w14:paraId="48AF8B2E" w14:textId="6133AAAA" w:rsidR="003774B1" w:rsidRPr="00ED3E2E" w:rsidRDefault="003774B1" w:rsidP="003774B1">
      <w:pPr>
        <w:widowControl w:val="0"/>
        <w:numPr>
          <w:ilvl w:val="1"/>
          <w:numId w:val="6"/>
        </w:numPr>
        <w:spacing w:after="120"/>
        <w:rPr>
          <w:rFonts w:asciiTheme="minorHAnsi" w:hAnsiTheme="minorHAnsi" w:cstheme="minorHAnsi"/>
          <w:snapToGrid w:val="0"/>
          <w:lang w:val="en-GB"/>
        </w:rPr>
      </w:pPr>
      <w:r w:rsidRPr="00EA7620">
        <w:rPr>
          <w:rFonts w:asciiTheme="minorHAnsi" w:hAnsiTheme="minorHAnsi" w:cstheme="minorHAnsi"/>
          <w:snapToGrid w:val="0"/>
        </w:rPr>
        <w:t>The PBAC recommended that the Early Supply Rule should</w:t>
      </w:r>
      <w:r w:rsidR="003961F8">
        <w:rPr>
          <w:rFonts w:asciiTheme="minorHAnsi" w:hAnsiTheme="minorHAnsi" w:cstheme="minorHAnsi"/>
          <w:snapToGrid w:val="0"/>
        </w:rPr>
        <w:t xml:space="preserve"> not</w:t>
      </w:r>
      <w:r w:rsidRPr="00EA7620">
        <w:rPr>
          <w:rFonts w:asciiTheme="minorHAnsi" w:hAnsiTheme="minorHAnsi" w:cstheme="minorHAnsi"/>
          <w:snapToGrid w:val="0"/>
        </w:rPr>
        <w:t xml:space="preserve"> apply</w:t>
      </w:r>
      <w:r w:rsidR="003961F8">
        <w:rPr>
          <w:rFonts w:asciiTheme="minorHAnsi" w:hAnsiTheme="minorHAnsi" w:cstheme="minorHAnsi"/>
          <w:snapToGrid w:val="0"/>
        </w:rPr>
        <w:t xml:space="preserve"> as it cannot currently be applied to Section 100 Highly Specialised Drugs (Public and Private Hospitals) listings</w:t>
      </w:r>
      <w:r w:rsidRPr="00EA7620">
        <w:rPr>
          <w:rFonts w:asciiTheme="minorHAnsi" w:hAnsiTheme="minorHAnsi" w:cstheme="minorHAnsi"/>
          <w:snapToGrid w:val="0"/>
        </w:rPr>
        <w:t>.</w:t>
      </w:r>
      <w:r w:rsidR="00ED3E2E">
        <w:rPr>
          <w:rFonts w:asciiTheme="minorHAnsi" w:hAnsiTheme="minorHAnsi" w:cstheme="minorHAnsi"/>
          <w:snapToGrid w:val="0"/>
        </w:rPr>
        <w:t xml:space="preserve"> </w:t>
      </w:r>
    </w:p>
    <w:p w14:paraId="5782F338" w14:textId="45A402B5" w:rsidR="007F3F69" w:rsidRDefault="007F3F69" w:rsidP="00731778">
      <w:pPr>
        <w:widowControl w:val="0"/>
        <w:numPr>
          <w:ilvl w:val="1"/>
          <w:numId w:val="6"/>
        </w:numPr>
        <w:spacing w:after="120"/>
        <w:rPr>
          <w:rFonts w:asciiTheme="minorHAnsi" w:hAnsiTheme="minorHAnsi" w:cstheme="minorHAnsi"/>
          <w:snapToGrid w:val="0"/>
          <w:lang w:val="en-GB"/>
        </w:rPr>
      </w:pPr>
      <w:r w:rsidRPr="007F3F69">
        <w:rPr>
          <w:rFonts w:asciiTheme="minorHAnsi" w:hAnsiTheme="minorHAnsi" w:cstheme="minorHAnsi"/>
          <w:snapToGrid w:val="0"/>
          <w:lang w:val="en-GB"/>
        </w:rPr>
        <w:t xml:space="preserve">The PBAC considered the context in which RRMS DMTs are listed on the PBS is important. The Committee noted that in other jurisdictions, treatment algorithms are published that direct prescribers towards a more limited list of therapies under certain </w:t>
      </w:r>
      <w:r w:rsidRPr="007F3F69">
        <w:rPr>
          <w:rFonts w:asciiTheme="minorHAnsi" w:hAnsiTheme="minorHAnsi" w:cstheme="minorHAnsi"/>
          <w:snapToGrid w:val="0"/>
          <w:lang w:val="en-GB"/>
        </w:rPr>
        <w:lastRenderedPageBreak/>
        <w:t>clinical scenarios (such as the NICE published algorithm from 2023</w:t>
      </w:r>
      <w:r>
        <w:rPr>
          <w:rStyle w:val="FootnoteReference"/>
          <w:rFonts w:asciiTheme="minorHAnsi" w:hAnsiTheme="minorHAnsi" w:cstheme="minorHAnsi"/>
          <w:snapToGrid w:val="0"/>
          <w:lang w:val="en-GB"/>
        </w:rPr>
        <w:footnoteReference w:id="6"/>
      </w:r>
      <w:r w:rsidRPr="007F3F69">
        <w:rPr>
          <w:rFonts w:asciiTheme="minorHAnsi" w:hAnsiTheme="minorHAnsi" w:cstheme="minorHAnsi"/>
          <w:snapToGrid w:val="0"/>
          <w:lang w:val="en-GB"/>
        </w:rPr>
        <w:t>), while the PBS has no such restrictions and allows prescribers and patients the flexibility to select from any available therapy for first line treatment</w:t>
      </w:r>
      <w:r w:rsidR="00D60738">
        <w:rPr>
          <w:rFonts w:asciiTheme="minorHAnsi" w:hAnsiTheme="minorHAnsi" w:cstheme="minorHAnsi"/>
          <w:snapToGrid w:val="0"/>
          <w:lang w:val="en-GB"/>
        </w:rPr>
        <w:t>, including with high</w:t>
      </w:r>
      <w:r w:rsidR="00FA228E">
        <w:rPr>
          <w:rFonts w:asciiTheme="minorHAnsi" w:hAnsiTheme="minorHAnsi" w:cstheme="minorHAnsi"/>
          <w:snapToGrid w:val="0"/>
          <w:lang w:val="en-GB"/>
        </w:rPr>
        <w:t>er</w:t>
      </w:r>
      <w:r w:rsidR="00D60738">
        <w:rPr>
          <w:rFonts w:asciiTheme="minorHAnsi" w:hAnsiTheme="minorHAnsi" w:cstheme="minorHAnsi"/>
          <w:snapToGrid w:val="0"/>
          <w:lang w:val="en-GB"/>
        </w:rPr>
        <w:t xml:space="preserve"> efficacy (and higher cost</w:t>
      </w:r>
      <w:r w:rsidR="00FA228E">
        <w:rPr>
          <w:rFonts w:asciiTheme="minorHAnsi" w:hAnsiTheme="minorHAnsi" w:cstheme="minorHAnsi"/>
          <w:snapToGrid w:val="0"/>
          <w:lang w:val="en-GB"/>
        </w:rPr>
        <w:t>) therapies</w:t>
      </w:r>
      <w:r w:rsidRPr="007F3F69">
        <w:rPr>
          <w:rFonts w:asciiTheme="minorHAnsi" w:hAnsiTheme="minorHAnsi" w:cstheme="minorHAnsi"/>
          <w:snapToGrid w:val="0"/>
          <w:lang w:val="en-GB"/>
        </w:rPr>
        <w:t xml:space="preserve"> and to move to any other available therapy if sustained progression of disability or intolerance occurs. The PBAC considered its preference would be for this flexibility to remain in place, however also</w:t>
      </w:r>
      <w:r w:rsidR="007B1151">
        <w:rPr>
          <w:rFonts w:asciiTheme="minorHAnsi" w:hAnsiTheme="minorHAnsi" w:cstheme="minorHAnsi"/>
          <w:snapToGrid w:val="0"/>
          <w:lang w:val="en-GB"/>
        </w:rPr>
        <w:t xml:space="preserve"> </w:t>
      </w:r>
      <w:r w:rsidR="001D3603">
        <w:rPr>
          <w:rFonts w:asciiTheme="minorHAnsi" w:hAnsiTheme="minorHAnsi" w:cstheme="minorHAnsi"/>
          <w:snapToGrid w:val="0"/>
          <w:lang w:val="en-GB"/>
        </w:rPr>
        <w:t>recalled</w:t>
      </w:r>
      <w:r w:rsidRPr="007F3F69">
        <w:rPr>
          <w:rFonts w:asciiTheme="minorHAnsi" w:hAnsiTheme="minorHAnsi" w:cstheme="minorHAnsi"/>
          <w:snapToGrid w:val="0"/>
          <w:lang w:val="en-GB"/>
        </w:rPr>
        <w:t xml:space="preserve"> that substantial price disparity between the RRMS DMTs has developed over time as older therapies are subject to pricing policies and as generics and biosimilars enter the market.</w:t>
      </w:r>
      <w:r w:rsidR="00B42CB3">
        <w:rPr>
          <w:rFonts w:asciiTheme="minorHAnsi" w:hAnsiTheme="minorHAnsi" w:cstheme="minorHAnsi"/>
          <w:snapToGrid w:val="0"/>
          <w:lang w:val="en-GB"/>
        </w:rPr>
        <w:t xml:space="preserve"> The Committee </w:t>
      </w:r>
      <w:r w:rsidR="001B2AC2">
        <w:rPr>
          <w:rFonts w:asciiTheme="minorHAnsi" w:hAnsiTheme="minorHAnsi" w:cstheme="minorHAnsi"/>
          <w:snapToGrid w:val="0"/>
          <w:lang w:val="en-GB"/>
        </w:rPr>
        <w:t>considered it would be informative to better understand how these therapies are being used on the PBS</w:t>
      </w:r>
      <w:r w:rsidR="00A83FD0">
        <w:rPr>
          <w:rFonts w:asciiTheme="minorHAnsi" w:hAnsiTheme="minorHAnsi" w:cstheme="minorHAnsi"/>
          <w:snapToGrid w:val="0"/>
          <w:lang w:val="en-GB"/>
        </w:rPr>
        <w:t xml:space="preserve">, with a potential view to a further review to ensure </w:t>
      </w:r>
      <w:r w:rsidR="00086A9B">
        <w:rPr>
          <w:rFonts w:asciiTheme="minorHAnsi" w:hAnsiTheme="minorHAnsi" w:cstheme="minorHAnsi"/>
          <w:snapToGrid w:val="0"/>
          <w:lang w:val="en-GB"/>
        </w:rPr>
        <w:t>the listings and therapeutic relativities remain consistent with the contemporary evidence base.</w:t>
      </w:r>
    </w:p>
    <w:p w14:paraId="274337E7" w14:textId="1D656FE9" w:rsidR="00731778" w:rsidRDefault="00731778" w:rsidP="00731778">
      <w:pPr>
        <w:widowControl w:val="0"/>
        <w:numPr>
          <w:ilvl w:val="1"/>
          <w:numId w:val="6"/>
        </w:numPr>
        <w:spacing w:after="120"/>
        <w:rPr>
          <w:rFonts w:asciiTheme="minorHAnsi" w:hAnsiTheme="minorHAnsi" w:cstheme="minorHAnsi"/>
          <w:snapToGrid w:val="0"/>
          <w:lang w:val="en-GB"/>
        </w:rPr>
      </w:pPr>
      <w:r w:rsidRPr="00731778">
        <w:rPr>
          <w:rFonts w:cstheme="minorHAnsi"/>
        </w:rPr>
        <w:t xml:space="preserve">The PBAC noted that its recommendation was on a cost-minimisation basis and advised that, because ublituximab is not expected to provide a substantial and clinically relevant improvement in efficacy, or reduction of toxicity, over the existing alternative therapies, or not expected to address a high and urgent unmet clinical need, the criteria prescribed by the </w:t>
      </w:r>
      <w:r w:rsidRPr="00A464C9">
        <w:rPr>
          <w:rFonts w:cstheme="minorHAnsi"/>
          <w:i/>
          <w:iCs/>
        </w:rPr>
        <w:t>National Health (Pharmaceuticals and Vaccines – Cost Recovery) Regulations 2022</w:t>
      </w:r>
      <w:r w:rsidRPr="00731778">
        <w:rPr>
          <w:rFonts w:cstheme="minorHAnsi"/>
        </w:rPr>
        <w:t xml:space="preserve"> for Pricing Pathway A were not met. </w:t>
      </w:r>
    </w:p>
    <w:p w14:paraId="58C45742" w14:textId="77777777" w:rsidR="00731778" w:rsidRDefault="00731778" w:rsidP="00731778">
      <w:pPr>
        <w:widowControl w:val="0"/>
        <w:numPr>
          <w:ilvl w:val="1"/>
          <w:numId w:val="6"/>
        </w:numPr>
        <w:spacing w:after="120"/>
        <w:rPr>
          <w:rFonts w:cstheme="minorHAnsi"/>
          <w:lang w:val="en-GB"/>
        </w:rPr>
      </w:pPr>
      <w:r w:rsidRPr="00731778">
        <w:rPr>
          <w:rFonts w:cstheme="minorHAnsi"/>
        </w:rPr>
        <w:t>The PBAC noted that this submission is not eligible for an Independent Review because it received a positive recommendation.</w:t>
      </w:r>
    </w:p>
    <w:p w14:paraId="1D8A1C43" w14:textId="77777777" w:rsidR="003774B1" w:rsidRPr="00525B39" w:rsidRDefault="003774B1" w:rsidP="00562329">
      <w:pPr>
        <w:spacing w:before="120"/>
        <w:rPr>
          <w:rFonts w:asciiTheme="minorHAnsi" w:hAnsiTheme="minorHAnsi"/>
          <w:b/>
          <w:bCs/>
          <w:snapToGrid w:val="0"/>
          <w:lang w:val="en-GB"/>
        </w:rPr>
      </w:pPr>
      <w:r w:rsidRPr="00525B39">
        <w:rPr>
          <w:rFonts w:asciiTheme="minorHAnsi" w:hAnsiTheme="minorHAnsi"/>
          <w:b/>
          <w:bCs/>
          <w:snapToGrid w:val="0"/>
          <w:lang w:val="en-GB"/>
        </w:rPr>
        <w:t>Outcome:</w:t>
      </w:r>
    </w:p>
    <w:p w14:paraId="6189E6B6" w14:textId="66B3EBB9" w:rsidR="00E9417B" w:rsidRDefault="003774B1" w:rsidP="00227D21">
      <w:pPr>
        <w:rPr>
          <w:rFonts w:asciiTheme="minorHAnsi" w:hAnsiTheme="minorHAnsi"/>
          <w:b/>
          <w:bCs/>
          <w:snapToGrid w:val="0"/>
        </w:rPr>
      </w:pPr>
      <w:r w:rsidRPr="00525B39">
        <w:rPr>
          <w:rFonts w:asciiTheme="minorHAnsi" w:hAnsiTheme="minorHAnsi"/>
          <w:bCs/>
          <w:snapToGrid w:val="0"/>
          <w:lang w:val="en-GB"/>
        </w:rPr>
        <w:t>Recommended</w:t>
      </w:r>
    </w:p>
    <w:bookmarkEnd w:id="77"/>
    <w:p w14:paraId="3B1394C7" w14:textId="77777777" w:rsidR="00177769" w:rsidRPr="00907671" w:rsidRDefault="00177769" w:rsidP="00177769">
      <w:pPr>
        <w:pStyle w:val="2-SectionHeading"/>
      </w:pPr>
      <w:r w:rsidRPr="00907671">
        <w:t>Recommended listing</w:t>
      </w:r>
    </w:p>
    <w:p w14:paraId="12DD0D18" w14:textId="77777777" w:rsidR="00177769" w:rsidRPr="00210B46" w:rsidRDefault="00177769" w:rsidP="00227D21">
      <w:pPr>
        <w:pStyle w:val="3-BodyText"/>
        <w:rPr>
          <w:snapToGrid w:val="0"/>
        </w:rPr>
      </w:pPr>
      <w:r w:rsidRPr="00210B46">
        <w:rPr>
          <w:snapToGrid w:val="0"/>
        </w:rPr>
        <w:t>Add new item:</w:t>
      </w:r>
    </w:p>
    <w:p w14:paraId="31211BA7" w14:textId="77777777" w:rsidR="00A168D3" w:rsidRPr="00DF72C4" w:rsidRDefault="00A168D3" w:rsidP="00A168D3">
      <w:pPr>
        <w:pStyle w:val="Heading2"/>
        <w:rPr>
          <w:rFonts w:asciiTheme="minorHAnsi" w:hAnsiTheme="minorHAnsi" w:cstheme="minorHAnsi"/>
          <w:b w:val="0"/>
          <w:i w:val="0"/>
        </w:rPr>
      </w:pPr>
      <w:r w:rsidRPr="00DF72C4">
        <w:rPr>
          <w:i w:val="0"/>
          <w:sz w:val="24"/>
        </w:rPr>
        <w:t>Initiation 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211"/>
        <w:gridCol w:w="812"/>
        <w:gridCol w:w="811"/>
        <w:gridCol w:w="812"/>
        <w:gridCol w:w="1824"/>
        <w:gridCol w:w="7"/>
      </w:tblGrid>
      <w:tr w:rsidR="00A168D3" w:rsidRPr="00950F0F" w14:paraId="3E87C60D" w14:textId="77777777" w:rsidTr="008A1A3C">
        <w:trPr>
          <w:cantSplit/>
          <w:trHeight w:val="20"/>
        </w:trPr>
        <w:tc>
          <w:tcPr>
            <w:tcW w:w="3540" w:type="dxa"/>
            <w:vAlign w:val="center"/>
          </w:tcPr>
          <w:p w14:paraId="5E2E9189" w14:textId="77777777" w:rsidR="00A168D3" w:rsidRPr="00DF72C4" w:rsidRDefault="00A168D3">
            <w:pPr>
              <w:keepLines/>
              <w:rPr>
                <w:rFonts w:ascii="Arial Narrow" w:hAnsi="Arial Narrow"/>
                <w:b/>
                <w:sz w:val="20"/>
                <w:szCs w:val="20"/>
              </w:rPr>
            </w:pPr>
            <w:r w:rsidRPr="00DF72C4">
              <w:rPr>
                <w:rFonts w:ascii="Arial Narrow" w:hAnsi="Arial Narrow"/>
                <w:b/>
                <w:sz w:val="20"/>
                <w:szCs w:val="20"/>
              </w:rPr>
              <w:t>MEDICINAL PRODUCT</w:t>
            </w:r>
          </w:p>
          <w:p w14:paraId="3B9213A1" w14:textId="77777777" w:rsidR="00A168D3" w:rsidRPr="00DF72C4" w:rsidRDefault="00A168D3">
            <w:pPr>
              <w:keepLines/>
              <w:rPr>
                <w:rFonts w:ascii="Arial Narrow" w:hAnsi="Arial Narrow"/>
                <w:b/>
                <w:sz w:val="20"/>
                <w:szCs w:val="20"/>
              </w:rPr>
            </w:pPr>
            <w:r w:rsidRPr="00DF72C4">
              <w:rPr>
                <w:rFonts w:ascii="Arial Narrow" w:hAnsi="Arial Narrow"/>
                <w:b/>
                <w:sz w:val="20"/>
                <w:szCs w:val="20"/>
              </w:rPr>
              <w:t>medicinal product pack</w:t>
            </w:r>
          </w:p>
        </w:tc>
        <w:tc>
          <w:tcPr>
            <w:tcW w:w="1211" w:type="dxa"/>
            <w:vAlign w:val="center"/>
          </w:tcPr>
          <w:p w14:paraId="6E07DFAD" w14:textId="77777777" w:rsidR="00A168D3" w:rsidRPr="00DF72C4" w:rsidRDefault="00A168D3">
            <w:pPr>
              <w:keepLines/>
              <w:jc w:val="center"/>
              <w:rPr>
                <w:rFonts w:ascii="Arial Narrow" w:hAnsi="Arial Narrow"/>
                <w:b/>
                <w:sz w:val="20"/>
                <w:szCs w:val="20"/>
              </w:rPr>
            </w:pPr>
            <w:r w:rsidRPr="00DF72C4">
              <w:rPr>
                <w:rFonts w:ascii="Arial Narrow" w:hAnsi="Arial Narrow"/>
                <w:b/>
                <w:sz w:val="20"/>
                <w:szCs w:val="20"/>
              </w:rPr>
              <w:t>PBS item code</w:t>
            </w:r>
          </w:p>
        </w:tc>
        <w:tc>
          <w:tcPr>
            <w:tcW w:w="812" w:type="dxa"/>
            <w:vAlign w:val="center"/>
          </w:tcPr>
          <w:p w14:paraId="3F1CE808" w14:textId="77777777" w:rsidR="00A168D3" w:rsidRPr="00DF72C4" w:rsidRDefault="00A168D3">
            <w:pPr>
              <w:keepLines/>
              <w:jc w:val="center"/>
              <w:rPr>
                <w:rFonts w:ascii="Arial Narrow" w:hAnsi="Arial Narrow"/>
                <w:b/>
                <w:sz w:val="20"/>
                <w:szCs w:val="20"/>
              </w:rPr>
            </w:pPr>
            <w:r w:rsidRPr="00DF72C4">
              <w:rPr>
                <w:rFonts w:ascii="Arial Narrow" w:hAnsi="Arial Narrow"/>
                <w:b/>
                <w:sz w:val="20"/>
                <w:szCs w:val="20"/>
              </w:rPr>
              <w:t>Max. qty packs</w:t>
            </w:r>
          </w:p>
        </w:tc>
        <w:tc>
          <w:tcPr>
            <w:tcW w:w="811" w:type="dxa"/>
            <w:vAlign w:val="center"/>
          </w:tcPr>
          <w:p w14:paraId="52FE623B" w14:textId="77777777" w:rsidR="00A168D3" w:rsidRPr="00DF72C4" w:rsidRDefault="00A168D3">
            <w:pPr>
              <w:keepLines/>
              <w:jc w:val="center"/>
              <w:rPr>
                <w:rFonts w:ascii="Arial Narrow" w:hAnsi="Arial Narrow"/>
                <w:b/>
                <w:sz w:val="20"/>
                <w:szCs w:val="20"/>
              </w:rPr>
            </w:pPr>
            <w:r w:rsidRPr="00DF72C4">
              <w:rPr>
                <w:rFonts w:ascii="Arial Narrow" w:hAnsi="Arial Narrow"/>
                <w:b/>
                <w:sz w:val="20"/>
                <w:szCs w:val="20"/>
              </w:rPr>
              <w:t>Max. qty units</w:t>
            </w:r>
          </w:p>
        </w:tc>
        <w:tc>
          <w:tcPr>
            <w:tcW w:w="812" w:type="dxa"/>
            <w:vAlign w:val="center"/>
          </w:tcPr>
          <w:p w14:paraId="040B5DC9" w14:textId="77777777" w:rsidR="00A168D3" w:rsidRPr="00DF72C4" w:rsidRDefault="00A168D3">
            <w:pPr>
              <w:keepLines/>
              <w:jc w:val="center"/>
              <w:rPr>
                <w:rFonts w:ascii="Arial Narrow" w:hAnsi="Arial Narrow"/>
                <w:b/>
                <w:sz w:val="20"/>
                <w:szCs w:val="20"/>
              </w:rPr>
            </w:pPr>
            <w:r w:rsidRPr="00DF72C4">
              <w:rPr>
                <w:rFonts w:ascii="Arial Narrow" w:hAnsi="Arial Narrow"/>
                <w:b/>
                <w:sz w:val="20"/>
                <w:szCs w:val="20"/>
              </w:rPr>
              <w:t>№. of</w:t>
            </w:r>
          </w:p>
          <w:p w14:paraId="43198E28" w14:textId="77777777" w:rsidR="00A168D3" w:rsidRPr="00DF72C4" w:rsidRDefault="00A168D3">
            <w:pPr>
              <w:keepLines/>
              <w:jc w:val="center"/>
              <w:rPr>
                <w:rFonts w:ascii="Arial Narrow" w:hAnsi="Arial Narrow"/>
                <w:b/>
                <w:sz w:val="20"/>
                <w:szCs w:val="20"/>
              </w:rPr>
            </w:pPr>
            <w:proofErr w:type="spellStart"/>
            <w:r w:rsidRPr="00DF72C4">
              <w:rPr>
                <w:rFonts w:ascii="Arial Narrow" w:hAnsi="Arial Narrow"/>
                <w:b/>
                <w:sz w:val="20"/>
                <w:szCs w:val="20"/>
              </w:rPr>
              <w:t>Rpts</w:t>
            </w:r>
            <w:proofErr w:type="spellEnd"/>
          </w:p>
        </w:tc>
        <w:tc>
          <w:tcPr>
            <w:tcW w:w="1831" w:type="dxa"/>
            <w:gridSpan w:val="2"/>
            <w:vAlign w:val="center"/>
          </w:tcPr>
          <w:p w14:paraId="466F7FD4" w14:textId="77777777" w:rsidR="00A168D3" w:rsidRPr="00DF72C4" w:rsidRDefault="00A168D3">
            <w:pPr>
              <w:keepLines/>
              <w:rPr>
                <w:rFonts w:ascii="Arial Narrow" w:hAnsi="Arial Narrow"/>
                <w:b/>
                <w:sz w:val="20"/>
                <w:szCs w:val="20"/>
                <w:lang w:val="fr-FR"/>
              </w:rPr>
            </w:pPr>
            <w:r w:rsidRPr="00DF72C4">
              <w:rPr>
                <w:rFonts w:ascii="Arial Narrow" w:hAnsi="Arial Narrow"/>
                <w:b/>
                <w:sz w:val="20"/>
                <w:szCs w:val="20"/>
              </w:rPr>
              <w:t>Available brands</w:t>
            </w:r>
          </w:p>
        </w:tc>
      </w:tr>
      <w:tr w:rsidR="00A168D3" w:rsidRPr="00950F0F" w14:paraId="31569AB4" w14:textId="77777777" w:rsidTr="008A1A3C">
        <w:trPr>
          <w:cantSplit/>
          <w:trHeight w:val="20"/>
        </w:trPr>
        <w:tc>
          <w:tcPr>
            <w:tcW w:w="9017" w:type="dxa"/>
            <w:gridSpan w:val="7"/>
            <w:vAlign w:val="center"/>
          </w:tcPr>
          <w:p w14:paraId="79C5B8FC" w14:textId="77777777" w:rsidR="00A168D3" w:rsidRPr="00DF72C4" w:rsidRDefault="00A168D3">
            <w:pPr>
              <w:keepLines/>
              <w:rPr>
                <w:rFonts w:ascii="Arial Narrow" w:hAnsi="Arial Narrow"/>
                <w:sz w:val="20"/>
                <w:szCs w:val="20"/>
              </w:rPr>
            </w:pPr>
            <w:r w:rsidRPr="00DF72C4">
              <w:rPr>
                <w:rFonts w:ascii="Arial Narrow" w:hAnsi="Arial Narrow"/>
                <w:sz w:val="20"/>
                <w:szCs w:val="20"/>
              </w:rPr>
              <w:t>UBLITUXIMAB</w:t>
            </w:r>
          </w:p>
        </w:tc>
      </w:tr>
      <w:tr w:rsidR="00A168D3" w:rsidRPr="00950F0F" w14:paraId="23A0CF97" w14:textId="77777777" w:rsidTr="008A1A3C">
        <w:trPr>
          <w:cantSplit/>
          <w:trHeight w:val="20"/>
        </w:trPr>
        <w:tc>
          <w:tcPr>
            <w:tcW w:w="3540" w:type="dxa"/>
            <w:vAlign w:val="center"/>
          </w:tcPr>
          <w:p w14:paraId="6279A84E" w14:textId="792BD748" w:rsidR="00A168D3" w:rsidRPr="00DF72C4" w:rsidRDefault="000B0291">
            <w:pPr>
              <w:keepLines/>
              <w:rPr>
                <w:rFonts w:ascii="Arial Narrow" w:hAnsi="Arial Narrow"/>
                <w:sz w:val="20"/>
                <w:szCs w:val="20"/>
              </w:rPr>
            </w:pPr>
            <w:r>
              <w:rPr>
                <w:rFonts w:ascii="Arial Narrow" w:hAnsi="Arial Narrow"/>
                <w:sz w:val="20"/>
                <w:szCs w:val="20"/>
              </w:rPr>
              <w:t>U</w:t>
            </w:r>
            <w:r w:rsidR="00A168D3" w:rsidRPr="00DF72C4">
              <w:rPr>
                <w:rFonts w:ascii="Arial Narrow" w:hAnsi="Arial Narrow"/>
                <w:sz w:val="20"/>
                <w:szCs w:val="20"/>
              </w:rPr>
              <w:t>blituximab 150mg</w:t>
            </w:r>
            <w:r w:rsidR="00E44EE2">
              <w:rPr>
                <w:rFonts w:ascii="Arial Narrow" w:hAnsi="Arial Narrow"/>
                <w:sz w:val="20"/>
                <w:szCs w:val="20"/>
              </w:rPr>
              <w:t>/</w:t>
            </w:r>
            <w:r w:rsidR="00A168D3" w:rsidRPr="00DF72C4">
              <w:rPr>
                <w:rFonts w:ascii="Arial Narrow" w:hAnsi="Arial Narrow"/>
                <w:sz w:val="20"/>
                <w:szCs w:val="20"/>
              </w:rPr>
              <w:t>6mL injection</w:t>
            </w:r>
            <w:r w:rsidR="00804753">
              <w:rPr>
                <w:rFonts w:ascii="Arial Narrow" w:hAnsi="Arial Narrow"/>
                <w:sz w:val="20"/>
                <w:szCs w:val="20"/>
              </w:rPr>
              <w:t>,</w:t>
            </w:r>
            <w:r w:rsidR="00A168D3" w:rsidRPr="00DF72C4">
              <w:rPr>
                <w:rFonts w:ascii="Arial Narrow" w:hAnsi="Arial Narrow"/>
                <w:sz w:val="20"/>
                <w:szCs w:val="20"/>
              </w:rPr>
              <w:t xml:space="preserve"> 1</w:t>
            </w:r>
            <w:r w:rsidR="00804753">
              <w:rPr>
                <w:rFonts w:ascii="Arial Narrow" w:hAnsi="Arial Narrow"/>
                <w:sz w:val="20"/>
                <w:szCs w:val="20"/>
              </w:rPr>
              <w:t xml:space="preserve"> x 6mL</w:t>
            </w:r>
            <w:r w:rsidR="00A168D3" w:rsidRPr="00DF72C4">
              <w:rPr>
                <w:rFonts w:ascii="Arial Narrow" w:hAnsi="Arial Narrow"/>
                <w:sz w:val="20"/>
                <w:szCs w:val="20"/>
              </w:rPr>
              <w:t xml:space="preserve"> vial</w:t>
            </w:r>
          </w:p>
        </w:tc>
        <w:tc>
          <w:tcPr>
            <w:tcW w:w="1211" w:type="dxa"/>
            <w:vAlign w:val="center"/>
          </w:tcPr>
          <w:p w14:paraId="703AAC06"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NEW S100 Public (HB)</w:t>
            </w:r>
          </w:p>
        </w:tc>
        <w:tc>
          <w:tcPr>
            <w:tcW w:w="812" w:type="dxa"/>
            <w:vAlign w:val="center"/>
          </w:tcPr>
          <w:p w14:paraId="15E64D68"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4</w:t>
            </w:r>
          </w:p>
        </w:tc>
        <w:tc>
          <w:tcPr>
            <w:tcW w:w="811" w:type="dxa"/>
            <w:vAlign w:val="center"/>
          </w:tcPr>
          <w:p w14:paraId="3F343F8F"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4</w:t>
            </w:r>
          </w:p>
        </w:tc>
        <w:tc>
          <w:tcPr>
            <w:tcW w:w="812" w:type="dxa"/>
            <w:vAlign w:val="center"/>
          </w:tcPr>
          <w:p w14:paraId="5277344E"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0</w:t>
            </w:r>
          </w:p>
        </w:tc>
        <w:tc>
          <w:tcPr>
            <w:tcW w:w="1831" w:type="dxa"/>
            <w:gridSpan w:val="2"/>
            <w:vAlign w:val="center"/>
          </w:tcPr>
          <w:p w14:paraId="421E68A1" w14:textId="77777777" w:rsidR="00A168D3" w:rsidRPr="00DF72C4" w:rsidRDefault="00A168D3">
            <w:pPr>
              <w:keepLines/>
              <w:rPr>
                <w:rFonts w:ascii="Arial Narrow" w:hAnsi="Arial Narrow"/>
                <w:sz w:val="20"/>
                <w:szCs w:val="20"/>
              </w:rPr>
            </w:pPr>
            <w:proofErr w:type="spellStart"/>
            <w:r w:rsidRPr="00DF72C4">
              <w:rPr>
                <w:rFonts w:ascii="Arial Narrow" w:hAnsi="Arial Narrow"/>
                <w:sz w:val="20"/>
                <w:szCs w:val="20"/>
              </w:rPr>
              <w:t>Briumvi</w:t>
            </w:r>
            <w:proofErr w:type="spellEnd"/>
          </w:p>
        </w:tc>
      </w:tr>
      <w:tr w:rsidR="00A168D3" w:rsidRPr="00950F0F" w14:paraId="76A2C0B8" w14:textId="77777777" w:rsidTr="008A1A3C">
        <w:trPr>
          <w:cantSplit/>
          <w:trHeight w:val="20"/>
        </w:trPr>
        <w:tc>
          <w:tcPr>
            <w:tcW w:w="3540" w:type="dxa"/>
            <w:vAlign w:val="center"/>
          </w:tcPr>
          <w:p w14:paraId="6B48AB4B" w14:textId="61B730A3" w:rsidR="00A168D3" w:rsidRPr="00DF72C4" w:rsidRDefault="000B0291">
            <w:pPr>
              <w:keepLines/>
              <w:rPr>
                <w:rFonts w:ascii="Arial Narrow" w:hAnsi="Arial Narrow"/>
                <w:sz w:val="20"/>
                <w:szCs w:val="20"/>
              </w:rPr>
            </w:pPr>
            <w:r>
              <w:rPr>
                <w:rFonts w:ascii="Arial Narrow" w:hAnsi="Arial Narrow"/>
                <w:sz w:val="20"/>
                <w:szCs w:val="20"/>
              </w:rPr>
              <w:t>U</w:t>
            </w:r>
            <w:r w:rsidR="00804753" w:rsidRPr="00DF72C4">
              <w:rPr>
                <w:rFonts w:ascii="Arial Narrow" w:hAnsi="Arial Narrow"/>
                <w:sz w:val="20"/>
                <w:szCs w:val="20"/>
              </w:rPr>
              <w:t>blituximab 150mg</w:t>
            </w:r>
            <w:r w:rsidR="00804753">
              <w:rPr>
                <w:rFonts w:ascii="Arial Narrow" w:hAnsi="Arial Narrow"/>
                <w:sz w:val="20"/>
                <w:szCs w:val="20"/>
              </w:rPr>
              <w:t>/</w:t>
            </w:r>
            <w:r w:rsidR="00804753" w:rsidRPr="00DF72C4">
              <w:rPr>
                <w:rFonts w:ascii="Arial Narrow" w:hAnsi="Arial Narrow"/>
                <w:sz w:val="20"/>
                <w:szCs w:val="20"/>
              </w:rPr>
              <w:t>6mL injection</w:t>
            </w:r>
            <w:r w:rsidR="00804753">
              <w:rPr>
                <w:rFonts w:ascii="Arial Narrow" w:hAnsi="Arial Narrow"/>
                <w:sz w:val="20"/>
                <w:szCs w:val="20"/>
              </w:rPr>
              <w:t>,</w:t>
            </w:r>
            <w:r w:rsidR="00804753" w:rsidRPr="00DF72C4">
              <w:rPr>
                <w:rFonts w:ascii="Arial Narrow" w:hAnsi="Arial Narrow"/>
                <w:sz w:val="20"/>
                <w:szCs w:val="20"/>
              </w:rPr>
              <w:t xml:space="preserve"> 1</w:t>
            </w:r>
            <w:r w:rsidR="00804753">
              <w:rPr>
                <w:rFonts w:ascii="Arial Narrow" w:hAnsi="Arial Narrow"/>
                <w:sz w:val="20"/>
                <w:szCs w:val="20"/>
              </w:rPr>
              <w:t xml:space="preserve"> x 6mL</w:t>
            </w:r>
            <w:r w:rsidR="00804753" w:rsidRPr="00DF72C4">
              <w:rPr>
                <w:rFonts w:ascii="Arial Narrow" w:hAnsi="Arial Narrow"/>
                <w:sz w:val="20"/>
                <w:szCs w:val="20"/>
              </w:rPr>
              <w:t xml:space="preserve"> vial</w:t>
            </w:r>
          </w:p>
        </w:tc>
        <w:tc>
          <w:tcPr>
            <w:tcW w:w="1211" w:type="dxa"/>
            <w:vAlign w:val="center"/>
          </w:tcPr>
          <w:p w14:paraId="5DE05B79"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NEW S100 Private (HS)</w:t>
            </w:r>
          </w:p>
        </w:tc>
        <w:tc>
          <w:tcPr>
            <w:tcW w:w="812" w:type="dxa"/>
            <w:vAlign w:val="center"/>
          </w:tcPr>
          <w:p w14:paraId="03221B49"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4</w:t>
            </w:r>
          </w:p>
        </w:tc>
        <w:tc>
          <w:tcPr>
            <w:tcW w:w="811" w:type="dxa"/>
            <w:vAlign w:val="center"/>
          </w:tcPr>
          <w:p w14:paraId="4E7D6954"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4</w:t>
            </w:r>
          </w:p>
        </w:tc>
        <w:tc>
          <w:tcPr>
            <w:tcW w:w="812" w:type="dxa"/>
            <w:vAlign w:val="center"/>
          </w:tcPr>
          <w:p w14:paraId="3C3EA2FF"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0</w:t>
            </w:r>
          </w:p>
        </w:tc>
        <w:tc>
          <w:tcPr>
            <w:tcW w:w="1831" w:type="dxa"/>
            <w:gridSpan w:val="2"/>
            <w:vAlign w:val="center"/>
          </w:tcPr>
          <w:p w14:paraId="49FFD532" w14:textId="77777777" w:rsidR="00A168D3" w:rsidRPr="00DF72C4" w:rsidRDefault="00A168D3">
            <w:pPr>
              <w:keepLines/>
              <w:rPr>
                <w:rFonts w:ascii="Arial Narrow" w:hAnsi="Arial Narrow"/>
                <w:sz w:val="20"/>
                <w:szCs w:val="20"/>
              </w:rPr>
            </w:pPr>
            <w:proofErr w:type="spellStart"/>
            <w:r w:rsidRPr="00DF72C4">
              <w:rPr>
                <w:rFonts w:ascii="Arial Narrow" w:hAnsi="Arial Narrow"/>
                <w:sz w:val="20"/>
                <w:szCs w:val="20"/>
              </w:rPr>
              <w:t>Briumvi</w:t>
            </w:r>
            <w:proofErr w:type="spellEnd"/>
          </w:p>
        </w:tc>
      </w:tr>
      <w:tr w:rsidR="00A168D3" w:rsidRPr="00950F0F" w14:paraId="0941267A" w14:textId="77777777" w:rsidTr="008A1A3C">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5CC83FB7" w14:textId="77777777" w:rsidR="00A168D3" w:rsidRPr="00DF72C4" w:rsidRDefault="00A168D3">
            <w:pPr>
              <w:rPr>
                <w:rFonts w:ascii="Arial Narrow" w:hAnsi="Arial Narrow"/>
                <w:sz w:val="20"/>
                <w:szCs w:val="20"/>
              </w:rPr>
            </w:pPr>
          </w:p>
        </w:tc>
      </w:tr>
      <w:tr w:rsidR="00A168D3" w:rsidRPr="00950F0F" w14:paraId="4539D069" w14:textId="77777777" w:rsidTr="008A1A3C">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236DC561" w14:textId="77777777" w:rsidR="00A168D3" w:rsidRPr="00DF72C4" w:rsidRDefault="00A168D3">
            <w:pPr>
              <w:keepLines/>
              <w:rPr>
                <w:rFonts w:ascii="Arial Narrow" w:hAnsi="Arial Narrow"/>
                <w:b/>
                <w:sz w:val="20"/>
                <w:szCs w:val="20"/>
              </w:rPr>
            </w:pPr>
            <w:r w:rsidRPr="00DF72C4">
              <w:rPr>
                <w:rFonts w:ascii="Arial Narrow" w:hAnsi="Arial Narrow"/>
                <w:b/>
                <w:sz w:val="20"/>
                <w:szCs w:val="20"/>
              </w:rPr>
              <w:t xml:space="preserve">Restriction Summary [new variation of 9523] / Treatment of Concept: [new variation of 9523] </w:t>
            </w:r>
          </w:p>
        </w:tc>
      </w:tr>
      <w:tr w:rsidR="000111C3" w:rsidRPr="00950F0F" w14:paraId="71957F79"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6D87109E" w14:textId="77777777" w:rsidR="000111C3" w:rsidRPr="00DF72C4" w:rsidRDefault="000111C3">
            <w:pPr>
              <w:keepLines/>
              <w:rPr>
                <w:rFonts w:ascii="Arial Narrow" w:hAnsi="Arial Narrow"/>
                <w:sz w:val="20"/>
                <w:szCs w:val="20"/>
              </w:rPr>
            </w:pPr>
            <w:r w:rsidRPr="00DF72C4">
              <w:rPr>
                <w:rFonts w:ascii="Arial Narrow" w:hAnsi="Arial Narrow"/>
                <w:b/>
                <w:sz w:val="20"/>
                <w:szCs w:val="20"/>
              </w:rPr>
              <w:t>Category / Program:</w:t>
            </w:r>
            <w:r w:rsidRPr="00DF72C4">
              <w:rPr>
                <w:rFonts w:ascii="Arial Narrow" w:hAnsi="Arial Narrow"/>
                <w:color w:val="FF0000"/>
                <w:sz w:val="20"/>
                <w:szCs w:val="20"/>
              </w:rPr>
              <w:t xml:space="preserve"> </w:t>
            </w:r>
            <w:r w:rsidRPr="00DF72C4">
              <w:rPr>
                <w:rFonts w:ascii="Arial Narrow" w:eastAsia="Calibri" w:hAnsi="Arial Narrow"/>
                <w:sz w:val="20"/>
                <w:szCs w:val="20"/>
              </w:rPr>
              <w:fldChar w:fldCharType="begin">
                <w:ffData>
                  <w:name w:val=""/>
                  <w:enabled/>
                  <w:calcOnExit w:val="0"/>
                  <w:checkBox>
                    <w:sizeAuto/>
                    <w:default w:val="1"/>
                  </w:checkBox>
                </w:ffData>
              </w:fldChar>
            </w:r>
            <w:r w:rsidRPr="00DF72C4">
              <w:rPr>
                <w:rFonts w:ascii="Arial Narrow" w:eastAsia="Calibri" w:hAnsi="Arial Narrow"/>
                <w:sz w:val="20"/>
                <w:szCs w:val="20"/>
              </w:rPr>
              <w:instrText xml:space="preserve"> FORMCHECKBOX </w:instrText>
            </w:r>
            <w:r w:rsidRPr="00DF72C4">
              <w:rPr>
                <w:rFonts w:ascii="Arial Narrow" w:eastAsia="Calibri" w:hAnsi="Arial Narrow"/>
                <w:sz w:val="20"/>
                <w:szCs w:val="20"/>
              </w:rPr>
            </w:r>
            <w:r w:rsidRPr="00DF72C4">
              <w:rPr>
                <w:rFonts w:ascii="Arial Narrow" w:eastAsia="Calibri" w:hAnsi="Arial Narrow"/>
                <w:sz w:val="20"/>
                <w:szCs w:val="20"/>
              </w:rPr>
              <w:fldChar w:fldCharType="separate"/>
            </w:r>
            <w:r w:rsidRPr="00DF72C4">
              <w:rPr>
                <w:rFonts w:ascii="Arial Narrow" w:eastAsia="Calibri" w:hAnsi="Arial Narrow"/>
                <w:sz w:val="20"/>
                <w:szCs w:val="20"/>
              </w:rPr>
              <w:fldChar w:fldCharType="end"/>
            </w:r>
            <w:r w:rsidRPr="00DF72C4">
              <w:rPr>
                <w:rFonts w:ascii="Arial Narrow" w:eastAsia="Calibri" w:hAnsi="Arial Narrow"/>
                <w:sz w:val="20"/>
                <w:szCs w:val="20"/>
              </w:rPr>
              <w:t xml:space="preserve"> Section 100 – Highly Specialised Drugs Program – Public (Code HB)</w:t>
            </w:r>
            <w:r w:rsidRPr="00DF72C4">
              <w:rPr>
                <w:rFonts w:ascii="Arial Narrow" w:eastAsia="Calibri" w:hAnsi="Arial Narrow"/>
                <w:color w:val="FF0000"/>
                <w:sz w:val="20"/>
                <w:szCs w:val="20"/>
              </w:rPr>
              <w:t xml:space="preserve"> </w:t>
            </w:r>
            <w:r w:rsidRPr="00DF72C4">
              <w:rPr>
                <w:rFonts w:ascii="Arial Narrow" w:eastAsia="Calibri" w:hAnsi="Arial Narrow"/>
                <w:sz w:val="20"/>
                <w:szCs w:val="20"/>
              </w:rPr>
              <w:t>/ Private (Code HS)</w:t>
            </w:r>
          </w:p>
        </w:tc>
      </w:tr>
      <w:tr w:rsidR="000111C3" w:rsidRPr="00950F0F" w14:paraId="689DB48C"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EB53421" w14:textId="77777777" w:rsidR="000111C3" w:rsidRPr="00DF72C4" w:rsidRDefault="000111C3">
            <w:pPr>
              <w:keepLines/>
              <w:rPr>
                <w:rFonts w:ascii="Arial Narrow" w:hAnsi="Arial Narrow"/>
                <w:b/>
                <w:sz w:val="20"/>
                <w:szCs w:val="20"/>
              </w:rPr>
            </w:pPr>
            <w:r w:rsidRPr="00DF72C4">
              <w:rPr>
                <w:rFonts w:ascii="Arial Narrow" w:hAnsi="Arial Narrow"/>
                <w:b/>
                <w:sz w:val="20"/>
                <w:szCs w:val="20"/>
              </w:rPr>
              <w:t xml:space="preserve">Prescriber type: </w:t>
            </w:r>
            <w:r w:rsidRPr="00DF72C4">
              <w:rPr>
                <w:rFonts w:ascii="Arial Narrow" w:hAnsi="Arial Narrow"/>
                <w:sz w:val="20"/>
                <w:szCs w:val="20"/>
              </w:rPr>
              <w:fldChar w:fldCharType="begin">
                <w:ffData>
                  <w:name w:val=""/>
                  <w:enabled/>
                  <w:calcOnExit w:val="0"/>
                  <w:checkBox>
                    <w:sizeAuto/>
                    <w:default w:val="1"/>
                  </w:checkBox>
                </w:ffData>
              </w:fldChar>
            </w:r>
            <w:r w:rsidRPr="00DF72C4">
              <w:rPr>
                <w:rFonts w:ascii="Arial Narrow" w:hAnsi="Arial Narrow"/>
                <w:sz w:val="20"/>
                <w:szCs w:val="20"/>
              </w:rPr>
              <w:instrText xml:space="preserve"> FORMCHECKBOX </w:instrText>
            </w:r>
            <w:r w:rsidRPr="00DF72C4">
              <w:rPr>
                <w:rFonts w:ascii="Arial Narrow" w:hAnsi="Arial Narrow"/>
                <w:sz w:val="20"/>
                <w:szCs w:val="20"/>
              </w:rPr>
            </w:r>
            <w:r w:rsidRPr="00DF72C4">
              <w:rPr>
                <w:rFonts w:ascii="Arial Narrow" w:hAnsi="Arial Narrow"/>
                <w:sz w:val="20"/>
                <w:szCs w:val="20"/>
              </w:rPr>
              <w:fldChar w:fldCharType="separate"/>
            </w:r>
            <w:r w:rsidRPr="00DF72C4">
              <w:rPr>
                <w:rFonts w:ascii="Arial Narrow" w:hAnsi="Arial Narrow"/>
                <w:sz w:val="20"/>
                <w:szCs w:val="20"/>
              </w:rPr>
              <w:fldChar w:fldCharType="end"/>
            </w:r>
            <w:r w:rsidRPr="00DF72C4">
              <w:rPr>
                <w:rFonts w:ascii="Arial Narrow" w:hAnsi="Arial Narrow"/>
                <w:sz w:val="20"/>
                <w:szCs w:val="20"/>
              </w:rPr>
              <w:t>Medical Practitioners</w:t>
            </w:r>
          </w:p>
        </w:tc>
      </w:tr>
      <w:tr w:rsidR="000111C3" w:rsidRPr="00950F0F" w14:paraId="3E230784"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AF32D70" w14:textId="77777777" w:rsidR="000111C3" w:rsidRPr="00DF72C4" w:rsidRDefault="000111C3">
            <w:pPr>
              <w:keepLines/>
              <w:rPr>
                <w:rFonts w:ascii="Arial Narrow" w:eastAsia="Calibri" w:hAnsi="Arial Narrow"/>
                <w:color w:val="FF0000"/>
                <w:sz w:val="20"/>
                <w:szCs w:val="20"/>
              </w:rPr>
            </w:pPr>
            <w:r w:rsidRPr="00DF72C4">
              <w:rPr>
                <w:rFonts w:ascii="Arial Narrow" w:hAnsi="Arial Narrow"/>
                <w:b/>
                <w:sz w:val="20"/>
                <w:szCs w:val="20"/>
              </w:rPr>
              <w:t xml:space="preserve">Restriction type: </w:t>
            </w:r>
            <w:r w:rsidRPr="00DF72C4">
              <w:rPr>
                <w:rFonts w:ascii="Arial Narrow" w:eastAsia="Calibri" w:hAnsi="Arial Narrow"/>
                <w:sz w:val="20"/>
                <w:szCs w:val="20"/>
              </w:rPr>
              <w:fldChar w:fldCharType="begin">
                <w:ffData>
                  <w:name w:val=""/>
                  <w:enabled/>
                  <w:calcOnExit w:val="0"/>
                  <w:checkBox>
                    <w:sizeAuto/>
                    <w:default w:val="1"/>
                  </w:checkBox>
                </w:ffData>
              </w:fldChar>
            </w:r>
            <w:r w:rsidRPr="00DF72C4">
              <w:rPr>
                <w:rFonts w:ascii="Arial Narrow" w:eastAsia="Calibri" w:hAnsi="Arial Narrow"/>
                <w:sz w:val="20"/>
                <w:szCs w:val="20"/>
              </w:rPr>
              <w:instrText xml:space="preserve"> FORMCHECKBOX </w:instrText>
            </w:r>
            <w:r w:rsidRPr="00DF72C4">
              <w:rPr>
                <w:rFonts w:ascii="Arial Narrow" w:eastAsia="Calibri" w:hAnsi="Arial Narrow"/>
                <w:sz w:val="20"/>
                <w:szCs w:val="20"/>
              </w:rPr>
            </w:r>
            <w:r w:rsidRPr="00DF72C4">
              <w:rPr>
                <w:rFonts w:ascii="Arial Narrow" w:eastAsia="Calibri" w:hAnsi="Arial Narrow"/>
                <w:sz w:val="20"/>
                <w:szCs w:val="20"/>
              </w:rPr>
              <w:fldChar w:fldCharType="separate"/>
            </w:r>
            <w:r w:rsidRPr="00DF72C4">
              <w:rPr>
                <w:rFonts w:ascii="Arial Narrow" w:eastAsia="Calibri" w:hAnsi="Arial Narrow"/>
                <w:sz w:val="20"/>
                <w:szCs w:val="20"/>
              </w:rPr>
              <w:fldChar w:fldCharType="end"/>
            </w:r>
            <w:r w:rsidRPr="00DF72C4">
              <w:rPr>
                <w:rFonts w:ascii="Arial Narrow" w:eastAsia="Calibri" w:hAnsi="Arial Narrow"/>
                <w:sz w:val="20"/>
                <w:szCs w:val="20"/>
              </w:rPr>
              <w:t>Authority Required (Streamlined) [NEW]</w:t>
            </w:r>
          </w:p>
        </w:tc>
      </w:tr>
      <w:tr w:rsidR="000111C3" w:rsidRPr="00950F0F" w14:paraId="1554BDAF" w14:textId="77777777" w:rsidTr="000111C3">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2BB9E361" w14:textId="77777777" w:rsidR="000111C3" w:rsidRPr="00DF72C4" w:rsidRDefault="000111C3">
            <w:pPr>
              <w:keepLines/>
              <w:rPr>
                <w:rFonts w:ascii="Arial Narrow" w:hAnsi="Arial Narrow"/>
                <w:b/>
                <w:color w:val="FF0000"/>
                <w:sz w:val="20"/>
                <w:szCs w:val="20"/>
              </w:rPr>
            </w:pPr>
            <w:r w:rsidRPr="00DF72C4">
              <w:rPr>
                <w:rFonts w:ascii="Arial Narrow" w:hAnsi="Arial Narrow"/>
                <w:b/>
                <w:sz w:val="20"/>
                <w:szCs w:val="20"/>
              </w:rPr>
              <w:t xml:space="preserve">Authority type: </w:t>
            </w:r>
            <w:r w:rsidRPr="00DF72C4">
              <w:rPr>
                <w:rFonts w:ascii="Arial Narrow" w:eastAsia="Calibri" w:hAnsi="Arial Narrow"/>
                <w:sz w:val="20"/>
                <w:szCs w:val="20"/>
              </w:rPr>
              <w:fldChar w:fldCharType="begin">
                <w:ffData>
                  <w:name w:val="Check1"/>
                  <w:enabled/>
                  <w:calcOnExit w:val="0"/>
                  <w:checkBox>
                    <w:sizeAuto/>
                    <w:default w:val="1"/>
                  </w:checkBox>
                </w:ffData>
              </w:fldChar>
            </w:r>
            <w:r w:rsidRPr="00DF72C4">
              <w:rPr>
                <w:rFonts w:ascii="Arial Narrow" w:eastAsia="Calibri" w:hAnsi="Arial Narrow"/>
                <w:sz w:val="20"/>
                <w:szCs w:val="20"/>
              </w:rPr>
              <w:instrText xml:space="preserve"> FORMCHECKBOX </w:instrText>
            </w:r>
            <w:r w:rsidRPr="00DF72C4">
              <w:rPr>
                <w:rFonts w:ascii="Arial Narrow" w:eastAsia="Calibri" w:hAnsi="Arial Narrow"/>
                <w:sz w:val="20"/>
                <w:szCs w:val="20"/>
              </w:rPr>
            </w:r>
            <w:r w:rsidRPr="00DF72C4">
              <w:rPr>
                <w:rFonts w:ascii="Arial Narrow" w:eastAsia="Calibri" w:hAnsi="Arial Narrow"/>
                <w:sz w:val="20"/>
                <w:szCs w:val="20"/>
              </w:rPr>
              <w:fldChar w:fldCharType="separate"/>
            </w:r>
            <w:r w:rsidRPr="00DF72C4">
              <w:rPr>
                <w:rFonts w:ascii="Arial Narrow" w:eastAsia="Calibri" w:hAnsi="Arial Narrow"/>
                <w:sz w:val="20"/>
                <w:szCs w:val="20"/>
              </w:rPr>
              <w:fldChar w:fldCharType="end"/>
            </w:r>
            <w:r w:rsidRPr="00DF72C4">
              <w:rPr>
                <w:rFonts w:ascii="Arial Narrow" w:eastAsia="Calibri" w:hAnsi="Arial Narrow"/>
                <w:sz w:val="20"/>
                <w:szCs w:val="20"/>
              </w:rPr>
              <w:t xml:space="preserve"> Non-complex Authority Required (non-CAR)</w:t>
            </w:r>
          </w:p>
        </w:tc>
      </w:tr>
      <w:tr w:rsidR="000556A7" w:rsidRPr="00950F0F" w14:paraId="0ABF4BEC"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57B6614B" w14:textId="77777777" w:rsidR="000556A7" w:rsidRPr="00DF72C4" w:rsidRDefault="000556A7">
            <w:pPr>
              <w:rPr>
                <w:rFonts w:ascii="Arial Narrow" w:hAnsi="Arial Narrow"/>
                <w:color w:val="333333"/>
                <w:sz w:val="20"/>
                <w:szCs w:val="20"/>
              </w:rPr>
            </w:pPr>
            <w:r w:rsidRPr="00DF72C4">
              <w:rPr>
                <w:rFonts w:ascii="Arial Narrow" w:hAnsi="Arial Narrow"/>
                <w:b/>
                <w:color w:val="333333"/>
                <w:sz w:val="20"/>
                <w:szCs w:val="20"/>
              </w:rPr>
              <w:lastRenderedPageBreak/>
              <w:t xml:space="preserve">Administrative Advice: </w:t>
            </w:r>
            <w:r w:rsidRPr="00DF72C4">
              <w:rPr>
                <w:rFonts w:ascii="Arial Narrow" w:hAnsi="Arial Narrow"/>
                <w:sz w:val="20"/>
                <w:szCs w:val="20"/>
              </w:rPr>
              <w:t>No increase in the maximum quantity or number of units may be authorised.</w:t>
            </w:r>
          </w:p>
        </w:tc>
      </w:tr>
      <w:tr w:rsidR="000556A7" w:rsidRPr="00950F0F" w14:paraId="2CA11B71"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743EE9ED" w14:textId="77777777" w:rsidR="000556A7" w:rsidRPr="00DF72C4" w:rsidRDefault="000556A7">
            <w:pPr>
              <w:rPr>
                <w:rFonts w:ascii="Arial Narrow" w:hAnsi="Arial Narrow"/>
                <w:b/>
                <w:color w:val="333333"/>
                <w:sz w:val="20"/>
                <w:szCs w:val="20"/>
              </w:rPr>
            </w:pPr>
            <w:r w:rsidRPr="00DF72C4">
              <w:rPr>
                <w:rFonts w:ascii="Arial Narrow" w:hAnsi="Arial Narrow"/>
                <w:b/>
                <w:color w:val="333333"/>
                <w:sz w:val="20"/>
                <w:szCs w:val="20"/>
              </w:rPr>
              <w:t xml:space="preserve">Administrative Advice: </w:t>
            </w:r>
            <w:r w:rsidRPr="00DF72C4">
              <w:rPr>
                <w:rFonts w:ascii="Arial Narrow" w:hAnsi="Arial Narrow"/>
                <w:color w:val="333333"/>
                <w:sz w:val="20"/>
                <w:szCs w:val="20"/>
              </w:rPr>
              <w:t>No increase in the maximum number of repeats may be authorised.</w:t>
            </w:r>
          </w:p>
        </w:tc>
      </w:tr>
      <w:tr w:rsidR="000556A7" w:rsidRPr="00950F0F" w14:paraId="2C01FEC7" w14:textId="77777777" w:rsidTr="000556A7">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vAlign w:val="center"/>
          </w:tcPr>
          <w:p w14:paraId="3E751060" w14:textId="77777777" w:rsidR="000556A7" w:rsidRPr="00DF72C4" w:rsidRDefault="000556A7">
            <w:pPr>
              <w:rPr>
                <w:rFonts w:ascii="Arial Narrow" w:hAnsi="Arial Narrow"/>
                <w:b/>
                <w:color w:val="333333"/>
                <w:sz w:val="20"/>
                <w:szCs w:val="20"/>
              </w:rPr>
            </w:pPr>
            <w:r w:rsidRPr="00DF72C4">
              <w:rPr>
                <w:rFonts w:ascii="Arial Narrow" w:hAnsi="Arial Narrow"/>
                <w:b/>
                <w:color w:val="333333"/>
                <w:sz w:val="20"/>
                <w:szCs w:val="20"/>
              </w:rPr>
              <w:t>Administrative Advice:</w:t>
            </w:r>
            <w:r w:rsidRPr="00DF72C4">
              <w:rPr>
                <w:rFonts w:ascii="Arial Narrow" w:hAnsi="Arial Narrow"/>
                <w:color w:val="333333"/>
                <w:sz w:val="20"/>
                <w:szCs w:val="20"/>
              </w:rPr>
              <w:t xml:space="preserve"> Special Pricing Arrangements apply.</w:t>
            </w:r>
          </w:p>
        </w:tc>
      </w:tr>
      <w:tr w:rsidR="000111C3" w:rsidRPr="00950F0F" w14:paraId="75892D75"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5733B3E5" w14:textId="77777777" w:rsidR="000111C3" w:rsidRPr="00DF72C4" w:rsidRDefault="000111C3">
            <w:pPr>
              <w:keepLines/>
              <w:rPr>
                <w:rFonts w:ascii="Arial Narrow" w:hAnsi="Arial Narrow"/>
                <w:color w:val="333333"/>
                <w:sz w:val="20"/>
                <w:szCs w:val="20"/>
              </w:rPr>
            </w:pPr>
            <w:r w:rsidRPr="00DF72C4">
              <w:rPr>
                <w:rFonts w:ascii="Arial Narrow" w:hAnsi="Arial Narrow"/>
                <w:b/>
                <w:color w:val="333333"/>
                <w:sz w:val="20"/>
                <w:szCs w:val="20"/>
              </w:rPr>
              <w:t>Indication:</w:t>
            </w:r>
            <w:r w:rsidRPr="00DF72C4">
              <w:rPr>
                <w:rFonts w:ascii="Arial Narrow" w:hAnsi="Arial Narrow"/>
                <w:color w:val="333333"/>
                <w:sz w:val="20"/>
                <w:szCs w:val="20"/>
              </w:rPr>
              <w:t xml:space="preserve"> Multiple sclerosis</w:t>
            </w:r>
          </w:p>
        </w:tc>
      </w:tr>
      <w:tr w:rsidR="000111C3" w:rsidRPr="00950F0F" w14:paraId="245D3943"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DAD81E7" w14:textId="77777777" w:rsidR="000111C3" w:rsidRPr="00DF72C4" w:rsidRDefault="000111C3">
            <w:pPr>
              <w:keepLines/>
              <w:rPr>
                <w:rFonts w:ascii="Arial Narrow" w:hAnsi="Arial Narrow"/>
                <w:color w:val="333333"/>
                <w:sz w:val="20"/>
                <w:szCs w:val="20"/>
              </w:rPr>
            </w:pPr>
            <w:r w:rsidRPr="00DF72C4">
              <w:rPr>
                <w:rFonts w:ascii="Arial Narrow" w:hAnsi="Arial Narrow"/>
                <w:b/>
                <w:color w:val="333333"/>
                <w:sz w:val="20"/>
                <w:szCs w:val="20"/>
              </w:rPr>
              <w:t xml:space="preserve">Treatment phase: </w:t>
            </w:r>
            <w:r w:rsidRPr="00DF72C4">
              <w:rPr>
                <w:rFonts w:ascii="Arial Narrow" w:hAnsi="Arial Narrow"/>
                <w:color w:val="333333"/>
                <w:sz w:val="20"/>
                <w:szCs w:val="20"/>
              </w:rPr>
              <w:t>Initial treatment</w:t>
            </w:r>
          </w:p>
        </w:tc>
      </w:tr>
      <w:tr w:rsidR="000111C3" w:rsidRPr="00950F0F" w14:paraId="2FB678FA"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A7B8552"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Clinical criteria:</w:t>
            </w:r>
          </w:p>
        </w:tc>
      </w:tr>
      <w:tr w:rsidR="000111C3" w:rsidRPr="00950F0F" w14:paraId="3BD87681"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2543F9F2" w14:textId="77777777" w:rsidR="000111C3" w:rsidRPr="00DF72C4" w:rsidRDefault="000111C3">
            <w:pPr>
              <w:keepLines/>
              <w:rPr>
                <w:rFonts w:ascii="Arial Narrow" w:hAnsi="Arial Narrow"/>
                <w:b/>
                <w:color w:val="333333"/>
                <w:sz w:val="20"/>
                <w:szCs w:val="20"/>
              </w:rPr>
            </w:pPr>
            <w:r w:rsidRPr="00DF72C4">
              <w:rPr>
                <w:rFonts w:ascii="Arial Narrow" w:hAnsi="Arial Narrow"/>
                <w:color w:val="333333"/>
                <w:sz w:val="20"/>
                <w:szCs w:val="20"/>
              </w:rPr>
              <w:t xml:space="preserve">The condition must be diagnosed as clinically definite relapsing-remitting multiple sclerosis by magnetic resonance imaging of the brain and/or spinal cord; </w:t>
            </w:r>
            <w:r w:rsidRPr="00DF72C4">
              <w:rPr>
                <w:rFonts w:ascii="Arial Narrow" w:hAnsi="Arial Narrow"/>
                <w:b/>
                <w:color w:val="333333"/>
                <w:sz w:val="20"/>
                <w:szCs w:val="20"/>
              </w:rPr>
              <w:t>OR</w:t>
            </w:r>
          </w:p>
        </w:tc>
      </w:tr>
      <w:tr w:rsidR="000111C3" w:rsidRPr="00950F0F" w14:paraId="59BFC4ED"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48552A2"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tc>
      </w:tr>
      <w:tr w:rsidR="000111C3" w:rsidRPr="00950F0F" w14:paraId="43EC32DD"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23705F3"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AND</w:t>
            </w:r>
          </w:p>
        </w:tc>
      </w:tr>
      <w:tr w:rsidR="000111C3" w:rsidRPr="00950F0F" w14:paraId="075B75B0"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05C7E05"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Clinical criteria:</w:t>
            </w:r>
          </w:p>
        </w:tc>
      </w:tr>
      <w:tr w:rsidR="000111C3" w:rsidRPr="00950F0F" w14:paraId="5ECD757E"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5D674BA2"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t>The treatment must be the sole PBS-subsidised disease modifying therapy for this condition</w:t>
            </w:r>
          </w:p>
        </w:tc>
      </w:tr>
      <w:tr w:rsidR="000111C3" w:rsidRPr="00950F0F" w14:paraId="0D948D11"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8D3BA08"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AND</w:t>
            </w:r>
          </w:p>
        </w:tc>
      </w:tr>
      <w:tr w:rsidR="000111C3" w:rsidRPr="00950F0F" w14:paraId="772C9D7A"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B4F95A5"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Clinical criteria:</w:t>
            </w:r>
          </w:p>
        </w:tc>
      </w:tr>
      <w:tr w:rsidR="000111C3" w:rsidRPr="00950F0F" w14:paraId="766E7450"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B1381FC"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0111C3" w:rsidRPr="00950F0F" w14:paraId="6E6976FA"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D833A89"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AND</w:t>
            </w:r>
          </w:p>
        </w:tc>
      </w:tr>
      <w:tr w:rsidR="000111C3" w:rsidRPr="00950F0F" w14:paraId="0E8F56A5"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10BF1B84"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Clinical criteria:</w:t>
            </w:r>
          </w:p>
        </w:tc>
      </w:tr>
      <w:tr w:rsidR="000111C3" w:rsidRPr="00950F0F" w14:paraId="2B60B0CD"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3309F6B"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t>Patient must be ambulatory (without assistance or support)</w:t>
            </w:r>
          </w:p>
        </w:tc>
      </w:tr>
      <w:tr w:rsidR="000111C3" w:rsidRPr="00950F0F" w14:paraId="23ED700F"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0901E76" w14:textId="77777777" w:rsidR="000111C3" w:rsidRPr="00DF72C4" w:rsidRDefault="000111C3">
            <w:pPr>
              <w:keepLines/>
              <w:rPr>
                <w:rFonts w:ascii="Arial Narrow" w:hAnsi="Arial Narrow"/>
                <w:color w:val="333333"/>
                <w:sz w:val="20"/>
                <w:szCs w:val="20"/>
              </w:rPr>
            </w:pPr>
            <w:r w:rsidRPr="00DF72C4">
              <w:rPr>
                <w:rFonts w:ascii="Arial Narrow" w:hAnsi="Arial Narrow"/>
                <w:b/>
                <w:color w:val="333333"/>
                <w:sz w:val="20"/>
                <w:szCs w:val="20"/>
              </w:rPr>
              <w:t>AND</w:t>
            </w:r>
          </w:p>
        </w:tc>
      </w:tr>
      <w:tr w:rsidR="000111C3" w:rsidRPr="00950F0F" w14:paraId="7EDA70C8"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38FA8C05"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Treatment criteria</w:t>
            </w:r>
          </w:p>
        </w:tc>
      </w:tr>
      <w:tr w:rsidR="000111C3" w:rsidRPr="00950F0F" w14:paraId="7F774A92"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48AF12F6"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t>Must be treated by a neurologist</w:t>
            </w:r>
          </w:p>
        </w:tc>
      </w:tr>
      <w:tr w:rsidR="000111C3" w:rsidRPr="00950F0F" w14:paraId="0FDC7123" w14:textId="77777777" w:rsidTr="000111C3">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tcPr>
          <w:p w14:paraId="7D8794E4"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Prescribing instructions:</w:t>
            </w:r>
          </w:p>
          <w:p w14:paraId="5567F2DA"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t>Where applicable, the date of the magnetic resonance imaging scan must be recorded in the patient's medical records.</w:t>
            </w:r>
          </w:p>
        </w:tc>
      </w:tr>
    </w:tbl>
    <w:p w14:paraId="3B2F2261" w14:textId="77777777" w:rsidR="00A168D3" w:rsidRPr="00DF72C4" w:rsidRDefault="00A168D3" w:rsidP="00A168D3">
      <w:pPr>
        <w:rPr>
          <w:rFonts w:asciiTheme="minorHAnsi" w:hAnsiTheme="minorHAnsi" w:cstheme="minorHAnsi"/>
          <w:b/>
        </w:rPr>
      </w:pPr>
    </w:p>
    <w:p w14:paraId="24833474" w14:textId="77777777" w:rsidR="00A168D3" w:rsidRPr="00DF72C4" w:rsidRDefault="00A168D3" w:rsidP="00A168D3">
      <w:pPr>
        <w:pStyle w:val="Heading2"/>
        <w:rPr>
          <w:rFonts w:asciiTheme="minorHAnsi" w:hAnsiTheme="minorHAnsi" w:cstheme="minorHAnsi"/>
          <w:b w:val="0"/>
          <w:i w:val="0"/>
        </w:rPr>
      </w:pPr>
      <w:r w:rsidRPr="00DF72C4">
        <w:rPr>
          <w:i w:val="0"/>
          <w:sz w:val="24"/>
        </w:rPr>
        <w:t>Continuation therapy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211"/>
        <w:gridCol w:w="812"/>
        <w:gridCol w:w="811"/>
        <w:gridCol w:w="812"/>
        <w:gridCol w:w="1810"/>
        <w:gridCol w:w="21"/>
      </w:tblGrid>
      <w:tr w:rsidR="00A168D3" w:rsidRPr="00950F0F" w14:paraId="74E84D85" w14:textId="77777777" w:rsidTr="008A1A3C">
        <w:trPr>
          <w:cantSplit/>
          <w:trHeight w:val="20"/>
        </w:trPr>
        <w:tc>
          <w:tcPr>
            <w:tcW w:w="3540" w:type="dxa"/>
            <w:vAlign w:val="center"/>
          </w:tcPr>
          <w:p w14:paraId="587FF9FD" w14:textId="77777777" w:rsidR="00A168D3" w:rsidRPr="00DF72C4" w:rsidRDefault="00A168D3">
            <w:pPr>
              <w:keepLines/>
              <w:rPr>
                <w:rFonts w:ascii="Arial Narrow" w:hAnsi="Arial Narrow"/>
                <w:b/>
                <w:sz w:val="20"/>
                <w:szCs w:val="20"/>
              </w:rPr>
            </w:pPr>
            <w:r w:rsidRPr="00DF72C4">
              <w:rPr>
                <w:rFonts w:ascii="Arial Narrow" w:hAnsi="Arial Narrow"/>
                <w:b/>
                <w:sz w:val="20"/>
                <w:szCs w:val="20"/>
              </w:rPr>
              <w:t>MEDICINAL PRODUCT</w:t>
            </w:r>
          </w:p>
          <w:p w14:paraId="40A6536D" w14:textId="77777777" w:rsidR="00A168D3" w:rsidRPr="00DF72C4" w:rsidRDefault="00A168D3">
            <w:pPr>
              <w:keepLines/>
              <w:rPr>
                <w:rFonts w:ascii="Arial Narrow" w:hAnsi="Arial Narrow"/>
                <w:b/>
                <w:sz w:val="20"/>
                <w:szCs w:val="20"/>
              </w:rPr>
            </w:pPr>
            <w:r w:rsidRPr="00DF72C4">
              <w:rPr>
                <w:rFonts w:ascii="Arial Narrow" w:hAnsi="Arial Narrow"/>
                <w:b/>
                <w:sz w:val="20"/>
                <w:szCs w:val="20"/>
              </w:rPr>
              <w:t>medicinal product pack</w:t>
            </w:r>
          </w:p>
        </w:tc>
        <w:tc>
          <w:tcPr>
            <w:tcW w:w="1211" w:type="dxa"/>
            <w:vAlign w:val="center"/>
          </w:tcPr>
          <w:p w14:paraId="47DB4162" w14:textId="77777777" w:rsidR="00A168D3" w:rsidRPr="00DF72C4" w:rsidRDefault="00A168D3">
            <w:pPr>
              <w:keepLines/>
              <w:jc w:val="center"/>
              <w:rPr>
                <w:rFonts w:ascii="Arial Narrow" w:hAnsi="Arial Narrow"/>
                <w:b/>
                <w:sz w:val="20"/>
                <w:szCs w:val="20"/>
              </w:rPr>
            </w:pPr>
            <w:r w:rsidRPr="00DF72C4">
              <w:rPr>
                <w:rFonts w:ascii="Arial Narrow" w:hAnsi="Arial Narrow"/>
                <w:b/>
                <w:sz w:val="20"/>
                <w:szCs w:val="20"/>
              </w:rPr>
              <w:t>PBS item code</w:t>
            </w:r>
          </w:p>
        </w:tc>
        <w:tc>
          <w:tcPr>
            <w:tcW w:w="812" w:type="dxa"/>
            <w:vAlign w:val="center"/>
          </w:tcPr>
          <w:p w14:paraId="41681CB3" w14:textId="77777777" w:rsidR="00A168D3" w:rsidRPr="00DF72C4" w:rsidRDefault="00A168D3">
            <w:pPr>
              <w:keepLines/>
              <w:jc w:val="center"/>
              <w:rPr>
                <w:rFonts w:ascii="Arial Narrow" w:hAnsi="Arial Narrow"/>
                <w:b/>
                <w:sz w:val="20"/>
                <w:szCs w:val="20"/>
              </w:rPr>
            </w:pPr>
            <w:r w:rsidRPr="00DF72C4">
              <w:rPr>
                <w:rFonts w:ascii="Arial Narrow" w:hAnsi="Arial Narrow"/>
                <w:b/>
                <w:sz w:val="20"/>
                <w:szCs w:val="20"/>
              </w:rPr>
              <w:t>Max. qty packs</w:t>
            </w:r>
          </w:p>
        </w:tc>
        <w:tc>
          <w:tcPr>
            <w:tcW w:w="811" w:type="dxa"/>
            <w:vAlign w:val="center"/>
          </w:tcPr>
          <w:p w14:paraId="5221DF89" w14:textId="77777777" w:rsidR="00A168D3" w:rsidRPr="00DF72C4" w:rsidRDefault="00A168D3">
            <w:pPr>
              <w:keepLines/>
              <w:jc w:val="center"/>
              <w:rPr>
                <w:rFonts w:ascii="Arial Narrow" w:hAnsi="Arial Narrow"/>
                <w:b/>
                <w:sz w:val="20"/>
                <w:szCs w:val="20"/>
              </w:rPr>
            </w:pPr>
            <w:r w:rsidRPr="00DF72C4">
              <w:rPr>
                <w:rFonts w:ascii="Arial Narrow" w:hAnsi="Arial Narrow"/>
                <w:b/>
                <w:sz w:val="20"/>
                <w:szCs w:val="20"/>
              </w:rPr>
              <w:t>Max. qty units</w:t>
            </w:r>
          </w:p>
        </w:tc>
        <w:tc>
          <w:tcPr>
            <w:tcW w:w="812" w:type="dxa"/>
            <w:vAlign w:val="center"/>
          </w:tcPr>
          <w:p w14:paraId="788962CF" w14:textId="77777777" w:rsidR="00A168D3" w:rsidRPr="00DF72C4" w:rsidRDefault="00A168D3">
            <w:pPr>
              <w:keepLines/>
              <w:jc w:val="center"/>
              <w:rPr>
                <w:rFonts w:ascii="Arial Narrow" w:hAnsi="Arial Narrow"/>
                <w:b/>
                <w:sz w:val="20"/>
                <w:szCs w:val="20"/>
              </w:rPr>
            </w:pPr>
            <w:r w:rsidRPr="00DF72C4">
              <w:rPr>
                <w:rFonts w:ascii="Arial Narrow" w:hAnsi="Arial Narrow"/>
                <w:b/>
                <w:sz w:val="20"/>
                <w:szCs w:val="20"/>
              </w:rPr>
              <w:t>№. of</w:t>
            </w:r>
          </w:p>
          <w:p w14:paraId="49A08973" w14:textId="77777777" w:rsidR="00A168D3" w:rsidRPr="00DF72C4" w:rsidRDefault="00A168D3">
            <w:pPr>
              <w:keepLines/>
              <w:jc w:val="center"/>
              <w:rPr>
                <w:rFonts w:ascii="Arial Narrow" w:hAnsi="Arial Narrow"/>
                <w:b/>
                <w:sz w:val="20"/>
                <w:szCs w:val="20"/>
              </w:rPr>
            </w:pPr>
            <w:proofErr w:type="spellStart"/>
            <w:r w:rsidRPr="00DF72C4">
              <w:rPr>
                <w:rFonts w:ascii="Arial Narrow" w:hAnsi="Arial Narrow"/>
                <w:b/>
                <w:sz w:val="20"/>
                <w:szCs w:val="20"/>
              </w:rPr>
              <w:t>Rpts</w:t>
            </w:r>
            <w:proofErr w:type="spellEnd"/>
          </w:p>
        </w:tc>
        <w:tc>
          <w:tcPr>
            <w:tcW w:w="1831" w:type="dxa"/>
            <w:gridSpan w:val="2"/>
            <w:vAlign w:val="center"/>
          </w:tcPr>
          <w:p w14:paraId="2EC5CA22" w14:textId="77777777" w:rsidR="00A168D3" w:rsidRPr="00DF72C4" w:rsidRDefault="00A168D3">
            <w:pPr>
              <w:keepLines/>
              <w:rPr>
                <w:rFonts w:ascii="Arial Narrow" w:hAnsi="Arial Narrow"/>
                <w:b/>
                <w:sz w:val="20"/>
                <w:szCs w:val="20"/>
                <w:lang w:val="fr-FR"/>
              </w:rPr>
            </w:pPr>
            <w:r w:rsidRPr="00DF72C4">
              <w:rPr>
                <w:rFonts w:ascii="Arial Narrow" w:hAnsi="Arial Narrow"/>
                <w:b/>
                <w:sz w:val="20"/>
                <w:szCs w:val="20"/>
              </w:rPr>
              <w:t>Available brands</w:t>
            </w:r>
          </w:p>
        </w:tc>
      </w:tr>
      <w:tr w:rsidR="00A168D3" w:rsidRPr="00950F0F" w14:paraId="157B0428" w14:textId="77777777" w:rsidTr="008A1A3C">
        <w:trPr>
          <w:cantSplit/>
          <w:trHeight w:val="20"/>
        </w:trPr>
        <w:tc>
          <w:tcPr>
            <w:tcW w:w="9017" w:type="dxa"/>
            <w:gridSpan w:val="7"/>
            <w:vAlign w:val="center"/>
          </w:tcPr>
          <w:p w14:paraId="0EF2D8FC" w14:textId="77777777" w:rsidR="00A168D3" w:rsidRPr="00DF72C4" w:rsidRDefault="00A168D3">
            <w:pPr>
              <w:keepLines/>
              <w:rPr>
                <w:rFonts w:ascii="Arial Narrow" w:hAnsi="Arial Narrow"/>
                <w:sz w:val="20"/>
                <w:szCs w:val="20"/>
              </w:rPr>
            </w:pPr>
            <w:r w:rsidRPr="00DF72C4">
              <w:rPr>
                <w:rFonts w:ascii="Arial Narrow" w:hAnsi="Arial Narrow"/>
                <w:sz w:val="20"/>
                <w:szCs w:val="20"/>
              </w:rPr>
              <w:t>UBLITUXIMAB</w:t>
            </w:r>
          </w:p>
        </w:tc>
      </w:tr>
      <w:tr w:rsidR="00A168D3" w:rsidRPr="00950F0F" w14:paraId="350D1F37" w14:textId="77777777" w:rsidTr="008A1A3C">
        <w:trPr>
          <w:cantSplit/>
          <w:trHeight w:val="20"/>
        </w:trPr>
        <w:tc>
          <w:tcPr>
            <w:tcW w:w="3540" w:type="dxa"/>
            <w:vAlign w:val="center"/>
          </w:tcPr>
          <w:p w14:paraId="2B5B2662" w14:textId="29672361" w:rsidR="00A168D3" w:rsidRPr="00DF72C4" w:rsidRDefault="000B0291">
            <w:pPr>
              <w:keepLines/>
              <w:rPr>
                <w:rFonts w:ascii="Arial Narrow" w:hAnsi="Arial Narrow"/>
                <w:sz w:val="20"/>
                <w:szCs w:val="20"/>
              </w:rPr>
            </w:pPr>
            <w:r>
              <w:rPr>
                <w:rFonts w:ascii="Arial Narrow" w:hAnsi="Arial Narrow"/>
                <w:sz w:val="20"/>
                <w:szCs w:val="20"/>
              </w:rPr>
              <w:t>U</w:t>
            </w:r>
            <w:r w:rsidRPr="00DF72C4">
              <w:rPr>
                <w:rFonts w:ascii="Arial Narrow" w:hAnsi="Arial Narrow"/>
                <w:sz w:val="20"/>
                <w:szCs w:val="20"/>
              </w:rPr>
              <w:t>blituximab 150mg</w:t>
            </w:r>
            <w:r>
              <w:rPr>
                <w:rFonts w:ascii="Arial Narrow" w:hAnsi="Arial Narrow"/>
                <w:sz w:val="20"/>
                <w:szCs w:val="20"/>
              </w:rPr>
              <w:t>/</w:t>
            </w:r>
            <w:r w:rsidRPr="00DF72C4">
              <w:rPr>
                <w:rFonts w:ascii="Arial Narrow" w:hAnsi="Arial Narrow"/>
                <w:sz w:val="20"/>
                <w:szCs w:val="20"/>
              </w:rPr>
              <w:t>6mL injection</w:t>
            </w:r>
            <w:r>
              <w:rPr>
                <w:rFonts w:ascii="Arial Narrow" w:hAnsi="Arial Narrow"/>
                <w:sz w:val="20"/>
                <w:szCs w:val="20"/>
              </w:rPr>
              <w:t>,</w:t>
            </w:r>
            <w:r w:rsidRPr="00DF72C4">
              <w:rPr>
                <w:rFonts w:ascii="Arial Narrow" w:hAnsi="Arial Narrow"/>
                <w:sz w:val="20"/>
                <w:szCs w:val="20"/>
              </w:rPr>
              <w:t xml:space="preserve"> 1</w:t>
            </w:r>
            <w:r>
              <w:rPr>
                <w:rFonts w:ascii="Arial Narrow" w:hAnsi="Arial Narrow"/>
                <w:sz w:val="20"/>
                <w:szCs w:val="20"/>
              </w:rPr>
              <w:t xml:space="preserve"> x 6mL</w:t>
            </w:r>
            <w:r w:rsidRPr="00DF72C4">
              <w:rPr>
                <w:rFonts w:ascii="Arial Narrow" w:hAnsi="Arial Narrow"/>
                <w:sz w:val="20"/>
                <w:szCs w:val="20"/>
              </w:rPr>
              <w:t xml:space="preserve"> vial</w:t>
            </w:r>
          </w:p>
        </w:tc>
        <w:tc>
          <w:tcPr>
            <w:tcW w:w="1211" w:type="dxa"/>
            <w:vAlign w:val="center"/>
          </w:tcPr>
          <w:p w14:paraId="62DC4BC0"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NEW S100 Public (HB)</w:t>
            </w:r>
          </w:p>
        </w:tc>
        <w:tc>
          <w:tcPr>
            <w:tcW w:w="812" w:type="dxa"/>
            <w:vAlign w:val="center"/>
          </w:tcPr>
          <w:p w14:paraId="3852EFE6"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3</w:t>
            </w:r>
          </w:p>
        </w:tc>
        <w:tc>
          <w:tcPr>
            <w:tcW w:w="811" w:type="dxa"/>
            <w:vAlign w:val="center"/>
          </w:tcPr>
          <w:p w14:paraId="60CA1AA7"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3</w:t>
            </w:r>
          </w:p>
        </w:tc>
        <w:tc>
          <w:tcPr>
            <w:tcW w:w="812" w:type="dxa"/>
            <w:vAlign w:val="center"/>
          </w:tcPr>
          <w:p w14:paraId="446D592D"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0</w:t>
            </w:r>
          </w:p>
        </w:tc>
        <w:tc>
          <w:tcPr>
            <w:tcW w:w="1831" w:type="dxa"/>
            <w:gridSpan w:val="2"/>
            <w:vAlign w:val="center"/>
          </w:tcPr>
          <w:p w14:paraId="3202EB64" w14:textId="77777777" w:rsidR="00A168D3" w:rsidRPr="00DF72C4" w:rsidRDefault="00A168D3">
            <w:pPr>
              <w:keepLines/>
              <w:rPr>
                <w:rFonts w:ascii="Arial Narrow" w:hAnsi="Arial Narrow"/>
                <w:sz w:val="20"/>
                <w:szCs w:val="20"/>
              </w:rPr>
            </w:pPr>
            <w:proofErr w:type="spellStart"/>
            <w:r w:rsidRPr="00DF72C4">
              <w:rPr>
                <w:rFonts w:ascii="Arial Narrow" w:hAnsi="Arial Narrow"/>
                <w:sz w:val="20"/>
                <w:szCs w:val="20"/>
              </w:rPr>
              <w:t>Briumvi</w:t>
            </w:r>
            <w:proofErr w:type="spellEnd"/>
          </w:p>
        </w:tc>
      </w:tr>
      <w:tr w:rsidR="00A168D3" w:rsidRPr="00950F0F" w14:paraId="56FFC455" w14:textId="77777777" w:rsidTr="008A1A3C">
        <w:trPr>
          <w:cantSplit/>
          <w:trHeight w:val="20"/>
        </w:trPr>
        <w:tc>
          <w:tcPr>
            <w:tcW w:w="3540" w:type="dxa"/>
            <w:vAlign w:val="center"/>
          </w:tcPr>
          <w:p w14:paraId="53734A2F" w14:textId="4121C9F9" w:rsidR="00A168D3" w:rsidRPr="00DF72C4" w:rsidRDefault="000B0291">
            <w:pPr>
              <w:keepLines/>
              <w:rPr>
                <w:rFonts w:ascii="Arial Narrow" w:hAnsi="Arial Narrow"/>
                <w:sz w:val="20"/>
                <w:szCs w:val="20"/>
              </w:rPr>
            </w:pPr>
            <w:r>
              <w:rPr>
                <w:rFonts w:ascii="Arial Narrow" w:hAnsi="Arial Narrow"/>
                <w:sz w:val="20"/>
                <w:szCs w:val="20"/>
              </w:rPr>
              <w:t>U</w:t>
            </w:r>
            <w:r w:rsidRPr="00DF72C4">
              <w:rPr>
                <w:rFonts w:ascii="Arial Narrow" w:hAnsi="Arial Narrow"/>
                <w:sz w:val="20"/>
                <w:szCs w:val="20"/>
              </w:rPr>
              <w:t>blituximab 150mg</w:t>
            </w:r>
            <w:r>
              <w:rPr>
                <w:rFonts w:ascii="Arial Narrow" w:hAnsi="Arial Narrow"/>
                <w:sz w:val="20"/>
                <w:szCs w:val="20"/>
              </w:rPr>
              <w:t>/</w:t>
            </w:r>
            <w:r w:rsidRPr="00DF72C4">
              <w:rPr>
                <w:rFonts w:ascii="Arial Narrow" w:hAnsi="Arial Narrow"/>
                <w:sz w:val="20"/>
                <w:szCs w:val="20"/>
              </w:rPr>
              <w:t>6mL injection</w:t>
            </w:r>
            <w:r>
              <w:rPr>
                <w:rFonts w:ascii="Arial Narrow" w:hAnsi="Arial Narrow"/>
                <w:sz w:val="20"/>
                <w:szCs w:val="20"/>
              </w:rPr>
              <w:t>,</w:t>
            </w:r>
            <w:r w:rsidRPr="00DF72C4">
              <w:rPr>
                <w:rFonts w:ascii="Arial Narrow" w:hAnsi="Arial Narrow"/>
                <w:sz w:val="20"/>
                <w:szCs w:val="20"/>
              </w:rPr>
              <w:t xml:space="preserve"> 1</w:t>
            </w:r>
            <w:r>
              <w:rPr>
                <w:rFonts w:ascii="Arial Narrow" w:hAnsi="Arial Narrow"/>
                <w:sz w:val="20"/>
                <w:szCs w:val="20"/>
              </w:rPr>
              <w:t xml:space="preserve"> x 6mL</w:t>
            </w:r>
            <w:r w:rsidRPr="00DF72C4">
              <w:rPr>
                <w:rFonts w:ascii="Arial Narrow" w:hAnsi="Arial Narrow"/>
                <w:sz w:val="20"/>
                <w:szCs w:val="20"/>
              </w:rPr>
              <w:t xml:space="preserve"> vial</w:t>
            </w:r>
          </w:p>
        </w:tc>
        <w:tc>
          <w:tcPr>
            <w:tcW w:w="1211" w:type="dxa"/>
            <w:vAlign w:val="center"/>
          </w:tcPr>
          <w:p w14:paraId="08F1D8AD"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NEW S100 Private (HS)</w:t>
            </w:r>
          </w:p>
        </w:tc>
        <w:tc>
          <w:tcPr>
            <w:tcW w:w="812" w:type="dxa"/>
            <w:vAlign w:val="center"/>
          </w:tcPr>
          <w:p w14:paraId="41121208"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3</w:t>
            </w:r>
          </w:p>
        </w:tc>
        <w:tc>
          <w:tcPr>
            <w:tcW w:w="811" w:type="dxa"/>
            <w:vAlign w:val="center"/>
          </w:tcPr>
          <w:p w14:paraId="6D4A84AF"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3</w:t>
            </w:r>
          </w:p>
        </w:tc>
        <w:tc>
          <w:tcPr>
            <w:tcW w:w="812" w:type="dxa"/>
            <w:vAlign w:val="center"/>
          </w:tcPr>
          <w:p w14:paraId="5ED12E39" w14:textId="77777777" w:rsidR="00A168D3" w:rsidRPr="00DF72C4" w:rsidRDefault="00A168D3">
            <w:pPr>
              <w:keepLines/>
              <w:jc w:val="center"/>
              <w:rPr>
                <w:rFonts w:ascii="Arial Narrow" w:hAnsi="Arial Narrow"/>
                <w:sz w:val="20"/>
                <w:szCs w:val="20"/>
              </w:rPr>
            </w:pPr>
            <w:r w:rsidRPr="00DF72C4">
              <w:rPr>
                <w:rFonts w:ascii="Arial Narrow" w:hAnsi="Arial Narrow"/>
                <w:sz w:val="20"/>
                <w:szCs w:val="20"/>
              </w:rPr>
              <w:t>0</w:t>
            </w:r>
          </w:p>
        </w:tc>
        <w:tc>
          <w:tcPr>
            <w:tcW w:w="1831" w:type="dxa"/>
            <w:gridSpan w:val="2"/>
            <w:vAlign w:val="center"/>
          </w:tcPr>
          <w:p w14:paraId="19E73C44" w14:textId="77777777" w:rsidR="00A168D3" w:rsidRPr="00DF72C4" w:rsidRDefault="00A168D3">
            <w:pPr>
              <w:keepLines/>
              <w:rPr>
                <w:rFonts w:ascii="Arial Narrow" w:hAnsi="Arial Narrow"/>
                <w:sz w:val="20"/>
                <w:szCs w:val="20"/>
              </w:rPr>
            </w:pPr>
            <w:proofErr w:type="spellStart"/>
            <w:r w:rsidRPr="00DF72C4">
              <w:rPr>
                <w:rFonts w:ascii="Arial Narrow" w:hAnsi="Arial Narrow"/>
                <w:sz w:val="20"/>
                <w:szCs w:val="20"/>
              </w:rPr>
              <w:t>Briumvi</w:t>
            </w:r>
            <w:proofErr w:type="spellEnd"/>
          </w:p>
        </w:tc>
      </w:tr>
      <w:tr w:rsidR="00A168D3" w:rsidRPr="00950F0F" w14:paraId="21F71B95" w14:textId="77777777" w:rsidTr="008A1A3C">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2D1BE398" w14:textId="77777777" w:rsidR="00A168D3" w:rsidRPr="00DF72C4" w:rsidRDefault="00A168D3">
            <w:pPr>
              <w:rPr>
                <w:rFonts w:ascii="Arial Narrow" w:hAnsi="Arial Narrow"/>
                <w:sz w:val="20"/>
                <w:szCs w:val="20"/>
              </w:rPr>
            </w:pPr>
          </w:p>
        </w:tc>
      </w:tr>
      <w:tr w:rsidR="00A168D3" w:rsidRPr="00950F0F" w14:paraId="6AB7F483" w14:textId="77777777" w:rsidTr="008A1A3C">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1FE9E30C" w14:textId="77777777" w:rsidR="00A168D3" w:rsidRPr="00DF72C4" w:rsidRDefault="00A168D3">
            <w:pPr>
              <w:keepLines/>
              <w:rPr>
                <w:rFonts w:ascii="Arial Narrow" w:hAnsi="Arial Narrow"/>
                <w:b/>
                <w:sz w:val="20"/>
                <w:szCs w:val="20"/>
              </w:rPr>
            </w:pPr>
            <w:r w:rsidRPr="00DF72C4">
              <w:rPr>
                <w:rFonts w:ascii="Arial Narrow" w:hAnsi="Arial Narrow"/>
                <w:b/>
                <w:sz w:val="20"/>
                <w:szCs w:val="20"/>
              </w:rPr>
              <w:t xml:space="preserve">Restriction Summary [new variation of 9635] / Treatment of Concept: [new variation of 9635] </w:t>
            </w:r>
          </w:p>
        </w:tc>
      </w:tr>
      <w:tr w:rsidR="000111C3" w:rsidRPr="00950F0F" w14:paraId="38C0877F" w14:textId="77777777" w:rsidTr="000111C3">
        <w:tblPrEx>
          <w:tblCellMar>
            <w:top w:w="15" w:type="dxa"/>
            <w:bottom w:w="15" w:type="dxa"/>
          </w:tblCellMar>
          <w:tblLook w:val="04A0" w:firstRow="1" w:lastRow="0" w:firstColumn="1" w:lastColumn="0" w:noHBand="0" w:noVBand="1"/>
        </w:tblPrEx>
        <w:trPr>
          <w:gridAfter w:val="1"/>
          <w:wAfter w:w="21" w:type="dxa"/>
          <w:trHeight w:val="20"/>
        </w:trPr>
        <w:tc>
          <w:tcPr>
            <w:tcW w:w="8996" w:type="dxa"/>
            <w:gridSpan w:val="6"/>
            <w:tcBorders>
              <w:top w:val="single" w:sz="4" w:space="0" w:color="auto"/>
              <w:left w:val="single" w:sz="4" w:space="0" w:color="auto"/>
              <w:bottom w:val="single" w:sz="4" w:space="0" w:color="auto"/>
              <w:right w:val="single" w:sz="4" w:space="0" w:color="auto"/>
            </w:tcBorders>
            <w:vAlign w:val="center"/>
          </w:tcPr>
          <w:p w14:paraId="6EA48649" w14:textId="77777777" w:rsidR="000111C3" w:rsidRPr="00DF72C4" w:rsidRDefault="000111C3">
            <w:pPr>
              <w:keepLines/>
              <w:rPr>
                <w:rFonts w:ascii="Arial Narrow" w:hAnsi="Arial Narrow"/>
                <w:sz w:val="20"/>
                <w:szCs w:val="20"/>
              </w:rPr>
            </w:pPr>
            <w:r w:rsidRPr="00DF72C4">
              <w:rPr>
                <w:rFonts w:ascii="Arial Narrow" w:hAnsi="Arial Narrow"/>
                <w:b/>
                <w:sz w:val="20"/>
                <w:szCs w:val="20"/>
              </w:rPr>
              <w:t>Category / Program:</w:t>
            </w:r>
            <w:r w:rsidRPr="00DF72C4">
              <w:rPr>
                <w:rFonts w:ascii="Arial Narrow" w:hAnsi="Arial Narrow"/>
                <w:color w:val="FF0000"/>
                <w:sz w:val="20"/>
                <w:szCs w:val="20"/>
              </w:rPr>
              <w:t xml:space="preserve"> </w:t>
            </w:r>
            <w:r w:rsidRPr="00DF72C4">
              <w:rPr>
                <w:rFonts w:ascii="Arial Narrow" w:eastAsia="Calibri" w:hAnsi="Arial Narrow"/>
                <w:sz w:val="20"/>
                <w:szCs w:val="20"/>
              </w:rPr>
              <w:fldChar w:fldCharType="begin">
                <w:ffData>
                  <w:name w:val=""/>
                  <w:enabled/>
                  <w:calcOnExit w:val="0"/>
                  <w:checkBox>
                    <w:sizeAuto/>
                    <w:default w:val="1"/>
                  </w:checkBox>
                </w:ffData>
              </w:fldChar>
            </w:r>
            <w:r w:rsidRPr="00DF72C4">
              <w:rPr>
                <w:rFonts w:ascii="Arial Narrow" w:eastAsia="Calibri" w:hAnsi="Arial Narrow"/>
                <w:sz w:val="20"/>
                <w:szCs w:val="20"/>
              </w:rPr>
              <w:instrText xml:space="preserve"> FORMCHECKBOX </w:instrText>
            </w:r>
            <w:r w:rsidRPr="00DF72C4">
              <w:rPr>
                <w:rFonts w:ascii="Arial Narrow" w:eastAsia="Calibri" w:hAnsi="Arial Narrow"/>
                <w:sz w:val="20"/>
                <w:szCs w:val="20"/>
              </w:rPr>
            </w:r>
            <w:r w:rsidRPr="00DF72C4">
              <w:rPr>
                <w:rFonts w:ascii="Arial Narrow" w:eastAsia="Calibri" w:hAnsi="Arial Narrow"/>
                <w:sz w:val="20"/>
                <w:szCs w:val="20"/>
              </w:rPr>
              <w:fldChar w:fldCharType="separate"/>
            </w:r>
            <w:r w:rsidRPr="00DF72C4">
              <w:rPr>
                <w:rFonts w:ascii="Arial Narrow" w:eastAsia="Calibri" w:hAnsi="Arial Narrow"/>
                <w:sz w:val="20"/>
                <w:szCs w:val="20"/>
              </w:rPr>
              <w:fldChar w:fldCharType="end"/>
            </w:r>
            <w:r w:rsidRPr="00DF72C4">
              <w:rPr>
                <w:rFonts w:ascii="Arial Narrow" w:eastAsia="Calibri" w:hAnsi="Arial Narrow"/>
                <w:sz w:val="20"/>
                <w:szCs w:val="20"/>
              </w:rPr>
              <w:t xml:space="preserve"> Section 100 – Highly Specialised Drugs Program – Public (Code HB)</w:t>
            </w:r>
            <w:r w:rsidRPr="00DF72C4">
              <w:rPr>
                <w:rFonts w:ascii="Arial Narrow" w:eastAsia="Calibri" w:hAnsi="Arial Narrow"/>
                <w:color w:val="FF0000"/>
                <w:sz w:val="20"/>
                <w:szCs w:val="20"/>
              </w:rPr>
              <w:t xml:space="preserve"> </w:t>
            </w:r>
            <w:r w:rsidRPr="00DF72C4">
              <w:rPr>
                <w:rFonts w:ascii="Arial Narrow" w:eastAsia="Calibri" w:hAnsi="Arial Narrow"/>
                <w:sz w:val="20"/>
                <w:szCs w:val="20"/>
              </w:rPr>
              <w:t>/ Private (Code HS)</w:t>
            </w:r>
          </w:p>
        </w:tc>
      </w:tr>
      <w:tr w:rsidR="000111C3" w:rsidRPr="00950F0F" w14:paraId="5C49283F" w14:textId="77777777" w:rsidTr="000111C3">
        <w:tblPrEx>
          <w:tblCellMar>
            <w:top w:w="15" w:type="dxa"/>
            <w:bottom w:w="15" w:type="dxa"/>
          </w:tblCellMar>
          <w:tblLook w:val="04A0" w:firstRow="1" w:lastRow="0" w:firstColumn="1" w:lastColumn="0" w:noHBand="0" w:noVBand="1"/>
        </w:tblPrEx>
        <w:trPr>
          <w:gridAfter w:val="1"/>
          <w:wAfter w:w="21" w:type="dxa"/>
          <w:trHeight w:val="20"/>
        </w:trPr>
        <w:tc>
          <w:tcPr>
            <w:tcW w:w="8996" w:type="dxa"/>
            <w:gridSpan w:val="6"/>
            <w:tcBorders>
              <w:top w:val="single" w:sz="4" w:space="0" w:color="auto"/>
              <w:left w:val="single" w:sz="4" w:space="0" w:color="auto"/>
              <w:bottom w:val="single" w:sz="4" w:space="0" w:color="auto"/>
              <w:right w:val="single" w:sz="4" w:space="0" w:color="auto"/>
            </w:tcBorders>
            <w:vAlign w:val="center"/>
          </w:tcPr>
          <w:p w14:paraId="1A0566E5" w14:textId="77777777" w:rsidR="000111C3" w:rsidRPr="00DF72C4" w:rsidRDefault="000111C3">
            <w:pPr>
              <w:keepLines/>
              <w:rPr>
                <w:rFonts w:ascii="Arial Narrow" w:hAnsi="Arial Narrow"/>
                <w:b/>
                <w:sz w:val="20"/>
                <w:szCs w:val="20"/>
              </w:rPr>
            </w:pPr>
            <w:r w:rsidRPr="00DF72C4">
              <w:rPr>
                <w:rFonts w:ascii="Arial Narrow" w:hAnsi="Arial Narrow"/>
                <w:b/>
                <w:sz w:val="20"/>
                <w:szCs w:val="20"/>
              </w:rPr>
              <w:t xml:space="preserve">Prescriber type: </w:t>
            </w:r>
            <w:r w:rsidRPr="00DF72C4">
              <w:rPr>
                <w:rFonts w:ascii="Arial Narrow" w:hAnsi="Arial Narrow"/>
                <w:sz w:val="20"/>
                <w:szCs w:val="20"/>
              </w:rPr>
              <w:fldChar w:fldCharType="begin">
                <w:ffData>
                  <w:name w:val=""/>
                  <w:enabled/>
                  <w:calcOnExit w:val="0"/>
                  <w:checkBox>
                    <w:sizeAuto/>
                    <w:default w:val="1"/>
                  </w:checkBox>
                </w:ffData>
              </w:fldChar>
            </w:r>
            <w:r w:rsidRPr="00DF72C4">
              <w:rPr>
                <w:rFonts w:ascii="Arial Narrow" w:hAnsi="Arial Narrow"/>
                <w:sz w:val="20"/>
                <w:szCs w:val="20"/>
              </w:rPr>
              <w:instrText xml:space="preserve"> FORMCHECKBOX </w:instrText>
            </w:r>
            <w:r w:rsidRPr="00DF72C4">
              <w:rPr>
                <w:rFonts w:ascii="Arial Narrow" w:hAnsi="Arial Narrow"/>
                <w:sz w:val="20"/>
                <w:szCs w:val="20"/>
              </w:rPr>
            </w:r>
            <w:r w:rsidRPr="00DF72C4">
              <w:rPr>
                <w:rFonts w:ascii="Arial Narrow" w:hAnsi="Arial Narrow"/>
                <w:sz w:val="20"/>
                <w:szCs w:val="20"/>
              </w:rPr>
              <w:fldChar w:fldCharType="separate"/>
            </w:r>
            <w:r w:rsidRPr="00DF72C4">
              <w:rPr>
                <w:rFonts w:ascii="Arial Narrow" w:hAnsi="Arial Narrow"/>
                <w:sz w:val="20"/>
                <w:szCs w:val="20"/>
              </w:rPr>
              <w:fldChar w:fldCharType="end"/>
            </w:r>
            <w:r w:rsidRPr="00DF72C4">
              <w:rPr>
                <w:rFonts w:ascii="Arial Narrow" w:hAnsi="Arial Narrow"/>
                <w:sz w:val="20"/>
                <w:szCs w:val="20"/>
              </w:rPr>
              <w:t>Medical Practitioners</w:t>
            </w:r>
          </w:p>
        </w:tc>
      </w:tr>
      <w:tr w:rsidR="000111C3" w:rsidRPr="00950F0F" w14:paraId="56FB6B69" w14:textId="77777777" w:rsidTr="000111C3">
        <w:tblPrEx>
          <w:tblCellMar>
            <w:top w:w="15" w:type="dxa"/>
            <w:bottom w:w="15" w:type="dxa"/>
          </w:tblCellMar>
          <w:tblLook w:val="04A0" w:firstRow="1" w:lastRow="0" w:firstColumn="1" w:lastColumn="0" w:noHBand="0" w:noVBand="1"/>
        </w:tblPrEx>
        <w:trPr>
          <w:gridAfter w:val="1"/>
          <w:wAfter w:w="21" w:type="dxa"/>
          <w:trHeight w:val="20"/>
        </w:trPr>
        <w:tc>
          <w:tcPr>
            <w:tcW w:w="8996" w:type="dxa"/>
            <w:gridSpan w:val="6"/>
            <w:tcBorders>
              <w:top w:val="single" w:sz="4" w:space="0" w:color="auto"/>
              <w:left w:val="single" w:sz="4" w:space="0" w:color="auto"/>
              <w:bottom w:val="single" w:sz="4" w:space="0" w:color="auto"/>
              <w:right w:val="single" w:sz="4" w:space="0" w:color="auto"/>
            </w:tcBorders>
            <w:vAlign w:val="center"/>
          </w:tcPr>
          <w:p w14:paraId="11C894A6" w14:textId="77777777" w:rsidR="000111C3" w:rsidRPr="00DF72C4" w:rsidRDefault="000111C3">
            <w:pPr>
              <w:keepLines/>
              <w:rPr>
                <w:rFonts w:ascii="Arial Narrow" w:eastAsia="Calibri" w:hAnsi="Arial Narrow"/>
                <w:color w:val="FF0000"/>
                <w:sz w:val="20"/>
                <w:szCs w:val="20"/>
              </w:rPr>
            </w:pPr>
            <w:r w:rsidRPr="00DF72C4">
              <w:rPr>
                <w:rFonts w:ascii="Arial Narrow" w:hAnsi="Arial Narrow"/>
                <w:b/>
                <w:sz w:val="20"/>
                <w:szCs w:val="20"/>
              </w:rPr>
              <w:t xml:space="preserve">Restriction type: </w:t>
            </w:r>
            <w:r w:rsidRPr="00DF72C4">
              <w:rPr>
                <w:rFonts w:ascii="Arial Narrow" w:eastAsia="Calibri" w:hAnsi="Arial Narrow"/>
                <w:sz w:val="20"/>
                <w:szCs w:val="20"/>
              </w:rPr>
              <w:fldChar w:fldCharType="begin">
                <w:ffData>
                  <w:name w:val=""/>
                  <w:enabled/>
                  <w:calcOnExit w:val="0"/>
                  <w:checkBox>
                    <w:sizeAuto/>
                    <w:default w:val="1"/>
                  </w:checkBox>
                </w:ffData>
              </w:fldChar>
            </w:r>
            <w:r w:rsidRPr="00DF72C4">
              <w:rPr>
                <w:rFonts w:ascii="Arial Narrow" w:eastAsia="Calibri" w:hAnsi="Arial Narrow"/>
                <w:sz w:val="20"/>
                <w:szCs w:val="20"/>
              </w:rPr>
              <w:instrText xml:space="preserve"> FORMCHECKBOX </w:instrText>
            </w:r>
            <w:r w:rsidRPr="00DF72C4">
              <w:rPr>
                <w:rFonts w:ascii="Arial Narrow" w:eastAsia="Calibri" w:hAnsi="Arial Narrow"/>
                <w:sz w:val="20"/>
                <w:szCs w:val="20"/>
              </w:rPr>
            </w:r>
            <w:r w:rsidRPr="00DF72C4">
              <w:rPr>
                <w:rFonts w:ascii="Arial Narrow" w:eastAsia="Calibri" w:hAnsi="Arial Narrow"/>
                <w:sz w:val="20"/>
                <w:szCs w:val="20"/>
              </w:rPr>
              <w:fldChar w:fldCharType="separate"/>
            </w:r>
            <w:r w:rsidRPr="00DF72C4">
              <w:rPr>
                <w:rFonts w:ascii="Arial Narrow" w:eastAsia="Calibri" w:hAnsi="Arial Narrow"/>
                <w:sz w:val="20"/>
                <w:szCs w:val="20"/>
              </w:rPr>
              <w:fldChar w:fldCharType="end"/>
            </w:r>
            <w:r w:rsidRPr="00DF72C4">
              <w:rPr>
                <w:rFonts w:ascii="Arial Narrow" w:eastAsia="Calibri" w:hAnsi="Arial Narrow"/>
                <w:sz w:val="20"/>
                <w:szCs w:val="20"/>
              </w:rPr>
              <w:t>Authority Required (Streamlined) [NEW]</w:t>
            </w:r>
          </w:p>
        </w:tc>
      </w:tr>
      <w:tr w:rsidR="000111C3" w:rsidRPr="00950F0F" w14:paraId="7F9C47A1" w14:textId="77777777" w:rsidTr="000111C3">
        <w:tblPrEx>
          <w:tblCellMar>
            <w:top w:w="15" w:type="dxa"/>
            <w:bottom w:w="15" w:type="dxa"/>
          </w:tblCellMar>
          <w:tblLook w:val="04A0" w:firstRow="1" w:lastRow="0" w:firstColumn="1" w:lastColumn="0" w:noHBand="0" w:noVBand="1"/>
        </w:tblPrEx>
        <w:trPr>
          <w:gridAfter w:val="1"/>
          <w:wAfter w:w="21" w:type="dxa"/>
          <w:trHeight w:val="20"/>
        </w:trPr>
        <w:tc>
          <w:tcPr>
            <w:tcW w:w="8996" w:type="dxa"/>
            <w:gridSpan w:val="6"/>
            <w:tcBorders>
              <w:top w:val="single" w:sz="4" w:space="0" w:color="auto"/>
              <w:left w:val="single" w:sz="4" w:space="0" w:color="auto"/>
              <w:bottom w:val="single" w:sz="4" w:space="0" w:color="auto"/>
              <w:right w:val="single" w:sz="4" w:space="0" w:color="auto"/>
            </w:tcBorders>
            <w:vAlign w:val="center"/>
          </w:tcPr>
          <w:p w14:paraId="73438042" w14:textId="77777777" w:rsidR="000111C3" w:rsidRPr="00DF72C4" w:rsidRDefault="000111C3">
            <w:pPr>
              <w:keepLines/>
              <w:rPr>
                <w:rFonts w:ascii="Arial Narrow" w:hAnsi="Arial Narrow"/>
                <w:b/>
                <w:color w:val="FF0000"/>
                <w:sz w:val="20"/>
                <w:szCs w:val="20"/>
              </w:rPr>
            </w:pPr>
            <w:r w:rsidRPr="00DF72C4">
              <w:rPr>
                <w:rFonts w:ascii="Arial Narrow" w:hAnsi="Arial Narrow"/>
                <w:b/>
                <w:sz w:val="20"/>
                <w:szCs w:val="20"/>
              </w:rPr>
              <w:t xml:space="preserve">Authority type: </w:t>
            </w:r>
            <w:r w:rsidRPr="00DF72C4">
              <w:rPr>
                <w:rFonts w:ascii="Arial Narrow" w:eastAsia="Calibri" w:hAnsi="Arial Narrow"/>
                <w:sz w:val="20"/>
                <w:szCs w:val="20"/>
              </w:rPr>
              <w:fldChar w:fldCharType="begin">
                <w:ffData>
                  <w:name w:val="Check1"/>
                  <w:enabled/>
                  <w:calcOnExit w:val="0"/>
                  <w:checkBox>
                    <w:sizeAuto/>
                    <w:default w:val="1"/>
                  </w:checkBox>
                </w:ffData>
              </w:fldChar>
            </w:r>
            <w:r w:rsidRPr="00DF72C4">
              <w:rPr>
                <w:rFonts w:ascii="Arial Narrow" w:eastAsia="Calibri" w:hAnsi="Arial Narrow"/>
                <w:sz w:val="20"/>
                <w:szCs w:val="20"/>
              </w:rPr>
              <w:instrText xml:space="preserve"> FORMCHECKBOX </w:instrText>
            </w:r>
            <w:r w:rsidRPr="00DF72C4">
              <w:rPr>
                <w:rFonts w:ascii="Arial Narrow" w:eastAsia="Calibri" w:hAnsi="Arial Narrow"/>
                <w:sz w:val="20"/>
                <w:szCs w:val="20"/>
              </w:rPr>
            </w:r>
            <w:r w:rsidRPr="00DF72C4">
              <w:rPr>
                <w:rFonts w:ascii="Arial Narrow" w:eastAsia="Calibri" w:hAnsi="Arial Narrow"/>
                <w:sz w:val="20"/>
                <w:szCs w:val="20"/>
              </w:rPr>
              <w:fldChar w:fldCharType="separate"/>
            </w:r>
            <w:r w:rsidRPr="00DF72C4">
              <w:rPr>
                <w:rFonts w:ascii="Arial Narrow" w:eastAsia="Calibri" w:hAnsi="Arial Narrow"/>
                <w:sz w:val="20"/>
                <w:szCs w:val="20"/>
              </w:rPr>
              <w:fldChar w:fldCharType="end"/>
            </w:r>
            <w:r w:rsidRPr="00DF72C4">
              <w:rPr>
                <w:rFonts w:ascii="Arial Narrow" w:eastAsia="Calibri" w:hAnsi="Arial Narrow"/>
                <w:sz w:val="20"/>
                <w:szCs w:val="20"/>
              </w:rPr>
              <w:t xml:space="preserve"> Non-complex Authority Required (non-CAR)</w:t>
            </w:r>
          </w:p>
        </w:tc>
      </w:tr>
      <w:tr w:rsidR="000111C3" w:rsidRPr="00950F0F" w14:paraId="3F8F1CF7" w14:textId="77777777" w:rsidTr="000111C3">
        <w:tblPrEx>
          <w:tblCellMar>
            <w:top w:w="15" w:type="dxa"/>
            <w:bottom w:w="15" w:type="dxa"/>
          </w:tblCellMar>
          <w:tblLook w:val="04A0" w:firstRow="1" w:lastRow="0" w:firstColumn="1" w:lastColumn="0" w:noHBand="0" w:noVBand="1"/>
        </w:tblPrEx>
        <w:trPr>
          <w:gridAfter w:val="1"/>
          <w:wAfter w:w="21" w:type="dxa"/>
          <w:trHeight w:val="20"/>
        </w:trPr>
        <w:tc>
          <w:tcPr>
            <w:tcW w:w="8996" w:type="dxa"/>
            <w:gridSpan w:val="6"/>
            <w:vAlign w:val="center"/>
          </w:tcPr>
          <w:p w14:paraId="306576E6" w14:textId="77777777" w:rsidR="000111C3" w:rsidRPr="00DF72C4" w:rsidRDefault="000111C3">
            <w:pPr>
              <w:rPr>
                <w:rFonts w:ascii="Arial Narrow" w:hAnsi="Arial Narrow"/>
                <w:color w:val="333333"/>
                <w:sz w:val="20"/>
                <w:szCs w:val="20"/>
              </w:rPr>
            </w:pPr>
            <w:r w:rsidRPr="00DF72C4">
              <w:rPr>
                <w:rFonts w:ascii="Arial Narrow" w:hAnsi="Arial Narrow"/>
                <w:b/>
                <w:color w:val="333333"/>
                <w:sz w:val="20"/>
                <w:szCs w:val="20"/>
              </w:rPr>
              <w:t xml:space="preserve">Administrative Advice: </w:t>
            </w:r>
            <w:r w:rsidRPr="00DF72C4">
              <w:rPr>
                <w:rFonts w:ascii="Arial Narrow" w:hAnsi="Arial Narrow"/>
                <w:sz w:val="20"/>
                <w:szCs w:val="20"/>
              </w:rPr>
              <w:t>No increase in the maximum quantity or number of units may be authorised.</w:t>
            </w:r>
          </w:p>
        </w:tc>
      </w:tr>
      <w:tr w:rsidR="000111C3" w:rsidRPr="00950F0F" w14:paraId="4D669C5F" w14:textId="77777777" w:rsidTr="000111C3">
        <w:tblPrEx>
          <w:tblCellMar>
            <w:top w:w="15" w:type="dxa"/>
            <w:bottom w:w="15" w:type="dxa"/>
          </w:tblCellMar>
          <w:tblLook w:val="04A0" w:firstRow="1" w:lastRow="0" w:firstColumn="1" w:lastColumn="0" w:noHBand="0" w:noVBand="1"/>
        </w:tblPrEx>
        <w:trPr>
          <w:gridAfter w:val="1"/>
          <w:wAfter w:w="21" w:type="dxa"/>
          <w:trHeight w:val="20"/>
        </w:trPr>
        <w:tc>
          <w:tcPr>
            <w:tcW w:w="8996" w:type="dxa"/>
            <w:gridSpan w:val="6"/>
            <w:vAlign w:val="center"/>
          </w:tcPr>
          <w:p w14:paraId="505AFB46" w14:textId="77777777" w:rsidR="000111C3" w:rsidRPr="00DF72C4" w:rsidRDefault="000111C3">
            <w:pPr>
              <w:rPr>
                <w:rFonts w:ascii="Arial Narrow" w:hAnsi="Arial Narrow"/>
                <w:b/>
                <w:color w:val="333333"/>
                <w:sz w:val="20"/>
                <w:szCs w:val="20"/>
              </w:rPr>
            </w:pPr>
            <w:r w:rsidRPr="00DF72C4">
              <w:rPr>
                <w:rFonts w:ascii="Arial Narrow" w:hAnsi="Arial Narrow"/>
                <w:b/>
                <w:color w:val="333333"/>
                <w:sz w:val="20"/>
                <w:szCs w:val="20"/>
              </w:rPr>
              <w:t xml:space="preserve">Administrative Advice: </w:t>
            </w:r>
            <w:r w:rsidRPr="00DF72C4">
              <w:rPr>
                <w:rFonts w:ascii="Arial Narrow" w:hAnsi="Arial Narrow"/>
                <w:color w:val="333333"/>
                <w:sz w:val="20"/>
                <w:szCs w:val="20"/>
              </w:rPr>
              <w:t>No increase in the maximum number of repeats may be authorised.</w:t>
            </w:r>
          </w:p>
        </w:tc>
      </w:tr>
      <w:tr w:rsidR="000111C3" w:rsidRPr="00950F0F" w14:paraId="1785DDE3" w14:textId="77777777" w:rsidTr="000111C3">
        <w:tblPrEx>
          <w:tblCellMar>
            <w:top w:w="15" w:type="dxa"/>
            <w:bottom w:w="15" w:type="dxa"/>
          </w:tblCellMar>
          <w:tblLook w:val="04A0" w:firstRow="1" w:lastRow="0" w:firstColumn="1" w:lastColumn="0" w:noHBand="0" w:noVBand="1"/>
        </w:tblPrEx>
        <w:trPr>
          <w:gridAfter w:val="1"/>
          <w:wAfter w:w="21" w:type="dxa"/>
          <w:trHeight w:val="20"/>
        </w:trPr>
        <w:tc>
          <w:tcPr>
            <w:tcW w:w="8996" w:type="dxa"/>
            <w:gridSpan w:val="6"/>
            <w:vAlign w:val="center"/>
          </w:tcPr>
          <w:p w14:paraId="25E32EC4" w14:textId="77777777" w:rsidR="000111C3" w:rsidRPr="00DF72C4" w:rsidRDefault="000111C3">
            <w:pPr>
              <w:rPr>
                <w:rFonts w:ascii="Arial Narrow" w:hAnsi="Arial Narrow"/>
                <w:b/>
                <w:color w:val="333333"/>
                <w:sz w:val="20"/>
                <w:szCs w:val="20"/>
              </w:rPr>
            </w:pPr>
            <w:r w:rsidRPr="00DF72C4">
              <w:rPr>
                <w:rFonts w:ascii="Arial Narrow" w:hAnsi="Arial Narrow"/>
                <w:b/>
                <w:color w:val="333333"/>
                <w:sz w:val="20"/>
                <w:szCs w:val="20"/>
              </w:rPr>
              <w:t>Administrative Advice:</w:t>
            </w:r>
            <w:r w:rsidRPr="00DF72C4">
              <w:rPr>
                <w:rFonts w:ascii="Arial Narrow" w:hAnsi="Arial Narrow"/>
                <w:color w:val="333333"/>
                <w:sz w:val="20"/>
                <w:szCs w:val="20"/>
              </w:rPr>
              <w:t xml:space="preserve"> Special Pricing Arrangements apply.</w:t>
            </w:r>
          </w:p>
        </w:tc>
      </w:tr>
      <w:tr w:rsidR="000111C3" w:rsidRPr="00950F0F" w14:paraId="0558C063"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hideMark/>
          </w:tcPr>
          <w:p w14:paraId="1AB0A28D" w14:textId="77777777" w:rsidR="000111C3" w:rsidRPr="00DF72C4" w:rsidRDefault="000111C3">
            <w:pPr>
              <w:keepLines/>
              <w:rPr>
                <w:rFonts w:ascii="Arial Narrow" w:hAnsi="Arial Narrow"/>
                <w:color w:val="333333"/>
                <w:sz w:val="20"/>
                <w:szCs w:val="20"/>
              </w:rPr>
            </w:pPr>
            <w:r w:rsidRPr="00DF72C4">
              <w:rPr>
                <w:rFonts w:ascii="Arial Narrow" w:hAnsi="Arial Narrow"/>
                <w:b/>
                <w:color w:val="333333"/>
                <w:sz w:val="20"/>
                <w:szCs w:val="20"/>
              </w:rPr>
              <w:t>Indication:</w:t>
            </w:r>
            <w:r w:rsidRPr="00DF72C4">
              <w:rPr>
                <w:rFonts w:ascii="Arial Narrow" w:hAnsi="Arial Narrow"/>
                <w:color w:val="333333"/>
                <w:sz w:val="20"/>
                <w:szCs w:val="20"/>
              </w:rPr>
              <w:t xml:space="preserve"> Multiple sclerosis</w:t>
            </w:r>
          </w:p>
        </w:tc>
      </w:tr>
      <w:tr w:rsidR="000111C3" w:rsidRPr="00950F0F" w14:paraId="25476CF3"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00E67C9E" w14:textId="77777777" w:rsidR="000111C3" w:rsidRPr="00DF72C4" w:rsidRDefault="000111C3">
            <w:pPr>
              <w:keepLines/>
              <w:rPr>
                <w:rFonts w:ascii="Arial Narrow" w:hAnsi="Arial Narrow"/>
                <w:color w:val="333333"/>
                <w:sz w:val="20"/>
                <w:szCs w:val="20"/>
              </w:rPr>
            </w:pPr>
            <w:r w:rsidRPr="00DF72C4">
              <w:rPr>
                <w:rFonts w:ascii="Arial Narrow" w:hAnsi="Arial Narrow"/>
                <w:b/>
                <w:color w:val="333333"/>
                <w:sz w:val="20"/>
                <w:szCs w:val="20"/>
              </w:rPr>
              <w:t xml:space="preserve">Treatment phase: </w:t>
            </w:r>
            <w:r w:rsidRPr="00DF72C4">
              <w:rPr>
                <w:rFonts w:ascii="Arial Narrow" w:hAnsi="Arial Narrow"/>
                <w:color w:val="333333"/>
                <w:sz w:val="20"/>
                <w:szCs w:val="20"/>
              </w:rPr>
              <w:t>Continuation treatment</w:t>
            </w:r>
          </w:p>
        </w:tc>
      </w:tr>
      <w:tr w:rsidR="000111C3" w:rsidRPr="00950F0F" w14:paraId="1F46E84B"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5FB0DE24"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Clinical criteria:</w:t>
            </w:r>
          </w:p>
        </w:tc>
      </w:tr>
      <w:tr w:rsidR="000111C3" w:rsidRPr="00950F0F" w14:paraId="1B826578"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00356578"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lastRenderedPageBreak/>
              <w:t>Patient must have previously received PBS-subsidised treatment with this drug for this condition</w:t>
            </w:r>
          </w:p>
        </w:tc>
      </w:tr>
      <w:tr w:rsidR="000111C3" w:rsidRPr="00950F0F" w14:paraId="313BA1CC"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3B5B1B85"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AND</w:t>
            </w:r>
          </w:p>
        </w:tc>
      </w:tr>
      <w:tr w:rsidR="000111C3" w:rsidRPr="00950F0F" w14:paraId="24BAEC2D"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361D7FC1"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Clinical criteria:</w:t>
            </w:r>
          </w:p>
        </w:tc>
      </w:tr>
      <w:tr w:rsidR="000111C3" w:rsidRPr="00950F0F" w14:paraId="12BFE116"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427161C0"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t>Patient must not show continuing progression of disability while on treatment with this drug</w:t>
            </w:r>
          </w:p>
        </w:tc>
      </w:tr>
      <w:tr w:rsidR="000111C3" w:rsidRPr="00950F0F" w14:paraId="429A4EB7"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147E0BE0"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AND</w:t>
            </w:r>
          </w:p>
        </w:tc>
      </w:tr>
      <w:tr w:rsidR="000111C3" w:rsidRPr="00950F0F" w14:paraId="2B1A4C43"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5C93BF2F"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Clinical criteria:</w:t>
            </w:r>
          </w:p>
        </w:tc>
      </w:tr>
      <w:tr w:rsidR="000111C3" w:rsidRPr="00950F0F" w14:paraId="33079EEF"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4A18C342"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t>The treatment must be the sole PBS-subsidised disease modifying therapy for this condition</w:t>
            </w:r>
          </w:p>
        </w:tc>
      </w:tr>
      <w:tr w:rsidR="000111C3" w:rsidRPr="00950F0F" w14:paraId="7317B70E"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43B78936"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AND</w:t>
            </w:r>
          </w:p>
        </w:tc>
      </w:tr>
      <w:tr w:rsidR="000111C3" w:rsidRPr="00950F0F" w14:paraId="15067554"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11A57F04"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Clinical criteria:</w:t>
            </w:r>
          </w:p>
        </w:tc>
      </w:tr>
      <w:tr w:rsidR="000111C3" w:rsidRPr="00950F0F" w14:paraId="1D5FE9DA"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44E4ECDE" w14:textId="77777777" w:rsidR="000111C3" w:rsidRPr="00DF72C4" w:rsidRDefault="000111C3">
            <w:pPr>
              <w:keepLines/>
              <w:rPr>
                <w:rFonts w:ascii="Arial Narrow" w:hAnsi="Arial Narrow"/>
                <w:color w:val="333333"/>
                <w:sz w:val="20"/>
                <w:szCs w:val="20"/>
              </w:rPr>
            </w:pPr>
            <w:r w:rsidRPr="00DF72C4">
              <w:rPr>
                <w:rFonts w:ascii="Arial Narrow" w:hAnsi="Arial Narrow"/>
                <w:color w:val="333333"/>
                <w:sz w:val="20"/>
                <w:szCs w:val="20"/>
              </w:rPr>
              <w:t>Patient must have demonstrated compliance with, and an ability to tolerate this therapy</w:t>
            </w:r>
          </w:p>
        </w:tc>
      </w:tr>
      <w:tr w:rsidR="000111C3" w:rsidRPr="00950F0F" w14:paraId="60E1619B"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6D0B2D9A" w14:textId="77777777" w:rsidR="000111C3" w:rsidRPr="00DF72C4" w:rsidRDefault="000111C3">
            <w:pPr>
              <w:keepLines/>
              <w:rPr>
                <w:rFonts w:ascii="Arial Narrow" w:hAnsi="Arial Narrow"/>
                <w:color w:val="333333"/>
                <w:sz w:val="20"/>
                <w:szCs w:val="20"/>
              </w:rPr>
            </w:pPr>
            <w:r w:rsidRPr="00DF72C4">
              <w:rPr>
                <w:rFonts w:ascii="Arial Narrow" w:hAnsi="Arial Narrow"/>
                <w:b/>
                <w:color w:val="333333"/>
                <w:sz w:val="20"/>
                <w:szCs w:val="20"/>
              </w:rPr>
              <w:t>AND</w:t>
            </w:r>
          </w:p>
        </w:tc>
      </w:tr>
      <w:tr w:rsidR="000111C3" w:rsidRPr="00950F0F" w14:paraId="088A3803"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2B697A6B" w14:textId="77777777" w:rsidR="000111C3" w:rsidRPr="00DF72C4" w:rsidRDefault="000111C3">
            <w:pPr>
              <w:keepLines/>
              <w:rPr>
                <w:rFonts w:ascii="Arial Narrow" w:hAnsi="Arial Narrow"/>
                <w:b/>
                <w:color w:val="333333"/>
                <w:sz w:val="20"/>
                <w:szCs w:val="20"/>
              </w:rPr>
            </w:pPr>
            <w:r w:rsidRPr="00DF72C4">
              <w:rPr>
                <w:rFonts w:ascii="Arial Narrow" w:hAnsi="Arial Narrow"/>
                <w:b/>
                <w:color w:val="333333"/>
                <w:sz w:val="20"/>
                <w:szCs w:val="20"/>
              </w:rPr>
              <w:t>Treatment criteria</w:t>
            </w:r>
          </w:p>
        </w:tc>
      </w:tr>
      <w:tr w:rsidR="000111C3" w:rsidRPr="001428E9" w14:paraId="052E3C15" w14:textId="77777777" w:rsidTr="000111C3">
        <w:tblPrEx>
          <w:tblCellMar>
            <w:top w:w="15" w:type="dxa"/>
            <w:bottom w:w="15" w:type="dxa"/>
          </w:tblCellMar>
          <w:tblLook w:val="04A0" w:firstRow="1" w:lastRow="0" w:firstColumn="1" w:lastColumn="0" w:noHBand="0" w:noVBand="1"/>
        </w:tblPrEx>
        <w:trPr>
          <w:gridAfter w:val="1"/>
          <w:wAfter w:w="21" w:type="dxa"/>
          <w:cantSplit/>
          <w:trHeight w:val="20"/>
        </w:trPr>
        <w:tc>
          <w:tcPr>
            <w:tcW w:w="8996" w:type="dxa"/>
            <w:gridSpan w:val="6"/>
            <w:vAlign w:val="center"/>
          </w:tcPr>
          <w:p w14:paraId="692680F6" w14:textId="77777777" w:rsidR="000111C3" w:rsidRPr="006D4CB7" w:rsidRDefault="000111C3">
            <w:pPr>
              <w:keepLines/>
              <w:rPr>
                <w:rFonts w:ascii="Arial Narrow" w:hAnsi="Arial Narrow"/>
                <w:color w:val="333333"/>
                <w:sz w:val="20"/>
                <w:szCs w:val="20"/>
              </w:rPr>
            </w:pPr>
            <w:r w:rsidRPr="00DF72C4">
              <w:rPr>
                <w:rFonts w:ascii="Arial Narrow" w:hAnsi="Arial Narrow"/>
                <w:color w:val="333333"/>
                <w:sz w:val="20"/>
                <w:szCs w:val="20"/>
              </w:rPr>
              <w:t>Must be treated by a neurologist</w:t>
            </w:r>
          </w:p>
        </w:tc>
      </w:tr>
    </w:tbl>
    <w:p w14:paraId="6F3AAF08" w14:textId="4401C76A" w:rsidR="000111C3" w:rsidRDefault="00177769" w:rsidP="00177769">
      <w:pPr>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bookmarkEnd w:id="78"/>
    </w:p>
    <w:p w14:paraId="2D2AF3E9" w14:textId="77777777" w:rsidR="000111C3" w:rsidRPr="00061CBE" w:rsidRDefault="000111C3" w:rsidP="000111C3">
      <w:pPr>
        <w:pStyle w:val="2-SectionHeading"/>
        <w:numPr>
          <w:ilvl w:val="0"/>
          <w:numId w:val="0"/>
        </w:numPr>
        <w:ind w:left="720" w:hanging="720"/>
        <w:rPr>
          <w:lang w:val="en-GB"/>
        </w:rPr>
      </w:pPr>
      <w:bookmarkStart w:id="80" w:name="_Hlk199859688"/>
      <w:r w:rsidRPr="00061CBE">
        <w:t>9</w:t>
      </w:r>
      <w:r w:rsidRPr="00061CBE">
        <w:tab/>
        <w:t>Context for Decision</w:t>
      </w:r>
    </w:p>
    <w:p w14:paraId="63DBF90D" w14:textId="77777777" w:rsidR="000111C3" w:rsidRPr="00061CBE" w:rsidRDefault="000111C3" w:rsidP="000111C3">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8EE4589" w14:textId="77777777" w:rsidR="000111C3" w:rsidRPr="00061CBE" w:rsidRDefault="000111C3" w:rsidP="000111C3">
      <w:pPr>
        <w:pStyle w:val="2-SectionHeading"/>
        <w:numPr>
          <w:ilvl w:val="0"/>
          <w:numId w:val="0"/>
        </w:numPr>
        <w:ind w:left="720" w:hanging="720"/>
      </w:pPr>
      <w:r w:rsidRPr="00061CBE">
        <w:t>10</w:t>
      </w:r>
      <w:r w:rsidRPr="00061CBE">
        <w:tab/>
        <w:t>Sponsor’s Comment</w:t>
      </w:r>
    </w:p>
    <w:bookmarkEnd w:id="80"/>
    <w:p w14:paraId="3F9786C8" w14:textId="7ADDAD95" w:rsidR="000111C3" w:rsidRPr="000111C3" w:rsidRDefault="000111C3" w:rsidP="000111C3">
      <w:pPr>
        <w:ind w:left="720"/>
        <w:rPr>
          <w:bCs/>
        </w:rPr>
      </w:pPr>
      <w:r>
        <w:rPr>
          <w:bCs/>
        </w:rPr>
        <w:t>The sponsor had no comment.</w:t>
      </w:r>
    </w:p>
    <w:sectPr w:rsidR="000111C3" w:rsidRPr="000111C3" w:rsidSect="00251006">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676B" w14:textId="77777777" w:rsidR="00040913" w:rsidRDefault="00040913" w:rsidP="00124A51">
      <w:r>
        <w:separator/>
      </w:r>
    </w:p>
    <w:p w14:paraId="31112A0C" w14:textId="77777777" w:rsidR="00040913" w:rsidRDefault="00040913"/>
  </w:endnote>
  <w:endnote w:type="continuationSeparator" w:id="0">
    <w:p w14:paraId="20A70AD2" w14:textId="77777777" w:rsidR="00040913" w:rsidRDefault="00040913" w:rsidP="00124A51">
      <w:r>
        <w:continuationSeparator/>
      </w:r>
    </w:p>
    <w:p w14:paraId="4356CFB7" w14:textId="77777777" w:rsidR="00040913" w:rsidRDefault="00040913"/>
  </w:endnote>
  <w:endnote w:type="continuationNotice" w:id="1">
    <w:p w14:paraId="574890EC" w14:textId="77777777" w:rsidR="00040913" w:rsidRDefault="00040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3173" w14:textId="35464961" w:rsidR="001F633E" w:rsidRDefault="00BF1344">
    <w:pPr>
      <w:pStyle w:val="Footer"/>
    </w:pPr>
    <w:r>
      <w:rPr>
        <w:noProof/>
      </w:rPr>
      <mc:AlternateContent>
        <mc:Choice Requires="wps">
          <w:drawing>
            <wp:anchor distT="0" distB="0" distL="0" distR="0" simplePos="0" relativeHeight="251668480" behindDoc="0" locked="0" layoutInCell="1" allowOverlap="1" wp14:anchorId="6479DB56" wp14:editId="4B56BD9F">
              <wp:simplePos x="635" y="635"/>
              <wp:positionH relativeFrom="page">
                <wp:align>center</wp:align>
              </wp:positionH>
              <wp:positionV relativeFrom="page">
                <wp:align>bottom</wp:align>
              </wp:positionV>
              <wp:extent cx="551815" cy="376555"/>
              <wp:effectExtent l="0" t="0" r="635" b="0"/>
              <wp:wrapNone/>
              <wp:docPr id="160313696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0C372B" w14:textId="11AD2186" w:rsidR="00BF1344" w:rsidRPr="00BF1344" w:rsidRDefault="00BF1344" w:rsidP="00BF1344">
                          <w:pPr>
                            <w:rPr>
                              <w:rFonts w:eastAsia="Calibri" w:cs="Calibri"/>
                              <w:noProof/>
                              <w:color w:val="FF0000"/>
                            </w:rPr>
                          </w:pPr>
                          <w:r w:rsidRPr="00BF1344">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79DB56"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A0C372B" w14:textId="11AD2186" w:rsidR="00BF1344" w:rsidRPr="00BF1344" w:rsidRDefault="00BF1344" w:rsidP="00BF1344">
                    <w:pPr>
                      <w:rPr>
                        <w:rFonts w:eastAsia="Calibri" w:cs="Calibri"/>
                        <w:noProof/>
                        <w:color w:val="FF0000"/>
                      </w:rPr>
                    </w:pPr>
                    <w:r w:rsidRPr="00BF1344">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1D971A4F" w:rsidR="00D843F2" w:rsidRDefault="00BF1344" w:rsidP="00753B29">
    <w:pPr>
      <w:pStyle w:val="Footer"/>
      <w:jc w:val="center"/>
    </w:pPr>
    <w:r>
      <w:rPr>
        <w:noProof/>
      </w:rPr>
      <mc:AlternateContent>
        <mc:Choice Requires="wps">
          <w:drawing>
            <wp:anchor distT="0" distB="0" distL="0" distR="0" simplePos="0" relativeHeight="251669504" behindDoc="0" locked="0" layoutInCell="1" allowOverlap="1" wp14:anchorId="48D905EA" wp14:editId="481EC431">
              <wp:simplePos x="635" y="635"/>
              <wp:positionH relativeFrom="page">
                <wp:align>center</wp:align>
              </wp:positionH>
              <wp:positionV relativeFrom="page">
                <wp:align>bottom</wp:align>
              </wp:positionV>
              <wp:extent cx="551815" cy="376555"/>
              <wp:effectExtent l="0" t="0" r="635" b="0"/>
              <wp:wrapNone/>
              <wp:docPr id="161134507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B48AFE" w14:textId="69450AD6" w:rsidR="00BF1344" w:rsidRPr="00BF1344" w:rsidRDefault="00BF1344" w:rsidP="00BF1344">
                          <w:pPr>
                            <w:rPr>
                              <w:rFonts w:eastAsia="Calibri" w:cs="Calibri"/>
                              <w:noProof/>
                              <w:color w:val="FF0000"/>
                            </w:rPr>
                          </w:pPr>
                          <w:r w:rsidRPr="00BF1344">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905EA"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0B48AFE" w14:textId="69450AD6" w:rsidR="00BF1344" w:rsidRPr="00BF1344" w:rsidRDefault="00BF1344" w:rsidP="00BF1344">
                    <w:pPr>
                      <w:rPr>
                        <w:rFonts w:eastAsia="Calibri" w:cs="Calibri"/>
                        <w:noProof/>
                        <w:color w:val="FF0000"/>
                      </w:rPr>
                    </w:pPr>
                    <w:r w:rsidRPr="00BF1344">
                      <w:rPr>
                        <w:rFonts w:eastAsia="Calibri" w:cs="Calibri"/>
                        <w:noProof/>
                        <w:color w:val="FF0000"/>
                      </w:rPr>
                      <w:t>OFFICIAL</w:t>
                    </w:r>
                  </w:p>
                </w:txbxContent>
              </v:textbox>
              <w10:wrap anchorx="page" anchory="page"/>
            </v:shape>
          </w:pict>
        </mc:Fallback>
      </mc:AlternateContent>
    </w:r>
  </w:p>
  <w:p w14:paraId="37484CD3" w14:textId="632D58AF" w:rsidR="00D843F2" w:rsidRPr="007C1CD9" w:rsidRDefault="00D925D4"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0E1F" w14:textId="32480F08" w:rsidR="001F633E" w:rsidRDefault="00BF1344">
    <w:pPr>
      <w:pStyle w:val="Footer"/>
    </w:pPr>
    <w:r>
      <w:rPr>
        <w:noProof/>
      </w:rPr>
      <mc:AlternateContent>
        <mc:Choice Requires="wps">
          <w:drawing>
            <wp:anchor distT="0" distB="0" distL="0" distR="0" simplePos="0" relativeHeight="251667456" behindDoc="0" locked="0" layoutInCell="1" allowOverlap="1" wp14:anchorId="11756513" wp14:editId="5C6A2D95">
              <wp:simplePos x="635" y="635"/>
              <wp:positionH relativeFrom="page">
                <wp:align>center</wp:align>
              </wp:positionH>
              <wp:positionV relativeFrom="page">
                <wp:align>bottom</wp:align>
              </wp:positionV>
              <wp:extent cx="551815" cy="376555"/>
              <wp:effectExtent l="0" t="0" r="635" b="0"/>
              <wp:wrapNone/>
              <wp:docPr id="51136480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FB9BC2" w14:textId="21936A26" w:rsidR="00BF1344" w:rsidRPr="00BF1344" w:rsidRDefault="00BF1344" w:rsidP="00BF1344">
                          <w:pPr>
                            <w:rPr>
                              <w:rFonts w:eastAsia="Calibri" w:cs="Calibri"/>
                              <w:noProof/>
                              <w:color w:val="FF0000"/>
                            </w:rPr>
                          </w:pPr>
                          <w:r w:rsidRPr="00BF1344">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756513"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AFB9BC2" w14:textId="21936A26" w:rsidR="00BF1344" w:rsidRPr="00BF1344" w:rsidRDefault="00BF1344" w:rsidP="00BF1344">
                    <w:pPr>
                      <w:rPr>
                        <w:rFonts w:eastAsia="Calibri" w:cs="Calibri"/>
                        <w:noProof/>
                        <w:color w:val="FF0000"/>
                      </w:rPr>
                    </w:pPr>
                    <w:r w:rsidRPr="00BF1344">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05D00" w14:textId="77777777" w:rsidR="00040913" w:rsidRDefault="00040913" w:rsidP="00124A51">
      <w:r>
        <w:separator/>
      </w:r>
    </w:p>
    <w:p w14:paraId="3ABC9188" w14:textId="77777777" w:rsidR="00040913" w:rsidRDefault="00040913"/>
  </w:footnote>
  <w:footnote w:type="continuationSeparator" w:id="0">
    <w:p w14:paraId="680895F0" w14:textId="77777777" w:rsidR="00040913" w:rsidRDefault="00040913" w:rsidP="00124A51">
      <w:r>
        <w:continuationSeparator/>
      </w:r>
    </w:p>
    <w:p w14:paraId="2C6D031D" w14:textId="77777777" w:rsidR="00040913" w:rsidRDefault="00040913"/>
  </w:footnote>
  <w:footnote w:type="continuationNotice" w:id="1">
    <w:p w14:paraId="12FD0E72" w14:textId="77777777" w:rsidR="00040913" w:rsidRDefault="00040913"/>
  </w:footnote>
  <w:footnote w:id="2">
    <w:p w14:paraId="4FF5CF43" w14:textId="77777777" w:rsidR="009213B3" w:rsidRDefault="009213B3" w:rsidP="009213B3">
      <w:pPr>
        <w:pStyle w:val="FootnoteText"/>
      </w:pPr>
      <w:r>
        <w:rPr>
          <w:rStyle w:val="FootnoteReference"/>
        </w:rPr>
        <w:footnoteRef/>
      </w:r>
      <w:r>
        <w:t xml:space="preserve"> DMT = disease-modifying therapy. </w:t>
      </w:r>
    </w:p>
  </w:footnote>
  <w:footnote w:id="3">
    <w:p w14:paraId="5828B196" w14:textId="2877BD72" w:rsidR="005006ED" w:rsidRDefault="005006ED">
      <w:pPr>
        <w:pStyle w:val="FootnoteText"/>
      </w:pPr>
      <w:r>
        <w:rPr>
          <w:rStyle w:val="FootnoteReference"/>
        </w:rPr>
        <w:footnoteRef/>
      </w:r>
      <w:r>
        <w:t xml:space="preserve"> Siponimod is also PBS listed and can be used </w:t>
      </w:r>
      <w:r w:rsidR="004E2109">
        <w:t xml:space="preserve">in RRMS or secondary progressive MS (SPMS), however the criteria for use differ from other RRMS DMTs. </w:t>
      </w:r>
    </w:p>
  </w:footnote>
  <w:footnote w:id="4">
    <w:p w14:paraId="41B95343" w14:textId="516DC2F9" w:rsidR="00B708E5" w:rsidRDefault="00B708E5" w:rsidP="00154BD5">
      <w:r>
        <w:rPr>
          <w:rStyle w:val="FootnoteReference"/>
        </w:rPr>
        <w:footnoteRef/>
      </w:r>
      <w:r>
        <w:t xml:space="preserve"> </w:t>
      </w:r>
      <w:r w:rsidRPr="00C951B2">
        <w:rPr>
          <w:rStyle w:val="TableFigureFooterChar"/>
          <w:color w:val="000000" w:themeColor="text1"/>
        </w:rPr>
        <w:t xml:space="preserve">He D, Zhang C, Zhao X, et al. Teriflunomide for multiple sclerosis. </w:t>
      </w:r>
      <w:r w:rsidRPr="000B114D">
        <w:rPr>
          <w:rStyle w:val="TableFigureFooterChar"/>
          <w:color w:val="000000" w:themeColor="text1"/>
        </w:rPr>
        <w:t>Cochrane Database of Systematic Reviews</w:t>
      </w:r>
      <w:r w:rsidRPr="00C951B2">
        <w:rPr>
          <w:rStyle w:val="TableFigureFooterChar"/>
          <w:color w:val="000000" w:themeColor="text1"/>
        </w:rPr>
        <w:t xml:space="preserve">, </w:t>
      </w:r>
      <w:hyperlink r:id="rId1" w:history="1">
        <w:r w:rsidR="00893B09" w:rsidRPr="00AE1E2D">
          <w:rPr>
            <w:rStyle w:val="Hyperlink"/>
            <w:rFonts w:ascii="Arial Narrow" w:hAnsi="Arial Narrow"/>
            <w:snapToGrid w:val="0"/>
            <w:sz w:val="18"/>
            <w:szCs w:val="22"/>
          </w:rPr>
          <w:t>https://doi.org/10.1002/14651858.CD009882.pub3</w:t>
        </w:r>
      </w:hyperlink>
      <w:r w:rsidRPr="00C951B2">
        <w:rPr>
          <w:rStyle w:val="TableFigureFooterChar"/>
          <w:color w:val="000000" w:themeColor="text1"/>
        </w:rPr>
        <w:t xml:space="preserve"> </w:t>
      </w:r>
    </w:p>
  </w:footnote>
  <w:footnote w:id="5">
    <w:p w14:paraId="79B1D5F7" w14:textId="7C1A20D0" w:rsidR="00A227A9" w:rsidRDefault="00A227A9">
      <w:pPr>
        <w:pStyle w:val="FootnoteText"/>
      </w:pPr>
      <w:r>
        <w:rPr>
          <w:rStyle w:val="FootnoteReference"/>
        </w:rPr>
        <w:footnoteRef/>
      </w:r>
      <w:r>
        <w:t xml:space="preserve"> </w:t>
      </w:r>
      <w:r w:rsidR="00327962" w:rsidRPr="00327962">
        <w:t>Hauser, S, Bar-Or A, Comi G, et al. (2017). "Ocrelizumab versus interferon beta-1a in relapsing multiple sclerosis." N Engl J Med 376(3): 221-234.</w:t>
      </w:r>
      <w:r w:rsidR="008503BE">
        <w:t xml:space="preserve"> Data from Table 2/Supplement Table S9.</w:t>
      </w:r>
    </w:p>
  </w:footnote>
  <w:footnote w:id="6">
    <w:p w14:paraId="031D9574" w14:textId="2F256504" w:rsidR="007F3F69" w:rsidRDefault="007F3F69">
      <w:pPr>
        <w:pStyle w:val="FootnoteText"/>
      </w:pPr>
      <w:r>
        <w:rPr>
          <w:rStyle w:val="FootnoteReference"/>
        </w:rPr>
        <w:footnoteRef/>
      </w:r>
      <w:r>
        <w:t xml:space="preserve"> </w:t>
      </w:r>
      <w:r w:rsidRPr="007F3F69">
        <w:t>https://www.england.nhs.uk/wp-content/uploads/2024/03/treatment-algorithm-for-multiple-sclerosis-disease-modifying-therapies-july-23.pdf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9FA1" w14:textId="08CC963D" w:rsidR="001F633E" w:rsidRDefault="00BF1344">
    <w:pPr>
      <w:pStyle w:val="Header"/>
    </w:pPr>
    <w:r>
      <w:rPr>
        <w:noProof/>
      </w:rPr>
      <mc:AlternateContent>
        <mc:Choice Requires="wps">
          <w:drawing>
            <wp:anchor distT="0" distB="0" distL="0" distR="0" simplePos="0" relativeHeight="251665408" behindDoc="0" locked="0" layoutInCell="1" allowOverlap="1" wp14:anchorId="2BAC4E25" wp14:editId="05820DBA">
              <wp:simplePos x="635" y="635"/>
              <wp:positionH relativeFrom="page">
                <wp:align>center</wp:align>
              </wp:positionH>
              <wp:positionV relativeFrom="page">
                <wp:align>top</wp:align>
              </wp:positionV>
              <wp:extent cx="551815" cy="376555"/>
              <wp:effectExtent l="0" t="0" r="635" b="4445"/>
              <wp:wrapNone/>
              <wp:docPr id="165901773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78C3C9" w14:textId="42FBEB82" w:rsidR="00BF1344" w:rsidRPr="00BF1344" w:rsidRDefault="00BF1344" w:rsidP="00BF1344">
                          <w:pPr>
                            <w:rPr>
                              <w:rFonts w:eastAsia="Calibri" w:cs="Calibri"/>
                              <w:noProof/>
                              <w:color w:val="FF0000"/>
                            </w:rPr>
                          </w:pPr>
                          <w:r w:rsidRPr="00BF1344">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C4E25"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B78C3C9" w14:textId="42FBEB82" w:rsidR="00BF1344" w:rsidRPr="00BF1344" w:rsidRDefault="00BF1344" w:rsidP="00BF1344">
                    <w:pPr>
                      <w:rPr>
                        <w:rFonts w:eastAsia="Calibri" w:cs="Calibri"/>
                        <w:noProof/>
                        <w:color w:val="FF0000"/>
                      </w:rPr>
                    </w:pPr>
                    <w:r w:rsidRPr="00BF1344">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01B5" w14:textId="0B2D5930" w:rsidR="00D05D22" w:rsidRPr="00061CBE" w:rsidRDefault="00BF1344" w:rsidP="00D05D22">
    <w:pPr>
      <w:pStyle w:val="Header"/>
      <w:keepNext w:val="0"/>
      <w:rPr>
        <w:rFonts w:asciiTheme="minorHAnsi" w:eastAsiaTheme="minorHAnsi" w:hAnsiTheme="minorHAnsi" w:cstheme="minorHAnsi"/>
        <w:bCs/>
        <w:i w:val="0"/>
        <w:color w:val="808080"/>
      </w:rPr>
    </w:pPr>
    <w:bookmarkStart w:id="81" w:name="_Hlk199859283"/>
    <w:r>
      <w:rPr>
        <w:rFonts w:asciiTheme="minorHAnsi" w:eastAsiaTheme="minorHAnsi" w:hAnsiTheme="minorHAnsi" w:cstheme="minorHAnsi"/>
        <w:bCs/>
        <w:noProof/>
        <w:color w:val="808080"/>
      </w:rPr>
      <mc:AlternateContent>
        <mc:Choice Requires="wps">
          <w:drawing>
            <wp:anchor distT="0" distB="0" distL="0" distR="0" simplePos="0" relativeHeight="251666432" behindDoc="0" locked="0" layoutInCell="1" allowOverlap="1" wp14:anchorId="65C32E86" wp14:editId="0B79C415">
              <wp:simplePos x="635" y="635"/>
              <wp:positionH relativeFrom="page">
                <wp:align>center</wp:align>
              </wp:positionH>
              <wp:positionV relativeFrom="page">
                <wp:align>top</wp:align>
              </wp:positionV>
              <wp:extent cx="551815" cy="376555"/>
              <wp:effectExtent l="0" t="0" r="635" b="4445"/>
              <wp:wrapNone/>
              <wp:docPr id="202696237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A5E839" w14:textId="16CA8E5A" w:rsidR="00BF1344" w:rsidRPr="00BF1344" w:rsidRDefault="00BF1344" w:rsidP="00BF1344">
                          <w:pPr>
                            <w:rPr>
                              <w:rFonts w:eastAsia="Calibri" w:cs="Calibri"/>
                              <w:noProof/>
                              <w:color w:val="FF0000"/>
                            </w:rPr>
                          </w:pPr>
                          <w:r w:rsidRPr="00BF1344">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C32E86"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2BA5E839" w14:textId="16CA8E5A" w:rsidR="00BF1344" w:rsidRPr="00BF1344" w:rsidRDefault="00BF1344" w:rsidP="00BF1344">
                    <w:pPr>
                      <w:rPr>
                        <w:rFonts w:eastAsia="Calibri" w:cs="Calibri"/>
                        <w:noProof/>
                        <w:color w:val="FF0000"/>
                      </w:rPr>
                    </w:pPr>
                    <w:r w:rsidRPr="00BF1344">
                      <w:rPr>
                        <w:rFonts w:eastAsia="Calibri" w:cs="Calibri"/>
                        <w:noProof/>
                        <w:color w:val="FF0000"/>
                      </w:rPr>
                      <w:t>OFFICIAL</w:t>
                    </w:r>
                  </w:p>
                </w:txbxContent>
              </v:textbox>
              <w10:wrap anchorx="page" anchory="page"/>
            </v:shape>
          </w:pict>
        </mc:Fallback>
      </mc:AlternateContent>
    </w:r>
    <w:r w:rsidR="00D05D22" w:rsidRPr="00061CBE">
      <w:rPr>
        <w:rFonts w:asciiTheme="minorHAnsi" w:eastAsiaTheme="minorHAnsi" w:hAnsiTheme="minorHAnsi" w:cstheme="minorHAnsi"/>
        <w:bCs/>
        <w:color w:val="808080"/>
      </w:rPr>
      <w:t xml:space="preserve">Public Summary Document – </w:t>
    </w:r>
    <w:r w:rsidR="00D05D22">
      <w:rPr>
        <w:rFonts w:asciiTheme="minorHAnsi" w:eastAsiaTheme="minorHAnsi" w:hAnsiTheme="minorHAnsi" w:cstheme="minorHAnsi"/>
        <w:bCs/>
        <w:i w:val="0"/>
        <w:color w:val="808080"/>
      </w:rPr>
      <w:t>May</w:t>
    </w:r>
    <w:r w:rsidR="00D05D22" w:rsidRPr="00061CBE">
      <w:rPr>
        <w:rFonts w:asciiTheme="minorHAnsi" w:eastAsiaTheme="minorHAnsi" w:hAnsiTheme="minorHAnsi" w:cstheme="minorHAnsi"/>
        <w:bCs/>
        <w:color w:val="808080"/>
      </w:rPr>
      <w:t xml:space="preserve"> </w:t>
    </w:r>
    <w:r w:rsidR="00D05D22">
      <w:rPr>
        <w:rFonts w:asciiTheme="minorHAnsi" w:eastAsiaTheme="minorHAnsi" w:hAnsiTheme="minorHAnsi" w:cstheme="minorHAnsi"/>
        <w:bCs/>
        <w:i w:val="0"/>
        <w:color w:val="808080"/>
      </w:rPr>
      <w:t>2025</w:t>
    </w:r>
    <w:r w:rsidR="00D05D22" w:rsidRPr="00061CBE">
      <w:rPr>
        <w:rFonts w:asciiTheme="minorHAnsi" w:eastAsiaTheme="minorHAnsi" w:hAnsiTheme="minorHAnsi" w:cstheme="minorHAnsi"/>
        <w:bCs/>
        <w:color w:val="808080"/>
      </w:rPr>
      <w:t xml:space="preserve"> PBAC Meeting</w:t>
    </w:r>
  </w:p>
  <w:bookmarkEnd w:id="81"/>
  <w:p w14:paraId="03AF943B" w14:textId="77777777" w:rsidR="00D843F2" w:rsidRPr="000B114D" w:rsidRDefault="00D843F2">
    <w:pPr>
      <w:pStyle w:val="Header"/>
      <w:rPr>
        <w:i w:val="0"/>
        <w:i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0A03" w14:textId="1433609C" w:rsidR="001F633E" w:rsidRDefault="00BF1344">
    <w:pPr>
      <w:pStyle w:val="Header"/>
    </w:pPr>
    <w:r>
      <w:rPr>
        <w:noProof/>
      </w:rPr>
      <mc:AlternateContent>
        <mc:Choice Requires="wps">
          <w:drawing>
            <wp:anchor distT="0" distB="0" distL="0" distR="0" simplePos="0" relativeHeight="251664384" behindDoc="0" locked="0" layoutInCell="1" allowOverlap="1" wp14:anchorId="120DFC05" wp14:editId="5C35136C">
              <wp:simplePos x="635" y="635"/>
              <wp:positionH relativeFrom="page">
                <wp:align>center</wp:align>
              </wp:positionH>
              <wp:positionV relativeFrom="page">
                <wp:align>top</wp:align>
              </wp:positionV>
              <wp:extent cx="551815" cy="376555"/>
              <wp:effectExtent l="0" t="0" r="635" b="4445"/>
              <wp:wrapNone/>
              <wp:docPr id="16135091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44BB3A" w14:textId="74CF95A1" w:rsidR="00BF1344" w:rsidRPr="00BF1344" w:rsidRDefault="00BF1344" w:rsidP="00BF1344">
                          <w:pPr>
                            <w:rPr>
                              <w:rFonts w:eastAsia="Calibri" w:cs="Calibri"/>
                              <w:noProof/>
                              <w:color w:val="FF0000"/>
                            </w:rPr>
                          </w:pPr>
                          <w:r w:rsidRPr="00BF1344">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0DFC05"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144BB3A" w14:textId="74CF95A1" w:rsidR="00BF1344" w:rsidRPr="00BF1344" w:rsidRDefault="00BF1344" w:rsidP="00BF1344">
                    <w:pPr>
                      <w:rPr>
                        <w:rFonts w:eastAsia="Calibri" w:cs="Calibri"/>
                        <w:noProof/>
                        <w:color w:val="FF0000"/>
                      </w:rPr>
                    </w:pPr>
                    <w:r w:rsidRPr="00BF1344">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BD0CDB"/>
    <w:multiLevelType w:val="hybridMultilevel"/>
    <w:tmpl w:val="7EA01EC8"/>
    <w:lvl w:ilvl="0" w:tplc="3B7A0F9E">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46AD7"/>
    <w:multiLevelType w:val="hybridMultilevel"/>
    <w:tmpl w:val="71A65F8E"/>
    <w:lvl w:ilvl="0" w:tplc="CFBE442A">
      <w:start w:val="1"/>
      <w:numFmt w:val="bullet"/>
      <w:pStyle w:val="ListParagraph"/>
      <w:lvlText w:val=""/>
      <w:lvlJc w:val="left"/>
      <w:pPr>
        <w:ind w:left="121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E1620E"/>
    <w:multiLevelType w:val="hybridMultilevel"/>
    <w:tmpl w:val="0860A6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4A0166D"/>
    <w:multiLevelType w:val="hybridMultilevel"/>
    <w:tmpl w:val="7722BE8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1B5C58"/>
    <w:multiLevelType w:val="hybridMultilevel"/>
    <w:tmpl w:val="C7220B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404C36"/>
    <w:multiLevelType w:val="hybridMultilevel"/>
    <w:tmpl w:val="D1BCA4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84D033C"/>
    <w:multiLevelType w:val="multilevel"/>
    <w:tmpl w:val="7A22E09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i w:val="0"/>
        <w:iCs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EC272B"/>
    <w:multiLevelType w:val="hybridMultilevel"/>
    <w:tmpl w:val="31563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2018CA"/>
    <w:multiLevelType w:val="multilevel"/>
    <w:tmpl w:val="71A65F8E"/>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917793048">
    <w:abstractNumId w:val="8"/>
  </w:num>
  <w:num w:numId="2" w16cid:durableId="263461728">
    <w:abstractNumId w:val="0"/>
  </w:num>
  <w:num w:numId="3" w16cid:durableId="139346788">
    <w:abstractNumId w:val="19"/>
  </w:num>
  <w:num w:numId="4" w16cid:durableId="220360847">
    <w:abstractNumId w:val="13"/>
  </w:num>
  <w:num w:numId="5" w16cid:durableId="268196418">
    <w:abstractNumId w:val="7"/>
  </w:num>
  <w:num w:numId="6" w16cid:durableId="1048839230">
    <w:abstractNumId w:val="18"/>
  </w:num>
  <w:num w:numId="7" w16cid:durableId="1343775972">
    <w:abstractNumId w:val="11"/>
  </w:num>
  <w:num w:numId="8" w16cid:durableId="884026412">
    <w:abstractNumId w:val="20"/>
  </w:num>
  <w:num w:numId="9" w16cid:durableId="1127822975">
    <w:abstractNumId w:val="16"/>
  </w:num>
  <w:num w:numId="10" w16cid:durableId="1573005167">
    <w:abstractNumId w:val="9"/>
  </w:num>
  <w:num w:numId="11" w16cid:durableId="408699874">
    <w:abstractNumId w:val="10"/>
  </w:num>
  <w:num w:numId="12" w16cid:durableId="1569418770">
    <w:abstractNumId w:val="2"/>
  </w:num>
  <w:num w:numId="13" w16cid:durableId="705176722">
    <w:abstractNumId w:val="1"/>
  </w:num>
  <w:num w:numId="14" w16cid:durableId="1926569401">
    <w:abstractNumId w:val="5"/>
  </w:num>
  <w:num w:numId="15" w16cid:durableId="1979457665">
    <w:abstractNumId w:val="6"/>
  </w:num>
  <w:num w:numId="16" w16cid:durableId="2038313566">
    <w:abstractNumId w:val="4"/>
  </w:num>
  <w:num w:numId="17" w16cid:durableId="129744317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997201">
    <w:abstractNumId w:val="15"/>
  </w:num>
  <w:num w:numId="19" w16cid:durableId="322392496">
    <w:abstractNumId w:val="3"/>
  </w:num>
  <w:num w:numId="20" w16cid:durableId="195700784">
    <w:abstractNumId w:val="17"/>
  </w:num>
  <w:num w:numId="21" w16cid:durableId="828982828">
    <w:abstractNumId w:val="7"/>
  </w:num>
  <w:num w:numId="22" w16cid:durableId="16732938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E2"/>
    <w:rsid w:val="00000790"/>
    <w:rsid w:val="0000110B"/>
    <w:rsid w:val="00002228"/>
    <w:rsid w:val="00003499"/>
    <w:rsid w:val="0000368F"/>
    <w:rsid w:val="000039B7"/>
    <w:rsid w:val="00003ED9"/>
    <w:rsid w:val="00004251"/>
    <w:rsid w:val="00004BA2"/>
    <w:rsid w:val="00004C83"/>
    <w:rsid w:val="00004D6A"/>
    <w:rsid w:val="00004D7E"/>
    <w:rsid w:val="000056B9"/>
    <w:rsid w:val="0000639A"/>
    <w:rsid w:val="000064D6"/>
    <w:rsid w:val="00006DAB"/>
    <w:rsid w:val="00007C0C"/>
    <w:rsid w:val="0001101A"/>
    <w:rsid w:val="000111C3"/>
    <w:rsid w:val="000111E2"/>
    <w:rsid w:val="00011CE6"/>
    <w:rsid w:val="00011FBC"/>
    <w:rsid w:val="000129A9"/>
    <w:rsid w:val="00013247"/>
    <w:rsid w:val="000139EC"/>
    <w:rsid w:val="000147F6"/>
    <w:rsid w:val="000153DA"/>
    <w:rsid w:val="00015886"/>
    <w:rsid w:val="00015E10"/>
    <w:rsid w:val="000162EF"/>
    <w:rsid w:val="000169D0"/>
    <w:rsid w:val="00016DEF"/>
    <w:rsid w:val="0001736C"/>
    <w:rsid w:val="0001767E"/>
    <w:rsid w:val="00017EE9"/>
    <w:rsid w:val="00020362"/>
    <w:rsid w:val="000207C9"/>
    <w:rsid w:val="00020E1C"/>
    <w:rsid w:val="000221D3"/>
    <w:rsid w:val="0002225F"/>
    <w:rsid w:val="00023004"/>
    <w:rsid w:val="00023763"/>
    <w:rsid w:val="00023B0D"/>
    <w:rsid w:val="00024EB5"/>
    <w:rsid w:val="00025872"/>
    <w:rsid w:val="00026CE8"/>
    <w:rsid w:val="00026DEC"/>
    <w:rsid w:val="000273B8"/>
    <w:rsid w:val="0002748F"/>
    <w:rsid w:val="000274B8"/>
    <w:rsid w:val="00030CF1"/>
    <w:rsid w:val="000320BC"/>
    <w:rsid w:val="000327CD"/>
    <w:rsid w:val="00033863"/>
    <w:rsid w:val="000339F6"/>
    <w:rsid w:val="00033A98"/>
    <w:rsid w:val="00033EB8"/>
    <w:rsid w:val="00034592"/>
    <w:rsid w:val="000348FD"/>
    <w:rsid w:val="00035445"/>
    <w:rsid w:val="00035703"/>
    <w:rsid w:val="00035DC0"/>
    <w:rsid w:val="00035FFC"/>
    <w:rsid w:val="00036829"/>
    <w:rsid w:val="00037C2C"/>
    <w:rsid w:val="00040849"/>
    <w:rsid w:val="00040895"/>
    <w:rsid w:val="0004090A"/>
    <w:rsid w:val="00040913"/>
    <w:rsid w:val="000410A0"/>
    <w:rsid w:val="000415B3"/>
    <w:rsid w:val="00042158"/>
    <w:rsid w:val="000424FC"/>
    <w:rsid w:val="000435EE"/>
    <w:rsid w:val="00043C37"/>
    <w:rsid w:val="00044BE8"/>
    <w:rsid w:val="00045017"/>
    <w:rsid w:val="00045A2B"/>
    <w:rsid w:val="00045BDB"/>
    <w:rsid w:val="0004698F"/>
    <w:rsid w:val="00046D64"/>
    <w:rsid w:val="00046D74"/>
    <w:rsid w:val="000477CB"/>
    <w:rsid w:val="0004798B"/>
    <w:rsid w:val="000508C2"/>
    <w:rsid w:val="00050F08"/>
    <w:rsid w:val="0005171E"/>
    <w:rsid w:val="00052B16"/>
    <w:rsid w:val="000539D0"/>
    <w:rsid w:val="00053C5B"/>
    <w:rsid w:val="00054334"/>
    <w:rsid w:val="00054621"/>
    <w:rsid w:val="000546D7"/>
    <w:rsid w:val="00054A8D"/>
    <w:rsid w:val="000556A7"/>
    <w:rsid w:val="00055D34"/>
    <w:rsid w:val="000564A7"/>
    <w:rsid w:val="00056ECF"/>
    <w:rsid w:val="00057A89"/>
    <w:rsid w:val="000604DF"/>
    <w:rsid w:val="000605E6"/>
    <w:rsid w:val="0006123D"/>
    <w:rsid w:val="000613EC"/>
    <w:rsid w:val="00061B50"/>
    <w:rsid w:val="0006209D"/>
    <w:rsid w:val="00062324"/>
    <w:rsid w:val="00062BC9"/>
    <w:rsid w:val="00063D51"/>
    <w:rsid w:val="000653B5"/>
    <w:rsid w:val="00065D5E"/>
    <w:rsid w:val="00066360"/>
    <w:rsid w:val="00066AF8"/>
    <w:rsid w:val="000672D2"/>
    <w:rsid w:val="00067E30"/>
    <w:rsid w:val="00070537"/>
    <w:rsid w:val="00070B3E"/>
    <w:rsid w:val="00071248"/>
    <w:rsid w:val="000716D5"/>
    <w:rsid w:val="000720B9"/>
    <w:rsid w:val="000737F7"/>
    <w:rsid w:val="00074340"/>
    <w:rsid w:val="00074BAF"/>
    <w:rsid w:val="00074CCD"/>
    <w:rsid w:val="00074CF2"/>
    <w:rsid w:val="000765C5"/>
    <w:rsid w:val="000765D5"/>
    <w:rsid w:val="0007672F"/>
    <w:rsid w:val="00076B54"/>
    <w:rsid w:val="000774F0"/>
    <w:rsid w:val="00080117"/>
    <w:rsid w:val="00080705"/>
    <w:rsid w:val="00080909"/>
    <w:rsid w:val="000812CA"/>
    <w:rsid w:val="000813D4"/>
    <w:rsid w:val="00081400"/>
    <w:rsid w:val="00081473"/>
    <w:rsid w:val="00081C51"/>
    <w:rsid w:val="00081E63"/>
    <w:rsid w:val="0008258D"/>
    <w:rsid w:val="00083E99"/>
    <w:rsid w:val="000842D3"/>
    <w:rsid w:val="00084E3E"/>
    <w:rsid w:val="00084FA8"/>
    <w:rsid w:val="000856C5"/>
    <w:rsid w:val="00085750"/>
    <w:rsid w:val="00085C31"/>
    <w:rsid w:val="00086077"/>
    <w:rsid w:val="00086712"/>
    <w:rsid w:val="0008675E"/>
    <w:rsid w:val="00086A9B"/>
    <w:rsid w:val="000902D9"/>
    <w:rsid w:val="00090B11"/>
    <w:rsid w:val="00090C7E"/>
    <w:rsid w:val="000911AC"/>
    <w:rsid w:val="00092600"/>
    <w:rsid w:val="0009262B"/>
    <w:rsid w:val="00092FD9"/>
    <w:rsid w:val="00093310"/>
    <w:rsid w:val="00093DDE"/>
    <w:rsid w:val="0009445C"/>
    <w:rsid w:val="000945D5"/>
    <w:rsid w:val="00094F80"/>
    <w:rsid w:val="00095200"/>
    <w:rsid w:val="00095333"/>
    <w:rsid w:val="0009561F"/>
    <w:rsid w:val="00095FE5"/>
    <w:rsid w:val="00096284"/>
    <w:rsid w:val="00096BBA"/>
    <w:rsid w:val="00097383"/>
    <w:rsid w:val="000A06E6"/>
    <w:rsid w:val="000A0A5B"/>
    <w:rsid w:val="000A1BC0"/>
    <w:rsid w:val="000A2004"/>
    <w:rsid w:val="000A2F9E"/>
    <w:rsid w:val="000A33AF"/>
    <w:rsid w:val="000A3E47"/>
    <w:rsid w:val="000A41CE"/>
    <w:rsid w:val="000A4682"/>
    <w:rsid w:val="000A498C"/>
    <w:rsid w:val="000A4BB8"/>
    <w:rsid w:val="000A522B"/>
    <w:rsid w:val="000A54B7"/>
    <w:rsid w:val="000A5DA1"/>
    <w:rsid w:val="000A5F61"/>
    <w:rsid w:val="000A6039"/>
    <w:rsid w:val="000A63FD"/>
    <w:rsid w:val="000A7453"/>
    <w:rsid w:val="000A7D08"/>
    <w:rsid w:val="000B0097"/>
    <w:rsid w:val="000B0121"/>
    <w:rsid w:val="000B0291"/>
    <w:rsid w:val="000B0670"/>
    <w:rsid w:val="000B0E75"/>
    <w:rsid w:val="000B10E1"/>
    <w:rsid w:val="000B114D"/>
    <w:rsid w:val="000B147A"/>
    <w:rsid w:val="000B152A"/>
    <w:rsid w:val="000B20FC"/>
    <w:rsid w:val="000B2DCB"/>
    <w:rsid w:val="000B43E3"/>
    <w:rsid w:val="000B570C"/>
    <w:rsid w:val="000B5CE0"/>
    <w:rsid w:val="000B6510"/>
    <w:rsid w:val="000B6CAC"/>
    <w:rsid w:val="000B6E0D"/>
    <w:rsid w:val="000B71AF"/>
    <w:rsid w:val="000B7612"/>
    <w:rsid w:val="000B78AE"/>
    <w:rsid w:val="000B7C38"/>
    <w:rsid w:val="000C0BC5"/>
    <w:rsid w:val="000C0DE5"/>
    <w:rsid w:val="000C1500"/>
    <w:rsid w:val="000C1AE1"/>
    <w:rsid w:val="000C2189"/>
    <w:rsid w:val="000C3B6F"/>
    <w:rsid w:val="000C3DF9"/>
    <w:rsid w:val="000C42F5"/>
    <w:rsid w:val="000C4CF2"/>
    <w:rsid w:val="000C4F27"/>
    <w:rsid w:val="000C6713"/>
    <w:rsid w:val="000C6F6A"/>
    <w:rsid w:val="000C7C24"/>
    <w:rsid w:val="000C7D9A"/>
    <w:rsid w:val="000D00AC"/>
    <w:rsid w:val="000D0F50"/>
    <w:rsid w:val="000D1BFC"/>
    <w:rsid w:val="000D1D5D"/>
    <w:rsid w:val="000D203B"/>
    <w:rsid w:val="000D281A"/>
    <w:rsid w:val="000D2848"/>
    <w:rsid w:val="000D29F8"/>
    <w:rsid w:val="000D326A"/>
    <w:rsid w:val="000D3D00"/>
    <w:rsid w:val="000D51FB"/>
    <w:rsid w:val="000D5AAD"/>
    <w:rsid w:val="000D5C7D"/>
    <w:rsid w:val="000D63AC"/>
    <w:rsid w:val="000D7036"/>
    <w:rsid w:val="000D71B2"/>
    <w:rsid w:val="000D720C"/>
    <w:rsid w:val="000E0640"/>
    <w:rsid w:val="000E1353"/>
    <w:rsid w:val="000E135D"/>
    <w:rsid w:val="000E14F2"/>
    <w:rsid w:val="000E22E4"/>
    <w:rsid w:val="000E27A3"/>
    <w:rsid w:val="000E291C"/>
    <w:rsid w:val="000E2CB9"/>
    <w:rsid w:val="000E3049"/>
    <w:rsid w:val="000E3215"/>
    <w:rsid w:val="000E41A9"/>
    <w:rsid w:val="000E4608"/>
    <w:rsid w:val="000E499F"/>
    <w:rsid w:val="000F00BA"/>
    <w:rsid w:val="000F2B5D"/>
    <w:rsid w:val="000F316A"/>
    <w:rsid w:val="000F39F8"/>
    <w:rsid w:val="000F3B0D"/>
    <w:rsid w:val="000F3B52"/>
    <w:rsid w:val="000F3C74"/>
    <w:rsid w:val="000F4411"/>
    <w:rsid w:val="000F463A"/>
    <w:rsid w:val="000F466D"/>
    <w:rsid w:val="000F4BB8"/>
    <w:rsid w:val="000F4CBA"/>
    <w:rsid w:val="000F4E81"/>
    <w:rsid w:val="000F4FA9"/>
    <w:rsid w:val="000F520A"/>
    <w:rsid w:val="000F5245"/>
    <w:rsid w:val="000F53FB"/>
    <w:rsid w:val="000F6AE8"/>
    <w:rsid w:val="000F7127"/>
    <w:rsid w:val="000F7B54"/>
    <w:rsid w:val="001000B3"/>
    <w:rsid w:val="00100F8A"/>
    <w:rsid w:val="0010257B"/>
    <w:rsid w:val="00103451"/>
    <w:rsid w:val="001035AE"/>
    <w:rsid w:val="00103853"/>
    <w:rsid w:val="0010452E"/>
    <w:rsid w:val="0010534F"/>
    <w:rsid w:val="00105AE2"/>
    <w:rsid w:val="001060C6"/>
    <w:rsid w:val="001063DC"/>
    <w:rsid w:val="001067DD"/>
    <w:rsid w:val="00106B80"/>
    <w:rsid w:val="00107252"/>
    <w:rsid w:val="001075AA"/>
    <w:rsid w:val="00107E1C"/>
    <w:rsid w:val="0011032E"/>
    <w:rsid w:val="001107B2"/>
    <w:rsid w:val="00110AC4"/>
    <w:rsid w:val="00110FF5"/>
    <w:rsid w:val="001113FE"/>
    <w:rsid w:val="00111574"/>
    <w:rsid w:val="00111D27"/>
    <w:rsid w:val="00112049"/>
    <w:rsid w:val="00112448"/>
    <w:rsid w:val="0011348B"/>
    <w:rsid w:val="001151BA"/>
    <w:rsid w:val="00115982"/>
    <w:rsid w:val="001165D8"/>
    <w:rsid w:val="00116BC8"/>
    <w:rsid w:val="00116C53"/>
    <w:rsid w:val="001176C1"/>
    <w:rsid w:val="00117A61"/>
    <w:rsid w:val="00117C61"/>
    <w:rsid w:val="001203C7"/>
    <w:rsid w:val="00121799"/>
    <w:rsid w:val="00121D97"/>
    <w:rsid w:val="001221ED"/>
    <w:rsid w:val="001222FC"/>
    <w:rsid w:val="00122D6A"/>
    <w:rsid w:val="001237C2"/>
    <w:rsid w:val="00123902"/>
    <w:rsid w:val="00124A51"/>
    <w:rsid w:val="0012612B"/>
    <w:rsid w:val="001264C4"/>
    <w:rsid w:val="00126621"/>
    <w:rsid w:val="00126B1D"/>
    <w:rsid w:val="00127FEB"/>
    <w:rsid w:val="00130114"/>
    <w:rsid w:val="001301E9"/>
    <w:rsid w:val="00130213"/>
    <w:rsid w:val="00131D82"/>
    <w:rsid w:val="001326EC"/>
    <w:rsid w:val="00132B22"/>
    <w:rsid w:val="00133D36"/>
    <w:rsid w:val="00134486"/>
    <w:rsid w:val="00134816"/>
    <w:rsid w:val="00136A5C"/>
    <w:rsid w:val="00136BC9"/>
    <w:rsid w:val="00137424"/>
    <w:rsid w:val="00137645"/>
    <w:rsid w:val="00137C05"/>
    <w:rsid w:val="0014015A"/>
    <w:rsid w:val="0014024B"/>
    <w:rsid w:val="00140E99"/>
    <w:rsid w:val="0014249F"/>
    <w:rsid w:val="00142885"/>
    <w:rsid w:val="001429CF"/>
    <w:rsid w:val="00142C28"/>
    <w:rsid w:val="00143070"/>
    <w:rsid w:val="001431D3"/>
    <w:rsid w:val="0014337E"/>
    <w:rsid w:val="00143F10"/>
    <w:rsid w:val="00143F67"/>
    <w:rsid w:val="00145234"/>
    <w:rsid w:val="00145540"/>
    <w:rsid w:val="001456B0"/>
    <w:rsid w:val="00145990"/>
    <w:rsid w:val="00146AE9"/>
    <w:rsid w:val="00147894"/>
    <w:rsid w:val="00147EC7"/>
    <w:rsid w:val="00150380"/>
    <w:rsid w:val="001509BA"/>
    <w:rsid w:val="00151009"/>
    <w:rsid w:val="001518DB"/>
    <w:rsid w:val="00151DCE"/>
    <w:rsid w:val="0015246C"/>
    <w:rsid w:val="001525EA"/>
    <w:rsid w:val="00153F3F"/>
    <w:rsid w:val="001547AB"/>
    <w:rsid w:val="00154BD5"/>
    <w:rsid w:val="00154C43"/>
    <w:rsid w:val="00156F8F"/>
    <w:rsid w:val="00157130"/>
    <w:rsid w:val="001573E5"/>
    <w:rsid w:val="001576B1"/>
    <w:rsid w:val="0015776D"/>
    <w:rsid w:val="0015784F"/>
    <w:rsid w:val="00157BF4"/>
    <w:rsid w:val="0016047B"/>
    <w:rsid w:val="00160A4C"/>
    <w:rsid w:val="00161850"/>
    <w:rsid w:val="00161968"/>
    <w:rsid w:val="00161E87"/>
    <w:rsid w:val="00161F5E"/>
    <w:rsid w:val="00162913"/>
    <w:rsid w:val="00162D9B"/>
    <w:rsid w:val="0016313A"/>
    <w:rsid w:val="00163D30"/>
    <w:rsid w:val="00163EE1"/>
    <w:rsid w:val="00163EFF"/>
    <w:rsid w:val="00163F66"/>
    <w:rsid w:val="001644FB"/>
    <w:rsid w:val="0016478E"/>
    <w:rsid w:val="00165231"/>
    <w:rsid w:val="00165932"/>
    <w:rsid w:val="00165C43"/>
    <w:rsid w:val="00165EC4"/>
    <w:rsid w:val="001661FB"/>
    <w:rsid w:val="00166369"/>
    <w:rsid w:val="001671A0"/>
    <w:rsid w:val="0016767F"/>
    <w:rsid w:val="00170E01"/>
    <w:rsid w:val="0017159C"/>
    <w:rsid w:val="00171DC6"/>
    <w:rsid w:val="00173565"/>
    <w:rsid w:val="00173B07"/>
    <w:rsid w:val="00174C2F"/>
    <w:rsid w:val="001751A9"/>
    <w:rsid w:val="001751FA"/>
    <w:rsid w:val="0017669C"/>
    <w:rsid w:val="00177769"/>
    <w:rsid w:val="001801BC"/>
    <w:rsid w:val="0018115F"/>
    <w:rsid w:val="00181C10"/>
    <w:rsid w:val="00181D9C"/>
    <w:rsid w:val="0018308D"/>
    <w:rsid w:val="00183770"/>
    <w:rsid w:val="001837FF"/>
    <w:rsid w:val="001844F7"/>
    <w:rsid w:val="00184724"/>
    <w:rsid w:val="00184B0E"/>
    <w:rsid w:val="00184C82"/>
    <w:rsid w:val="00185EAA"/>
    <w:rsid w:val="001871A1"/>
    <w:rsid w:val="0018752F"/>
    <w:rsid w:val="0019093C"/>
    <w:rsid w:val="0019201C"/>
    <w:rsid w:val="001925E9"/>
    <w:rsid w:val="00192F80"/>
    <w:rsid w:val="00193838"/>
    <w:rsid w:val="00193C15"/>
    <w:rsid w:val="00194A33"/>
    <w:rsid w:val="00194AD8"/>
    <w:rsid w:val="00195222"/>
    <w:rsid w:val="00195452"/>
    <w:rsid w:val="0019641D"/>
    <w:rsid w:val="00196E2D"/>
    <w:rsid w:val="00196FA7"/>
    <w:rsid w:val="00197594"/>
    <w:rsid w:val="001975D8"/>
    <w:rsid w:val="0019762A"/>
    <w:rsid w:val="00197A50"/>
    <w:rsid w:val="001A03F2"/>
    <w:rsid w:val="001A08B5"/>
    <w:rsid w:val="001A0B5F"/>
    <w:rsid w:val="001A15CC"/>
    <w:rsid w:val="001A164C"/>
    <w:rsid w:val="001A178E"/>
    <w:rsid w:val="001A1BD6"/>
    <w:rsid w:val="001A20A8"/>
    <w:rsid w:val="001A3CD3"/>
    <w:rsid w:val="001A43FA"/>
    <w:rsid w:val="001A47C5"/>
    <w:rsid w:val="001A4A39"/>
    <w:rsid w:val="001A4D11"/>
    <w:rsid w:val="001A59FB"/>
    <w:rsid w:val="001A5E9E"/>
    <w:rsid w:val="001A6354"/>
    <w:rsid w:val="001A6366"/>
    <w:rsid w:val="001A65BB"/>
    <w:rsid w:val="001A6E25"/>
    <w:rsid w:val="001A7AE8"/>
    <w:rsid w:val="001B1530"/>
    <w:rsid w:val="001B1551"/>
    <w:rsid w:val="001B204E"/>
    <w:rsid w:val="001B2372"/>
    <w:rsid w:val="001B2571"/>
    <w:rsid w:val="001B2AC2"/>
    <w:rsid w:val="001B3443"/>
    <w:rsid w:val="001B3A4F"/>
    <w:rsid w:val="001B4D20"/>
    <w:rsid w:val="001B4F5F"/>
    <w:rsid w:val="001B51B0"/>
    <w:rsid w:val="001B62A1"/>
    <w:rsid w:val="001B6E12"/>
    <w:rsid w:val="001B7084"/>
    <w:rsid w:val="001B73AD"/>
    <w:rsid w:val="001B7F84"/>
    <w:rsid w:val="001C1B9E"/>
    <w:rsid w:val="001C2A9B"/>
    <w:rsid w:val="001C2BCE"/>
    <w:rsid w:val="001C2E9E"/>
    <w:rsid w:val="001C3DD6"/>
    <w:rsid w:val="001C4299"/>
    <w:rsid w:val="001C4874"/>
    <w:rsid w:val="001C5333"/>
    <w:rsid w:val="001C5F94"/>
    <w:rsid w:val="001C6B19"/>
    <w:rsid w:val="001C6E66"/>
    <w:rsid w:val="001C6FF2"/>
    <w:rsid w:val="001C7BC1"/>
    <w:rsid w:val="001D1100"/>
    <w:rsid w:val="001D1391"/>
    <w:rsid w:val="001D14DB"/>
    <w:rsid w:val="001D1680"/>
    <w:rsid w:val="001D2093"/>
    <w:rsid w:val="001D20A5"/>
    <w:rsid w:val="001D25D7"/>
    <w:rsid w:val="001D2878"/>
    <w:rsid w:val="001D2AEA"/>
    <w:rsid w:val="001D3603"/>
    <w:rsid w:val="001D4A17"/>
    <w:rsid w:val="001D4FE2"/>
    <w:rsid w:val="001D50B2"/>
    <w:rsid w:val="001D54AD"/>
    <w:rsid w:val="001D5EE4"/>
    <w:rsid w:val="001D6364"/>
    <w:rsid w:val="001D6606"/>
    <w:rsid w:val="001D6F7F"/>
    <w:rsid w:val="001D71F4"/>
    <w:rsid w:val="001D7645"/>
    <w:rsid w:val="001D7ECD"/>
    <w:rsid w:val="001D7F49"/>
    <w:rsid w:val="001D7F74"/>
    <w:rsid w:val="001E1E86"/>
    <w:rsid w:val="001E238E"/>
    <w:rsid w:val="001E2483"/>
    <w:rsid w:val="001E26A0"/>
    <w:rsid w:val="001E2B1E"/>
    <w:rsid w:val="001E2CFF"/>
    <w:rsid w:val="001E2F24"/>
    <w:rsid w:val="001E30D4"/>
    <w:rsid w:val="001E34DF"/>
    <w:rsid w:val="001E363E"/>
    <w:rsid w:val="001E39B0"/>
    <w:rsid w:val="001E3CF0"/>
    <w:rsid w:val="001E3F9E"/>
    <w:rsid w:val="001E4409"/>
    <w:rsid w:val="001E52EB"/>
    <w:rsid w:val="001E5758"/>
    <w:rsid w:val="001E57DC"/>
    <w:rsid w:val="001E59DC"/>
    <w:rsid w:val="001E5CC1"/>
    <w:rsid w:val="001E61D2"/>
    <w:rsid w:val="001E740C"/>
    <w:rsid w:val="001E7A5E"/>
    <w:rsid w:val="001F1044"/>
    <w:rsid w:val="001F1235"/>
    <w:rsid w:val="001F138A"/>
    <w:rsid w:val="001F1CB3"/>
    <w:rsid w:val="001F1EFC"/>
    <w:rsid w:val="001F21ED"/>
    <w:rsid w:val="001F22FB"/>
    <w:rsid w:val="001F33D1"/>
    <w:rsid w:val="001F38B5"/>
    <w:rsid w:val="001F3B2D"/>
    <w:rsid w:val="001F4081"/>
    <w:rsid w:val="001F409D"/>
    <w:rsid w:val="001F4570"/>
    <w:rsid w:val="001F593E"/>
    <w:rsid w:val="001F633E"/>
    <w:rsid w:val="001F6E8B"/>
    <w:rsid w:val="001F7361"/>
    <w:rsid w:val="001F754C"/>
    <w:rsid w:val="002007F3"/>
    <w:rsid w:val="002011B0"/>
    <w:rsid w:val="00201CFC"/>
    <w:rsid w:val="00202F1E"/>
    <w:rsid w:val="00203181"/>
    <w:rsid w:val="00203472"/>
    <w:rsid w:val="00203783"/>
    <w:rsid w:val="0020385F"/>
    <w:rsid w:val="00203B31"/>
    <w:rsid w:val="00203D9E"/>
    <w:rsid w:val="00205B9D"/>
    <w:rsid w:val="002062EB"/>
    <w:rsid w:val="002068A0"/>
    <w:rsid w:val="00207021"/>
    <w:rsid w:val="0020732F"/>
    <w:rsid w:val="0020774F"/>
    <w:rsid w:val="00207D00"/>
    <w:rsid w:val="00210546"/>
    <w:rsid w:val="002105C1"/>
    <w:rsid w:val="00210662"/>
    <w:rsid w:val="0021079B"/>
    <w:rsid w:val="002108D4"/>
    <w:rsid w:val="00210B46"/>
    <w:rsid w:val="00210DC0"/>
    <w:rsid w:val="00211393"/>
    <w:rsid w:val="002116FD"/>
    <w:rsid w:val="00211D7E"/>
    <w:rsid w:val="00212F35"/>
    <w:rsid w:val="00213425"/>
    <w:rsid w:val="002134FF"/>
    <w:rsid w:val="00213EF5"/>
    <w:rsid w:val="00214152"/>
    <w:rsid w:val="00216708"/>
    <w:rsid w:val="00216BF5"/>
    <w:rsid w:val="00220321"/>
    <w:rsid w:val="00220805"/>
    <w:rsid w:val="00221902"/>
    <w:rsid w:val="002219F6"/>
    <w:rsid w:val="00221D44"/>
    <w:rsid w:val="00222097"/>
    <w:rsid w:val="00222283"/>
    <w:rsid w:val="002225EB"/>
    <w:rsid w:val="002230FE"/>
    <w:rsid w:val="00223B49"/>
    <w:rsid w:val="00223D5A"/>
    <w:rsid w:val="002244DA"/>
    <w:rsid w:val="002247C6"/>
    <w:rsid w:val="00224DD4"/>
    <w:rsid w:val="00224FA2"/>
    <w:rsid w:val="00225E91"/>
    <w:rsid w:val="002263CC"/>
    <w:rsid w:val="002278A0"/>
    <w:rsid w:val="00227D21"/>
    <w:rsid w:val="00227DC5"/>
    <w:rsid w:val="00227FCB"/>
    <w:rsid w:val="002309CC"/>
    <w:rsid w:val="00231BA9"/>
    <w:rsid w:val="0023209F"/>
    <w:rsid w:val="00232535"/>
    <w:rsid w:val="0023399E"/>
    <w:rsid w:val="00233C01"/>
    <w:rsid w:val="0023413C"/>
    <w:rsid w:val="002346F0"/>
    <w:rsid w:val="0023474F"/>
    <w:rsid w:val="00235A37"/>
    <w:rsid w:val="0023616E"/>
    <w:rsid w:val="0023629D"/>
    <w:rsid w:val="00237255"/>
    <w:rsid w:val="0023769E"/>
    <w:rsid w:val="00237DC6"/>
    <w:rsid w:val="0024091B"/>
    <w:rsid w:val="002416BD"/>
    <w:rsid w:val="00241BE9"/>
    <w:rsid w:val="0024243D"/>
    <w:rsid w:val="002424AF"/>
    <w:rsid w:val="002439DC"/>
    <w:rsid w:val="002441D2"/>
    <w:rsid w:val="00244DC8"/>
    <w:rsid w:val="00244F9C"/>
    <w:rsid w:val="002458BA"/>
    <w:rsid w:val="002459C8"/>
    <w:rsid w:val="00245CE9"/>
    <w:rsid w:val="00245FE7"/>
    <w:rsid w:val="0024636C"/>
    <w:rsid w:val="00247925"/>
    <w:rsid w:val="00250442"/>
    <w:rsid w:val="002504ED"/>
    <w:rsid w:val="00250986"/>
    <w:rsid w:val="00250AF0"/>
    <w:rsid w:val="00251006"/>
    <w:rsid w:val="002513EB"/>
    <w:rsid w:val="00251BA3"/>
    <w:rsid w:val="002524D5"/>
    <w:rsid w:val="00252AFB"/>
    <w:rsid w:val="00253A5E"/>
    <w:rsid w:val="00253B1D"/>
    <w:rsid w:val="00254DCF"/>
    <w:rsid w:val="0025534B"/>
    <w:rsid w:val="00255BB7"/>
    <w:rsid w:val="00256C78"/>
    <w:rsid w:val="00256D0A"/>
    <w:rsid w:val="00256D1E"/>
    <w:rsid w:val="00257541"/>
    <w:rsid w:val="00257A39"/>
    <w:rsid w:val="00257AC4"/>
    <w:rsid w:val="00257BBE"/>
    <w:rsid w:val="00257BC0"/>
    <w:rsid w:val="00261EEF"/>
    <w:rsid w:val="00262305"/>
    <w:rsid w:val="00262A1A"/>
    <w:rsid w:val="00262A87"/>
    <w:rsid w:val="00262EBC"/>
    <w:rsid w:val="00263646"/>
    <w:rsid w:val="00263FD2"/>
    <w:rsid w:val="002640A4"/>
    <w:rsid w:val="002646D1"/>
    <w:rsid w:val="0026475C"/>
    <w:rsid w:val="00264D26"/>
    <w:rsid w:val="0026672A"/>
    <w:rsid w:val="00266C94"/>
    <w:rsid w:val="00267642"/>
    <w:rsid w:val="00267AEA"/>
    <w:rsid w:val="002700E6"/>
    <w:rsid w:val="00270B18"/>
    <w:rsid w:val="0027107D"/>
    <w:rsid w:val="0027294B"/>
    <w:rsid w:val="00272EF8"/>
    <w:rsid w:val="00273025"/>
    <w:rsid w:val="00273064"/>
    <w:rsid w:val="00273EB4"/>
    <w:rsid w:val="00274682"/>
    <w:rsid w:val="00274C31"/>
    <w:rsid w:val="00275158"/>
    <w:rsid w:val="002759CC"/>
    <w:rsid w:val="00275AAA"/>
    <w:rsid w:val="00275C5A"/>
    <w:rsid w:val="00276808"/>
    <w:rsid w:val="00276F88"/>
    <w:rsid w:val="002808A1"/>
    <w:rsid w:val="00280B5F"/>
    <w:rsid w:val="00281014"/>
    <w:rsid w:val="0028220C"/>
    <w:rsid w:val="002822CB"/>
    <w:rsid w:val="00283FEF"/>
    <w:rsid w:val="0028431A"/>
    <w:rsid w:val="00284331"/>
    <w:rsid w:val="00284B50"/>
    <w:rsid w:val="0028507E"/>
    <w:rsid w:val="00285BCE"/>
    <w:rsid w:val="002863A5"/>
    <w:rsid w:val="0028665D"/>
    <w:rsid w:val="0028677A"/>
    <w:rsid w:val="00287350"/>
    <w:rsid w:val="00287CAE"/>
    <w:rsid w:val="00287FB8"/>
    <w:rsid w:val="00290029"/>
    <w:rsid w:val="00291936"/>
    <w:rsid w:val="002925D1"/>
    <w:rsid w:val="00293E82"/>
    <w:rsid w:val="002940E0"/>
    <w:rsid w:val="00294E58"/>
    <w:rsid w:val="00296463"/>
    <w:rsid w:val="00296B7B"/>
    <w:rsid w:val="002A14AB"/>
    <w:rsid w:val="002A212B"/>
    <w:rsid w:val="002A220C"/>
    <w:rsid w:val="002A229C"/>
    <w:rsid w:val="002A2ADE"/>
    <w:rsid w:val="002A2DAF"/>
    <w:rsid w:val="002A2EB9"/>
    <w:rsid w:val="002A2F50"/>
    <w:rsid w:val="002A3354"/>
    <w:rsid w:val="002A34FB"/>
    <w:rsid w:val="002A3F26"/>
    <w:rsid w:val="002A7943"/>
    <w:rsid w:val="002A7C9C"/>
    <w:rsid w:val="002A7E1C"/>
    <w:rsid w:val="002B05A1"/>
    <w:rsid w:val="002B05F1"/>
    <w:rsid w:val="002B09A4"/>
    <w:rsid w:val="002B0A4B"/>
    <w:rsid w:val="002B1C1F"/>
    <w:rsid w:val="002B29FE"/>
    <w:rsid w:val="002B33A9"/>
    <w:rsid w:val="002B3A53"/>
    <w:rsid w:val="002B432F"/>
    <w:rsid w:val="002B4463"/>
    <w:rsid w:val="002B62B3"/>
    <w:rsid w:val="002B6754"/>
    <w:rsid w:val="002B6CCE"/>
    <w:rsid w:val="002B6FE0"/>
    <w:rsid w:val="002B73FD"/>
    <w:rsid w:val="002B79DC"/>
    <w:rsid w:val="002C0F08"/>
    <w:rsid w:val="002C0F54"/>
    <w:rsid w:val="002C2510"/>
    <w:rsid w:val="002C2775"/>
    <w:rsid w:val="002C27C1"/>
    <w:rsid w:val="002C2AE5"/>
    <w:rsid w:val="002C36E3"/>
    <w:rsid w:val="002C421C"/>
    <w:rsid w:val="002C46A5"/>
    <w:rsid w:val="002C4713"/>
    <w:rsid w:val="002C4E38"/>
    <w:rsid w:val="002C5099"/>
    <w:rsid w:val="002C5889"/>
    <w:rsid w:val="002C593B"/>
    <w:rsid w:val="002C6DC9"/>
    <w:rsid w:val="002C71CE"/>
    <w:rsid w:val="002C7371"/>
    <w:rsid w:val="002C7EEF"/>
    <w:rsid w:val="002D0217"/>
    <w:rsid w:val="002D08F8"/>
    <w:rsid w:val="002D2650"/>
    <w:rsid w:val="002D40F2"/>
    <w:rsid w:val="002D5448"/>
    <w:rsid w:val="002D577C"/>
    <w:rsid w:val="002D5D75"/>
    <w:rsid w:val="002D625D"/>
    <w:rsid w:val="002D763A"/>
    <w:rsid w:val="002D7832"/>
    <w:rsid w:val="002D78D4"/>
    <w:rsid w:val="002E02FD"/>
    <w:rsid w:val="002E1071"/>
    <w:rsid w:val="002E114E"/>
    <w:rsid w:val="002E15B9"/>
    <w:rsid w:val="002E1B74"/>
    <w:rsid w:val="002E2158"/>
    <w:rsid w:val="002E2595"/>
    <w:rsid w:val="002E3011"/>
    <w:rsid w:val="002E3D3E"/>
    <w:rsid w:val="002E4F02"/>
    <w:rsid w:val="002E5A5B"/>
    <w:rsid w:val="002E5C91"/>
    <w:rsid w:val="002E66BF"/>
    <w:rsid w:val="002E7722"/>
    <w:rsid w:val="002E7C8B"/>
    <w:rsid w:val="002F03AD"/>
    <w:rsid w:val="002F069D"/>
    <w:rsid w:val="002F07BA"/>
    <w:rsid w:val="002F0DA9"/>
    <w:rsid w:val="002F1014"/>
    <w:rsid w:val="002F127E"/>
    <w:rsid w:val="002F1E3B"/>
    <w:rsid w:val="002F2355"/>
    <w:rsid w:val="002F284A"/>
    <w:rsid w:val="002F3AAD"/>
    <w:rsid w:val="002F643C"/>
    <w:rsid w:val="002F7075"/>
    <w:rsid w:val="002F70B0"/>
    <w:rsid w:val="002F71C0"/>
    <w:rsid w:val="002F74F1"/>
    <w:rsid w:val="002F7DF6"/>
    <w:rsid w:val="003002C6"/>
    <w:rsid w:val="00300BC9"/>
    <w:rsid w:val="00300C85"/>
    <w:rsid w:val="00301017"/>
    <w:rsid w:val="0030155F"/>
    <w:rsid w:val="00302ACE"/>
    <w:rsid w:val="00302F5F"/>
    <w:rsid w:val="00304174"/>
    <w:rsid w:val="00304D45"/>
    <w:rsid w:val="00305752"/>
    <w:rsid w:val="0030587B"/>
    <w:rsid w:val="00306D98"/>
    <w:rsid w:val="0030786C"/>
    <w:rsid w:val="00307D1E"/>
    <w:rsid w:val="00307DF9"/>
    <w:rsid w:val="0031031A"/>
    <w:rsid w:val="00310981"/>
    <w:rsid w:val="0031140D"/>
    <w:rsid w:val="00311717"/>
    <w:rsid w:val="00311D9B"/>
    <w:rsid w:val="003124D9"/>
    <w:rsid w:val="00312594"/>
    <w:rsid w:val="003126B8"/>
    <w:rsid w:val="00312CF0"/>
    <w:rsid w:val="00313106"/>
    <w:rsid w:val="00314434"/>
    <w:rsid w:val="00315498"/>
    <w:rsid w:val="00315A79"/>
    <w:rsid w:val="00316474"/>
    <w:rsid w:val="00320F18"/>
    <w:rsid w:val="0032126B"/>
    <w:rsid w:val="00321870"/>
    <w:rsid w:val="003219A7"/>
    <w:rsid w:val="00322107"/>
    <w:rsid w:val="00322355"/>
    <w:rsid w:val="00322846"/>
    <w:rsid w:val="00322961"/>
    <w:rsid w:val="0032304F"/>
    <w:rsid w:val="00323487"/>
    <w:rsid w:val="00323502"/>
    <w:rsid w:val="003267AA"/>
    <w:rsid w:val="00326DA7"/>
    <w:rsid w:val="003270E4"/>
    <w:rsid w:val="00327131"/>
    <w:rsid w:val="00327577"/>
    <w:rsid w:val="00327664"/>
    <w:rsid w:val="00327962"/>
    <w:rsid w:val="00330DAA"/>
    <w:rsid w:val="00330F5C"/>
    <w:rsid w:val="00331426"/>
    <w:rsid w:val="003327A8"/>
    <w:rsid w:val="00333107"/>
    <w:rsid w:val="00333113"/>
    <w:rsid w:val="00333735"/>
    <w:rsid w:val="00334A6B"/>
    <w:rsid w:val="003353E2"/>
    <w:rsid w:val="00335635"/>
    <w:rsid w:val="0033653A"/>
    <w:rsid w:val="003366C9"/>
    <w:rsid w:val="003371B0"/>
    <w:rsid w:val="00337658"/>
    <w:rsid w:val="0034072B"/>
    <w:rsid w:val="00340DF1"/>
    <w:rsid w:val="003440FF"/>
    <w:rsid w:val="0034460D"/>
    <w:rsid w:val="00344930"/>
    <w:rsid w:val="0034559E"/>
    <w:rsid w:val="003470E2"/>
    <w:rsid w:val="00347397"/>
    <w:rsid w:val="0034781A"/>
    <w:rsid w:val="0034799F"/>
    <w:rsid w:val="00347A77"/>
    <w:rsid w:val="00350979"/>
    <w:rsid w:val="0035145D"/>
    <w:rsid w:val="003517F9"/>
    <w:rsid w:val="00351BA9"/>
    <w:rsid w:val="00352057"/>
    <w:rsid w:val="00352B97"/>
    <w:rsid w:val="00354CC4"/>
    <w:rsid w:val="00354F64"/>
    <w:rsid w:val="00355B07"/>
    <w:rsid w:val="0035620E"/>
    <w:rsid w:val="00356865"/>
    <w:rsid w:val="003575BE"/>
    <w:rsid w:val="00360345"/>
    <w:rsid w:val="003603BB"/>
    <w:rsid w:val="00361A05"/>
    <w:rsid w:val="003624C4"/>
    <w:rsid w:val="00363B00"/>
    <w:rsid w:val="003646E6"/>
    <w:rsid w:val="00364B5E"/>
    <w:rsid w:val="00364C05"/>
    <w:rsid w:val="00364F62"/>
    <w:rsid w:val="003654AC"/>
    <w:rsid w:val="00365D4E"/>
    <w:rsid w:val="00367272"/>
    <w:rsid w:val="00370B64"/>
    <w:rsid w:val="00370E46"/>
    <w:rsid w:val="003710CF"/>
    <w:rsid w:val="003711FE"/>
    <w:rsid w:val="00371B7F"/>
    <w:rsid w:val="00371BB7"/>
    <w:rsid w:val="00371C33"/>
    <w:rsid w:val="00372A0A"/>
    <w:rsid w:val="00372B66"/>
    <w:rsid w:val="0037358A"/>
    <w:rsid w:val="00374121"/>
    <w:rsid w:val="003750F6"/>
    <w:rsid w:val="0037522B"/>
    <w:rsid w:val="00375C87"/>
    <w:rsid w:val="00375F0B"/>
    <w:rsid w:val="003760FC"/>
    <w:rsid w:val="003769E1"/>
    <w:rsid w:val="00376EA4"/>
    <w:rsid w:val="003774B1"/>
    <w:rsid w:val="00377627"/>
    <w:rsid w:val="0038000D"/>
    <w:rsid w:val="00380457"/>
    <w:rsid w:val="00380F7A"/>
    <w:rsid w:val="003811C6"/>
    <w:rsid w:val="00382FEC"/>
    <w:rsid w:val="003831E4"/>
    <w:rsid w:val="0038365C"/>
    <w:rsid w:val="0038369B"/>
    <w:rsid w:val="00383B78"/>
    <w:rsid w:val="00384770"/>
    <w:rsid w:val="00385385"/>
    <w:rsid w:val="003858FE"/>
    <w:rsid w:val="00385A1E"/>
    <w:rsid w:val="00385A9D"/>
    <w:rsid w:val="00385CC0"/>
    <w:rsid w:val="00386B38"/>
    <w:rsid w:val="00386E9B"/>
    <w:rsid w:val="00387121"/>
    <w:rsid w:val="003877BA"/>
    <w:rsid w:val="003902B1"/>
    <w:rsid w:val="003904EB"/>
    <w:rsid w:val="0039077B"/>
    <w:rsid w:val="003908D9"/>
    <w:rsid w:val="0039179C"/>
    <w:rsid w:val="00392216"/>
    <w:rsid w:val="0039234E"/>
    <w:rsid w:val="0039441F"/>
    <w:rsid w:val="003950E6"/>
    <w:rsid w:val="00395381"/>
    <w:rsid w:val="00395BE0"/>
    <w:rsid w:val="003961F8"/>
    <w:rsid w:val="00396896"/>
    <w:rsid w:val="00396FD0"/>
    <w:rsid w:val="003971AD"/>
    <w:rsid w:val="0039788F"/>
    <w:rsid w:val="00397946"/>
    <w:rsid w:val="003A0E90"/>
    <w:rsid w:val="003A17DE"/>
    <w:rsid w:val="003A1A7A"/>
    <w:rsid w:val="003A2392"/>
    <w:rsid w:val="003A2831"/>
    <w:rsid w:val="003A357E"/>
    <w:rsid w:val="003A3CB6"/>
    <w:rsid w:val="003A3D78"/>
    <w:rsid w:val="003A3ED1"/>
    <w:rsid w:val="003A42F4"/>
    <w:rsid w:val="003A4337"/>
    <w:rsid w:val="003A44DB"/>
    <w:rsid w:val="003A4C14"/>
    <w:rsid w:val="003A52B7"/>
    <w:rsid w:val="003A5F65"/>
    <w:rsid w:val="003A6AC9"/>
    <w:rsid w:val="003A77EA"/>
    <w:rsid w:val="003B025B"/>
    <w:rsid w:val="003B039C"/>
    <w:rsid w:val="003B0599"/>
    <w:rsid w:val="003B1DA4"/>
    <w:rsid w:val="003B3971"/>
    <w:rsid w:val="003B3B38"/>
    <w:rsid w:val="003B4AFE"/>
    <w:rsid w:val="003B55D1"/>
    <w:rsid w:val="003B5B61"/>
    <w:rsid w:val="003B5E9C"/>
    <w:rsid w:val="003B6B23"/>
    <w:rsid w:val="003B71DE"/>
    <w:rsid w:val="003B784A"/>
    <w:rsid w:val="003B7915"/>
    <w:rsid w:val="003C01BD"/>
    <w:rsid w:val="003C1014"/>
    <w:rsid w:val="003C1654"/>
    <w:rsid w:val="003C1CEC"/>
    <w:rsid w:val="003C2573"/>
    <w:rsid w:val="003C28AE"/>
    <w:rsid w:val="003C2D37"/>
    <w:rsid w:val="003C3AD7"/>
    <w:rsid w:val="003C3FAD"/>
    <w:rsid w:val="003C4376"/>
    <w:rsid w:val="003C43DC"/>
    <w:rsid w:val="003C49EE"/>
    <w:rsid w:val="003C5542"/>
    <w:rsid w:val="003C60E6"/>
    <w:rsid w:val="003C65CB"/>
    <w:rsid w:val="003C6CBE"/>
    <w:rsid w:val="003C7045"/>
    <w:rsid w:val="003C756E"/>
    <w:rsid w:val="003C7C15"/>
    <w:rsid w:val="003C7D19"/>
    <w:rsid w:val="003C7D2F"/>
    <w:rsid w:val="003D01B1"/>
    <w:rsid w:val="003D081B"/>
    <w:rsid w:val="003D094D"/>
    <w:rsid w:val="003D0C5A"/>
    <w:rsid w:val="003D1279"/>
    <w:rsid w:val="003D1828"/>
    <w:rsid w:val="003D1DE4"/>
    <w:rsid w:val="003D1E9A"/>
    <w:rsid w:val="003D2422"/>
    <w:rsid w:val="003D2E16"/>
    <w:rsid w:val="003D39A1"/>
    <w:rsid w:val="003D3FBF"/>
    <w:rsid w:val="003D4A30"/>
    <w:rsid w:val="003D4BDD"/>
    <w:rsid w:val="003D64E1"/>
    <w:rsid w:val="003D6F25"/>
    <w:rsid w:val="003D7382"/>
    <w:rsid w:val="003D7452"/>
    <w:rsid w:val="003D79BB"/>
    <w:rsid w:val="003D7C98"/>
    <w:rsid w:val="003D7D9D"/>
    <w:rsid w:val="003E0543"/>
    <w:rsid w:val="003E1A36"/>
    <w:rsid w:val="003E2208"/>
    <w:rsid w:val="003E4452"/>
    <w:rsid w:val="003E4AAD"/>
    <w:rsid w:val="003E5603"/>
    <w:rsid w:val="003E6EB0"/>
    <w:rsid w:val="003E7095"/>
    <w:rsid w:val="003E723A"/>
    <w:rsid w:val="003E749E"/>
    <w:rsid w:val="003F0025"/>
    <w:rsid w:val="003F01A6"/>
    <w:rsid w:val="003F0206"/>
    <w:rsid w:val="003F1B16"/>
    <w:rsid w:val="003F29C6"/>
    <w:rsid w:val="003F2CCD"/>
    <w:rsid w:val="003F3815"/>
    <w:rsid w:val="003F4156"/>
    <w:rsid w:val="003F4A3C"/>
    <w:rsid w:val="003F4B25"/>
    <w:rsid w:val="003F4B94"/>
    <w:rsid w:val="003F4D41"/>
    <w:rsid w:val="003F57DB"/>
    <w:rsid w:val="003F59EB"/>
    <w:rsid w:val="003F5ADF"/>
    <w:rsid w:val="003F5DA3"/>
    <w:rsid w:val="003F62EB"/>
    <w:rsid w:val="003F7F3B"/>
    <w:rsid w:val="004009B3"/>
    <w:rsid w:val="00400B29"/>
    <w:rsid w:val="00401B21"/>
    <w:rsid w:val="00402011"/>
    <w:rsid w:val="00402229"/>
    <w:rsid w:val="00402334"/>
    <w:rsid w:val="0040252E"/>
    <w:rsid w:val="00402812"/>
    <w:rsid w:val="0040289F"/>
    <w:rsid w:val="00403409"/>
    <w:rsid w:val="004034EE"/>
    <w:rsid w:val="0040353B"/>
    <w:rsid w:val="0040504B"/>
    <w:rsid w:val="00405446"/>
    <w:rsid w:val="004059F4"/>
    <w:rsid w:val="00405EEA"/>
    <w:rsid w:val="00406420"/>
    <w:rsid w:val="004064DA"/>
    <w:rsid w:val="00406CC4"/>
    <w:rsid w:val="004070CD"/>
    <w:rsid w:val="00407CA6"/>
    <w:rsid w:val="00407FE5"/>
    <w:rsid w:val="004101B0"/>
    <w:rsid w:val="00410326"/>
    <w:rsid w:val="00410708"/>
    <w:rsid w:val="004107B4"/>
    <w:rsid w:val="00410EC7"/>
    <w:rsid w:val="00411B39"/>
    <w:rsid w:val="004127A7"/>
    <w:rsid w:val="00413A1E"/>
    <w:rsid w:val="00414476"/>
    <w:rsid w:val="004149C9"/>
    <w:rsid w:val="00414AB7"/>
    <w:rsid w:val="00414C2E"/>
    <w:rsid w:val="004151CF"/>
    <w:rsid w:val="00415BA6"/>
    <w:rsid w:val="00415CDC"/>
    <w:rsid w:val="00416167"/>
    <w:rsid w:val="00416364"/>
    <w:rsid w:val="00416CEA"/>
    <w:rsid w:val="0042047F"/>
    <w:rsid w:val="0042069C"/>
    <w:rsid w:val="00420AA6"/>
    <w:rsid w:val="00420B9F"/>
    <w:rsid w:val="00420CA9"/>
    <w:rsid w:val="0042192C"/>
    <w:rsid w:val="00422260"/>
    <w:rsid w:val="00422BDB"/>
    <w:rsid w:val="00423CD3"/>
    <w:rsid w:val="00423F46"/>
    <w:rsid w:val="0042410B"/>
    <w:rsid w:val="0042413F"/>
    <w:rsid w:val="004249B1"/>
    <w:rsid w:val="004255E2"/>
    <w:rsid w:val="0042637A"/>
    <w:rsid w:val="004270D6"/>
    <w:rsid w:val="0042736B"/>
    <w:rsid w:val="00427376"/>
    <w:rsid w:val="004279B2"/>
    <w:rsid w:val="00430490"/>
    <w:rsid w:val="004306BC"/>
    <w:rsid w:val="0043157B"/>
    <w:rsid w:val="004319F8"/>
    <w:rsid w:val="00431CC8"/>
    <w:rsid w:val="00431E55"/>
    <w:rsid w:val="004321F6"/>
    <w:rsid w:val="00432A3D"/>
    <w:rsid w:val="00432E78"/>
    <w:rsid w:val="00433044"/>
    <w:rsid w:val="00433764"/>
    <w:rsid w:val="00433AFD"/>
    <w:rsid w:val="00433D80"/>
    <w:rsid w:val="00433ECD"/>
    <w:rsid w:val="00434088"/>
    <w:rsid w:val="004344E4"/>
    <w:rsid w:val="00434C24"/>
    <w:rsid w:val="0043575D"/>
    <w:rsid w:val="00436EFA"/>
    <w:rsid w:val="004375B9"/>
    <w:rsid w:val="00437AD8"/>
    <w:rsid w:val="004403FC"/>
    <w:rsid w:val="0044067F"/>
    <w:rsid w:val="004406CC"/>
    <w:rsid w:val="004420E3"/>
    <w:rsid w:val="00442207"/>
    <w:rsid w:val="00442436"/>
    <w:rsid w:val="004428D0"/>
    <w:rsid w:val="00442BDE"/>
    <w:rsid w:val="00443141"/>
    <w:rsid w:val="004436D0"/>
    <w:rsid w:val="00443836"/>
    <w:rsid w:val="00443B6B"/>
    <w:rsid w:val="00444185"/>
    <w:rsid w:val="004443A7"/>
    <w:rsid w:val="0044442C"/>
    <w:rsid w:val="00444DCB"/>
    <w:rsid w:val="00444DDE"/>
    <w:rsid w:val="004456B2"/>
    <w:rsid w:val="00445910"/>
    <w:rsid w:val="00445941"/>
    <w:rsid w:val="00445FC7"/>
    <w:rsid w:val="004460D9"/>
    <w:rsid w:val="004464EB"/>
    <w:rsid w:val="00446746"/>
    <w:rsid w:val="004478AE"/>
    <w:rsid w:val="004478DE"/>
    <w:rsid w:val="00447D26"/>
    <w:rsid w:val="00447DFC"/>
    <w:rsid w:val="004504BB"/>
    <w:rsid w:val="004504DD"/>
    <w:rsid w:val="00450E06"/>
    <w:rsid w:val="00453501"/>
    <w:rsid w:val="004539A4"/>
    <w:rsid w:val="00455671"/>
    <w:rsid w:val="00455D45"/>
    <w:rsid w:val="00456438"/>
    <w:rsid w:val="0045704F"/>
    <w:rsid w:val="00457465"/>
    <w:rsid w:val="00462D27"/>
    <w:rsid w:val="00463A4F"/>
    <w:rsid w:val="00464108"/>
    <w:rsid w:val="00464595"/>
    <w:rsid w:val="004658B5"/>
    <w:rsid w:val="00470AE8"/>
    <w:rsid w:val="00471EA5"/>
    <w:rsid w:val="004722DB"/>
    <w:rsid w:val="00472A79"/>
    <w:rsid w:val="00472D86"/>
    <w:rsid w:val="00473F19"/>
    <w:rsid w:val="00474181"/>
    <w:rsid w:val="00475179"/>
    <w:rsid w:val="00475237"/>
    <w:rsid w:val="00475E22"/>
    <w:rsid w:val="004775A0"/>
    <w:rsid w:val="004775BA"/>
    <w:rsid w:val="0048061C"/>
    <w:rsid w:val="00480739"/>
    <w:rsid w:val="0048088E"/>
    <w:rsid w:val="00480F2B"/>
    <w:rsid w:val="004813D5"/>
    <w:rsid w:val="004819FD"/>
    <w:rsid w:val="00481CB4"/>
    <w:rsid w:val="004822C5"/>
    <w:rsid w:val="00482720"/>
    <w:rsid w:val="00482DC8"/>
    <w:rsid w:val="004835E7"/>
    <w:rsid w:val="00483C84"/>
    <w:rsid w:val="00483DB0"/>
    <w:rsid w:val="004841EA"/>
    <w:rsid w:val="004859E1"/>
    <w:rsid w:val="004867E2"/>
    <w:rsid w:val="00486967"/>
    <w:rsid w:val="00486AC2"/>
    <w:rsid w:val="00490B17"/>
    <w:rsid w:val="00490CCD"/>
    <w:rsid w:val="00491B3A"/>
    <w:rsid w:val="004921DA"/>
    <w:rsid w:val="0049255D"/>
    <w:rsid w:val="00492A87"/>
    <w:rsid w:val="00492CFD"/>
    <w:rsid w:val="00494207"/>
    <w:rsid w:val="0049469C"/>
    <w:rsid w:val="00494DD5"/>
    <w:rsid w:val="00495F7E"/>
    <w:rsid w:val="004962D2"/>
    <w:rsid w:val="00496640"/>
    <w:rsid w:val="0049713C"/>
    <w:rsid w:val="00497386"/>
    <w:rsid w:val="004A0065"/>
    <w:rsid w:val="004A0CAB"/>
    <w:rsid w:val="004A0DA1"/>
    <w:rsid w:val="004A0E1D"/>
    <w:rsid w:val="004A1309"/>
    <w:rsid w:val="004A13D6"/>
    <w:rsid w:val="004A1ACA"/>
    <w:rsid w:val="004A232C"/>
    <w:rsid w:val="004A27E2"/>
    <w:rsid w:val="004A3071"/>
    <w:rsid w:val="004A46D6"/>
    <w:rsid w:val="004A52E9"/>
    <w:rsid w:val="004A55C3"/>
    <w:rsid w:val="004A579A"/>
    <w:rsid w:val="004A596A"/>
    <w:rsid w:val="004A5D86"/>
    <w:rsid w:val="004A6040"/>
    <w:rsid w:val="004A62DC"/>
    <w:rsid w:val="004A6597"/>
    <w:rsid w:val="004A7848"/>
    <w:rsid w:val="004A793B"/>
    <w:rsid w:val="004A7AA0"/>
    <w:rsid w:val="004B056B"/>
    <w:rsid w:val="004B18E9"/>
    <w:rsid w:val="004B1A30"/>
    <w:rsid w:val="004B1CB4"/>
    <w:rsid w:val="004B2BF9"/>
    <w:rsid w:val="004B2F18"/>
    <w:rsid w:val="004B3DDB"/>
    <w:rsid w:val="004B44FD"/>
    <w:rsid w:val="004B5CFC"/>
    <w:rsid w:val="004B6893"/>
    <w:rsid w:val="004B6F79"/>
    <w:rsid w:val="004B774D"/>
    <w:rsid w:val="004B7F01"/>
    <w:rsid w:val="004C05B9"/>
    <w:rsid w:val="004C096E"/>
    <w:rsid w:val="004C222D"/>
    <w:rsid w:val="004C2AC2"/>
    <w:rsid w:val="004C2B12"/>
    <w:rsid w:val="004C2D0D"/>
    <w:rsid w:val="004C309C"/>
    <w:rsid w:val="004C331C"/>
    <w:rsid w:val="004C3B02"/>
    <w:rsid w:val="004C4590"/>
    <w:rsid w:val="004C4AED"/>
    <w:rsid w:val="004C57AB"/>
    <w:rsid w:val="004C63A3"/>
    <w:rsid w:val="004C7DD9"/>
    <w:rsid w:val="004D025F"/>
    <w:rsid w:val="004D0479"/>
    <w:rsid w:val="004D2712"/>
    <w:rsid w:val="004D2BE8"/>
    <w:rsid w:val="004D2C2D"/>
    <w:rsid w:val="004D3079"/>
    <w:rsid w:val="004D4204"/>
    <w:rsid w:val="004D4C4A"/>
    <w:rsid w:val="004D5871"/>
    <w:rsid w:val="004D5E10"/>
    <w:rsid w:val="004D6443"/>
    <w:rsid w:val="004D69B5"/>
    <w:rsid w:val="004D6CB7"/>
    <w:rsid w:val="004D7227"/>
    <w:rsid w:val="004D7B5E"/>
    <w:rsid w:val="004E0980"/>
    <w:rsid w:val="004E0E7F"/>
    <w:rsid w:val="004E0EB8"/>
    <w:rsid w:val="004E18E9"/>
    <w:rsid w:val="004E2109"/>
    <w:rsid w:val="004E2ADC"/>
    <w:rsid w:val="004E3163"/>
    <w:rsid w:val="004E43B2"/>
    <w:rsid w:val="004E5C57"/>
    <w:rsid w:val="004E5D15"/>
    <w:rsid w:val="004E6558"/>
    <w:rsid w:val="004E66A2"/>
    <w:rsid w:val="004E689A"/>
    <w:rsid w:val="004E7B4A"/>
    <w:rsid w:val="004E7F24"/>
    <w:rsid w:val="004F0392"/>
    <w:rsid w:val="004F1D02"/>
    <w:rsid w:val="004F2679"/>
    <w:rsid w:val="004F2AE8"/>
    <w:rsid w:val="004F2F21"/>
    <w:rsid w:val="004F2FC7"/>
    <w:rsid w:val="004F32C6"/>
    <w:rsid w:val="004F3DE5"/>
    <w:rsid w:val="004F494A"/>
    <w:rsid w:val="004F49A5"/>
    <w:rsid w:val="004F4EF7"/>
    <w:rsid w:val="004F6913"/>
    <w:rsid w:val="004F6ADC"/>
    <w:rsid w:val="004F6F22"/>
    <w:rsid w:val="004F742D"/>
    <w:rsid w:val="004F751C"/>
    <w:rsid w:val="004F7865"/>
    <w:rsid w:val="004F7FEF"/>
    <w:rsid w:val="005004AB"/>
    <w:rsid w:val="005006ED"/>
    <w:rsid w:val="00500D7E"/>
    <w:rsid w:val="00500F2D"/>
    <w:rsid w:val="00500F74"/>
    <w:rsid w:val="0050174E"/>
    <w:rsid w:val="00501778"/>
    <w:rsid w:val="00501854"/>
    <w:rsid w:val="00501A81"/>
    <w:rsid w:val="0050219B"/>
    <w:rsid w:val="00502887"/>
    <w:rsid w:val="0050289C"/>
    <w:rsid w:val="00503D7A"/>
    <w:rsid w:val="00503F17"/>
    <w:rsid w:val="00503F3A"/>
    <w:rsid w:val="00505BAC"/>
    <w:rsid w:val="00506928"/>
    <w:rsid w:val="0050762F"/>
    <w:rsid w:val="005077EF"/>
    <w:rsid w:val="00510CD1"/>
    <w:rsid w:val="00511AD5"/>
    <w:rsid w:val="00511DC7"/>
    <w:rsid w:val="00512091"/>
    <w:rsid w:val="005142C5"/>
    <w:rsid w:val="00514480"/>
    <w:rsid w:val="00514CE5"/>
    <w:rsid w:val="0051501B"/>
    <w:rsid w:val="005152B5"/>
    <w:rsid w:val="00515886"/>
    <w:rsid w:val="005168AD"/>
    <w:rsid w:val="005172E3"/>
    <w:rsid w:val="00517AD6"/>
    <w:rsid w:val="0052123C"/>
    <w:rsid w:val="00521319"/>
    <w:rsid w:val="00521508"/>
    <w:rsid w:val="005217FC"/>
    <w:rsid w:val="00522BC8"/>
    <w:rsid w:val="00523C28"/>
    <w:rsid w:val="005240B6"/>
    <w:rsid w:val="00524896"/>
    <w:rsid w:val="0052489D"/>
    <w:rsid w:val="005254A9"/>
    <w:rsid w:val="0052717F"/>
    <w:rsid w:val="00527450"/>
    <w:rsid w:val="00527CDF"/>
    <w:rsid w:val="00530CA4"/>
    <w:rsid w:val="0053176B"/>
    <w:rsid w:val="00531952"/>
    <w:rsid w:val="00532368"/>
    <w:rsid w:val="005341B3"/>
    <w:rsid w:val="0053485C"/>
    <w:rsid w:val="00534A8D"/>
    <w:rsid w:val="00534F19"/>
    <w:rsid w:val="00535076"/>
    <w:rsid w:val="0053536D"/>
    <w:rsid w:val="00535FD6"/>
    <w:rsid w:val="00536BA4"/>
    <w:rsid w:val="00536F42"/>
    <w:rsid w:val="00537182"/>
    <w:rsid w:val="00537F92"/>
    <w:rsid w:val="00540322"/>
    <w:rsid w:val="00540336"/>
    <w:rsid w:val="00540847"/>
    <w:rsid w:val="00540FFD"/>
    <w:rsid w:val="00541367"/>
    <w:rsid w:val="00541EDD"/>
    <w:rsid w:val="0054228C"/>
    <w:rsid w:val="00542743"/>
    <w:rsid w:val="00542763"/>
    <w:rsid w:val="00542AFE"/>
    <w:rsid w:val="00542C2D"/>
    <w:rsid w:val="00542FEE"/>
    <w:rsid w:val="005461F6"/>
    <w:rsid w:val="0054683C"/>
    <w:rsid w:val="005478BD"/>
    <w:rsid w:val="005479E3"/>
    <w:rsid w:val="00551878"/>
    <w:rsid w:val="00551922"/>
    <w:rsid w:val="00551985"/>
    <w:rsid w:val="0055207F"/>
    <w:rsid w:val="005528EA"/>
    <w:rsid w:val="00552BD3"/>
    <w:rsid w:val="005532A0"/>
    <w:rsid w:val="00554078"/>
    <w:rsid w:val="005540D5"/>
    <w:rsid w:val="00554AB5"/>
    <w:rsid w:val="00554C86"/>
    <w:rsid w:val="00555109"/>
    <w:rsid w:val="005567AB"/>
    <w:rsid w:val="00556B35"/>
    <w:rsid w:val="00556C47"/>
    <w:rsid w:val="0055741A"/>
    <w:rsid w:val="0055775B"/>
    <w:rsid w:val="0056003E"/>
    <w:rsid w:val="005604CA"/>
    <w:rsid w:val="00560BA8"/>
    <w:rsid w:val="005611B7"/>
    <w:rsid w:val="005618D4"/>
    <w:rsid w:val="00562329"/>
    <w:rsid w:val="00563090"/>
    <w:rsid w:val="0056347B"/>
    <w:rsid w:val="00564867"/>
    <w:rsid w:val="00565B0C"/>
    <w:rsid w:val="00565C3F"/>
    <w:rsid w:val="00565C79"/>
    <w:rsid w:val="00565DF0"/>
    <w:rsid w:val="0056696F"/>
    <w:rsid w:val="00567C09"/>
    <w:rsid w:val="00570794"/>
    <w:rsid w:val="00571288"/>
    <w:rsid w:val="005712F1"/>
    <w:rsid w:val="0057167D"/>
    <w:rsid w:val="00571FC0"/>
    <w:rsid w:val="00572269"/>
    <w:rsid w:val="0057244A"/>
    <w:rsid w:val="00572EA2"/>
    <w:rsid w:val="00572F26"/>
    <w:rsid w:val="00573247"/>
    <w:rsid w:val="00573FFF"/>
    <w:rsid w:val="005750C5"/>
    <w:rsid w:val="0057514F"/>
    <w:rsid w:val="005751EB"/>
    <w:rsid w:val="005752DE"/>
    <w:rsid w:val="00575581"/>
    <w:rsid w:val="005756DD"/>
    <w:rsid w:val="00575D60"/>
    <w:rsid w:val="00575D8D"/>
    <w:rsid w:val="00576972"/>
    <w:rsid w:val="00576BD9"/>
    <w:rsid w:val="00577248"/>
    <w:rsid w:val="00580A96"/>
    <w:rsid w:val="005810EA"/>
    <w:rsid w:val="00581844"/>
    <w:rsid w:val="00581ACB"/>
    <w:rsid w:val="00581E55"/>
    <w:rsid w:val="00581F1C"/>
    <w:rsid w:val="00582163"/>
    <w:rsid w:val="0058263F"/>
    <w:rsid w:val="0058345E"/>
    <w:rsid w:val="00583699"/>
    <w:rsid w:val="00583C81"/>
    <w:rsid w:val="00583DA7"/>
    <w:rsid w:val="00584B2E"/>
    <w:rsid w:val="00584B7E"/>
    <w:rsid w:val="00585B75"/>
    <w:rsid w:val="00585CDD"/>
    <w:rsid w:val="005864D9"/>
    <w:rsid w:val="00586755"/>
    <w:rsid w:val="00587058"/>
    <w:rsid w:val="0059050C"/>
    <w:rsid w:val="00590F86"/>
    <w:rsid w:val="00591957"/>
    <w:rsid w:val="0059219F"/>
    <w:rsid w:val="00592A43"/>
    <w:rsid w:val="00594E0C"/>
    <w:rsid w:val="00595B3A"/>
    <w:rsid w:val="00596BFE"/>
    <w:rsid w:val="00596F05"/>
    <w:rsid w:val="00597BF9"/>
    <w:rsid w:val="005A0C11"/>
    <w:rsid w:val="005A17FE"/>
    <w:rsid w:val="005A1873"/>
    <w:rsid w:val="005A195F"/>
    <w:rsid w:val="005A2857"/>
    <w:rsid w:val="005A2888"/>
    <w:rsid w:val="005A309A"/>
    <w:rsid w:val="005A3618"/>
    <w:rsid w:val="005A373D"/>
    <w:rsid w:val="005A37BC"/>
    <w:rsid w:val="005A3A60"/>
    <w:rsid w:val="005A40E4"/>
    <w:rsid w:val="005A55E2"/>
    <w:rsid w:val="005A5897"/>
    <w:rsid w:val="005A63AF"/>
    <w:rsid w:val="005A7C7E"/>
    <w:rsid w:val="005B0B58"/>
    <w:rsid w:val="005B160B"/>
    <w:rsid w:val="005B17DE"/>
    <w:rsid w:val="005B1E37"/>
    <w:rsid w:val="005B2EC0"/>
    <w:rsid w:val="005B34B8"/>
    <w:rsid w:val="005B3E9A"/>
    <w:rsid w:val="005B427E"/>
    <w:rsid w:val="005B4E53"/>
    <w:rsid w:val="005B5857"/>
    <w:rsid w:val="005B5A22"/>
    <w:rsid w:val="005B61C2"/>
    <w:rsid w:val="005B7595"/>
    <w:rsid w:val="005B799B"/>
    <w:rsid w:val="005C0158"/>
    <w:rsid w:val="005C0287"/>
    <w:rsid w:val="005C130B"/>
    <w:rsid w:val="005C19C4"/>
    <w:rsid w:val="005C1B83"/>
    <w:rsid w:val="005C2190"/>
    <w:rsid w:val="005C25FF"/>
    <w:rsid w:val="005C2D55"/>
    <w:rsid w:val="005C346B"/>
    <w:rsid w:val="005C37D2"/>
    <w:rsid w:val="005C3B20"/>
    <w:rsid w:val="005C4853"/>
    <w:rsid w:val="005C4927"/>
    <w:rsid w:val="005C4CC5"/>
    <w:rsid w:val="005C5864"/>
    <w:rsid w:val="005C5ABC"/>
    <w:rsid w:val="005C6BEB"/>
    <w:rsid w:val="005D044D"/>
    <w:rsid w:val="005D0ABD"/>
    <w:rsid w:val="005D18AD"/>
    <w:rsid w:val="005D1999"/>
    <w:rsid w:val="005D26B4"/>
    <w:rsid w:val="005D33F6"/>
    <w:rsid w:val="005D36FB"/>
    <w:rsid w:val="005D3BEE"/>
    <w:rsid w:val="005D474A"/>
    <w:rsid w:val="005D4A65"/>
    <w:rsid w:val="005D4B0C"/>
    <w:rsid w:val="005D4E2F"/>
    <w:rsid w:val="005D5EA6"/>
    <w:rsid w:val="005E0FC5"/>
    <w:rsid w:val="005E1995"/>
    <w:rsid w:val="005E1B6C"/>
    <w:rsid w:val="005E2146"/>
    <w:rsid w:val="005E2456"/>
    <w:rsid w:val="005E2749"/>
    <w:rsid w:val="005E2C6F"/>
    <w:rsid w:val="005E2DB3"/>
    <w:rsid w:val="005E3E1A"/>
    <w:rsid w:val="005E46C6"/>
    <w:rsid w:val="005E511E"/>
    <w:rsid w:val="005E553D"/>
    <w:rsid w:val="005E5BCD"/>
    <w:rsid w:val="005E618A"/>
    <w:rsid w:val="005E62A7"/>
    <w:rsid w:val="005E6CBC"/>
    <w:rsid w:val="005E6D7B"/>
    <w:rsid w:val="005E72FF"/>
    <w:rsid w:val="005E73C0"/>
    <w:rsid w:val="005E790C"/>
    <w:rsid w:val="005F07ED"/>
    <w:rsid w:val="005F080A"/>
    <w:rsid w:val="005F0E7A"/>
    <w:rsid w:val="005F0F82"/>
    <w:rsid w:val="005F0FDF"/>
    <w:rsid w:val="005F126F"/>
    <w:rsid w:val="005F2706"/>
    <w:rsid w:val="005F315F"/>
    <w:rsid w:val="005F31E6"/>
    <w:rsid w:val="005F3A0F"/>
    <w:rsid w:val="005F5571"/>
    <w:rsid w:val="005F5A9A"/>
    <w:rsid w:val="005F60BB"/>
    <w:rsid w:val="005F60BD"/>
    <w:rsid w:val="005F6A8F"/>
    <w:rsid w:val="005F6BB7"/>
    <w:rsid w:val="005F7588"/>
    <w:rsid w:val="006026D9"/>
    <w:rsid w:val="006028D3"/>
    <w:rsid w:val="006031A8"/>
    <w:rsid w:val="006035C9"/>
    <w:rsid w:val="006036C1"/>
    <w:rsid w:val="00603AB2"/>
    <w:rsid w:val="00603DB9"/>
    <w:rsid w:val="00604B0C"/>
    <w:rsid w:val="00605385"/>
    <w:rsid w:val="00605C0C"/>
    <w:rsid w:val="00606FBA"/>
    <w:rsid w:val="00607669"/>
    <w:rsid w:val="006076F4"/>
    <w:rsid w:val="00607AE1"/>
    <w:rsid w:val="00607AFD"/>
    <w:rsid w:val="00610739"/>
    <w:rsid w:val="0061086C"/>
    <w:rsid w:val="00611876"/>
    <w:rsid w:val="00611B12"/>
    <w:rsid w:val="00611EE3"/>
    <w:rsid w:val="00611F6A"/>
    <w:rsid w:val="00612A1B"/>
    <w:rsid w:val="00612B20"/>
    <w:rsid w:val="00612F97"/>
    <w:rsid w:val="006130AE"/>
    <w:rsid w:val="0061345D"/>
    <w:rsid w:val="0061414A"/>
    <w:rsid w:val="006141D4"/>
    <w:rsid w:val="0061549B"/>
    <w:rsid w:val="00616802"/>
    <w:rsid w:val="00616983"/>
    <w:rsid w:val="00616E50"/>
    <w:rsid w:val="00616F0A"/>
    <w:rsid w:val="0061741A"/>
    <w:rsid w:val="00617DDA"/>
    <w:rsid w:val="00617E12"/>
    <w:rsid w:val="006200F9"/>
    <w:rsid w:val="00620C25"/>
    <w:rsid w:val="006210B8"/>
    <w:rsid w:val="00621477"/>
    <w:rsid w:val="006217FB"/>
    <w:rsid w:val="00621ADA"/>
    <w:rsid w:val="00621ADF"/>
    <w:rsid w:val="00621EAA"/>
    <w:rsid w:val="00623B43"/>
    <w:rsid w:val="00623F7B"/>
    <w:rsid w:val="00624134"/>
    <w:rsid w:val="00624BD4"/>
    <w:rsid w:val="00625741"/>
    <w:rsid w:val="00625A71"/>
    <w:rsid w:val="006268BD"/>
    <w:rsid w:val="006273A1"/>
    <w:rsid w:val="0062745A"/>
    <w:rsid w:val="006274B3"/>
    <w:rsid w:val="00627610"/>
    <w:rsid w:val="006301BF"/>
    <w:rsid w:val="006304CF"/>
    <w:rsid w:val="006309C6"/>
    <w:rsid w:val="00630C7A"/>
    <w:rsid w:val="006311B1"/>
    <w:rsid w:val="0063158F"/>
    <w:rsid w:val="00631D6B"/>
    <w:rsid w:val="00632183"/>
    <w:rsid w:val="006330A1"/>
    <w:rsid w:val="006346BA"/>
    <w:rsid w:val="0063479F"/>
    <w:rsid w:val="00634A42"/>
    <w:rsid w:val="006353F0"/>
    <w:rsid w:val="006357B5"/>
    <w:rsid w:val="0063611F"/>
    <w:rsid w:val="006361A7"/>
    <w:rsid w:val="00636206"/>
    <w:rsid w:val="006364A1"/>
    <w:rsid w:val="0063678E"/>
    <w:rsid w:val="00637493"/>
    <w:rsid w:val="00637BFD"/>
    <w:rsid w:val="00637C5C"/>
    <w:rsid w:val="00637C77"/>
    <w:rsid w:val="00641009"/>
    <w:rsid w:val="00641A93"/>
    <w:rsid w:val="00641C4E"/>
    <w:rsid w:val="00641FB3"/>
    <w:rsid w:val="006428AF"/>
    <w:rsid w:val="00643997"/>
    <w:rsid w:val="006442E2"/>
    <w:rsid w:val="0064434C"/>
    <w:rsid w:val="006448F7"/>
    <w:rsid w:val="00644947"/>
    <w:rsid w:val="00644C38"/>
    <w:rsid w:val="006457E5"/>
    <w:rsid w:val="00646722"/>
    <w:rsid w:val="00646F0C"/>
    <w:rsid w:val="006471CC"/>
    <w:rsid w:val="006472FE"/>
    <w:rsid w:val="006477B0"/>
    <w:rsid w:val="006478B3"/>
    <w:rsid w:val="00647A29"/>
    <w:rsid w:val="0065079F"/>
    <w:rsid w:val="0065122A"/>
    <w:rsid w:val="00651241"/>
    <w:rsid w:val="00651E78"/>
    <w:rsid w:val="00652A28"/>
    <w:rsid w:val="00653556"/>
    <w:rsid w:val="0065379F"/>
    <w:rsid w:val="006551E1"/>
    <w:rsid w:val="00656188"/>
    <w:rsid w:val="00656DC6"/>
    <w:rsid w:val="0065715A"/>
    <w:rsid w:val="006573AD"/>
    <w:rsid w:val="00660E30"/>
    <w:rsid w:val="006610F1"/>
    <w:rsid w:val="00661C6B"/>
    <w:rsid w:val="00661FD5"/>
    <w:rsid w:val="00662402"/>
    <w:rsid w:val="00662D3E"/>
    <w:rsid w:val="00664101"/>
    <w:rsid w:val="0066472A"/>
    <w:rsid w:val="00665FC1"/>
    <w:rsid w:val="00666972"/>
    <w:rsid w:val="00666FC5"/>
    <w:rsid w:val="00667BE3"/>
    <w:rsid w:val="00667C34"/>
    <w:rsid w:val="00667EEF"/>
    <w:rsid w:val="00670A16"/>
    <w:rsid w:val="00670BF2"/>
    <w:rsid w:val="00671004"/>
    <w:rsid w:val="00672646"/>
    <w:rsid w:val="00672AC3"/>
    <w:rsid w:val="00672E2D"/>
    <w:rsid w:val="006740D2"/>
    <w:rsid w:val="006749D7"/>
    <w:rsid w:val="00674E42"/>
    <w:rsid w:val="0067513E"/>
    <w:rsid w:val="00675910"/>
    <w:rsid w:val="00676146"/>
    <w:rsid w:val="00676563"/>
    <w:rsid w:val="00676810"/>
    <w:rsid w:val="00677451"/>
    <w:rsid w:val="00680017"/>
    <w:rsid w:val="0068017F"/>
    <w:rsid w:val="006801F2"/>
    <w:rsid w:val="006813F8"/>
    <w:rsid w:val="00681C75"/>
    <w:rsid w:val="00681EC1"/>
    <w:rsid w:val="00682112"/>
    <w:rsid w:val="00682A8D"/>
    <w:rsid w:val="00682BA6"/>
    <w:rsid w:val="00684307"/>
    <w:rsid w:val="00684364"/>
    <w:rsid w:val="00684B06"/>
    <w:rsid w:val="00684C7A"/>
    <w:rsid w:val="00685317"/>
    <w:rsid w:val="006854B7"/>
    <w:rsid w:val="006859DD"/>
    <w:rsid w:val="0068657C"/>
    <w:rsid w:val="006868DC"/>
    <w:rsid w:val="00686957"/>
    <w:rsid w:val="006872BA"/>
    <w:rsid w:val="00690795"/>
    <w:rsid w:val="00691648"/>
    <w:rsid w:val="006916EB"/>
    <w:rsid w:val="006917D7"/>
    <w:rsid w:val="0069198C"/>
    <w:rsid w:val="00692994"/>
    <w:rsid w:val="006933D9"/>
    <w:rsid w:val="00693B21"/>
    <w:rsid w:val="00693FA2"/>
    <w:rsid w:val="00693FCA"/>
    <w:rsid w:val="0069434C"/>
    <w:rsid w:val="00694F44"/>
    <w:rsid w:val="006954C0"/>
    <w:rsid w:val="00696E65"/>
    <w:rsid w:val="00696EF9"/>
    <w:rsid w:val="00696F51"/>
    <w:rsid w:val="006979A5"/>
    <w:rsid w:val="006A016F"/>
    <w:rsid w:val="006A05E5"/>
    <w:rsid w:val="006A0DF7"/>
    <w:rsid w:val="006A243F"/>
    <w:rsid w:val="006A2B6F"/>
    <w:rsid w:val="006A2FF0"/>
    <w:rsid w:val="006A4321"/>
    <w:rsid w:val="006A43D9"/>
    <w:rsid w:val="006A4E6A"/>
    <w:rsid w:val="006A4F6E"/>
    <w:rsid w:val="006A5B6D"/>
    <w:rsid w:val="006A6333"/>
    <w:rsid w:val="006A66DA"/>
    <w:rsid w:val="006A6824"/>
    <w:rsid w:val="006A6B99"/>
    <w:rsid w:val="006A7E5F"/>
    <w:rsid w:val="006B116A"/>
    <w:rsid w:val="006B14CD"/>
    <w:rsid w:val="006B1E63"/>
    <w:rsid w:val="006B1E80"/>
    <w:rsid w:val="006B261B"/>
    <w:rsid w:val="006B284A"/>
    <w:rsid w:val="006B2C90"/>
    <w:rsid w:val="006B35E6"/>
    <w:rsid w:val="006B36FF"/>
    <w:rsid w:val="006B421C"/>
    <w:rsid w:val="006B428C"/>
    <w:rsid w:val="006B465A"/>
    <w:rsid w:val="006B5468"/>
    <w:rsid w:val="006B56E5"/>
    <w:rsid w:val="006B6CBE"/>
    <w:rsid w:val="006B6DD0"/>
    <w:rsid w:val="006B7907"/>
    <w:rsid w:val="006C0399"/>
    <w:rsid w:val="006C04D4"/>
    <w:rsid w:val="006C1889"/>
    <w:rsid w:val="006C1EE1"/>
    <w:rsid w:val="006C1F37"/>
    <w:rsid w:val="006C2A8E"/>
    <w:rsid w:val="006C31DE"/>
    <w:rsid w:val="006C31E8"/>
    <w:rsid w:val="006C3255"/>
    <w:rsid w:val="006C3714"/>
    <w:rsid w:val="006C3A7D"/>
    <w:rsid w:val="006C3F26"/>
    <w:rsid w:val="006C5B56"/>
    <w:rsid w:val="006C791A"/>
    <w:rsid w:val="006D0165"/>
    <w:rsid w:val="006D0D17"/>
    <w:rsid w:val="006D0D1C"/>
    <w:rsid w:val="006D1C2F"/>
    <w:rsid w:val="006D1E27"/>
    <w:rsid w:val="006D2FB9"/>
    <w:rsid w:val="006D3C7D"/>
    <w:rsid w:val="006D3E4B"/>
    <w:rsid w:val="006D4659"/>
    <w:rsid w:val="006D59CD"/>
    <w:rsid w:val="006D5D5F"/>
    <w:rsid w:val="006D6412"/>
    <w:rsid w:val="006D68FB"/>
    <w:rsid w:val="006D79D9"/>
    <w:rsid w:val="006D7F58"/>
    <w:rsid w:val="006E137F"/>
    <w:rsid w:val="006E216D"/>
    <w:rsid w:val="006E2436"/>
    <w:rsid w:val="006E2868"/>
    <w:rsid w:val="006E36B1"/>
    <w:rsid w:val="006E3BB7"/>
    <w:rsid w:val="006E4DF5"/>
    <w:rsid w:val="006E4E43"/>
    <w:rsid w:val="006E61F8"/>
    <w:rsid w:val="006E69D5"/>
    <w:rsid w:val="006E72C9"/>
    <w:rsid w:val="006F2285"/>
    <w:rsid w:val="006F273B"/>
    <w:rsid w:val="006F28BB"/>
    <w:rsid w:val="006F306C"/>
    <w:rsid w:val="006F31EE"/>
    <w:rsid w:val="006F3A40"/>
    <w:rsid w:val="006F3BBC"/>
    <w:rsid w:val="006F41C3"/>
    <w:rsid w:val="006F522E"/>
    <w:rsid w:val="006F5367"/>
    <w:rsid w:val="006F53ED"/>
    <w:rsid w:val="006F63A5"/>
    <w:rsid w:val="006F69EC"/>
    <w:rsid w:val="006F70CB"/>
    <w:rsid w:val="006F7B96"/>
    <w:rsid w:val="007009AB"/>
    <w:rsid w:val="00701033"/>
    <w:rsid w:val="0070142B"/>
    <w:rsid w:val="0070276E"/>
    <w:rsid w:val="00702F8F"/>
    <w:rsid w:val="00703400"/>
    <w:rsid w:val="0070361A"/>
    <w:rsid w:val="007048B2"/>
    <w:rsid w:val="00704DC2"/>
    <w:rsid w:val="00705D84"/>
    <w:rsid w:val="00706B11"/>
    <w:rsid w:val="007075CF"/>
    <w:rsid w:val="007079FC"/>
    <w:rsid w:val="00707B33"/>
    <w:rsid w:val="00707C8A"/>
    <w:rsid w:val="00710360"/>
    <w:rsid w:val="00711A36"/>
    <w:rsid w:val="00712080"/>
    <w:rsid w:val="007125D3"/>
    <w:rsid w:val="007135AE"/>
    <w:rsid w:val="007140ED"/>
    <w:rsid w:val="00714374"/>
    <w:rsid w:val="00714C26"/>
    <w:rsid w:val="0071529C"/>
    <w:rsid w:val="00715667"/>
    <w:rsid w:val="00715936"/>
    <w:rsid w:val="0071612E"/>
    <w:rsid w:val="00716505"/>
    <w:rsid w:val="007170DA"/>
    <w:rsid w:val="007172AD"/>
    <w:rsid w:val="00717546"/>
    <w:rsid w:val="00720801"/>
    <w:rsid w:val="00720CA3"/>
    <w:rsid w:val="007211A9"/>
    <w:rsid w:val="007214B5"/>
    <w:rsid w:val="00721935"/>
    <w:rsid w:val="007219A0"/>
    <w:rsid w:val="00721C9B"/>
    <w:rsid w:val="00721FF6"/>
    <w:rsid w:val="0072293F"/>
    <w:rsid w:val="00722B1B"/>
    <w:rsid w:val="00722C29"/>
    <w:rsid w:val="00722E4F"/>
    <w:rsid w:val="007230AC"/>
    <w:rsid w:val="0072355F"/>
    <w:rsid w:val="00723739"/>
    <w:rsid w:val="00723B2E"/>
    <w:rsid w:val="0072416F"/>
    <w:rsid w:val="007249B3"/>
    <w:rsid w:val="00724DA6"/>
    <w:rsid w:val="007251AD"/>
    <w:rsid w:val="007251D3"/>
    <w:rsid w:val="00726D63"/>
    <w:rsid w:val="00727348"/>
    <w:rsid w:val="00727801"/>
    <w:rsid w:val="00727C94"/>
    <w:rsid w:val="00730759"/>
    <w:rsid w:val="007310B0"/>
    <w:rsid w:val="00731778"/>
    <w:rsid w:val="00731B0A"/>
    <w:rsid w:val="00731C0F"/>
    <w:rsid w:val="00731EAE"/>
    <w:rsid w:val="00733073"/>
    <w:rsid w:val="00734757"/>
    <w:rsid w:val="00735033"/>
    <w:rsid w:val="00735328"/>
    <w:rsid w:val="00735B14"/>
    <w:rsid w:val="00736424"/>
    <w:rsid w:val="0073685B"/>
    <w:rsid w:val="00737526"/>
    <w:rsid w:val="007377B8"/>
    <w:rsid w:val="00737A40"/>
    <w:rsid w:val="00737BE1"/>
    <w:rsid w:val="007411E7"/>
    <w:rsid w:val="007416D3"/>
    <w:rsid w:val="00741C89"/>
    <w:rsid w:val="007426AC"/>
    <w:rsid w:val="007434D0"/>
    <w:rsid w:val="00743ABF"/>
    <w:rsid w:val="007449BF"/>
    <w:rsid w:val="00744B2D"/>
    <w:rsid w:val="007463FE"/>
    <w:rsid w:val="00746BC0"/>
    <w:rsid w:val="00746CCC"/>
    <w:rsid w:val="00747F4A"/>
    <w:rsid w:val="00747FF7"/>
    <w:rsid w:val="007510B4"/>
    <w:rsid w:val="00751852"/>
    <w:rsid w:val="00751AF0"/>
    <w:rsid w:val="00751EEE"/>
    <w:rsid w:val="00752142"/>
    <w:rsid w:val="007523F9"/>
    <w:rsid w:val="0075357E"/>
    <w:rsid w:val="00753B29"/>
    <w:rsid w:val="007544F1"/>
    <w:rsid w:val="00755189"/>
    <w:rsid w:val="007555BE"/>
    <w:rsid w:val="00755F15"/>
    <w:rsid w:val="007561DF"/>
    <w:rsid w:val="007573E8"/>
    <w:rsid w:val="00757615"/>
    <w:rsid w:val="00760C4E"/>
    <w:rsid w:val="00760F9E"/>
    <w:rsid w:val="007616E6"/>
    <w:rsid w:val="007627BE"/>
    <w:rsid w:val="00762FEC"/>
    <w:rsid w:val="0076365D"/>
    <w:rsid w:val="00763D60"/>
    <w:rsid w:val="00764F03"/>
    <w:rsid w:val="0076580F"/>
    <w:rsid w:val="00765B1A"/>
    <w:rsid w:val="00765BF5"/>
    <w:rsid w:val="00765C2C"/>
    <w:rsid w:val="00765DC1"/>
    <w:rsid w:val="00766B26"/>
    <w:rsid w:val="00766E4B"/>
    <w:rsid w:val="007700F3"/>
    <w:rsid w:val="00770D87"/>
    <w:rsid w:val="00771EF0"/>
    <w:rsid w:val="00772FDD"/>
    <w:rsid w:val="00773383"/>
    <w:rsid w:val="00773ADC"/>
    <w:rsid w:val="007744CA"/>
    <w:rsid w:val="00774693"/>
    <w:rsid w:val="00775664"/>
    <w:rsid w:val="00775D01"/>
    <w:rsid w:val="00775F5B"/>
    <w:rsid w:val="00776A29"/>
    <w:rsid w:val="00776F52"/>
    <w:rsid w:val="00777335"/>
    <w:rsid w:val="00777DDD"/>
    <w:rsid w:val="00777E0E"/>
    <w:rsid w:val="007819C1"/>
    <w:rsid w:val="00781E07"/>
    <w:rsid w:val="007821EB"/>
    <w:rsid w:val="007825C7"/>
    <w:rsid w:val="00782DD2"/>
    <w:rsid w:val="00783310"/>
    <w:rsid w:val="007843F2"/>
    <w:rsid w:val="007846FA"/>
    <w:rsid w:val="00785A9F"/>
    <w:rsid w:val="00786CF0"/>
    <w:rsid w:val="00786DC6"/>
    <w:rsid w:val="00787876"/>
    <w:rsid w:val="00787F20"/>
    <w:rsid w:val="007901AD"/>
    <w:rsid w:val="00790C75"/>
    <w:rsid w:val="007911EB"/>
    <w:rsid w:val="00791973"/>
    <w:rsid w:val="007925DF"/>
    <w:rsid w:val="00792ACE"/>
    <w:rsid w:val="007937B9"/>
    <w:rsid w:val="00794B4D"/>
    <w:rsid w:val="0079590E"/>
    <w:rsid w:val="0079629B"/>
    <w:rsid w:val="00797E33"/>
    <w:rsid w:val="007A0404"/>
    <w:rsid w:val="007A08AA"/>
    <w:rsid w:val="007A0999"/>
    <w:rsid w:val="007A0A12"/>
    <w:rsid w:val="007A132D"/>
    <w:rsid w:val="007A1345"/>
    <w:rsid w:val="007A1D0E"/>
    <w:rsid w:val="007A1EF6"/>
    <w:rsid w:val="007A2C18"/>
    <w:rsid w:val="007A2DDB"/>
    <w:rsid w:val="007A319E"/>
    <w:rsid w:val="007A462B"/>
    <w:rsid w:val="007A4F57"/>
    <w:rsid w:val="007A511C"/>
    <w:rsid w:val="007A51BC"/>
    <w:rsid w:val="007A5963"/>
    <w:rsid w:val="007A70BA"/>
    <w:rsid w:val="007A76B6"/>
    <w:rsid w:val="007B0AEC"/>
    <w:rsid w:val="007B0B80"/>
    <w:rsid w:val="007B0D68"/>
    <w:rsid w:val="007B1151"/>
    <w:rsid w:val="007B1996"/>
    <w:rsid w:val="007B251D"/>
    <w:rsid w:val="007B3533"/>
    <w:rsid w:val="007B4EFA"/>
    <w:rsid w:val="007B4F58"/>
    <w:rsid w:val="007B528D"/>
    <w:rsid w:val="007B63CA"/>
    <w:rsid w:val="007B7535"/>
    <w:rsid w:val="007B77D1"/>
    <w:rsid w:val="007B7A3E"/>
    <w:rsid w:val="007B7F41"/>
    <w:rsid w:val="007C07C7"/>
    <w:rsid w:val="007C1AEE"/>
    <w:rsid w:val="007C1CD9"/>
    <w:rsid w:val="007C2B7D"/>
    <w:rsid w:val="007C32EF"/>
    <w:rsid w:val="007C361D"/>
    <w:rsid w:val="007C3B85"/>
    <w:rsid w:val="007C475C"/>
    <w:rsid w:val="007C4891"/>
    <w:rsid w:val="007C4B84"/>
    <w:rsid w:val="007C4CC4"/>
    <w:rsid w:val="007C517B"/>
    <w:rsid w:val="007C54EA"/>
    <w:rsid w:val="007C608D"/>
    <w:rsid w:val="007C6C40"/>
    <w:rsid w:val="007C70FF"/>
    <w:rsid w:val="007C752E"/>
    <w:rsid w:val="007C7C25"/>
    <w:rsid w:val="007D004F"/>
    <w:rsid w:val="007D035F"/>
    <w:rsid w:val="007D05A0"/>
    <w:rsid w:val="007D06B2"/>
    <w:rsid w:val="007D0B38"/>
    <w:rsid w:val="007D1153"/>
    <w:rsid w:val="007D1441"/>
    <w:rsid w:val="007D32C4"/>
    <w:rsid w:val="007D33F5"/>
    <w:rsid w:val="007D3504"/>
    <w:rsid w:val="007D3E5A"/>
    <w:rsid w:val="007D5440"/>
    <w:rsid w:val="007D58F4"/>
    <w:rsid w:val="007D5FA6"/>
    <w:rsid w:val="007D6340"/>
    <w:rsid w:val="007D649B"/>
    <w:rsid w:val="007D69EB"/>
    <w:rsid w:val="007D6D44"/>
    <w:rsid w:val="007D71E9"/>
    <w:rsid w:val="007E0C8D"/>
    <w:rsid w:val="007E0F36"/>
    <w:rsid w:val="007E128F"/>
    <w:rsid w:val="007E22A5"/>
    <w:rsid w:val="007E44E3"/>
    <w:rsid w:val="007E4D8C"/>
    <w:rsid w:val="007E6550"/>
    <w:rsid w:val="007E6C79"/>
    <w:rsid w:val="007E6C92"/>
    <w:rsid w:val="007E6EA5"/>
    <w:rsid w:val="007E71D8"/>
    <w:rsid w:val="007E7971"/>
    <w:rsid w:val="007E7A5E"/>
    <w:rsid w:val="007F06DF"/>
    <w:rsid w:val="007F1017"/>
    <w:rsid w:val="007F1D3B"/>
    <w:rsid w:val="007F1DE0"/>
    <w:rsid w:val="007F2F4C"/>
    <w:rsid w:val="007F2FB3"/>
    <w:rsid w:val="007F38D9"/>
    <w:rsid w:val="007F3F69"/>
    <w:rsid w:val="007F4501"/>
    <w:rsid w:val="007F4A3F"/>
    <w:rsid w:val="007F4A61"/>
    <w:rsid w:val="007F4C91"/>
    <w:rsid w:val="007F4CC4"/>
    <w:rsid w:val="007F5255"/>
    <w:rsid w:val="007F52CE"/>
    <w:rsid w:val="007F5684"/>
    <w:rsid w:val="007F56CC"/>
    <w:rsid w:val="007F61C2"/>
    <w:rsid w:val="007F7DDB"/>
    <w:rsid w:val="0080274C"/>
    <w:rsid w:val="00802753"/>
    <w:rsid w:val="00802982"/>
    <w:rsid w:val="008039B4"/>
    <w:rsid w:val="008044BC"/>
    <w:rsid w:val="00804753"/>
    <w:rsid w:val="008047F6"/>
    <w:rsid w:val="00804A9C"/>
    <w:rsid w:val="00804CD5"/>
    <w:rsid w:val="00805142"/>
    <w:rsid w:val="0080566B"/>
    <w:rsid w:val="00805FCE"/>
    <w:rsid w:val="00806E4D"/>
    <w:rsid w:val="00807A8B"/>
    <w:rsid w:val="00807FC1"/>
    <w:rsid w:val="00810481"/>
    <w:rsid w:val="00810851"/>
    <w:rsid w:val="0081086C"/>
    <w:rsid w:val="00810F7F"/>
    <w:rsid w:val="00811383"/>
    <w:rsid w:val="00812149"/>
    <w:rsid w:val="00812CAC"/>
    <w:rsid w:val="00812FFE"/>
    <w:rsid w:val="00813FBE"/>
    <w:rsid w:val="0081557D"/>
    <w:rsid w:val="00815767"/>
    <w:rsid w:val="00815DF5"/>
    <w:rsid w:val="00815F8E"/>
    <w:rsid w:val="00816361"/>
    <w:rsid w:val="008166EF"/>
    <w:rsid w:val="00816C66"/>
    <w:rsid w:val="00816F2E"/>
    <w:rsid w:val="00816F91"/>
    <w:rsid w:val="00816FEF"/>
    <w:rsid w:val="00820A8C"/>
    <w:rsid w:val="00820AE4"/>
    <w:rsid w:val="00820F9C"/>
    <w:rsid w:val="008215FB"/>
    <w:rsid w:val="0082171A"/>
    <w:rsid w:val="00821873"/>
    <w:rsid w:val="00822039"/>
    <w:rsid w:val="008220CC"/>
    <w:rsid w:val="00822565"/>
    <w:rsid w:val="00823174"/>
    <w:rsid w:val="00823AD9"/>
    <w:rsid w:val="00824DA0"/>
    <w:rsid w:val="00825751"/>
    <w:rsid w:val="008264EB"/>
    <w:rsid w:val="008268CE"/>
    <w:rsid w:val="00826FE8"/>
    <w:rsid w:val="00827C23"/>
    <w:rsid w:val="00827EE7"/>
    <w:rsid w:val="008308C9"/>
    <w:rsid w:val="00831F23"/>
    <w:rsid w:val="008326B6"/>
    <w:rsid w:val="00832957"/>
    <w:rsid w:val="00832E81"/>
    <w:rsid w:val="00833B05"/>
    <w:rsid w:val="008343BE"/>
    <w:rsid w:val="00834421"/>
    <w:rsid w:val="008361F4"/>
    <w:rsid w:val="008362B4"/>
    <w:rsid w:val="008371C2"/>
    <w:rsid w:val="00840143"/>
    <w:rsid w:val="0084046A"/>
    <w:rsid w:val="00840CA2"/>
    <w:rsid w:val="008429F6"/>
    <w:rsid w:val="0084365D"/>
    <w:rsid w:val="0084374F"/>
    <w:rsid w:val="00844175"/>
    <w:rsid w:val="008448F2"/>
    <w:rsid w:val="00844956"/>
    <w:rsid w:val="00844A1B"/>
    <w:rsid w:val="00844A22"/>
    <w:rsid w:val="00844AF4"/>
    <w:rsid w:val="00845A0E"/>
    <w:rsid w:val="00845ECD"/>
    <w:rsid w:val="00846902"/>
    <w:rsid w:val="00846F84"/>
    <w:rsid w:val="00847703"/>
    <w:rsid w:val="00847DF5"/>
    <w:rsid w:val="008503BE"/>
    <w:rsid w:val="008512FC"/>
    <w:rsid w:val="00851BBF"/>
    <w:rsid w:val="008523FC"/>
    <w:rsid w:val="00852E0F"/>
    <w:rsid w:val="0085309D"/>
    <w:rsid w:val="0085326D"/>
    <w:rsid w:val="008535DF"/>
    <w:rsid w:val="00853C1A"/>
    <w:rsid w:val="008540B3"/>
    <w:rsid w:val="00855C16"/>
    <w:rsid w:val="00856897"/>
    <w:rsid w:val="00856E9A"/>
    <w:rsid w:val="00857D28"/>
    <w:rsid w:val="00857EE1"/>
    <w:rsid w:val="00860227"/>
    <w:rsid w:val="00860271"/>
    <w:rsid w:val="0086075D"/>
    <w:rsid w:val="0086092C"/>
    <w:rsid w:val="008614DC"/>
    <w:rsid w:val="00862494"/>
    <w:rsid w:val="00862502"/>
    <w:rsid w:val="00862709"/>
    <w:rsid w:val="00862CC1"/>
    <w:rsid w:val="008642A7"/>
    <w:rsid w:val="0086505A"/>
    <w:rsid w:val="0086584C"/>
    <w:rsid w:val="008660D4"/>
    <w:rsid w:val="00866380"/>
    <w:rsid w:val="008678C6"/>
    <w:rsid w:val="008714F7"/>
    <w:rsid w:val="00871FA9"/>
    <w:rsid w:val="008725A7"/>
    <w:rsid w:val="008728E9"/>
    <w:rsid w:val="00872C22"/>
    <w:rsid w:val="00873106"/>
    <w:rsid w:val="0087531F"/>
    <w:rsid w:val="00875375"/>
    <w:rsid w:val="00876219"/>
    <w:rsid w:val="00876410"/>
    <w:rsid w:val="00876F87"/>
    <w:rsid w:val="00877505"/>
    <w:rsid w:val="00877AF3"/>
    <w:rsid w:val="008804C2"/>
    <w:rsid w:val="00880740"/>
    <w:rsid w:val="008814A8"/>
    <w:rsid w:val="008814AD"/>
    <w:rsid w:val="00882874"/>
    <w:rsid w:val="00882E3C"/>
    <w:rsid w:val="0088308A"/>
    <w:rsid w:val="00883787"/>
    <w:rsid w:val="00883AD2"/>
    <w:rsid w:val="00884EFF"/>
    <w:rsid w:val="00885269"/>
    <w:rsid w:val="008855E4"/>
    <w:rsid w:val="00885A98"/>
    <w:rsid w:val="00885DB2"/>
    <w:rsid w:val="00886CD2"/>
    <w:rsid w:val="00886DBD"/>
    <w:rsid w:val="0088781E"/>
    <w:rsid w:val="00887A6F"/>
    <w:rsid w:val="00887AF4"/>
    <w:rsid w:val="0089041A"/>
    <w:rsid w:val="0089146D"/>
    <w:rsid w:val="0089182D"/>
    <w:rsid w:val="00891C49"/>
    <w:rsid w:val="00891E6F"/>
    <w:rsid w:val="0089275D"/>
    <w:rsid w:val="00892A36"/>
    <w:rsid w:val="00892EF0"/>
    <w:rsid w:val="00893239"/>
    <w:rsid w:val="00893B09"/>
    <w:rsid w:val="0089420E"/>
    <w:rsid w:val="00894489"/>
    <w:rsid w:val="00894AB6"/>
    <w:rsid w:val="00894CD6"/>
    <w:rsid w:val="008958AE"/>
    <w:rsid w:val="008963A5"/>
    <w:rsid w:val="008967BB"/>
    <w:rsid w:val="00896D5D"/>
    <w:rsid w:val="008979DD"/>
    <w:rsid w:val="008A089E"/>
    <w:rsid w:val="008A0D2D"/>
    <w:rsid w:val="008A0F9B"/>
    <w:rsid w:val="008A1A3C"/>
    <w:rsid w:val="008A3158"/>
    <w:rsid w:val="008A3363"/>
    <w:rsid w:val="008A3371"/>
    <w:rsid w:val="008A3C3E"/>
    <w:rsid w:val="008A3EBB"/>
    <w:rsid w:val="008A4146"/>
    <w:rsid w:val="008A4BE3"/>
    <w:rsid w:val="008A71E2"/>
    <w:rsid w:val="008A7750"/>
    <w:rsid w:val="008A79DE"/>
    <w:rsid w:val="008A7A1A"/>
    <w:rsid w:val="008B0B14"/>
    <w:rsid w:val="008B1757"/>
    <w:rsid w:val="008B1C33"/>
    <w:rsid w:val="008B1CBF"/>
    <w:rsid w:val="008B1FED"/>
    <w:rsid w:val="008B2CD6"/>
    <w:rsid w:val="008B34D7"/>
    <w:rsid w:val="008B384C"/>
    <w:rsid w:val="008B3E53"/>
    <w:rsid w:val="008B4B6F"/>
    <w:rsid w:val="008B5347"/>
    <w:rsid w:val="008B66EC"/>
    <w:rsid w:val="008B7992"/>
    <w:rsid w:val="008B7D7E"/>
    <w:rsid w:val="008C0137"/>
    <w:rsid w:val="008C4CA1"/>
    <w:rsid w:val="008C5610"/>
    <w:rsid w:val="008C5739"/>
    <w:rsid w:val="008C6519"/>
    <w:rsid w:val="008C6F5E"/>
    <w:rsid w:val="008C7282"/>
    <w:rsid w:val="008C7E2D"/>
    <w:rsid w:val="008C7ECB"/>
    <w:rsid w:val="008D0245"/>
    <w:rsid w:val="008D27B9"/>
    <w:rsid w:val="008D2C60"/>
    <w:rsid w:val="008D3999"/>
    <w:rsid w:val="008D3B86"/>
    <w:rsid w:val="008D43FD"/>
    <w:rsid w:val="008D4755"/>
    <w:rsid w:val="008D4C3D"/>
    <w:rsid w:val="008D6235"/>
    <w:rsid w:val="008D6773"/>
    <w:rsid w:val="008D743C"/>
    <w:rsid w:val="008D77C3"/>
    <w:rsid w:val="008E0D3C"/>
    <w:rsid w:val="008E1B9E"/>
    <w:rsid w:val="008E2217"/>
    <w:rsid w:val="008E2C1E"/>
    <w:rsid w:val="008E3580"/>
    <w:rsid w:val="008E3725"/>
    <w:rsid w:val="008E3BBD"/>
    <w:rsid w:val="008E4318"/>
    <w:rsid w:val="008E4D6E"/>
    <w:rsid w:val="008E50C0"/>
    <w:rsid w:val="008E55AB"/>
    <w:rsid w:val="008E62D0"/>
    <w:rsid w:val="008E6451"/>
    <w:rsid w:val="008E66AA"/>
    <w:rsid w:val="008F00B5"/>
    <w:rsid w:val="008F00DC"/>
    <w:rsid w:val="008F113C"/>
    <w:rsid w:val="008F120A"/>
    <w:rsid w:val="008F27E0"/>
    <w:rsid w:val="008F31E5"/>
    <w:rsid w:val="008F34E1"/>
    <w:rsid w:val="008F34FC"/>
    <w:rsid w:val="008F399E"/>
    <w:rsid w:val="008F48AF"/>
    <w:rsid w:val="008F48EB"/>
    <w:rsid w:val="008F4DE3"/>
    <w:rsid w:val="008F4EBA"/>
    <w:rsid w:val="008F4F0B"/>
    <w:rsid w:val="008F5C0B"/>
    <w:rsid w:val="008F5F53"/>
    <w:rsid w:val="008F6ABA"/>
    <w:rsid w:val="008F6EE5"/>
    <w:rsid w:val="008F7581"/>
    <w:rsid w:val="008F7D46"/>
    <w:rsid w:val="008F7EAB"/>
    <w:rsid w:val="009042D1"/>
    <w:rsid w:val="0090455C"/>
    <w:rsid w:val="009046C4"/>
    <w:rsid w:val="009047E3"/>
    <w:rsid w:val="0090497D"/>
    <w:rsid w:val="009060F6"/>
    <w:rsid w:val="009062A5"/>
    <w:rsid w:val="00907699"/>
    <w:rsid w:val="009078A1"/>
    <w:rsid w:val="0091026F"/>
    <w:rsid w:val="0091045A"/>
    <w:rsid w:val="00910465"/>
    <w:rsid w:val="00910FA7"/>
    <w:rsid w:val="00911272"/>
    <w:rsid w:val="00911339"/>
    <w:rsid w:val="00912716"/>
    <w:rsid w:val="009135D6"/>
    <w:rsid w:val="009143A1"/>
    <w:rsid w:val="00914C77"/>
    <w:rsid w:val="0091699A"/>
    <w:rsid w:val="00916E87"/>
    <w:rsid w:val="009175C4"/>
    <w:rsid w:val="009213B3"/>
    <w:rsid w:val="0092147D"/>
    <w:rsid w:val="00921956"/>
    <w:rsid w:val="00921ACB"/>
    <w:rsid w:val="00921C00"/>
    <w:rsid w:val="0092239A"/>
    <w:rsid w:val="0092316F"/>
    <w:rsid w:val="00923279"/>
    <w:rsid w:val="009233A7"/>
    <w:rsid w:val="009234B7"/>
    <w:rsid w:val="0092369B"/>
    <w:rsid w:val="00923AFE"/>
    <w:rsid w:val="009245B1"/>
    <w:rsid w:val="00924AFD"/>
    <w:rsid w:val="00924B5C"/>
    <w:rsid w:val="009251C0"/>
    <w:rsid w:val="00925C9D"/>
    <w:rsid w:val="00927251"/>
    <w:rsid w:val="009276CD"/>
    <w:rsid w:val="0092770F"/>
    <w:rsid w:val="00927A5F"/>
    <w:rsid w:val="00927B62"/>
    <w:rsid w:val="00930375"/>
    <w:rsid w:val="009331D0"/>
    <w:rsid w:val="00933625"/>
    <w:rsid w:val="009342F8"/>
    <w:rsid w:val="00934988"/>
    <w:rsid w:val="00934A3E"/>
    <w:rsid w:val="00935EF1"/>
    <w:rsid w:val="00937089"/>
    <w:rsid w:val="009379F4"/>
    <w:rsid w:val="00940FC4"/>
    <w:rsid w:val="00941B9D"/>
    <w:rsid w:val="00941C52"/>
    <w:rsid w:val="00941DFA"/>
    <w:rsid w:val="0094204D"/>
    <w:rsid w:val="009427C5"/>
    <w:rsid w:val="00944141"/>
    <w:rsid w:val="00944F8A"/>
    <w:rsid w:val="009453B8"/>
    <w:rsid w:val="009458AD"/>
    <w:rsid w:val="0094661C"/>
    <w:rsid w:val="009466A5"/>
    <w:rsid w:val="00947F8B"/>
    <w:rsid w:val="009502B7"/>
    <w:rsid w:val="009504DA"/>
    <w:rsid w:val="009505D7"/>
    <w:rsid w:val="00950A70"/>
    <w:rsid w:val="00950DE6"/>
    <w:rsid w:val="00950E29"/>
    <w:rsid w:val="00950F0F"/>
    <w:rsid w:val="009510A2"/>
    <w:rsid w:val="00951FA3"/>
    <w:rsid w:val="0095262D"/>
    <w:rsid w:val="009529C6"/>
    <w:rsid w:val="00952BE7"/>
    <w:rsid w:val="00952EA9"/>
    <w:rsid w:val="00953257"/>
    <w:rsid w:val="0095474C"/>
    <w:rsid w:val="00954C89"/>
    <w:rsid w:val="00954E46"/>
    <w:rsid w:val="00955F08"/>
    <w:rsid w:val="00957D92"/>
    <w:rsid w:val="0096080B"/>
    <w:rsid w:val="00961781"/>
    <w:rsid w:val="00961AF4"/>
    <w:rsid w:val="009629C2"/>
    <w:rsid w:val="00962CB9"/>
    <w:rsid w:val="0096394D"/>
    <w:rsid w:val="00964312"/>
    <w:rsid w:val="00964549"/>
    <w:rsid w:val="0096490D"/>
    <w:rsid w:val="00964A88"/>
    <w:rsid w:val="00965B8A"/>
    <w:rsid w:val="009667CD"/>
    <w:rsid w:val="00966BCE"/>
    <w:rsid w:val="00967671"/>
    <w:rsid w:val="0097003F"/>
    <w:rsid w:val="0097071F"/>
    <w:rsid w:val="00970F14"/>
    <w:rsid w:val="009717AC"/>
    <w:rsid w:val="0097207F"/>
    <w:rsid w:val="00973821"/>
    <w:rsid w:val="009751C1"/>
    <w:rsid w:val="0097566C"/>
    <w:rsid w:val="0097613B"/>
    <w:rsid w:val="009770EA"/>
    <w:rsid w:val="0098094C"/>
    <w:rsid w:val="009811F1"/>
    <w:rsid w:val="009823CD"/>
    <w:rsid w:val="009823FC"/>
    <w:rsid w:val="0098262F"/>
    <w:rsid w:val="00982960"/>
    <w:rsid w:val="00982D8B"/>
    <w:rsid w:val="00982DE7"/>
    <w:rsid w:val="00983039"/>
    <w:rsid w:val="00983180"/>
    <w:rsid w:val="00983ACB"/>
    <w:rsid w:val="00983E57"/>
    <w:rsid w:val="0098471D"/>
    <w:rsid w:val="009859D2"/>
    <w:rsid w:val="00985B43"/>
    <w:rsid w:val="00985C81"/>
    <w:rsid w:val="00985DE2"/>
    <w:rsid w:val="009860B8"/>
    <w:rsid w:val="009864CA"/>
    <w:rsid w:val="0098675D"/>
    <w:rsid w:val="00986ABF"/>
    <w:rsid w:val="00986CE9"/>
    <w:rsid w:val="009871EE"/>
    <w:rsid w:val="0098783B"/>
    <w:rsid w:val="00987BA4"/>
    <w:rsid w:val="0099014E"/>
    <w:rsid w:val="009907DC"/>
    <w:rsid w:val="009909C6"/>
    <w:rsid w:val="00990AA7"/>
    <w:rsid w:val="00991892"/>
    <w:rsid w:val="009926E0"/>
    <w:rsid w:val="009931AF"/>
    <w:rsid w:val="00993C98"/>
    <w:rsid w:val="0099434B"/>
    <w:rsid w:val="0099451E"/>
    <w:rsid w:val="0099501C"/>
    <w:rsid w:val="00995C01"/>
    <w:rsid w:val="00996034"/>
    <w:rsid w:val="00996935"/>
    <w:rsid w:val="00996A7F"/>
    <w:rsid w:val="00996B1A"/>
    <w:rsid w:val="00996CE0"/>
    <w:rsid w:val="00997683"/>
    <w:rsid w:val="009A0E13"/>
    <w:rsid w:val="009A18F6"/>
    <w:rsid w:val="009A2183"/>
    <w:rsid w:val="009A2351"/>
    <w:rsid w:val="009A2C28"/>
    <w:rsid w:val="009A2DCC"/>
    <w:rsid w:val="009A3071"/>
    <w:rsid w:val="009A417A"/>
    <w:rsid w:val="009A46C9"/>
    <w:rsid w:val="009A540D"/>
    <w:rsid w:val="009A5ABC"/>
    <w:rsid w:val="009A7EF1"/>
    <w:rsid w:val="009A7F10"/>
    <w:rsid w:val="009A7F16"/>
    <w:rsid w:val="009B030C"/>
    <w:rsid w:val="009B16DA"/>
    <w:rsid w:val="009B1F18"/>
    <w:rsid w:val="009B1F62"/>
    <w:rsid w:val="009B232B"/>
    <w:rsid w:val="009B3E26"/>
    <w:rsid w:val="009B4ED2"/>
    <w:rsid w:val="009B5A33"/>
    <w:rsid w:val="009B5AF1"/>
    <w:rsid w:val="009B6806"/>
    <w:rsid w:val="009B7065"/>
    <w:rsid w:val="009B7717"/>
    <w:rsid w:val="009C0A3B"/>
    <w:rsid w:val="009C0C4E"/>
    <w:rsid w:val="009C1075"/>
    <w:rsid w:val="009C1271"/>
    <w:rsid w:val="009C3706"/>
    <w:rsid w:val="009C3A3A"/>
    <w:rsid w:val="009C417C"/>
    <w:rsid w:val="009C426B"/>
    <w:rsid w:val="009C5E45"/>
    <w:rsid w:val="009C6CEA"/>
    <w:rsid w:val="009C7B85"/>
    <w:rsid w:val="009D0254"/>
    <w:rsid w:val="009D0E33"/>
    <w:rsid w:val="009D1A64"/>
    <w:rsid w:val="009D2BB8"/>
    <w:rsid w:val="009D30AC"/>
    <w:rsid w:val="009D45DE"/>
    <w:rsid w:val="009D4A60"/>
    <w:rsid w:val="009D5B91"/>
    <w:rsid w:val="009D6069"/>
    <w:rsid w:val="009D6E27"/>
    <w:rsid w:val="009D7406"/>
    <w:rsid w:val="009D77F6"/>
    <w:rsid w:val="009D792E"/>
    <w:rsid w:val="009D7EBF"/>
    <w:rsid w:val="009E0291"/>
    <w:rsid w:val="009E0984"/>
    <w:rsid w:val="009E0DFE"/>
    <w:rsid w:val="009E161C"/>
    <w:rsid w:val="009E19FB"/>
    <w:rsid w:val="009E2B0F"/>
    <w:rsid w:val="009E2D8A"/>
    <w:rsid w:val="009E31F6"/>
    <w:rsid w:val="009E3332"/>
    <w:rsid w:val="009E3615"/>
    <w:rsid w:val="009E3EAC"/>
    <w:rsid w:val="009E4C07"/>
    <w:rsid w:val="009E4FDF"/>
    <w:rsid w:val="009E642E"/>
    <w:rsid w:val="009E68F8"/>
    <w:rsid w:val="009E773F"/>
    <w:rsid w:val="009E777F"/>
    <w:rsid w:val="009F00D8"/>
    <w:rsid w:val="009F02BC"/>
    <w:rsid w:val="009F0953"/>
    <w:rsid w:val="009F0ED4"/>
    <w:rsid w:val="009F1EA9"/>
    <w:rsid w:val="009F295D"/>
    <w:rsid w:val="009F2A83"/>
    <w:rsid w:val="009F46F4"/>
    <w:rsid w:val="009F6120"/>
    <w:rsid w:val="009F6D1C"/>
    <w:rsid w:val="009F6D87"/>
    <w:rsid w:val="009F7607"/>
    <w:rsid w:val="009F768D"/>
    <w:rsid w:val="00A00D76"/>
    <w:rsid w:val="00A00F2B"/>
    <w:rsid w:val="00A01184"/>
    <w:rsid w:val="00A01449"/>
    <w:rsid w:val="00A0251A"/>
    <w:rsid w:val="00A033D6"/>
    <w:rsid w:val="00A03439"/>
    <w:rsid w:val="00A037C2"/>
    <w:rsid w:val="00A03D43"/>
    <w:rsid w:val="00A04380"/>
    <w:rsid w:val="00A04786"/>
    <w:rsid w:val="00A049E5"/>
    <w:rsid w:val="00A04BD5"/>
    <w:rsid w:val="00A05472"/>
    <w:rsid w:val="00A05767"/>
    <w:rsid w:val="00A05C32"/>
    <w:rsid w:val="00A0653F"/>
    <w:rsid w:val="00A075F2"/>
    <w:rsid w:val="00A11CD0"/>
    <w:rsid w:val="00A11D6A"/>
    <w:rsid w:val="00A134AF"/>
    <w:rsid w:val="00A13948"/>
    <w:rsid w:val="00A1483D"/>
    <w:rsid w:val="00A14AC0"/>
    <w:rsid w:val="00A1555B"/>
    <w:rsid w:val="00A155C5"/>
    <w:rsid w:val="00A15962"/>
    <w:rsid w:val="00A15E5E"/>
    <w:rsid w:val="00A16518"/>
    <w:rsid w:val="00A16692"/>
    <w:rsid w:val="00A168D3"/>
    <w:rsid w:val="00A16AD8"/>
    <w:rsid w:val="00A16BE9"/>
    <w:rsid w:val="00A16CFF"/>
    <w:rsid w:val="00A17796"/>
    <w:rsid w:val="00A20110"/>
    <w:rsid w:val="00A2021E"/>
    <w:rsid w:val="00A214CC"/>
    <w:rsid w:val="00A21C95"/>
    <w:rsid w:val="00A21CF3"/>
    <w:rsid w:val="00A227A9"/>
    <w:rsid w:val="00A24133"/>
    <w:rsid w:val="00A24813"/>
    <w:rsid w:val="00A25565"/>
    <w:rsid w:val="00A257D3"/>
    <w:rsid w:val="00A2606F"/>
    <w:rsid w:val="00A26D30"/>
    <w:rsid w:val="00A27480"/>
    <w:rsid w:val="00A274BE"/>
    <w:rsid w:val="00A27AEC"/>
    <w:rsid w:val="00A31303"/>
    <w:rsid w:val="00A31310"/>
    <w:rsid w:val="00A31BFD"/>
    <w:rsid w:val="00A320DB"/>
    <w:rsid w:val="00A32806"/>
    <w:rsid w:val="00A32861"/>
    <w:rsid w:val="00A34089"/>
    <w:rsid w:val="00A35B6D"/>
    <w:rsid w:val="00A35D16"/>
    <w:rsid w:val="00A35DB9"/>
    <w:rsid w:val="00A36355"/>
    <w:rsid w:val="00A37343"/>
    <w:rsid w:val="00A37BCD"/>
    <w:rsid w:val="00A40032"/>
    <w:rsid w:val="00A406FF"/>
    <w:rsid w:val="00A40753"/>
    <w:rsid w:val="00A40767"/>
    <w:rsid w:val="00A40901"/>
    <w:rsid w:val="00A40A8D"/>
    <w:rsid w:val="00A40D1D"/>
    <w:rsid w:val="00A41689"/>
    <w:rsid w:val="00A4187A"/>
    <w:rsid w:val="00A4233C"/>
    <w:rsid w:val="00A42592"/>
    <w:rsid w:val="00A4303A"/>
    <w:rsid w:val="00A437B5"/>
    <w:rsid w:val="00A43C59"/>
    <w:rsid w:val="00A43D1B"/>
    <w:rsid w:val="00A443BA"/>
    <w:rsid w:val="00A464C9"/>
    <w:rsid w:val="00A46F46"/>
    <w:rsid w:val="00A47763"/>
    <w:rsid w:val="00A5024B"/>
    <w:rsid w:val="00A50ECD"/>
    <w:rsid w:val="00A518F3"/>
    <w:rsid w:val="00A51F8E"/>
    <w:rsid w:val="00A52729"/>
    <w:rsid w:val="00A52827"/>
    <w:rsid w:val="00A52D6C"/>
    <w:rsid w:val="00A53675"/>
    <w:rsid w:val="00A5446E"/>
    <w:rsid w:val="00A54504"/>
    <w:rsid w:val="00A5498D"/>
    <w:rsid w:val="00A54EE9"/>
    <w:rsid w:val="00A550FD"/>
    <w:rsid w:val="00A55420"/>
    <w:rsid w:val="00A55510"/>
    <w:rsid w:val="00A5554F"/>
    <w:rsid w:val="00A564A8"/>
    <w:rsid w:val="00A564D7"/>
    <w:rsid w:val="00A56B6A"/>
    <w:rsid w:val="00A56D88"/>
    <w:rsid w:val="00A578DC"/>
    <w:rsid w:val="00A57E6E"/>
    <w:rsid w:val="00A60287"/>
    <w:rsid w:val="00A61679"/>
    <w:rsid w:val="00A61A3E"/>
    <w:rsid w:val="00A61F1E"/>
    <w:rsid w:val="00A62593"/>
    <w:rsid w:val="00A62A06"/>
    <w:rsid w:val="00A62D4B"/>
    <w:rsid w:val="00A62D8A"/>
    <w:rsid w:val="00A6390C"/>
    <w:rsid w:val="00A63A56"/>
    <w:rsid w:val="00A640E2"/>
    <w:rsid w:val="00A64D65"/>
    <w:rsid w:val="00A64F26"/>
    <w:rsid w:val="00A65062"/>
    <w:rsid w:val="00A65103"/>
    <w:rsid w:val="00A654E7"/>
    <w:rsid w:val="00A65A74"/>
    <w:rsid w:val="00A67070"/>
    <w:rsid w:val="00A6725B"/>
    <w:rsid w:val="00A67931"/>
    <w:rsid w:val="00A70605"/>
    <w:rsid w:val="00A7080B"/>
    <w:rsid w:val="00A7109E"/>
    <w:rsid w:val="00A71B45"/>
    <w:rsid w:val="00A71C3C"/>
    <w:rsid w:val="00A72780"/>
    <w:rsid w:val="00A72C7E"/>
    <w:rsid w:val="00A730D8"/>
    <w:rsid w:val="00A73134"/>
    <w:rsid w:val="00A7365A"/>
    <w:rsid w:val="00A73C3C"/>
    <w:rsid w:val="00A73C8F"/>
    <w:rsid w:val="00A7486B"/>
    <w:rsid w:val="00A74D1A"/>
    <w:rsid w:val="00A75702"/>
    <w:rsid w:val="00A76001"/>
    <w:rsid w:val="00A777B2"/>
    <w:rsid w:val="00A777D2"/>
    <w:rsid w:val="00A77AFA"/>
    <w:rsid w:val="00A80D4C"/>
    <w:rsid w:val="00A8213E"/>
    <w:rsid w:val="00A825D4"/>
    <w:rsid w:val="00A828F6"/>
    <w:rsid w:val="00A82B73"/>
    <w:rsid w:val="00A83FD0"/>
    <w:rsid w:val="00A85F88"/>
    <w:rsid w:val="00A86E8B"/>
    <w:rsid w:val="00A87164"/>
    <w:rsid w:val="00A871A9"/>
    <w:rsid w:val="00A878A1"/>
    <w:rsid w:val="00A87AD0"/>
    <w:rsid w:val="00A92568"/>
    <w:rsid w:val="00A93072"/>
    <w:rsid w:val="00A933BB"/>
    <w:rsid w:val="00A938BD"/>
    <w:rsid w:val="00A93953"/>
    <w:rsid w:val="00A93A9C"/>
    <w:rsid w:val="00A93FD2"/>
    <w:rsid w:val="00A9542B"/>
    <w:rsid w:val="00A95676"/>
    <w:rsid w:val="00A959D8"/>
    <w:rsid w:val="00A9653A"/>
    <w:rsid w:val="00A96986"/>
    <w:rsid w:val="00A9698B"/>
    <w:rsid w:val="00A97EEE"/>
    <w:rsid w:val="00AA0611"/>
    <w:rsid w:val="00AA113D"/>
    <w:rsid w:val="00AA15C6"/>
    <w:rsid w:val="00AA1A42"/>
    <w:rsid w:val="00AA1E1F"/>
    <w:rsid w:val="00AA2C79"/>
    <w:rsid w:val="00AA36AA"/>
    <w:rsid w:val="00AA3848"/>
    <w:rsid w:val="00AA4312"/>
    <w:rsid w:val="00AA4AA2"/>
    <w:rsid w:val="00AA5115"/>
    <w:rsid w:val="00AA54B4"/>
    <w:rsid w:val="00AA5A82"/>
    <w:rsid w:val="00AA5C79"/>
    <w:rsid w:val="00AA5FEB"/>
    <w:rsid w:val="00AA6540"/>
    <w:rsid w:val="00AA6B26"/>
    <w:rsid w:val="00AA6BD5"/>
    <w:rsid w:val="00AA6BD8"/>
    <w:rsid w:val="00AA6C7D"/>
    <w:rsid w:val="00AA7CEE"/>
    <w:rsid w:val="00AA7E2D"/>
    <w:rsid w:val="00AA7FD6"/>
    <w:rsid w:val="00AB042A"/>
    <w:rsid w:val="00AB11A8"/>
    <w:rsid w:val="00AB11AD"/>
    <w:rsid w:val="00AB19EF"/>
    <w:rsid w:val="00AB2495"/>
    <w:rsid w:val="00AB2D34"/>
    <w:rsid w:val="00AB3430"/>
    <w:rsid w:val="00AB37B9"/>
    <w:rsid w:val="00AB4749"/>
    <w:rsid w:val="00AB4AD1"/>
    <w:rsid w:val="00AB5E07"/>
    <w:rsid w:val="00AB73EE"/>
    <w:rsid w:val="00AB7CFA"/>
    <w:rsid w:val="00AC00D0"/>
    <w:rsid w:val="00AC0425"/>
    <w:rsid w:val="00AC05DF"/>
    <w:rsid w:val="00AC08ED"/>
    <w:rsid w:val="00AC0EC8"/>
    <w:rsid w:val="00AC1288"/>
    <w:rsid w:val="00AC1C2E"/>
    <w:rsid w:val="00AC1FA3"/>
    <w:rsid w:val="00AC293B"/>
    <w:rsid w:val="00AC2E3B"/>
    <w:rsid w:val="00AC39DF"/>
    <w:rsid w:val="00AC43B1"/>
    <w:rsid w:val="00AC45E2"/>
    <w:rsid w:val="00AC4C71"/>
    <w:rsid w:val="00AC53DD"/>
    <w:rsid w:val="00AC5B42"/>
    <w:rsid w:val="00AC5B48"/>
    <w:rsid w:val="00AC7272"/>
    <w:rsid w:val="00AC72CC"/>
    <w:rsid w:val="00AC782B"/>
    <w:rsid w:val="00AD1450"/>
    <w:rsid w:val="00AD15E8"/>
    <w:rsid w:val="00AD235B"/>
    <w:rsid w:val="00AD2779"/>
    <w:rsid w:val="00AD356D"/>
    <w:rsid w:val="00AD38E5"/>
    <w:rsid w:val="00AD4206"/>
    <w:rsid w:val="00AD4672"/>
    <w:rsid w:val="00AD4E84"/>
    <w:rsid w:val="00AD6121"/>
    <w:rsid w:val="00AD6502"/>
    <w:rsid w:val="00AD6D9B"/>
    <w:rsid w:val="00AD72EA"/>
    <w:rsid w:val="00AD752A"/>
    <w:rsid w:val="00AE0695"/>
    <w:rsid w:val="00AE1060"/>
    <w:rsid w:val="00AE25C6"/>
    <w:rsid w:val="00AE372A"/>
    <w:rsid w:val="00AE3E7E"/>
    <w:rsid w:val="00AE3EF2"/>
    <w:rsid w:val="00AE4771"/>
    <w:rsid w:val="00AE7E53"/>
    <w:rsid w:val="00AF063E"/>
    <w:rsid w:val="00AF073E"/>
    <w:rsid w:val="00AF11E4"/>
    <w:rsid w:val="00AF1315"/>
    <w:rsid w:val="00AF19BF"/>
    <w:rsid w:val="00AF2118"/>
    <w:rsid w:val="00AF2DC3"/>
    <w:rsid w:val="00AF3365"/>
    <w:rsid w:val="00AF34EF"/>
    <w:rsid w:val="00AF38C2"/>
    <w:rsid w:val="00AF3F96"/>
    <w:rsid w:val="00AF4243"/>
    <w:rsid w:val="00AF42D0"/>
    <w:rsid w:val="00AF4462"/>
    <w:rsid w:val="00AF5A0D"/>
    <w:rsid w:val="00AF5CD7"/>
    <w:rsid w:val="00AF6953"/>
    <w:rsid w:val="00AF6E6A"/>
    <w:rsid w:val="00AF7199"/>
    <w:rsid w:val="00AF7477"/>
    <w:rsid w:val="00AF770A"/>
    <w:rsid w:val="00AF7883"/>
    <w:rsid w:val="00AF7EA3"/>
    <w:rsid w:val="00B0240B"/>
    <w:rsid w:val="00B0245D"/>
    <w:rsid w:val="00B026FF"/>
    <w:rsid w:val="00B02A96"/>
    <w:rsid w:val="00B033E5"/>
    <w:rsid w:val="00B0377B"/>
    <w:rsid w:val="00B03A63"/>
    <w:rsid w:val="00B0423F"/>
    <w:rsid w:val="00B04AF9"/>
    <w:rsid w:val="00B05E81"/>
    <w:rsid w:val="00B10AA8"/>
    <w:rsid w:val="00B11863"/>
    <w:rsid w:val="00B11BE8"/>
    <w:rsid w:val="00B11E70"/>
    <w:rsid w:val="00B12973"/>
    <w:rsid w:val="00B129A4"/>
    <w:rsid w:val="00B130B2"/>
    <w:rsid w:val="00B13578"/>
    <w:rsid w:val="00B138DB"/>
    <w:rsid w:val="00B14139"/>
    <w:rsid w:val="00B15E0E"/>
    <w:rsid w:val="00B16766"/>
    <w:rsid w:val="00B201A4"/>
    <w:rsid w:val="00B201D1"/>
    <w:rsid w:val="00B20864"/>
    <w:rsid w:val="00B210EC"/>
    <w:rsid w:val="00B213A6"/>
    <w:rsid w:val="00B2193D"/>
    <w:rsid w:val="00B21E81"/>
    <w:rsid w:val="00B21ED4"/>
    <w:rsid w:val="00B223FA"/>
    <w:rsid w:val="00B22ADC"/>
    <w:rsid w:val="00B235B0"/>
    <w:rsid w:val="00B24750"/>
    <w:rsid w:val="00B24DF6"/>
    <w:rsid w:val="00B25F25"/>
    <w:rsid w:val="00B27A61"/>
    <w:rsid w:val="00B314D5"/>
    <w:rsid w:val="00B34FE2"/>
    <w:rsid w:val="00B35133"/>
    <w:rsid w:val="00B35166"/>
    <w:rsid w:val="00B357D8"/>
    <w:rsid w:val="00B360F4"/>
    <w:rsid w:val="00B36606"/>
    <w:rsid w:val="00B36A00"/>
    <w:rsid w:val="00B36C67"/>
    <w:rsid w:val="00B3792B"/>
    <w:rsid w:val="00B37BFC"/>
    <w:rsid w:val="00B40358"/>
    <w:rsid w:val="00B41415"/>
    <w:rsid w:val="00B4142C"/>
    <w:rsid w:val="00B41614"/>
    <w:rsid w:val="00B41824"/>
    <w:rsid w:val="00B41A22"/>
    <w:rsid w:val="00B42223"/>
    <w:rsid w:val="00B42732"/>
    <w:rsid w:val="00B42851"/>
    <w:rsid w:val="00B42CB3"/>
    <w:rsid w:val="00B42CF8"/>
    <w:rsid w:val="00B42F80"/>
    <w:rsid w:val="00B435CB"/>
    <w:rsid w:val="00B449A3"/>
    <w:rsid w:val="00B458DE"/>
    <w:rsid w:val="00B45CDC"/>
    <w:rsid w:val="00B465EC"/>
    <w:rsid w:val="00B4694B"/>
    <w:rsid w:val="00B47259"/>
    <w:rsid w:val="00B47483"/>
    <w:rsid w:val="00B47638"/>
    <w:rsid w:val="00B5014D"/>
    <w:rsid w:val="00B50472"/>
    <w:rsid w:val="00B505C8"/>
    <w:rsid w:val="00B50743"/>
    <w:rsid w:val="00B50DB8"/>
    <w:rsid w:val="00B51051"/>
    <w:rsid w:val="00B52D73"/>
    <w:rsid w:val="00B53654"/>
    <w:rsid w:val="00B53905"/>
    <w:rsid w:val="00B53CF0"/>
    <w:rsid w:val="00B53E38"/>
    <w:rsid w:val="00B5426D"/>
    <w:rsid w:val="00B5455C"/>
    <w:rsid w:val="00B546DB"/>
    <w:rsid w:val="00B54B5B"/>
    <w:rsid w:val="00B5562E"/>
    <w:rsid w:val="00B55862"/>
    <w:rsid w:val="00B55D65"/>
    <w:rsid w:val="00B56305"/>
    <w:rsid w:val="00B57000"/>
    <w:rsid w:val="00B5730F"/>
    <w:rsid w:val="00B60939"/>
    <w:rsid w:val="00B60AFD"/>
    <w:rsid w:val="00B60C6F"/>
    <w:rsid w:val="00B6125F"/>
    <w:rsid w:val="00B62715"/>
    <w:rsid w:val="00B633BA"/>
    <w:rsid w:val="00B653CC"/>
    <w:rsid w:val="00B65611"/>
    <w:rsid w:val="00B65EB2"/>
    <w:rsid w:val="00B6793D"/>
    <w:rsid w:val="00B67995"/>
    <w:rsid w:val="00B67ED0"/>
    <w:rsid w:val="00B708E5"/>
    <w:rsid w:val="00B70E8E"/>
    <w:rsid w:val="00B71993"/>
    <w:rsid w:val="00B723F7"/>
    <w:rsid w:val="00B72C11"/>
    <w:rsid w:val="00B72D2E"/>
    <w:rsid w:val="00B7307F"/>
    <w:rsid w:val="00B734B3"/>
    <w:rsid w:val="00B737EC"/>
    <w:rsid w:val="00B747C2"/>
    <w:rsid w:val="00B76995"/>
    <w:rsid w:val="00B76C92"/>
    <w:rsid w:val="00B8092E"/>
    <w:rsid w:val="00B80AC3"/>
    <w:rsid w:val="00B80EFD"/>
    <w:rsid w:val="00B816BC"/>
    <w:rsid w:val="00B818A4"/>
    <w:rsid w:val="00B81AB1"/>
    <w:rsid w:val="00B82052"/>
    <w:rsid w:val="00B8213B"/>
    <w:rsid w:val="00B8242C"/>
    <w:rsid w:val="00B82BA7"/>
    <w:rsid w:val="00B83739"/>
    <w:rsid w:val="00B84117"/>
    <w:rsid w:val="00B8501C"/>
    <w:rsid w:val="00B85502"/>
    <w:rsid w:val="00B856FC"/>
    <w:rsid w:val="00B858F0"/>
    <w:rsid w:val="00B85AA2"/>
    <w:rsid w:val="00B8649C"/>
    <w:rsid w:val="00B8695D"/>
    <w:rsid w:val="00B86E07"/>
    <w:rsid w:val="00B87F0A"/>
    <w:rsid w:val="00B90A37"/>
    <w:rsid w:val="00B9185E"/>
    <w:rsid w:val="00B925B0"/>
    <w:rsid w:val="00B92D0B"/>
    <w:rsid w:val="00B937E5"/>
    <w:rsid w:val="00B939BC"/>
    <w:rsid w:val="00B94065"/>
    <w:rsid w:val="00B94127"/>
    <w:rsid w:val="00B94945"/>
    <w:rsid w:val="00B94ACC"/>
    <w:rsid w:val="00B94DD6"/>
    <w:rsid w:val="00B94F87"/>
    <w:rsid w:val="00B95B90"/>
    <w:rsid w:val="00B96277"/>
    <w:rsid w:val="00B971A4"/>
    <w:rsid w:val="00B97246"/>
    <w:rsid w:val="00BA29A3"/>
    <w:rsid w:val="00BA2EB2"/>
    <w:rsid w:val="00BA3101"/>
    <w:rsid w:val="00BA3168"/>
    <w:rsid w:val="00BA322D"/>
    <w:rsid w:val="00BA3498"/>
    <w:rsid w:val="00BA42BA"/>
    <w:rsid w:val="00BA4659"/>
    <w:rsid w:val="00BA5899"/>
    <w:rsid w:val="00BA61BE"/>
    <w:rsid w:val="00BA63FA"/>
    <w:rsid w:val="00BA6A85"/>
    <w:rsid w:val="00BA754F"/>
    <w:rsid w:val="00BB00B3"/>
    <w:rsid w:val="00BB0BDD"/>
    <w:rsid w:val="00BB176C"/>
    <w:rsid w:val="00BB19BE"/>
    <w:rsid w:val="00BB2233"/>
    <w:rsid w:val="00BB2A73"/>
    <w:rsid w:val="00BB3A45"/>
    <w:rsid w:val="00BB4ACC"/>
    <w:rsid w:val="00BB5091"/>
    <w:rsid w:val="00BB5340"/>
    <w:rsid w:val="00BB627A"/>
    <w:rsid w:val="00BB703E"/>
    <w:rsid w:val="00BB732D"/>
    <w:rsid w:val="00BB7405"/>
    <w:rsid w:val="00BB774E"/>
    <w:rsid w:val="00BC004C"/>
    <w:rsid w:val="00BC2F0C"/>
    <w:rsid w:val="00BC2FEF"/>
    <w:rsid w:val="00BC3631"/>
    <w:rsid w:val="00BC57FF"/>
    <w:rsid w:val="00BC591F"/>
    <w:rsid w:val="00BC679C"/>
    <w:rsid w:val="00BC6B6A"/>
    <w:rsid w:val="00BC7D6D"/>
    <w:rsid w:val="00BD0CC6"/>
    <w:rsid w:val="00BD17B5"/>
    <w:rsid w:val="00BD2108"/>
    <w:rsid w:val="00BD39EB"/>
    <w:rsid w:val="00BD4971"/>
    <w:rsid w:val="00BD4C87"/>
    <w:rsid w:val="00BD5EEB"/>
    <w:rsid w:val="00BD68A3"/>
    <w:rsid w:val="00BD6938"/>
    <w:rsid w:val="00BD6CF3"/>
    <w:rsid w:val="00BD7F72"/>
    <w:rsid w:val="00BE0078"/>
    <w:rsid w:val="00BE0C0B"/>
    <w:rsid w:val="00BE0ECA"/>
    <w:rsid w:val="00BE0F56"/>
    <w:rsid w:val="00BE1661"/>
    <w:rsid w:val="00BE18DA"/>
    <w:rsid w:val="00BE2180"/>
    <w:rsid w:val="00BE21F2"/>
    <w:rsid w:val="00BE2201"/>
    <w:rsid w:val="00BE23EA"/>
    <w:rsid w:val="00BE414C"/>
    <w:rsid w:val="00BE4275"/>
    <w:rsid w:val="00BE4450"/>
    <w:rsid w:val="00BE47F8"/>
    <w:rsid w:val="00BE512D"/>
    <w:rsid w:val="00BE5569"/>
    <w:rsid w:val="00BE634E"/>
    <w:rsid w:val="00BE7287"/>
    <w:rsid w:val="00BE7707"/>
    <w:rsid w:val="00BF0141"/>
    <w:rsid w:val="00BF01E0"/>
    <w:rsid w:val="00BF06AE"/>
    <w:rsid w:val="00BF0F95"/>
    <w:rsid w:val="00BF1344"/>
    <w:rsid w:val="00BF1381"/>
    <w:rsid w:val="00BF1E1B"/>
    <w:rsid w:val="00BF1E87"/>
    <w:rsid w:val="00BF2433"/>
    <w:rsid w:val="00BF2E6E"/>
    <w:rsid w:val="00BF3762"/>
    <w:rsid w:val="00BF3F78"/>
    <w:rsid w:val="00BF61C9"/>
    <w:rsid w:val="00BF6BBB"/>
    <w:rsid w:val="00BF6C94"/>
    <w:rsid w:val="00C00424"/>
    <w:rsid w:val="00C00BB0"/>
    <w:rsid w:val="00C00E93"/>
    <w:rsid w:val="00C02AD0"/>
    <w:rsid w:val="00C0389E"/>
    <w:rsid w:val="00C0404F"/>
    <w:rsid w:val="00C06202"/>
    <w:rsid w:val="00C06AD7"/>
    <w:rsid w:val="00C1179F"/>
    <w:rsid w:val="00C125EA"/>
    <w:rsid w:val="00C127B9"/>
    <w:rsid w:val="00C128FA"/>
    <w:rsid w:val="00C12C14"/>
    <w:rsid w:val="00C137BB"/>
    <w:rsid w:val="00C1388C"/>
    <w:rsid w:val="00C14BEC"/>
    <w:rsid w:val="00C15F04"/>
    <w:rsid w:val="00C17784"/>
    <w:rsid w:val="00C179B3"/>
    <w:rsid w:val="00C17E3F"/>
    <w:rsid w:val="00C200AA"/>
    <w:rsid w:val="00C21E8D"/>
    <w:rsid w:val="00C22152"/>
    <w:rsid w:val="00C237ED"/>
    <w:rsid w:val="00C24632"/>
    <w:rsid w:val="00C24A50"/>
    <w:rsid w:val="00C24CDE"/>
    <w:rsid w:val="00C24F25"/>
    <w:rsid w:val="00C25268"/>
    <w:rsid w:val="00C25418"/>
    <w:rsid w:val="00C25D9C"/>
    <w:rsid w:val="00C26630"/>
    <w:rsid w:val="00C26C22"/>
    <w:rsid w:val="00C27100"/>
    <w:rsid w:val="00C2778B"/>
    <w:rsid w:val="00C30634"/>
    <w:rsid w:val="00C30885"/>
    <w:rsid w:val="00C31044"/>
    <w:rsid w:val="00C31649"/>
    <w:rsid w:val="00C31B06"/>
    <w:rsid w:val="00C31ECF"/>
    <w:rsid w:val="00C32152"/>
    <w:rsid w:val="00C333F6"/>
    <w:rsid w:val="00C336E8"/>
    <w:rsid w:val="00C341B9"/>
    <w:rsid w:val="00C3434C"/>
    <w:rsid w:val="00C34490"/>
    <w:rsid w:val="00C34D06"/>
    <w:rsid w:val="00C35441"/>
    <w:rsid w:val="00C35B71"/>
    <w:rsid w:val="00C36297"/>
    <w:rsid w:val="00C40385"/>
    <w:rsid w:val="00C4064B"/>
    <w:rsid w:val="00C4147B"/>
    <w:rsid w:val="00C41768"/>
    <w:rsid w:val="00C42F0F"/>
    <w:rsid w:val="00C449F3"/>
    <w:rsid w:val="00C46584"/>
    <w:rsid w:val="00C46CFA"/>
    <w:rsid w:val="00C46D4F"/>
    <w:rsid w:val="00C46E06"/>
    <w:rsid w:val="00C475AA"/>
    <w:rsid w:val="00C5043E"/>
    <w:rsid w:val="00C50753"/>
    <w:rsid w:val="00C52582"/>
    <w:rsid w:val="00C527C7"/>
    <w:rsid w:val="00C53BC9"/>
    <w:rsid w:val="00C53C98"/>
    <w:rsid w:val="00C54143"/>
    <w:rsid w:val="00C54F35"/>
    <w:rsid w:val="00C5570A"/>
    <w:rsid w:val="00C56BDA"/>
    <w:rsid w:val="00C56FCF"/>
    <w:rsid w:val="00C572F6"/>
    <w:rsid w:val="00C57B6C"/>
    <w:rsid w:val="00C606BF"/>
    <w:rsid w:val="00C6074E"/>
    <w:rsid w:val="00C6080F"/>
    <w:rsid w:val="00C61A59"/>
    <w:rsid w:val="00C6256A"/>
    <w:rsid w:val="00C628A6"/>
    <w:rsid w:val="00C62D3F"/>
    <w:rsid w:val="00C64344"/>
    <w:rsid w:val="00C65108"/>
    <w:rsid w:val="00C652F7"/>
    <w:rsid w:val="00C65576"/>
    <w:rsid w:val="00C6580A"/>
    <w:rsid w:val="00C66155"/>
    <w:rsid w:val="00C66165"/>
    <w:rsid w:val="00C66C9C"/>
    <w:rsid w:val="00C7060A"/>
    <w:rsid w:val="00C70B16"/>
    <w:rsid w:val="00C70D5B"/>
    <w:rsid w:val="00C7151A"/>
    <w:rsid w:val="00C717E3"/>
    <w:rsid w:val="00C71B58"/>
    <w:rsid w:val="00C71F60"/>
    <w:rsid w:val="00C72241"/>
    <w:rsid w:val="00C74121"/>
    <w:rsid w:val="00C748FB"/>
    <w:rsid w:val="00C74F2A"/>
    <w:rsid w:val="00C750C8"/>
    <w:rsid w:val="00C7560F"/>
    <w:rsid w:val="00C75857"/>
    <w:rsid w:val="00C759FA"/>
    <w:rsid w:val="00C7627E"/>
    <w:rsid w:val="00C80A0E"/>
    <w:rsid w:val="00C815E9"/>
    <w:rsid w:val="00C8213F"/>
    <w:rsid w:val="00C8303F"/>
    <w:rsid w:val="00C83190"/>
    <w:rsid w:val="00C845CB"/>
    <w:rsid w:val="00C84BF4"/>
    <w:rsid w:val="00C84F97"/>
    <w:rsid w:val="00C850C1"/>
    <w:rsid w:val="00C850EC"/>
    <w:rsid w:val="00C85154"/>
    <w:rsid w:val="00C8540B"/>
    <w:rsid w:val="00C855D7"/>
    <w:rsid w:val="00C85A70"/>
    <w:rsid w:val="00C864E7"/>
    <w:rsid w:val="00C8797A"/>
    <w:rsid w:val="00C900B8"/>
    <w:rsid w:val="00C90197"/>
    <w:rsid w:val="00C90C71"/>
    <w:rsid w:val="00C91484"/>
    <w:rsid w:val="00C91BFB"/>
    <w:rsid w:val="00C91FD1"/>
    <w:rsid w:val="00C92605"/>
    <w:rsid w:val="00C931CF"/>
    <w:rsid w:val="00C932FB"/>
    <w:rsid w:val="00C938CF"/>
    <w:rsid w:val="00C94053"/>
    <w:rsid w:val="00C951B2"/>
    <w:rsid w:val="00C9624D"/>
    <w:rsid w:val="00C969DA"/>
    <w:rsid w:val="00C97855"/>
    <w:rsid w:val="00C97CAC"/>
    <w:rsid w:val="00CA0386"/>
    <w:rsid w:val="00CA22C6"/>
    <w:rsid w:val="00CA2C77"/>
    <w:rsid w:val="00CA3028"/>
    <w:rsid w:val="00CA30F9"/>
    <w:rsid w:val="00CA444F"/>
    <w:rsid w:val="00CA5245"/>
    <w:rsid w:val="00CA562E"/>
    <w:rsid w:val="00CA58DB"/>
    <w:rsid w:val="00CA5BE8"/>
    <w:rsid w:val="00CA5C6B"/>
    <w:rsid w:val="00CA6045"/>
    <w:rsid w:val="00CA61DB"/>
    <w:rsid w:val="00CA6285"/>
    <w:rsid w:val="00CA6E53"/>
    <w:rsid w:val="00CA6EBE"/>
    <w:rsid w:val="00CA7060"/>
    <w:rsid w:val="00CA71F4"/>
    <w:rsid w:val="00CA7702"/>
    <w:rsid w:val="00CA7847"/>
    <w:rsid w:val="00CA7B09"/>
    <w:rsid w:val="00CA7DE4"/>
    <w:rsid w:val="00CB0A3C"/>
    <w:rsid w:val="00CB12A5"/>
    <w:rsid w:val="00CB1942"/>
    <w:rsid w:val="00CB1CAC"/>
    <w:rsid w:val="00CB2EAB"/>
    <w:rsid w:val="00CB2F2A"/>
    <w:rsid w:val="00CB5B1A"/>
    <w:rsid w:val="00CB5D2A"/>
    <w:rsid w:val="00CB5D89"/>
    <w:rsid w:val="00CB6428"/>
    <w:rsid w:val="00CB6739"/>
    <w:rsid w:val="00CB6930"/>
    <w:rsid w:val="00CB6B22"/>
    <w:rsid w:val="00CB6BC1"/>
    <w:rsid w:val="00CB6E25"/>
    <w:rsid w:val="00CB7F5F"/>
    <w:rsid w:val="00CC0E1B"/>
    <w:rsid w:val="00CC1B39"/>
    <w:rsid w:val="00CC1BFA"/>
    <w:rsid w:val="00CC1D73"/>
    <w:rsid w:val="00CC1DFB"/>
    <w:rsid w:val="00CC2E9F"/>
    <w:rsid w:val="00CC35EA"/>
    <w:rsid w:val="00CC3848"/>
    <w:rsid w:val="00CC3D46"/>
    <w:rsid w:val="00CC462D"/>
    <w:rsid w:val="00CC5497"/>
    <w:rsid w:val="00CC671F"/>
    <w:rsid w:val="00CC67F0"/>
    <w:rsid w:val="00CC6D5E"/>
    <w:rsid w:val="00CC77DD"/>
    <w:rsid w:val="00CC7D0D"/>
    <w:rsid w:val="00CD00AC"/>
    <w:rsid w:val="00CD0200"/>
    <w:rsid w:val="00CD080B"/>
    <w:rsid w:val="00CD2976"/>
    <w:rsid w:val="00CD29EE"/>
    <w:rsid w:val="00CD3B2F"/>
    <w:rsid w:val="00CD3F77"/>
    <w:rsid w:val="00CD431A"/>
    <w:rsid w:val="00CD4388"/>
    <w:rsid w:val="00CD45F9"/>
    <w:rsid w:val="00CD4B50"/>
    <w:rsid w:val="00CD5994"/>
    <w:rsid w:val="00CD5ECF"/>
    <w:rsid w:val="00CD6ADC"/>
    <w:rsid w:val="00CD6B2F"/>
    <w:rsid w:val="00CD7193"/>
    <w:rsid w:val="00CD78AB"/>
    <w:rsid w:val="00CD7B31"/>
    <w:rsid w:val="00CE3384"/>
    <w:rsid w:val="00CE36BA"/>
    <w:rsid w:val="00CE38C8"/>
    <w:rsid w:val="00CE4007"/>
    <w:rsid w:val="00CE507A"/>
    <w:rsid w:val="00CE524F"/>
    <w:rsid w:val="00CE58CC"/>
    <w:rsid w:val="00CE6274"/>
    <w:rsid w:val="00CE6BC4"/>
    <w:rsid w:val="00CE77B6"/>
    <w:rsid w:val="00CE7FEC"/>
    <w:rsid w:val="00CF003A"/>
    <w:rsid w:val="00CF04D9"/>
    <w:rsid w:val="00CF108E"/>
    <w:rsid w:val="00CF1FBE"/>
    <w:rsid w:val="00CF2B8D"/>
    <w:rsid w:val="00CF35AF"/>
    <w:rsid w:val="00CF391A"/>
    <w:rsid w:val="00CF3A1B"/>
    <w:rsid w:val="00CF3ADF"/>
    <w:rsid w:val="00CF42A3"/>
    <w:rsid w:val="00CF456B"/>
    <w:rsid w:val="00CF57B7"/>
    <w:rsid w:val="00CF5A22"/>
    <w:rsid w:val="00CF629E"/>
    <w:rsid w:val="00CF6893"/>
    <w:rsid w:val="00CF69E0"/>
    <w:rsid w:val="00D009B3"/>
    <w:rsid w:val="00D0128C"/>
    <w:rsid w:val="00D02114"/>
    <w:rsid w:val="00D0212E"/>
    <w:rsid w:val="00D024EE"/>
    <w:rsid w:val="00D02532"/>
    <w:rsid w:val="00D0262E"/>
    <w:rsid w:val="00D02CF0"/>
    <w:rsid w:val="00D033DA"/>
    <w:rsid w:val="00D03679"/>
    <w:rsid w:val="00D03CB2"/>
    <w:rsid w:val="00D04DD9"/>
    <w:rsid w:val="00D05D22"/>
    <w:rsid w:val="00D05E3D"/>
    <w:rsid w:val="00D06139"/>
    <w:rsid w:val="00D06B19"/>
    <w:rsid w:val="00D072B3"/>
    <w:rsid w:val="00D07E34"/>
    <w:rsid w:val="00D105F7"/>
    <w:rsid w:val="00D10DB2"/>
    <w:rsid w:val="00D10F8F"/>
    <w:rsid w:val="00D110BD"/>
    <w:rsid w:val="00D119BE"/>
    <w:rsid w:val="00D13675"/>
    <w:rsid w:val="00D13C8F"/>
    <w:rsid w:val="00D141E1"/>
    <w:rsid w:val="00D1426A"/>
    <w:rsid w:val="00D1432C"/>
    <w:rsid w:val="00D14E98"/>
    <w:rsid w:val="00D14F9C"/>
    <w:rsid w:val="00D15314"/>
    <w:rsid w:val="00D15B48"/>
    <w:rsid w:val="00D171A2"/>
    <w:rsid w:val="00D1792C"/>
    <w:rsid w:val="00D17D11"/>
    <w:rsid w:val="00D17D6C"/>
    <w:rsid w:val="00D2155B"/>
    <w:rsid w:val="00D215CF"/>
    <w:rsid w:val="00D22335"/>
    <w:rsid w:val="00D22E4C"/>
    <w:rsid w:val="00D233EE"/>
    <w:rsid w:val="00D237D1"/>
    <w:rsid w:val="00D23D11"/>
    <w:rsid w:val="00D241C1"/>
    <w:rsid w:val="00D244B6"/>
    <w:rsid w:val="00D248B0"/>
    <w:rsid w:val="00D25A90"/>
    <w:rsid w:val="00D2754D"/>
    <w:rsid w:val="00D27B27"/>
    <w:rsid w:val="00D30500"/>
    <w:rsid w:val="00D30D5B"/>
    <w:rsid w:val="00D31F99"/>
    <w:rsid w:val="00D33BE9"/>
    <w:rsid w:val="00D33E4B"/>
    <w:rsid w:val="00D33F93"/>
    <w:rsid w:val="00D34235"/>
    <w:rsid w:val="00D34763"/>
    <w:rsid w:val="00D34C67"/>
    <w:rsid w:val="00D352D1"/>
    <w:rsid w:val="00D357FF"/>
    <w:rsid w:val="00D35D91"/>
    <w:rsid w:val="00D3607A"/>
    <w:rsid w:val="00D36E7D"/>
    <w:rsid w:val="00D37AD8"/>
    <w:rsid w:val="00D37D44"/>
    <w:rsid w:val="00D4198E"/>
    <w:rsid w:val="00D424C7"/>
    <w:rsid w:val="00D43B2A"/>
    <w:rsid w:val="00D43CF1"/>
    <w:rsid w:val="00D43D83"/>
    <w:rsid w:val="00D44B3C"/>
    <w:rsid w:val="00D452B5"/>
    <w:rsid w:val="00D45D61"/>
    <w:rsid w:val="00D4617F"/>
    <w:rsid w:val="00D47575"/>
    <w:rsid w:val="00D511E8"/>
    <w:rsid w:val="00D51227"/>
    <w:rsid w:val="00D5166A"/>
    <w:rsid w:val="00D517A8"/>
    <w:rsid w:val="00D5243B"/>
    <w:rsid w:val="00D52B23"/>
    <w:rsid w:val="00D533EC"/>
    <w:rsid w:val="00D5408E"/>
    <w:rsid w:val="00D55125"/>
    <w:rsid w:val="00D558B9"/>
    <w:rsid w:val="00D56169"/>
    <w:rsid w:val="00D56604"/>
    <w:rsid w:val="00D56A95"/>
    <w:rsid w:val="00D56C19"/>
    <w:rsid w:val="00D56CED"/>
    <w:rsid w:val="00D56F4E"/>
    <w:rsid w:val="00D57A08"/>
    <w:rsid w:val="00D60738"/>
    <w:rsid w:val="00D6076E"/>
    <w:rsid w:val="00D607CE"/>
    <w:rsid w:val="00D60D32"/>
    <w:rsid w:val="00D61059"/>
    <w:rsid w:val="00D619BA"/>
    <w:rsid w:val="00D626CC"/>
    <w:rsid w:val="00D62C02"/>
    <w:rsid w:val="00D62E1B"/>
    <w:rsid w:val="00D63249"/>
    <w:rsid w:val="00D63E32"/>
    <w:rsid w:val="00D65079"/>
    <w:rsid w:val="00D651E9"/>
    <w:rsid w:val="00D654AA"/>
    <w:rsid w:val="00D6614F"/>
    <w:rsid w:val="00D668FE"/>
    <w:rsid w:val="00D66A69"/>
    <w:rsid w:val="00D67182"/>
    <w:rsid w:val="00D67C83"/>
    <w:rsid w:val="00D70C2D"/>
    <w:rsid w:val="00D70F16"/>
    <w:rsid w:val="00D71B29"/>
    <w:rsid w:val="00D724F7"/>
    <w:rsid w:val="00D72617"/>
    <w:rsid w:val="00D72F57"/>
    <w:rsid w:val="00D73521"/>
    <w:rsid w:val="00D73F8B"/>
    <w:rsid w:val="00D7592F"/>
    <w:rsid w:val="00D75C68"/>
    <w:rsid w:val="00D76A44"/>
    <w:rsid w:val="00D771E4"/>
    <w:rsid w:val="00D7793A"/>
    <w:rsid w:val="00D80DEE"/>
    <w:rsid w:val="00D81073"/>
    <w:rsid w:val="00D815EF"/>
    <w:rsid w:val="00D81949"/>
    <w:rsid w:val="00D81EE4"/>
    <w:rsid w:val="00D81F26"/>
    <w:rsid w:val="00D822E2"/>
    <w:rsid w:val="00D843F2"/>
    <w:rsid w:val="00D849BB"/>
    <w:rsid w:val="00D84FA9"/>
    <w:rsid w:val="00D86007"/>
    <w:rsid w:val="00D861FC"/>
    <w:rsid w:val="00D86231"/>
    <w:rsid w:val="00D87143"/>
    <w:rsid w:val="00D87553"/>
    <w:rsid w:val="00D87A25"/>
    <w:rsid w:val="00D87DA5"/>
    <w:rsid w:val="00D90E6E"/>
    <w:rsid w:val="00D912AB"/>
    <w:rsid w:val="00D91923"/>
    <w:rsid w:val="00D922D8"/>
    <w:rsid w:val="00D92328"/>
    <w:rsid w:val="00D925D4"/>
    <w:rsid w:val="00D9268F"/>
    <w:rsid w:val="00D92D9D"/>
    <w:rsid w:val="00D93753"/>
    <w:rsid w:val="00D94D63"/>
    <w:rsid w:val="00D96C0C"/>
    <w:rsid w:val="00D97021"/>
    <w:rsid w:val="00DA07B8"/>
    <w:rsid w:val="00DA0FB2"/>
    <w:rsid w:val="00DA1AFB"/>
    <w:rsid w:val="00DA1B6D"/>
    <w:rsid w:val="00DA1FD1"/>
    <w:rsid w:val="00DA296C"/>
    <w:rsid w:val="00DA2B55"/>
    <w:rsid w:val="00DA3167"/>
    <w:rsid w:val="00DA3190"/>
    <w:rsid w:val="00DA339E"/>
    <w:rsid w:val="00DA3B35"/>
    <w:rsid w:val="00DA46CF"/>
    <w:rsid w:val="00DA4DC3"/>
    <w:rsid w:val="00DA51E6"/>
    <w:rsid w:val="00DA55CF"/>
    <w:rsid w:val="00DA6B1D"/>
    <w:rsid w:val="00DA77A5"/>
    <w:rsid w:val="00DB00C6"/>
    <w:rsid w:val="00DB0D1E"/>
    <w:rsid w:val="00DB0E36"/>
    <w:rsid w:val="00DB12B5"/>
    <w:rsid w:val="00DB1737"/>
    <w:rsid w:val="00DB205E"/>
    <w:rsid w:val="00DB2723"/>
    <w:rsid w:val="00DB2992"/>
    <w:rsid w:val="00DB3906"/>
    <w:rsid w:val="00DB3DBF"/>
    <w:rsid w:val="00DB484F"/>
    <w:rsid w:val="00DB4926"/>
    <w:rsid w:val="00DB59B7"/>
    <w:rsid w:val="00DB6350"/>
    <w:rsid w:val="00DB6EC5"/>
    <w:rsid w:val="00DB7B07"/>
    <w:rsid w:val="00DC0287"/>
    <w:rsid w:val="00DC04F6"/>
    <w:rsid w:val="00DC0690"/>
    <w:rsid w:val="00DC0F3A"/>
    <w:rsid w:val="00DC1D65"/>
    <w:rsid w:val="00DC1DD9"/>
    <w:rsid w:val="00DC2AD7"/>
    <w:rsid w:val="00DC2D74"/>
    <w:rsid w:val="00DC38E7"/>
    <w:rsid w:val="00DC3C57"/>
    <w:rsid w:val="00DC3D46"/>
    <w:rsid w:val="00DC3DF4"/>
    <w:rsid w:val="00DC4723"/>
    <w:rsid w:val="00DC534A"/>
    <w:rsid w:val="00DC5501"/>
    <w:rsid w:val="00DC5DE4"/>
    <w:rsid w:val="00DC7154"/>
    <w:rsid w:val="00DC7230"/>
    <w:rsid w:val="00DC758F"/>
    <w:rsid w:val="00DC773D"/>
    <w:rsid w:val="00DC77A1"/>
    <w:rsid w:val="00DC7E8A"/>
    <w:rsid w:val="00DD0F78"/>
    <w:rsid w:val="00DD1125"/>
    <w:rsid w:val="00DD243F"/>
    <w:rsid w:val="00DD273C"/>
    <w:rsid w:val="00DD2D3F"/>
    <w:rsid w:val="00DD342E"/>
    <w:rsid w:val="00DD3F28"/>
    <w:rsid w:val="00DD4446"/>
    <w:rsid w:val="00DD44CF"/>
    <w:rsid w:val="00DD4537"/>
    <w:rsid w:val="00DD4E15"/>
    <w:rsid w:val="00DE12DD"/>
    <w:rsid w:val="00DE1B5F"/>
    <w:rsid w:val="00DE2258"/>
    <w:rsid w:val="00DE2304"/>
    <w:rsid w:val="00DE24BE"/>
    <w:rsid w:val="00DE2E54"/>
    <w:rsid w:val="00DE3138"/>
    <w:rsid w:val="00DE37F8"/>
    <w:rsid w:val="00DE3B05"/>
    <w:rsid w:val="00DE40F2"/>
    <w:rsid w:val="00DE4273"/>
    <w:rsid w:val="00DE4979"/>
    <w:rsid w:val="00DE4FCB"/>
    <w:rsid w:val="00DE5637"/>
    <w:rsid w:val="00DE58FB"/>
    <w:rsid w:val="00DE5D07"/>
    <w:rsid w:val="00DE5ECE"/>
    <w:rsid w:val="00DE658F"/>
    <w:rsid w:val="00DE72A7"/>
    <w:rsid w:val="00DE770D"/>
    <w:rsid w:val="00DE7832"/>
    <w:rsid w:val="00DE7DE1"/>
    <w:rsid w:val="00DF18FC"/>
    <w:rsid w:val="00DF25B3"/>
    <w:rsid w:val="00DF266F"/>
    <w:rsid w:val="00DF2E32"/>
    <w:rsid w:val="00DF3365"/>
    <w:rsid w:val="00DF3633"/>
    <w:rsid w:val="00DF37D4"/>
    <w:rsid w:val="00DF3F3A"/>
    <w:rsid w:val="00DF5AAF"/>
    <w:rsid w:val="00DF5D2B"/>
    <w:rsid w:val="00DF6341"/>
    <w:rsid w:val="00DF6702"/>
    <w:rsid w:val="00DF724A"/>
    <w:rsid w:val="00DF72C4"/>
    <w:rsid w:val="00DF7570"/>
    <w:rsid w:val="00E004B4"/>
    <w:rsid w:val="00E00E8E"/>
    <w:rsid w:val="00E025CB"/>
    <w:rsid w:val="00E02B7F"/>
    <w:rsid w:val="00E031DE"/>
    <w:rsid w:val="00E040AB"/>
    <w:rsid w:val="00E040DA"/>
    <w:rsid w:val="00E04B20"/>
    <w:rsid w:val="00E05630"/>
    <w:rsid w:val="00E06DBB"/>
    <w:rsid w:val="00E07458"/>
    <w:rsid w:val="00E10149"/>
    <w:rsid w:val="00E1020E"/>
    <w:rsid w:val="00E106D0"/>
    <w:rsid w:val="00E10F90"/>
    <w:rsid w:val="00E112FA"/>
    <w:rsid w:val="00E11340"/>
    <w:rsid w:val="00E122A1"/>
    <w:rsid w:val="00E135A6"/>
    <w:rsid w:val="00E1445E"/>
    <w:rsid w:val="00E1585B"/>
    <w:rsid w:val="00E158CA"/>
    <w:rsid w:val="00E16372"/>
    <w:rsid w:val="00E169AB"/>
    <w:rsid w:val="00E16AD8"/>
    <w:rsid w:val="00E16C82"/>
    <w:rsid w:val="00E16DAF"/>
    <w:rsid w:val="00E16EF8"/>
    <w:rsid w:val="00E17FFA"/>
    <w:rsid w:val="00E20217"/>
    <w:rsid w:val="00E2083D"/>
    <w:rsid w:val="00E20E4D"/>
    <w:rsid w:val="00E20ED6"/>
    <w:rsid w:val="00E21358"/>
    <w:rsid w:val="00E21B3F"/>
    <w:rsid w:val="00E2249B"/>
    <w:rsid w:val="00E22A0D"/>
    <w:rsid w:val="00E22FCF"/>
    <w:rsid w:val="00E236F4"/>
    <w:rsid w:val="00E238F7"/>
    <w:rsid w:val="00E244F6"/>
    <w:rsid w:val="00E246D6"/>
    <w:rsid w:val="00E258DB"/>
    <w:rsid w:val="00E25C4C"/>
    <w:rsid w:val="00E268CD"/>
    <w:rsid w:val="00E2716D"/>
    <w:rsid w:val="00E2771E"/>
    <w:rsid w:val="00E30EFE"/>
    <w:rsid w:val="00E311EF"/>
    <w:rsid w:val="00E32180"/>
    <w:rsid w:val="00E32514"/>
    <w:rsid w:val="00E32588"/>
    <w:rsid w:val="00E329C7"/>
    <w:rsid w:val="00E33F05"/>
    <w:rsid w:val="00E346E8"/>
    <w:rsid w:val="00E34948"/>
    <w:rsid w:val="00E34DBC"/>
    <w:rsid w:val="00E358CC"/>
    <w:rsid w:val="00E35BB6"/>
    <w:rsid w:val="00E3745C"/>
    <w:rsid w:val="00E37569"/>
    <w:rsid w:val="00E37FBD"/>
    <w:rsid w:val="00E401B2"/>
    <w:rsid w:val="00E40AF6"/>
    <w:rsid w:val="00E41E30"/>
    <w:rsid w:val="00E42990"/>
    <w:rsid w:val="00E42F73"/>
    <w:rsid w:val="00E43561"/>
    <w:rsid w:val="00E43CB2"/>
    <w:rsid w:val="00E43D70"/>
    <w:rsid w:val="00E44183"/>
    <w:rsid w:val="00E4439A"/>
    <w:rsid w:val="00E449C1"/>
    <w:rsid w:val="00E44EE2"/>
    <w:rsid w:val="00E45029"/>
    <w:rsid w:val="00E46216"/>
    <w:rsid w:val="00E466F3"/>
    <w:rsid w:val="00E46CCD"/>
    <w:rsid w:val="00E46E4E"/>
    <w:rsid w:val="00E47B2C"/>
    <w:rsid w:val="00E50470"/>
    <w:rsid w:val="00E50785"/>
    <w:rsid w:val="00E50A1A"/>
    <w:rsid w:val="00E50BDA"/>
    <w:rsid w:val="00E51560"/>
    <w:rsid w:val="00E51821"/>
    <w:rsid w:val="00E51ABB"/>
    <w:rsid w:val="00E52DEA"/>
    <w:rsid w:val="00E53803"/>
    <w:rsid w:val="00E53FC8"/>
    <w:rsid w:val="00E54187"/>
    <w:rsid w:val="00E54347"/>
    <w:rsid w:val="00E54558"/>
    <w:rsid w:val="00E54A00"/>
    <w:rsid w:val="00E552EC"/>
    <w:rsid w:val="00E55424"/>
    <w:rsid w:val="00E5569F"/>
    <w:rsid w:val="00E55915"/>
    <w:rsid w:val="00E55BB5"/>
    <w:rsid w:val="00E55DD4"/>
    <w:rsid w:val="00E56FAE"/>
    <w:rsid w:val="00E57CE9"/>
    <w:rsid w:val="00E57E8C"/>
    <w:rsid w:val="00E60705"/>
    <w:rsid w:val="00E60B93"/>
    <w:rsid w:val="00E611DF"/>
    <w:rsid w:val="00E62D51"/>
    <w:rsid w:val="00E62FED"/>
    <w:rsid w:val="00E65856"/>
    <w:rsid w:val="00E65E79"/>
    <w:rsid w:val="00E66496"/>
    <w:rsid w:val="00E665C2"/>
    <w:rsid w:val="00E66BA2"/>
    <w:rsid w:val="00E67416"/>
    <w:rsid w:val="00E67B80"/>
    <w:rsid w:val="00E67D0A"/>
    <w:rsid w:val="00E70C24"/>
    <w:rsid w:val="00E7116B"/>
    <w:rsid w:val="00E71727"/>
    <w:rsid w:val="00E718B6"/>
    <w:rsid w:val="00E723BA"/>
    <w:rsid w:val="00E729ED"/>
    <w:rsid w:val="00E73581"/>
    <w:rsid w:val="00E73A60"/>
    <w:rsid w:val="00E74C0B"/>
    <w:rsid w:val="00E75B2F"/>
    <w:rsid w:val="00E76291"/>
    <w:rsid w:val="00E76AE4"/>
    <w:rsid w:val="00E776A5"/>
    <w:rsid w:val="00E77B37"/>
    <w:rsid w:val="00E800AE"/>
    <w:rsid w:val="00E80C7F"/>
    <w:rsid w:val="00E80FE3"/>
    <w:rsid w:val="00E815E1"/>
    <w:rsid w:val="00E81DBB"/>
    <w:rsid w:val="00E82239"/>
    <w:rsid w:val="00E82BC9"/>
    <w:rsid w:val="00E833F7"/>
    <w:rsid w:val="00E83B29"/>
    <w:rsid w:val="00E83BDF"/>
    <w:rsid w:val="00E83D66"/>
    <w:rsid w:val="00E84209"/>
    <w:rsid w:val="00E843C8"/>
    <w:rsid w:val="00E85678"/>
    <w:rsid w:val="00E86FCC"/>
    <w:rsid w:val="00E87A1D"/>
    <w:rsid w:val="00E903B8"/>
    <w:rsid w:val="00E907D2"/>
    <w:rsid w:val="00E9086C"/>
    <w:rsid w:val="00E9094A"/>
    <w:rsid w:val="00E91177"/>
    <w:rsid w:val="00E91408"/>
    <w:rsid w:val="00E91B2D"/>
    <w:rsid w:val="00E91D35"/>
    <w:rsid w:val="00E926A5"/>
    <w:rsid w:val="00E92D09"/>
    <w:rsid w:val="00E9356E"/>
    <w:rsid w:val="00E9417B"/>
    <w:rsid w:val="00E95C3A"/>
    <w:rsid w:val="00E95F13"/>
    <w:rsid w:val="00E96034"/>
    <w:rsid w:val="00E962CC"/>
    <w:rsid w:val="00EA0816"/>
    <w:rsid w:val="00EA094E"/>
    <w:rsid w:val="00EA0F5B"/>
    <w:rsid w:val="00EA104D"/>
    <w:rsid w:val="00EA115D"/>
    <w:rsid w:val="00EA11E2"/>
    <w:rsid w:val="00EA17C3"/>
    <w:rsid w:val="00EA2CAA"/>
    <w:rsid w:val="00EA2DC0"/>
    <w:rsid w:val="00EA300C"/>
    <w:rsid w:val="00EA3125"/>
    <w:rsid w:val="00EA358B"/>
    <w:rsid w:val="00EA3864"/>
    <w:rsid w:val="00EA3D95"/>
    <w:rsid w:val="00EA3FE7"/>
    <w:rsid w:val="00EA4A03"/>
    <w:rsid w:val="00EA5A1F"/>
    <w:rsid w:val="00EA6405"/>
    <w:rsid w:val="00EA6673"/>
    <w:rsid w:val="00EA6B6F"/>
    <w:rsid w:val="00EA6E32"/>
    <w:rsid w:val="00EA6F61"/>
    <w:rsid w:val="00EA731F"/>
    <w:rsid w:val="00EA7620"/>
    <w:rsid w:val="00EA7F1C"/>
    <w:rsid w:val="00EB01DF"/>
    <w:rsid w:val="00EB0457"/>
    <w:rsid w:val="00EB15B6"/>
    <w:rsid w:val="00EB292B"/>
    <w:rsid w:val="00EB3D06"/>
    <w:rsid w:val="00EB4916"/>
    <w:rsid w:val="00EB4DB3"/>
    <w:rsid w:val="00EB6243"/>
    <w:rsid w:val="00EB6320"/>
    <w:rsid w:val="00EB66D1"/>
    <w:rsid w:val="00EB7944"/>
    <w:rsid w:val="00EC00C9"/>
    <w:rsid w:val="00EC0942"/>
    <w:rsid w:val="00EC0D68"/>
    <w:rsid w:val="00EC0DD9"/>
    <w:rsid w:val="00EC12D5"/>
    <w:rsid w:val="00EC15C6"/>
    <w:rsid w:val="00EC18AB"/>
    <w:rsid w:val="00EC1CE3"/>
    <w:rsid w:val="00EC2649"/>
    <w:rsid w:val="00EC31ED"/>
    <w:rsid w:val="00EC355C"/>
    <w:rsid w:val="00EC4497"/>
    <w:rsid w:val="00EC4804"/>
    <w:rsid w:val="00EC508C"/>
    <w:rsid w:val="00EC5836"/>
    <w:rsid w:val="00EC688C"/>
    <w:rsid w:val="00EC703B"/>
    <w:rsid w:val="00EC7AEC"/>
    <w:rsid w:val="00ED0137"/>
    <w:rsid w:val="00ED05F7"/>
    <w:rsid w:val="00ED0CBB"/>
    <w:rsid w:val="00ED12E3"/>
    <w:rsid w:val="00ED1993"/>
    <w:rsid w:val="00ED25F3"/>
    <w:rsid w:val="00ED3E2E"/>
    <w:rsid w:val="00ED4388"/>
    <w:rsid w:val="00ED4B04"/>
    <w:rsid w:val="00ED54F2"/>
    <w:rsid w:val="00ED57EA"/>
    <w:rsid w:val="00ED5BD4"/>
    <w:rsid w:val="00ED6C52"/>
    <w:rsid w:val="00ED721F"/>
    <w:rsid w:val="00EE07D3"/>
    <w:rsid w:val="00EE0940"/>
    <w:rsid w:val="00EE09CB"/>
    <w:rsid w:val="00EE1996"/>
    <w:rsid w:val="00EE1BA4"/>
    <w:rsid w:val="00EE1C01"/>
    <w:rsid w:val="00EE22AF"/>
    <w:rsid w:val="00EE24B7"/>
    <w:rsid w:val="00EE2634"/>
    <w:rsid w:val="00EE2C16"/>
    <w:rsid w:val="00EE30FA"/>
    <w:rsid w:val="00EE3DF0"/>
    <w:rsid w:val="00EE513A"/>
    <w:rsid w:val="00EE5887"/>
    <w:rsid w:val="00EE6E22"/>
    <w:rsid w:val="00EF0171"/>
    <w:rsid w:val="00EF01D8"/>
    <w:rsid w:val="00EF06DA"/>
    <w:rsid w:val="00EF151D"/>
    <w:rsid w:val="00EF1B25"/>
    <w:rsid w:val="00EF1DA0"/>
    <w:rsid w:val="00EF2C72"/>
    <w:rsid w:val="00EF4747"/>
    <w:rsid w:val="00EF4BF8"/>
    <w:rsid w:val="00EF589C"/>
    <w:rsid w:val="00EF64FF"/>
    <w:rsid w:val="00EF7A2A"/>
    <w:rsid w:val="00F004DC"/>
    <w:rsid w:val="00F005C4"/>
    <w:rsid w:val="00F011FA"/>
    <w:rsid w:val="00F01C53"/>
    <w:rsid w:val="00F02253"/>
    <w:rsid w:val="00F02B40"/>
    <w:rsid w:val="00F03C2E"/>
    <w:rsid w:val="00F04437"/>
    <w:rsid w:val="00F04A66"/>
    <w:rsid w:val="00F04B4B"/>
    <w:rsid w:val="00F0516C"/>
    <w:rsid w:val="00F06169"/>
    <w:rsid w:val="00F062E3"/>
    <w:rsid w:val="00F067A2"/>
    <w:rsid w:val="00F067CC"/>
    <w:rsid w:val="00F0682C"/>
    <w:rsid w:val="00F069F9"/>
    <w:rsid w:val="00F06F06"/>
    <w:rsid w:val="00F06F14"/>
    <w:rsid w:val="00F07096"/>
    <w:rsid w:val="00F0780D"/>
    <w:rsid w:val="00F07B9E"/>
    <w:rsid w:val="00F1116F"/>
    <w:rsid w:val="00F11517"/>
    <w:rsid w:val="00F11C02"/>
    <w:rsid w:val="00F11F11"/>
    <w:rsid w:val="00F1263A"/>
    <w:rsid w:val="00F136A0"/>
    <w:rsid w:val="00F1376F"/>
    <w:rsid w:val="00F13822"/>
    <w:rsid w:val="00F139C5"/>
    <w:rsid w:val="00F13A02"/>
    <w:rsid w:val="00F14FF3"/>
    <w:rsid w:val="00F15001"/>
    <w:rsid w:val="00F15B77"/>
    <w:rsid w:val="00F16ABA"/>
    <w:rsid w:val="00F17143"/>
    <w:rsid w:val="00F17800"/>
    <w:rsid w:val="00F21236"/>
    <w:rsid w:val="00F21FDA"/>
    <w:rsid w:val="00F22E11"/>
    <w:rsid w:val="00F238BF"/>
    <w:rsid w:val="00F239DF"/>
    <w:rsid w:val="00F23FD9"/>
    <w:rsid w:val="00F245F1"/>
    <w:rsid w:val="00F24837"/>
    <w:rsid w:val="00F24890"/>
    <w:rsid w:val="00F2575F"/>
    <w:rsid w:val="00F27565"/>
    <w:rsid w:val="00F27C1D"/>
    <w:rsid w:val="00F27C2E"/>
    <w:rsid w:val="00F302F3"/>
    <w:rsid w:val="00F304ED"/>
    <w:rsid w:val="00F306C9"/>
    <w:rsid w:val="00F30928"/>
    <w:rsid w:val="00F30EAF"/>
    <w:rsid w:val="00F310D4"/>
    <w:rsid w:val="00F31215"/>
    <w:rsid w:val="00F3195E"/>
    <w:rsid w:val="00F31D5A"/>
    <w:rsid w:val="00F32845"/>
    <w:rsid w:val="00F33975"/>
    <w:rsid w:val="00F33DE9"/>
    <w:rsid w:val="00F340C8"/>
    <w:rsid w:val="00F35E6D"/>
    <w:rsid w:val="00F3619A"/>
    <w:rsid w:val="00F37088"/>
    <w:rsid w:val="00F402C7"/>
    <w:rsid w:val="00F40AAA"/>
    <w:rsid w:val="00F40BA7"/>
    <w:rsid w:val="00F40CF7"/>
    <w:rsid w:val="00F40F9D"/>
    <w:rsid w:val="00F41ACD"/>
    <w:rsid w:val="00F42120"/>
    <w:rsid w:val="00F42433"/>
    <w:rsid w:val="00F4274C"/>
    <w:rsid w:val="00F43CF1"/>
    <w:rsid w:val="00F44915"/>
    <w:rsid w:val="00F44BE5"/>
    <w:rsid w:val="00F45426"/>
    <w:rsid w:val="00F456D2"/>
    <w:rsid w:val="00F46CB6"/>
    <w:rsid w:val="00F46F50"/>
    <w:rsid w:val="00F4756D"/>
    <w:rsid w:val="00F4771D"/>
    <w:rsid w:val="00F47DE8"/>
    <w:rsid w:val="00F50402"/>
    <w:rsid w:val="00F51B57"/>
    <w:rsid w:val="00F523B1"/>
    <w:rsid w:val="00F524D8"/>
    <w:rsid w:val="00F525FB"/>
    <w:rsid w:val="00F52995"/>
    <w:rsid w:val="00F53127"/>
    <w:rsid w:val="00F534B8"/>
    <w:rsid w:val="00F5393C"/>
    <w:rsid w:val="00F53C01"/>
    <w:rsid w:val="00F53ECE"/>
    <w:rsid w:val="00F542C1"/>
    <w:rsid w:val="00F550E3"/>
    <w:rsid w:val="00F552A3"/>
    <w:rsid w:val="00F552BD"/>
    <w:rsid w:val="00F55AF9"/>
    <w:rsid w:val="00F55E73"/>
    <w:rsid w:val="00F55EDA"/>
    <w:rsid w:val="00F56C80"/>
    <w:rsid w:val="00F60092"/>
    <w:rsid w:val="00F606F4"/>
    <w:rsid w:val="00F60C9E"/>
    <w:rsid w:val="00F61C18"/>
    <w:rsid w:val="00F61FEE"/>
    <w:rsid w:val="00F627ED"/>
    <w:rsid w:val="00F629BB"/>
    <w:rsid w:val="00F63361"/>
    <w:rsid w:val="00F64C3D"/>
    <w:rsid w:val="00F64E55"/>
    <w:rsid w:val="00F64FC9"/>
    <w:rsid w:val="00F65283"/>
    <w:rsid w:val="00F65405"/>
    <w:rsid w:val="00F65604"/>
    <w:rsid w:val="00F656EB"/>
    <w:rsid w:val="00F65F4B"/>
    <w:rsid w:val="00F67A69"/>
    <w:rsid w:val="00F700F9"/>
    <w:rsid w:val="00F70503"/>
    <w:rsid w:val="00F70BCA"/>
    <w:rsid w:val="00F70BFF"/>
    <w:rsid w:val="00F70C9D"/>
    <w:rsid w:val="00F725CA"/>
    <w:rsid w:val="00F73E08"/>
    <w:rsid w:val="00F74869"/>
    <w:rsid w:val="00F74C1A"/>
    <w:rsid w:val="00F74CD9"/>
    <w:rsid w:val="00F74DB3"/>
    <w:rsid w:val="00F75390"/>
    <w:rsid w:val="00F7614E"/>
    <w:rsid w:val="00F76456"/>
    <w:rsid w:val="00F768A6"/>
    <w:rsid w:val="00F76B57"/>
    <w:rsid w:val="00F76CDD"/>
    <w:rsid w:val="00F80A7B"/>
    <w:rsid w:val="00F80E5D"/>
    <w:rsid w:val="00F814C9"/>
    <w:rsid w:val="00F81E78"/>
    <w:rsid w:val="00F828B1"/>
    <w:rsid w:val="00F83006"/>
    <w:rsid w:val="00F83916"/>
    <w:rsid w:val="00F8398C"/>
    <w:rsid w:val="00F84C75"/>
    <w:rsid w:val="00F84E60"/>
    <w:rsid w:val="00F851CE"/>
    <w:rsid w:val="00F86259"/>
    <w:rsid w:val="00F90E2A"/>
    <w:rsid w:val="00F91219"/>
    <w:rsid w:val="00F92444"/>
    <w:rsid w:val="00F92D1F"/>
    <w:rsid w:val="00F9393E"/>
    <w:rsid w:val="00F93C43"/>
    <w:rsid w:val="00F94B2A"/>
    <w:rsid w:val="00F95462"/>
    <w:rsid w:val="00F95A48"/>
    <w:rsid w:val="00F95B45"/>
    <w:rsid w:val="00F967AD"/>
    <w:rsid w:val="00F96F97"/>
    <w:rsid w:val="00F96FD0"/>
    <w:rsid w:val="00F97A78"/>
    <w:rsid w:val="00FA0B20"/>
    <w:rsid w:val="00FA0F32"/>
    <w:rsid w:val="00FA1AD1"/>
    <w:rsid w:val="00FA228E"/>
    <w:rsid w:val="00FA24E7"/>
    <w:rsid w:val="00FA35D4"/>
    <w:rsid w:val="00FA3643"/>
    <w:rsid w:val="00FA3ED9"/>
    <w:rsid w:val="00FA42DA"/>
    <w:rsid w:val="00FA4AD1"/>
    <w:rsid w:val="00FA57E8"/>
    <w:rsid w:val="00FA5EE6"/>
    <w:rsid w:val="00FA6AEC"/>
    <w:rsid w:val="00FA7956"/>
    <w:rsid w:val="00FB03FB"/>
    <w:rsid w:val="00FB0824"/>
    <w:rsid w:val="00FB0A6D"/>
    <w:rsid w:val="00FB187F"/>
    <w:rsid w:val="00FB2E1B"/>
    <w:rsid w:val="00FB2FCB"/>
    <w:rsid w:val="00FB3317"/>
    <w:rsid w:val="00FB39C9"/>
    <w:rsid w:val="00FB4C9C"/>
    <w:rsid w:val="00FB5296"/>
    <w:rsid w:val="00FB7391"/>
    <w:rsid w:val="00FB7C55"/>
    <w:rsid w:val="00FC1074"/>
    <w:rsid w:val="00FC135A"/>
    <w:rsid w:val="00FC1884"/>
    <w:rsid w:val="00FC2FF5"/>
    <w:rsid w:val="00FC3530"/>
    <w:rsid w:val="00FC371D"/>
    <w:rsid w:val="00FC4672"/>
    <w:rsid w:val="00FC4C62"/>
    <w:rsid w:val="00FC5368"/>
    <w:rsid w:val="00FC58E9"/>
    <w:rsid w:val="00FC5F0B"/>
    <w:rsid w:val="00FC5F7C"/>
    <w:rsid w:val="00FC63D6"/>
    <w:rsid w:val="00FC73D7"/>
    <w:rsid w:val="00FD0352"/>
    <w:rsid w:val="00FD0D4D"/>
    <w:rsid w:val="00FD1722"/>
    <w:rsid w:val="00FD2100"/>
    <w:rsid w:val="00FD277F"/>
    <w:rsid w:val="00FD2E5E"/>
    <w:rsid w:val="00FD377D"/>
    <w:rsid w:val="00FD436C"/>
    <w:rsid w:val="00FD446D"/>
    <w:rsid w:val="00FD4F2C"/>
    <w:rsid w:val="00FD6394"/>
    <w:rsid w:val="00FD653F"/>
    <w:rsid w:val="00FD7055"/>
    <w:rsid w:val="00FE0E6C"/>
    <w:rsid w:val="00FE127A"/>
    <w:rsid w:val="00FE1CDC"/>
    <w:rsid w:val="00FE2808"/>
    <w:rsid w:val="00FE398D"/>
    <w:rsid w:val="00FE442F"/>
    <w:rsid w:val="00FE4CF7"/>
    <w:rsid w:val="00FE5E52"/>
    <w:rsid w:val="00FE5FBB"/>
    <w:rsid w:val="00FE65BF"/>
    <w:rsid w:val="00FE7072"/>
    <w:rsid w:val="00FE70C3"/>
    <w:rsid w:val="00FE7430"/>
    <w:rsid w:val="00FF0182"/>
    <w:rsid w:val="00FF036F"/>
    <w:rsid w:val="00FF0DD5"/>
    <w:rsid w:val="00FF0E59"/>
    <w:rsid w:val="00FF1086"/>
    <w:rsid w:val="00FF15FD"/>
    <w:rsid w:val="00FF1966"/>
    <w:rsid w:val="00FF1A8B"/>
    <w:rsid w:val="00FF28FB"/>
    <w:rsid w:val="00FF2AD9"/>
    <w:rsid w:val="00FF2FC2"/>
    <w:rsid w:val="00FF359F"/>
    <w:rsid w:val="00FF37B4"/>
    <w:rsid w:val="00FF3DCF"/>
    <w:rsid w:val="00FF4774"/>
    <w:rsid w:val="00FF492C"/>
    <w:rsid w:val="00FF4A21"/>
    <w:rsid w:val="00FF4E9D"/>
    <w:rsid w:val="00FF4EF6"/>
    <w:rsid w:val="00FF5A80"/>
    <w:rsid w:val="00FF5AA3"/>
    <w:rsid w:val="00FF5AD8"/>
    <w:rsid w:val="00FF5B8B"/>
    <w:rsid w:val="00FF665C"/>
    <w:rsid w:val="00FF6AE6"/>
    <w:rsid w:val="00FF6FE4"/>
    <w:rsid w:val="00FF7043"/>
    <w:rsid w:val="00FF7A61"/>
    <w:rsid w:val="00FF7BC6"/>
    <w:rsid w:val="00FF7D5C"/>
    <w:rsid w:val="58C81D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38000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6309C6"/>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309C6"/>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D119BE"/>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D119BE"/>
    <w:rPr>
      <w:rFonts w:ascii="Arial Narrow" w:hAnsi="Arial Narrow" w:cs="Arial"/>
      <w:snapToGrid w:val="0"/>
      <w:sz w:val="18"/>
      <w:szCs w:val="22"/>
    </w:rPr>
  </w:style>
  <w:style w:type="paragraph" w:customStyle="1" w:styleId="KMC16-Tablecontent">
    <w:name w:val="KMC16 - Table content"/>
    <w:basedOn w:val="Normal"/>
    <w:link w:val="KMC16-TablecontentChar"/>
    <w:qFormat/>
    <w:rsid w:val="001F3B2D"/>
    <w:pPr>
      <w:spacing w:before="40" w:after="40"/>
      <w:jc w:val="left"/>
    </w:pPr>
    <w:rPr>
      <w:rFonts w:ascii="Arial Narrow" w:hAnsi="Arial Narrow"/>
      <w:color w:val="000000"/>
      <w:sz w:val="20"/>
      <w:lang w:val="en-GB"/>
    </w:rPr>
  </w:style>
  <w:style w:type="character" w:customStyle="1" w:styleId="KMC16-TablecontentChar">
    <w:name w:val="KMC16 - Table content Char"/>
    <w:basedOn w:val="DefaultParagraphFont"/>
    <w:link w:val="KMC16-Tablecontent"/>
    <w:rsid w:val="001F3B2D"/>
    <w:rPr>
      <w:rFonts w:ascii="Arial Narrow" w:hAnsi="Arial Narrow" w:cs="Arial"/>
      <w:color w:val="000000"/>
      <w:szCs w:val="24"/>
      <w:lang w:val="en-GB"/>
    </w:rPr>
  </w:style>
  <w:style w:type="paragraph" w:styleId="FootnoteText">
    <w:name w:val="footnote text"/>
    <w:basedOn w:val="Normal"/>
    <w:link w:val="FootnoteTextChar"/>
    <w:semiHidden/>
    <w:unhideWhenUsed/>
    <w:rsid w:val="008E3580"/>
    <w:rPr>
      <w:sz w:val="20"/>
      <w:szCs w:val="20"/>
    </w:rPr>
  </w:style>
  <w:style w:type="character" w:customStyle="1" w:styleId="FootnoteTextChar">
    <w:name w:val="Footnote Text Char"/>
    <w:basedOn w:val="DefaultParagraphFont"/>
    <w:link w:val="FootnoteText"/>
    <w:semiHidden/>
    <w:rsid w:val="008E3580"/>
    <w:rPr>
      <w:rFonts w:ascii="Calibri" w:hAnsi="Calibri" w:cs="Arial"/>
    </w:rPr>
  </w:style>
  <w:style w:type="character" w:styleId="FootnoteReference">
    <w:name w:val="footnote reference"/>
    <w:basedOn w:val="DefaultParagraphFont"/>
    <w:semiHidden/>
    <w:unhideWhenUsed/>
    <w:rsid w:val="008E3580"/>
    <w:rPr>
      <w:vertAlign w:val="superscript"/>
    </w:rPr>
  </w:style>
  <w:style w:type="character" w:styleId="PlaceholderText">
    <w:name w:val="Placeholder Text"/>
    <w:basedOn w:val="DefaultParagraphFont"/>
    <w:uiPriority w:val="99"/>
    <w:semiHidden/>
    <w:rsid w:val="009505D7"/>
    <w:rPr>
      <w:color w:val="808080"/>
    </w:rPr>
  </w:style>
  <w:style w:type="paragraph" w:customStyle="1" w:styleId="PbacTableHeading">
    <w:name w:val="Pbac Table Heading"/>
    <w:basedOn w:val="Normal"/>
    <w:qFormat/>
    <w:rsid w:val="004F32C6"/>
    <w:pPr>
      <w:spacing w:after="80"/>
      <w:jc w:val="left"/>
    </w:pPr>
    <w:rPr>
      <w:rFonts w:ascii="Arial Narrow" w:eastAsiaTheme="minorHAnsi" w:hAnsi="Arial Narrow"/>
      <w:b/>
      <w:sz w:val="20"/>
      <w:szCs w:val="20"/>
      <w:lang w:eastAsia="en-US"/>
    </w:rPr>
  </w:style>
  <w:style w:type="paragraph" w:customStyle="1" w:styleId="KMC16-Caption">
    <w:name w:val="KMC16 - Caption"/>
    <w:basedOn w:val="Normal"/>
    <w:qFormat/>
    <w:rsid w:val="004149C9"/>
    <w:pPr>
      <w:keepNext/>
      <w:tabs>
        <w:tab w:val="left" w:pos="567"/>
      </w:tabs>
      <w:spacing w:before="240" w:after="40"/>
      <w:ind w:left="992" w:hanging="992"/>
      <w:contextualSpacing/>
      <w:jc w:val="left"/>
    </w:pPr>
    <w:rPr>
      <w:rFonts w:ascii="Arial" w:hAnsi="Arial" w:cs="Times New Roman"/>
      <w:b/>
      <w:color w:val="000000"/>
      <w:sz w:val="20"/>
      <w:szCs w:val="20"/>
    </w:rPr>
  </w:style>
  <w:style w:type="paragraph" w:customStyle="1" w:styleId="KMC-TFNotes">
    <w:name w:val="KMC - TF Notes"/>
    <w:basedOn w:val="Normal"/>
    <w:link w:val="KMC-TFNotesChar"/>
    <w:qFormat/>
    <w:locked/>
    <w:rsid w:val="004149C9"/>
    <w:pPr>
      <w:keepNext/>
      <w:spacing w:before="45" w:after="240"/>
      <w:contextualSpacing/>
    </w:pPr>
    <w:rPr>
      <w:rFonts w:eastAsiaTheme="minorHAnsi" w:cstheme="minorBidi"/>
      <w:color w:val="000000" w:themeColor="text1"/>
      <w:sz w:val="16"/>
      <w:szCs w:val="22"/>
      <w:lang w:eastAsia="en-US"/>
    </w:rPr>
  </w:style>
  <w:style w:type="character" w:customStyle="1" w:styleId="KMC-TFNotesChar">
    <w:name w:val="KMC - TF Notes Char"/>
    <w:basedOn w:val="DefaultParagraphFont"/>
    <w:link w:val="KMC-TFNotes"/>
    <w:rsid w:val="004149C9"/>
    <w:rPr>
      <w:rFonts w:ascii="Calibri" w:eastAsiaTheme="minorHAnsi" w:hAnsi="Calibri" w:cstheme="minorBidi"/>
      <w:color w:val="000000" w:themeColor="text1"/>
      <w:sz w:val="16"/>
      <w:szCs w:val="22"/>
      <w:lang w:eastAsia="en-US"/>
    </w:rPr>
  </w:style>
  <w:style w:type="numbering" w:customStyle="1" w:styleId="CurrentList1">
    <w:name w:val="Current List1"/>
    <w:uiPriority w:val="99"/>
    <w:rsid w:val="000F463A"/>
    <w:pPr>
      <w:numPr>
        <w:numId w:val="8"/>
      </w:numPr>
    </w:pPr>
  </w:style>
  <w:style w:type="paragraph" w:customStyle="1" w:styleId="p1">
    <w:name w:val="p1"/>
    <w:basedOn w:val="Normal"/>
    <w:rsid w:val="00D57A08"/>
    <w:pPr>
      <w:jc w:val="left"/>
    </w:pPr>
    <w:rPr>
      <w:rFonts w:ascii="Helvetica" w:hAnsi="Helvetica" w:cs="Times New Roman"/>
      <w:color w:val="000000"/>
      <w:sz w:val="17"/>
      <w:szCs w:val="17"/>
      <w:lang w:eastAsia="en-GB"/>
    </w:rPr>
  </w:style>
  <w:style w:type="paragraph" w:customStyle="1" w:styleId="KMC16-Text">
    <w:name w:val="KMC16 - Text"/>
    <w:basedOn w:val="Normal"/>
    <w:link w:val="KMC16-TextChar"/>
    <w:qFormat/>
    <w:rsid w:val="00DF724A"/>
    <w:pPr>
      <w:spacing w:before="120" w:after="240" w:line="360" w:lineRule="auto"/>
    </w:pPr>
    <w:rPr>
      <w:rFonts w:ascii="Arial" w:hAnsi="Arial" w:cs="Times New Roman"/>
      <w:color w:val="000000" w:themeColor="text1"/>
    </w:rPr>
  </w:style>
  <w:style w:type="character" w:customStyle="1" w:styleId="KMC16-TextChar">
    <w:name w:val="KMC16 - Text Char"/>
    <w:basedOn w:val="DefaultParagraphFont"/>
    <w:link w:val="KMC16-Text"/>
    <w:rsid w:val="00DF724A"/>
    <w:rPr>
      <w:rFonts w:ascii="Arial" w:hAnsi="Arial"/>
      <w:color w:val="000000" w:themeColor="text1"/>
      <w:sz w:val="24"/>
      <w:szCs w:val="24"/>
    </w:rPr>
  </w:style>
  <w:style w:type="paragraph" w:customStyle="1" w:styleId="3-SubsectionHeading">
    <w:name w:val="3-Subsection Heading"/>
    <w:basedOn w:val="Heading2"/>
    <w:next w:val="Normal"/>
    <w:link w:val="3-SubsectionHeadingChar"/>
    <w:qFormat/>
    <w:rsid w:val="001E57DC"/>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1E57DC"/>
    <w:rPr>
      <w:rFonts w:asciiTheme="minorHAnsi" w:eastAsiaTheme="majorEastAsia" w:hAnsiTheme="minorHAnsi" w:cstheme="majorBidi"/>
      <w:b/>
      <w:i/>
      <w:snapToGrid/>
      <w:spacing w:val="5"/>
      <w:kern w:val="28"/>
      <w:sz w:val="28"/>
      <w:szCs w:val="36"/>
      <w:lang w:eastAsia="en-US"/>
    </w:rPr>
  </w:style>
  <w:style w:type="character" w:styleId="UnresolvedMention">
    <w:name w:val="Unresolved Mention"/>
    <w:basedOn w:val="DefaultParagraphFont"/>
    <w:uiPriority w:val="99"/>
    <w:semiHidden/>
    <w:unhideWhenUsed/>
    <w:rsid w:val="00D36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6483935">
      <w:bodyDiv w:val="1"/>
      <w:marLeft w:val="0"/>
      <w:marRight w:val="0"/>
      <w:marTop w:val="0"/>
      <w:marBottom w:val="0"/>
      <w:divBdr>
        <w:top w:val="none" w:sz="0" w:space="0" w:color="auto"/>
        <w:left w:val="none" w:sz="0" w:space="0" w:color="auto"/>
        <w:bottom w:val="none" w:sz="0" w:space="0" w:color="auto"/>
        <w:right w:val="none" w:sz="0" w:space="0" w:color="auto"/>
      </w:divBdr>
    </w:div>
    <w:div w:id="180945161">
      <w:bodyDiv w:val="1"/>
      <w:marLeft w:val="0"/>
      <w:marRight w:val="0"/>
      <w:marTop w:val="0"/>
      <w:marBottom w:val="0"/>
      <w:divBdr>
        <w:top w:val="none" w:sz="0" w:space="0" w:color="auto"/>
        <w:left w:val="none" w:sz="0" w:space="0" w:color="auto"/>
        <w:bottom w:val="none" w:sz="0" w:space="0" w:color="auto"/>
        <w:right w:val="none" w:sz="0" w:space="0" w:color="auto"/>
      </w:divBdr>
    </w:div>
    <w:div w:id="187374970">
      <w:bodyDiv w:val="1"/>
      <w:marLeft w:val="0"/>
      <w:marRight w:val="0"/>
      <w:marTop w:val="0"/>
      <w:marBottom w:val="0"/>
      <w:divBdr>
        <w:top w:val="none" w:sz="0" w:space="0" w:color="auto"/>
        <w:left w:val="none" w:sz="0" w:space="0" w:color="auto"/>
        <w:bottom w:val="none" w:sz="0" w:space="0" w:color="auto"/>
        <w:right w:val="none" w:sz="0" w:space="0" w:color="auto"/>
      </w:divBdr>
    </w:div>
    <w:div w:id="248344977">
      <w:bodyDiv w:val="1"/>
      <w:marLeft w:val="0"/>
      <w:marRight w:val="0"/>
      <w:marTop w:val="0"/>
      <w:marBottom w:val="0"/>
      <w:divBdr>
        <w:top w:val="none" w:sz="0" w:space="0" w:color="auto"/>
        <w:left w:val="none" w:sz="0" w:space="0" w:color="auto"/>
        <w:bottom w:val="none" w:sz="0" w:space="0" w:color="auto"/>
        <w:right w:val="none" w:sz="0" w:space="0" w:color="auto"/>
      </w:divBdr>
      <w:divsChild>
        <w:div w:id="1944418800">
          <w:marLeft w:val="0"/>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6728204">
      <w:bodyDiv w:val="1"/>
      <w:marLeft w:val="0"/>
      <w:marRight w:val="0"/>
      <w:marTop w:val="0"/>
      <w:marBottom w:val="0"/>
      <w:divBdr>
        <w:top w:val="none" w:sz="0" w:space="0" w:color="auto"/>
        <w:left w:val="none" w:sz="0" w:space="0" w:color="auto"/>
        <w:bottom w:val="none" w:sz="0" w:space="0" w:color="auto"/>
        <w:right w:val="none" w:sz="0" w:space="0" w:color="auto"/>
      </w:divBdr>
    </w:div>
    <w:div w:id="431322101">
      <w:bodyDiv w:val="1"/>
      <w:marLeft w:val="0"/>
      <w:marRight w:val="0"/>
      <w:marTop w:val="0"/>
      <w:marBottom w:val="0"/>
      <w:divBdr>
        <w:top w:val="none" w:sz="0" w:space="0" w:color="auto"/>
        <w:left w:val="none" w:sz="0" w:space="0" w:color="auto"/>
        <w:bottom w:val="none" w:sz="0" w:space="0" w:color="auto"/>
        <w:right w:val="none" w:sz="0" w:space="0" w:color="auto"/>
      </w:divBdr>
      <w:divsChild>
        <w:div w:id="121389104">
          <w:marLeft w:val="0"/>
          <w:marRight w:val="0"/>
          <w:marTop w:val="0"/>
          <w:marBottom w:val="0"/>
          <w:divBdr>
            <w:top w:val="none" w:sz="0" w:space="0" w:color="auto"/>
            <w:left w:val="none" w:sz="0" w:space="0" w:color="auto"/>
            <w:bottom w:val="none" w:sz="0" w:space="0" w:color="auto"/>
            <w:right w:val="none" w:sz="0" w:space="0" w:color="auto"/>
          </w:divBdr>
        </w:div>
        <w:div w:id="272202952">
          <w:marLeft w:val="0"/>
          <w:marRight w:val="0"/>
          <w:marTop w:val="0"/>
          <w:marBottom w:val="0"/>
          <w:divBdr>
            <w:top w:val="none" w:sz="0" w:space="0" w:color="auto"/>
            <w:left w:val="none" w:sz="0" w:space="0" w:color="auto"/>
            <w:bottom w:val="none" w:sz="0" w:space="0" w:color="auto"/>
            <w:right w:val="none" w:sz="0" w:space="0" w:color="auto"/>
          </w:divBdr>
        </w:div>
        <w:div w:id="461266870">
          <w:marLeft w:val="0"/>
          <w:marRight w:val="0"/>
          <w:marTop w:val="0"/>
          <w:marBottom w:val="0"/>
          <w:divBdr>
            <w:top w:val="none" w:sz="0" w:space="0" w:color="auto"/>
            <w:left w:val="none" w:sz="0" w:space="0" w:color="auto"/>
            <w:bottom w:val="none" w:sz="0" w:space="0" w:color="auto"/>
            <w:right w:val="none" w:sz="0" w:space="0" w:color="auto"/>
          </w:divBdr>
        </w:div>
        <w:div w:id="574780497">
          <w:marLeft w:val="0"/>
          <w:marRight w:val="0"/>
          <w:marTop w:val="0"/>
          <w:marBottom w:val="0"/>
          <w:divBdr>
            <w:top w:val="none" w:sz="0" w:space="0" w:color="auto"/>
            <w:left w:val="none" w:sz="0" w:space="0" w:color="auto"/>
            <w:bottom w:val="none" w:sz="0" w:space="0" w:color="auto"/>
            <w:right w:val="none" w:sz="0" w:space="0" w:color="auto"/>
          </w:divBdr>
        </w:div>
        <w:div w:id="751776637">
          <w:marLeft w:val="0"/>
          <w:marRight w:val="0"/>
          <w:marTop w:val="0"/>
          <w:marBottom w:val="0"/>
          <w:divBdr>
            <w:top w:val="none" w:sz="0" w:space="0" w:color="auto"/>
            <w:left w:val="none" w:sz="0" w:space="0" w:color="auto"/>
            <w:bottom w:val="none" w:sz="0" w:space="0" w:color="auto"/>
            <w:right w:val="none" w:sz="0" w:space="0" w:color="auto"/>
          </w:divBdr>
        </w:div>
        <w:div w:id="784156977">
          <w:marLeft w:val="0"/>
          <w:marRight w:val="0"/>
          <w:marTop w:val="0"/>
          <w:marBottom w:val="0"/>
          <w:divBdr>
            <w:top w:val="none" w:sz="0" w:space="0" w:color="auto"/>
            <w:left w:val="none" w:sz="0" w:space="0" w:color="auto"/>
            <w:bottom w:val="none" w:sz="0" w:space="0" w:color="auto"/>
            <w:right w:val="none" w:sz="0" w:space="0" w:color="auto"/>
          </w:divBdr>
        </w:div>
        <w:div w:id="880823907">
          <w:marLeft w:val="0"/>
          <w:marRight w:val="0"/>
          <w:marTop w:val="0"/>
          <w:marBottom w:val="0"/>
          <w:divBdr>
            <w:top w:val="none" w:sz="0" w:space="0" w:color="auto"/>
            <w:left w:val="none" w:sz="0" w:space="0" w:color="auto"/>
            <w:bottom w:val="none" w:sz="0" w:space="0" w:color="auto"/>
            <w:right w:val="none" w:sz="0" w:space="0" w:color="auto"/>
          </w:divBdr>
        </w:div>
        <w:div w:id="891505568">
          <w:marLeft w:val="0"/>
          <w:marRight w:val="0"/>
          <w:marTop w:val="0"/>
          <w:marBottom w:val="0"/>
          <w:divBdr>
            <w:top w:val="none" w:sz="0" w:space="0" w:color="auto"/>
            <w:left w:val="none" w:sz="0" w:space="0" w:color="auto"/>
            <w:bottom w:val="none" w:sz="0" w:space="0" w:color="auto"/>
            <w:right w:val="none" w:sz="0" w:space="0" w:color="auto"/>
          </w:divBdr>
        </w:div>
        <w:div w:id="974216389">
          <w:marLeft w:val="0"/>
          <w:marRight w:val="0"/>
          <w:marTop w:val="0"/>
          <w:marBottom w:val="0"/>
          <w:divBdr>
            <w:top w:val="none" w:sz="0" w:space="0" w:color="auto"/>
            <w:left w:val="none" w:sz="0" w:space="0" w:color="auto"/>
            <w:bottom w:val="none" w:sz="0" w:space="0" w:color="auto"/>
            <w:right w:val="none" w:sz="0" w:space="0" w:color="auto"/>
          </w:divBdr>
        </w:div>
        <w:div w:id="1080516407">
          <w:marLeft w:val="0"/>
          <w:marRight w:val="0"/>
          <w:marTop w:val="0"/>
          <w:marBottom w:val="0"/>
          <w:divBdr>
            <w:top w:val="none" w:sz="0" w:space="0" w:color="auto"/>
            <w:left w:val="none" w:sz="0" w:space="0" w:color="auto"/>
            <w:bottom w:val="none" w:sz="0" w:space="0" w:color="auto"/>
            <w:right w:val="none" w:sz="0" w:space="0" w:color="auto"/>
          </w:divBdr>
        </w:div>
        <w:div w:id="1257203628">
          <w:marLeft w:val="0"/>
          <w:marRight w:val="0"/>
          <w:marTop w:val="0"/>
          <w:marBottom w:val="0"/>
          <w:divBdr>
            <w:top w:val="none" w:sz="0" w:space="0" w:color="auto"/>
            <w:left w:val="none" w:sz="0" w:space="0" w:color="auto"/>
            <w:bottom w:val="none" w:sz="0" w:space="0" w:color="auto"/>
            <w:right w:val="none" w:sz="0" w:space="0" w:color="auto"/>
          </w:divBdr>
        </w:div>
        <w:div w:id="1327784057">
          <w:marLeft w:val="0"/>
          <w:marRight w:val="0"/>
          <w:marTop w:val="0"/>
          <w:marBottom w:val="0"/>
          <w:divBdr>
            <w:top w:val="none" w:sz="0" w:space="0" w:color="auto"/>
            <w:left w:val="none" w:sz="0" w:space="0" w:color="auto"/>
            <w:bottom w:val="none" w:sz="0" w:space="0" w:color="auto"/>
            <w:right w:val="none" w:sz="0" w:space="0" w:color="auto"/>
          </w:divBdr>
        </w:div>
        <w:div w:id="1593126203">
          <w:marLeft w:val="0"/>
          <w:marRight w:val="0"/>
          <w:marTop w:val="0"/>
          <w:marBottom w:val="0"/>
          <w:divBdr>
            <w:top w:val="none" w:sz="0" w:space="0" w:color="auto"/>
            <w:left w:val="none" w:sz="0" w:space="0" w:color="auto"/>
            <w:bottom w:val="none" w:sz="0" w:space="0" w:color="auto"/>
            <w:right w:val="none" w:sz="0" w:space="0" w:color="auto"/>
          </w:divBdr>
        </w:div>
        <w:div w:id="1684358445">
          <w:marLeft w:val="0"/>
          <w:marRight w:val="0"/>
          <w:marTop w:val="0"/>
          <w:marBottom w:val="0"/>
          <w:divBdr>
            <w:top w:val="none" w:sz="0" w:space="0" w:color="auto"/>
            <w:left w:val="none" w:sz="0" w:space="0" w:color="auto"/>
            <w:bottom w:val="none" w:sz="0" w:space="0" w:color="auto"/>
            <w:right w:val="none" w:sz="0" w:space="0" w:color="auto"/>
          </w:divBdr>
        </w:div>
        <w:div w:id="1738702584">
          <w:marLeft w:val="0"/>
          <w:marRight w:val="0"/>
          <w:marTop w:val="0"/>
          <w:marBottom w:val="0"/>
          <w:divBdr>
            <w:top w:val="none" w:sz="0" w:space="0" w:color="auto"/>
            <w:left w:val="none" w:sz="0" w:space="0" w:color="auto"/>
            <w:bottom w:val="none" w:sz="0" w:space="0" w:color="auto"/>
            <w:right w:val="none" w:sz="0" w:space="0" w:color="auto"/>
          </w:divBdr>
        </w:div>
        <w:div w:id="1742604201">
          <w:marLeft w:val="-75"/>
          <w:marRight w:val="0"/>
          <w:marTop w:val="30"/>
          <w:marBottom w:val="30"/>
          <w:divBdr>
            <w:top w:val="none" w:sz="0" w:space="0" w:color="auto"/>
            <w:left w:val="none" w:sz="0" w:space="0" w:color="auto"/>
            <w:bottom w:val="none" w:sz="0" w:space="0" w:color="auto"/>
            <w:right w:val="none" w:sz="0" w:space="0" w:color="auto"/>
          </w:divBdr>
          <w:divsChild>
            <w:div w:id="51001177">
              <w:marLeft w:val="0"/>
              <w:marRight w:val="0"/>
              <w:marTop w:val="0"/>
              <w:marBottom w:val="0"/>
              <w:divBdr>
                <w:top w:val="none" w:sz="0" w:space="0" w:color="auto"/>
                <w:left w:val="none" w:sz="0" w:space="0" w:color="auto"/>
                <w:bottom w:val="none" w:sz="0" w:space="0" w:color="auto"/>
                <w:right w:val="none" w:sz="0" w:space="0" w:color="auto"/>
              </w:divBdr>
              <w:divsChild>
                <w:div w:id="347685249">
                  <w:marLeft w:val="0"/>
                  <w:marRight w:val="0"/>
                  <w:marTop w:val="0"/>
                  <w:marBottom w:val="0"/>
                  <w:divBdr>
                    <w:top w:val="none" w:sz="0" w:space="0" w:color="auto"/>
                    <w:left w:val="none" w:sz="0" w:space="0" w:color="auto"/>
                    <w:bottom w:val="none" w:sz="0" w:space="0" w:color="auto"/>
                    <w:right w:val="none" w:sz="0" w:space="0" w:color="auto"/>
                  </w:divBdr>
                </w:div>
              </w:divsChild>
            </w:div>
            <w:div w:id="53896197">
              <w:marLeft w:val="0"/>
              <w:marRight w:val="0"/>
              <w:marTop w:val="0"/>
              <w:marBottom w:val="0"/>
              <w:divBdr>
                <w:top w:val="none" w:sz="0" w:space="0" w:color="auto"/>
                <w:left w:val="none" w:sz="0" w:space="0" w:color="auto"/>
                <w:bottom w:val="none" w:sz="0" w:space="0" w:color="auto"/>
                <w:right w:val="none" w:sz="0" w:space="0" w:color="auto"/>
              </w:divBdr>
              <w:divsChild>
                <w:div w:id="1919173153">
                  <w:marLeft w:val="0"/>
                  <w:marRight w:val="0"/>
                  <w:marTop w:val="0"/>
                  <w:marBottom w:val="0"/>
                  <w:divBdr>
                    <w:top w:val="none" w:sz="0" w:space="0" w:color="auto"/>
                    <w:left w:val="none" w:sz="0" w:space="0" w:color="auto"/>
                    <w:bottom w:val="none" w:sz="0" w:space="0" w:color="auto"/>
                    <w:right w:val="none" w:sz="0" w:space="0" w:color="auto"/>
                  </w:divBdr>
                </w:div>
              </w:divsChild>
            </w:div>
            <w:div w:id="91319700">
              <w:marLeft w:val="0"/>
              <w:marRight w:val="0"/>
              <w:marTop w:val="0"/>
              <w:marBottom w:val="0"/>
              <w:divBdr>
                <w:top w:val="none" w:sz="0" w:space="0" w:color="auto"/>
                <w:left w:val="none" w:sz="0" w:space="0" w:color="auto"/>
                <w:bottom w:val="none" w:sz="0" w:space="0" w:color="auto"/>
                <w:right w:val="none" w:sz="0" w:space="0" w:color="auto"/>
              </w:divBdr>
              <w:divsChild>
                <w:div w:id="1704866022">
                  <w:marLeft w:val="0"/>
                  <w:marRight w:val="0"/>
                  <w:marTop w:val="0"/>
                  <w:marBottom w:val="0"/>
                  <w:divBdr>
                    <w:top w:val="none" w:sz="0" w:space="0" w:color="auto"/>
                    <w:left w:val="none" w:sz="0" w:space="0" w:color="auto"/>
                    <w:bottom w:val="none" w:sz="0" w:space="0" w:color="auto"/>
                    <w:right w:val="none" w:sz="0" w:space="0" w:color="auto"/>
                  </w:divBdr>
                </w:div>
              </w:divsChild>
            </w:div>
            <w:div w:id="201096152">
              <w:marLeft w:val="0"/>
              <w:marRight w:val="0"/>
              <w:marTop w:val="0"/>
              <w:marBottom w:val="0"/>
              <w:divBdr>
                <w:top w:val="none" w:sz="0" w:space="0" w:color="auto"/>
                <w:left w:val="none" w:sz="0" w:space="0" w:color="auto"/>
                <w:bottom w:val="none" w:sz="0" w:space="0" w:color="auto"/>
                <w:right w:val="none" w:sz="0" w:space="0" w:color="auto"/>
              </w:divBdr>
              <w:divsChild>
                <w:div w:id="1608656542">
                  <w:marLeft w:val="0"/>
                  <w:marRight w:val="0"/>
                  <w:marTop w:val="0"/>
                  <w:marBottom w:val="0"/>
                  <w:divBdr>
                    <w:top w:val="none" w:sz="0" w:space="0" w:color="auto"/>
                    <w:left w:val="none" w:sz="0" w:space="0" w:color="auto"/>
                    <w:bottom w:val="none" w:sz="0" w:space="0" w:color="auto"/>
                    <w:right w:val="none" w:sz="0" w:space="0" w:color="auto"/>
                  </w:divBdr>
                </w:div>
              </w:divsChild>
            </w:div>
            <w:div w:id="459883025">
              <w:marLeft w:val="0"/>
              <w:marRight w:val="0"/>
              <w:marTop w:val="0"/>
              <w:marBottom w:val="0"/>
              <w:divBdr>
                <w:top w:val="none" w:sz="0" w:space="0" w:color="auto"/>
                <w:left w:val="none" w:sz="0" w:space="0" w:color="auto"/>
                <w:bottom w:val="none" w:sz="0" w:space="0" w:color="auto"/>
                <w:right w:val="none" w:sz="0" w:space="0" w:color="auto"/>
              </w:divBdr>
              <w:divsChild>
                <w:div w:id="1045377145">
                  <w:marLeft w:val="0"/>
                  <w:marRight w:val="0"/>
                  <w:marTop w:val="0"/>
                  <w:marBottom w:val="0"/>
                  <w:divBdr>
                    <w:top w:val="none" w:sz="0" w:space="0" w:color="auto"/>
                    <w:left w:val="none" w:sz="0" w:space="0" w:color="auto"/>
                    <w:bottom w:val="none" w:sz="0" w:space="0" w:color="auto"/>
                    <w:right w:val="none" w:sz="0" w:space="0" w:color="auto"/>
                  </w:divBdr>
                </w:div>
              </w:divsChild>
            </w:div>
            <w:div w:id="831987545">
              <w:marLeft w:val="0"/>
              <w:marRight w:val="0"/>
              <w:marTop w:val="0"/>
              <w:marBottom w:val="0"/>
              <w:divBdr>
                <w:top w:val="none" w:sz="0" w:space="0" w:color="auto"/>
                <w:left w:val="none" w:sz="0" w:space="0" w:color="auto"/>
                <w:bottom w:val="none" w:sz="0" w:space="0" w:color="auto"/>
                <w:right w:val="none" w:sz="0" w:space="0" w:color="auto"/>
              </w:divBdr>
              <w:divsChild>
                <w:div w:id="468518553">
                  <w:marLeft w:val="0"/>
                  <w:marRight w:val="0"/>
                  <w:marTop w:val="0"/>
                  <w:marBottom w:val="0"/>
                  <w:divBdr>
                    <w:top w:val="none" w:sz="0" w:space="0" w:color="auto"/>
                    <w:left w:val="none" w:sz="0" w:space="0" w:color="auto"/>
                    <w:bottom w:val="none" w:sz="0" w:space="0" w:color="auto"/>
                    <w:right w:val="none" w:sz="0" w:space="0" w:color="auto"/>
                  </w:divBdr>
                </w:div>
              </w:divsChild>
            </w:div>
            <w:div w:id="1048646753">
              <w:marLeft w:val="0"/>
              <w:marRight w:val="0"/>
              <w:marTop w:val="0"/>
              <w:marBottom w:val="0"/>
              <w:divBdr>
                <w:top w:val="none" w:sz="0" w:space="0" w:color="auto"/>
                <w:left w:val="none" w:sz="0" w:space="0" w:color="auto"/>
                <w:bottom w:val="none" w:sz="0" w:space="0" w:color="auto"/>
                <w:right w:val="none" w:sz="0" w:space="0" w:color="auto"/>
              </w:divBdr>
              <w:divsChild>
                <w:div w:id="617179629">
                  <w:marLeft w:val="0"/>
                  <w:marRight w:val="0"/>
                  <w:marTop w:val="0"/>
                  <w:marBottom w:val="0"/>
                  <w:divBdr>
                    <w:top w:val="none" w:sz="0" w:space="0" w:color="auto"/>
                    <w:left w:val="none" w:sz="0" w:space="0" w:color="auto"/>
                    <w:bottom w:val="none" w:sz="0" w:space="0" w:color="auto"/>
                    <w:right w:val="none" w:sz="0" w:space="0" w:color="auto"/>
                  </w:divBdr>
                </w:div>
              </w:divsChild>
            </w:div>
            <w:div w:id="1214004179">
              <w:marLeft w:val="0"/>
              <w:marRight w:val="0"/>
              <w:marTop w:val="0"/>
              <w:marBottom w:val="0"/>
              <w:divBdr>
                <w:top w:val="none" w:sz="0" w:space="0" w:color="auto"/>
                <w:left w:val="none" w:sz="0" w:space="0" w:color="auto"/>
                <w:bottom w:val="none" w:sz="0" w:space="0" w:color="auto"/>
                <w:right w:val="none" w:sz="0" w:space="0" w:color="auto"/>
              </w:divBdr>
              <w:divsChild>
                <w:div w:id="1383137936">
                  <w:marLeft w:val="0"/>
                  <w:marRight w:val="0"/>
                  <w:marTop w:val="0"/>
                  <w:marBottom w:val="0"/>
                  <w:divBdr>
                    <w:top w:val="none" w:sz="0" w:space="0" w:color="auto"/>
                    <w:left w:val="none" w:sz="0" w:space="0" w:color="auto"/>
                    <w:bottom w:val="none" w:sz="0" w:space="0" w:color="auto"/>
                    <w:right w:val="none" w:sz="0" w:space="0" w:color="auto"/>
                  </w:divBdr>
                </w:div>
              </w:divsChild>
            </w:div>
            <w:div w:id="1762405545">
              <w:marLeft w:val="0"/>
              <w:marRight w:val="0"/>
              <w:marTop w:val="0"/>
              <w:marBottom w:val="0"/>
              <w:divBdr>
                <w:top w:val="none" w:sz="0" w:space="0" w:color="auto"/>
                <w:left w:val="none" w:sz="0" w:space="0" w:color="auto"/>
                <w:bottom w:val="none" w:sz="0" w:space="0" w:color="auto"/>
                <w:right w:val="none" w:sz="0" w:space="0" w:color="auto"/>
              </w:divBdr>
              <w:divsChild>
                <w:div w:id="1206521056">
                  <w:marLeft w:val="0"/>
                  <w:marRight w:val="0"/>
                  <w:marTop w:val="0"/>
                  <w:marBottom w:val="0"/>
                  <w:divBdr>
                    <w:top w:val="none" w:sz="0" w:space="0" w:color="auto"/>
                    <w:left w:val="none" w:sz="0" w:space="0" w:color="auto"/>
                    <w:bottom w:val="none" w:sz="0" w:space="0" w:color="auto"/>
                    <w:right w:val="none" w:sz="0" w:space="0" w:color="auto"/>
                  </w:divBdr>
                </w:div>
              </w:divsChild>
            </w:div>
            <w:div w:id="1847133557">
              <w:marLeft w:val="0"/>
              <w:marRight w:val="0"/>
              <w:marTop w:val="0"/>
              <w:marBottom w:val="0"/>
              <w:divBdr>
                <w:top w:val="none" w:sz="0" w:space="0" w:color="auto"/>
                <w:left w:val="none" w:sz="0" w:space="0" w:color="auto"/>
                <w:bottom w:val="none" w:sz="0" w:space="0" w:color="auto"/>
                <w:right w:val="none" w:sz="0" w:space="0" w:color="auto"/>
              </w:divBdr>
              <w:divsChild>
                <w:div w:id="836455098">
                  <w:marLeft w:val="0"/>
                  <w:marRight w:val="0"/>
                  <w:marTop w:val="0"/>
                  <w:marBottom w:val="0"/>
                  <w:divBdr>
                    <w:top w:val="none" w:sz="0" w:space="0" w:color="auto"/>
                    <w:left w:val="none" w:sz="0" w:space="0" w:color="auto"/>
                    <w:bottom w:val="none" w:sz="0" w:space="0" w:color="auto"/>
                    <w:right w:val="none" w:sz="0" w:space="0" w:color="auto"/>
                  </w:divBdr>
                </w:div>
              </w:divsChild>
            </w:div>
            <w:div w:id="1913925839">
              <w:marLeft w:val="0"/>
              <w:marRight w:val="0"/>
              <w:marTop w:val="0"/>
              <w:marBottom w:val="0"/>
              <w:divBdr>
                <w:top w:val="none" w:sz="0" w:space="0" w:color="auto"/>
                <w:left w:val="none" w:sz="0" w:space="0" w:color="auto"/>
                <w:bottom w:val="none" w:sz="0" w:space="0" w:color="auto"/>
                <w:right w:val="none" w:sz="0" w:space="0" w:color="auto"/>
              </w:divBdr>
              <w:divsChild>
                <w:div w:id="1152406780">
                  <w:marLeft w:val="0"/>
                  <w:marRight w:val="0"/>
                  <w:marTop w:val="0"/>
                  <w:marBottom w:val="0"/>
                  <w:divBdr>
                    <w:top w:val="none" w:sz="0" w:space="0" w:color="auto"/>
                    <w:left w:val="none" w:sz="0" w:space="0" w:color="auto"/>
                    <w:bottom w:val="none" w:sz="0" w:space="0" w:color="auto"/>
                    <w:right w:val="none" w:sz="0" w:space="0" w:color="auto"/>
                  </w:divBdr>
                </w:div>
              </w:divsChild>
            </w:div>
            <w:div w:id="2091609754">
              <w:marLeft w:val="0"/>
              <w:marRight w:val="0"/>
              <w:marTop w:val="0"/>
              <w:marBottom w:val="0"/>
              <w:divBdr>
                <w:top w:val="none" w:sz="0" w:space="0" w:color="auto"/>
                <w:left w:val="none" w:sz="0" w:space="0" w:color="auto"/>
                <w:bottom w:val="none" w:sz="0" w:space="0" w:color="auto"/>
                <w:right w:val="none" w:sz="0" w:space="0" w:color="auto"/>
              </w:divBdr>
              <w:divsChild>
                <w:div w:id="10320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8488">
          <w:marLeft w:val="0"/>
          <w:marRight w:val="0"/>
          <w:marTop w:val="0"/>
          <w:marBottom w:val="0"/>
          <w:divBdr>
            <w:top w:val="none" w:sz="0" w:space="0" w:color="auto"/>
            <w:left w:val="none" w:sz="0" w:space="0" w:color="auto"/>
            <w:bottom w:val="none" w:sz="0" w:space="0" w:color="auto"/>
            <w:right w:val="none" w:sz="0" w:space="0" w:color="auto"/>
          </w:divBdr>
        </w:div>
        <w:div w:id="1818178728">
          <w:marLeft w:val="0"/>
          <w:marRight w:val="0"/>
          <w:marTop w:val="0"/>
          <w:marBottom w:val="0"/>
          <w:divBdr>
            <w:top w:val="none" w:sz="0" w:space="0" w:color="auto"/>
            <w:left w:val="none" w:sz="0" w:space="0" w:color="auto"/>
            <w:bottom w:val="none" w:sz="0" w:space="0" w:color="auto"/>
            <w:right w:val="none" w:sz="0" w:space="0" w:color="auto"/>
          </w:divBdr>
        </w:div>
        <w:div w:id="1914045879">
          <w:marLeft w:val="0"/>
          <w:marRight w:val="0"/>
          <w:marTop w:val="0"/>
          <w:marBottom w:val="0"/>
          <w:divBdr>
            <w:top w:val="none" w:sz="0" w:space="0" w:color="auto"/>
            <w:left w:val="none" w:sz="0" w:space="0" w:color="auto"/>
            <w:bottom w:val="none" w:sz="0" w:space="0" w:color="auto"/>
            <w:right w:val="none" w:sz="0" w:space="0" w:color="auto"/>
          </w:divBdr>
        </w:div>
        <w:div w:id="1964116694">
          <w:marLeft w:val="0"/>
          <w:marRight w:val="0"/>
          <w:marTop w:val="0"/>
          <w:marBottom w:val="0"/>
          <w:divBdr>
            <w:top w:val="none" w:sz="0" w:space="0" w:color="auto"/>
            <w:left w:val="none" w:sz="0" w:space="0" w:color="auto"/>
            <w:bottom w:val="none" w:sz="0" w:space="0" w:color="auto"/>
            <w:right w:val="none" w:sz="0" w:space="0" w:color="auto"/>
          </w:divBdr>
        </w:div>
        <w:div w:id="1987851265">
          <w:marLeft w:val="0"/>
          <w:marRight w:val="0"/>
          <w:marTop w:val="0"/>
          <w:marBottom w:val="0"/>
          <w:divBdr>
            <w:top w:val="none" w:sz="0" w:space="0" w:color="auto"/>
            <w:left w:val="none" w:sz="0" w:space="0" w:color="auto"/>
            <w:bottom w:val="none" w:sz="0" w:space="0" w:color="auto"/>
            <w:right w:val="none" w:sz="0" w:space="0" w:color="auto"/>
          </w:divBdr>
        </w:div>
        <w:div w:id="2028212148">
          <w:marLeft w:val="0"/>
          <w:marRight w:val="0"/>
          <w:marTop w:val="0"/>
          <w:marBottom w:val="0"/>
          <w:divBdr>
            <w:top w:val="none" w:sz="0" w:space="0" w:color="auto"/>
            <w:left w:val="none" w:sz="0" w:space="0" w:color="auto"/>
            <w:bottom w:val="none" w:sz="0" w:space="0" w:color="auto"/>
            <w:right w:val="none" w:sz="0" w:space="0" w:color="auto"/>
          </w:divBdr>
        </w:div>
        <w:div w:id="2138255606">
          <w:marLeft w:val="0"/>
          <w:marRight w:val="0"/>
          <w:marTop w:val="0"/>
          <w:marBottom w:val="0"/>
          <w:divBdr>
            <w:top w:val="none" w:sz="0" w:space="0" w:color="auto"/>
            <w:left w:val="none" w:sz="0" w:space="0" w:color="auto"/>
            <w:bottom w:val="none" w:sz="0" w:space="0" w:color="auto"/>
            <w:right w:val="none" w:sz="0" w:space="0" w:color="auto"/>
          </w:divBdr>
        </w:div>
      </w:divsChild>
    </w:div>
    <w:div w:id="478961229">
      <w:bodyDiv w:val="1"/>
      <w:marLeft w:val="0"/>
      <w:marRight w:val="0"/>
      <w:marTop w:val="0"/>
      <w:marBottom w:val="0"/>
      <w:divBdr>
        <w:top w:val="none" w:sz="0" w:space="0" w:color="auto"/>
        <w:left w:val="none" w:sz="0" w:space="0" w:color="auto"/>
        <w:bottom w:val="none" w:sz="0" w:space="0" w:color="auto"/>
        <w:right w:val="none" w:sz="0" w:space="0" w:color="auto"/>
      </w:divBdr>
    </w:div>
    <w:div w:id="584538889">
      <w:bodyDiv w:val="1"/>
      <w:marLeft w:val="0"/>
      <w:marRight w:val="0"/>
      <w:marTop w:val="0"/>
      <w:marBottom w:val="0"/>
      <w:divBdr>
        <w:top w:val="none" w:sz="0" w:space="0" w:color="auto"/>
        <w:left w:val="none" w:sz="0" w:space="0" w:color="auto"/>
        <w:bottom w:val="none" w:sz="0" w:space="0" w:color="auto"/>
        <w:right w:val="none" w:sz="0" w:space="0" w:color="auto"/>
      </w:divBdr>
    </w:div>
    <w:div w:id="761492435">
      <w:bodyDiv w:val="1"/>
      <w:marLeft w:val="0"/>
      <w:marRight w:val="0"/>
      <w:marTop w:val="0"/>
      <w:marBottom w:val="0"/>
      <w:divBdr>
        <w:top w:val="none" w:sz="0" w:space="0" w:color="auto"/>
        <w:left w:val="none" w:sz="0" w:space="0" w:color="auto"/>
        <w:bottom w:val="none" w:sz="0" w:space="0" w:color="auto"/>
        <w:right w:val="none" w:sz="0" w:space="0" w:color="auto"/>
      </w:divBdr>
      <w:divsChild>
        <w:div w:id="57751473">
          <w:marLeft w:val="0"/>
          <w:marRight w:val="0"/>
          <w:marTop w:val="0"/>
          <w:marBottom w:val="0"/>
          <w:divBdr>
            <w:top w:val="none" w:sz="0" w:space="0" w:color="auto"/>
            <w:left w:val="none" w:sz="0" w:space="0" w:color="auto"/>
            <w:bottom w:val="none" w:sz="0" w:space="0" w:color="auto"/>
            <w:right w:val="none" w:sz="0" w:space="0" w:color="auto"/>
          </w:divBdr>
        </w:div>
        <w:div w:id="446045395">
          <w:marLeft w:val="0"/>
          <w:marRight w:val="0"/>
          <w:marTop w:val="0"/>
          <w:marBottom w:val="0"/>
          <w:divBdr>
            <w:top w:val="none" w:sz="0" w:space="0" w:color="auto"/>
            <w:left w:val="none" w:sz="0" w:space="0" w:color="auto"/>
            <w:bottom w:val="none" w:sz="0" w:space="0" w:color="auto"/>
            <w:right w:val="none" w:sz="0" w:space="0" w:color="auto"/>
          </w:divBdr>
        </w:div>
        <w:div w:id="460076980">
          <w:marLeft w:val="0"/>
          <w:marRight w:val="0"/>
          <w:marTop w:val="0"/>
          <w:marBottom w:val="0"/>
          <w:divBdr>
            <w:top w:val="none" w:sz="0" w:space="0" w:color="auto"/>
            <w:left w:val="none" w:sz="0" w:space="0" w:color="auto"/>
            <w:bottom w:val="none" w:sz="0" w:space="0" w:color="auto"/>
            <w:right w:val="none" w:sz="0" w:space="0" w:color="auto"/>
          </w:divBdr>
        </w:div>
        <w:div w:id="511532737">
          <w:marLeft w:val="0"/>
          <w:marRight w:val="0"/>
          <w:marTop w:val="0"/>
          <w:marBottom w:val="0"/>
          <w:divBdr>
            <w:top w:val="none" w:sz="0" w:space="0" w:color="auto"/>
            <w:left w:val="none" w:sz="0" w:space="0" w:color="auto"/>
            <w:bottom w:val="none" w:sz="0" w:space="0" w:color="auto"/>
            <w:right w:val="none" w:sz="0" w:space="0" w:color="auto"/>
          </w:divBdr>
        </w:div>
        <w:div w:id="525216543">
          <w:marLeft w:val="0"/>
          <w:marRight w:val="0"/>
          <w:marTop w:val="0"/>
          <w:marBottom w:val="0"/>
          <w:divBdr>
            <w:top w:val="none" w:sz="0" w:space="0" w:color="auto"/>
            <w:left w:val="none" w:sz="0" w:space="0" w:color="auto"/>
            <w:bottom w:val="none" w:sz="0" w:space="0" w:color="auto"/>
            <w:right w:val="none" w:sz="0" w:space="0" w:color="auto"/>
          </w:divBdr>
        </w:div>
        <w:div w:id="546332087">
          <w:marLeft w:val="0"/>
          <w:marRight w:val="0"/>
          <w:marTop w:val="0"/>
          <w:marBottom w:val="0"/>
          <w:divBdr>
            <w:top w:val="none" w:sz="0" w:space="0" w:color="auto"/>
            <w:left w:val="none" w:sz="0" w:space="0" w:color="auto"/>
            <w:bottom w:val="none" w:sz="0" w:space="0" w:color="auto"/>
            <w:right w:val="none" w:sz="0" w:space="0" w:color="auto"/>
          </w:divBdr>
        </w:div>
        <w:div w:id="600065391">
          <w:marLeft w:val="0"/>
          <w:marRight w:val="0"/>
          <w:marTop w:val="0"/>
          <w:marBottom w:val="0"/>
          <w:divBdr>
            <w:top w:val="none" w:sz="0" w:space="0" w:color="auto"/>
            <w:left w:val="none" w:sz="0" w:space="0" w:color="auto"/>
            <w:bottom w:val="none" w:sz="0" w:space="0" w:color="auto"/>
            <w:right w:val="none" w:sz="0" w:space="0" w:color="auto"/>
          </w:divBdr>
        </w:div>
        <w:div w:id="622461251">
          <w:marLeft w:val="0"/>
          <w:marRight w:val="0"/>
          <w:marTop w:val="0"/>
          <w:marBottom w:val="0"/>
          <w:divBdr>
            <w:top w:val="none" w:sz="0" w:space="0" w:color="auto"/>
            <w:left w:val="none" w:sz="0" w:space="0" w:color="auto"/>
            <w:bottom w:val="none" w:sz="0" w:space="0" w:color="auto"/>
            <w:right w:val="none" w:sz="0" w:space="0" w:color="auto"/>
          </w:divBdr>
        </w:div>
        <w:div w:id="652686830">
          <w:marLeft w:val="0"/>
          <w:marRight w:val="0"/>
          <w:marTop w:val="0"/>
          <w:marBottom w:val="0"/>
          <w:divBdr>
            <w:top w:val="none" w:sz="0" w:space="0" w:color="auto"/>
            <w:left w:val="none" w:sz="0" w:space="0" w:color="auto"/>
            <w:bottom w:val="none" w:sz="0" w:space="0" w:color="auto"/>
            <w:right w:val="none" w:sz="0" w:space="0" w:color="auto"/>
          </w:divBdr>
        </w:div>
        <w:div w:id="700401339">
          <w:marLeft w:val="0"/>
          <w:marRight w:val="0"/>
          <w:marTop w:val="0"/>
          <w:marBottom w:val="0"/>
          <w:divBdr>
            <w:top w:val="none" w:sz="0" w:space="0" w:color="auto"/>
            <w:left w:val="none" w:sz="0" w:space="0" w:color="auto"/>
            <w:bottom w:val="none" w:sz="0" w:space="0" w:color="auto"/>
            <w:right w:val="none" w:sz="0" w:space="0" w:color="auto"/>
          </w:divBdr>
        </w:div>
        <w:div w:id="851452561">
          <w:marLeft w:val="0"/>
          <w:marRight w:val="0"/>
          <w:marTop w:val="0"/>
          <w:marBottom w:val="0"/>
          <w:divBdr>
            <w:top w:val="none" w:sz="0" w:space="0" w:color="auto"/>
            <w:left w:val="none" w:sz="0" w:space="0" w:color="auto"/>
            <w:bottom w:val="none" w:sz="0" w:space="0" w:color="auto"/>
            <w:right w:val="none" w:sz="0" w:space="0" w:color="auto"/>
          </w:divBdr>
        </w:div>
        <w:div w:id="870456009">
          <w:marLeft w:val="0"/>
          <w:marRight w:val="0"/>
          <w:marTop w:val="0"/>
          <w:marBottom w:val="0"/>
          <w:divBdr>
            <w:top w:val="none" w:sz="0" w:space="0" w:color="auto"/>
            <w:left w:val="none" w:sz="0" w:space="0" w:color="auto"/>
            <w:bottom w:val="none" w:sz="0" w:space="0" w:color="auto"/>
            <w:right w:val="none" w:sz="0" w:space="0" w:color="auto"/>
          </w:divBdr>
        </w:div>
        <w:div w:id="935745332">
          <w:marLeft w:val="0"/>
          <w:marRight w:val="0"/>
          <w:marTop w:val="0"/>
          <w:marBottom w:val="0"/>
          <w:divBdr>
            <w:top w:val="none" w:sz="0" w:space="0" w:color="auto"/>
            <w:left w:val="none" w:sz="0" w:space="0" w:color="auto"/>
            <w:bottom w:val="none" w:sz="0" w:space="0" w:color="auto"/>
            <w:right w:val="none" w:sz="0" w:space="0" w:color="auto"/>
          </w:divBdr>
        </w:div>
        <w:div w:id="1058935811">
          <w:marLeft w:val="0"/>
          <w:marRight w:val="0"/>
          <w:marTop w:val="0"/>
          <w:marBottom w:val="0"/>
          <w:divBdr>
            <w:top w:val="none" w:sz="0" w:space="0" w:color="auto"/>
            <w:left w:val="none" w:sz="0" w:space="0" w:color="auto"/>
            <w:bottom w:val="none" w:sz="0" w:space="0" w:color="auto"/>
            <w:right w:val="none" w:sz="0" w:space="0" w:color="auto"/>
          </w:divBdr>
        </w:div>
        <w:div w:id="1126239374">
          <w:marLeft w:val="-75"/>
          <w:marRight w:val="0"/>
          <w:marTop w:val="30"/>
          <w:marBottom w:val="30"/>
          <w:divBdr>
            <w:top w:val="none" w:sz="0" w:space="0" w:color="auto"/>
            <w:left w:val="none" w:sz="0" w:space="0" w:color="auto"/>
            <w:bottom w:val="none" w:sz="0" w:space="0" w:color="auto"/>
            <w:right w:val="none" w:sz="0" w:space="0" w:color="auto"/>
          </w:divBdr>
          <w:divsChild>
            <w:div w:id="124858305">
              <w:marLeft w:val="0"/>
              <w:marRight w:val="0"/>
              <w:marTop w:val="0"/>
              <w:marBottom w:val="0"/>
              <w:divBdr>
                <w:top w:val="none" w:sz="0" w:space="0" w:color="auto"/>
                <w:left w:val="none" w:sz="0" w:space="0" w:color="auto"/>
                <w:bottom w:val="none" w:sz="0" w:space="0" w:color="auto"/>
                <w:right w:val="none" w:sz="0" w:space="0" w:color="auto"/>
              </w:divBdr>
              <w:divsChild>
                <w:div w:id="879393584">
                  <w:marLeft w:val="0"/>
                  <w:marRight w:val="0"/>
                  <w:marTop w:val="0"/>
                  <w:marBottom w:val="0"/>
                  <w:divBdr>
                    <w:top w:val="none" w:sz="0" w:space="0" w:color="auto"/>
                    <w:left w:val="none" w:sz="0" w:space="0" w:color="auto"/>
                    <w:bottom w:val="none" w:sz="0" w:space="0" w:color="auto"/>
                    <w:right w:val="none" w:sz="0" w:space="0" w:color="auto"/>
                  </w:divBdr>
                </w:div>
              </w:divsChild>
            </w:div>
            <w:div w:id="139084340">
              <w:marLeft w:val="0"/>
              <w:marRight w:val="0"/>
              <w:marTop w:val="0"/>
              <w:marBottom w:val="0"/>
              <w:divBdr>
                <w:top w:val="none" w:sz="0" w:space="0" w:color="auto"/>
                <w:left w:val="none" w:sz="0" w:space="0" w:color="auto"/>
                <w:bottom w:val="none" w:sz="0" w:space="0" w:color="auto"/>
                <w:right w:val="none" w:sz="0" w:space="0" w:color="auto"/>
              </w:divBdr>
              <w:divsChild>
                <w:div w:id="1579096116">
                  <w:marLeft w:val="0"/>
                  <w:marRight w:val="0"/>
                  <w:marTop w:val="0"/>
                  <w:marBottom w:val="0"/>
                  <w:divBdr>
                    <w:top w:val="none" w:sz="0" w:space="0" w:color="auto"/>
                    <w:left w:val="none" w:sz="0" w:space="0" w:color="auto"/>
                    <w:bottom w:val="none" w:sz="0" w:space="0" w:color="auto"/>
                    <w:right w:val="none" w:sz="0" w:space="0" w:color="auto"/>
                  </w:divBdr>
                </w:div>
              </w:divsChild>
            </w:div>
            <w:div w:id="257297900">
              <w:marLeft w:val="0"/>
              <w:marRight w:val="0"/>
              <w:marTop w:val="0"/>
              <w:marBottom w:val="0"/>
              <w:divBdr>
                <w:top w:val="none" w:sz="0" w:space="0" w:color="auto"/>
                <w:left w:val="none" w:sz="0" w:space="0" w:color="auto"/>
                <w:bottom w:val="none" w:sz="0" w:space="0" w:color="auto"/>
                <w:right w:val="none" w:sz="0" w:space="0" w:color="auto"/>
              </w:divBdr>
              <w:divsChild>
                <w:div w:id="354235933">
                  <w:marLeft w:val="0"/>
                  <w:marRight w:val="0"/>
                  <w:marTop w:val="0"/>
                  <w:marBottom w:val="0"/>
                  <w:divBdr>
                    <w:top w:val="none" w:sz="0" w:space="0" w:color="auto"/>
                    <w:left w:val="none" w:sz="0" w:space="0" w:color="auto"/>
                    <w:bottom w:val="none" w:sz="0" w:space="0" w:color="auto"/>
                    <w:right w:val="none" w:sz="0" w:space="0" w:color="auto"/>
                  </w:divBdr>
                </w:div>
              </w:divsChild>
            </w:div>
            <w:div w:id="724568464">
              <w:marLeft w:val="0"/>
              <w:marRight w:val="0"/>
              <w:marTop w:val="0"/>
              <w:marBottom w:val="0"/>
              <w:divBdr>
                <w:top w:val="none" w:sz="0" w:space="0" w:color="auto"/>
                <w:left w:val="none" w:sz="0" w:space="0" w:color="auto"/>
                <w:bottom w:val="none" w:sz="0" w:space="0" w:color="auto"/>
                <w:right w:val="none" w:sz="0" w:space="0" w:color="auto"/>
              </w:divBdr>
              <w:divsChild>
                <w:div w:id="702487245">
                  <w:marLeft w:val="0"/>
                  <w:marRight w:val="0"/>
                  <w:marTop w:val="0"/>
                  <w:marBottom w:val="0"/>
                  <w:divBdr>
                    <w:top w:val="none" w:sz="0" w:space="0" w:color="auto"/>
                    <w:left w:val="none" w:sz="0" w:space="0" w:color="auto"/>
                    <w:bottom w:val="none" w:sz="0" w:space="0" w:color="auto"/>
                    <w:right w:val="none" w:sz="0" w:space="0" w:color="auto"/>
                  </w:divBdr>
                </w:div>
              </w:divsChild>
            </w:div>
            <w:div w:id="827790452">
              <w:marLeft w:val="0"/>
              <w:marRight w:val="0"/>
              <w:marTop w:val="0"/>
              <w:marBottom w:val="0"/>
              <w:divBdr>
                <w:top w:val="none" w:sz="0" w:space="0" w:color="auto"/>
                <w:left w:val="none" w:sz="0" w:space="0" w:color="auto"/>
                <w:bottom w:val="none" w:sz="0" w:space="0" w:color="auto"/>
                <w:right w:val="none" w:sz="0" w:space="0" w:color="auto"/>
              </w:divBdr>
              <w:divsChild>
                <w:div w:id="143014157">
                  <w:marLeft w:val="0"/>
                  <w:marRight w:val="0"/>
                  <w:marTop w:val="0"/>
                  <w:marBottom w:val="0"/>
                  <w:divBdr>
                    <w:top w:val="none" w:sz="0" w:space="0" w:color="auto"/>
                    <w:left w:val="none" w:sz="0" w:space="0" w:color="auto"/>
                    <w:bottom w:val="none" w:sz="0" w:space="0" w:color="auto"/>
                    <w:right w:val="none" w:sz="0" w:space="0" w:color="auto"/>
                  </w:divBdr>
                </w:div>
              </w:divsChild>
            </w:div>
            <w:div w:id="1012800098">
              <w:marLeft w:val="0"/>
              <w:marRight w:val="0"/>
              <w:marTop w:val="0"/>
              <w:marBottom w:val="0"/>
              <w:divBdr>
                <w:top w:val="none" w:sz="0" w:space="0" w:color="auto"/>
                <w:left w:val="none" w:sz="0" w:space="0" w:color="auto"/>
                <w:bottom w:val="none" w:sz="0" w:space="0" w:color="auto"/>
                <w:right w:val="none" w:sz="0" w:space="0" w:color="auto"/>
              </w:divBdr>
              <w:divsChild>
                <w:div w:id="1119034615">
                  <w:marLeft w:val="0"/>
                  <w:marRight w:val="0"/>
                  <w:marTop w:val="0"/>
                  <w:marBottom w:val="0"/>
                  <w:divBdr>
                    <w:top w:val="none" w:sz="0" w:space="0" w:color="auto"/>
                    <w:left w:val="none" w:sz="0" w:space="0" w:color="auto"/>
                    <w:bottom w:val="none" w:sz="0" w:space="0" w:color="auto"/>
                    <w:right w:val="none" w:sz="0" w:space="0" w:color="auto"/>
                  </w:divBdr>
                </w:div>
              </w:divsChild>
            </w:div>
            <w:div w:id="1080567791">
              <w:marLeft w:val="0"/>
              <w:marRight w:val="0"/>
              <w:marTop w:val="0"/>
              <w:marBottom w:val="0"/>
              <w:divBdr>
                <w:top w:val="none" w:sz="0" w:space="0" w:color="auto"/>
                <w:left w:val="none" w:sz="0" w:space="0" w:color="auto"/>
                <w:bottom w:val="none" w:sz="0" w:space="0" w:color="auto"/>
                <w:right w:val="none" w:sz="0" w:space="0" w:color="auto"/>
              </w:divBdr>
              <w:divsChild>
                <w:div w:id="1677225253">
                  <w:marLeft w:val="0"/>
                  <w:marRight w:val="0"/>
                  <w:marTop w:val="0"/>
                  <w:marBottom w:val="0"/>
                  <w:divBdr>
                    <w:top w:val="none" w:sz="0" w:space="0" w:color="auto"/>
                    <w:left w:val="none" w:sz="0" w:space="0" w:color="auto"/>
                    <w:bottom w:val="none" w:sz="0" w:space="0" w:color="auto"/>
                    <w:right w:val="none" w:sz="0" w:space="0" w:color="auto"/>
                  </w:divBdr>
                </w:div>
              </w:divsChild>
            </w:div>
            <w:div w:id="1181041468">
              <w:marLeft w:val="0"/>
              <w:marRight w:val="0"/>
              <w:marTop w:val="0"/>
              <w:marBottom w:val="0"/>
              <w:divBdr>
                <w:top w:val="none" w:sz="0" w:space="0" w:color="auto"/>
                <w:left w:val="none" w:sz="0" w:space="0" w:color="auto"/>
                <w:bottom w:val="none" w:sz="0" w:space="0" w:color="auto"/>
                <w:right w:val="none" w:sz="0" w:space="0" w:color="auto"/>
              </w:divBdr>
              <w:divsChild>
                <w:div w:id="976957392">
                  <w:marLeft w:val="0"/>
                  <w:marRight w:val="0"/>
                  <w:marTop w:val="0"/>
                  <w:marBottom w:val="0"/>
                  <w:divBdr>
                    <w:top w:val="none" w:sz="0" w:space="0" w:color="auto"/>
                    <w:left w:val="none" w:sz="0" w:space="0" w:color="auto"/>
                    <w:bottom w:val="none" w:sz="0" w:space="0" w:color="auto"/>
                    <w:right w:val="none" w:sz="0" w:space="0" w:color="auto"/>
                  </w:divBdr>
                </w:div>
              </w:divsChild>
            </w:div>
            <w:div w:id="1191264618">
              <w:marLeft w:val="0"/>
              <w:marRight w:val="0"/>
              <w:marTop w:val="0"/>
              <w:marBottom w:val="0"/>
              <w:divBdr>
                <w:top w:val="none" w:sz="0" w:space="0" w:color="auto"/>
                <w:left w:val="none" w:sz="0" w:space="0" w:color="auto"/>
                <w:bottom w:val="none" w:sz="0" w:space="0" w:color="auto"/>
                <w:right w:val="none" w:sz="0" w:space="0" w:color="auto"/>
              </w:divBdr>
              <w:divsChild>
                <w:div w:id="49036117">
                  <w:marLeft w:val="0"/>
                  <w:marRight w:val="0"/>
                  <w:marTop w:val="0"/>
                  <w:marBottom w:val="0"/>
                  <w:divBdr>
                    <w:top w:val="none" w:sz="0" w:space="0" w:color="auto"/>
                    <w:left w:val="none" w:sz="0" w:space="0" w:color="auto"/>
                    <w:bottom w:val="none" w:sz="0" w:space="0" w:color="auto"/>
                    <w:right w:val="none" w:sz="0" w:space="0" w:color="auto"/>
                  </w:divBdr>
                </w:div>
              </w:divsChild>
            </w:div>
            <w:div w:id="1322462310">
              <w:marLeft w:val="0"/>
              <w:marRight w:val="0"/>
              <w:marTop w:val="0"/>
              <w:marBottom w:val="0"/>
              <w:divBdr>
                <w:top w:val="none" w:sz="0" w:space="0" w:color="auto"/>
                <w:left w:val="none" w:sz="0" w:space="0" w:color="auto"/>
                <w:bottom w:val="none" w:sz="0" w:space="0" w:color="auto"/>
                <w:right w:val="none" w:sz="0" w:space="0" w:color="auto"/>
              </w:divBdr>
              <w:divsChild>
                <w:div w:id="20474032">
                  <w:marLeft w:val="0"/>
                  <w:marRight w:val="0"/>
                  <w:marTop w:val="0"/>
                  <w:marBottom w:val="0"/>
                  <w:divBdr>
                    <w:top w:val="none" w:sz="0" w:space="0" w:color="auto"/>
                    <w:left w:val="none" w:sz="0" w:space="0" w:color="auto"/>
                    <w:bottom w:val="none" w:sz="0" w:space="0" w:color="auto"/>
                    <w:right w:val="none" w:sz="0" w:space="0" w:color="auto"/>
                  </w:divBdr>
                </w:div>
              </w:divsChild>
            </w:div>
            <w:div w:id="1360813866">
              <w:marLeft w:val="0"/>
              <w:marRight w:val="0"/>
              <w:marTop w:val="0"/>
              <w:marBottom w:val="0"/>
              <w:divBdr>
                <w:top w:val="none" w:sz="0" w:space="0" w:color="auto"/>
                <w:left w:val="none" w:sz="0" w:space="0" w:color="auto"/>
                <w:bottom w:val="none" w:sz="0" w:space="0" w:color="auto"/>
                <w:right w:val="none" w:sz="0" w:space="0" w:color="auto"/>
              </w:divBdr>
              <w:divsChild>
                <w:div w:id="431825991">
                  <w:marLeft w:val="0"/>
                  <w:marRight w:val="0"/>
                  <w:marTop w:val="0"/>
                  <w:marBottom w:val="0"/>
                  <w:divBdr>
                    <w:top w:val="none" w:sz="0" w:space="0" w:color="auto"/>
                    <w:left w:val="none" w:sz="0" w:space="0" w:color="auto"/>
                    <w:bottom w:val="none" w:sz="0" w:space="0" w:color="auto"/>
                    <w:right w:val="none" w:sz="0" w:space="0" w:color="auto"/>
                  </w:divBdr>
                </w:div>
              </w:divsChild>
            </w:div>
            <w:div w:id="1750686451">
              <w:marLeft w:val="0"/>
              <w:marRight w:val="0"/>
              <w:marTop w:val="0"/>
              <w:marBottom w:val="0"/>
              <w:divBdr>
                <w:top w:val="none" w:sz="0" w:space="0" w:color="auto"/>
                <w:left w:val="none" w:sz="0" w:space="0" w:color="auto"/>
                <w:bottom w:val="none" w:sz="0" w:space="0" w:color="auto"/>
                <w:right w:val="none" w:sz="0" w:space="0" w:color="auto"/>
              </w:divBdr>
              <w:divsChild>
                <w:div w:id="16051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1961">
          <w:marLeft w:val="0"/>
          <w:marRight w:val="0"/>
          <w:marTop w:val="0"/>
          <w:marBottom w:val="0"/>
          <w:divBdr>
            <w:top w:val="none" w:sz="0" w:space="0" w:color="auto"/>
            <w:left w:val="none" w:sz="0" w:space="0" w:color="auto"/>
            <w:bottom w:val="none" w:sz="0" w:space="0" w:color="auto"/>
            <w:right w:val="none" w:sz="0" w:space="0" w:color="auto"/>
          </w:divBdr>
        </w:div>
        <w:div w:id="1417701245">
          <w:marLeft w:val="0"/>
          <w:marRight w:val="0"/>
          <w:marTop w:val="0"/>
          <w:marBottom w:val="0"/>
          <w:divBdr>
            <w:top w:val="none" w:sz="0" w:space="0" w:color="auto"/>
            <w:left w:val="none" w:sz="0" w:space="0" w:color="auto"/>
            <w:bottom w:val="none" w:sz="0" w:space="0" w:color="auto"/>
            <w:right w:val="none" w:sz="0" w:space="0" w:color="auto"/>
          </w:divBdr>
        </w:div>
        <w:div w:id="1456872748">
          <w:marLeft w:val="0"/>
          <w:marRight w:val="0"/>
          <w:marTop w:val="0"/>
          <w:marBottom w:val="0"/>
          <w:divBdr>
            <w:top w:val="none" w:sz="0" w:space="0" w:color="auto"/>
            <w:left w:val="none" w:sz="0" w:space="0" w:color="auto"/>
            <w:bottom w:val="none" w:sz="0" w:space="0" w:color="auto"/>
            <w:right w:val="none" w:sz="0" w:space="0" w:color="auto"/>
          </w:divBdr>
        </w:div>
        <w:div w:id="1478692379">
          <w:marLeft w:val="0"/>
          <w:marRight w:val="0"/>
          <w:marTop w:val="0"/>
          <w:marBottom w:val="0"/>
          <w:divBdr>
            <w:top w:val="none" w:sz="0" w:space="0" w:color="auto"/>
            <w:left w:val="none" w:sz="0" w:space="0" w:color="auto"/>
            <w:bottom w:val="none" w:sz="0" w:space="0" w:color="auto"/>
            <w:right w:val="none" w:sz="0" w:space="0" w:color="auto"/>
          </w:divBdr>
        </w:div>
        <w:div w:id="1589387315">
          <w:marLeft w:val="0"/>
          <w:marRight w:val="0"/>
          <w:marTop w:val="0"/>
          <w:marBottom w:val="0"/>
          <w:divBdr>
            <w:top w:val="none" w:sz="0" w:space="0" w:color="auto"/>
            <w:left w:val="none" w:sz="0" w:space="0" w:color="auto"/>
            <w:bottom w:val="none" w:sz="0" w:space="0" w:color="auto"/>
            <w:right w:val="none" w:sz="0" w:space="0" w:color="auto"/>
          </w:divBdr>
        </w:div>
        <w:div w:id="1707753525">
          <w:marLeft w:val="0"/>
          <w:marRight w:val="0"/>
          <w:marTop w:val="0"/>
          <w:marBottom w:val="0"/>
          <w:divBdr>
            <w:top w:val="none" w:sz="0" w:space="0" w:color="auto"/>
            <w:left w:val="none" w:sz="0" w:space="0" w:color="auto"/>
            <w:bottom w:val="none" w:sz="0" w:space="0" w:color="auto"/>
            <w:right w:val="none" w:sz="0" w:space="0" w:color="auto"/>
          </w:divBdr>
        </w:div>
        <w:div w:id="2127432669">
          <w:marLeft w:val="0"/>
          <w:marRight w:val="0"/>
          <w:marTop w:val="0"/>
          <w:marBottom w:val="0"/>
          <w:divBdr>
            <w:top w:val="none" w:sz="0" w:space="0" w:color="auto"/>
            <w:left w:val="none" w:sz="0" w:space="0" w:color="auto"/>
            <w:bottom w:val="none" w:sz="0" w:space="0" w:color="auto"/>
            <w:right w:val="none" w:sz="0" w:space="0" w:color="auto"/>
          </w:divBdr>
        </w:div>
        <w:div w:id="2134518899">
          <w:marLeft w:val="0"/>
          <w:marRight w:val="0"/>
          <w:marTop w:val="0"/>
          <w:marBottom w:val="0"/>
          <w:divBdr>
            <w:top w:val="none" w:sz="0" w:space="0" w:color="auto"/>
            <w:left w:val="none" w:sz="0" w:space="0" w:color="auto"/>
            <w:bottom w:val="none" w:sz="0" w:space="0" w:color="auto"/>
            <w:right w:val="none" w:sz="0" w:space="0" w:color="auto"/>
          </w:divBdr>
        </w:div>
      </w:divsChild>
    </w:div>
    <w:div w:id="786656050">
      <w:bodyDiv w:val="1"/>
      <w:marLeft w:val="0"/>
      <w:marRight w:val="0"/>
      <w:marTop w:val="0"/>
      <w:marBottom w:val="0"/>
      <w:divBdr>
        <w:top w:val="none" w:sz="0" w:space="0" w:color="auto"/>
        <w:left w:val="none" w:sz="0" w:space="0" w:color="auto"/>
        <w:bottom w:val="none" w:sz="0" w:space="0" w:color="auto"/>
        <w:right w:val="none" w:sz="0" w:space="0" w:color="auto"/>
      </w:divBdr>
    </w:div>
    <w:div w:id="79803518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0029400">
      <w:bodyDiv w:val="1"/>
      <w:marLeft w:val="0"/>
      <w:marRight w:val="0"/>
      <w:marTop w:val="0"/>
      <w:marBottom w:val="0"/>
      <w:divBdr>
        <w:top w:val="none" w:sz="0" w:space="0" w:color="auto"/>
        <w:left w:val="none" w:sz="0" w:space="0" w:color="auto"/>
        <w:bottom w:val="none" w:sz="0" w:space="0" w:color="auto"/>
        <w:right w:val="none" w:sz="0" w:space="0" w:color="auto"/>
      </w:divBdr>
    </w:div>
    <w:div w:id="929970376">
      <w:bodyDiv w:val="1"/>
      <w:marLeft w:val="0"/>
      <w:marRight w:val="0"/>
      <w:marTop w:val="0"/>
      <w:marBottom w:val="0"/>
      <w:divBdr>
        <w:top w:val="none" w:sz="0" w:space="0" w:color="auto"/>
        <w:left w:val="none" w:sz="0" w:space="0" w:color="auto"/>
        <w:bottom w:val="none" w:sz="0" w:space="0" w:color="auto"/>
        <w:right w:val="none" w:sz="0" w:space="0" w:color="auto"/>
      </w:divBdr>
    </w:div>
    <w:div w:id="961108240">
      <w:bodyDiv w:val="1"/>
      <w:marLeft w:val="0"/>
      <w:marRight w:val="0"/>
      <w:marTop w:val="0"/>
      <w:marBottom w:val="0"/>
      <w:divBdr>
        <w:top w:val="none" w:sz="0" w:space="0" w:color="auto"/>
        <w:left w:val="none" w:sz="0" w:space="0" w:color="auto"/>
        <w:bottom w:val="none" w:sz="0" w:space="0" w:color="auto"/>
        <w:right w:val="none" w:sz="0" w:space="0" w:color="auto"/>
      </w:divBdr>
      <w:divsChild>
        <w:div w:id="1721829565">
          <w:marLeft w:val="0"/>
          <w:marRight w:val="0"/>
          <w:marTop w:val="0"/>
          <w:marBottom w:val="0"/>
          <w:divBdr>
            <w:top w:val="none" w:sz="0" w:space="0" w:color="auto"/>
            <w:left w:val="none" w:sz="0" w:space="0" w:color="auto"/>
            <w:bottom w:val="none" w:sz="0" w:space="0" w:color="auto"/>
            <w:right w:val="none" w:sz="0" w:space="0" w:color="auto"/>
          </w:divBdr>
          <w:divsChild>
            <w:div w:id="15533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831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3446033">
      <w:bodyDiv w:val="1"/>
      <w:marLeft w:val="0"/>
      <w:marRight w:val="0"/>
      <w:marTop w:val="0"/>
      <w:marBottom w:val="0"/>
      <w:divBdr>
        <w:top w:val="none" w:sz="0" w:space="0" w:color="auto"/>
        <w:left w:val="none" w:sz="0" w:space="0" w:color="auto"/>
        <w:bottom w:val="none" w:sz="0" w:space="0" w:color="auto"/>
        <w:right w:val="none" w:sz="0" w:space="0" w:color="auto"/>
      </w:divBdr>
    </w:div>
    <w:div w:id="1469474393">
      <w:bodyDiv w:val="1"/>
      <w:marLeft w:val="0"/>
      <w:marRight w:val="0"/>
      <w:marTop w:val="0"/>
      <w:marBottom w:val="0"/>
      <w:divBdr>
        <w:top w:val="none" w:sz="0" w:space="0" w:color="auto"/>
        <w:left w:val="none" w:sz="0" w:space="0" w:color="auto"/>
        <w:bottom w:val="none" w:sz="0" w:space="0" w:color="auto"/>
        <w:right w:val="none" w:sz="0" w:space="0" w:color="auto"/>
      </w:divBdr>
    </w:div>
    <w:div w:id="1515656005">
      <w:bodyDiv w:val="1"/>
      <w:marLeft w:val="0"/>
      <w:marRight w:val="0"/>
      <w:marTop w:val="0"/>
      <w:marBottom w:val="0"/>
      <w:divBdr>
        <w:top w:val="none" w:sz="0" w:space="0" w:color="auto"/>
        <w:left w:val="none" w:sz="0" w:space="0" w:color="auto"/>
        <w:bottom w:val="none" w:sz="0" w:space="0" w:color="auto"/>
        <w:right w:val="none" w:sz="0" w:space="0" w:color="auto"/>
      </w:divBdr>
    </w:div>
    <w:div w:id="1522625963">
      <w:bodyDiv w:val="1"/>
      <w:marLeft w:val="0"/>
      <w:marRight w:val="0"/>
      <w:marTop w:val="0"/>
      <w:marBottom w:val="0"/>
      <w:divBdr>
        <w:top w:val="none" w:sz="0" w:space="0" w:color="auto"/>
        <w:left w:val="none" w:sz="0" w:space="0" w:color="auto"/>
        <w:bottom w:val="none" w:sz="0" w:space="0" w:color="auto"/>
        <w:right w:val="none" w:sz="0" w:space="0" w:color="auto"/>
      </w:divBdr>
    </w:div>
    <w:div w:id="1533347488">
      <w:bodyDiv w:val="1"/>
      <w:marLeft w:val="0"/>
      <w:marRight w:val="0"/>
      <w:marTop w:val="0"/>
      <w:marBottom w:val="0"/>
      <w:divBdr>
        <w:top w:val="none" w:sz="0" w:space="0" w:color="auto"/>
        <w:left w:val="none" w:sz="0" w:space="0" w:color="auto"/>
        <w:bottom w:val="none" w:sz="0" w:space="0" w:color="auto"/>
        <w:right w:val="none" w:sz="0" w:space="0" w:color="auto"/>
      </w:divBdr>
    </w:div>
    <w:div w:id="1714768873">
      <w:bodyDiv w:val="1"/>
      <w:marLeft w:val="0"/>
      <w:marRight w:val="0"/>
      <w:marTop w:val="0"/>
      <w:marBottom w:val="0"/>
      <w:divBdr>
        <w:top w:val="none" w:sz="0" w:space="0" w:color="auto"/>
        <w:left w:val="none" w:sz="0" w:space="0" w:color="auto"/>
        <w:bottom w:val="none" w:sz="0" w:space="0" w:color="auto"/>
        <w:right w:val="none" w:sz="0" w:space="0" w:color="auto"/>
      </w:divBdr>
    </w:div>
    <w:div w:id="1725134734">
      <w:bodyDiv w:val="1"/>
      <w:marLeft w:val="0"/>
      <w:marRight w:val="0"/>
      <w:marTop w:val="0"/>
      <w:marBottom w:val="0"/>
      <w:divBdr>
        <w:top w:val="none" w:sz="0" w:space="0" w:color="auto"/>
        <w:left w:val="none" w:sz="0" w:space="0" w:color="auto"/>
        <w:bottom w:val="none" w:sz="0" w:space="0" w:color="auto"/>
        <w:right w:val="none" w:sz="0" w:space="0" w:color="auto"/>
      </w:divBdr>
    </w:div>
    <w:div w:id="1925914723">
      <w:bodyDiv w:val="1"/>
      <w:marLeft w:val="0"/>
      <w:marRight w:val="0"/>
      <w:marTop w:val="0"/>
      <w:marBottom w:val="0"/>
      <w:divBdr>
        <w:top w:val="none" w:sz="0" w:space="0" w:color="auto"/>
        <w:left w:val="none" w:sz="0" w:space="0" w:color="auto"/>
        <w:bottom w:val="none" w:sz="0" w:space="0" w:color="auto"/>
        <w:right w:val="none" w:sz="0" w:space="0" w:color="auto"/>
      </w:divBdr>
      <w:divsChild>
        <w:div w:id="816145598">
          <w:marLeft w:val="0"/>
          <w:marRight w:val="0"/>
          <w:marTop w:val="0"/>
          <w:marBottom w:val="0"/>
          <w:divBdr>
            <w:top w:val="none" w:sz="0" w:space="0" w:color="auto"/>
            <w:left w:val="none" w:sz="0" w:space="0" w:color="auto"/>
            <w:bottom w:val="none" w:sz="0" w:space="0" w:color="auto"/>
            <w:right w:val="none" w:sz="0" w:space="0" w:color="auto"/>
          </w:divBdr>
          <w:divsChild>
            <w:div w:id="6966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0184071">
      <w:bodyDiv w:val="1"/>
      <w:marLeft w:val="0"/>
      <w:marRight w:val="0"/>
      <w:marTop w:val="0"/>
      <w:marBottom w:val="0"/>
      <w:divBdr>
        <w:top w:val="none" w:sz="0" w:space="0" w:color="auto"/>
        <w:left w:val="none" w:sz="0" w:space="0" w:color="auto"/>
        <w:bottom w:val="none" w:sz="0" w:space="0" w:color="auto"/>
        <w:right w:val="none" w:sz="0" w:space="0" w:color="auto"/>
      </w:divBdr>
    </w:div>
    <w:div w:id="2072995546">
      <w:bodyDiv w:val="1"/>
      <w:marLeft w:val="0"/>
      <w:marRight w:val="0"/>
      <w:marTop w:val="0"/>
      <w:marBottom w:val="0"/>
      <w:divBdr>
        <w:top w:val="none" w:sz="0" w:space="0" w:color="auto"/>
        <w:left w:val="none" w:sz="0" w:space="0" w:color="auto"/>
        <w:bottom w:val="none" w:sz="0" w:space="0" w:color="auto"/>
        <w:right w:val="none" w:sz="0" w:space="0" w:color="auto"/>
      </w:divBdr>
    </w:div>
    <w:div w:id="2084839527">
      <w:bodyDiv w:val="1"/>
      <w:marLeft w:val="0"/>
      <w:marRight w:val="0"/>
      <w:marTop w:val="0"/>
      <w:marBottom w:val="0"/>
      <w:divBdr>
        <w:top w:val="none" w:sz="0" w:space="0" w:color="auto"/>
        <w:left w:val="none" w:sz="0" w:space="0" w:color="auto"/>
        <w:bottom w:val="none" w:sz="0" w:space="0" w:color="auto"/>
        <w:right w:val="none" w:sz="0" w:space="0" w:color="auto"/>
      </w:divBdr>
    </w:div>
    <w:div w:id="2089837063">
      <w:bodyDiv w:val="1"/>
      <w:marLeft w:val="0"/>
      <w:marRight w:val="0"/>
      <w:marTop w:val="0"/>
      <w:marBottom w:val="0"/>
      <w:divBdr>
        <w:top w:val="none" w:sz="0" w:space="0" w:color="auto"/>
        <w:left w:val="none" w:sz="0" w:space="0" w:color="auto"/>
        <w:bottom w:val="none" w:sz="0" w:space="0" w:color="auto"/>
        <w:right w:val="none" w:sz="0" w:space="0" w:color="auto"/>
      </w:divBdr>
    </w:div>
    <w:div w:id="21388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2/14651858.CD009882.pu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32ADB3A-0CA2-4F4A-88CE-B1267B1E335C}">
  <ds:schemaRefs>
    <ds:schemaRef ds:uri="http://schemas.openxmlformats.org/officeDocument/2006/bibliography"/>
  </ds:schemaRefs>
</ds:datastoreItem>
</file>

<file path=customXml/itemProps2.xml><?xml version="1.0" encoding="utf-8"?>
<ds:datastoreItem xmlns:ds="http://schemas.openxmlformats.org/officeDocument/2006/customXml" ds:itemID="{91B2B152-ED25-475F-AEBA-86264F5ACB94}"/>
</file>

<file path=customXml/itemProps3.xml><?xml version="1.0" encoding="utf-8"?>
<ds:datastoreItem xmlns:ds="http://schemas.openxmlformats.org/officeDocument/2006/customXml" ds:itemID="{62FE2A4C-D3C6-48D5-8343-B957C6FBE9D9}"/>
</file>

<file path=customXml/itemProps4.xml><?xml version="1.0" encoding="utf-8"?>
<ds:datastoreItem xmlns:ds="http://schemas.openxmlformats.org/officeDocument/2006/customXml" ds:itemID="{671FCA79-0990-46C0-8566-22ECD5B7E849}"/>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13676</Words>
  <Characters>76302</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89799</CharactersWithSpaces>
  <SharedDoc>false</SharedDoc>
  <HLinks>
    <vt:vector size="6" baseType="variant">
      <vt:variant>
        <vt:i4>2621497</vt:i4>
      </vt:variant>
      <vt:variant>
        <vt:i4>0</vt:i4>
      </vt:variant>
      <vt:variant>
        <vt:i4>0</vt:i4>
      </vt:variant>
      <vt:variant>
        <vt:i4>5</vt:i4>
      </vt:variant>
      <vt:variant>
        <vt:lpwstr>https://doi.org/10.1002/14651858.CD009882.pub3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2025-08-26T08:46:00Z</dcterms:created>
  <dcterms:modified xsi:type="dcterms:W3CDTF">2025-08-26T08:47:00Z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99e0500,62e29a08,78d0fdc2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1e7acec1,5f8dedc4,600b2cae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2025-08-26T08:47:13Z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ddc3e51a-f69c-4d1a-856d-2d34cc1305bd</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