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2292089D" w:rsidR="00872E8F" w:rsidRPr="00A6439B" w:rsidRDefault="000D4A3A" w:rsidP="00361246">
      <w:pPr>
        <w:pStyle w:val="1MainTitle"/>
        <w:jc w:val="left"/>
      </w:pPr>
      <w:r>
        <w:t>6</w:t>
      </w:r>
      <w:r w:rsidR="70971A32" w:rsidRPr="00A6439B">
        <w:t>.</w:t>
      </w:r>
      <w:r>
        <w:t>10</w:t>
      </w:r>
      <w:r w:rsidR="00872E8F" w:rsidRPr="00A6439B">
        <w:tab/>
      </w:r>
      <w:r w:rsidRPr="000D4A3A">
        <w:t>CANNABIDIOL</w:t>
      </w:r>
      <w:r w:rsidR="70971A32" w:rsidRPr="00A6439B">
        <w:t>,</w:t>
      </w:r>
      <w:r w:rsidR="00872E8F" w:rsidRPr="00A6439B">
        <w:br/>
      </w:r>
      <w:r w:rsidR="0029720F" w:rsidRPr="0029720F">
        <w:t>Oral liquid 100 mg per mL, 100 mL</w:t>
      </w:r>
      <w:r w:rsidR="70971A32" w:rsidRPr="00A6439B">
        <w:t>,</w:t>
      </w:r>
      <w:r w:rsidR="00872E8F" w:rsidRPr="00A6439B">
        <w:br/>
      </w:r>
      <w:r w:rsidR="0029720F" w:rsidRPr="0029720F">
        <w:t>Epidyolex</w:t>
      </w:r>
      <w:r w:rsidR="70971A32" w:rsidRPr="00A6439B">
        <w:t>®,</w:t>
      </w:r>
      <w:r w:rsidR="00872E8F" w:rsidRPr="00A6439B">
        <w:br/>
      </w:r>
      <w:r w:rsidR="00FE6555" w:rsidRPr="00FE6555">
        <w:t>Jazz Pharmaceuticals ANZ Pty Ltd</w:t>
      </w:r>
    </w:p>
    <w:p w14:paraId="331A03EE" w14:textId="3ABF48A5" w:rsidR="001005BF" w:rsidRPr="001005BF" w:rsidRDefault="007E490F" w:rsidP="00361246">
      <w:pPr>
        <w:pStyle w:val="2-SectionHeading"/>
      </w:pPr>
      <w:r w:rsidRPr="007E1673">
        <w:t xml:space="preserve">Purpose of </w:t>
      </w:r>
      <w:r w:rsidR="00FA0B04" w:rsidRPr="007E1673">
        <w:t>Submission</w:t>
      </w:r>
    </w:p>
    <w:p w14:paraId="74E5AF1D" w14:textId="75660425" w:rsidR="001D7BE3" w:rsidRPr="00963751" w:rsidRDefault="00EF4AD3" w:rsidP="00361246">
      <w:pPr>
        <w:pStyle w:val="3-BodyText"/>
      </w:pPr>
      <w:r w:rsidRPr="00EF4AD3">
        <w:t xml:space="preserve">The Category 3 submission requested a change to the restriction level of PBS-listed cannabidiol (Epidyolex®) for the treatment of seizures associated with Lennox-Gastaut syndrome (LGS), from Authority Required </w:t>
      </w:r>
      <w:bookmarkStart w:id="0" w:name="_Hlk198559771"/>
      <w:r w:rsidRPr="00EF4AD3">
        <w:t>(Telephone/</w:t>
      </w:r>
      <w:r w:rsidR="00E85002" w:rsidRPr="00E85002">
        <w:t>online PBS Authorities system</w:t>
      </w:r>
      <w:r w:rsidRPr="00EF4AD3">
        <w:t xml:space="preserve">) </w:t>
      </w:r>
      <w:bookmarkEnd w:id="0"/>
      <w:r w:rsidRPr="00EF4AD3">
        <w:t>to Authority Required (STREAMLINED). The submission also sought amendments to the current PBS restrictions, proposing two options:</w:t>
      </w:r>
    </w:p>
    <w:p w14:paraId="1F350BA7" w14:textId="4E47AACA" w:rsidR="00963751" w:rsidRPr="00963751" w:rsidRDefault="00CA5E0E" w:rsidP="00361246">
      <w:pPr>
        <w:pStyle w:val="ListParagraph"/>
        <w:numPr>
          <w:ilvl w:val="0"/>
          <w:numId w:val="14"/>
        </w:numPr>
        <w:spacing w:before="0"/>
        <w:ind w:left="1037" w:hanging="357"/>
        <w:rPr>
          <w:rFonts w:eastAsiaTheme="minorHAnsi" w:cstheme="minorBidi"/>
          <w:iCs/>
          <w:snapToGrid/>
          <w:color w:val="000000" w:themeColor="text1"/>
          <w:szCs w:val="22"/>
        </w:rPr>
      </w:pPr>
      <w:r w:rsidRPr="00963751">
        <w:rPr>
          <w:iCs/>
          <w:color w:val="000000" w:themeColor="text1"/>
        </w:rPr>
        <w:t>Option 1</w:t>
      </w:r>
      <w:r w:rsidR="009C0CE3" w:rsidRPr="00963751">
        <w:rPr>
          <w:iCs/>
          <w:color w:val="000000" w:themeColor="text1"/>
        </w:rPr>
        <w:t xml:space="preserve">: </w:t>
      </w:r>
      <w:r w:rsidR="00A74124" w:rsidRPr="00216548">
        <w:rPr>
          <w:rFonts w:eastAsiaTheme="minorHAnsi" w:cstheme="minorBidi"/>
          <w:iCs/>
          <w:snapToGrid/>
          <w:color w:val="000000" w:themeColor="text1"/>
          <w:szCs w:val="22"/>
        </w:rPr>
        <w:t>Change</w:t>
      </w:r>
      <w:r w:rsidR="00216548" w:rsidRPr="00216548">
        <w:rPr>
          <w:rFonts w:eastAsiaTheme="minorHAnsi" w:cstheme="minorBidi"/>
          <w:iCs/>
          <w:snapToGrid/>
          <w:color w:val="000000" w:themeColor="text1"/>
          <w:szCs w:val="22"/>
        </w:rPr>
        <w:t xml:space="preserve"> the clinical criterion requiring an electroencephalogram (EEG) to confirm the diagnosis of LGS, allowing for EEG confirmation where possible.</w:t>
      </w:r>
    </w:p>
    <w:p w14:paraId="52A9832C" w14:textId="4ED12833" w:rsidR="00C55F4E" w:rsidRPr="00C55F4E" w:rsidRDefault="00A83CDB" w:rsidP="00361246">
      <w:pPr>
        <w:pStyle w:val="3-BodyText"/>
        <w:numPr>
          <w:ilvl w:val="0"/>
          <w:numId w:val="14"/>
        </w:numPr>
        <w:spacing w:before="0"/>
        <w:ind w:left="1037" w:hanging="357"/>
        <w:rPr>
          <w:iCs/>
          <w:color w:val="000000" w:themeColor="text1"/>
        </w:rPr>
      </w:pPr>
      <w:r w:rsidRPr="00CC0024">
        <w:rPr>
          <w:iCs/>
          <w:color w:val="000000" w:themeColor="text1"/>
        </w:rPr>
        <w:t xml:space="preserve">Option 2: </w:t>
      </w:r>
      <w:r w:rsidR="009C12BA" w:rsidRPr="009C12BA">
        <w:rPr>
          <w:iCs/>
          <w:color w:val="000000" w:themeColor="text1"/>
        </w:rPr>
        <w:t>In addition to the change proposed in Option 1, remove the following requirements from the clinical criteria:</w:t>
      </w:r>
    </w:p>
    <w:p w14:paraId="4C1A1BDB" w14:textId="11973C55" w:rsidR="00C55F4E" w:rsidRPr="00C55F4E" w:rsidRDefault="00610421" w:rsidP="00361246">
      <w:pPr>
        <w:pStyle w:val="3-BodyText"/>
        <w:numPr>
          <w:ilvl w:val="0"/>
          <w:numId w:val="15"/>
        </w:numPr>
        <w:spacing w:before="0"/>
        <w:rPr>
          <w:iCs/>
          <w:color w:val="000000" w:themeColor="text1"/>
        </w:rPr>
      </w:pPr>
      <w:r w:rsidRPr="00610421">
        <w:rPr>
          <w:iCs/>
          <w:color w:val="000000" w:themeColor="text1"/>
        </w:rPr>
        <w:t xml:space="preserve">The requirement for </w:t>
      </w:r>
      <w:r w:rsidR="00207746">
        <w:rPr>
          <w:iCs/>
          <w:color w:val="000000" w:themeColor="text1"/>
        </w:rPr>
        <w:t xml:space="preserve">the </w:t>
      </w:r>
      <w:r>
        <w:rPr>
          <w:iCs/>
          <w:color w:val="000000" w:themeColor="text1"/>
        </w:rPr>
        <w:t>p</w:t>
      </w:r>
      <w:r w:rsidR="000C3B92">
        <w:rPr>
          <w:iCs/>
          <w:color w:val="000000" w:themeColor="text1"/>
        </w:rPr>
        <w:t xml:space="preserve">atient </w:t>
      </w:r>
      <w:r w:rsidR="006B6A0C" w:rsidRPr="006B6A0C">
        <w:rPr>
          <w:iCs/>
          <w:color w:val="000000" w:themeColor="text1"/>
        </w:rPr>
        <w:t xml:space="preserve">to have an EEG that </w:t>
      </w:r>
      <w:r w:rsidR="007D0765" w:rsidRPr="007D0765">
        <w:rPr>
          <w:iCs/>
          <w:color w:val="000000" w:themeColor="text1"/>
        </w:rPr>
        <w:t>showed a pattern of slow (less than 3.0 hertz) spike-and-wave discharges with generalised paroxysmal fast activity (sleep recording should be obtained where it is possible)</w:t>
      </w:r>
      <w:r w:rsidR="006B6A0C">
        <w:rPr>
          <w:iCs/>
          <w:color w:val="000000" w:themeColor="text1"/>
        </w:rPr>
        <w:t>;</w:t>
      </w:r>
    </w:p>
    <w:p w14:paraId="20AB777A" w14:textId="0A0696F7" w:rsidR="00C55F4E" w:rsidRPr="00C55F4E" w:rsidRDefault="00516920" w:rsidP="00361246">
      <w:pPr>
        <w:pStyle w:val="3-BodyText"/>
        <w:numPr>
          <w:ilvl w:val="0"/>
          <w:numId w:val="15"/>
        </w:numPr>
        <w:spacing w:before="0"/>
        <w:rPr>
          <w:iCs/>
          <w:color w:val="000000" w:themeColor="text1"/>
        </w:rPr>
      </w:pPr>
      <w:r>
        <w:rPr>
          <w:iCs/>
          <w:color w:val="000000" w:themeColor="text1"/>
        </w:rPr>
        <w:t>The r</w:t>
      </w:r>
      <w:r w:rsidR="005E6694" w:rsidRPr="005E6694">
        <w:rPr>
          <w:iCs/>
          <w:color w:val="000000" w:themeColor="text1"/>
        </w:rPr>
        <w:t xml:space="preserve">estriction </w:t>
      </w:r>
      <w:r w:rsidR="00BD6569" w:rsidRPr="00BD6569">
        <w:rPr>
          <w:iCs/>
          <w:color w:val="000000" w:themeColor="text1"/>
        </w:rPr>
        <w:t>limiting</w:t>
      </w:r>
      <w:r w:rsidR="00BD6569">
        <w:rPr>
          <w:iCs/>
          <w:color w:val="000000" w:themeColor="text1"/>
        </w:rPr>
        <w:t xml:space="preserve"> </w:t>
      </w:r>
      <w:r w:rsidR="00B27980" w:rsidRPr="00424097">
        <w:rPr>
          <w:iCs/>
          <w:color w:val="000000" w:themeColor="text1"/>
        </w:rPr>
        <w:t>seizure</w:t>
      </w:r>
      <w:r w:rsidR="008027BB">
        <w:rPr>
          <w:iCs/>
          <w:color w:val="000000" w:themeColor="text1"/>
        </w:rPr>
        <w:t xml:space="preserve"> </w:t>
      </w:r>
      <w:r w:rsidR="00B74C9D" w:rsidRPr="00B74C9D">
        <w:rPr>
          <w:iCs/>
          <w:color w:val="000000" w:themeColor="text1"/>
        </w:rPr>
        <w:t>classification</w:t>
      </w:r>
      <w:r w:rsidR="00B74C9D">
        <w:rPr>
          <w:iCs/>
          <w:color w:val="000000" w:themeColor="text1"/>
        </w:rPr>
        <w:t xml:space="preserve"> </w:t>
      </w:r>
      <w:r w:rsidR="005E6694" w:rsidRPr="005E6694">
        <w:rPr>
          <w:iCs/>
          <w:color w:val="000000" w:themeColor="text1"/>
        </w:rPr>
        <w:t xml:space="preserve">to generalised seizures </w:t>
      </w:r>
      <w:r w:rsidR="00A36F3F" w:rsidRPr="005E6694">
        <w:rPr>
          <w:iCs/>
          <w:color w:val="000000" w:themeColor="text1"/>
        </w:rPr>
        <w:t>only</w:t>
      </w:r>
      <w:r w:rsidR="00A36F3F" w:rsidRPr="00C55F4E">
        <w:rPr>
          <w:iCs/>
          <w:color w:val="000000" w:themeColor="text1"/>
        </w:rPr>
        <w:t>.</w:t>
      </w:r>
    </w:p>
    <w:p w14:paraId="6D1351C5" w14:textId="59CA8AE8" w:rsidR="00C55F4E" w:rsidRPr="00C55F4E" w:rsidRDefault="00AE5C3A" w:rsidP="00361246">
      <w:pPr>
        <w:pStyle w:val="3-BodyText"/>
        <w:numPr>
          <w:ilvl w:val="0"/>
          <w:numId w:val="15"/>
        </w:numPr>
        <w:spacing w:before="0"/>
        <w:rPr>
          <w:iCs/>
          <w:color w:val="000000" w:themeColor="text1"/>
        </w:rPr>
      </w:pPr>
      <w:r w:rsidRPr="00AE5C3A">
        <w:rPr>
          <w:iCs/>
          <w:color w:val="000000" w:themeColor="text1"/>
        </w:rPr>
        <w:t>The requirement for</w:t>
      </w:r>
      <w:r>
        <w:rPr>
          <w:iCs/>
          <w:color w:val="000000" w:themeColor="text1"/>
        </w:rPr>
        <w:t xml:space="preserve"> </w:t>
      </w:r>
      <w:r w:rsidR="00424097" w:rsidRPr="00424097">
        <w:rPr>
          <w:iCs/>
          <w:color w:val="000000" w:themeColor="text1"/>
        </w:rPr>
        <w:t xml:space="preserve">seizure frequency and type, </w:t>
      </w:r>
      <w:r w:rsidR="00331715" w:rsidRPr="00331715">
        <w:rPr>
          <w:iCs/>
          <w:color w:val="000000" w:themeColor="text1"/>
        </w:rPr>
        <w:t>specifically</w:t>
      </w:r>
      <w:r w:rsidR="00A746B8">
        <w:rPr>
          <w:iCs/>
          <w:color w:val="000000" w:themeColor="text1"/>
        </w:rPr>
        <w:t xml:space="preserve"> </w:t>
      </w:r>
      <w:r w:rsidR="00424097" w:rsidRPr="00424097">
        <w:rPr>
          <w:iCs/>
          <w:color w:val="000000" w:themeColor="text1"/>
        </w:rPr>
        <w:t>at least two drop seizures (atonic, tonic, or tonic-clonic) per week</w:t>
      </w:r>
      <w:r w:rsidR="00C55F4E" w:rsidRPr="00C55F4E">
        <w:rPr>
          <w:iCs/>
          <w:color w:val="000000" w:themeColor="text1"/>
        </w:rPr>
        <w:t>;</w:t>
      </w:r>
      <w:r w:rsidR="0061758E">
        <w:rPr>
          <w:iCs/>
          <w:color w:val="000000" w:themeColor="text1"/>
        </w:rPr>
        <w:t xml:space="preserve"> and </w:t>
      </w:r>
    </w:p>
    <w:p w14:paraId="1934D33A" w14:textId="031B669E" w:rsidR="00C55F4E" w:rsidRDefault="003D32CF" w:rsidP="00361246">
      <w:pPr>
        <w:pStyle w:val="3-BodyText"/>
        <w:numPr>
          <w:ilvl w:val="0"/>
          <w:numId w:val="15"/>
        </w:numPr>
        <w:spacing w:before="0"/>
        <w:rPr>
          <w:iCs/>
          <w:color w:val="000000" w:themeColor="text1"/>
        </w:rPr>
      </w:pPr>
      <w:r w:rsidRPr="003D32CF">
        <w:rPr>
          <w:iCs/>
          <w:color w:val="000000" w:themeColor="text1"/>
        </w:rPr>
        <w:t xml:space="preserve">The requirement that cannabidiol be used as adjunctive therapy with at least two other </w:t>
      </w:r>
      <w:r w:rsidR="004150D9" w:rsidRPr="004150D9">
        <w:rPr>
          <w:iCs/>
          <w:color w:val="000000" w:themeColor="text1"/>
        </w:rPr>
        <w:t>antiseizure medication</w:t>
      </w:r>
      <w:r w:rsidR="004150D9" w:rsidRPr="004150D9" w:rsidDel="004150D9">
        <w:rPr>
          <w:iCs/>
          <w:color w:val="000000" w:themeColor="text1"/>
        </w:rPr>
        <w:t xml:space="preserve"> </w:t>
      </w:r>
      <w:r w:rsidRPr="003D32CF">
        <w:rPr>
          <w:iCs/>
          <w:color w:val="000000" w:themeColor="text1"/>
        </w:rPr>
        <w:t>(AEDs) for</w:t>
      </w:r>
      <w:r w:rsidR="00995274">
        <w:rPr>
          <w:iCs/>
          <w:color w:val="000000" w:themeColor="text1"/>
        </w:rPr>
        <w:t xml:space="preserve"> </w:t>
      </w:r>
      <w:r w:rsidR="00995274" w:rsidRPr="00176667">
        <w:rPr>
          <w:iCs/>
          <w:color w:val="000000" w:themeColor="text1"/>
        </w:rPr>
        <w:t>continuing treatment</w:t>
      </w:r>
      <w:r w:rsidR="00995274">
        <w:rPr>
          <w:iCs/>
          <w:color w:val="000000" w:themeColor="text1"/>
        </w:rPr>
        <w:t>.</w:t>
      </w:r>
    </w:p>
    <w:p w14:paraId="05CD2543" w14:textId="1CAB65AB" w:rsidR="00227123" w:rsidRPr="00C55F4E" w:rsidRDefault="00F554D8" w:rsidP="00361246">
      <w:pPr>
        <w:pStyle w:val="3-BodyText"/>
        <w:numPr>
          <w:ilvl w:val="0"/>
          <w:numId w:val="0"/>
        </w:numPr>
        <w:spacing w:before="0"/>
        <w:ind w:left="1080"/>
        <w:rPr>
          <w:iCs/>
          <w:color w:val="000000" w:themeColor="text1"/>
        </w:rPr>
      </w:pPr>
      <w:r w:rsidRPr="00F554D8">
        <w:rPr>
          <w:iCs/>
          <w:color w:val="000000" w:themeColor="text1"/>
        </w:rPr>
        <w:t xml:space="preserve">Additionally, Option 2 </w:t>
      </w:r>
      <w:r w:rsidR="00FA6944" w:rsidRPr="00FA6944">
        <w:rPr>
          <w:iCs/>
          <w:color w:val="000000" w:themeColor="text1"/>
        </w:rPr>
        <w:t>includes</w:t>
      </w:r>
      <w:r w:rsidRPr="00F554D8">
        <w:rPr>
          <w:iCs/>
          <w:color w:val="000000" w:themeColor="text1"/>
        </w:rPr>
        <w:t xml:space="preserve"> the following amendments to the current restrictions:</w:t>
      </w:r>
    </w:p>
    <w:p w14:paraId="30DED22D" w14:textId="61715AD6" w:rsidR="003D40C1" w:rsidRDefault="007A468E" w:rsidP="00361246">
      <w:pPr>
        <w:pStyle w:val="3-BodyText"/>
        <w:numPr>
          <w:ilvl w:val="0"/>
          <w:numId w:val="15"/>
        </w:numPr>
        <w:spacing w:before="0"/>
        <w:rPr>
          <w:iCs/>
          <w:color w:val="000000" w:themeColor="text1"/>
        </w:rPr>
      </w:pPr>
      <w:r w:rsidRPr="007A468E">
        <w:rPr>
          <w:iCs/>
          <w:color w:val="000000" w:themeColor="text1"/>
        </w:rPr>
        <w:t xml:space="preserve">An amendment to the treatment criteria to allow </w:t>
      </w:r>
      <w:r w:rsidR="003C0734" w:rsidRPr="003C0734">
        <w:rPr>
          <w:iCs/>
          <w:color w:val="000000" w:themeColor="text1"/>
        </w:rPr>
        <w:t>prescribing</w:t>
      </w:r>
      <w:r w:rsidR="003C0734">
        <w:rPr>
          <w:iCs/>
          <w:color w:val="000000" w:themeColor="text1"/>
        </w:rPr>
        <w:t xml:space="preserve"> </w:t>
      </w:r>
      <w:r w:rsidRPr="007A468E">
        <w:rPr>
          <w:iCs/>
          <w:color w:val="000000" w:themeColor="text1"/>
        </w:rPr>
        <w:t xml:space="preserve">by a paediatrician without </w:t>
      </w:r>
      <w:r w:rsidR="00C575E1" w:rsidRPr="00C575E1">
        <w:rPr>
          <w:iCs/>
          <w:color w:val="000000" w:themeColor="text1"/>
        </w:rPr>
        <w:t xml:space="preserve">the </w:t>
      </w:r>
      <w:r w:rsidR="002418F0">
        <w:rPr>
          <w:iCs/>
          <w:color w:val="000000" w:themeColor="text1"/>
        </w:rPr>
        <w:t xml:space="preserve">need </w:t>
      </w:r>
      <w:r w:rsidR="00C575E1" w:rsidRPr="00C575E1">
        <w:rPr>
          <w:iCs/>
          <w:color w:val="000000" w:themeColor="text1"/>
        </w:rPr>
        <w:t xml:space="preserve">for consultation with </w:t>
      </w:r>
      <w:r w:rsidRPr="007A468E">
        <w:rPr>
          <w:iCs/>
          <w:color w:val="000000" w:themeColor="text1"/>
        </w:rPr>
        <w:t>a neurologist, and continuation</w:t>
      </w:r>
      <w:r w:rsidR="005333FB">
        <w:rPr>
          <w:iCs/>
          <w:color w:val="000000" w:themeColor="text1"/>
        </w:rPr>
        <w:t xml:space="preserve"> of therapy</w:t>
      </w:r>
      <w:r w:rsidRPr="007A468E">
        <w:rPr>
          <w:iCs/>
          <w:color w:val="000000" w:themeColor="text1"/>
        </w:rPr>
        <w:t xml:space="preserve"> by a general practitioner in consultation with a </w:t>
      </w:r>
      <w:r w:rsidR="00A36F3F" w:rsidRPr="007A468E">
        <w:rPr>
          <w:iCs/>
          <w:color w:val="000000" w:themeColor="text1"/>
        </w:rPr>
        <w:t>paediatrician</w:t>
      </w:r>
      <w:r w:rsidR="00A36F3F">
        <w:rPr>
          <w:iCs/>
          <w:color w:val="000000" w:themeColor="text1"/>
        </w:rPr>
        <w:t>.</w:t>
      </w:r>
    </w:p>
    <w:p w14:paraId="5FB5CE79" w14:textId="075545B0" w:rsidR="0061758E" w:rsidRDefault="009D1448" w:rsidP="00361246">
      <w:pPr>
        <w:pStyle w:val="3-BodyText"/>
        <w:numPr>
          <w:ilvl w:val="0"/>
          <w:numId w:val="15"/>
        </w:numPr>
        <w:spacing w:before="0"/>
        <w:rPr>
          <w:iCs/>
          <w:color w:val="000000" w:themeColor="text1"/>
        </w:rPr>
      </w:pPr>
      <w:r>
        <w:rPr>
          <w:iCs/>
          <w:color w:val="000000" w:themeColor="text1"/>
        </w:rPr>
        <w:t>R</w:t>
      </w:r>
      <w:r w:rsidR="005333FB">
        <w:rPr>
          <w:iCs/>
          <w:color w:val="000000" w:themeColor="text1"/>
        </w:rPr>
        <w:t xml:space="preserve">emoval of </w:t>
      </w:r>
      <w:r w:rsidR="00391ADC">
        <w:rPr>
          <w:iCs/>
          <w:color w:val="000000" w:themeColor="text1"/>
        </w:rPr>
        <w:t xml:space="preserve">the </w:t>
      </w:r>
      <w:r w:rsidR="00267C2F">
        <w:rPr>
          <w:iCs/>
          <w:color w:val="000000" w:themeColor="text1"/>
        </w:rPr>
        <w:t>p</w:t>
      </w:r>
      <w:r w:rsidR="0061758E" w:rsidRPr="0061758E">
        <w:rPr>
          <w:iCs/>
          <w:color w:val="000000" w:themeColor="text1"/>
        </w:rPr>
        <w:t xml:space="preserve">rescribing </w:t>
      </w:r>
      <w:r w:rsidR="00267C2F">
        <w:rPr>
          <w:iCs/>
          <w:color w:val="000000" w:themeColor="text1"/>
        </w:rPr>
        <w:t>in</w:t>
      </w:r>
      <w:r w:rsidR="0061758E" w:rsidRPr="0061758E">
        <w:rPr>
          <w:iCs/>
          <w:color w:val="000000" w:themeColor="text1"/>
        </w:rPr>
        <w:t>struction</w:t>
      </w:r>
      <w:r w:rsidR="009D2E0A">
        <w:rPr>
          <w:iCs/>
          <w:color w:val="000000" w:themeColor="text1"/>
        </w:rPr>
        <w:t xml:space="preserve"> that t</w:t>
      </w:r>
      <w:r w:rsidR="0061758E" w:rsidRPr="0061758E">
        <w:rPr>
          <w:iCs/>
          <w:color w:val="000000" w:themeColor="text1"/>
        </w:rPr>
        <w:t>onic seizures must have been recorded on video-EEG or have been clearly observed and reported by a witness.</w:t>
      </w:r>
    </w:p>
    <w:p w14:paraId="3D1D4320" w14:textId="77777777" w:rsidR="007E490F" w:rsidRPr="00A6439B" w:rsidRDefault="007E490F" w:rsidP="00361246">
      <w:pPr>
        <w:pStyle w:val="2-SectionHeading"/>
        <w:numPr>
          <w:ilvl w:val="0"/>
          <w:numId w:val="2"/>
        </w:numPr>
      </w:pPr>
      <w:r w:rsidRPr="00A6439B">
        <w:t xml:space="preserve">Background </w:t>
      </w:r>
    </w:p>
    <w:p w14:paraId="66A51362" w14:textId="65A57DE6" w:rsidR="00B63251" w:rsidRDefault="00735970" w:rsidP="00361246">
      <w:pPr>
        <w:pStyle w:val="3-BodyText"/>
        <w:outlineLvl w:val="0"/>
        <w:rPr>
          <w:color w:val="000000" w:themeColor="text1"/>
        </w:rPr>
      </w:pPr>
      <w:r w:rsidRPr="001C42E1">
        <w:rPr>
          <w:color w:val="000000" w:themeColor="text1"/>
        </w:rPr>
        <w:t>C</w:t>
      </w:r>
      <w:r w:rsidR="000F24B9" w:rsidRPr="001C42E1">
        <w:rPr>
          <w:color w:val="000000" w:themeColor="text1"/>
        </w:rPr>
        <w:t>annabidiol</w:t>
      </w:r>
      <w:r w:rsidR="001F2311" w:rsidRPr="001C42E1">
        <w:rPr>
          <w:color w:val="000000" w:themeColor="text1"/>
        </w:rPr>
        <w:t xml:space="preserve"> is currently listed on the PBS as </w:t>
      </w:r>
      <w:r w:rsidR="0D656DEA" w:rsidRPr="7D162B5C">
        <w:rPr>
          <w:color w:val="000000" w:themeColor="text1"/>
        </w:rPr>
        <w:t>a</w:t>
      </w:r>
      <w:r w:rsidR="001F2311" w:rsidRPr="001C42E1">
        <w:rPr>
          <w:color w:val="000000" w:themeColor="text1"/>
        </w:rPr>
        <w:t xml:space="preserve"> </w:t>
      </w:r>
      <w:r w:rsidR="006A4870" w:rsidRPr="001C42E1">
        <w:rPr>
          <w:color w:val="000000" w:themeColor="text1"/>
        </w:rPr>
        <w:t xml:space="preserve">General Schedule </w:t>
      </w:r>
      <w:r w:rsidR="001F2311" w:rsidRPr="001C42E1">
        <w:rPr>
          <w:color w:val="000000" w:themeColor="text1"/>
        </w:rPr>
        <w:t xml:space="preserve">Authority Required </w:t>
      </w:r>
      <w:r w:rsidR="006A4870" w:rsidRPr="001C42E1">
        <w:rPr>
          <w:color w:val="000000" w:themeColor="text1"/>
        </w:rPr>
        <w:t>(Telephone/</w:t>
      </w:r>
      <w:r w:rsidR="00E85002" w:rsidRPr="00E85002">
        <w:rPr>
          <w:color w:val="000000" w:themeColor="text1"/>
        </w:rPr>
        <w:t>online PBS Authorities system</w:t>
      </w:r>
      <w:r w:rsidR="006A4870" w:rsidRPr="001C42E1">
        <w:rPr>
          <w:color w:val="000000" w:themeColor="text1"/>
        </w:rPr>
        <w:t xml:space="preserve">) </w:t>
      </w:r>
      <w:r w:rsidR="001F2311" w:rsidRPr="001C42E1">
        <w:rPr>
          <w:color w:val="000000" w:themeColor="text1"/>
        </w:rPr>
        <w:t xml:space="preserve">listing for </w:t>
      </w:r>
      <w:r w:rsidR="001C42E1" w:rsidRPr="001C42E1">
        <w:rPr>
          <w:color w:val="000000" w:themeColor="text1"/>
        </w:rPr>
        <w:t>seizures of the LGS</w:t>
      </w:r>
      <w:r w:rsidR="001F2311" w:rsidRPr="001C42E1">
        <w:rPr>
          <w:color w:val="000000" w:themeColor="text1"/>
        </w:rPr>
        <w:t>.</w:t>
      </w:r>
    </w:p>
    <w:p w14:paraId="499ED47D" w14:textId="4F5772C8" w:rsidR="002D336D" w:rsidRPr="001C42E1" w:rsidRDefault="002D336D" w:rsidP="00361246">
      <w:pPr>
        <w:pStyle w:val="3-BodyText"/>
        <w:rPr>
          <w:color w:val="000000" w:themeColor="text1"/>
        </w:rPr>
      </w:pPr>
      <w:r w:rsidRPr="001C42E1">
        <w:rPr>
          <w:color w:val="000000" w:themeColor="text1"/>
        </w:rPr>
        <w:lastRenderedPageBreak/>
        <w:t>Cannabidiol</w:t>
      </w:r>
      <w:r>
        <w:rPr>
          <w:color w:val="000000" w:themeColor="text1"/>
        </w:rPr>
        <w:t xml:space="preserve"> is also currently listed on </w:t>
      </w:r>
      <w:r w:rsidRPr="001C42E1">
        <w:rPr>
          <w:color w:val="000000" w:themeColor="text1"/>
        </w:rPr>
        <w:t xml:space="preserve">the PBS as </w:t>
      </w:r>
      <w:r w:rsidR="5C574A5E" w:rsidRPr="70AD5561">
        <w:rPr>
          <w:color w:val="000000" w:themeColor="text1"/>
        </w:rPr>
        <w:t>a</w:t>
      </w:r>
      <w:r w:rsidRPr="001C42E1">
        <w:rPr>
          <w:color w:val="000000" w:themeColor="text1"/>
        </w:rPr>
        <w:t xml:space="preserve"> General Schedule Authority Required (Telephone/</w:t>
      </w:r>
      <w:r w:rsidR="00E85002" w:rsidRPr="00E85002">
        <w:rPr>
          <w:color w:val="000000" w:themeColor="text1"/>
        </w:rPr>
        <w:t>online PBS Authorities system</w:t>
      </w:r>
      <w:r w:rsidRPr="001C42E1">
        <w:rPr>
          <w:color w:val="000000" w:themeColor="text1"/>
        </w:rPr>
        <w:t>) listing for</w:t>
      </w:r>
      <w:r w:rsidR="00931FCF" w:rsidRPr="00931FCF">
        <w:t xml:space="preserve"> </w:t>
      </w:r>
      <w:r w:rsidR="000D4E9E" w:rsidRPr="000D4E9E">
        <w:t>the treatment of</w:t>
      </w:r>
      <w:r w:rsidR="000D4E9E">
        <w:t xml:space="preserve"> </w:t>
      </w:r>
      <w:r w:rsidR="00931FCF">
        <w:rPr>
          <w:color w:val="000000" w:themeColor="text1"/>
        </w:rPr>
        <w:t>s</w:t>
      </w:r>
      <w:r w:rsidR="00931FCF" w:rsidRPr="00931FCF">
        <w:rPr>
          <w:color w:val="000000" w:themeColor="text1"/>
        </w:rPr>
        <w:t>evere myoclonic epilepsy in infancy (Dravet syndrome)</w:t>
      </w:r>
      <w:r w:rsidR="00BA0EA1">
        <w:rPr>
          <w:color w:val="000000" w:themeColor="text1"/>
        </w:rPr>
        <w:t xml:space="preserve">. </w:t>
      </w:r>
      <w:r w:rsidR="00BA0EA1" w:rsidRPr="00BA0EA1">
        <w:rPr>
          <w:color w:val="000000" w:themeColor="text1"/>
        </w:rPr>
        <w:t>Th</w:t>
      </w:r>
      <w:r w:rsidR="00BA0EA1">
        <w:rPr>
          <w:color w:val="000000" w:themeColor="text1"/>
        </w:rPr>
        <w:t xml:space="preserve">e </w:t>
      </w:r>
      <w:r w:rsidR="00BA0EA1" w:rsidRPr="00BA0EA1">
        <w:rPr>
          <w:color w:val="000000" w:themeColor="text1"/>
        </w:rPr>
        <w:t>submission did not propose any amendments to the existing PBS listing for this indication.</w:t>
      </w:r>
    </w:p>
    <w:p w14:paraId="33C2C319" w14:textId="66DF215F" w:rsidR="007E490F" w:rsidRPr="00A6439B" w:rsidRDefault="007E490F" w:rsidP="00361246">
      <w:pPr>
        <w:pStyle w:val="4-SubsectionHeading"/>
      </w:pPr>
      <w:r w:rsidRPr="00691A2C">
        <w:t>Registration</w:t>
      </w:r>
      <w:r w:rsidRPr="00A6439B">
        <w:t xml:space="preserve"> status</w:t>
      </w:r>
    </w:p>
    <w:p w14:paraId="29BC4067" w14:textId="13049B61" w:rsidR="00B846E6" w:rsidRPr="00A6439B" w:rsidRDefault="00016C97" w:rsidP="00361246">
      <w:pPr>
        <w:pStyle w:val="3-BodyText"/>
      </w:pPr>
      <w:bookmarkStart w:id="1" w:name="_Hlk198561568"/>
      <w:bookmarkStart w:id="2" w:name="_Ref199585154"/>
      <w:r w:rsidRPr="00016C97">
        <w:t xml:space="preserve">Cannabidiol </w:t>
      </w:r>
      <w:bookmarkEnd w:id="1"/>
      <w:r w:rsidRPr="00016C97">
        <w:t>was TGA registered on 21 September 2020</w:t>
      </w:r>
      <w:r>
        <w:t xml:space="preserve"> </w:t>
      </w:r>
      <w:r w:rsidRPr="00016C97">
        <w:t>for use as adjunctive therapy of seizures associated with LGS or Dravet syndrome for patients 2 years of age or older</w:t>
      </w:r>
      <w:r w:rsidR="004D7AAC">
        <w:t xml:space="preserve">. </w:t>
      </w:r>
      <w:r w:rsidR="00B11768">
        <w:t xml:space="preserve">The TGA </w:t>
      </w:r>
      <w:r w:rsidR="00D4117E">
        <w:t xml:space="preserve">approved </w:t>
      </w:r>
      <w:r w:rsidR="000302DD">
        <w:t>product information (PI) indicates that c</w:t>
      </w:r>
      <w:r w:rsidR="000302DD" w:rsidRPr="00016C97">
        <w:t>annabidiol</w:t>
      </w:r>
      <w:r w:rsidR="000302DD">
        <w:t xml:space="preserve"> </w:t>
      </w:r>
      <w:r w:rsidR="000302DD" w:rsidRPr="000302DD">
        <w:t>should be initiated and supervised by a neurologist.</w:t>
      </w:r>
      <w:bookmarkEnd w:id="2"/>
    </w:p>
    <w:p w14:paraId="0094486E" w14:textId="77777777" w:rsidR="007E490F" w:rsidRPr="00A6439B" w:rsidRDefault="007E490F" w:rsidP="00361246">
      <w:pPr>
        <w:pStyle w:val="4-SubsectionHeading"/>
      </w:pPr>
      <w:r w:rsidRPr="00A6439B">
        <w:t xml:space="preserve">Previous PBAC </w:t>
      </w:r>
      <w:r w:rsidRPr="00691A2C">
        <w:t>consideration</w:t>
      </w:r>
      <w:r w:rsidRPr="00A6439B">
        <w:t xml:space="preserve"> </w:t>
      </w:r>
    </w:p>
    <w:p w14:paraId="3981C1DB" w14:textId="77777777" w:rsidR="009B6E5D" w:rsidRDefault="00A73421" w:rsidP="00361246">
      <w:pPr>
        <w:pStyle w:val="3-BodyText"/>
        <w:rPr>
          <w:color w:val="000000" w:themeColor="text1"/>
        </w:rPr>
      </w:pPr>
      <w:r w:rsidRPr="00A73421">
        <w:rPr>
          <w:color w:val="000000" w:themeColor="text1"/>
        </w:rPr>
        <w:t xml:space="preserve">Cannabidiol has </w:t>
      </w:r>
      <w:r w:rsidR="0041472D" w:rsidRPr="00A73421">
        <w:rPr>
          <w:color w:val="000000" w:themeColor="text1"/>
        </w:rPr>
        <w:t>previously</w:t>
      </w:r>
      <w:r w:rsidR="0041472D">
        <w:rPr>
          <w:color w:val="000000" w:themeColor="text1"/>
        </w:rPr>
        <w:t xml:space="preserve"> </w:t>
      </w:r>
      <w:r w:rsidR="00C47E81">
        <w:rPr>
          <w:color w:val="000000" w:themeColor="text1"/>
        </w:rPr>
        <w:t xml:space="preserve">been </w:t>
      </w:r>
      <w:r w:rsidRPr="00A73421">
        <w:rPr>
          <w:color w:val="000000" w:themeColor="text1"/>
        </w:rPr>
        <w:t>considered for this indication by the PBAC on multiple occasions.</w:t>
      </w:r>
      <w:r w:rsidR="00C22B07">
        <w:rPr>
          <w:color w:val="000000" w:themeColor="text1"/>
        </w:rPr>
        <w:t xml:space="preserve"> </w:t>
      </w:r>
      <w:r w:rsidR="007920AD">
        <w:rPr>
          <w:color w:val="000000" w:themeColor="text1"/>
        </w:rPr>
        <w:t>In September 2022</w:t>
      </w:r>
      <w:r w:rsidR="003211BB">
        <w:rPr>
          <w:color w:val="000000" w:themeColor="text1"/>
        </w:rPr>
        <w:t>,</w:t>
      </w:r>
      <w:r w:rsidR="007920AD">
        <w:rPr>
          <w:color w:val="000000" w:themeColor="text1"/>
        </w:rPr>
        <w:t xml:space="preserve"> </w:t>
      </w:r>
      <w:r w:rsidR="003211BB">
        <w:rPr>
          <w:color w:val="000000" w:themeColor="text1"/>
        </w:rPr>
        <w:t>t</w:t>
      </w:r>
      <w:r w:rsidR="007920AD" w:rsidRPr="007920AD">
        <w:rPr>
          <w:color w:val="000000" w:themeColor="text1"/>
        </w:rPr>
        <w:t xml:space="preserve">he PBAC recommended the listing of cannabidiol for the treatment of seizures associated with LGS in patients who have not achieved adequate seizure control with at least two other AEDs. </w:t>
      </w:r>
    </w:p>
    <w:p w14:paraId="170A8E8E" w14:textId="18E2EC0B" w:rsidR="00877122" w:rsidRDefault="00643B17" w:rsidP="00361246">
      <w:pPr>
        <w:pStyle w:val="3-BodyText"/>
        <w:rPr>
          <w:color w:val="000000" w:themeColor="text1"/>
        </w:rPr>
      </w:pPr>
      <w:r w:rsidRPr="00643B17">
        <w:rPr>
          <w:color w:val="000000" w:themeColor="text1"/>
        </w:rPr>
        <w:t xml:space="preserve">A summary of the key considerations from previous meetings, related to </w:t>
      </w:r>
      <w:r w:rsidR="00F30E40">
        <w:rPr>
          <w:color w:val="000000" w:themeColor="text1"/>
        </w:rPr>
        <w:t xml:space="preserve">the </w:t>
      </w:r>
      <w:r w:rsidRPr="00643B17">
        <w:rPr>
          <w:color w:val="000000" w:themeColor="text1"/>
        </w:rPr>
        <w:t>PBS restrictions proposed for amendment, is presented in the table below.</w:t>
      </w:r>
    </w:p>
    <w:p w14:paraId="49B0D6B9" w14:textId="2FAF7CA3" w:rsidR="005557C9" w:rsidRPr="003F3593" w:rsidRDefault="005557C9" w:rsidP="00361246">
      <w:pPr>
        <w:pStyle w:val="Caption"/>
        <w:rPr>
          <w:szCs w:val="20"/>
        </w:rPr>
      </w:pPr>
      <w:bookmarkStart w:id="3" w:name="_Ref199431877"/>
      <w:r w:rsidRPr="003F3593">
        <w:rPr>
          <w:szCs w:val="20"/>
        </w:rPr>
        <w:t xml:space="preserve">Table </w:t>
      </w:r>
      <w:r w:rsidRPr="003F3593">
        <w:rPr>
          <w:szCs w:val="20"/>
        </w:rPr>
        <w:fldChar w:fldCharType="begin"/>
      </w:r>
      <w:r w:rsidRPr="003F3593">
        <w:rPr>
          <w:szCs w:val="20"/>
        </w:rPr>
        <w:instrText xml:space="preserve"> SEQ Table \* ARABIC </w:instrText>
      </w:r>
      <w:r w:rsidRPr="003F3593">
        <w:rPr>
          <w:szCs w:val="20"/>
        </w:rPr>
        <w:fldChar w:fldCharType="separate"/>
      </w:r>
      <w:r w:rsidR="00BC591C">
        <w:rPr>
          <w:noProof/>
          <w:szCs w:val="20"/>
        </w:rPr>
        <w:t>1</w:t>
      </w:r>
      <w:r w:rsidRPr="003F3593">
        <w:rPr>
          <w:szCs w:val="20"/>
        </w:rPr>
        <w:fldChar w:fldCharType="end"/>
      </w:r>
      <w:bookmarkEnd w:id="3"/>
      <w:r w:rsidRPr="003F3593">
        <w:rPr>
          <w:szCs w:val="20"/>
        </w:rPr>
        <w:t xml:space="preserve">: </w:t>
      </w:r>
      <w:r w:rsidRPr="003F3593">
        <w:rPr>
          <w:rStyle w:val="CommentReference"/>
          <w:sz w:val="20"/>
          <w:szCs w:val="20"/>
        </w:rPr>
        <w:t xml:space="preserve">Summary of key </w:t>
      </w:r>
      <w:r w:rsidRPr="003F3593">
        <w:rPr>
          <w:szCs w:val="20"/>
        </w:rPr>
        <w:t>considerations from previous meetings</w:t>
      </w:r>
      <w:r w:rsidR="00C54118" w:rsidRPr="003F3593">
        <w:rPr>
          <w:szCs w:val="20"/>
        </w:rPr>
        <w:t xml:space="preserve"> related to PBS restrictions</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Summary of key considerations from previous meetings related to PBS restrictions"/>
      </w:tblPr>
      <w:tblGrid>
        <w:gridCol w:w="1271"/>
        <w:gridCol w:w="2693"/>
        <w:gridCol w:w="5029"/>
      </w:tblGrid>
      <w:tr w:rsidR="00965FCC" w:rsidRPr="005A2F6F" w14:paraId="3B7020BE" w14:textId="77777777" w:rsidTr="002D44E8">
        <w:trPr>
          <w:tblHeader/>
        </w:trPr>
        <w:tc>
          <w:tcPr>
            <w:tcW w:w="707" w:type="pct"/>
            <w:shd w:val="clear" w:color="auto" w:fill="F2F2F2" w:themeFill="background1" w:themeFillShade="F2"/>
            <w:vAlign w:val="center"/>
          </w:tcPr>
          <w:p w14:paraId="376A286E" w14:textId="249CF7A3" w:rsidR="00965FCC" w:rsidRPr="005A2F6F" w:rsidRDefault="00D841F4" w:rsidP="00361246">
            <w:pPr>
              <w:pStyle w:val="In-tableHeading"/>
              <w:keepNext w:val="0"/>
              <w:rPr>
                <w:iCs/>
                <w:szCs w:val="20"/>
              </w:rPr>
            </w:pPr>
            <w:r w:rsidRPr="005A2F6F">
              <w:rPr>
                <w:iCs/>
                <w:szCs w:val="20"/>
              </w:rPr>
              <w:t>PBAC Meeting</w:t>
            </w:r>
          </w:p>
        </w:tc>
        <w:tc>
          <w:tcPr>
            <w:tcW w:w="1497" w:type="pct"/>
            <w:shd w:val="clear" w:color="auto" w:fill="F2F2F2" w:themeFill="background1" w:themeFillShade="F2"/>
          </w:tcPr>
          <w:p w14:paraId="7E9DE823" w14:textId="5294FDC5" w:rsidR="00965FCC" w:rsidRPr="005A2F6F" w:rsidRDefault="00753357" w:rsidP="00361246">
            <w:pPr>
              <w:pStyle w:val="In-tableHeading"/>
              <w:keepNext w:val="0"/>
              <w:jc w:val="center"/>
              <w:rPr>
                <w:iCs/>
                <w:szCs w:val="20"/>
              </w:rPr>
            </w:pPr>
            <w:r w:rsidRPr="005A2F6F">
              <w:rPr>
                <w:iCs/>
                <w:szCs w:val="20"/>
              </w:rPr>
              <w:t>PBS restriction</w:t>
            </w:r>
          </w:p>
        </w:tc>
        <w:tc>
          <w:tcPr>
            <w:tcW w:w="2796" w:type="pct"/>
            <w:shd w:val="clear" w:color="auto" w:fill="F2F2F2" w:themeFill="background1" w:themeFillShade="F2"/>
          </w:tcPr>
          <w:p w14:paraId="0ADF814D" w14:textId="317E6BB5" w:rsidR="00965FCC" w:rsidRPr="005A2F6F" w:rsidRDefault="0076291F" w:rsidP="00361246">
            <w:pPr>
              <w:pStyle w:val="In-tableHeading"/>
              <w:keepNext w:val="0"/>
              <w:jc w:val="center"/>
              <w:rPr>
                <w:iCs/>
                <w:szCs w:val="20"/>
              </w:rPr>
            </w:pPr>
            <w:r w:rsidRPr="005A2F6F">
              <w:rPr>
                <w:iCs/>
                <w:szCs w:val="20"/>
              </w:rPr>
              <w:t>Previous PBAC consideration</w:t>
            </w:r>
          </w:p>
        </w:tc>
      </w:tr>
      <w:tr w:rsidR="00245E12" w:rsidRPr="005A2F6F" w14:paraId="67C28A5C" w14:textId="77777777" w:rsidTr="002D44E8">
        <w:tc>
          <w:tcPr>
            <w:tcW w:w="707" w:type="pct"/>
            <w:shd w:val="clear" w:color="auto" w:fill="DBE5F1" w:themeFill="accent1" w:themeFillTint="33"/>
          </w:tcPr>
          <w:p w14:paraId="5712788B" w14:textId="76C432B4" w:rsidR="00245E12" w:rsidRPr="005A2F6F" w:rsidRDefault="006416A9" w:rsidP="00361246">
            <w:pPr>
              <w:pStyle w:val="In-tableHeading"/>
              <w:keepNext w:val="0"/>
              <w:rPr>
                <w:b w:val="0"/>
                <w:bCs/>
                <w:iCs/>
                <w:szCs w:val="20"/>
              </w:rPr>
            </w:pPr>
            <w:r w:rsidRPr="005A2F6F">
              <w:rPr>
                <w:b w:val="0"/>
                <w:bCs/>
                <w:iCs/>
                <w:szCs w:val="20"/>
              </w:rPr>
              <w:t xml:space="preserve">July 2020 </w:t>
            </w:r>
          </w:p>
        </w:tc>
        <w:tc>
          <w:tcPr>
            <w:tcW w:w="1497" w:type="pct"/>
            <w:shd w:val="clear" w:color="auto" w:fill="DBE5F1" w:themeFill="accent1" w:themeFillTint="33"/>
          </w:tcPr>
          <w:p w14:paraId="7AA747D5" w14:textId="32469EC2" w:rsidR="00245E12" w:rsidRPr="005A2F6F" w:rsidRDefault="00271004" w:rsidP="00361246">
            <w:pPr>
              <w:pStyle w:val="In-tableHeading"/>
              <w:keepNext w:val="0"/>
              <w:rPr>
                <w:b w:val="0"/>
                <w:bCs/>
                <w:iCs/>
                <w:szCs w:val="20"/>
              </w:rPr>
            </w:pPr>
            <w:r w:rsidRPr="005A2F6F">
              <w:rPr>
                <w:b w:val="0"/>
                <w:bCs/>
                <w:iCs/>
                <w:szCs w:val="20"/>
              </w:rPr>
              <w:t>PBS restriction level of cannabidiol</w:t>
            </w:r>
          </w:p>
        </w:tc>
        <w:tc>
          <w:tcPr>
            <w:tcW w:w="2796" w:type="pct"/>
            <w:shd w:val="clear" w:color="auto" w:fill="DBE5F1" w:themeFill="accent1" w:themeFillTint="33"/>
          </w:tcPr>
          <w:p w14:paraId="7E7BA053" w14:textId="76B96156" w:rsidR="00245E12" w:rsidRPr="005A2F6F" w:rsidRDefault="002832B8" w:rsidP="00361246">
            <w:pPr>
              <w:pStyle w:val="In-tableHeading"/>
              <w:keepNext w:val="0"/>
              <w:rPr>
                <w:b w:val="0"/>
                <w:bCs/>
                <w:iCs/>
                <w:szCs w:val="20"/>
              </w:rPr>
            </w:pPr>
            <w:r w:rsidRPr="005A2F6F">
              <w:rPr>
                <w:b w:val="0"/>
                <w:bCs/>
                <w:iCs/>
                <w:szCs w:val="20"/>
                <w:u w:val="single"/>
              </w:rPr>
              <w:t>Paragraph 3.7</w:t>
            </w:r>
            <w:r w:rsidRPr="005A2F6F">
              <w:rPr>
                <w:b w:val="0"/>
                <w:bCs/>
                <w:iCs/>
                <w:szCs w:val="20"/>
              </w:rPr>
              <w:t>: The PBAC considered an Authority Required (telephone/online), Section 85 (General Schedule) listing for cannabidiol would be more appropriate than an Authority Required (</w:t>
            </w:r>
            <w:r w:rsidR="00F92F7E" w:rsidRPr="005A2F6F">
              <w:rPr>
                <w:b w:val="0"/>
                <w:bCs/>
                <w:iCs/>
                <w:szCs w:val="20"/>
              </w:rPr>
              <w:t>STREAMLINED</w:t>
            </w:r>
            <w:r w:rsidRPr="005A2F6F">
              <w:rPr>
                <w:b w:val="0"/>
                <w:bCs/>
                <w:iCs/>
                <w:szCs w:val="20"/>
              </w:rPr>
              <w:t>), Section 100 Highly Specialised Drugs Program (Community Access) listing.</w:t>
            </w:r>
          </w:p>
        </w:tc>
      </w:tr>
      <w:tr w:rsidR="00DD693F" w:rsidRPr="005A2F6F" w14:paraId="67A16883" w14:textId="77777777" w:rsidTr="002D44E8">
        <w:tc>
          <w:tcPr>
            <w:tcW w:w="707" w:type="pct"/>
            <w:shd w:val="clear" w:color="auto" w:fill="DBE5F1" w:themeFill="accent1" w:themeFillTint="33"/>
          </w:tcPr>
          <w:p w14:paraId="53FAC580" w14:textId="62F1511B" w:rsidR="00DD693F" w:rsidRPr="005A2F6F" w:rsidRDefault="00DD693F" w:rsidP="00361246">
            <w:pPr>
              <w:pStyle w:val="In-tableHeading"/>
              <w:keepNext w:val="0"/>
              <w:rPr>
                <w:b w:val="0"/>
                <w:bCs/>
                <w:iCs/>
                <w:szCs w:val="20"/>
              </w:rPr>
            </w:pPr>
            <w:r w:rsidRPr="005A2F6F">
              <w:rPr>
                <w:b w:val="0"/>
                <w:bCs/>
                <w:iCs/>
                <w:szCs w:val="20"/>
              </w:rPr>
              <w:t>November 2020</w:t>
            </w:r>
          </w:p>
        </w:tc>
        <w:tc>
          <w:tcPr>
            <w:tcW w:w="1497" w:type="pct"/>
            <w:vMerge w:val="restart"/>
            <w:shd w:val="clear" w:color="auto" w:fill="DBE5F1" w:themeFill="accent1" w:themeFillTint="33"/>
          </w:tcPr>
          <w:p w14:paraId="09028E4E" w14:textId="77777777" w:rsidR="00C95F58" w:rsidRPr="005A2F6F" w:rsidRDefault="00631091" w:rsidP="00361246">
            <w:pPr>
              <w:pStyle w:val="In-tableHeading"/>
              <w:keepNext w:val="0"/>
              <w:rPr>
                <w:b w:val="0"/>
                <w:bCs/>
                <w:iCs/>
                <w:szCs w:val="20"/>
                <w:u w:val="single"/>
              </w:rPr>
            </w:pPr>
            <w:r w:rsidRPr="005A2F6F">
              <w:rPr>
                <w:b w:val="0"/>
                <w:bCs/>
                <w:iCs/>
                <w:szCs w:val="20"/>
                <w:u w:val="single"/>
              </w:rPr>
              <w:t>Clinical criteria:</w:t>
            </w:r>
          </w:p>
          <w:p w14:paraId="6FDD4826" w14:textId="00DB0452" w:rsidR="00890D4B" w:rsidRPr="005A2F6F" w:rsidRDefault="00890D4B" w:rsidP="00361246">
            <w:pPr>
              <w:pStyle w:val="In-tableHeading"/>
              <w:numPr>
                <w:ilvl w:val="0"/>
                <w:numId w:val="22"/>
              </w:numPr>
              <w:rPr>
                <w:b w:val="0"/>
                <w:bCs/>
                <w:iCs/>
                <w:szCs w:val="20"/>
              </w:rPr>
            </w:pPr>
            <w:r w:rsidRPr="005A2F6F">
              <w:rPr>
                <w:b w:val="0"/>
                <w:bCs/>
                <w:iCs/>
                <w:szCs w:val="20"/>
              </w:rPr>
              <w:t>Patient must have a diagnosis of Lennox-Gastaut syndrome confirmed by an electroencephalogram (EEG) that showed a pattern of slow (less than 3.0 hertz) spike-and-wave discharges with generalised paroxysmal fast activity (sleep recording should be obtained where it is possible)</w:t>
            </w:r>
            <w:r w:rsidR="00F06528" w:rsidRPr="005A2F6F">
              <w:rPr>
                <w:b w:val="0"/>
                <w:bCs/>
                <w:iCs/>
                <w:szCs w:val="20"/>
              </w:rPr>
              <w:t>;</w:t>
            </w:r>
            <w:r w:rsidR="001D3A7F" w:rsidRPr="005A2F6F">
              <w:rPr>
                <w:b w:val="0"/>
                <w:bCs/>
                <w:iCs/>
                <w:szCs w:val="20"/>
              </w:rPr>
              <w:t xml:space="preserve"> and</w:t>
            </w:r>
          </w:p>
          <w:p w14:paraId="56779DE9" w14:textId="3E6A9D58" w:rsidR="00FA4550" w:rsidRPr="005A2F6F" w:rsidRDefault="008301C4" w:rsidP="00361246">
            <w:pPr>
              <w:pStyle w:val="In-tableHeading"/>
              <w:numPr>
                <w:ilvl w:val="0"/>
                <w:numId w:val="22"/>
              </w:numPr>
              <w:rPr>
                <w:b w:val="0"/>
                <w:bCs/>
                <w:iCs/>
                <w:szCs w:val="20"/>
              </w:rPr>
            </w:pPr>
            <w:r w:rsidRPr="005A2F6F">
              <w:rPr>
                <w:b w:val="0"/>
                <w:bCs/>
                <w:iCs/>
                <w:szCs w:val="20"/>
              </w:rPr>
              <w:t>Patient must have had at least two drop seizures (atonic, tonic or tonic-clonic) per week that are not adequately controlled with at least two other anti-epileptic drugs prior to initiating treatment with this medicine.</w:t>
            </w:r>
          </w:p>
        </w:tc>
        <w:tc>
          <w:tcPr>
            <w:tcW w:w="2796" w:type="pct"/>
            <w:shd w:val="clear" w:color="auto" w:fill="DBE5F1" w:themeFill="accent1" w:themeFillTint="33"/>
          </w:tcPr>
          <w:p w14:paraId="45F1C863" w14:textId="44970E79" w:rsidR="00DD693F" w:rsidRPr="005A2F6F" w:rsidRDefault="00DD693F" w:rsidP="00361246">
            <w:pPr>
              <w:pStyle w:val="In-tableHeading"/>
              <w:keepNext w:val="0"/>
              <w:rPr>
                <w:b w:val="0"/>
                <w:bCs/>
                <w:iCs/>
                <w:szCs w:val="20"/>
              </w:rPr>
            </w:pPr>
            <w:r w:rsidRPr="005A2F6F">
              <w:rPr>
                <w:b w:val="0"/>
                <w:bCs/>
                <w:iCs/>
                <w:szCs w:val="20"/>
                <w:u w:val="single"/>
              </w:rPr>
              <w:t xml:space="preserve">Paragraph 9.19: </w:t>
            </w:r>
            <w:r w:rsidRPr="005A2F6F">
              <w:rPr>
                <w:b w:val="0"/>
                <w:bCs/>
                <w:iCs/>
                <w:szCs w:val="20"/>
              </w:rPr>
              <w:t>The PBAC noted the clinical advice that EEG is the most definitive diagnostic measure for LGS. The PBAC noted the clinical trials for LGS required patients to have an EEG that showed a pattern of slow (&lt;</w:t>
            </w:r>
            <w:r w:rsidR="0068381D">
              <w:rPr>
                <w:b w:val="0"/>
                <w:bCs/>
                <w:iCs/>
                <w:szCs w:val="20"/>
              </w:rPr>
              <w:t xml:space="preserve"> </w:t>
            </w:r>
            <w:r w:rsidRPr="005A2F6F">
              <w:rPr>
                <w:b w:val="0"/>
                <w:bCs/>
                <w:iCs/>
                <w:szCs w:val="20"/>
              </w:rPr>
              <w:t>3.0 Hz) spike-and-wave complexes. The PBAC considered that any resubmission should propose criteria that appropriately identifies people with LGS.</w:t>
            </w:r>
          </w:p>
        </w:tc>
      </w:tr>
      <w:tr w:rsidR="00DD693F" w:rsidRPr="005A2F6F" w14:paraId="2B32BA7E" w14:textId="77777777" w:rsidTr="002D44E8">
        <w:tc>
          <w:tcPr>
            <w:tcW w:w="707" w:type="pct"/>
            <w:shd w:val="clear" w:color="auto" w:fill="DBE5F1" w:themeFill="accent1" w:themeFillTint="33"/>
          </w:tcPr>
          <w:p w14:paraId="613A2150" w14:textId="3682FF4C" w:rsidR="00DD693F" w:rsidRPr="005A2F6F" w:rsidRDefault="00DD693F" w:rsidP="00361246">
            <w:pPr>
              <w:pStyle w:val="In-tableHeading"/>
              <w:keepNext w:val="0"/>
              <w:rPr>
                <w:b w:val="0"/>
                <w:bCs/>
                <w:iCs/>
                <w:szCs w:val="20"/>
              </w:rPr>
            </w:pPr>
            <w:r w:rsidRPr="005A2F6F">
              <w:rPr>
                <w:b w:val="0"/>
                <w:bCs/>
                <w:iCs/>
                <w:szCs w:val="20"/>
              </w:rPr>
              <w:t>March 2022</w:t>
            </w:r>
          </w:p>
        </w:tc>
        <w:tc>
          <w:tcPr>
            <w:tcW w:w="1497" w:type="pct"/>
            <w:vMerge/>
            <w:shd w:val="clear" w:color="auto" w:fill="DBE5F1" w:themeFill="accent1" w:themeFillTint="33"/>
          </w:tcPr>
          <w:p w14:paraId="0E1CEC68" w14:textId="77777777" w:rsidR="00DD693F" w:rsidRPr="005A2F6F" w:rsidRDefault="00DD693F" w:rsidP="00361246">
            <w:pPr>
              <w:pStyle w:val="In-tableHeading"/>
              <w:keepNext w:val="0"/>
              <w:rPr>
                <w:b w:val="0"/>
                <w:bCs/>
                <w:iCs/>
                <w:szCs w:val="20"/>
              </w:rPr>
            </w:pPr>
          </w:p>
        </w:tc>
        <w:tc>
          <w:tcPr>
            <w:tcW w:w="2796" w:type="pct"/>
            <w:shd w:val="clear" w:color="auto" w:fill="DBE5F1" w:themeFill="accent1" w:themeFillTint="33"/>
          </w:tcPr>
          <w:p w14:paraId="2AFB0E87" w14:textId="31292974" w:rsidR="00075A6C" w:rsidRPr="005A2F6F" w:rsidRDefault="00BB5C36" w:rsidP="00361246">
            <w:pPr>
              <w:pStyle w:val="In-tableHeading"/>
              <w:keepNext w:val="0"/>
              <w:rPr>
                <w:b w:val="0"/>
                <w:bCs/>
                <w:iCs/>
                <w:szCs w:val="20"/>
                <w:u w:val="single"/>
              </w:rPr>
            </w:pPr>
            <w:r w:rsidRPr="005A2F6F">
              <w:rPr>
                <w:b w:val="0"/>
                <w:bCs/>
                <w:iCs/>
                <w:szCs w:val="20"/>
                <w:u w:val="single"/>
              </w:rPr>
              <w:t xml:space="preserve">Paragraph 6.4: </w:t>
            </w:r>
            <w:r w:rsidRPr="005A2F6F">
              <w:rPr>
                <w:b w:val="0"/>
                <w:bCs/>
                <w:iCs/>
                <w:szCs w:val="20"/>
              </w:rPr>
              <w:t>The Epilepsy Society of Australia (ESA) stated it would be appropriate to require patients to have an electroclinical diagnosis of LGS confirmed by a neurologist with expertise in epilepsy and include the following diagnostic criteria (1) typical EEG features of LGS: Generalised slow spike and wave with Generalised Paroxysmal Fast Activity (GPFA) (where possible to get a sleep recording) and (2) Tonic seizures recorded on video-EEG or clearly reported by a witness. The ESA stated this is consistent with the definition of the International League Against Epilepsy.</w:t>
            </w:r>
          </w:p>
          <w:p w14:paraId="67B08804" w14:textId="77777777" w:rsidR="00075A6C" w:rsidRPr="005A2F6F" w:rsidRDefault="00075A6C" w:rsidP="00361246">
            <w:pPr>
              <w:pStyle w:val="In-tableHeading"/>
              <w:keepNext w:val="0"/>
              <w:rPr>
                <w:b w:val="0"/>
                <w:bCs/>
                <w:iCs/>
                <w:szCs w:val="20"/>
                <w:u w:val="single"/>
              </w:rPr>
            </w:pPr>
          </w:p>
          <w:p w14:paraId="06A60C4E" w14:textId="1ABDAD20" w:rsidR="00BA69DE" w:rsidRPr="005A2F6F" w:rsidRDefault="00DD693F" w:rsidP="00361246">
            <w:pPr>
              <w:pStyle w:val="In-tableHeading"/>
              <w:keepNext w:val="0"/>
              <w:rPr>
                <w:b w:val="0"/>
                <w:bCs/>
                <w:iCs/>
                <w:szCs w:val="20"/>
              </w:rPr>
            </w:pPr>
            <w:r w:rsidRPr="005A2F6F">
              <w:rPr>
                <w:b w:val="0"/>
                <w:bCs/>
                <w:iCs/>
                <w:szCs w:val="20"/>
                <w:u w:val="single"/>
              </w:rPr>
              <w:t xml:space="preserve">Paragraph 7.3: </w:t>
            </w:r>
            <w:r w:rsidRPr="005A2F6F">
              <w:rPr>
                <w:b w:val="0"/>
                <w:bCs/>
                <w:iCs/>
                <w:szCs w:val="20"/>
              </w:rPr>
              <w:t>The PBAC noted the comments from the ESA regarding the importance of appropriately identifying patients with LGS in the restriction criteria. The PBAC advised the following changes to the restriction criteria for cannabidiol would be appropriate (i) remove population criteria related to age and (ii) an improved definition of LGS, consistent with that proposed by the ESA</w:t>
            </w:r>
            <w:r w:rsidR="00075A6C" w:rsidRPr="005A2F6F">
              <w:rPr>
                <w:b w:val="0"/>
                <w:bCs/>
                <w:iCs/>
                <w:szCs w:val="20"/>
              </w:rPr>
              <w:t xml:space="preserve"> </w:t>
            </w:r>
            <w:r w:rsidR="00075A6C" w:rsidRPr="005A2F6F">
              <w:rPr>
                <w:b w:val="0"/>
                <w:bCs/>
                <w:iCs/>
                <w:szCs w:val="20"/>
                <w:lang w:val="en-GB"/>
              </w:rPr>
              <w:t>(refer to paragraph 6.4).</w:t>
            </w:r>
            <w:r w:rsidR="00D03A5C" w:rsidRPr="005A2F6F">
              <w:rPr>
                <w:b w:val="0"/>
                <w:bCs/>
                <w:iCs/>
                <w:szCs w:val="20"/>
              </w:rPr>
              <w:t xml:space="preserve"> </w:t>
            </w:r>
            <w:r w:rsidRPr="005A2F6F">
              <w:rPr>
                <w:b w:val="0"/>
                <w:bCs/>
                <w:iCs/>
                <w:szCs w:val="20"/>
              </w:rPr>
              <w:t xml:space="preserve">The PBAC noted the clinical trials for cannabidiol required patients to have least 2 drop seizures per week </w:t>
            </w:r>
            <w:r w:rsidRPr="005A2F6F">
              <w:rPr>
                <w:b w:val="0"/>
                <w:bCs/>
                <w:iCs/>
                <w:szCs w:val="20"/>
              </w:rPr>
              <w:lastRenderedPageBreak/>
              <w:t>at trial entry and considered it may be appropriate to also include this in the restriction criteria.</w:t>
            </w:r>
          </w:p>
        </w:tc>
      </w:tr>
      <w:tr w:rsidR="008C6350" w:rsidRPr="005A2F6F" w14:paraId="5E7792FA" w14:textId="77777777" w:rsidTr="002D44E8">
        <w:tc>
          <w:tcPr>
            <w:tcW w:w="707" w:type="pct"/>
            <w:shd w:val="clear" w:color="auto" w:fill="DBE5F1" w:themeFill="accent1" w:themeFillTint="33"/>
          </w:tcPr>
          <w:p w14:paraId="41B6D50A" w14:textId="4DA76DDF" w:rsidR="008C6350" w:rsidRPr="005A2F6F" w:rsidRDefault="00490C19" w:rsidP="00361246">
            <w:pPr>
              <w:pStyle w:val="In-tableHeading"/>
              <w:keepNext w:val="0"/>
              <w:rPr>
                <w:b w:val="0"/>
                <w:bCs/>
                <w:iCs/>
                <w:szCs w:val="20"/>
              </w:rPr>
            </w:pPr>
            <w:r w:rsidRPr="005A2F6F">
              <w:rPr>
                <w:b w:val="0"/>
                <w:bCs/>
                <w:iCs/>
                <w:szCs w:val="20"/>
              </w:rPr>
              <w:lastRenderedPageBreak/>
              <w:t>March 2022</w:t>
            </w:r>
          </w:p>
        </w:tc>
        <w:tc>
          <w:tcPr>
            <w:tcW w:w="1497" w:type="pct"/>
            <w:shd w:val="clear" w:color="auto" w:fill="DBE5F1" w:themeFill="accent1" w:themeFillTint="33"/>
          </w:tcPr>
          <w:p w14:paraId="2A62FC76" w14:textId="77777777" w:rsidR="008C6350" w:rsidRPr="005A2F6F" w:rsidRDefault="008C6350" w:rsidP="00361246">
            <w:pPr>
              <w:pStyle w:val="In-tableHeading"/>
              <w:keepNext w:val="0"/>
              <w:rPr>
                <w:b w:val="0"/>
                <w:bCs/>
                <w:iCs/>
                <w:szCs w:val="20"/>
                <w:u w:val="single"/>
              </w:rPr>
            </w:pPr>
            <w:r w:rsidRPr="005A2F6F">
              <w:rPr>
                <w:b w:val="0"/>
                <w:bCs/>
                <w:iCs/>
                <w:szCs w:val="20"/>
                <w:u w:val="single"/>
              </w:rPr>
              <w:t>Clinical criteria:</w:t>
            </w:r>
          </w:p>
          <w:p w14:paraId="1E17C81C" w14:textId="327BF982" w:rsidR="008C6350" w:rsidRPr="005A2F6F" w:rsidRDefault="008C6350" w:rsidP="00361246">
            <w:pPr>
              <w:pStyle w:val="In-tableHeading"/>
              <w:keepNext w:val="0"/>
              <w:rPr>
                <w:b w:val="0"/>
                <w:bCs/>
                <w:iCs/>
                <w:szCs w:val="20"/>
              </w:rPr>
            </w:pPr>
            <w:r w:rsidRPr="005A2F6F">
              <w:rPr>
                <w:b w:val="0"/>
                <w:bCs/>
                <w:iCs/>
                <w:szCs w:val="20"/>
                <w:lang w:val="en-AU"/>
              </w:rPr>
              <w:t>Patient must have (as an initiating patient)/have had (as a continuing patient) more than one type of generalised seizures</w:t>
            </w:r>
          </w:p>
        </w:tc>
        <w:tc>
          <w:tcPr>
            <w:tcW w:w="2796" w:type="pct"/>
            <w:shd w:val="clear" w:color="auto" w:fill="DBE5F1" w:themeFill="accent1" w:themeFillTint="33"/>
          </w:tcPr>
          <w:p w14:paraId="1164AE18" w14:textId="6625F538" w:rsidR="00B254A8" w:rsidRPr="005A2F6F" w:rsidRDefault="00093670" w:rsidP="00361246">
            <w:pPr>
              <w:pStyle w:val="In-tableHeading"/>
              <w:rPr>
                <w:b w:val="0"/>
                <w:bCs/>
                <w:iCs/>
                <w:szCs w:val="20"/>
              </w:rPr>
            </w:pPr>
            <w:r w:rsidRPr="005A2F6F">
              <w:rPr>
                <w:b w:val="0"/>
                <w:bCs/>
                <w:iCs/>
                <w:szCs w:val="20"/>
              </w:rPr>
              <w:t xml:space="preserve">The PBAC had previously noted the advice of the ESA that the definition for LGS should be included in a PBS listing, so that use is limited to patient populations with clinical data supporting the risk and benefit of cannabidiol (paragraph 6.3, </w:t>
            </w:r>
            <w:r w:rsidR="008B3656" w:rsidRPr="005A2F6F">
              <w:rPr>
                <w:b w:val="0"/>
                <w:bCs/>
                <w:iCs/>
                <w:szCs w:val="20"/>
              </w:rPr>
              <w:t>PSD, J</w:t>
            </w:r>
            <w:r w:rsidRPr="005A2F6F">
              <w:rPr>
                <w:b w:val="0"/>
                <w:bCs/>
                <w:iCs/>
                <w:szCs w:val="20"/>
              </w:rPr>
              <w:t xml:space="preserve">uly </w:t>
            </w:r>
            <w:r w:rsidR="008B3656" w:rsidRPr="005A2F6F">
              <w:rPr>
                <w:b w:val="0"/>
                <w:bCs/>
                <w:iCs/>
                <w:szCs w:val="20"/>
              </w:rPr>
              <w:t>2020 PBAC meeting</w:t>
            </w:r>
            <w:r w:rsidRPr="005A2F6F">
              <w:rPr>
                <w:b w:val="0"/>
                <w:bCs/>
                <w:iCs/>
                <w:szCs w:val="20"/>
              </w:rPr>
              <w:t xml:space="preserve">). In the March 2022 resubmission, the sponsor proposed the clinical criterion: “Patient must have (as an initiating patient)/have had (as a continuing patient) more than one type of generalised seizure, including drop seizures (atonic, tonic, or tonic-clonic), that are not adequately controlled with at least two other </w:t>
            </w:r>
            <w:r w:rsidR="004150D9" w:rsidRPr="004150D9">
              <w:rPr>
                <w:b w:val="0"/>
                <w:bCs/>
                <w:iCs/>
                <w:szCs w:val="20"/>
                <w:lang w:val="en-AU"/>
              </w:rPr>
              <w:t>antiseizure medication</w:t>
            </w:r>
            <w:r w:rsidRPr="005A2F6F">
              <w:rPr>
                <w:b w:val="0"/>
                <w:bCs/>
                <w:iCs/>
                <w:szCs w:val="20"/>
              </w:rPr>
              <w:t>.”</w:t>
            </w:r>
          </w:p>
        </w:tc>
      </w:tr>
      <w:tr w:rsidR="001B6784" w:rsidRPr="005A2F6F" w14:paraId="444DC871" w14:textId="77777777" w:rsidTr="002D44E8">
        <w:tc>
          <w:tcPr>
            <w:tcW w:w="707" w:type="pct"/>
            <w:shd w:val="clear" w:color="auto" w:fill="DBE5F1" w:themeFill="accent1" w:themeFillTint="33"/>
          </w:tcPr>
          <w:p w14:paraId="4FB1878B" w14:textId="4F592F81" w:rsidR="001B6784" w:rsidRPr="005A2F6F" w:rsidRDefault="001B6784" w:rsidP="00361246">
            <w:pPr>
              <w:pStyle w:val="In-tableHeading"/>
              <w:keepNext w:val="0"/>
              <w:rPr>
                <w:b w:val="0"/>
                <w:bCs/>
                <w:iCs/>
                <w:szCs w:val="20"/>
              </w:rPr>
            </w:pPr>
            <w:r w:rsidRPr="005A2F6F">
              <w:rPr>
                <w:b w:val="0"/>
                <w:bCs/>
                <w:iCs/>
                <w:szCs w:val="20"/>
              </w:rPr>
              <w:t>September 2022</w:t>
            </w:r>
          </w:p>
        </w:tc>
        <w:tc>
          <w:tcPr>
            <w:tcW w:w="1497" w:type="pct"/>
            <w:shd w:val="clear" w:color="auto" w:fill="DBE5F1" w:themeFill="accent1" w:themeFillTint="33"/>
          </w:tcPr>
          <w:p w14:paraId="76C11945" w14:textId="77777777" w:rsidR="00FA7959" w:rsidRPr="005A2F6F" w:rsidRDefault="00FA7959" w:rsidP="00361246">
            <w:pPr>
              <w:pStyle w:val="In-tableHeading"/>
              <w:rPr>
                <w:b w:val="0"/>
                <w:bCs/>
                <w:iCs/>
                <w:szCs w:val="20"/>
                <w:u w:val="single"/>
              </w:rPr>
            </w:pPr>
            <w:r w:rsidRPr="005A2F6F">
              <w:rPr>
                <w:b w:val="0"/>
                <w:bCs/>
                <w:iCs/>
                <w:szCs w:val="20"/>
                <w:u w:val="single"/>
              </w:rPr>
              <w:t>Clinical criteria:</w:t>
            </w:r>
          </w:p>
          <w:p w14:paraId="68A9B1C4" w14:textId="0CE6A72F" w:rsidR="001B6784" w:rsidRPr="005A2F6F" w:rsidRDefault="00FA7959" w:rsidP="00361246">
            <w:pPr>
              <w:pStyle w:val="In-tableHeading"/>
              <w:keepNext w:val="0"/>
              <w:rPr>
                <w:b w:val="0"/>
                <w:bCs/>
                <w:iCs/>
                <w:szCs w:val="20"/>
              </w:rPr>
            </w:pPr>
            <w:r w:rsidRPr="005A2F6F">
              <w:rPr>
                <w:b w:val="0"/>
                <w:bCs/>
                <w:iCs/>
                <w:szCs w:val="20"/>
              </w:rPr>
              <w:t xml:space="preserve">The treatment must be as adjunctive therapy to at least two other </w:t>
            </w:r>
            <w:r w:rsidR="004150D9" w:rsidRPr="004150D9">
              <w:rPr>
                <w:b w:val="0"/>
                <w:bCs/>
                <w:iCs/>
                <w:szCs w:val="20"/>
                <w:lang w:val="en-AU"/>
              </w:rPr>
              <w:t>antiseizure medication</w:t>
            </w:r>
            <w:r w:rsidRPr="005A2F6F">
              <w:rPr>
                <w:b w:val="0"/>
                <w:bCs/>
                <w:iCs/>
                <w:szCs w:val="20"/>
              </w:rPr>
              <w:t>.</w:t>
            </w:r>
          </w:p>
        </w:tc>
        <w:tc>
          <w:tcPr>
            <w:tcW w:w="2796" w:type="pct"/>
            <w:shd w:val="clear" w:color="auto" w:fill="DBE5F1" w:themeFill="accent1" w:themeFillTint="33"/>
          </w:tcPr>
          <w:p w14:paraId="511596FA" w14:textId="77AA92DA" w:rsidR="001B6784" w:rsidRPr="005A2F6F" w:rsidRDefault="001B6784" w:rsidP="00361246">
            <w:pPr>
              <w:pStyle w:val="In-tableHeading"/>
              <w:keepNext w:val="0"/>
              <w:rPr>
                <w:b w:val="0"/>
                <w:bCs/>
                <w:iCs/>
                <w:szCs w:val="20"/>
                <w:u w:val="single"/>
              </w:rPr>
            </w:pPr>
            <w:r w:rsidRPr="005A2F6F">
              <w:rPr>
                <w:b w:val="0"/>
                <w:bCs/>
                <w:iCs/>
                <w:szCs w:val="20"/>
                <w:u w:val="single"/>
              </w:rPr>
              <w:t xml:space="preserve">Paragraph </w:t>
            </w:r>
            <w:r w:rsidR="00BC76E7" w:rsidRPr="005A2F6F">
              <w:rPr>
                <w:b w:val="0"/>
                <w:bCs/>
                <w:iCs/>
                <w:szCs w:val="20"/>
                <w:u w:val="single"/>
              </w:rPr>
              <w:t>9.5</w:t>
            </w:r>
            <w:r w:rsidRPr="005A2F6F">
              <w:rPr>
                <w:b w:val="0"/>
                <w:bCs/>
                <w:iCs/>
                <w:szCs w:val="20"/>
                <w:u w:val="single"/>
              </w:rPr>
              <w:t>:</w:t>
            </w:r>
            <w:r w:rsidR="005777CC" w:rsidRPr="005A2F6F">
              <w:rPr>
                <w:b w:val="0"/>
                <w:bCs/>
                <w:iCs/>
                <w:szCs w:val="20"/>
                <w:u w:val="single"/>
              </w:rPr>
              <w:t xml:space="preserve"> </w:t>
            </w:r>
            <w:r w:rsidR="005777CC" w:rsidRPr="005A2F6F">
              <w:rPr>
                <w:b w:val="0"/>
                <w:bCs/>
                <w:iCs/>
                <w:szCs w:val="20"/>
              </w:rPr>
              <w:t xml:space="preserve">The PBAC reiterated its previous advice (see paragraph 5.7, </w:t>
            </w:r>
            <w:r w:rsidR="00FA7959" w:rsidRPr="005A2F6F">
              <w:rPr>
                <w:b w:val="0"/>
                <w:bCs/>
                <w:iCs/>
                <w:szCs w:val="20"/>
              </w:rPr>
              <w:t>PSD, July 2022 PBAC meeting</w:t>
            </w:r>
            <w:r w:rsidR="005777CC" w:rsidRPr="005A2F6F">
              <w:rPr>
                <w:b w:val="0"/>
                <w:bCs/>
                <w:iCs/>
                <w:szCs w:val="20"/>
              </w:rPr>
              <w:t xml:space="preserve">) that the clinical criteria ‘The treatment must be in combination with at least one anti-epileptic drug’ should be amended to ‘The treatment must be as adjunctive therapy to at least two other </w:t>
            </w:r>
            <w:r w:rsidR="004150D9" w:rsidRPr="004150D9">
              <w:rPr>
                <w:b w:val="0"/>
                <w:bCs/>
                <w:iCs/>
                <w:szCs w:val="20"/>
                <w:lang w:val="en-AU"/>
              </w:rPr>
              <w:t>antiseizure medication</w:t>
            </w:r>
            <w:r w:rsidR="005777CC" w:rsidRPr="005A2F6F">
              <w:rPr>
                <w:b w:val="0"/>
                <w:bCs/>
                <w:iCs/>
                <w:szCs w:val="20"/>
              </w:rPr>
              <w:t>’, to be consistent with the clinical data for LGS and the current PBS listing for cannabidiol for DS.</w:t>
            </w:r>
          </w:p>
        </w:tc>
      </w:tr>
      <w:tr w:rsidR="00687152" w:rsidRPr="005A2F6F" w14:paraId="12954B54" w14:textId="77777777" w:rsidTr="002D44E8">
        <w:tc>
          <w:tcPr>
            <w:tcW w:w="707" w:type="pct"/>
            <w:shd w:val="clear" w:color="auto" w:fill="DBE5F1" w:themeFill="accent1" w:themeFillTint="33"/>
          </w:tcPr>
          <w:p w14:paraId="407B0E18" w14:textId="438A3592" w:rsidR="00687152" w:rsidRPr="005A2F6F" w:rsidRDefault="00687152" w:rsidP="00361246">
            <w:pPr>
              <w:pStyle w:val="In-tableHeading"/>
              <w:keepNext w:val="0"/>
              <w:rPr>
                <w:b w:val="0"/>
                <w:bCs/>
                <w:iCs/>
                <w:szCs w:val="20"/>
              </w:rPr>
            </w:pPr>
            <w:r w:rsidRPr="005A2F6F">
              <w:rPr>
                <w:b w:val="0"/>
                <w:bCs/>
                <w:iCs/>
                <w:szCs w:val="20"/>
              </w:rPr>
              <w:t>July 2020</w:t>
            </w:r>
          </w:p>
        </w:tc>
        <w:tc>
          <w:tcPr>
            <w:tcW w:w="1497" w:type="pct"/>
            <w:vMerge w:val="restart"/>
            <w:shd w:val="clear" w:color="auto" w:fill="DBE5F1" w:themeFill="accent1" w:themeFillTint="33"/>
          </w:tcPr>
          <w:p w14:paraId="4D09D776" w14:textId="4C158295" w:rsidR="00687152" w:rsidRPr="005A2F6F" w:rsidRDefault="00687152" w:rsidP="00361246">
            <w:pPr>
              <w:pStyle w:val="In-tableHeading"/>
              <w:rPr>
                <w:b w:val="0"/>
                <w:bCs/>
                <w:iCs/>
                <w:szCs w:val="20"/>
                <w:u w:val="single"/>
              </w:rPr>
            </w:pPr>
            <w:r w:rsidRPr="005A2F6F">
              <w:rPr>
                <w:b w:val="0"/>
                <w:bCs/>
                <w:iCs/>
                <w:szCs w:val="20"/>
                <w:u w:val="single"/>
                <w:lang w:val="en-AU"/>
              </w:rPr>
              <w:t>Treatment criteria:</w:t>
            </w:r>
          </w:p>
          <w:p w14:paraId="31A45B97" w14:textId="2443831E" w:rsidR="00687152" w:rsidRPr="005A2F6F" w:rsidRDefault="00687152" w:rsidP="00361246">
            <w:pPr>
              <w:pStyle w:val="In-tableHeading"/>
              <w:numPr>
                <w:ilvl w:val="0"/>
                <w:numId w:val="22"/>
              </w:numPr>
              <w:rPr>
                <w:b w:val="0"/>
                <w:bCs/>
                <w:iCs/>
                <w:szCs w:val="20"/>
              </w:rPr>
            </w:pPr>
            <w:r w:rsidRPr="005A2F6F">
              <w:rPr>
                <w:b w:val="0"/>
                <w:bCs/>
                <w:iCs/>
                <w:szCs w:val="20"/>
              </w:rPr>
              <w:t>Must be treated by a neurologist if treatment is being initiated; OR</w:t>
            </w:r>
          </w:p>
          <w:p w14:paraId="6E5C061F" w14:textId="77777777" w:rsidR="00687152" w:rsidRPr="005A2F6F" w:rsidRDefault="00687152" w:rsidP="00361246">
            <w:pPr>
              <w:pStyle w:val="In-tableHeading"/>
              <w:numPr>
                <w:ilvl w:val="0"/>
                <w:numId w:val="21"/>
              </w:numPr>
              <w:rPr>
                <w:b w:val="0"/>
                <w:bCs/>
                <w:iCs/>
                <w:szCs w:val="20"/>
              </w:rPr>
            </w:pPr>
            <w:r w:rsidRPr="005A2F6F">
              <w:rPr>
                <w:b w:val="0"/>
                <w:bCs/>
                <w:iCs/>
                <w:szCs w:val="20"/>
              </w:rPr>
              <w:t>Must be treated by a neurologist if treatment is being continued or re-initiated; OR</w:t>
            </w:r>
          </w:p>
          <w:p w14:paraId="1F0AB589" w14:textId="77777777" w:rsidR="00687152" w:rsidRPr="005A2F6F" w:rsidRDefault="00687152" w:rsidP="00361246">
            <w:pPr>
              <w:pStyle w:val="In-tableHeading"/>
              <w:numPr>
                <w:ilvl w:val="0"/>
                <w:numId w:val="21"/>
              </w:numPr>
              <w:rPr>
                <w:b w:val="0"/>
                <w:bCs/>
                <w:iCs/>
                <w:szCs w:val="20"/>
              </w:rPr>
            </w:pPr>
            <w:r w:rsidRPr="005A2F6F">
              <w:rPr>
                <w:b w:val="0"/>
                <w:bCs/>
                <w:iCs/>
                <w:szCs w:val="20"/>
              </w:rPr>
              <w:t>Must be treated by a paediatrician in consultation with a neurologist if treatment is being continued; OR</w:t>
            </w:r>
          </w:p>
          <w:p w14:paraId="4BD88FFA" w14:textId="403F7EBA" w:rsidR="00687152" w:rsidRPr="005A2F6F" w:rsidRDefault="00687152" w:rsidP="00361246">
            <w:pPr>
              <w:pStyle w:val="In-tableHeading"/>
              <w:keepNext w:val="0"/>
              <w:numPr>
                <w:ilvl w:val="0"/>
                <w:numId w:val="21"/>
              </w:numPr>
              <w:rPr>
                <w:b w:val="0"/>
                <w:bCs/>
                <w:iCs/>
                <w:szCs w:val="20"/>
              </w:rPr>
            </w:pPr>
            <w:r w:rsidRPr="005A2F6F">
              <w:rPr>
                <w:b w:val="0"/>
                <w:bCs/>
                <w:iCs/>
                <w:szCs w:val="20"/>
              </w:rPr>
              <w:t>Must be treated by a general practitioner in consultation with a neurologist if treatment is being continued.</w:t>
            </w:r>
          </w:p>
        </w:tc>
        <w:tc>
          <w:tcPr>
            <w:tcW w:w="2796" w:type="pct"/>
            <w:shd w:val="clear" w:color="auto" w:fill="DBE5F1" w:themeFill="accent1" w:themeFillTint="33"/>
          </w:tcPr>
          <w:p w14:paraId="4E183AD1" w14:textId="021CE00B" w:rsidR="00687152" w:rsidRPr="005A2F6F" w:rsidRDefault="0001767F" w:rsidP="00361246">
            <w:pPr>
              <w:pStyle w:val="In-tableHeading"/>
              <w:keepNext w:val="0"/>
              <w:rPr>
                <w:b w:val="0"/>
                <w:bCs/>
                <w:iCs/>
                <w:szCs w:val="20"/>
                <w:u w:val="single"/>
              </w:rPr>
            </w:pPr>
            <w:r w:rsidRPr="005A2F6F">
              <w:rPr>
                <w:b w:val="0"/>
                <w:bCs/>
                <w:iCs/>
                <w:szCs w:val="20"/>
                <w:u w:val="single"/>
              </w:rPr>
              <w:t xml:space="preserve">Paragraph </w:t>
            </w:r>
            <w:r w:rsidR="004C143E" w:rsidRPr="005A2F6F">
              <w:rPr>
                <w:b w:val="0"/>
                <w:bCs/>
                <w:iCs/>
                <w:szCs w:val="20"/>
                <w:u w:val="single"/>
              </w:rPr>
              <w:t xml:space="preserve">6.3: </w:t>
            </w:r>
            <w:r w:rsidR="0081312C" w:rsidRPr="005A2F6F">
              <w:rPr>
                <w:b w:val="0"/>
                <w:bCs/>
                <w:iCs/>
                <w:szCs w:val="20"/>
              </w:rPr>
              <w:t xml:space="preserve">The PBAC noted the advice of the ESA that prescribing should be restricted to neurologists and paediatric neurologists experienced in the treatment of epilepsy, to ensure appropriate use as part of patients’ comprehensive management strategy. </w:t>
            </w:r>
          </w:p>
        </w:tc>
      </w:tr>
      <w:tr w:rsidR="00687152" w:rsidRPr="005A2F6F" w14:paraId="2635D542" w14:textId="77777777" w:rsidTr="002D44E8">
        <w:tc>
          <w:tcPr>
            <w:tcW w:w="707" w:type="pct"/>
            <w:shd w:val="clear" w:color="auto" w:fill="DBE5F1" w:themeFill="accent1" w:themeFillTint="33"/>
          </w:tcPr>
          <w:p w14:paraId="187727FF" w14:textId="4CA55CDB" w:rsidR="00687152" w:rsidRPr="005A2F6F" w:rsidRDefault="00687152" w:rsidP="00361246">
            <w:pPr>
              <w:pStyle w:val="In-tableHeading"/>
              <w:keepNext w:val="0"/>
              <w:rPr>
                <w:b w:val="0"/>
                <w:bCs/>
                <w:iCs/>
                <w:szCs w:val="20"/>
              </w:rPr>
            </w:pPr>
            <w:r w:rsidRPr="005A2F6F">
              <w:rPr>
                <w:b w:val="0"/>
                <w:bCs/>
                <w:iCs/>
                <w:szCs w:val="20"/>
              </w:rPr>
              <w:t>March 2022</w:t>
            </w:r>
          </w:p>
        </w:tc>
        <w:tc>
          <w:tcPr>
            <w:tcW w:w="1497" w:type="pct"/>
            <w:vMerge/>
            <w:shd w:val="clear" w:color="auto" w:fill="DBE5F1" w:themeFill="accent1" w:themeFillTint="33"/>
          </w:tcPr>
          <w:p w14:paraId="2E461C3B" w14:textId="77777777" w:rsidR="00687152" w:rsidRPr="005A2F6F" w:rsidRDefault="00687152" w:rsidP="00361246">
            <w:pPr>
              <w:pStyle w:val="In-tableHeading"/>
              <w:rPr>
                <w:b w:val="0"/>
                <w:bCs/>
                <w:iCs/>
                <w:szCs w:val="20"/>
                <w:u w:val="single"/>
                <w:lang w:val="en-AU"/>
              </w:rPr>
            </w:pPr>
          </w:p>
        </w:tc>
        <w:tc>
          <w:tcPr>
            <w:tcW w:w="2796" w:type="pct"/>
            <w:shd w:val="clear" w:color="auto" w:fill="DBE5F1" w:themeFill="accent1" w:themeFillTint="33"/>
          </w:tcPr>
          <w:p w14:paraId="4A8EC7FF" w14:textId="77777777" w:rsidR="00687152" w:rsidRPr="005A2F6F" w:rsidRDefault="00687152" w:rsidP="00361246">
            <w:pPr>
              <w:pStyle w:val="In-tableHeading"/>
              <w:keepNext w:val="0"/>
              <w:rPr>
                <w:b w:val="0"/>
                <w:bCs/>
                <w:iCs/>
                <w:szCs w:val="20"/>
              </w:rPr>
            </w:pPr>
            <w:r w:rsidRPr="005A2F6F">
              <w:rPr>
                <w:b w:val="0"/>
                <w:bCs/>
                <w:iCs/>
                <w:szCs w:val="20"/>
                <w:u w:val="single"/>
              </w:rPr>
              <w:t xml:space="preserve">November 2020, paragraph 9.11 for DS: </w:t>
            </w:r>
            <w:r w:rsidRPr="005A2F6F">
              <w:rPr>
                <w:b w:val="0"/>
                <w:bCs/>
                <w:iCs/>
                <w:szCs w:val="20"/>
              </w:rPr>
              <w:t>The PBAC advised that initial prescribing should be limited to neurologists, and that paediatricians and general practitioners, in addition to neurologists, could also continue treatment, but only in consultation with a neurologist.</w:t>
            </w:r>
          </w:p>
          <w:p w14:paraId="2B6B5D72" w14:textId="77777777" w:rsidR="00687152" w:rsidRPr="005A2F6F" w:rsidRDefault="00687152" w:rsidP="00361246">
            <w:pPr>
              <w:pStyle w:val="In-tableHeading"/>
              <w:keepNext w:val="0"/>
              <w:rPr>
                <w:b w:val="0"/>
                <w:bCs/>
                <w:iCs/>
                <w:szCs w:val="20"/>
              </w:rPr>
            </w:pPr>
            <w:r w:rsidRPr="005A2F6F">
              <w:rPr>
                <w:b w:val="0"/>
                <w:bCs/>
                <w:iCs/>
                <w:szCs w:val="20"/>
                <w:u w:val="single"/>
              </w:rPr>
              <w:t xml:space="preserve">Paragraph 3.3: </w:t>
            </w:r>
            <w:r w:rsidRPr="005A2F6F">
              <w:rPr>
                <w:b w:val="0"/>
                <w:bCs/>
                <w:iCs/>
                <w:szCs w:val="20"/>
              </w:rPr>
              <w:t>The restriction in the resubmission was modelled on that approved for DS, with the addition of the EEG criteria for diagnosis of LGS</w:t>
            </w:r>
          </w:p>
          <w:p w14:paraId="1FDEFB68" w14:textId="77777777" w:rsidR="000D3110" w:rsidRPr="005A2F6F" w:rsidRDefault="000D3110" w:rsidP="00361246">
            <w:pPr>
              <w:pStyle w:val="In-tableHeading"/>
              <w:keepNext w:val="0"/>
              <w:rPr>
                <w:b w:val="0"/>
                <w:bCs/>
                <w:iCs/>
                <w:szCs w:val="20"/>
              </w:rPr>
            </w:pPr>
          </w:p>
          <w:p w14:paraId="52B5DEEC" w14:textId="4A2D3DAE" w:rsidR="000D3110" w:rsidRPr="005A2F6F" w:rsidRDefault="000D3110" w:rsidP="00361246">
            <w:pPr>
              <w:pStyle w:val="In-tableHeading"/>
              <w:keepNext w:val="0"/>
              <w:rPr>
                <w:b w:val="0"/>
                <w:bCs/>
                <w:iCs/>
                <w:szCs w:val="20"/>
              </w:rPr>
            </w:pPr>
            <w:r w:rsidRPr="005A2F6F">
              <w:rPr>
                <w:b w:val="0"/>
                <w:bCs/>
                <w:iCs/>
                <w:szCs w:val="20"/>
              </w:rPr>
              <w:t xml:space="preserve">In March 2022, the restriction in the resubmission was modelled on that approved for DS, with the addition of the EEG criteria for diagnosis of LGS </w:t>
            </w:r>
            <w:r w:rsidR="005A10D8" w:rsidRPr="005A2F6F">
              <w:rPr>
                <w:b w:val="0"/>
                <w:bCs/>
                <w:iCs/>
                <w:szCs w:val="20"/>
              </w:rPr>
              <w:t xml:space="preserve">as advised by the PBAC </w:t>
            </w:r>
            <w:r w:rsidRPr="005A2F6F">
              <w:rPr>
                <w:b w:val="0"/>
                <w:bCs/>
                <w:iCs/>
                <w:szCs w:val="20"/>
              </w:rPr>
              <w:t>(paragraph 3.3)</w:t>
            </w:r>
            <w:r w:rsidR="005A10D8" w:rsidRPr="005A2F6F">
              <w:rPr>
                <w:b w:val="0"/>
                <w:bCs/>
                <w:iCs/>
                <w:szCs w:val="20"/>
              </w:rPr>
              <w:t xml:space="preserve">. The PBAC had previously advised that initial prescribing should be limited to neurologists, and that </w:t>
            </w:r>
            <w:r w:rsidR="00F67B92" w:rsidRPr="005A2F6F">
              <w:rPr>
                <w:b w:val="0"/>
                <w:bCs/>
                <w:iCs/>
                <w:szCs w:val="20"/>
              </w:rPr>
              <w:t>pediatricians</w:t>
            </w:r>
            <w:r w:rsidR="005A10D8" w:rsidRPr="005A2F6F">
              <w:rPr>
                <w:b w:val="0"/>
                <w:bCs/>
                <w:iCs/>
                <w:szCs w:val="20"/>
              </w:rPr>
              <w:t xml:space="preserve"> and general practitioners, in addition to neurologists, could also continue treatment, but only in consultation with a neurologist (</w:t>
            </w:r>
            <w:r w:rsidR="00401318" w:rsidRPr="005A2F6F">
              <w:rPr>
                <w:b w:val="0"/>
                <w:bCs/>
                <w:iCs/>
                <w:szCs w:val="20"/>
              </w:rPr>
              <w:t>paragraph 9.11, PSD, November 2020 meeting).</w:t>
            </w:r>
          </w:p>
        </w:tc>
      </w:tr>
      <w:tr w:rsidR="00D06CC9" w:rsidRPr="005A2F6F" w14:paraId="31C682DF" w14:textId="77777777" w:rsidTr="002D44E8">
        <w:tc>
          <w:tcPr>
            <w:tcW w:w="707" w:type="pct"/>
            <w:shd w:val="clear" w:color="auto" w:fill="DBE5F1" w:themeFill="accent1" w:themeFillTint="33"/>
          </w:tcPr>
          <w:p w14:paraId="4AD4DA32" w14:textId="7FB1BA03" w:rsidR="00D06CC9" w:rsidRPr="005A2F6F" w:rsidRDefault="00722F2C" w:rsidP="00361246">
            <w:pPr>
              <w:pStyle w:val="In-tableHeading"/>
              <w:keepNext w:val="0"/>
              <w:rPr>
                <w:b w:val="0"/>
                <w:bCs/>
                <w:iCs/>
                <w:szCs w:val="20"/>
              </w:rPr>
            </w:pPr>
            <w:r w:rsidRPr="005A2F6F">
              <w:rPr>
                <w:b w:val="0"/>
                <w:bCs/>
                <w:iCs/>
                <w:szCs w:val="20"/>
              </w:rPr>
              <w:t>July 2022</w:t>
            </w:r>
          </w:p>
        </w:tc>
        <w:tc>
          <w:tcPr>
            <w:tcW w:w="1497" w:type="pct"/>
            <w:shd w:val="clear" w:color="auto" w:fill="DBE5F1" w:themeFill="accent1" w:themeFillTint="33"/>
          </w:tcPr>
          <w:p w14:paraId="5F5DA58C" w14:textId="77777777" w:rsidR="001B7FD5" w:rsidRPr="005A2F6F" w:rsidRDefault="001B7FD5" w:rsidP="00361246">
            <w:pPr>
              <w:pStyle w:val="In-tableHeading"/>
              <w:rPr>
                <w:b w:val="0"/>
                <w:bCs/>
                <w:iCs/>
                <w:szCs w:val="20"/>
                <w:u w:val="single"/>
                <w:lang w:val="en-AU"/>
              </w:rPr>
            </w:pPr>
            <w:r w:rsidRPr="005A2F6F">
              <w:rPr>
                <w:b w:val="0"/>
                <w:bCs/>
                <w:iCs/>
                <w:szCs w:val="20"/>
                <w:u w:val="single"/>
                <w:lang w:val="en-AU"/>
              </w:rPr>
              <w:t>Prescribing Instructions:</w:t>
            </w:r>
          </w:p>
          <w:p w14:paraId="62C39790" w14:textId="26A4C52D" w:rsidR="00D06CC9" w:rsidRPr="005A2F6F" w:rsidRDefault="001B7FD5" w:rsidP="00361246">
            <w:pPr>
              <w:pStyle w:val="In-tableHeading"/>
              <w:rPr>
                <w:b w:val="0"/>
                <w:bCs/>
                <w:iCs/>
                <w:szCs w:val="20"/>
                <w:lang w:val="en-AU"/>
              </w:rPr>
            </w:pPr>
            <w:r w:rsidRPr="005A2F6F">
              <w:rPr>
                <w:b w:val="0"/>
                <w:bCs/>
                <w:iCs/>
                <w:szCs w:val="20"/>
                <w:lang w:val="en-AU"/>
              </w:rPr>
              <w:t>Tonic seizures must have been recorded on video-EEG or have been clearly observed and reported by a witness.</w:t>
            </w:r>
          </w:p>
        </w:tc>
        <w:tc>
          <w:tcPr>
            <w:tcW w:w="2796" w:type="pct"/>
            <w:shd w:val="clear" w:color="auto" w:fill="DBE5F1" w:themeFill="accent1" w:themeFillTint="33"/>
          </w:tcPr>
          <w:p w14:paraId="3618E0CF" w14:textId="77777777" w:rsidR="00CD4787" w:rsidRPr="005A2F6F" w:rsidRDefault="00CD4787" w:rsidP="00361246">
            <w:pPr>
              <w:pStyle w:val="In-tableHeading"/>
              <w:keepNext w:val="0"/>
              <w:rPr>
                <w:b w:val="0"/>
                <w:bCs/>
                <w:iCs/>
                <w:szCs w:val="20"/>
              </w:rPr>
            </w:pPr>
            <w:r w:rsidRPr="005A2F6F">
              <w:rPr>
                <w:b w:val="0"/>
                <w:bCs/>
                <w:iCs/>
                <w:szCs w:val="20"/>
                <w:u w:val="single"/>
              </w:rPr>
              <w:t xml:space="preserve">Paragraph 5.7: </w:t>
            </w:r>
            <w:r w:rsidRPr="005A2F6F">
              <w:rPr>
                <w:b w:val="0"/>
                <w:bCs/>
                <w:iCs/>
                <w:szCs w:val="20"/>
              </w:rPr>
              <w:t>The PBAC considered the following changes to the draft restriction criteria proposed in the resubmission were required.</w:t>
            </w:r>
          </w:p>
          <w:p w14:paraId="184B834E" w14:textId="77777777" w:rsidR="00CD4787" w:rsidRPr="005A2F6F" w:rsidRDefault="00CD4787" w:rsidP="00361246">
            <w:pPr>
              <w:pStyle w:val="In-tableHeading"/>
              <w:keepNext w:val="0"/>
              <w:rPr>
                <w:rFonts w:cs="Arial Narrow"/>
                <w:b w:val="0"/>
                <w:bCs/>
                <w:iCs/>
                <w:szCs w:val="20"/>
                <w:lang w:val="en-AU"/>
              </w:rPr>
            </w:pPr>
          </w:p>
          <w:p w14:paraId="049A62A2" w14:textId="5306A719" w:rsidR="00D06CC9" w:rsidRPr="005A2F6F" w:rsidRDefault="00CD4787" w:rsidP="00361246">
            <w:pPr>
              <w:pStyle w:val="In-tableHeading"/>
              <w:keepNext w:val="0"/>
              <w:rPr>
                <w:b w:val="0"/>
                <w:bCs/>
                <w:iCs/>
                <w:szCs w:val="20"/>
                <w:u w:val="single"/>
              </w:rPr>
            </w:pPr>
            <w:r w:rsidRPr="005A2F6F">
              <w:rPr>
                <w:rFonts w:cs="Arial Narrow"/>
                <w:b w:val="0"/>
                <w:bCs/>
                <w:iCs/>
                <w:szCs w:val="20"/>
                <w:lang w:val="en-AU"/>
              </w:rPr>
              <w:t>The proposed changes included the addition of Prescribing Instruction:</w:t>
            </w:r>
            <w:r w:rsidRPr="005A2F6F">
              <w:rPr>
                <w:rFonts w:cs="Arial Narrow"/>
                <w:b w:val="0"/>
                <w:bCs/>
                <w:iCs/>
                <w:szCs w:val="20"/>
              </w:rPr>
              <w:t xml:space="preserve"> “</w:t>
            </w:r>
            <w:r w:rsidRPr="005A2F6F">
              <w:rPr>
                <w:b w:val="0"/>
                <w:bCs/>
                <w:iCs/>
                <w:color w:val="333333"/>
                <w:szCs w:val="20"/>
              </w:rPr>
              <w:t>Tonic seizures must have been recorded on video-EEG or have been clearly observed and reported by a witness</w:t>
            </w:r>
            <w:r w:rsidR="00264465" w:rsidRPr="005A2F6F">
              <w:rPr>
                <w:b w:val="0"/>
                <w:bCs/>
                <w:iCs/>
                <w:color w:val="333333"/>
                <w:szCs w:val="20"/>
              </w:rPr>
              <w:t>.</w:t>
            </w:r>
            <w:r w:rsidR="00EF0423" w:rsidRPr="005A2F6F">
              <w:rPr>
                <w:b w:val="0"/>
                <w:bCs/>
                <w:iCs/>
                <w:color w:val="333333"/>
                <w:szCs w:val="20"/>
              </w:rPr>
              <w:t>”</w:t>
            </w:r>
            <w:r w:rsidR="00264465" w:rsidRPr="005A2F6F">
              <w:rPr>
                <w:b w:val="0"/>
                <w:bCs/>
                <w:iCs/>
                <w:color w:val="333333"/>
                <w:szCs w:val="20"/>
              </w:rPr>
              <w:t xml:space="preserve"> (Refer to</w:t>
            </w:r>
            <w:r w:rsidR="00EF0423" w:rsidRPr="005A2F6F">
              <w:rPr>
                <w:b w:val="0"/>
                <w:bCs/>
                <w:iCs/>
                <w:color w:val="333333"/>
                <w:szCs w:val="20"/>
              </w:rPr>
              <w:t xml:space="preserve"> </w:t>
            </w:r>
            <w:r w:rsidR="00E71A43" w:rsidRPr="005A2F6F">
              <w:rPr>
                <w:b w:val="0"/>
                <w:bCs/>
                <w:iCs/>
                <w:color w:val="333333"/>
                <w:szCs w:val="20"/>
              </w:rPr>
              <w:t xml:space="preserve">comments from </w:t>
            </w:r>
            <w:r w:rsidR="00EF0423" w:rsidRPr="005A2F6F">
              <w:rPr>
                <w:b w:val="0"/>
                <w:bCs/>
                <w:iCs/>
                <w:color w:val="333333"/>
                <w:szCs w:val="20"/>
              </w:rPr>
              <w:t xml:space="preserve">the </w:t>
            </w:r>
            <w:r w:rsidR="00E71A43" w:rsidRPr="005A2F6F">
              <w:rPr>
                <w:b w:val="0"/>
                <w:bCs/>
                <w:iCs/>
                <w:color w:val="333333"/>
                <w:szCs w:val="20"/>
              </w:rPr>
              <w:t xml:space="preserve">ESA, paragraph 6.4. PSD, </w:t>
            </w:r>
            <w:r w:rsidR="00705D0C" w:rsidRPr="005A2F6F">
              <w:rPr>
                <w:b w:val="0"/>
                <w:bCs/>
                <w:iCs/>
                <w:color w:val="333333"/>
                <w:szCs w:val="20"/>
              </w:rPr>
              <w:t xml:space="preserve">March 2022 PBAC meeting). </w:t>
            </w:r>
          </w:p>
        </w:tc>
      </w:tr>
    </w:tbl>
    <w:p w14:paraId="1A2E2948" w14:textId="09E09DA1" w:rsidR="001846F3" w:rsidRPr="003F3593" w:rsidRDefault="001846F3" w:rsidP="00361246">
      <w:pPr>
        <w:pStyle w:val="TableFigureFooter"/>
        <w:jc w:val="left"/>
        <w:rPr>
          <w:iCs/>
        </w:rPr>
      </w:pPr>
      <w:r w:rsidRPr="003F3593">
        <w:rPr>
          <w:iCs/>
        </w:rPr>
        <w:t xml:space="preserve">Source: </w:t>
      </w:r>
      <w:r w:rsidR="005F1F94" w:rsidRPr="003F3593">
        <w:rPr>
          <w:iCs/>
        </w:rPr>
        <w:t>C</w:t>
      </w:r>
      <w:r w:rsidR="006C5849" w:rsidRPr="003F3593">
        <w:rPr>
          <w:iCs/>
        </w:rPr>
        <w:t>ompiled during the evaluation, referencing the cannabidiol PSDs from July 2020, November 2020, March 2022, July 2022, and September 2022.</w:t>
      </w:r>
    </w:p>
    <w:p w14:paraId="77F26E9E" w14:textId="14937548" w:rsidR="001846F3" w:rsidRPr="003F3593" w:rsidRDefault="009F5C8D" w:rsidP="00361246">
      <w:pPr>
        <w:pStyle w:val="TableFigureFooter"/>
        <w:jc w:val="left"/>
        <w:rPr>
          <w:iCs/>
        </w:rPr>
      </w:pPr>
      <w:r w:rsidRPr="003F3593">
        <w:rPr>
          <w:iCs/>
        </w:rPr>
        <w:t xml:space="preserve">Abbreviations: </w:t>
      </w:r>
      <w:r w:rsidR="001846F3" w:rsidRPr="003F3593">
        <w:rPr>
          <w:iCs/>
        </w:rPr>
        <w:t>DS = Dravet syndrome; EEG = electroencephalogram; Hz = hertz; LGS = Lennox-Gastaut syndrome; PSD = Public Summary Document</w:t>
      </w:r>
      <w:r w:rsidR="006463A8" w:rsidRPr="003F3593">
        <w:rPr>
          <w:iCs/>
        </w:rPr>
        <w:t xml:space="preserve">; </w:t>
      </w:r>
      <w:r w:rsidR="006463A8" w:rsidRPr="003F3593">
        <w:rPr>
          <w:iCs/>
          <w:color w:val="333333"/>
          <w:szCs w:val="20"/>
        </w:rPr>
        <w:t xml:space="preserve">ESA = </w:t>
      </w:r>
      <w:r w:rsidR="00F3293E" w:rsidRPr="003F3593">
        <w:rPr>
          <w:iCs/>
          <w:color w:val="333333"/>
          <w:szCs w:val="20"/>
        </w:rPr>
        <w:t>Epilepsy Society of Australia</w:t>
      </w:r>
    </w:p>
    <w:p w14:paraId="1B8790B6" w14:textId="77777777" w:rsidR="00964A9F" w:rsidRPr="00A6439B" w:rsidRDefault="00964A9F" w:rsidP="00361246">
      <w:pPr>
        <w:pStyle w:val="2-SectionHeading"/>
      </w:pPr>
      <w:r w:rsidRPr="00A6439B">
        <w:lastRenderedPageBreak/>
        <w:t xml:space="preserve">Requested listing </w:t>
      </w:r>
    </w:p>
    <w:p w14:paraId="17118911" w14:textId="6EBBACF2" w:rsidR="00964A9F" w:rsidRPr="00C72BBF" w:rsidRDefault="00964A9F" w:rsidP="00361246">
      <w:pPr>
        <w:pStyle w:val="3-BodyText"/>
        <w:rPr>
          <w:rFonts w:cstheme="minorHAnsi"/>
          <w:color w:val="000000" w:themeColor="text1"/>
        </w:rPr>
      </w:pPr>
      <w:r w:rsidRPr="00E27DB4">
        <w:rPr>
          <w:color w:val="000000" w:themeColor="text1"/>
        </w:rPr>
        <w:t>The submission requested the following changes to the existing listing</w:t>
      </w:r>
      <w:r w:rsidR="00F55C60">
        <w:rPr>
          <w:color w:val="000000" w:themeColor="text1"/>
        </w:rPr>
        <w:t xml:space="preserve"> (PBS item code: </w:t>
      </w:r>
      <w:r w:rsidR="00F55C60" w:rsidRPr="00F55C60">
        <w:rPr>
          <w:color w:val="000000" w:themeColor="text1"/>
        </w:rPr>
        <w:t>13277T</w:t>
      </w:r>
      <w:r w:rsidR="00F55C60">
        <w:rPr>
          <w:color w:val="000000" w:themeColor="text1"/>
        </w:rPr>
        <w:t>)</w:t>
      </w:r>
      <w:r w:rsidR="00CC3718">
        <w:rPr>
          <w:color w:val="000000" w:themeColor="text1"/>
        </w:rPr>
        <w:t>,</w:t>
      </w:r>
      <w:r w:rsidR="00155EAF">
        <w:rPr>
          <w:color w:val="000000" w:themeColor="text1"/>
        </w:rPr>
        <w:t xml:space="preserve"> </w:t>
      </w:r>
      <w:r w:rsidR="00155EAF" w:rsidRPr="00155EAF">
        <w:rPr>
          <w:color w:val="000000" w:themeColor="text1"/>
        </w:rPr>
        <w:t>as outlined below</w:t>
      </w:r>
      <w:r w:rsidR="00E27DB4" w:rsidRPr="00E27DB4">
        <w:rPr>
          <w:rFonts w:cstheme="minorHAnsi"/>
          <w:color w:val="000000" w:themeColor="text1"/>
        </w:rPr>
        <w:t>.</w:t>
      </w:r>
      <w:r w:rsidR="00C50159">
        <w:rPr>
          <w:rFonts w:cstheme="minorHAnsi"/>
          <w:color w:val="000000" w:themeColor="text1"/>
        </w:rPr>
        <w:t xml:space="preserve"> </w:t>
      </w:r>
      <w:r w:rsidR="00C72BBF" w:rsidRPr="00C72BBF">
        <w:rPr>
          <w:rFonts w:cstheme="minorHAnsi"/>
          <w:color w:val="000000" w:themeColor="text1"/>
        </w:rPr>
        <w:t xml:space="preserve">The submission's proposed additions are shown in </w:t>
      </w:r>
      <w:r w:rsidR="002E6CFE" w:rsidRPr="002E6CFE">
        <w:rPr>
          <w:rFonts w:cstheme="minorHAnsi"/>
          <w:color w:val="000000" w:themeColor="text1"/>
        </w:rPr>
        <w:t xml:space="preserve">bold text, </w:t>
      </w:r>
      <w:r w:rsidR="00C72BBF" w:rsidRPr="00C72BBF">
        <w:rPr>
          <w:rFonts w:cstheme="minorHAnsi"/>
          <w:color w:val="000000" w:themeColor="text1"/>
        </w:rPr>
        <w:t xml:space="preserve">and deletions are indicated with strikethrough. </w:t>
      </w:r>
    </w:p>
    <w:p w14:paraId="277BCB03" w14:textId="7221E7AF" w:rsidR="00964A9F" w:rsidRPr="00A6439B" w:rsidRDefault="00964A9F" w:rsidP="00361246">
      <w:pPr>
        <w:spacing w:after="120"/>
        <w:rPr>
          <w:rFonts w:asciiTheme="minorHAnsi" w:hAnsiTheme="minorHAnsi" w:cstheme="minorHAnsi"/>
          <w:i/>
        </w:rPr>
      </w:pPr>
      <w:r w:rsidRPr="00A6439B">
        <w:rPr>
          <w:rFonts w:asciiTheme="minorHAnsi" w:hAnsiTheme="minorHAnsi" w:cstheme="minorHAnsi"/>
          <w:i/>
        </w:rPr>
        <w:t>Amend existing listing as follows:</w:t>
      </w:r>
    </w:p>
    <w:p w14:paraId="6261295C" w14:textId="77777777" w:rsidR="00752FF6" w:rsidRPr="00994E7B" w:rsidRDefault="00752FF6" w:rsidP="00361246">
      <w:pPr>
        <w:rPr>
          <w:rFonts w:asciiTheme="minorHAnsi" w:hAnsiTheme="minorHAnsi" w:cstheme="minorHAnsi"/>
        </w:rPr>
      </w:pPr>
      <w:r w:rsidRPr="00994E7B">
        <w:rPr>
          <w:rFonts w:asciiTheme="minorHAnsi" w:hAnsiTheme="minorHAnsi" w:cstheme="minorHAnsi"/>
        </w:rPr>
        <w:t>Option 1</w:t>
      </w:r>
      <w:r w:rsidRPr="00994E7B">
        <w:rPr>
          <w:rFonts w:asciiTheme="minorHAnsi" w:hAnsiTheme="minorHAnsi" w:cstheme="minorHAnsi"/>
          <w:sz w:val="20"/>
          <w:szCs w:val="20"/>
        </w:rPr>
        <w:t>*</w:t>
      </w:r>
      <w:r w:rsidRPr="00994E7B">
        <w:rPr>
          <w:rFonts w:asciiTheme="minorHAnsi" w:hAnsiTheme="minorHAnsi" w:cstheme="minorHAnsi"/>
        </w:rPr>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option 1"/>
      </w:tblPr>
      <w:tblGrid>
        <w:gridCol w:w="480"/>
        <w:gridCol w:w="791"/>
        <w:gridCol w:w="2668"/>
        <w:gridCol w:w="811"/>
        <w:gridCol w:w="812"/>
        <w:gridCol w:w="811"/>
        <w:gridCol w:w="812"/>
        <w:gridCol w:w="1831"/>
      </w:tblGrid>
      <w:tr w:rsidR="00752FF6" w:rsidRPr="001428E9" w14:paraId="0375B55F" w14:textId="77777777" w:rsidTr="007C3C42">
        <w:trPr>
          <w:cantSplit/>
          <w:trHeight w:val="20"/>
        </w:trPr>
        <w:tc>
          <w:tcPr>
            <w:tcW w:w="3939" w:type="dxa"/>
            <w:gridSpan w:val="3"/>
            <w:vAlign w:val="center"/>
          </w:tcPr>
          <w:p w14:paraId="447C9E71" w14:textId="77777777" w:rsidR="00752FF6" w:rsidRPr="001428E9" w:rsidRDefault="00752FF6" w:rsidP="00361246">
            <w:pPr>
              <w:keepLines/>
              <w:rPr>
                <w:rFonts w:ascii="Arial Narrow" w:hAnsi="Arial Narrow" w:cs="Arial"/>
                <w:b/>
                <w:bCs/>
                <w:sz w:val="20"/>
                <w:szCs w:val="20"/>
              </w:rPr>
            </w:pPr>
            <w:r w:rsidRPr="001428E9">
              <w:rPr>
                <w:rFonts w:ascii="Arial Narrow" w:hAnsi="Arial Narrow" w:cs="Arial"/>
                <w:b/>
                <w:bCs/>
                <w:sz w:val="20"/>
                <w:szCs w:val="20"/>
              </w:rPr>
              <w:t>MEDICINAL PRODUCT</w:t>
            </w:r>
          </w:p>
          <w:p w14:paraId="7BD71DBA" w14:textId="77777777" w:rsidR="00752FF6" w:rsidRPr="001428E9" w:rsidRDefault="00752FF6" w:rsidP="00361246">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069C701F" w14:textId="77777777" w:rsidR="00752FF6" w:rsidRPr="001428E9" w:rsidRDefault="00752FF6" w:rsidP="00361246">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A85F901" w14:textId="77777777" w:rsidR="00752FF6" w:rsidRPr="001428E9" w:rsidRDefault="00752FF6" w:rsidP="00361246">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0AE677E" w14:textId="77777777" w:rsidR="00752FF6" w:rsidRPr="001428E9" w:rsidRDefault="00752FF6" w:rsidP="00361246">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DC5153A" w14:textId="77777777" w:rsidR="00752FF6" w:rsidRPr="001428E9" w:rsidRDefault="00752FF6" w:rsidP="00361246">
            <w:pPr>
              <w:keepLines/>
              <w:jc w:val="center"/>
              <w:rPr>
                <w:rFonts w:ascii="Arial Narrow" w:hAnsi="Arial Narrow" w:cs="Arial"/>
                <w:b/>
                <w:sz w:val="20"/>
                <w:szCs w:val="20"/>
              </w:rPr>
            </w:pPr>
            <w:r w:rsidRPr="001428E9">
              <w:rPr>
                <w:rFonts w:ascii="Arial Narrow" w:hAnsi="Arial Narrow" w:cs="Arial"/>
                <w:b/>
                <w:sz w:val="20"/>
                <w:szCs w:val="20"/>
              </w:rPr>
              <w:t>№.of</w:t>
            </w:r>
          </w:p>
          <w:p w14:paraId="0CCC44B7" w14:textId="77777777" w:rsidR="00752FF6" w:rsidRPr="001428E9" w:rsidRDefault="00752FF6" w:rsidP="00361246">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1374D0AA" w14:textId="77777777" w:rsidR="00752FF6" w:rsidRPr="001428E9" w:rsidRDefault="00752FF6" w:rsidP="00361246">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52FF6" w:rsidRPr="001428E9" w14:paraId="1ADDFE77" w14:textId="77777777" w:rsidTr="007C3C42">
        <w:trPr>
          <w:cantSplit/>
          <w:trHeight w:val="20"/>
        </w:trPr>
        <w:tc>
          <w:tcPr>
            <w:tcW w:w="9016" w:type="dxa"/>
            <w:gridSpan w:val="8"/>
            <w:vAlign w:val="center"/>
          </w:tcPr>
          <w:p w14:paraId="55BBA60C" w14:textId="77777777" w:rsidR="00752FF6" w:rsidRPr="001428E9" w:rsidRDefault="00752FF6" w:rsidP="00361246">
            <w:pPr>
              <w:keepLines/>
              <w:rPr>
                <w:rFonts w:ascii="Arial Narrow" w:hAnsi="Arial Narrow" w:cs="Arial"/>
                <w:sz w:val="20"/>
                <w:szCs w:val="20"/>
              </w:rPr>
            </w:pPr>
            <w:r w:rsidRPr="007D3723">
              <w:rPr>
                <w:rFonts w:ascii="Arial Narrow" w:hAnsi="Arial Narrow" w:cs="Arial"/>
                <w:sz w:val="20"/>
                <w:szCs w:val="20"/>
              </w:rPr>
              <w:t>CANNABIDIOL</w:t>
            </w:r>
          </w:p>
        </w:tc>
      </w:tr>
      <w:tr w:rsidR="00752FF6" w:rsidRPr="001428E9" w14:paraId="3133E810" w14:textId="77777777" w:rsidTr="007C3C42">
        <w:trPr>
          <w:cantSplit/>
          <w:trHeight w:val="20"/>
        </w:trPr>
        <w:tc>
          <w:tcPr>
            <w:tcW w:w="3939" w:type="dxa"/>
            <w:gridSpan w:val="3"/>
            <w:vAlign w:val="center"/>
          </w:tcPr>
          <w:p w14:paraId="5177E87B" w14:textId="77777777" w:rsidR="00752FF6" w:rsidRPr="001428E9" w:rsidRDefault="00752FF6" w:rsidP="00361246">
            <w:pPr>
              <w:keepLines/>
              <w:rPr>
                <w:rFonts w:ascii="Arial Narrow" w:hAnsi="Arial Narrow" w:cs="Arial"/>
                <w:sz w:val="20"/>
                <w:szCs w:val="20"/>
              </w:rPr>
            </w:pPr>
            <w:r w:rsidRPr="00150B30">
              <w:rPr>
                <w:rFonts w:ascii="Arial Narrow" w:hAnsi="Arial Narrow" w:cs="Arial"/>
                <w:color w:val="000000" w:themeColor="text1"/>
                <w:sz w:val="20"/>
                <w:szCs w:val="20"/>
              </w:rPr>
              <w:t>cannabidiol 100 mg/mL oral liquid, 100 mL</w:t>
            </w:r>
          </w:p>
        </w:tc>
        <w:tc>
          <w:tcPr>
            <w:tcW w:w="811" w:type="dxa"/>
            <w:vAlign w:val="center"/>
          </w:tcPr>
          <w:p w14:paraId="001E9AF1" w14:textId="77777777" w:rsidR="00752FF6" w:rsidRPr="001428E9" w:rsidRDefault="00752FF6" w:rsidP="00361246">
            <w:pPr>
              <w:keepLines/>
              <w:jc w:val="center"/>
              <w:rPr>
                <w:rFonts w:ascii="Arial Narrow" w:hAnsi="Arial Narrow" w:cs="Arial"/>
                <w:sz w:val="20"/>
                <w:szCs w:val="20"/>
              </w:rPr>
            </w:pPr>
            <w:r w:rsidRPr="008335CD">
              <w:rPr>
                <w:rFonts w:ascii="Arial Narrow" w:hAnsi="Arial Narrow" w:cs="Arial"/>
                <w:sz w:val="20"/>
                <w:szCs w:val="20"/>
              </w:rPr>
              <w:t>13277T</w:t>
            </w:r>
          </w:p>
        </w:tc>
        <w:tc>
          <w:tcPr>
            <w:tcW w:w="812" w:type="dxa"/>
            <w:vAlign w:val="center"/>
          </w:tcPr>
          <w:p w14:paraId="312AC460" w14:textId="77777777" w:rsidR="00752FF6" w:rsidRPr="001428E9" w:rsidRDefault="00752FF6" w:rsidP="00361246">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50BC72E3" w14:textId="77777777" w:rsidR="00752FF6" w:rsidRPr="001428E9" w:rsidRDefault="00752FF6" w:rsidP="00361246">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689058C9" w14:textId="77777777" w:rsidR="00752FF6" w:rsidRPr="001428E9" w:rsidRDefault="00752FF6" w:rsidP="00361246">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04AB0D8F" w14:textId="77777777" w:rsidR="00752FF6" w:rsidRPr="001B6DA7" w:rsidRDefault="00752FF6" w:rsidP="00361246">
            <w:pPr>
              <w:keepLines/>
              <w:rPr>
                <w:rFonts w:ascii="Arial Narrow" w:hAnsi="Arial Narrow" w:cs="Arial"/>
                <w:color w:val="000000" w:themeColor="text1"/>
                <w:sz w:val="20"/>
                <w:szCs w:val="20"/>
              </w:rPr>
            </w:pPr>
            <w:r w:rsidRPr="001B6DA7">
              <w:rPr>
                <w:rFonts w:ascii="Arial Narrow" w:hAnsi="Arial Narrow" w:cs="Arial"/>
                <w:color w:val="000000" w:themeColor="text1"/>
                <w:sz w:val="20"/>
                <w:szCs w:val="20"/>
              </w:rPr>
              <w:t>Epidyolex</w:t>
            </w:r>
          </w:p>
        </w:tc>
      </w:tr>
      <w:tr w:rsidR="00752FF6" w:rsidRPr="001428E9" w14:paraId="3E2FCD8F" w14:textId="77777777" w:rsidTr="007C3C4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2F5A81BC" w14:textId="77777777" w:rsidR="00752FF6" w:rsidRPr="001428E9" w:rsidRDefault="00752FF6" w:rsidP="00361246">
            <w:pPr>
              <w:rPr>
                <w:rFonts w:ascii="Arial Narrow" w:hAnsi="Arial Narrow" w:cs="Arial"/>
                <w:sz w:val="20"/>
                <w:szCs w:val="20"/>
              </w:rPr>
            </w:pPr>
          </w:p>
        </w:tc>
      </w:tr>
      <w:tr w:rsidR="00752FF6" w:rsidRPr="001428E9" w14:paraId="1B0499D9" w14:textId="77777777" w:rsidTr="007C3C4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AEDACA2" w14:textId="77777777" w:rsidR="00752FF6" w:rsidRPr="001428E9" w:rsidRDefault="00752FF6" w:rsidP="00361246">
            <w:pPr>
              <w:keepLines/>
              <w:rPr>
                <w:rFonts w:ascii="Arial Narrow" w:hAnsi="Arial Narrow" w:cs="Arial"/>
                <w:b/>
                <w:sz w:val="20"/>
                <w:szCs w:val="20"/>
              </w:rPr>
            </w:pPr>
            <w:r w:rsidRPr="001428E9">
              <w:rPr>
                <w:rFonts w:ascii="Arial Narrow" w:hAnsi="Arial Narrow"/>
                <w:b/>
                <w:sz w:val="20"/>
                <w:szCs w:val="20"/>
              </w:rPr>
              <w:t xml:space="preserve">Restriction Summary </w:t>
            </w:r>
            <w:r w:rsidRPr="005125EC">
              <w:rPr>
                <w:rFonts w:ascii="Arial Narrow" w:hAnsi="Arial Narrow"/>
                <w:b/>
                <w:sz w:val="20"/>
                <w:szCs w:val="20"/>
              </w:rPr>
              <w:t>14047</w:t>
            </w:r>
            <w:r w:rsidRPr="001428E9">
              <w:rPr>
                <w:rFonts w:ascii="Arial Narrow" w:hAnsi="Arial Narrow"/>
                <w:b/>
                <w:sz w:val="20"/>
                <w:szCs w:val="20"/>
              </w:rPr>
              <w:t xml:space="preserve">/ Treatment of Concept: </w:t>
            </w:r>
            <w:r w:rsidRPr="005125EC">
              <w:rPr>
                <w:rFonts w:ascii="Arial Narrow" w:hAnsi="Arial Narrow"/>
                <w:b/>
                <w:sz w:val="20"/>
                <w:szCs w:val="20"/>
              </w:rPr>
              <w:t>14047</w:t>
            </w:r>
          </w:p>
        </w:tc>
      </w:tr>
      <w:tr w:rsidR="00752FF6" w:rsidRPr="001428E9" w14:paraId="6C3DAB5A"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A8EC8E4" w14:textId="77777777" w:rsidR="00752FF6" w:rsidRPr="001428E9" w:rsidRDefault="00752FF6" w:rsidP="00361246">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BD8900" w14:textId="77777777" w:rsidR="00752FF6" w:rsidRPr="001428E9" w:rsidRDefault="00752FF6" w:rsidP="00361246">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752FF6" w:rsidRPr="001428E9" w14:paraId="1A065351"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Pr>
          <w:p w14:paraId="14E37A55" w14:textId="77777777" w:rsidR="00752FF6" w:rsidRPr="001428E9" w:rsidRDefault="00752FF6" w:rsidP="0036124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D8D23D" w14:textId="77777777" w:rsidR="00752FF6" w:rsidRPr="001428E9" w:rsidRDefault="00752FF6" w:rsidP="00361246">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Medical Practitioners</w:t>
            </w:r>
          </w:p>
        </w:tc>
      </w:tr>
      <w:tr w:rsidR="00752FF6" w:rsidRPr="00D56F94" w14:paraId="202C9666" w14:textId="77777777" w:rsidTr="007C3C42">
        <w:tblPrEx>
          <w:tblCellMar>
            <w:top w:w="15" w:type="dxa"/>
            <w:bottom w:w="15" w:type="dxa"/>
          </w:tblCellMar>
          <w:tblLook w:val="04A0" w:firstRow="1" w:lastRow="0" w:firstColumn="1" w:lastColumn="0" w:noHBand="0" w:noVBand="1"/>
        </w:tblPrEx>
        <w:trPr>
          <w:trHeight w:val="20"/>
        </w:trPr>
        <w:tc>
          <w:tcPr>
            <w:tcW w:w="1271" w:type="dxa"/>
            <w:gridSpan w:val="2"/>
            <w:vMerge/>
          </w:tcPr>
          <w:p w14:paraId="7FB7064A" w14:textId="77777777" w:rsidR="00752FF6" w:rsidRPr="001428E9" w:rsidRDefault="00752FF6" w:rsidP="0036124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B794A1B" w14:textId="77777777" w:rsidR="00752FF6" w:rsidRDefault="00752FF6" w:rsidP="00361246">
            <w:pPr>
              <w:keepLines/>
              <w:rPr>
                <w:rFonts w:ascii="Arial Narrow" w:hAnsi="Arial Narrow" w:cs="Arial"/>
                <w:b/>
                <w:sz w:val="20"/>
                <w:szCs w:val="20"/>
              </w:rPr>
            </w:pPr>
            <w:r w:rsidRPr="001428E9">
              <w:rPr>
                <w:rFonts w:ascii="Arial Narrow" w:hAnsi="Arial Narrow" w:cs="Arial"/>
                <w:b/>
                <w:sz w:val="20"/>
                <w:szCs w:val="20"/>
              </w:rPr>
              <w:t>Restriction type:</w:t>
            </w:r>
          </w:p>
          <w:p w14:paraId="671CC626" w14:textId="77777777" w:rsidR="00752FF6" w:rsidRPr="002E6CFE" w:rsidRDefault="00752FF6" w:rsidP="00361246">
            <w:pPr>
              <w:keepLines/>
              <w:rPr>
                <w:rFonts w:ascii="Arial Narrow" w:hAnsi="Arial Narrow" w:cs="Arial"/>
                <w:b/>
                <w:bCs/>
                <w:sz w:val="20"/>
                <w:szCs w:val="20"/>
              </w:rPr>
            </w:pP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994E7B">
              <w:rPr>
                <w:rFonts w:ascii="Arial Narrow" w:eastAsia="Calibri" w:hAnsi="Arial Narrow" w:cs="Arial"/>
                <w:b/>
                <w:bCs/>
                <w:iCs/>
                <w:sz w:val="20"/>
                <w:szCs w:val="20"/>
              </w:rPr>
              <w:t>Authority Required (Streamlined)</w:t>
            </w:r>
          </w:p>
          <w:p w14:paraId="55EA7F90" w14:textId="77777777" w:rsidR="00752FF6" w:rsidRPr="00D56F94" w:rsidRDefault="00752FF6" w:rsidP="00361246">
            <w:pPr>
              <w:keepLines/>
              <w:rPr>
                <w:rFonts w:ascii="Arial Narrow" w:eastAsia="Calibri" w:hAnsi="Arial Narrow" w:cs="Arial"/>
                <w:color w:val="FF0000"/>
                <w:sz w:val="20"/>
                <w:szCs w:val="20"/>
              </w:rPr>
            </w:pPr>
            <w:r w:rsidRPr="00842AEE">
              <w:rPr>
                <w:rFonts w:ascii="Arial Narrow" w:eastAsia="Calibri" w:hAnsi="Arial Narrow" w:cs="Arial"/>
                <w:strike/>
                <w:sz w:val="20"/>
                <w:szCs w:val="20"/>
              </w:rPr>
              <w:fldChar w:fldCharType="begin">
                <w:ffData>
                  <w:name w:val="Check3"/>
                  <w:enabled/>
                  <w:calcOnExit w:val="0"/>
                  <w:checkBox>
                    <w:sizeAuto/>
                    <w:default w:val="1"/>
                  </w:checkBox>
                </w:ffData>
              </w:fldChar>
            </w:r>
            <w:r w:rsidRPr="00842AEE">
              <w:rPr>
                <w:rFonts w:ascii="Arial Narrow" w:eastAsia="Calibri" w:hAnsi="Arial Narrow" w:cs="Arial"/>
                <w:strike/>
                <w:sz w:val="20"/>
                <w:szCs w:val="20"/>
              </w:rPr>
              <w:instrText xml:space="preserve"> FORMCHECKBOX </w:instrText>
            </w:r>
            <w:r w:rsidRPr="00842AEE">
              <w:rPr>
                <w:rFonts w:ascii="Arial Narrow" w:eastAsia="Calibri" w:hAnsi="Arial Narrow" w:cs="Arial"/>
                <w:strike/>
                <w:sz w:val="20"/>
                <w:szCs w:val="20"/>
              </w:rPr>
            </w:r>
            <w:r w:rsidRPr="00842AEE">
              <w:rPr>
                <w:rFonts w:ascii="Arial Narrow" w:eastAsia="Calibri" w:hAnsi="Arial Narrow" w:cs="Arial"/>
                <w:strike/>
                <w:sz w:val="20"/>
                <w:szCs w:val="20"/>
              </w:rPr>
              <w:fldChar w:fldCharType="separate"/>
            </w:r>
            <w:r w:rsidRPr="00842AEE">
              <w:rPr>
                <w:rFonts w:ascii="Arial Narrow" w:eastAsia="Calibri" w:hAnsi="Arial Narrow" w:cs="Arial"/>
                <w:strike/>
                <w:sz w:val="20"/>
                <w:szCs w:val="20"/>
              </w:rPr>
              <w:fldChar w:fldCharType="end"/>
            </w:r>
            <w:r w:rsidRPr="00D37CA1">
              <w:rPr>
                <w:rFonts w:ascii="Arial Narrow" w:eastAsia="Calibri" w:hAnsi="Arial Narrow" w:cs="Arial"/>
                <w:strike/>
                <w:sz w:val="20"/>
                <w:szCs w:val="20"/>
              </w:rPr>
              <w:t>Authority Required (telephone/online PBS Authorities system)</w:t>
            </w:r>
          </w:p>
        </w:tc>
      </w:tr>
      <w:tr w:rsidR="00752FF6" w:rsidRPr="001428E9" w14:paraId="0378645F" w14:textId="77777777" w:rsidTr="007C3C42">
        <w:tblPrEx>
          <w:tblCellMar>
            <w:top w:w="15" w:type="dxa"/>
            <w:bottom w:w="15" w:type="dxa"/>
          </w:tblCellMar>
          <w:tblLook w:val="04A0" w:firstRow="1" w:lastRow="0" w:firstColumn="1" w:lastColumn="0" w:noHBand="0" w:noVBand="1"/>
        </w:tblPrEx>
        <w:trPr>
          <w:trHeight w:val="20"/>
        </w:trPr>
        <w:tc>
          <w:tcPr>
            <w:tcW w:w="480" w:type="dxa"/>
            <w:vMerge w:val="restart"/>
            <w:tcBorders>
              <w:left w:val="single" w:sz="4" w:space="0" w:color="auto"/>
              <w:right w:val="single" w:sz="4" w:space="0" w:color="auto"/>
            </w:tcBorders>
            <w:textDirection w:val="btLr"/>
            <w:vAlign w:val="center"/>
          </w:tcPr>
          <w:p w14:paraId="69928DC9" w14:textId="77777777" w:rsidR="00752FF6" w:rsidRPr="00432EBF" w:rsidRDefault="00752FF6" w:rsidP="00361246">
            <w:pPr>
              <w:jc w:val="center"/>
              <w:rPr>
                <w:rFonts w:ascii="Arial Narrow" w:hAnsi="Arial Narrow" w:cs="Arial"/>
                <w:sz w:val="20"/>
                <w:szCs w:val="20"/>
              </w:rPr>
            </w:pPr>
            <w:r w:rsidRPr="00432EBF">
              <w:rPr>
                <w:rFonts w:ascii="Arial Narrow" w:hAnsi="Arial Narrow" w:cs="Arial"/>
                <w:sz w:val="20"/>
                <w:szCs w:val="20"/>
              </w:rPr>
              <w:t>Prescribing rule level</w:t>
            </w:r>
          </w:p>
        </w:tc>
        <w:tc>
          <w:tcPr>
            <w:tcW w:w="791" w:type="dxa"/>
            <w:vAlign w:val="center"/>
          </w:tcPr>
          <w:p w14:paraId="365643D8" w14:textId="554B0A1D" w:rsidR="00752FF6" w:rsidRPr="001428E9" w:rsidRDefault="00752FF6" w:rsidP="00361246">
            <w:pPr>
              <w:jc w:val="center"/>
              <w:rPr>
                <w:rFonts w:ascii="Arial Narrow" w:hAnsi="Arial Narrow"/>
                <w:color w:val="333333"/>
                <w:sz w:val="20"/>
                <w:szCs w:val="20"/>
              </w:rPr>
            </w:pPr>
          </w:p>
        </w:tc>
        <w:tc>
          <w:tcPr>
            <w:tcW w:w="7745" w:type="dxa"/>
            <w:gridSpan w:val="6"/>
            <w:vAlign w:val="center"/>
          </w:tcPr>
          <w:p w14:paraId="2675778F" w14:textId="77777777" w:rsidR="00752FF6" w:rsidRPr="00842AEE" w:rsidRDefault="00752FF6" w:rsidP="00361246">
            <w:pPr>
              <w:rPr>
                <w:rFonts w:ascii="Arial Narrow" w:hAnsi="Arial Narrow"/>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37554B">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752FF6" w:rsidRPr="001428E9" w14:paraId="1D80CBCD" w14:textId="77777777" w:rsidTr="007C3C42">
        <w:tblPrEx>
          <w:tblCellMar>
            <w:top w:w="15" w:type="dxa"/>
            <w:bottom w:w="15" w:type="dxa"/>
          </w:tblCellMar>
          <w:tblLook w:val="04A0" w:firstRow="1" w:lastRow="0" w:firstColumn="1" w:lastColumn="0" w:noHBand="0" w:noVBand="1"/>
        </w:tblPrEx>
        <w:trPr>
          <w:trHeight w:val="20"/>
        </w:trPr>
        <w:tc>
          <w:tcPr>
            <w:tcW w:w="480" w:type="dxa"/>
            <w:vMerge/>
          </w:tcPr>
          <w:p w14:paraId="3CAF4590" w14:textId="77777777" w:rsidR="00752FF6" w:rsidRPr="00432EBF" w:rsidRDefault="00752FF6" w:rsidP="00361246">
            <w:pPr>
              <w:rPr>
                <w:rFonts w:ascii="Arial Narrow" w:hAnsi="Arial Narrow" w:cs="Arial"/>
                <w:sz w:val="20"/>
                <w:szCs w:val="20"/>
              </w:rPr>
            </w:pPr>
          </w:p>
        </w:tc>
        <w:tc>
          <w:tcPr>
            <w:tcW w:w="791" w:type="dxa"/>
            <w:vAlign w:val="center"/>
          </w:tcPr>
          <w:p w14:paraId="2B0C6FDE" w14:textId="3ACFCB75" w:rsidR="00752FF6" w:rsidRPr="00432EBF" w:rsidRDefault="00752FF6" w:rsidP="00361246">
            <w:pPr>
              <w:jc w:val="center"/>
              <w:rPr>
                <w:rFonts w:ascii="Arial Narrow" w:hAnsi="Arial Narrow"/>
                <w:sz w:val="20"/>
                <w:szCs w:val="20"/>
              </w:rPr>
            </w:pPr>
          </w:p>
        </w:tc>
        <w:tc>
          <w:tcPr>
            <w:tcW w:w="7745" w:type="dxa"/>
            <w:gridSpan w:val="6"/>
            <w:vAlign w:val="center"/>
          </w:tcPr>
          <w:p w14:paraId="172C673A" w14:textId="77777777" w:rsidR="00752FF6" w:rsidRPr="00432EBF" w:rsidRDefault="00752FF6" w:rsidP="00361246">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267332">
              <w:rPr>
                <w:rFonts w:ascii="Arial Narrow" w:hAnsi="Arial Narrow"/>
                <w:sz w:val="20"/>
                <w:szCs w:val="20"/>
              </w:rPr>
              <w:t>Requests for increased quantities may be sought based on daily doses not exceeding 20 mg/kg/day (in line with the Product Information) for up to 4 weeks per dispensing.</w:t>
            </w:r>
          </w:p>
        </w:tc>
      </w:tr>
      <w:tr w:rsidR="00752FF6" w:rsidRPr="001428E9" w14:paraId="1617E36B" w14:textId="77777777" w:rsidTr="007C3C42">
        <w:tblPrEx>
          <w:tblCellMar>
            <w:top w:w="15" w:type="dxa"/>
            <w:bottom w:w="15" w:type="dxa"/>
          </w:tblCellMar>
          <w:tblLook w:val="04A0" w:firstRow="1" w:lastRow="0" w:firstColumn="1" w:lastColumn="0" w:noHBand="0" w:noVBand="1"/>
        </w:tblPrEx>
        <w:trPr>
          <w:trHeight w:val="20"/>
        </w:trPr>
        <w:tc>
          <w:tcPr>
            <w:tcW w:w="480" w:type="dxa"/>
            <w:vMerge/>
          </w:tcPr>
          <w:p w14:paraId="711745FF" w14:textId="77777777" w:rsidR="00752FF6" w:rsidRPr="00432EBF" w:rsidRDefault="00752FF6" w:rsidP="00361246">
            <w:pPr>
              <w:rPr>
                <w:rFonts w:ascii="Arial Narrow" w:hAnsi="Arial Narrow" w:cs="Arial"/>
                <w:sz w:val="20"/>
                <w:szCs w:val="20"/>
              </w:rPr>
            </w:pPr>
          </w:p>
        </w:tc>
        <w:tc>
          <w:tcPr>
            <w:tcW w:w="791" w:type="dxa"/>
            <w:vAlign w:val="center"/>
          </w:tcPr>
          <w:p w14:paraId="24E52F44" w14:textId="50BD27F0" w:rsidR="00752FF6" w:rsidRPr="00432EBF" w:rsidRDefault="00752FF6" w:rsidP="00361246">
            <w:pPr>
              <w:jc w:val="center"/>
              <w:rPr>
                <w:rFonts w:ascii="Arial Narrow" w:hAnsi="Arial Narrow"/>
                <w:sz w:val="20"/>
                <w:szCs w:val="20"/>
              </w:rPr>
            </w:pPr>
          </w:p>
        </w:tc>
        <w:tc>
          <w:tcPr>
            <w:tcW w:w="7745" w:type="dxa"/>
            <w:gridSpan w:val="6"/>
            <w:vAlign w:val="center"/>
          </w:tcPr>
          <w:p w14:paraId="0752FF46" w14:textId="77777777" w:rsidR="00752FF6" w:rsidRPr="00432EBF" w:rsidRDefault="00752FF6" w:rsidP="00361246">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9E64AE">
              <w:rPr>
                <w:rFonts w:ascii="Arial Narrow" w:hAnsi="Arial Narrow"/>
                <w:sz w:val="20"/>
                <w:szCs w:val="20"/>
              </w:rPr>
              <w:t>No increase in the maximum number of repeats may be authorised.</w:t>
            </w:r>
          </w:p>
        </w:tc>
      </w:tr>
      <w:tr w:rsidR="00752FF6" w:rsidRPr="001428E9" w14:paraId="4D18CC7C" w14:textId="77777777" w:rsidTr="007C3C42">
        <w:tblPrEx>
          <w:tblCellMar>
            <w:top w:w="15" w:type="dxa"/>
            <w:bottom w:w="15" w:type="dxa"/>
          </w:tblCellMar>
          <w:tblLook w:val="04A0" w:firstRow="1" w:lastRow="0" w:firstColumn="1" w:lastColumn="0" w:noHBand="0" w:noVBand="1"/>
        </w:tblPrEx>
        <w:trPr>
          <w:trHeight w:val="20"/>
        </w:trPr>
        <w:tc>
          <w:tcPr>
            <w:tcW w:w="480" w:type="dxa"/>
            <w:vMerge/>
          </w:tcPr>
          <w:p w14:paraId="2D7C422F" w14:textId="77777777" w:rsidR="00752FF6" w:rsidRPr="00432EBF" w:rsidRDefault="00752FF6" w:rsidP="00361246">
            <w:pPr>
              <w:rPr>
                <w:rFonts w:ascii="Arial Narrow" w:hAnsi="Arial Narrow" w:cs="Arial"/>
                <w:sz w:val="20"/>
                <w:szCs w:val="20"/>
              </w:rPr>
            </w:pPr>
          </w:p>
        </w:tc>
        <w:tc>
          <w:tcPr>
            <w:tcW w:w="791" w:type="dxa"/>
            <w:vAlign w:val="center"/>
          </w:tcPr>
          <w:p w14:paraId="1303D567" w14:textId="03B1F344" w:rsidR="00752FF6" w:rsidRPr="00432EBF" w:rsidRDefault="00752FF6" w:rsidP="00361246">
            <w:pPr>
              <w:jc w:val="center"/>
              <w:rPr>
                <w:rFonts w:ascii="Arial Narrow" w:hAnsi="Arial Narrow"/>
                <w:sz w:val="20"/>
                <w:szCs w:val="20"/>
              </w:rPr>
            </w:pPr>
          </w:p>
        </w:tc>
        <w:tc>
          <w:tcPr>
            <w:tcW w:w="7745" w:type="dxa"/>
            <w:gridSpan w:val="6"/>
            <w:vAlign w:val="center"/>
          </w:tcPr>
          <w:p w14:paraId="151E791B" w14:textId="77777777" w:rsidR="00752FF6" w:rsidRPr="00432EBF" w:rsidRDefault="00752FF6" w:rsidP="00361246">
            <w:pPr>
              <w:rPr>
                <w:rFonts w:ascii="Arial Narrow" w:hAnsi="Arial Narrow"/>
                <w:b/>
                <w:bCs/>
                <w:sz w:val="20"/>
                <w:szCs w:val="20"/>
              </w:rPr>
            </w:pPr>
            <w:r w:rsidRPr="00432EBF">
              <w:rPr>
                <w:rFonts w:ascii="Arial Narrow" w:hAnsi="Arial Narrow"/>
                <w:b/>
                <w:bCs/>
                <w:sz w:val="20"/>
                <w:szCs w:val="20"/>
              </w:rPr>
              <w:t>Administrative Advice:</w:t>
            </w:r>
            <w:r>
              <w:rPr>
                <w:rFonts w:ascii="Arial Narrow" w:hAnsi="Arial Narrow"/>
                <w:b/>
                <w:bCs/>
                <w:sz w:val="20"/>
                <w:szCs w:val="20"/>
              </w:rPr>
              <w:t xml:space="preserve"> </w:t>
            </w:r>
            <w:r w:rsidRPr="00BB0F84">
              <w:rPr>
                <w:rFonts w:ascii="Arial Narrow" w:hAnsi="Arial Narrow"/>
                <w:sz w:val="20"/>
                <w:szCs w:val="20"/>
              </w:rPr>
              <w:t>Special Pricing Arrangements apply.</w:t>
            </w:r>
          </w:p>
        </w:tc>
      </w:tr>
      <w:tr w:rsidR="00752FF6" w:rsidRPr="001428E9" w14:paraId="51F5FA85"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B699C6B" w14:textId="5CCE1958" w:rsidR="00752FF6" w:rsidRPr="00432EBF" w:rsidRDefault="00752FF6" w:rsidP="00361246">
            <w:pPr>
              <w:keepLines/>
              <w:jc w:val="center"/>
              <w:rPr>
                <w:rFonts w:ascii="Arial Narrow" w:hAnsi="Arial Narrow"/>
                <w:sz w:val="20"/>
                <w:szCs w:val="20"/>
              </w:rPr>
            </w:pPr>
          </w:p>
        </w:tc>
        <w:tc>
          <w:tcPr>
            <w:tcW w:w="7745" w:type="dxa"/>
            <w:gridSpan w:val="6"/>
            <w:vAlign w:val="center"/>
            <w:hideMark/>
          </w:tcPr>
          <w:p w14:paraId="2DA299E0" w14:textId="77777777" w:rsidR="00752FF6" w:rsidRPr="001428E9" w:rsidRDefault="00752FF6" w:rsidP="00361246">
            <w:pPr>
              <w:keepLines/>
              <w:rPr>
                <w:rFonts w:ascii="Arial Narrow" w:hAnsi="Arial Narrow"/>
                <w:color w:val="333333"/>
                <w:sz w:val="20"/>
                <w:szCs w:val="20"/>
              </w:rPr>
            </w:pPr>
            <w:r w:rsidRPr="00432EBF">
              <w:rPr>
                <w:rFonts w:ascii="Arial Narrow" w:hAnsi="Arial Narrow"/>
                <w:b/>
                <w:bCs/>
                <w:sz w:val="20"/>
                <w:szCs w:val="20"/>
              </w:rPr>
              <w:t>Indication:</w:t>
            </w:r>
            <w:r w:rsidRPr="00432EBF">
              <w:rPr>
                <w:rFonts w:ascii="Arial Narrow" w:hAnsi="Arial Narrow"/>
                <w:sz w:val="20"/>
                <w:szCs w:val="20"/>
              </w:rPr>
              <w:t xml:space="preserve"> </w:t>
            </w:r>
            <w:r w:rsidRPr="007C2680">
              <w:rPr>
                <w:rFonts w:ascii="Arial Narrow" w:hAnsi="Arial Narrow"/>
                <w:sz w:val="20"/>
                <w:szCs w:val="20"/>
              </w:rPr>
              <w:t>Seizures of the Lennox-Gastaut syndrome</w:t>
            </w:r>
          </w:p>
        </w:tc>
      </w:tr>
      <w:tr w:rsidR="00752FF6" w:rsidRPr="001428E9" w14:paraId="66D36543"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498997B" w14:textId="69AF3429" w:rsidR="00752FF6" w:rsidRPr="00432EBF" w:rsidRDefault="00752FF6" w:rsidP="00361246">
            <w:pPr>
              <w:jc w:val="center"/>
              <w:rPr>
                <w:rFonts w:ascii="Arial Narrow" w:hAnsi="Arial Narrow"/>
                <w:sz w:val="20"/>
                <w:szCs w:val="20"/>
              </w:rPr>
            </w:pPr>
          </w:p>
        </w:tc>
        <w:tc>
          <w:tcPr>
            <w:tcW w:w="7745" w:type="dxa"/>
            <w:gridSpan w:val="6"/>
            <w:vAlign w:val="center"/>
            <w:hideMark/>
          </w:tcPr>
          <w:p w14:paraId="4D44E35E" w14:textId="77777777" w:rsidR="00752FF6" w:rsidRPr="001428E9" w:rsidRDefault="00752FF6" w:rsidP="00361246">
            <w:pPr>
              <w:rPr>
                <w:rFonts w:ascii="Arial Narrow" w:hAnsi="Arial Narrow"/>
                <w:sz w:val="20"/>
                <w:szCs w:val="20"/>
              </w:rPr>
            </w:pPr>
            <w:r w:rsidRPr="00432EBF">
              <w:rPr>
                <w:rFonts w:ascii="Arial Narrow" w:hAnsi="Arial Narrow"/>
                <w:b/>
                <w:bCs/>
                <w:sz w:val="20"/>
                <w:szCs w:val="20"/>
              </w:rPr>
              <w:t xml:space="preserve">Clinical criteria: </w:t>
            </w:r>
          </w:p>
        </w:tc>
      </w:tr>
      <w:tr w:rsidR="00752FF6" w:rsidRPr="001428E9" w14:paraId="736FB1E0" w14:textId="77777777" w:rsidTr="007C3C42">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6E0AC8E" w14:textId="0170F804" w:rsidR="00752FF6" w:rsidRPr="00432EBF" w:rsidRDefault="00752FF6" w:rsidP="00361246">
            <w:pPr>
              <w:jc w:val="center"/>
              <w:rPr>
                <w:rFonts w:ascii="Arial Narrow" w:hAnsi="Arial Narrow"/>
                <w:sz w:val="20"/>
                <w:szCs w:val="20"/>
              </w:rPr>
            </w:pPr>
          </w:p>
        </w:tc>
        <w:tc>
          <w:tcPr>
            <w:tcW w:w="7745" w:type="dxa"/>
            <w:gridSpan w:val="6"/>
            <w:vAlign w:val="center"/>
            <w:hideMark/>
          </w:tcPr>
          <w:p w14:paraId="0448AF09" w14:textId="77777777" w:rsidR="00752FF6" w:rsidRPr="001428E9" w:rsidRDefault="00752FF6" w:rsidP="00361246">
            <w:pPr>
              <w:jc w:val="left"/>
              <w:rPr>
                <w:rFonts w:ascii="Arial Narrow" w:hAnsi="Arial Narrow"/>
                <w:color w:val="333333"/>
                <w:sz w:val="20"/>
                <w:szCs w:val="20"/>
              </w:rPr>
            </w:pPr>
            <w:r w:rsidRPr="003C7297">
              <w:rPr>
                <w:rFonts w:ascii="Arial Narrow" w:hAnsi="Arial Narrow"/>
                <w:color w:val="333333"/>
                <w:sz w:val="20"/>
                <w:szCs w:val="20"/>
              </w:rPr>
              <w:t>Patient must have a diagnosis of Lennox-Gastaut syndrome</w:t>
            </w:r>
            <w:r w:rsidRPr="00EC440B">
              <w:rPr>
                <w:rFonts w:ascii="Arial Narrow" w:hAnsi="Arial Narrow"/>
                <w:b/>
                <w:bCs/>
                <w:sz w:val="20"/>
                <w:szCs w:val="20"/>
              </w:rPr>
              <w:t>.</w:t>
            </w:r>
            <w:r w:rsidRPr="003C7297">
              <w:rPr>
                <w:rFonts w:ascii="Arial Narrow" w:hAnsi="Arial Narrow"/>
                <w:color w:val="333333"/>
                <w:sz w:val="20"/>
                <w:szCs w:val="20"/>
              </w:rPr>
              <w:t xml:space="preserve"> </w:t>
            </w:r>
            <w:r w:rsidRPr="00994E7B">
              <w:rPr>
                <w:rFonts w:ascii="Arial Narrow" w:hAnsi="Arial Narrow"/>
                <w:b/>
                <w:bCs/>
                <w:iCs/>
                <w:sz w:val="20"/>
                <w:szCs w:val="20"/>
              </w:rPr>
              <w:t>Where possible, the diagnosis should be</w:t>
            </w:r>
            <w:r w:rsidRPr="00EC440B">
              <w:rPr>
                <w:rFonts w:cs="Calibri"/>
                <w:sz w:val="22"/>
                <w:szCs w:val="22"/>
                <w:lang w:val="en-US"/>
              </w:rPr>
              <w:t xml:space="preserve"> </w:t>
            </w:r>
            <w:r w:rsidRPr="003C7297">
              <w:rPr>
                <w:rFonts w:ascii="Arial Narrow" w:hAnsi="Arial Narrow"/>
                <w:color w:val="333333"/>
                <w:sz w:val="20"/>
                <w:szCs w:val="20"/>
              </w:rPr>
              <w:t>confirmed by an electroencephalogram (EEG) that showed a pattern of slow (less than 3.0 hertz) spike-and-wave discharges with generalised paroxysmal fast activity (sleep recording should be obtained where it is possible)</w:t>
            </w:r>
          </w:p>
        </w:tc>
      </w:tr>
    </w:tbl>
    <w:p w14:paraId="1F07D4C4" w14:textId="77777777" w:rsidR="00752FF6" w:rsidRPr="00994E7B" w:rsidRDefault="00752FF6" w:rsidP="00361246">
      <w:pPr>
        <w:pStyle w:val="3-BodyText"/>
        <w:numPr>
          <w:ilvl w:val="0"/>
          <w:numId w:val="0"/>
        </w:numPr>
        <w:spacing w:before="0"/>
        <w:rPr>
          <w:rFonts w:ascii="Arial Narrow" w:hAnsi="Arial Narrow"/>
          <w:iCs/>
          <w:sz w:val="18"/>
          <w:szCs w:val="18"/>
        </w:rPr>
      </w:pPr>
      <w:r w:rsidRPr="00994E7B">
        <w:rPr>
          <w:rFonts w:ascii="Arial Narrow" w:hAnsi="Arial Narrow"/>
          <w:iCs/>
          <w:sz w:val="20"/>
          <w:szCs w:val="20"/>
        </w:rPr>
        <w:t>*</w:t>
      </w:r>
      <w:r w:rsidRPr="00994E7B">
        <w:rPr>
          <w:rFonts w:ascii="Arial Narrow" w:hAnsi="Arial Narrow"/>
          <w:iCs/>
          <w:sz w:val="18"/>
          <w:szCs w:val="18"/>
        </w:rPr>
        <w:t>As the only change in Option 1 is to amend the EEG criterion, the full restriction has not been populated here.</w:t>
      </w:r>
    </w:p>
    <w:p w14:paraId="5A26C9AC" w14:textId="4A5A9B52" w:rsidR="00AE1D22" w:rsidRPr="00994E7B" w:rsidRDefault="00C438A9" w:rsidP="00361246">
      <w:pPr>
        <w:pStyle w:val="3-BodyText"/>
        <w:rPr>
          <w:iCs/>
        </w:rPr>
      </w:pPr>
      <w:r w:rsidRPr="00994E7B">
        <w:rPr>
          <w:iCs/>
        </w:rPr>
        <w:t xml:space="preserve">The evaluation noted that </w:t>
      </w:r>
      <w:r w:rsidR="00E87533" w:rsidRPr="00994E7B">
        <w:rPr>
          <w:iCs/>
        </w:rPr>
        <w:t xml:space="preserve">the </w:t>
      </w:r>
      <w:r w:rsidRPr="00994E7B">
        <w:rPr>
          <w:iCs/>
        </w:rPr>
        <w:t>EEG criteri</w:t>
      </w:r>
      <w:r w:rsidR="00B476E5" w:rsidRPr="00994E7B">
        <w:rPr>
          <w:iCs/>
        </w:rPr>
        <w:t>on</w:t>
      </w:r>
      <w:r w:rsidRPr="00994E7B">
        <w:rPr>
          <w:iCs/>
        </w:rPr>
        <w:t xml:space="preserve"> for the diagnosis of LGS w</w:t>
      </w:r>
      <w:r w:rsidR="00B476E5" w:rsidRPr="00994E7B">
        <w:rPr>
          <w:iCs/>
        </w:rPr>
        <w:t>as</w:t>
      </w:r>
      <w:r w:rsidRPr="00994E7B">
        <w:rPr>
          <w:iCs/>
        </w:rPr>
        <w:t xml:space="preserve"> added in the March</w:t>
      </w:r>
      <w:r w:rsidR="00F229D3" w:rsidRPr="00994E7B">
        <w:rPr>
          <w:iCs/>
        </w:rPr>
        <w:t xml:space="preserve"> </w:t>
      </w:r>
      <w:r w:rsidRPr="00994E7B">
        <w:rPr>
          <w:iCs/>
        </w:rPr>
        <w:t>2022</w:t>
      </w:r>
      <w:r w:rsidR="00F229D3" w:rsidRPr="00994E7B">
        <w:rPr>
          <w:iCs/>
        </w:rPr>
        <w:t xml:space="preserve"> </w:t>
      </w:r>
      <w:r w:rsidRPr="00994E7B">
        <w:rPr>
          <w:iCs/>
        </w:rPr>
        <w:t xml:space="preserve">resubmission, following advice from the PBAC that an </w:t>
      </w:r>
      <w:r w:rsidR="00B476E5" w:rsidRPr="00994E7B">
        <w:rPr>
          <w:iCs/>
        </w:rPr>
        <w:t xml:space="preserve">EEG </w:t>
      </w:r>
      <w:r w:rsidRPr="00994E7B">
        <w:rPr>
          <w:iCs/>
        </w:rPr>
        <w:t>is the most definitive diagnostic measure for LGS</w:t>
      </w:r>
      <w:r w:rsidR="00E87533" w:rsidRPr="00994E7B">
        <w:rPr>
          <w:iCs/>
        </w:rPr>
        <w:t xml:space="preserve"> (see </w:t>
      </w:r>
      <w:r w:rsidR="00E87533" w:rsidRPr="00994E7B">
        <w:rPr>
          <w:iCs/>
        </w:rPr>
        <w:fldChar w:fldCharType="begin"/>
      </w:r>
      <w:r w:rsidR="00E87533" w:rsidRPr="00994E7B">
        <w:rPr>
          <w:iCs/>
        </w:rPr>
        <w:instrText xml:space="preserve"> REF _Ref199431877 \h  \* MERGEFORMAT </w:instrText>
      </w:r>
      <w:r w:rsidR="00E87533" w:rsidRPr="00994E7B">
        <w:rPr>
          <w:iCs/>
        </w:rPr>
      </w:r>
      <w:r w:rsidR="00E87533" w:rsidRPr="00994E7B">
        <w:rPr>
          <w:iCs/>
        </w:rPr>
        <w:fldChar w:fldCharType="separate"/>
      </w:r>
      <w:r w:rsidR="00BC591C" w:rsidRPr="00BC591C">
        <w:rPr>
          <w:iCs/>
          <w:szCs w:val="20"/>
        </w:rPr>
        <w:t xml:space="preserve">Table </w:t>
      </w:r>
      <w:r w:rsidR="00BC591C" w:rsidRPr="00BC591C">
        <w:rPr>
          <w:iCs/>
          <w:noProof/>
          <w:szCs w:val="20"/>
        </w:rPr>
        <w:t>1</w:t>
      </w:r>
      <w:r w:rsidR="00E87533" w:rsidRPr="00994E7B">
        <w:rPr>
          <w:iCs/>
        </w:rPr>
        <w:fldChar w:fldCharType="end"/>
      </w:r>
      <w:r w:rsidR="00E87533" w:rsidRPr="00994E7B">
        <w:rPr>
          <w:iCs/>
        </w:rPr>
        <w:t>)</w:t>
      </w:r>
      <w:r w:rsidRPr="00994E7B">
        <w:rPr>
          <w:iCs/>
        </w:rPr>
        <w:t>. The proposed request is to make EEG confirmation of LGS diagnosis optional, which would effectively remove this diagnostic requirement for identifying patients with epilepsy who have a diagnosis of LGS.</w:t>
      </w:r>
      <w:r w:rsidR="00E27876" w:rsidRPr="00994E7B">
        <w:rPr>
          <w:iCs/>
        </w:rPr>
        <w:t xml:space="preserve"> </w:t>
      </w:r>
    </w:p>
    <w:p w14:paraId="67D9A3AE" w14:textId="62E7F386" w:rsidR="004D2CF5" w:rsidRPr="00994E7B" w:rsidRDefault="00FE2548" w:rsidP="00361246">
      <w:pPr>
        <w:pStyle w:val="3-BodyText"/>
        <w:rPr>
          <w:rFonts w:ascii="Calibri" w:eastAsia="Calibri" w:hAnsi="Calibri" w:cs="Calibri"/>
          <w:i/>
          <w:iCs/>
          <w:szCs w:val="24"/>
        </w:rPr>
      </w:pPr>
      <w:r w:rsidRPr="00994E7B">
        <w:rPr>
          <w:iCs/>
        </w:rPr>
        <w:t>The evaluation also noted that the phrase “where possible” would introduce considerable ambiguity</w:t>
      </w:r>
      <w:r w:rsidR="004729D0" w:rsidRPr="00994E7B">
        <w:rPr>
          <w:iCs/>
        </w:rPr>
        <w:t xml:space="preserve"> and</w:t>
      </w:r>
      <w:r w:rsidR="00F624C5" w:rsidRPr="00994E7B">
        <w:rPr>
          <w:iCs/>
        </w:rPr>
        <w:t xml:space="preserve"> </w:t>
      </w:r>
      <w:r w:rsidRPr="00994E7B">
        <w:rPr>
          <w:iCs/>
        </w:rPr>
        <w:t xml:space="preserve">could lead to confusion among prescribers regarding its intended application. </w:t>
      </w:r>
    </w:p>
    <w:p w14:paraId="21098EB4" w14:textId="314E9ED5" w:rsidR="004D2CF5" w:rsidRPr="0026035F" w:rsidRDefault="4AEDDB52" w:rsidP="00361246">
      <w:pPr>
        <w:pStyle w:val="3-BodyText"/>
        <w:rPr>
          <w:rFonts w:ascii="Calibri" w:eastAsia="Calibri" w:hAnsi="Calibri" w:cs="Calibri"/>
          <w:szCs w:val="24"/>
        </w:rPr>
      </w:pPr>
      <w:r w:rsidRPr="0026035F">
        <w:rPr>
          <w:rFonts w:ascii="Calibri" w:eastAsia="Calibri" w:hAnsi="Calibri" w:cs="Calibri"/>
          <w:szCs w:val="24"/>
        </w:rPr>
        <w:t xml:space="preserve">The pre-PBAC response </w:t>
      </w:r>
      <w:r w:rsidR="62596F93" w:rsidRPr="0026035F">
        <w:rPr>
          <w:rFonts w:ascii="Calibri" w:eastAsia="Calibri" w:hAnsi="Calibri" w:cs="Calibri"/>
          <w:szCs w:val="24"/>
        </w:rPr>
        <w:t xml:space="preserve">stated </w:t>
      </w:r>
      <w:r w:rsidR="236FF9C5" w:rsidRPr="0026035F">
        <w:rPr>
          <w:rFonts w:ascii="Calibri" w:eastAsia="Calibri" w:hAnsi="Calibri" w:cs="Calibri"/>
          <w:szCs w:val="24"/>
        </w:rPr>
        <w:t xml:space="preserve">that formal consultation with a group of adult and paediatric epilepsy specialist physicians </w:t>
      </w:r>
      <w:r w:rsidR="00647F71">
        <w:rPr>
          <w:rFonts w:ascii="Calibri" w:eastAsia="Calibri" w:hAnsi="Calibri" w:cs="Calibri"/>
          <w:szCs w:val="24"/>
        </w:rPr>
        <w:t xml:space="preserve">was </w:t>
      </w:r>
      <w:r w:rsidR="236FF9C5" w:rsidRPr="0026035F">
        <w:rPr>
          <w:rFonts w:ascii="Calibri" w:eastAsia="Calibri" w:hAnsi="Calibri" w:cs="Calibri"/>
          <w:szCs w:val="24"/>
        </w:rPr>
        <w:t>con</w:t>
      </w:r>
      <w:r w:rsidR="00BE4F15">
        <w:rPr>
          <w:rFonts w:ascii="Calibri" w:eastAsia="Calibri" w:hAnsi="Calibri" w:cs="Calibri"/>
          <w:szCs w:val="24"/>
        </w:rPr>
        <w:t>ducted,</w:t>
      </w:r>
      <w:r w:rsidR="236FF9C5" w:rsidRPr="0026035F">
        <w:rPr>
          <w:rFonts w:ascii="Calibri" w:eastAsia="Calibri" w:hAnsi="Calibri" w:cs="Calibri"/>
          <w:szCs w:val="24"/>
        </w:rPr>
        <w:t xml:space="preserve"> and </w:t>
      </w:r>
      <w:r w:rsidR="00BE4F15">
        <w:rPr>
          <w:rFonts w:ascii="Calibri" w:eastAsia="Calibri" w:hAnsi="Calibri" w:cs="Calibri"/>
          <w:szCs w:val="24"/>
        </w:rPr>
        <w:t xml:space="preserve">they </w:t>
      </w:r>
      <w:r w:rsidR="236FF9C5" w:rsidRPr="0026035F">
        <w:rPr>
          <w:rFonts w:ascii="Calibri" w:eastAsia="Calibri" w:hAnsi="Calibri" w:cs="Calibri"/>
          <w:szCs w:val="24"/>
        </w:rPr>
        <w:t>support</w:t>
      </w:r>
      <w:r w:rsidR="005C50D9">
        <w:rPr>
          <w:rFonts w:ascii="Calibri" w:eastAsia="Calibri" w:hAnsi="Calibri" w:cs="Calibri"/>
          <w:szCs w:val="24"/>
        </w:rPr>
        <w:t xml:space="preserve">ed </w:t>
      </w:r>
      <w:r w:rsidR="236FF9C5" w:rsidRPr="0026035F">
        <w:rPr>
          <w:rFonts w:ascii="Calibri" w:eastAsia="Calibri" w:hAnsi="Calibri" w:cs="Calibri"/>
          <w:szCs w:val="24"/>
        </w:rPr>
        <w:t xml:space="preserve">the </w:t>
      </w:r>
      <w:r w:rsidR="09597567" w:rsidRPr="0026035F">
        <w:rPr>
          <w:rFonts w:ascii="Calibri" w:eastAsia="Calibri" w:hAnsi="Calibri" w:cs="Calibri"/>
          <w:szCs w:val="24"/>
        </w:rPr>
        <w:t>submission</w:t>
      </w:r>
      <w:r w:rsidR="2B593456" w:rsidRPr="0026035F">
        <w:rPr>
          <w:rFonts w:ascii="Calibri" w:eastAsia="Calibri" w:hAnsi="Calibri" w:cs="Calibri"/>
          <w:szCs w:val="24"/>
        </w:rPr>
        <w:t>. The pre-PBAC response reiterated t</w:t>
      </w:r>
      <w:r w:rsidR="1BF2AB92" w:rsidRPr="0026035F">
        <w:rPr>
          <w:rFonts w:ascii="Calibri" w:eastAsia="Calibri" w:hAnsi="Calibri" w:cs="Calibri"/>
          <w:szCs w:val="24"/>
        </w:rPr>
        <w:t xml:space="preserve">he </w:t>
      </w:r>
      <w:r w:rsidR="6A3607D7" w:rsidRPr="0026035F">
        <w:rPr>
          <w:rFonts w:ascii="Calibri" w:eastAsia="Calibri" w:hAnsi="Calibri" w:cs="Calibri"/>
          <w:szCs w:val="24"/>
        </w:rPr>
        <w:t>limitation</w:t>
      </w:r>
      <w:r w:rsidR="00BF5443">
        <w:rPr>
          <w:rFonts w:ascii="Calibri" w:eastAsia="Calibri" w:hAnsi="Calibri" w:cs="Calibri"/>
          <w:szCs w:val="24"/>
        </w:rPr>
        <w:t xml:space="preserve">s in </w:t>
      </w:r>
      <w:r w:rsidRPr="0026035F">
        <w:rPr>
          <w:rFonts w:ascii="Calibri" w:eastAsia="Calibri" w:hAnsi="Calibri" w:cs="Calibri"/>
          <w:szCs w:val="24"/>
        </w:rPr>
        <w:t>obtain</w:t>
      </w:r>
      <w:r w:rsidR="00BF5443">
        <w:rPr>
          <w:rFonts w:ascii="Calibri" w:eastAsia="Calibri" w:hAnsi="Calibri" w:cs="Calibri"/>
          <w:szCs w:val="24"/>
        </w:rPr>
        <w:t>ing</w:t>
      </w:r>
      <w:r w:rsidRPr="0026035F">
        <w:rPr>
          <w:rFonts w:ascii="Calibri" w:eastAsia="Calibri" w:hAnsi="Calibri" w:cs="Calibri"/>
          <w:szCs w:val="24"/>
        </w:rPr>
        <w:t xml:space="preserve"> an EEG </w:t>
      </w:r>
      <w:r w:rsidRPr="0026035F">
        <w:rPr>
          <w:rFonts w:ascii="Calibri" w:eastAsia="Calibri" w:hAnsi="Calibri" w:cs="Calibri"/>
          <w:szCs w:val="24"/>
        </w:rPr>
        <w:lastRenderedPageBreak/>
        <w:t xml:space="preserve">when services are not available in </w:t>
      </w:r>
      <w:r w:rsidR="003052B4" w:rsidRPr="003052B4">
        <w:rPr>
          <w:rFonts w:ascii="Calibri" w:eastAsia="Calibri" w:hAnsi="Calibri" w:cs="Calibri"/>
          <w:szCs w:val="24"/>
        </w:rPr>
        <w:t xml:space="preserve">rural </w:t>
      </w:r>
      <w:r w:rsidR="009D34CE">
        <w:rPr>
          <w:rFonts w:ascii="Calibri" w:eastAsia="Calibri" w:hAnsi="Calibri" w:cs="Calibri"/>
          <w:szCs w:val="24"/>
        </w:rPr>
        <w:t>or</w:t>
      </w:r>
      <w:r w:rsidR="003052B4" w:rsidRPr="003052B4">
        <w:rPr>
          <w:rFonts w:ascii="Calibri" w:eastAsia="Calibri" w:hAnsi="Calibri" w:cs="Calibri"/>
          <w:szCs w:val="24"/>
        </w:rPr>
        <w:t xml:space="preserve"> remote areas</w:t>
      </w:r>
      <w:r w:rsidR="55B6C4A5" w:rsidRPr="0026035F">
        <w:rPr>
          <w:rFonts w:ascii="Calibri" w:eastAsia="Calibri" w:hAnsi="Calibri" w:cs="Calibri"/>
          <w:szCs w:val="24"/>
        </w:rPr>
        <w:t>. The submission aimed to reduce the stress on LGS families trying to meet EEG requirements.</w:t>
      </w:r>
    </w:p>
    <w:p w14:paraId="287AA399" w14:textId="11ACF096" w:rsidR="004D2CF5" w:rsidRPr="00D25031" w:rsidRDefault="2424CDE6" w:rsidP="00361246">
      <w:pPr>
        <w:pStyle w:val="3-BodyText"/>
        <w:numPr>
          <w:ilvl w:val="0"/>
          <w:numId w:val="0"/>
        </w:numPr>
        <w:ind w:left="720"/>
        <w:rPr>
          <w:rFonts w:ascii="Calibri" w:eastAsia="Calibri" w:hAnsi="Calibri" w:cs="Calibri"/>
          <w:i/>
          <w:iCs/>
          <w:szCs w:val="24"/>
        </w:rPr>
      </w:pPr>
      <w:r w:rsidRPr="5700D100">
        <w:rPr>
          <w:rFonts w:ascii="Calibri" w:eastAsia="Calibri" w:hAnsi="Calibri" w:cs="Calibri"/>
          <w:i/>
          <w:iCs/>
          <w:szCs w:val="24"/>
        </w:rPr>
        <w:t xml:space="preserve">For more detail on PBAC’s view, see section </w:t>
      </w:r>
      <w:r w:rsidRPr="4D84F43A">
        <w:rPr>
          <w:rFonts w:ascii="Calibri" w:eastAsia="Calibri" w:hAnsi="Calibri" w:cs="Calibri"/>
          <w:i/>
          <w:iCs/>
          <w:szCs w:val="24"/>
        </w:rPr>
        <w:t>5</w:t>
      </w:r>
      <w:r w:rsidRPr="5700D100">
        <w:rPr>
          <w:rFonts w:ascii="Calibri" w:eastAsia="Calibri" w:hAnsi="Calibri" w:cs="Calibri"/>
          <w:i/>
          <w:iCs/>
          <w:szCs w:val="24"/>
        </w:rPr>
        <w:t xml:space="preserve"> PBAC outcome.</w:t>
      </w:r>
    </w:p>
    <w:p w14:paraId="4970B371" w14:textId="03BE8A15" w:rsidR="001152C9" w:rsidRPr="00994E7B" w:rsidRDefault="001152C9" w:rsidP="00361246">
      <w:pPr>
        <w:rPr>
          <w:rFonts w:asciiTheme="minorHAnsi" w:hAnsiTheme="minorHAnsi" w:cstheme="minorHAnsi"/>
        </w:rPr>
      </w:pPr>
      <w:r w:rsidRPr="00994E7B">
        <w:rPr>
          <w:rFonts w:asciiTheme="minorHAnsi" w:hAnsiTheme="minorHAnsi" w:cstheme="minorHAnsi"/>
        </w:rPr>
        <w:t xml:space="preserve">Option 2: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option 2"/>
      </w:tblPr>
      <w:tblGrid>
        <w:gridCol w:w="3936"/>
        <w:gridCol w:w="811"/>
        <w:gridCol w:w="812"/>
        <w:gridCol w:w="811"/>
        <w:gridCol w:w="812"/>
        <w:gridCol w:w="1884"/>
      </w:tblGrid>
      <w:tr w:rsidR="001152C9" w:rsidRPr="002E4B8E" w14:paraId="17408C14" w14:textId="77777777" w:rsidTr="00832B7C">
        <w:trPr>
          <w:cantSplit/>
          <w:trHeight w:val="20"/>
        </w:trPr>
        <w:tc>
          <w:tcPr>
            <w:tcW w:w="3937" w:type="dxa"/>
            <w:vAlign w:val="center"/>
          </w:tcPr>
          <w:p w14:paraId="5D3B7F22" w14:textId="77777777" w:rsidR="001152C9" w:rsidRPr="002E4B8E" w:rsidRDefault="001152C9" w:rsidP="00361246">
            <w:pPr>
              <w:keepLines/>
              <w:rPr>
                <w:rFonts w:ascii="Arial Narrow" w:hAnsi="Arial Narrow" w:cs="Arial"/>
                <w:b/>
                <w:bCs/>
                <w:sz w:val="20"/>
                <w:szCs w:val="20"/>
              </w:rPr>
            </w:pPr>
            <w:r w:rsidRPr="002E4B8E">
              <w:rPr>
                <w:rFonts w:ascii="Arial Narrow" w:hAnsi="Arial Narrow" w:cs="Arial"/>
                <w:b/>
                <w:bCs/>
                <w:sz w:val="20"/>
                <w:szCs w:val="20"/>
              </w:rPr>
              <w:t>MEDICINAL PRODUCT</w:t>
            </w:r>
          </w:p>
          <w:p w14:paraId="4E891DE2" w14:textId="77777777" w:rsidR="001152C9" w:rsidRPr="002E4B8E" w:rsidRDefault="001152C9" w:rsidP="00361246">
            <w:pPr>
              <w:keepLines/>
              <w:rPr>
                <w:rFonts w:ascii="Arial Narrow" w:hAnsi="Arial Narrow" w:cs="Arial"/>
                <w:b/>
                <w:sz w:val="20"/>
                <w:szCs w:val="20"/>
              </w:rPr>
            </w:pPr>
            <w:r w:rsidRPr="002E4B8E">
              <w:rPr>
                <w:rFonts w:ascii="Arial Narrow" w:hAnsi="Arial Narrow" w:cs="Arial"/>
                <w:b/>
                <w:bCs/>
                <w:sz w:val="20"/>
                <w:szCs w:val="20"/>
              </w:rPr>
              <w:t>medicinal product pack</w:t>
            </w:r>
          </w:p>
        </w:tc>
        <w:tc>
          <w:tcPr>
            <w:tcW w:w="811" w:type="dxa"/>
            <w:vAlign w:val="center"/>
          </w:tcPr>
          <w:p w14:paraId="7D4C3B78" w14:textId="77777777" w:rsidR="001152C9" w:rsidRPr="002E4B8E" w:rsidRDefault="001152C9" w:rsidP="00361246">
            <w:pPr>
              <w:keepLines/>
              <w:jc w:val="center"/>
              <w:rPr>
                <w:rFonts w:ascii="Arial Narrow" w:hAnsi="Arial Narrow" w:cs="Arial"/>
                <w:b/>
                <w:sz w:val="20"/>
                <w:szCs w:val="20"/>
              </w:rPr>
            </w:pPr>
            <w:r w:rsidRPr="002E4B8E">
              <w:rPr>
                <w:rFonts w:ascii="Arial Narrow" w:hAnsi="Arial Narrow" w:cs="Arial"/>
                <w:b/>
                <w:sz w:val="20"/>
                <w:szCs w:val="20"/>
              </w:rPr>
              <w:t>PBS item code</w:t>
            </w:r>
          </w:p>
        </w:tc>
        <w:tc>
          <w:tcPr>
            <w:tcW w:w="812" w:type="dxa"/>
            <w:vAlign w:val="center"/>
          </w:tcPr>
          <w:p w14:paraId="709258A9" w14:textId="77777777" w:rsidR="001152C9" w:rsidRPr="002E4B8E" w:rsidRDefault="001152C9" w:rsidP="00361246">
            <w:pPr>
              <w:keepLines/>
              <w:jc w:val="center"/>
              <w:rPr>
                <w:rFonts w:ascii="Arial Narrow" w:hAnsi="Arial Narrow" w:cs="Arial"/>
                <w:b/>
                <w:sz w:val="20"/>
                <w:szCs w:val="20"/>
              </w:rPr>
            </w:pPr>
            <w:r w:rsidRPr="002E4B8E">
              <w:rPr>
                <w:rFonts w:ascii="Arial Narrow" w:hAnsi="Arial Narrow" w:cs="Arial"/>
                <w:b/>
                <w:sz w:val="20"/>
                <w:szCs w:val="20"/>
              </w:rPr>
              <w:t>Max. qty packs</w:t>
            </w:r>
          </w:p>
        </w:tc>
        <w:tc>
          <w:tcPr>
            <w:tcW w:w="811" w:type="dxa"/>
            <w:vAlign w:val="center"/>
          </w:tcPr>
          <w:p w14:paraId="39604527" w14:textId="77777777" w:rsidR="001152C9" w:rsidRPr="002E4B8E" w:rsidRDefault="001152C9" w:rsidP="00361246">
            <w:pPr>
              <w:keepLines/>
              <w:jc w:val="center"/>
              <w:rPr>
                <w:rFonts w:ascii="Arial Narrow" w:hAnsi="Arial Narrow" w:cs="Arial"/>
                <w:b/>
                <w:sz w:val="20"/>
                <w:szCs w:val="20"/>
              </w:rPr>
            </w:pPr>
            <w:r w:rsidRPr="002E4B8E">
              <w:rPr>
                <w:rFonts w:ascii="Arial Narrow" w:hAnsi="Arial Narrow" w:cs="Arial"/>
                <w:b/>
                <w:sz w:val="20"/>
                <w:szCs w:val="20"/>
              </w:rPr>
              <w:t>Max. qty units</w:t>
            </w:r>
          </w:p>
        </w:tc>
        <w:tc>
          <w:tcPr>
            <w:tcW w:w="812" w:type="dxa"/>
            <w:vAlign w:val="center"/>
          </w:tcPr>
          <w:p w14:paraId="3D49C974" w14:textId="77777777" w:rsidR="001152C9" w:rsidRPr="002E4B8E" w:rsidRDefault="001152C9" w:rsidP="00361246">
            <w:pPr>
              <w:keepLines/>
              <w:jc w:val="center"/>
              <w:rPr>
                <w:rFonts w:ascii="Arial Narrow" w:hAnsi="Arial Narrow" w:cs="Arial"/>
                <w:b/>
                <w:sz w:val="20"/>
                <w:szCs w:val="20"/>
              </w:rPr>
            </w:pPr>
            <w:r w:rsidRPr="002E4B8E">
              <w:rPr>
                <w:rFonts w:ascii="Arial Narrow" w:hAnsi="Arial Narrow" w:cs="Arial"/>
                <w:b/>
                <w:sz w:val="20"/>
                <w:szCs w:val="20"/>
              </w:rPr>
              <w:t>№.of</w:t>
            </w:r>
          </w:p>
          <w:p w14:paraId="52C22A47" w14:textId="77777777" w:rsidR="001152C9" w:rsidRPr="002E4B8E" w:rsidRDefault="001152C9" w:rsidP="00361246">
            <w:pPr>
              <w:keepLines/>
              <w:jc w:val="center"/>
              <w:rPr>
                <w:rFonts w:ascii="Arial Narrow" w:hAnsi="Arial Narrow" w:cs="Arial"/>
                <w:b/>
                <w:sz w:val="20"/>
                <w:szCs w:val="20"/>
              </w:rPr>
            </w:pPr>
            <w:r w:rsidRPr="002E4B8E">
              <w:rPr>
                <w:rFonts w:ascii="Arial Narrow" w:hAnsi="Arial Narrow" w:cs="Arial"/>
                <w:b/>
                <w:sz w:val="20"/>
                <w:szCs w:val="20"/>
              </w:rPr>
              <w:t>Rpts</w:t>
            </w:r>
          </w:p>
        </w:tc>
        <w:tc>
          <w:tcPr>
            <w:tcW w:w="1883" w:type="dxa"/>
            <w:vAlign w:val="center"/>
          </w:tcPr>
          <w:p w14:paraId="7DDCB60A" w14:textId="77777777" w:rsidR="001152C9" w:rsidRPr="002E4B8E" w:rsidRDefault="001152C9" w:rsidP="00361246">
            <w:pPr>
              <w:keepLines/>
              <w:rPr>
                <w:rFonts w:ascii="Arial Narrow" w:hAnsi="Arial Narrow" w:cs="Arial"/>
                <w:b/>
                <w:sz w:val="20"/>
                <w:szCs w:val="20"/>
                <w:lang w:val="fr-FR"/>
              </w:rPr>
            </w:pPr>
            <w:r w:rsidRPr="002E4B8E">
              <w:rPr>
                <w:rFonts w:ascii="Arial Narrow" w:hAnsi="Arial Narrow" w:cs="Arial"/>
                <w:b/>
                <w:sz w:val="20"/>
                <w:szCs w:val="20"/>
              </w:rPr>
              <w:t>Available brands</w:t>
            </w:r>
          </w:p>
        </w:tc>
      </w:tr>
      <w:tr w:rsidR="001152C9" w:rsidRPr="002E4B8E" w14:paraId="25972F8E" w14:textId="77777777" w:rsidTr="00832B7C">
        <w:trPr>
          <w:cantSplit/>
          <w:trHeight w:val="20"/>
        </w:trPr>
        <w:tc>
          <w:tcPr>
            <w:tcW w:w="9066" w:type="dxa"/>
            <w:gridSpan w:val="6"/>
            <w:vAlign w:val="center"/>
          </w:tcPr>
          <w:p w14:paraId="224AAB37" w14:textId="77777777" w:rsidR="001152C9" w:rsidRPr="002E4B8E" w:rsidRDefault="001152C9" w:rsidP="00361246">
            <w:pPr>
              <w:keepLines/>
              <w:rPr>
                <w:rFonts w:ascii="Arial Narrow" w:hAnsi="Arial Narrow" w:cs="Arial"/>
                <w:sz w:val="20"/>
                <w:szCs w:val="20"/>
              </w:rPr>
            </w:pPr>
            <w:r w:rsidRPr="002E4B8E">
              <w:rPr>
                <w:rFonts w:ascii="Arial Narrow" w:hAnsi="Arial Narrow" w:cs="Arial"/>
                <w:sz w:val="20"/>
                <w:szCs w:val="20"/>
              </w:rPr>
              <w:t>CANNABIDIOL</w:t>
            </w:r>
          </w:p>
        </w:tc>
      </w:tr>
      <w:tr w:rsidR="001152C9" w:rsidRPr="002E4B8E" w14:paraId="0FDEC8E0" w14:textId="77777777" w:rsidTr="00832B7C">
        <w:trPr>
          <w:cantSplit/>
          <w:trHeight w:val="20"/>
        </w:trPr>
        <w:tc>
          <w:tcPr>
            <w:tcW w:w="3937" w:type="dxa"/>
            <w:vAlign w:val="center"/>
          </w:tcPr>
          <w:p w14:paraId="34081482" w14:textId="77777777" w:rsidR="001152C9" w:rsidRPr="002E4B8E" w:rsidRDefault="001152C9" w:rsidP="00361246">
            <w:pPr>
              <w:keepLines/>
              <w:rPr>
                <w:rFonts w:ascii="Arial Narrow" w:hAnsi="Arial Narrow" w:cs="Arial"/>
                <w:sz w:val="20"/>
                <w:szCs w:val="20"/>
              </w:rPr>
            </w:pPr>
            <w:r w:rsidRPr="002E4B8E">
              <w:rPr>
                <w:rFonts w:ascii="Arial Narrow" w:hAnsi="Arial Narrow" w:cs="Arial"/>
                <w:color w:val="000000" w:themeColor="text1"/>
                <w:sz w:val="20"/>
                <w:szCs w:val="20"/>
              </w:rPr>
              <w:t>cannabidiol 100 mg/mL oral liquid, 100 mL</w:t>
            </w:r>
          </w:p>
        </w:tc>
        <w:tc>
          <w:tcPr>
            <w:tcW w:w="811" w:type="dxa"/>
            <w:vAlign w:val="center"/>
          </w:tcPr>
          <w:p w14:paraId="3507825D" w14:textId="77777777" w:rsidR="001152C9" w:rsidRPr="002E4B8E" w:rsidRDefault="001152C9" w:rsidP="00361246">
            <w:pPr>
              <w:keepLines/>
              <w:jc w:val="center"/>
              <w:rPr>
                <w:rFonts w:ascii="Arial Narrow" w:hAnsi="Arial Narrow" w:cs="Arial"/>
                <w:sz w:val="20"/>
                <w:szCs w:val="20"/>
              </w:rPr>
            </w:pPr>
            <w:r w:rsidRPr="002E4B8E">
              <w:rPr>
                <w:rFonts w:ascii="Arial Narrow" w:hAnsi="Arial Narrow" w:cs="Arial"/>
                <w:sz w:val="20"/>
                <w:szCs w:val="20"/>
              </w:rPr>
              <w:t>13277T</w:t>
            </w:r>
          </w:p>
        </w:tc>
        <w:tc>
          <w:tcPr>
            <w:tcW w:w="812" w:type="dxa"/>
            <w:vAlign w:val="center"/>
          </w:tcPr>
          <w:p w14:paraId="7C20FA08" w14:textId="77777777" w:rsidR="001152C9" w:rsidRPr="002E4B8E" w:rsidRDefault="001152C9" w:rsidP="00361246">
            <w:pPr>
              <w:keepLines/>
              <w:jc w:val="center"/>
              <w:rPr>
                <w:rFonts w:ascii="Arial Narrow" w:hAnsi="Arial Narrow" w:cs="Arial"/>
                <w:sz w:val="20"/>
                <w:szCs w:val="20"/>
              </w:rPr>
            </w:pPr>
            <w:r w:rsidRPr="002E4B8E">
              <w:rPr>
                <w:rFonts w:ascii="Arial Narrow" w:hAnsi="Arial Narrow" w:cs="Arial"/>
                <w:sz w:val="20"/>
                <w:szCs w:val="20"/>
              </w:rPr>
              <w:t>1</w:t>
            </w:r>
          </w:p>
        </w:tc>
        <w:tc>
          <w:tcPr>
            <w:tcW w:w="811" w:type="dxa"/>
            <w:vAlign w:val="center"/>
          </w:tcPr>
          <w:p w14:paraId="1824F35A" w14:textId="77777777" w:rsidR="001152C9" w:rsidRPr="002E4B8E" w:rsidRDefault="001152C9" w:rsidP="00361246">
            <w:pPr>
              <w:keepLines/>
              <w:jc w:val="center"/>
              <w:rPr>
                <w:rFonts w:ascii="Arial Narrow" w:hAnsi="Arial Narrow" w:cs="Arial"/>
                <w:sz w:val="20"/>
                <w:szCs w:val="20"/>
              </w:rPr>
            </w:pPr>
            <w:r w:rsidRPr="002E4B8E">
              <w:rPr>
                <w:rFonts w:ascii="Arial Narrow" w:hAnsi="Arial Narrow" w:cs="Arial"/>
                <w:sz w:val="20"/>
                <w:szCs w:val="20"/>
              </w:rPr>
              <w:t>1</w:t>
            </w:r>
          </w:p>
        </w:tc>
        <w:tc>
          <w:tcPr>
            <w:tcW w:w="812" w:type="dxa"/>
            <w:vAlign w:val="center"/>
          </w:tcPr>
          <w:p w14:paraId="5C9893A4" w14:textId="77777777" w:rsidR="001152C9" w:rsidRPr="002E4B8E" w:rsidRDefault="001152C9" w:rsidP="00361246">
            <w:pPr>
              <w:keepLines/>
              <w:jc w:val="center"/>
              <w:rPr>
                <w:rFonts w:ascii="Arial Narrow" w:hAnsi="Arial Narrow" w:cs="Arial"/>
                <w:sz w:val="20"/>
                <w:szCs w:val="20"/>
              </w:rPr>
            </w:pPr>
            <w:r w:rsidRPr="002E4B8E">
              <w:rPr>
                <w:rFonts w:ascii="Arial Narrow" w:hAnsi="Arial Narrow" w:cs="Arial"/>
                <w:sz w:val="20"/>
                <w:szCs w:val="20"/>
              </w:rPr>
              <w:t>5</w:t>
            </w:r>
          </w:p>
        </w:tc>
        <w:tc>
          <w:tcPr>
            <w:tcW w:w="1883" w:type="dxa"/>
            <w:vAlign w:val="center"/>
          </w:tcPr>
          <w:p w14:paraId="6464F383" w14:textId="77777777" w:rsidR="001152C9" w:rsidRPr="002E4B8E" w:rsidRDefault="001152C9" w:rsidP="00361246">
            <w:pPr>
              <w:keepLines/>
              <w:rPr>
                <w:rFonts w:ascii="Arial Narrow" w:hAnsi="Arial Narrow" w:cs="Arial"/>
                <w:color w:val="000000" w:themeColor="text1"/>
                <w:sz w:val="20"/>
                <w:szCs w:val="20"/>
              </w:rPr>
            </w:pPr>
            <w:r w:rsidRPr="002E4B8E">
              <w:rPr>
                <w:rFonts w:ascii="Arial Narrow" w:hAnsi="Arial Narrow" w:cs="Arial"/>
                <w:color w:val="000000" w:themeColor="text1"/>
                <w:sz w:val="20"/>
                <w:szCs w:val="20"/>
              </w:rPr>
              <w:t>Epidyolex</w:t>
            </w:r>
          </w:p>
        </w:tc>
      </w:tr>
      <w:tr w:rsidR="001152C9" w:rsidRPr="002E4B8E" w14:paraId="02FFFDD8"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70CCFC82" w14:textId="77777777" w:rsidR="001152C9" w:rsidRPr="002E4B8E" w:rsidRDefault="001152C9" w:rsidP="00361246">
            <w:pPr>
              <w:rPr>
                <w:rFonts w:ascii="Arial Narrow" w:hAnsi="Arial Narrow" w:cs="Arial"/>
                <w:sz w:val="20"/>
                <w:szCs w:val="20"/>
              </w:rPr>
            </w:pPr>
          </w:p>
        </w:tc>
      </w:tr>
      <w:tr w:rsidR="001152C9" w:rsidRPr="002E4B8E" w14:paraId="4436861C"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right w:val="single" w:sz="4" w:space="0" w:color="auto"/>
            </w:tcBorders>
            <w:vAlign w:val="center"/>
          </w:tcPr>
          <w:p w14:paraId="31B9E943" w14:textId="77777777" w:rsidR="001152C9" w:rsidRPr="002E4B8E" w:rsidRDefault="001152C9" w:rsidP="00361246">
            <w:pPr>
              <w:keepLines/>
              <w:rPr>
                <w:rFonts w:ascii="Arial Narrow" w:hAnsi="Arial Narrow" w:cs="Arial"/>
                <w:b/>
                <w:sz w:val="20"/>
                <w:szCs w:val="20"/>
              </w:rPr>
            </w:pPr>
            <w:r w:rsidRPr="002E4B8E">
              <w:rPr>
                <w:rFonts w:ascii="Arial Narrow" w:hAnsi="Arial Narrow"/>
                <w:b/>
                <w:sz w:val="20"/>
                <w:szCs w:val="20"/>
              </w:rPr>
              <w:t>Restriction Summary 14047/ Treatment of Concept: 14047</w:t>
            </w:r>
          </w:p>
        </w:tc>
      </w:tr>
      <w:tr w:rsidR="00B0210C" w:rsidRPr="002E4B8E" w14:paraId="368BFDB2"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416ABAC5" w14:textId="77777777" w:rsidR="00B0210C" w:rsidRPr="002E4B8E" w:rsidRDefault="00B0210C" w:rsidP="00361246">
            <w:pPr>
              <w:keepLines/>
              <w:rPr>
                <w:rFonts w:ascii="Arial Narrow" w:hAnsi="Arial Narrow" w:cs="Arial"/>
                <w:sz w:val="20"/>
                <w:szCs w:val="20"/>
              </w:rPr>
            </w:pPr>
            <w:r w:rsidRPr="002E4B8E">
              <w:rPr>
                <w:rFonts w:ascii="Arial Narrow" w:hAnsi="Arial Narrow" w:cs="Arial"/>
                <w:b/>
                <w:sz w:val="20"/>
                <w:szCs w:val="20"/>
              </w:rPr>
              <w:t>Category / Program:</w:t>
            </w:r>
            <w:r w:rsidRPr="002E4B8E">
              <w:rPr>
                <w:rFonts w:ascii="Arial Narrow" w:hAnsi="Arial Narrow" w:cs="Arial"/>
                <w:color w:val="FF0000"/>
                <w:sz w:val="20"/>
                <w:szCs w:val="20"/>
              </w:rPr>
              <w:t xml:space="preserve"> </w:t>
            </w:r>
            <w:r w:rsidRPr="002E4B8E">
              <w:rPr>
                <w:rFonts w:ascii="Arial Narrow" w:eastAsia="Calibri" w:hAnsi="Arial Narrow" w:cs="Arial"/>
                <w:sz w:val="20"/>
                <w:szCs w:val="20"/>
              </w:rPr>
              <w:fldChar w:fldCharType="begin">
                <w:ffData>
                  <w:name w:val="Check1"/>
                  <w:enabled/>
                  <w:calcOnExit w:val="0"/>
                  <w:checkBox>
                    <w:sizeAuto/>
                    <w:default w:val="1"/>
                  </w:checkBox>
                </w:ffData>
              </w:fldChar>
            </w:r>
            <w:r w:rsidRPr="002E4B8E">
              <w:rPr>
                <w:rFonts w:ascii="Arial Narrow" w:eastAsia="Calibri" w:hAnsi="Arial Narrow" w:cs="Arial"/>
                <w:sz w:val="20"/>
                <w:szCs w:val="20"/>
              </w:rPr>
              <w:instrText xml:space="preserve"> FORMCHECKBOX </w:instrText>
            </w:r>
            <w:r w:rsidRPr="002E4B8E">
              <w:rPr>
                <w:rFonts w:ascii="Arial Narrow" w:eastAsia="Calibri" w:hAnsi="Arial Narrow" w:cs="Arial"/>
                <w:sz w:val="20"/>
                <w:szCs w:val="20"/>
              </w:rPr>
            </w:r>
            <w:r w:rsidRPr="002E4B8E">
              <w:rPr>
                <w:rFonts w:ascii="Arial Narrow" w:eastAsia="Calibri" w:hAnsi="Arial Narrow" w:cs="Arial"/>
                <w:sz w:val="20"/>
                <w:szCs w:val="20"/>
              </w:rPr>
              <w:fldChar w:fldCharType="separate"/>
            </w:r>
            <w:r w:rsidRPr="002E4B8E">
              <w:rPr>
                <w:rFonts w:ascii="Arial Narrow" w:eastAsia="Calibri" w:hAnsi="Arial Narrow" w:cs="Arial"/>
                <w:sz w:val="20"/>
                <w:szCs w:val="20"/>
              </w:rPr>
              <w:fldChar w:fldCharType="end"/>
            </w:r>
            <w:r w:rsidRPr="002E4B8E">
              <w:rPr>
                <w:rFonts w:ascii="Arial Narrow" w:eastAsia="Calibri" w:hAnsi="Arial Narrow" w:cs="Arial"/>
                <w:sz w:val="20"/>
                <w:szCs w:val="20"/>
              </w:rPr>
              <w:t xml:space="preserve"> GENERAL - General Schedule (Code GE) </w:t>
            </w:r>
          </w:p>
        </w:tc>
      </w:tr>
      <w:tr w:rsidR="00B0210C" w:rsidRPr="002E4B8E" w14:paraId="311D93E3"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44A2B599" w14:textId="77777777" w:rsidR="00B0210C" w:rsidRPr="002E4B8E" w:rsidRDefault="00B0210C" w:rsidP="00361246">
            <w:pPr>
              <w:keepLines/>
              <w:rPr>
                <w:rFonts w:ascii="Arial Narrow" w:hAnsi="Arial Narrow" w:cs="Arial"/>
                <w:b/>
                <w:sz w:val="20"/>
                <w:szCs w:val="20"/>
              </w:rPr>
            </w:pPr>
            <w:r w:rsidRPr="002E4B8E">
              <w:rPr>
                <w:rFonts w:ascii="Arial Narrow" w:hAnsi="Arial Narrow" w:cs="Arial"/>
                <w:b/>
                <w:sz w:val="20"/>
                <w:szCs w:val="20"/>
              </w:rPr>
              <w:t xml:space="preserve">Prescriber type: </w:t>
            </w:r>
            <w:r w:rsidRPr="002E4B8E">
              <w:rPr>
                <w:rFonts w:ascii="Arial Narrow" w:hAnsi="Arial Narrow" w:cs="Arial"/>
                <w:sz w:val="20"/>
                <w:szCs w:val="20"/>
              </w:rPr>
              <w:fldChar w:fldCharType="begin">
                <w:ffData>
                  <w:name w:val=""/>
                  <w:enabled/>
                  <w:calcOnExit w:val="0"/>
                  <w:checkBox>
                    <w:sizeAuto/>
                    <w:default w:val="1"/>
                  </w:checkBox>
                </w:ffData>
              </w:fldChar>
            </w:r>
            <w:r w:rsidRPr="002E4B8E">
              <w:rPr>
                <w:rFonts w:ascii="Arial Narrow" w:hAnsi="Arial Narrow" w:cs="Arial"/>
                <w:sz w:val="20"/>
                <w:szCs w:val="20"/>
              </w:rPr>
              <w:instrText xml:space="preserve"> FORMCHECKBOX </w:instrText>
            </w:r>
            <w:r w:rsidRPr="002E4B8E">
              <w:rPr>
                <w:rFonts w:ascii="Arial Narrow" w:hAnsi="Arial Narrow" w:cs="Arial"/>
                <w:sz w:val="20"/>
                <w:szCs w:val="20"/>
              </w:rPr>
            </w:r>
            <w:r w:rsidRPr="002E4B8E">
              <w:rPr>
                <w:rFonts w:ascii="Arial Narrow" w:hAnsi="Arial Narrow" w:cs="Arial"/>
                <w:sz w:val="20"/>
                <w:szCs w:val="20"/>
              </w:rPr>
              <w:fldChar w:fldCharType="separate"/>
            </w:r>
            <w:r w:rsidRPr="002E4B8E">
              <w:rPr>
                <w:rFonts w:ascii="Arial Narrow" w:hAnsi="Arial Narrow" w:cs="Arial"/>
                <w:sz w:val="20"/>
                <w:szCs w:val="20"/>
              </w:rPr>
              <w:fldChar w:fldCharType="end"/>
            </w:r>
            <w:r w:rsidRPr="002E4B8E">
              <w:rPr>
                <w:rFonts w:ascii="Arial Narrow" w:hAnsi="Arial Narrow" w:cs="Arial"/>
                <w:sz w:val="20"/>
                <w:szCs w:val="20"/>
              </w:rPr>
              <w:t>Medical Practitioners</w:t>
            </w:r>
          </w:p>
        </w:tc>
      </w:tr>
      <w:tr w:rsidR="00B0210C" w:rsidRPr="002E4B8E" w14:paraId="70689C0F"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0065AEF2" w14:textId="77777777" w:rsidR="00B0210C" w:rsidRPr="002E4B8E" w:rsidRDefault="00B0210C" w:rsidP="00361246">
            <w:pPr>
              <w:keepLines/>
              <w:rPr>
                <w:rFonts w:ascii="Arial Narrow" w:hAnsi="Arial Narrow" w:cs="Arial"/>
                <w:b/>
                <w:sz w:val="20"/>
                <w:szCs w:val="20"/>
              </w:rPr>
            </w:pPr>
            <w:r w:rsidRPr="002E4B8E">
              <w:rPr>
                <w:rFonts w:ascii="Arial Narrow" w:hAnsi="Arial Narrow" w:cs="Arial"/>
                <w:b/>
                <w:sz w:val="20"/>
                <w:szCs w:val="20"/>
              </w:rPr>
              <w:t>Restriction type:</w:t>
            </w:r>
          </w:p>
          <w:p w14:paraId="57F534BB" w14:textId="77777777" w:rsidR="00B0210C" w:rsidRPr="002E4B8E" w:rsidRDefault="00B0210C" w:rsidP="00361246">
            <w:pPr>
              <w:keepLines/>
              <w:rPr>
                <w:rFonts w:ascii="Arial Narrow" w:hAnsi="Arial Narrow" w:cs="Arial"/>
                <w:b/>
                <w:bCs/>
                <w:sz w:val="20"/>
                <w:szCs w:val="20"/>
              </w:rPr>
            </w:pPr>
            <w:r w:rsidRPr="002E4B8E">
              <w:rPr>
                <w:rFonts w:ascii="Arial Narrow" w:eastAsia="Calibri" w:hAnsi="Arial Narrow" w:cs="Arial"/>
                <w:sz w:val="20"/>
                <w:szCs w:val="20"/>
              </w:rPr>
              <w:fldChar w:fldCharType="begin">
                <w:ffData>
                  <w:name w:val=""/>
                  <w:enabled/>
                  <w:calcOnExit w:val="0"/>
                  <w:checkBox>
                    <w:sizeAuto/>
                    <w:default w:val="1"/>
                  </w:checkBox>
                </w:ffData>
              </w:fldChar>
            </w:r>
            <w:r w:rsidRPr="002E4B8E">
              <w:rPr>
                <w:rFonts w:ascii="Arial Narrow" w:eastAsia="Calibri" w:hAnsi="Arial Narrow" w:cs="Arial"/>
                <w:sz w:val="20"/>
                <w:szCs w:val="20"/>
              </w:rPr>
              <w:instrText xml:space="preserve"> FORMCHECKBOX </w:instrText>
            </w:r>
            <w:r w:rsidRPr="002E4B8E">
              <w:rPr>
                <w:rFonts w:ascii="Arial Narrow" w:eastAsia="Calibri" w:hAnsi="Arial Narrow" w:cs="Arial"/>
                <w:sz w:val="20"/>
                <w:szCs w:val="20"/>
              </w:rPr>
            </w:r>
            <w:r w:rsidRPr="002E4B8E">
              <w:rPr>
                <w:rFonts w:ascii="Arial Narrow" w:eastAsia="Calibri" w:hAnsi="Arial Narrow" w:cs="Arial"/>
                <w:sz w:val="20"/>
                <w:szCs w:val="20"/>
              </w:rPr>
              <w:fldChar w:fldCharType="separate"/>
            </w:r>
            <w:r w:rsidRPr="002E4B8E">
              <w:rPr>
                <w:rFonts w:ascii="Arial Narrow" w:eastAsia="Calibri" w:hAnsi="Arial Narrow" w:cs="Arial"/>
                <w:sz w:val="20"/>
                <w:szCs w:val="20"/>
              </w:rPr>
              <w:fldChar w:fldCharType="end"/>
            </w:r>
            <w:r w:rsidRPr="00994E7B">
              <w:rPr>
                <w:rFonts w:ascii="Arial Narrow" w:eastAsia="Calibri" w:hAnsi="Arial Narrow" w:cs="Arial"/>
                <w:b/>
                <w:bCs/>
                <w:iCs/>
                <w:sz w:val="20"/>
                <w:szCs w:val="20"/>
              </w:rPr>
              <w:t>Authority Required (Streamlined)</w:t>
            </w:r>
          </w:p>
          <w:p w14:paraId="74F4DA53" w14:textId="77777777" w:rsidR="00B0210C" w:rsidRPr="002E4B8E" w:rsidRDefault="00B0210C" w:rsidP="00361246">
            <w:pPr>
              <w:keepLines/>
              <w:rPr>
                <w:rFonts w:ascii="Arial Narrow" w:eastAsia="Calibri" w:hAnsi="Arial Narrow" w:cs="Arial"/>
                <w:color w:val="FF0000"/>
                <w:sz w:val="20"/>
                <w:szCs w:val="20"/>
              </w:rPr>
            </w:pPr>
            <w:r w:rsidRPr="002E4B8E">
              <w:rPr>
                <w:rFonts w:ascii="Arial Narrow" w:eastAsia="Calibri" w:hAnsi="Arial Narrow" w:cs="Arial"/>
                <w:sz w:val="20"/>
                <w:szCs w:val="20"/>
              </w:rPr>
              <w:fldChar w:fldCharType="begin">
                <w:ffData>
                  <w:name w:val="Check3"/>
                  <w:enabled/>
                  <w:calcOnExit w:val="0"/>
                  <w:checkBox>
                    <w:sizeAuto/>
                    <w:default w:val="1"/>
                  </w:checkBox>
                </w:ffData>
              </w:fldChar>
            </w:r>
            <w:r w:rsidRPr="002E4B8E">
              <w:rPr>
                <w:rFonts w:ascii="Arial Narrow" w:eastAsia="Calibri" w:hAnsi="Arial Narrow" w:cs="Arial"/>
                <w:sz w:val="20"/>
                <w:szCs w:val="20"/>
              </w:rPr>
              <w:instrText xml:space="preserve"> FORMCHECKBOX </w:instrText>
            </w:r>
            <w:r w:rsidRPr="002E4B8E">
              <w:rPr>
                <w:rFonts w:ascii="Arial Narrow" w:eastAsia="Calibri" w:hAnsi="Arial Narrow" w:cs="Arial"/>
                <w:sz w:val="20"/>
                <w:szCs w:val="20"/>
              </w:rPr>
            </w:r>
            <w:r w:rsidRPr="002E4B8E">
              <w:rPr>
                <w:rFonts w:ascii="Arial Narrow" w:eastAsia="Calibri" w:hAnsi="Arial Narrow" w:cs="Arial"/>
                <w:sz w:val="20"/>
                <w:szCs w:val="20"/>
              </w:rPr>
              <w:fldChar w:fldCharType="separate"/>
            </w:r>
            <w:r w:rsidRPr="002E4B8E">
              <w:rPr>
                <w:rFonts w:ascii="Arial Narrow" w:eastAsia="Calibri" w:hAnsi="Arial Narrow" w:cs="Arial"/>
                <w:sz w:val="20"/>
                <w:szCs w:val="20"/>
              </w:rPr>
              <w:fldChar w:fldCharType="end"/>
            </w:r>
            <w:r w:rsidRPr="002E4B8E">
              <w:rPr>
                <w:rFonts w:ascii="Arial Narrow" w:eastAsia="Calibri" w:hAnsi="Arial Narrow" w:cs="Arial"/>
                <w:strike/>
                <w:sz w:val="20"/>
                <w:szCs w:val="20"/>
              </w:rPr>
              <w:t>Authority Required (telephone/online PBS Authorities system)</w:t>
            </w:r>
          </w:p>
        </w:tc>
      </w:tr>
      <w:tr w:rsidR="00B0210C" w:rsidRPr="002E4B8E" w14:paraId="70F4B492"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vAlign w:val="center"/>
          </w:tcPr>
          <w:p w14:paraId="44C266F6" w14:textId="7D13DC92" w:rsidR="00B0210C" w:rsidRPr="002E4B8E" w:rsidRDefault="00B0210C" w:rsidP="00361246">
            <w:pPr>
              <w:rPr>
                <w:rFonts w:ascii="Arial Narrow" w:hAnsi="Arial Narrow"/>
                <w:sz w:val="20"/>
                <w:szCs w:val="20"/>
              </w:rPr>
            </w:pPr>
            <w:r w:rsidRPr="002E4B8E">
              <w:rPr>
                <w:rFonts w:ascii="Arial Narrow" w:hAnsi="Arial Narrow"/>
                <w:b/>
                <w:bCs/>
                <w:sz w:val="20"/>
                <w:szCs w:val="20"/>
              </w:rPr>
              <w:t xml:space="preserve">Administrative Advice: </w:t>
            </w:r>
            <w:r w:rsidRPr="002E4B8E">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B0210C" w:rsidRPr="002E4B8E" w14:paraId="4D29BDEC"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vAlign w:val="center"/>
          </w:tcPr>
          <w:p w14:paraId="6F87F0B2" w14:textId="77777777" w:rsidR="00B0210C" w:rsidRPr="002E4B8E" w:rsidRDefault="00B0210C" w:rsidP="00361246">
            <w:pPr>
              <w:rPr>
                <w:rFonts w:ascii="Arial Narrow" w:hAnsi="Arial Narrow"/>
                <w:b/>
                <w:bCs/>
                <w:sz w:val="20"/>
                <w:szCs w:val="20"/>
              </w:rPr>
            </w:pPr>
            <w:r w:rsidRPr="002E4B8E">
              <w:rPr>
                <w:rFonts w:ascii="Arial Narrow" w:hAnsi="Arial Narrow"/>
                <w:b/>
                <w:bCs/>
                <w:sz w:val="20"/>
                <w:szCs w:val="20"/>
              </w:rPr>
              <w:t xml:space="preserve">Administrative Advice: </w:t>
            </w:r>
            <w:r w:rsidRPr="002E4B8E">
              <w:rPr>
                <w:rFonts w:ascii="Arial Narrow" w:hAnsi="Arial Narrow"/>
                <w:sz w:val="20"/>
                <w:szCs w:val="20"/>
              </w:rPr>
              <w:t>Requests for increased quantities may be sought based on daily doses not exceeding 20 mg/kg/day (in line with the Product Information) for up to 4 weeks per dispensing.</w:t>
            </w:r>
          </w:p>
        </w:tc>
      </w:tr>
      <w:tr w:rsidR="00B0210C" w:rsidRPr="002E4B8E" w14:paraId="273C1EF4"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vAlign w:val="center"/>
          </w:tcPr>
          <w:p w14:paraId="09F56BFA" w14:textId="77777777" w:rsidR="00B0210C" w:rsidRPr="002E4B8E" w:rsidRDefault="00B0210C" w:rsidP="00361246">
            <w:pPr>
              <w:rPr>
                <w:rFonts w:ascii="Arial Narrow" w:hAnsi="Arial Narrow"/>
                <w:b/>
                <w:bCs/>
                <w:sz w:val="20"/>
                <w:szCs w:val="20"/>
              </w:rPr>
            </w:pPr>
            <w:r w:rsidRPr="002E4B8E">
              <w:rPr>
                <w:rFonts w:ascii="Arial Narrow" w:hAnsi="Arial Narrow"/>
                <w:b/>
                <w:bCs/>
                <w:sz w:val="20"/>
                <w:szCs w:val="20"/>
              </w:rPr>
              <w:t xml:space="preserve">Administrative Advice: </w:t>
            </w:r>
            <w:r w:rsidRPr="002E4B8E">
              <w:rPr>
                <w:rFonts w:ascii="Arial Narrow" w:hAnsi="Arial Narrow"/>
                <w:sz w:val="20"/>
                <w:szCs w:val="20"/>
              </w:rPr>
              <w:t>No increase in the maximum number of repeats may be authorised.</w:t>
            </w:r>
          </w:p>
        </w:tc>
      </w:tr>
      <w:tr w:rsidR="00B0210C" w:rsidRPr="002E4B8E" w14:paraId="3B289B63" w14:textId="77777777" w:rsidTr="00832B7C">
        <w:tblPrEx>
          <w:tblCellMar>
            <w:top w:w="15" w:type="dxa"/>
            <w:bottom w:w="15" w:type="dxa"/>
          </w:tblCellMar>
          <w:tblLook w:val="04A0" w:firstRow="1" w:lastRow="0" w:firstColumn="1" w:lastColumn="0" w:noHBand="0" w:noVBand="1"/>
        </w:tblPrEx>
        <w:trPr>
          <w:trHeight w:val="20"/>
        </w:trPr>
        <w:tc>
          <w:tcPr>
            <w:tcW w:w="9066" w:type="dxa"/>
            <w:gridSpan w:val="6"/>
            <w:vAlign w:val="center"/>
          </w:tcPr>
          <w:p w14:paraId="746754AE" w14:textId="77777777" w:rsidR="00B0210C" w:rsidRPr="002E4B8E" w:rsidRDefault="00B0210C" w:rsidP="00361246">
            <w:pPr>
              <w:rPr>
                <w:rFonts w:ascii="Arial Narrow" w:hAnsi="Arial Narrow"/>
                <w:b/>
                <w:bCs/>
                <w:sz w:val="20"/>
                <w:szCs w:val="20"/>
              </w:rPr>
            </w:pPr>
            <w:r w:rsidRPr="002E4B8E">
              <w:rPr>
                <w:rFonts w:ascii="Arial Narrow" w:hAnsi="Arial Narrow"/>
                <w:b/>
                <w:bCs/>
                <w:sz w:val="20"/>
                <w:szCs w:val="20"/>
              </w:rPr>
              <w:t xml:space="preserve">Administrative Advice: </w:t>
            </w:r>
            <w:r w:rsidRPr="002E4B8E">
              <w:rPr>
                <w:rFonts w:ascii="Arial Narrow" w:hAnsi="Arial Narrow"/>
                <w:sz w:val="20"/>
                <w:szCs w:val="20"/>
              </w:rPr>
              <w:t>Special Pricing Arrangements apply.</w:t>
            </w:r>
          </w:p>
        </w:tc>
      </w:tr>
      <w:tr w:rsidR="00B0210C" w:rsidRPr="002E4B8E" w14:paraId="276D9B6B" w14:textId="77777777" w:rsidTr="00832B7C">
        <w:tblPrEx>
          <w:tblCellMar>
            <w:top w:w="15" w:type="dxa"/>
            <w:bottom w:w="15" w:type="dxa"/>
          </w:tblCellMar>
          <w:tblLook w:val="04A0" w:firstRow="1" w:lastRow="0" w:firstColumn="1" w:lastColumn="0" w:noHBand="0" w:noVBand="1"/>
        </w:tblPrEx>
        <w:trPr>
          <w:cantSplit/>
          <w:trHeight w:val="20"/>
        </w:trPr>
        <w:tc>
          <w:tcPr>
            <w:tcW w:w="9066" w:type="dxa"/>
            <w:gridSpan w:val="6"/>
            <w:vAlign w:val="center"/>
            <w:hideMark/>
          </w:tcPr>
          <w:p w14:paraId="1F269D4F" w14:textId="77777777" w:rsidR="00B0210C" w:rsidRPr="002E4B8E" w:rsidRDefault="00B0210C" w:rsidP="00361246">
            <w:pPr>
              <w:keepLines/>
              <w:rPr>
                <w:rFonts w:ascii="Arial Narrow" w:hAnsi="Arial Narrow"/>
                <w:color w:val="333333"/>
                <w:sz w:val="20"/>
                <w:szCs w:val="20"/>
              </w:rPr>
            </w:pPr>
            <w:r w:rsidRPr="002E4B8E">
              <w:rPr>
                <w:rFonts w:ascii="Arial Narrow" w:hAnsi="Arial Narrow"/>
                <w:b/>
                <w:bCs/>
                <w:sz w:val="20"/>
                <w:szCs w:val="20"/>
              </w:rPr>
              <w:t>Indication:</w:t>
            </w:r>
            <w:r w:rsidRPr="002E4B8E">
              <w:rPr>
                <w:rFonts w:ascii="Arial Narrow" w:hAnsi="Arial Narrow"/>
                <w:sz w:val="20"/>
                <w:szCs w:val="20"/>
              </w:rPr>
              <w:t xml:space="preserve"> Seizures of the Lennox-Gastaut syndrome</w:t>
            </w:r>
          </w:p>
        </w:tc>
      </w:tr>
      <w:tr w:rsidR="00B0210C" w:rsidRPr="002E4B8E" w14:paraId="0B2DB9C9"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259D42E" w14:textId="77777777" w:rsidR="00B0210C" w:rsidRPr="002E4B8E" w:rsidRDefault="00B0210C" w:rsidP="00361246">
            <w:pPr>
              <w:rPr>
                <w:rFonts w:ascii="Arial Narrow" w:hAnsi="Arial Narrow"/>
                <w:sz w:val="20"/>
                <w:szCs w:val="20"/>
              </w:rPr>
            </w:pPr>
            <w:r w:rsidRPr="002E4B8E">
              <w:rPr>
                <w:rFonts w:ascii="Arial Narrow" w:hAnsi="Arial Narrow"/>
                <w:b/>
                <w:bCs/>
                <w:sz w:val="20"/>
                <w:szCs w:val="20"/>
              </w:rPr>
              <w:t xml:space="preserve">Clinical criteria: </w:t>
            </w:r>
          </w:p>
        </w:tc>
      </w:tr>
      <w:tr w:rsidR="00B0210C" w:rsidRPr="002E4B8E" w14:paraId="426688A1"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769015F" w14:textId="476B0467" w:rsidR="00B0210C" w:rsidRPr="002E4B8E" w:rsidRDefault="00B0210C" w:rsidP="00361246">
            <w:pPr>
              <w:jc w:val="left"/>
              <w:rPr>
                <w:rFonts w:ascii="Arial Narrow" w:hAnsi="Arial Narrow"/>
                <w:color w:val="333333"/>
                <w:sz w:val="20"/>
                <w:szCs w:val="20"/>
              </w:rPr>
            </w:pPr>
            <w:r w:rsidRPr="002E4B8E">
              <w:rPr>
                <w:rFonts w:ascii="Arial Narrow" w:hAnsi="Arial Narrow"/>
                <w:color w:val="333333"/>
                <w:sz w:val="20"/>
                <w:szCs w:val="20"/>
              </w:rPr>
              <w:t>Patient must have a diagnosis of Lennox-Gastaut syndrom</w:t>
            </w:r>
            <w:r w:rsidRPr="002E4B8E">
              <w:rPr>
                <w:rFonts w:ascii="Arial Narrow" w:hAnsi="Arial Narrow"/>
                <w:sz w:val="20"/>
                <w:szCs w:val="20"/>
              </w:rPr>
              <w:t>e</w:t>
            </w:r>
            <w:r w:rsidRPr="002E4B8E">
              <w:rPr>
                <w:rFonts w:ascii="Arial Narrow" w:hAnsi="Arial Narrow"/>
                <w:color w:val="FF0000"/>
                <w:sz w:val="20"/>
                <w:szCs w:val="20"/>
              </w:rPr>
              <w:t xml:space="preserve">. </w:t>
            </w:r>
            <w:r w:rsidRPr="002E4B8E">
              <w:rPr>
                <w:rFonts w:ascii="Arial Narrow" w:hAnsi="Arial Narrow"/>
                <w:strike/>
                <w:color w:val="333333"/>
                <w:sz w:val="20"/>
                <w:szCs w:val="20"/>
              </w:rPr>
              <w:t>confirmed by an electroencephalogram (EEG) that showed a pattern of slow (less than 3.0 hertz) spike-and-wave discharges with generalised paroxysmal fast activity (sleep recording should be obtained where it is possible)</w:t>
            </w:r>
            <w:r w:rsidRPr="002E4B8E">
              <w:rPr>
                <w:rFonts w:ascii="Arial Narrow" w:hAnsi="Arial Narrow"/>
                <w:color w:val="333333"/>
                <w:sz w:val="20"/>
                <w:szCs w:val="20"/>
              </w:rPr>
              <w:t xml:space="preserve"> </w:t>
            </w:r>
            <w:r w:rsidRPr="00994E7B">
              <w:rPr>
                <w:rFonts w:ascii="Arial Narrow" w:hAnsi="Arial Narrow"/>
                <w:b/>
                <w:bCs/>
                <w:iCs/>
                <w:sz w:val="20"/>
                <w:szCs w:val="20"/>
              </w:rPr>
              <w:t>Where possible, the diagnosis should be confirmed by an electroencephalogram (EEG).</w:t>
            </w:r>
          </w:p>
        </w:tc>
      </w:tr>
      <w:tr w:rsidR="00B0210C" w:rsidRPr="002E4B8E" w14:paraId="2022C605"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3B2097D" w14:textId="77777777" w:rsidR="00B0210C" w:rsidRPr="002E4B8E" w:rsidRDefault="00B0210C" w:rsidP="00361246">
            <w:pPr>
              <w:jc w:val="left"/>
              <w:rPr>
                <w:rFonts w:ascii="Arial Narrow" w:hAnsi="Arial Narrow"/>
                <w:sz w:val="20"/>
                <w:szCs w:val="20"/>
              </w:rPr>
            </w:pPr>
            <w:r w:rsidRPr="002E4B8E">
              <w:rPr>
                <w:rFonts w:ascii="Arial Narrow" w:hAnsi="Arial Narrow"/>
                <w:b/>
                <w:bCs/>
                <w:sz w:val="20"/>
                <w:szCs w:val="20"/>
              </w:rPr>
              <w:t>AND</w:t>
            </w:r>
          </w:p>
        </w:tc>
      </w:tr>
      <w:tr w:rsidR="00B0210C" w:rsidRPr="002E4B8E" w14:paraId="19A0E82E"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13CF7AA6" w14:textId="77777777" w:rsidR="00B0210C" w:rsidRPr="002E4B8E" w:rsidRDefault="00B0210C" w:rsidP="00361246">
            <w:pPr>
              <w:jc w:val="left"/>
              <w:rPr>
                <w:rFonts w:ascii="Arial Narrow" w:hAnsi="Arial Narrow"/>
                <w:sz w:val="20"/>
                <w:szCs w:val="20"/>
              </w:rPr>
            </w:pPr>
            <w:r w:rsidRPr="002E4B8E">
              <w:rPr>
                <w:rFonts w:ascii="Arial Narrow" w:hAnsi="Arial Narrow"/>
                <w:b/>
                <w:bCs/>
                <w:sz w:val="20"/>
                <w:szCs w:val="20"/>
              </w:rPr>
              <w:t>Clinical criteria:</w:t>
            </w:r>
          </w:p>
        </w:tc>
      </w:tr>
      <w:tr w:rsidR="00B0210C" w:rsidRPr="002E4B8E" w14:paraId="3737FEFF"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FD2DB68" w14:textId="3BD2F802" w:rsidR="00B0210C" w:rsidRPr="002E4B8E" w:rsidRDefault="00B0210C" w:rsidP="00361246">
            <w:pPr>
              <w:jc w:val="left"/>
              <w:rPr>
                <w:rFonts w:ascii="Arial Narrow" w:hAnsi="Arial Narrow"/>
                <w:color w:val="FF0000"/>
                <w:sz w:val="20"/>
                <w:szCs w:val="20"/>
              </w:rPr>
            </w:pPr>
            <w:r w:rsidRPr="002E4B8E">
              <w:rPr>
                <w:rFonts w:ascii="Arial Narrow" w:hAnsi="Arial Narrow"/>
                <w:color w:val="333333"/>
                <w:sz w:val="20"/>
                <w:szCs w:val="20"/>
              </w:rPr>
              <w:t xml:space="preserve">Patient must have (as an initiating patient)/have had (as a continuing patient) more than one type of </w:t>
            </w:r>
            <w:r w:rsidRPr="002E4B8E">
              <w:rPr>
                <w:rFonts w:ascii="Arial Narrow" w:hAnsi="Arial Narrow"/>
                <w:strike/>
                <w:color w:val="333333"/>
                <w:sz w:val="20"/>
                <w:szCs w:val="20"/>
              </w:rPr>
              <w:t xml:space="preserve">generalised </w:t>
            </w:r>
            <w:r w:rsidRPr="002E4B8E">
              <w:rPr>
                <w:rFonts w:ascii="Arial Narrow" w:hAnsi="Arial Narrow"/>
                <w:color w:val="333333"/>
                <w:sz w:val="20"/>
                <w:szCs w:val="20"/>
              </w:rPr>
              <w:t>seizures</w:t>
            </w:r>
          </w:p>
        </w:tc>
      </w:tr>
      <w:tr w:rsidR="00B0210C" w:rsidRPr="002E4B8E" w14:paraId="0ABBFDDF"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42C7EC2B" w14:textId="77777777" w:rsidR="00B0210C" w:rsidRPr="002E4B8E" w:rsidRDefault="00B0210C" w:rsidP="00361246">
            <w:pPr>
              <w:rPr>
                <w:rFonts w:ascii="Arial Narrow" w:hAnsi="Arial Narrow"/>
                <w:sz w:val="20"/>
                <w:szCs w:val="20"/>
              </w:rPr>
            </w:pPr>
            <w:r w:rsidRPr="002E4B8E">
              <w:rPr>
                <w:rFonts w:ascii="Arial Narrow" w:hAnsi="Arial Narrow"/>
                <w:b/>
                <w:bCs/>
                <w:sz w:val="20"/>
                <w:szCs w:val="20"/>
              </w:rPr>
              <w:t>AND</w:t>
            </w:r>
          </w:p>
        </w:tc>
      </w:tr>
      <w:tr w:rsidR="00B0210C" w:rsidRPr="002E4B8E" w14:paraId="79C776F3"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0CD9484" w14:textId="77777777" w:rsidR="00B0210C" w:rsidRPr="002E4B8E" w:rsidRDefault="00B0210C" w:rsidP="00361246">
            <w:pPr>
              <w:rPr>
                <w:rFonts w:ascii="Arial Narrow" w:hAnsi="Arial Narrow"/>
                <w:sz w:val="20"/>
                <w:szCs w:val="20"/>
              </w:rPr>
            </w:pPr>
            <w:r w:rsidRPr="002E4B8E">
              <w:rPr>
                <w:rFonts w:ascii="Arial Narrow" w:hAnsi="Arial Narrow"/>
                <w:b/>
                <w:sz w:val="20"/>
                <w:szCs w:val="20"/>
              </w:rPr>
              <w:t>Clinical criteria:</w:t>
            </w:r>
          </w:p>
        </w:tc>
      </w:tr>
      <w:tr w:rsidR="00B0210C" w:rsidRPr="002E4B8E" w14:paraId="491D07B0"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C306EF1" w14:textId="1B6F7289" w:rsidR="00B0210C" w:rsidRPr="002E4B8E" w:rsidRDefault="00B0210C" w:rsidP="00361246">
            <w:pPr>
              <w:rPr>
                <w:rFonts w:ascii="Arial Narrow" w:hAnsi="Arial Narrow"/>
                <w:sz w:val="20"/>
                <w:szCs w:val="20"/>
              </w:rPr>
            </w:pPr>
            <w:r w:rsidRPr="002E4B8E">
              <w:rPr>
                <w:rFonts w:ascii="Arial Narrow" w:hAnsi="Arial Narrow"/>
                <w:sz w:val="20"/>
                <w:szCs w:val="20"/>
              </w:rPr>
              <w:t xml:space="preserve">Patient must have had </w:t>
            </w:r>
            <w:r w:rsidRPr="002E4B8E">
              <w:rPr>
                <w:rFonts w:ascii="Arial Narrow" w:hAnsi="Arial Narrow"/>
                <w:strike/>
                <w:sz w:val="20"/>
                <w:szCs w:val="20"/>
              </w:rPr>
              <w:t>at least two drop</w:t>
            </w:r>
            <w:r w:rsidRPr="002E4B8E">
              <w:rPr>
                <w:rFonts w:ascii="Arial Narrow" w:hAnsi="Arial Narrow"/>
                <w:sz w:val="20"/>
                <w:szCs w:val="20"/>
              </w:rPr>
              <w:t xml:space="preserve"> seizures </w:t>
            </w:r>
            <w:r w:rsidRPr="002E4B8E">
              <w:rPr>
                <w:rFonts w:ascii="Arial Narrow" w:hAnsi="Arial Narrow"/>
                <w:strike/>
                <w:sz w:val="20"/>
                <w:szCs w:val="20"/>
              </w:rPr>
              <w:t>(atonic, tonic or tonic-clonic) per week</w:t>
            </w:r>
            <w:r w:rsidRPr="002E4B8E">
              <w:rPr>
                <w:rFonts w:ascii="Arial Narrow" w:hAnsi="Arial Narrow"/>
                <w:sz w:val="20"/>
                <w:szCs w:val="20"/>
              </w:rPr>
              <w:t xml:space="preserve"> that are not adequately controlled with at least two other </w:t>
            </w:r>
            <w:r w:rsidRPr="00B64610">
              <w:rPr>
                <w:rFonts w:ascii="Arial Narrow" w:hAnsi="Arial Narrow"/>
                <w:sz w:val="20"/>
                <w:szCs w:val="20"/>
              </w:rPr>
              <w:t>antiseizure medication</w:t>
            </w:r>
            <w:r w:rsidRPr="002E4B8E">
              <w:rPr>
                <w:rFonts w:ascii="Arial Narrow" w:hAnsi="Arial Narrow"/>
                <w:sz w:val="20"/>
                <w:szCs w:val="20"/>
              </w:rPr>
              <w:t xml:space="preserve"> prior to initiating treatment with this medicine</w:t>
            </w:r>
          </w:p>
        </w:tc>
      </w:tr>
      <w:tr w:rsidR="00B0210C" w:rsidRPr="002E4B8E" w14:paraId="1AACFC7E"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659EDDB9" w14:textId="202C555A" w:rsidR="00B0210C" w:rsidRPr="002E4B8E" w:rsidRDefault="00B0210C" w:rsidP="00361246">
            <w:pPr>
              <w:rPr>
                <w:rFonts w:ascii="Arial Narrow" w:hAnsi="Arial Narrow"/>
                <w:sz w:val="20"/>
                <w:szCs w:val="20"/>
              </w:rPr>
            </w:pPr>
            <w:r w:rsidRPr="002E4B8E">
              <w:rPr>
                <w:rFonts w:ascii="Arial Narrow" w:hAnsi="Arial Narrow"/>
                <w:b/>
                <w:bCs/>
                <w:sz w:val="20"/>
                <w:szCs w:val="20"/>
              </w:rPr>
              <w:t>AND</w:t>
            </w:r>
          </w:p>
        </w:tc>
      </w:tr>
      <w:tr w:rsidR="00B0210C" w:rsidRPr="002E4B8E" w14:paraId="6EA87A62"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518ECF03" w14:textId="5FD32DDE" w:rsidR="00B0210C" w:rsidRPr="002E4B8E" w:rsidRDefault="00B0210C" w:rsidP="00361246">
            <w:pPr>
              <w:rPr>
                <w:rFonts w:ascii="Arial Narrow" w:hAnsi="Arial Narrow"/>
                <w:sz w:val="20"/>
                <w:szCs w:val="20"/>
              </w:rPr>
            </w:pPr>
            <w:r w:rsidRPr="002E4B8E">
              <w:rPr>
                <w:rFonts w:ascii="Arial Narrow" w:hAnsi="Arial Narrow"/>
                <w:b/>
                <w:bCs/>
                <w:sz w:val="20"/>
                <w:szCs w:val="20"/>
              </w:rPr>
              <w:t>Clinical criteria:</w:t>
            </w:r>
          </w:p>
        </w:tc>
      </w:tr>
      <w:tr w:rsidR="00B0210C" w:rsidRPr="002E4B8E" w14:paraId="0181D545"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D9F40B3" w14:textId="109C695F" w:rsidR="00B0210C" w:rsidRPr="002E4B8E" w:rsidRDefault="00B0210C" w:rsidP="00361246">
            <w:pPr>
              <w:rPr>
                <w:rFonts w:ascii="Arial Narrow" w:hAnsi="Arial Narrow"/>
                <w:sz w:val="20"/>
                <w:szCs w:val="20"/>
              </w:rPr>
            </w:pPr>
            <w:r w:rsidRPr="002E4B8E">
              <w:rPr>
                <w:rFonts w:ascii="Arial Narrow" w:hAnsi="Arial Narrow"/>
                <w:sz w:val="20"/>
                <w:szCs w:val="20"/>
              </w:rPr>
              <w:t xml:space="preserve">The treatment must be as adjunctive therapy, </w:t>
            </w:r>
            <w:r w:rsidRPr="00994E7B">
              <w:rPr>
                <w:rFonts w:ascii="Arial Narrow" w:hAnsi="Arial Narrow"/>
                <w:b/>
                <w:bCs/>
                <w:iCs/>
                <w:sz w:val="20"/>
                <w:szCs w:val="20"/>
              </w:rPr>
              <w:t>at initiation,</w:t>
            </w:r>
            <w:r w:rsidRPr="002E4B8E">
              <w:rPr>
                <w:rFonts w:ascii="Arial Narrow" w:hAnsi="Arial Narrow"/>
                <w:sz w:val="20"/>
                <w:szCs w:val="20"/>
              </w:rPr>
              <w:t xml:space="preserve"> to at least two other </w:t>
            </w:r>
            <w:r w:rsidRPr="00F665F4">
              <w:rPr>
                <w:rFonts w:ascii="Arial Narrow" w:hAnsi="Arial Narrow"/>
                <w:sz w:val="20"/>
                <w:szCs w:val="20"/>
              </w:rPr>
              <w:t>anti-epileptic drugs</w:t>
            </w:r>
          </w:p>
        </w:tc>
      </w:tr>
      <w:tr w:rsidR="00B0210C" w:rsidRPr="002E4B8E" w14:paraId="3C41F5BA"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5CF4F403" w14:textId="77777777" w:rsidR="00B0210C" w:rsidRPr="002E4B8E" w:rsidRDefault="00B0210C" w:rsidP="00361246">
            <w:pPr>
              <w:keepNext/>
              <w:rPr>
                <w:rFonts w:ascii="Arial Narrow" w:hAnsi="Arial Narrow"/>
                <w:sz w:val="20"/>
                <w:szCs w:val="20"/>
              </w:rPr>
            </w:pPr>
            <w:r w:rsidRPr="002E4B8E">
              <w:rPr>
                <w:rFonts w:ascii="Arial Narrow" w:hAnsi="Arial Narrow"/>
                <w:b/>
                <w:bCs/>
                <w:sz w:val="20"/>
                <w:szCs w:val="20"/>
              </w:rPr>
              <w:t>Treatment criteria:</w:t>
            </w:r>
          </w:p>
        </w:tc>
      </w:tr>
      <w:tr w:rsidR="00B0210C" w:rsidRPr="002E4B8E" w14:paraId="5CAB835A"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hideMark/>
          </w:tcPr>
          <w:p w14:paraId="670F9A9E" w14:textId="34C6167A" w:rsidR="00B0210C" w:rsidRPr="002E4B8E" w:rsidRDefault="00B0210C" w:rsidP="00361246">
            <w:pPr>
              <w:autoSpaceDE w:val="0"/>
              <w:autoSpaceDN w:val="0"/>
              <w:adjustRightInd w:val="0"/>
              <w:jc w:val="left"/>
              <w:rPr>
                <w:rFonts w:ascii="Arial Narrow" w:hAnsi="Arial Narrow" w:cs="Arial Narrow"/>
                <w:color w:val="000000" w:themeColor="text1"/>
                <w:sz w:val="20"/>
                <w:szCs w:val="20"/>
              </w:rPr>
            </w:pPr>
            <w:r w:rsidRPr="002E4B8E">
              <w:rPr>
                <w:rFonts w:ascii="Arial Narrow" w:hAnsi="Arial Narrow" w:cs="Arial Narrow"/>
                <w:color w:val="000000" w:themeColor="text1"/>
                <w:sz w:val="20"/>
                <w:szCs w:val="20"/>
              </w:rPr>
              <w:t xml:space="preserve">Must be treated by a </w:t>
            </w:r>
            <w:r w:rsidRPr="00994E7B">
              <w:rPr>
                <w:rFonts w:ascii="Arial Narrow" w:hAnsi="Arial Narrow" w:cs="Arial Narrow"/>
                <w:iCs/>
                <w:color w:val="000000" w:themeColor="text1"/>
                <w:sz w:val="20"/>
                <w:szCs w:val="20"/>
              </w:rPr>
              <w:t>prescriber who is either (i)</w:t>
            </w:r>
            <w:r w:rsidRPr="002E4B8E">
              <w:rPr>
                <w:rFonts w:ascii="Arial Narrow" w:hAnsi="Arial Narrow" w:cs="Arial Narrow"/>
                <w:color w:val="000000" w:themeColor="text1"/>
                <w:sz w:val="20"/>
                <w:szCs w:val="20"/>
              </w:rPr>
              <w:t xml:space="preserve"> a neurologist, </w:t>
            </w:r>
            <w:r w:rsidRPr="00994E7B">
              <w:rPr>
                <w:rFonts w:ascii="Arial Narrow" w:hAnsi="Arial Narrow" w:cs="Arial Narrow"/>
                <w:b/>
                <w:bCs/>
                <w:iCs/>
                <w:sz w:val="20"/>
                <w:szCs w:val="20"/>
              </w:rPr>
              <w:t>or</w:t>
            </w:r>
            <w:r w:rsidRPr="002E4B8E">
              <w:rPr>
                <w:rFonts w:ascii="Arial Narrow" w:hAnsi="Arial Narrow" w:cs="Arial Narrow"/>
                <w:b/>
                <w:bCs/>
                <w:sz w:val="20"/>
                <w:szCs w:val="20"/>
              </w:rPr>
              <w:t xml:space="preserve"> </w:t>
            </w:r>
            <w:r w:rsidRPr="00994E7B">
              <w:rPr>
                <w:rFonts w:ascii="Arial Narrow" w:hAnsi="Arial Narrow" w:cs="Arial Narrow"/>
                <w:iCs/>
                <w:color w:val="000000" w:themeColor="text1"/>
                <w:sz w:val="20"/>
                <w:szCs w:val="20"/>
              </w:rPr>
              <w:t>(ii)</w:t>
            </w:r>
            <w:r w:rsidRPr="002E4B8E">
              <w:rPr>
                <w:rFonts w:ascii="Arial Narrow" w:hAnsi="Arial Narrow" w:cs="Arial Narrow"/>
                <w:color w:val="000000" w:themeColor="text1"/>
                <w:sz w:val="20"/>
                <w:szCs w:val="20"/>
              </w:rPr>
              <w:t xml:space="preserve"> </w:t>
            </w:r>
            <w:r w:rsidRPr="00994E7B">
              <w:rPr>
                <w:rFonts w:ascii="Arial Narrow" w:hAnsi="Arial Narrow" w:cs="Arial Narrow"/>
                <w:iCs/>
                <w:color w:val="000000" w:themeColor="text1"/>
                <w:sz w:val="20"/>
                <w:szCs w:val="20"/>
              </w:rPr>
              <w:t xml:space="preserve">a </w:t>
            </w:r>
            <w:r w:rsidRPr="00994E7B">
              <w:rPr>
                <w:rFonts w:ascii="Arial Narrow" w:hAnsi="Arial Narrow" w:cs="Arial Narrow"/>
                <w:b/>
                <w:bCs/>
                <w:iCs/>
                <w:sz w:val="20"/>
                <w:szCs w:val="20"/>
              </w:rPr>
              <w:t>paediatrician</w:t>
            </w:r>
            <w:r w:rsidRPr="002E4B8E">
              <w:rPr>
                <w:rFonts w:ascii="Arial Narrow" w:hAnsi="Arial Narrow" w:cs="Arial Narrow"/>
                <w:color w:val="FF0000"/>
                <w:sz w:val="20"/>
                <w:szCs w:val="20"/>
              </w:rPr>
              <w:t xml:space="preserve"> </w:t>
            </w:r>
            <w:r w:rsidRPr="002E4B8E">
              <w:rPr>
                <w:rFonts w:ascii="Arial Narrow" w:hAnsi="Arial Narrow" w:cs="Arial Narrow"/>
                <w:color w:val="000000" w:themeColor="text1"/>
                <w:sz w:val="20"/>
                <w:szCs w:val="20"/>
              </w:rPr>
              <w:t>if treatment is being initiated; or</w:t>
            </w:r>
          </w:p>
        </w:tc>
      </w:tr>
      <w:tr w:rsidR="00B0210C" w:rsidRPr="002E4B8E" w14:paraId="4F747CAD"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3EEE1A51" w14:textId="33DF0B42" w:rsidR="00B0210C" w:rsidRPr="002E4B8E" w:rsidRDefault="00B0210C" w:rsidP="00361246">
            <w:pPr>
              <w:autoSpaceDE w:val="0"/>
              <w:autoSpaceDN w:val="0"/>
              <w:adjustRightInd w:val="0"/>
              <w:rPr>
                <w:rFonts w:ascii="Arial Narrow" w:hAnsi="Arial Narrow" w:cs="Arial Narrow"/>
                <w:iCs/>
                <w:color w:val="000000" w:themeColor="text1"/>
                <w:sz w:val="20"/>
                <w:szCs w:val="20"/>
              </w:rPr>
            </w:pPr>
            <w:r w:rsidRPr="002E4B8E">
              <w:rPr>
                <w:rFonts w:ascii="Arial Narrow" w:hAnsi="Arial Narrow" w:cs="Arial Narrow"/>
                <w:iCs/>
                <w:color w:val="000000" w:themeColor="text1"/>
                <w:sz w:val="20"/>
                <w:szCs w:val="20"/>
              </w:rPr>
              <w:t xml:space="preserve">Must be treated by a </w:t>
            </w:r>
            <w:r w:rsidRPr="00994E7B">
              <w:rPr>
                <w:rFonts w:ascii="Arial Narrow" w:hAnsi="Arial Narrow" w:cs="Arial Narrow"/>
                <w:iCs/>
                <w:color w:val="000000" w:themeColor="text1"/>
                <w:sz w:val="20"/>
                <w:szCs w:val="20"/>
              </w:rPr>
              <w:t>prescriber who is either (i)</w:t>
            </w:r>
            <w:r w:rsidRPr="002E4B8E">
              <w:rPr>
                <w:rFonts w:ascii="Arial Narrow" w:hAnsi="Arial Narrow" w:cs="Arial Narrow"/>
                <w:iCs/>
                <w:color w:val="000000" w:themeColor="text1"/>
                <w:sz w:val="20"/>
                <w:szCs w:val="20"/>
              </w:rPr>
              <w:t xml:space="preserve"> a neurologist, </w:t>
            </w:r>
            <w:r w:rsidRPr="00994E7B">
              <w:rPr>
                <w:rFonts w:ascii="Arial Narrow" w:hAnsi="Arial Narrow" w:cs="Arial Narrow"/>
                <w:b/>
                <w:bCs/>
                <w:sz w:val="20"/>
                <w:szCs w:val="20"/>
              </w:rPr>
              <w:t>or</w:t>
            </w:r>
            <w:r w:rsidRPr="002E4B8E">
              <w:rPr>
                <w:rFonts w:ascii="Arial Narrow" w:hAnsi="Arial Narrow" w:cs="Arial Narrow"/>
                <w:b/>
                <w:bCs/>
                <w:iCs/>
                <w:sz w:val="20"/>
                <w:szCs w:val="20"/>
              </w:rPr>
              <w:t xml:space="preserve"> </w:t>
            </w:r>
            <w:r w:rsidRPr="00994E7B">
              <w:rPr>
                <w:rFonts w:ascii="Arial Narrow" w:hAnsi="Arial Narrow" w:cs="Arial Narrow"/>
                <w:iCs/>
                <w:color w:val="000000" w:themeColor="text1"/>
                <w:sz w:val="20"/>
                <w:szCs w:val="20"/>
              </w:rPr>
              <w:t xml:space="preserve">(ii) a </w:t>
            </w:r>
            <w:r w:rsidRPr="00994E7B">
              <w:rPr>
                <w:rFonts w:ascii="Arial Narrow" w:hAnsi="Arial Narrow" w:cs="Arial Narrow"/>
                <w:b/>
                <w:bCs/>
                <w:iCs/>
                <w:sz w:val="20"/>
                <w:szCs w:val="20"/>
              </w:rPr>
              <w:t>paediatrician</w:t>
            </w:r>
            <w:r w:rsidRPr="002E4B8E">
              <w:rPr>
                <w:rFonts w:ascii="Arial Narrow" w:hAnsi="Arial Narrow" w:cs="Arial Narrow"/>
                <w:b/>
                <w:bCs/>
                <w:sz w:val="20"/>
                <w:szCs w:val="20"/>
              </w:rPr>
              <w:t xml:space="preserve"> </w:t>
            </w:r>
            <w:r w:rsidRPr="002E4B8E">
              <w:rPr>
                <w:rFonts w:ascii="Arial Narrow" w:hAnsi="Arial Narrow" w:cs="Arial Narrow"/>
                <w:iCs/>
                <w:color w:val="000000" w:themeColor="text1"/>
                <w:sz w:val="20"/>
                <w:szCs w:val="20"/>
              </w:rPr>
              <w:t>if treatment is being continued or re-initiated; or</w:t>
            </w:r>
          </w:p>
        </w:tc>
      </w:tr>
      <w:tr w:rsidR="00B0210C" w:rsidRPr="002E4B8E" w14:paraId="7195AF35" w14:textId="77777777" w:rsidTr="00832B7C">
        <w:tblPrEx>
          <w:tblCellMar>
            <w:top w:w="15" w:type="dxa"/>
            <w:bottom w:w="15" w:type="dxa"/>
          </w:tblCellMar>
        </w:tblPrEx>
        <w:trPr>
          <w:cantSplit/>
          <w:trHeight w:val="284"/>
        </w:trPr>
        <w:tc>
          <w:tcPr>
            <w:tcW w:w="9067" w:type="dxa"/>
            <w:gridSpan w:val="6"/>
            <w:vAlign w:val="center"/>
          </w:tcPr>
          <w:p w14:paraId="641E1843" w14:textId="32594080" w:rsidR="00B0210C" w:rsidRPr="002E4B8E" w:rsidRDefault="00B0210C" w:rsidP="00361246">
            <w:pPr>
              <w:autoSpaceDE w:val="0"/>
              <w:autoSpaceDN w:val="0"/>
              <w:adjustRightInd w:val="0"/>
              <w:rPr>
                <w:rFonts w:ascii="Arial Narrow" w:hAnsi="Arial Narrow" w:cs="Arial Narrow"/>
                <w:iCs/>
                <w:strike/>
                <w:color w:val="000000" w:themeColor="text1"/>
                <w:sz w:val="20"/>
                <w:szCs w:val="20"/>
              </w:rPr>
            </w:pPr>
            <w:r w:rsidRPr="002E4B8E">
              <w:rPr>
                <w:rFonts w:ascii="Arial Narrow" w:hAnsi="Arial Narrow" w:cs="Arial Narrow"/>
                <w:iCs/>
                <w:strike/>
                <w:color w:val="000000" w:themeColor="text1"/>
                <w:sz w:val="20"/>
                <w:szCs w:val="20"/>
              </w:rPr>
              <w:t>Must be treated by a paediatrician in consultation with a neurologist if treatment is being continued; or</w:t>
            </w:r>
          </w:p>
        </w:tc>
      </w:tr>
      <w:tr w:rsidR="00B0210C" w:rsidRPr="002E4B8E" w14:paraId="0E49B5D4"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0DA501FB" w14:textId="63C79452" w:rsidR="00B0210C" w:rsidRPr="002E4B8E" w:rsidRDefault="00B0210C" w:rsidP="00361246">
            <w:pPr>
              <w:autoSpaceDE w:val="0"/>
              <w:autoSpaceDN w:val="0"/>
              <w:adjustRightInd w:val="0"/>
              <w:rPr>
                <w:rFonts w:ascii="Arial Narrow" w:hAnsi="Arial Narrow" w:cs="Arial Narrow"/>
                <w:iCs/>
                <w:color w:val="000000" w:themeColor="text1"/>
                <w:sz w:val="20"/>
                <w:szCs w:val="20"/>
              </w:rPr>
            </w:pPr>
            <w:r w:rsidRPr="002E4B8E">
              <w:rPr>
                <w:rFonts w:ascii="Arial Narrow" w:hAnsi="Arial Narrow" w:cs="Arial Narrow"/>
                <w:iCs/>
                <w:color w:val="000000" w:themeColor="text1"/>
                <w:sz w:val="20"/>
                <w:szCs w:val="20"/>
              </w:rPr>
              <w:t>Must be treated by a general practitioner in consultation with either (I) a neurologist</w:t>
            </w:r>
            <w:r w:rsidRPr="00994E7B">
              <w:rPr>
                <w:rFonts w:ascii="Arial Narrow" w:hAnsi="Arial Narrow" w:cs="Arial Narrow"/>
                <w:b/>
                <w:bCs/>
                <w:iCs/>
                <w:sz w:val="20"/>
                <w:szCs w:val="20"/>
              </w:rPr>
              <w:t>, or</w:t>
            </w:r>
            <w:r w:rsidRPr="00994E7B">
              <w:rPr>
                <w:rFonts w:ascii="Arial Narrow" w:hAnsi="Arial Narrow" w:cs="Arial Narrow"/>
                <w:iCs/>
                <w:sz w:val="20"/>
                <w:szCs w:val="20"/>
              </w:rPr>
              <w:t xml:space="preserve"> </w:t>
            </w:r>
            <w:r w:rsidRPr="00994E7B">
              <w:rPr>
                <w:rFonts w:ascii="Arial Narrow" w:hAnsi="Arial Narrow" w:cs="Arial Narrow"/>
                <w:iCs/>
                <w:color w:val="000000" w:themeColor="text1"/>
                <w:sz w:val="20"/>
                <w:szCs w:val="20"/>
              </w:rPr>
              <w:t xml:space="preserve">(ii) a </w:t>
            </w:r>
            <w:r w:rsidRPr="00994E7B">
              <w:rPr>
                <w:rFonts w:ascii="Arial Narrow" w:hAnsi="Arial Narrow" w:cs="Arial Narrow"/>
                <w:b/>
                <w:bCs/>
                <w:iCs/>
                <w:sz w:val="20"/>
                <w:szCs w:val="20"/>
              </w:rPr>
              <w:t>paediatrician</w:t>
            </w:r>
            <w:r w:rsidRPr="002E4B8E">
              <w:rPr>
                <w:rFonts w:ascii="Arial Narrow" w:hAnsi="Arial Narrow" w:cs="Arial Narrow"/>
                <w:b/>
                <w:bCs/>
                <w:sz w:val="20"/>
                <w:szCs w:val="20"/>
              </w:rPr>
              <w:t xml:space="preserve"> </w:t>
            </w:r>
            <w:r w:rsidRPr="002E4B8E">
              <w:rPr>
                <w:rFonts w:ascii="Arial Narrow" w:hAnsi="Arial Narrow" w:cs="Arial Narrow"/>
                <w:iCs/>
                <w:color w:val="000000" w:themeColor="text1"/>
                <w:sz w:val="20"/>
                <w:szCs w:val="20"/>
              </w:rPr>
              <w:t>if treatment is being continued</w:t>
            </w:r>
          </w:p>
        </w:tc>
      </w:tr>
      <w:tr w:rsidR="00B0210C" w:rsidRPr="002E4B8E" w14:paraId="2312CE01"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44F5C1A6" w14:textId="43A53940" w:rsidR="00B0210C" w:rsidRPr="002E4B8E" w:rsidRDefault="00B0210C" w:rsidP="00361246">
            <w:pPr>
              <w:keepNext/>
              <w:rPr>
                <w:rFonts w:ascii="Arial Narrow" w:hAnsi="Arial Narrow" w:cs="Arial Narrow"/>
                <w:iCs/>
                <w:strike/>
                <w:color w:val="FF0000"/>
                <w:sz w:val="20"/>
                <w:szCs w:val="20"/>
              </w:rPr>
            </w:pPr>
            <w:r w:rsidRPr="002E4B8E">
              <w:rPr>
                <w:rFonts w:ascii="Arial Narrow" w:hAnsi="Arial Narrow"/>
                <w:b/>
                <w:bCs/>
                <w:strike/>
                <w:sz w:val="20"/>
                <w:szCs w:val="20"/>
              </w:rPr>
              <w:lastRenderedPageBreak/>
              <w:t xml:space="preserve">Prescribing Instructions: </w:t>
            </w:r>
            <w:r w:rsidRPr="002E4B8E">
              <w:rPr>
                <w:rFonts w:ascii="Arial Narrow" w:hAnsi="Arial Narrow"/>
                <w:strike/>
                <w:sz w:val="20"/>
                <w:szCs w:val="20"/>
              </w:rPr>
              <w:t>Tonic seizures must have been recorded on video-EEG or have been clearly observed and reported by a witness.</w:t>
            </w:r>
          </w:p>
        </w:tc>
      </w:tr>
      <w:tr w:rsidR="00B0210C" w:rsidRPr="002E4B8E" w14:paraId="3A6FA3BF" w14:textId="77777777" w:rsidTr="00832B7C">
        <w:tblPrEx>
          <w:tblCellMar>
            <w:top w:w="15" w:type="dxa"/>
            <w:bottom w:w="15" w:type="dxa"/>
          </w:tblCellMar>
          <w:tblLook w:val="04A0" w:firstRow="1" w:lastRow="0" w:firstColumn="1" w:lastColumn="0" w:noHBand="0" w:noVBand="1"/>
        </w:tblPrEx>
        <w:trPr>
          <w:cantSplit/>
          <w:trHeight w:val="20"/>
        </w:trPr>
        <w:tc>
          <w:tcPr>
            <w:tcW w:w="9067" w:type="dxa"/>
            <w:gridSpan w:val="6"/>
            <w:vAlign w:val="center"/>
          </w:tcPr>
          <w:p w14:paraId="1827658D" w14:textId="735C1650" w:rsidR="00B0210C" w:rsidRPr="002E4B8E" w:rsidRDefault="00B0210C" w:rsidP="00361246">
            <w:pPr>
              <w:autoSpaceDE w:val="0"/>
              <w:autoSpaceDN w:val="0"/>
              <w:adjustRightInd w:val="0"/>
              <w:rPr>
                <w:rFonts w:ascii="Arial Narrow" w:hAnsi="Arial Narrow" w:cs="Arial Narrow"/>
                <w:iCs/>
                <w:color w:val="FF0000"/>
                <w:sz w:val="20"/>
                <w:szCs w:val="20"/>
              </w:rPr>
            </w:pPr>
            <w:r w:rsidRPr="002E4B8E">
              <w:rPr>
                <w:rFonts w:ascii="Arial Narrow" w:hAnsi="Arial Narrow"/>
                <w:b/>
                <w:bCs/>
                <w:sz w:val="20"/>
                <w:szCs w:val="20"/>
              </w:rPr>
              <w:t xml:space="preserve">Prescribing Instructions: </w:t>
            </w:r>
            <w:r w:rsidRPr="002E4B8E">
              <w:rPr>
                <w:rFonts w:ascii="Arial Narrow" w:hAnsi="Arial Narrow"/>
                <w:sz w:val="20"/>
                <w:szCs w:val="20"/>
              </w:rPr>
              <w:t>Confirmation of eligibility for treatment with diagnostic reports must be documented in the patient's medical records.</w:t>
            </w:r>
          </w:p>
        </w:tc>
      </w:tr>
    </w:tbl>
    <w:p w14:paraId="289C3DB7" w14:textId="66E946AB" w:rsidR="00E56621" w:rsidRPr="00994E7B" w:rsidRDefault="007E30A0" w:rsidP="00361246">
      <w:pPr>
        <w:pStyle w:val="3-BodyText"/>
        <w:rPr>
          <w:rFonts w:ascii="Calibri" w:hAnsi="Calibri" w:cs="Arial"/>
        </w:rPr>
      </w:pPr>
      <w:r>
        <w:t xml:space="preserve">The evaluation noted that the proposed changes to the restriction criteria </w:t>
      </w:r>
      <w:r w:rsidR="00CF1EF8">
        <w:t xml:space="preserve">were not </w:t>
      </w:r>
      <w:r>
        <w:t>consistent with the TGA-approved</w:t>
      </w:r>
      <w:r w:rsidR="000B6A3C">
        <w:t xml:space="preserve"> PI</w:t>
      </w:r>
      <w:r>
        <w:t xml:space="preserve">, which specifies </w:t>
      </w:r>
      <w:r w:rsidR="000B6A3C">
        <w:t xml:space="preserve">the </w:t>
      </w:r>
      <w:r>
        <w:t xml:space="preserve">use </w:t>
      </w:r>
      <w:r w:rsidR="000B6A3C">
        <w:t xml:space="preserve">of cannabidiol </w:t>
      </w:r>
      <w:r>
        <w:t xml:space="preserve">as adjunctive therapy in patients with LGS, to be initiated and supervised by a neurologist. </w:t>
      </w:r>
      <w:r w:rsidR="005F7C39" w:rsidRPr="7C3CB66F">
        <w:rPr>
          <w:rFonts w:ascii="Calibri" w:hAnsi="Calibri" w:cs="Arial"/>
        </w:rPr>
        <w:t>The proposed amendment</w:t>
      </w:r>
      <w:r w:rsidR="00101E27" w:rsidRPr="7C3CB66F">
        <w:rPr>
          <w:rFonts w:ascii="Calibri" w:hAnsi="Calibri" w:cs="Arial"/>
        </w:rPr>
        <w:t>s</w:t>
      </w:r>
      <w:r w:rsidR="005F7C39" w:rsidRPr="7C3CB66F">
        <w:rPr>
          <w:rFonts w:ascii="Calibri" w:hAnsi="Calibri" w:cs="Arial"/>
        </w:rPr>
        <w:t xml:space="preserve"> would allow initiation and continuation by a paediatrician without consultation </w:t>
      </w:r>
      <w:r w:rsidR="00101E27" w:rsidRPr="7C3CB66F">
        <w:rPr>
          <w:rFonts w:ascii="Calibri" w:hAnsi="Calibri" w:cs="Arial"/>
        </w:rPr>
        <w:t xml:space="preserve">with a </w:t>
      </w:r>
      <w:r w:rsidR="00CE45BB" w:rsidRPr="7C3CB66F">
        <w:rPr>
          <w:rFonts w:ascii="Calibri" w:hAnsi="Calibri" w:cs="Arial"/>
        </w:rPr>
        <w:t>neurologist and</w:t>
      </w:r>
      <w:r w:rsidR="001610BC" w:rsidRPr="7C3CB66F">
        <w:rPr>
          <w:rFonts w:ascii="Calibri" w:hAnsi="Calibri" w:cs="Arial"/>
        </w:rPr>
        <w:t xml:space="preserve"> enable continued use of cannabidiol without the requirement for concomitant AEDs.</w:t>
      </w:r>
      <w:r w:rsidR="002F10F4" w:rsidRPr="7C3CB66F">
        <w:rPr>
          <w:rFonts w:ascii="Calibri" w:hAnsi="Calibri" w:cs="Arial"/>
        </w:rPr>
        <w:t xml:space="preserve"> </w:t>
      </w:r>
      <w:r w:rsidR="5DCE2607" w:rsidRPr="7C3CB66F">
        <w:rPr>
          <w:rFonts w:ascii="Calibri" w:hAnsi="Calibri" w:cs="Arial"/>
        </w:rPr>
        <w:t xml:space="preserve">In the criterion: ‘The treatment must be as adjunctive therapy, </w:t>
      </w:r>
      <w:r w:rsidR="5DCE2607" w:rsidRPr="0026035F">
        <w:rPr>
          <w:rFonts w:ascii="Calibri" w:hAnsi="Calibri" w:cs="Arial"/>
          <w:i/>
          <w:iCs/>
        </w:rPr>
        <w:t>at initiation</w:t>
      </w:r>
      <w:r w:rsidR="5DCE2607" w:rsidRPr="7C3CB66F">
        <w:rPr>
          <w:rFonts w:ascii="Calibri" w:hAnsi="Calibri" w:cs="Arial"/>
        </w:rPr>
        <w:t xml:space="preserve">, to at least two other </w:t>
      </w:r>
      <w:r w:rsidR="00D42EBA" w:rsidRPr="00D42EBA">
        <w:rPr>
          <w:rFonts w:ascii="Calibri" w:hAnsi="Calibri" w:cs="Arial"/>
        </w:rPr>
        <w:t>anti-epileptic drugs</w:t>
      </w:r>
      <w:r w:rsidR="5DCE2607" w:rsidRPr="7C3CB66F">
        <w:rPr>
          <w:rFonts w:ascii="Calibri" w:hAnsi="Calibri" w:cs="Arial"/>
        </w:rPr>
        <w:t xml:space="preserve">’, </w:t>
      </w:r>
      <w:r w:rsidR="00CE45BB" w:rsidRPr="7C3CB66F">
        <w:rPr>
          <w:rFonts w:ascii="Calibri" w:hAnsi="Calibri" w:cs="Arial"/>
        </w:rPr>
        <w:t>The</w:t>
      </w:r>
      <w:r w:rsidR="00D51C3E" w:rsidRPr="7C3CB66F">
        <w:rPr>
          <w:rFonts w:ascii="Calibri" w:hAnsi="Calibri" w:cs="Arial"/>
        </w:rPr>
        <w:t xml:space="preserve"> Secretariat propose</w:t>
      </w:r>
      <w:r w:rsidR="2F0EBF05" w:rsidRPr="7C3CB66F">
        <w:rPr>
          <w:rFonts w:ascii="Calibri" w:hAnsi="Calibri" w:cs="Arial"/>
        </w:rPr>
        <w:t>d</w:t>
      </w:r>
      <w:r w:rsidR="00D51C3E" w:rsidRPr="7C3CB66F">
        <w:rPr>
          <w:rFonts w:ascii="Calibri" w:hAnsi="Calibri" w:cs="Arial"/>
        </w:rPr>
        <w:t xml:space="preserve"> removing “at least two” rather than adding “at initiation,” to </w:t>
      </w:r>
      <w:r w:rsidR="277C2D9B" w:rsidRPr="7C3CB66F">
        <w:rPr>
          <w:rFonts w:ascii="Calibri" w:hAnsi="Calibri" w:cs="Arial"/>
        </w:rPr>
        <w:t>ensure</w:t>
      </w:r>
      <w:r w:rsidR="00D51C3E" w:rsidRPr="7C3CB66F">
        <w:rPr>
          <w:rFonts w:ascii="Calibri" w:hAnsi="Calibri" w:cs="Arial"/>
        </w:rPr>
        <w:t xml:space="preserve"> cannabidiol use as an add-on therapy with any number of concomitant AEDs, consistent with clinical trial data, TGA registration, and clinical practice.</w:t>
      </w:r>
    </w:p>
    <w:p w14:paraId="5C4E3484" w14:textId="4C72CB92" w:rsidR="0D024A17" w:rsidRDefault="003E5A8D" w:rsidP="00361246">
      <w:pPr>
        <w:pStyle w:val="3-BodyText"/>
      </w:pPr>
      <w:bookmarkStart w:id="4" w:name="_Ref199436261"/>
      <w:r w:rsidRPr="00994E7B">
        <w:rPr>
          <w:iCs/>
        </w:rPr>
        <w:t xml:space="preserve">Furthermore, the evaluation </w:t>
      </w:r>
      <w:r w:rsidR="008A169B" w:rsidRPr="00994E7B">
        <w:rPr>
          <w:iCs/>
        </w:rPr>
        <w:t xml:space="preserve">noted </w:t>
      </w:r>
      <w:r w:rsidRPr="00994E7B">
        <w:rPr>
          <w:iCs/>
        </w:rPr>
        <w:t xml:space="preserve">that the proposed restriction criteria </w:t>
      </w:r>
      <w:r w:rsidR="008A169B" w:rsidRPr="00994E7B">
        <w:rPr>
          <w:iCs/>
        </w:rPr>
        <w:t xml:space="preserve">were </w:t>
      </w:r>
      <w:r w:rsidRPr="00994E7B">
        <w:rPr>
          <w:iCs/>
        </w:rPr>
        <w:t>not closely aligned with the clinical trial evidence. In the trials</w:t>
      </w:r>
      <w:r w:rsidR="00A0216B" w:rsidRPr="00994E7B">
        <w:rPr>
          <w:iCs/>
        </w:rPr>
        <w:t xml:space="preserve"> (see </w:t>
      </w:r>
      <w:r w:rsidR="00A0216B" w:rsidRPr="00994E7B">
        <w:rPr>
          <w:iCs/>
        </w:rPr>
        <w:fldChar w:fldCharType="begin"/>
      </w:r>
      <w:r w:rsidR="00A0216B" w:rsidRPr="00994E7B">
        <w:rPr>
          <w:iCs/>
        </w:rPr>
        <w:instrText xml:space="preserve"> REF _Ref199414209 \h </w:instrText>
      </w:r>
      <w:r w:rsidR="0009194C" w:rsidRPr="00994E7B">
        <w:rPr>
          <w:iCs/>
        </w:rPr>
        <w:instrText xml:space="preserve"> \* MERGEFORMAT </w:instrText>
      </w:r>
      <w:r w:rsidR="00A0216B" w:rsidRPr="00994E7B">
        <w:rPr>
          <w:iCs/>
        </w:rPr>
      </w:r>
      <w:r w:rsidR="00A0216B" w:rsidRPr="00994E7B">
        <w:rPr>
          <w:iCs/>
        </w:rPr>
        <w:fldChar w:fldCharType="separate"/>
      </w:r>
      <w:r w:rsidR="00BC591C" w:rsidRPr="00BC591C">
        <w:rPr>
          <w:iCs/>
        </w:rPr>
        <w:t xml:space="preserve">Table </w:t>
      </w:r>
      <w:r w:rsidR="00BC591C" w:rsidRPr="00BC591C">
        <w:rPr>
          <w:iCs/>
          <w:noProof/>
        </w:rPr>
        <w:t>2</w:t>
      </w:r>
      <w:r w:rsidR="00A0216B" w:rsidRPr="00994E7B">
        <w:rPr>
          <w:iCs/>
        </w:rPr>
        <w:fldChar w:fldCharType="end"/>
      </w:r>
      <w:r w:rsidR="00A0216B" w:rsidRPr="00994E7B">
        <w:rPr>
          <w:iCs/>
        </w:rPr>
        <w:t>)</w:t>
      </w:r>
      <w:r w:rsidRPr="00994E7B">
        <w:rPr>
          <w:iCs/>
        </w:rPr>
        <w:t xml:space="preserve">, patients were </w:t>
      </w:r>
      <w:r w:rsidR="000F12C5" w:rsidRPr="00994E7B">
        <w:rPr>
          <w:iCs/>
        </w:rPr>
        <w:t>required to have</w:t>
      </w:r>
      <w:r w:rsidR="00B63768" w:rsidRPr="00B63768">
        <w:t xml:space="preserve"> </w:t>
      </w:r>
      <w:r w:rsidR="00B63768" w:rsidRPr="00994E7B">
        <w:rPr>
          <w:iCs/>
        </w:rPr>
        <w:t>two or more drop seizures per week during a 28-day baseline period</w:t>
      </w:r>
      <w:r w:rsidR="000F12C5" w:rsidRPr="00994E7B">
        <w:rPr>
          <w:iCs/>
        </w:rPr>
        <w:t xml:space="preserve"> </w:t>
      </w:r>
      <w:r w:rsidR="00A71D37" w:rsidRPr="00994E7B">
        <w:rPr>
          <w:iCs/>
        </w:rPr>
        <w:t xml:space="preserve">that were </w:t>
      </w:r>
      <w:r w:rsidR="00EF1E32" w:rsidRPr="00994E7B">
        <w:rPr>
          <w:iCs/>
        </w:rPr>
        <w:t>inadequately controlled on at least one AED</w:t>
      </w:r>
      <w:r w:rsidR="00290968" w:rsidRPr="00994E7B">
        <w:rPr>
          <w:iCs/>
        </w:rPr>
        <w:t>.</w:t>
      </w:r>
      <w:r w:rsidR="009251DF" w:rsidRPr="00994E7B">
        <w:rPr>
          <w:iCs/>
        </w:rPr>
        <w:t xml:space="preserve"> </w:t>
      </w:r>
      <w:r w:rsidR="00F63A97" w:rsidRPr="00994E7B">
        <w:rPr>
          <w:iCs/>
        </w:rPr>
        <w:t>Patients</w:t>
      </w:r>
      <w:r w:rsidR="000F12C5" w:rsidRPr="00994E7B">
        <w:rPr>
          <w:iCs/>
        </w:rPr>
        <w:t xml:space="preserve"> were also required to have an EEG </w:t>
      </w:r>
      <w:r w:rsidR="005263E7" w:rsidRPr="00994E7B">
        <w:rPr>
          <w:iCs/>
        </w:rPr>
        <w:t>that showed</w:t>
      </w:r>
      <w:r w:rsidR="000F12C5" w:rsidRPr="00994E7B">
        <w:rPr>
          <w:iCs/>
        </w:rPr>
        <w:t xml:space="preserve"> a pattern of slow (&lt;</w:t>
      </w:r>
      <w:r w:rsidR="0068381D">
        <w:rPr>
          <w:iCs/>
        </w:rPr>
        <w:t xml:space="preserve"> </w:t>
      </w:r>
      <w:r w:rsidR="000F12C5" w:rsidRPr="00994E7B">
        <w:rPr>
          <w:iCs/>
        </w:rPr>
        <w:t xml:space="preserve">3.0 Hz) spike-and-wave complexes. </w:t>
      </w:r>
      <w:r w:rsidRPr="00994E7B">
        <w:rPr>
          <w:iCs/>
        </w:rPr>
        <w:t>The primary endpoint in these trials was the percentage change from baseline in drop seizure frequency per 28 days during the treatment period</w:t>
      </w:r>
      <w:r w:rsidR="00635EF7" w:rsidRPr="00994E7B">
        <w:rPr>
          <w:iCs/>
        </w:rPr>
        <w:t>,</w:t>
      </w:r>
      <w:r w:rsidR="001C3113" w:rsidRPr="00994E7B">
        <w:rPr>
          <w:iCs/>
        </w:rPr>
        <w:t xml:space="preserve"> where d</w:t>
      </w:r>
      <w:r w:rsidRPr="00994E7B">
        <w:rPr>
          <w:iCs/>
        </w:rPr>
        <w:t>rop seizures were defined as atonic, tonic, or tonic-clonic seizures that</w:t>
      </w:r>
      <w:r w:rsidR="008E0F41" w:rsidRPr="00994E7B">
        <w:rPr>
          <w:iCs/>
        </w:rPr>
        <w:t xml:space="preserve"> led or could have led to a fall or injury. </w:t>
      </w:r>
      <w:r w:rsidR="001902F9" w:rsidRPr="00994E7B">
        <w:rPr>
          <w:iCs/>
        </w:rPr>
        <w:t xml:space="preserve">Key secondary endpoints </w:t>
      </w:r>
      <w:r w:rsidR="00FB44C9" w:rsidRPr="00994E7B">
        <w:rPr>
          <w:iCs/>
        </w:rPr>
        <w:t xml:space="preserve">included </w:t>
      </w:r>
      <w:r w:rsidR="001902F9" w:rsidRPr="00994E7B">
        <w:rPr>
          <w:iCs/>
        </w:rPr>
        <w:t xml:space="preserve">the proportion of patients </w:t>
      </w:r>
      <w:r w:rsidR="007C49B3" w:rsidRPr="00994E7B">
        <w:rPr>
          <w:iCs/>
        </w:rPr>
        <w:t xml:space="preserve">achieving at least a 50% reduction in drop seizure frequency </w:t>
      </w:r>
      <w:r w:rsidRPr="00994E7B">
        <w:rPr>
          <w:iCs/>
        </w:rPr>
        <w:t>(Refer to the Clinical Trials section in the</w:t>
      </w:r>
      <w:r w:rsidR="00C6461B" w:rsidRPr="00994E7B">
        <w:rPr>
          <w:iCs/>
        </w:rPr>
        <w:t xml:space="preserve"> PI</w:t>
      </w:r>
      <w:r w:rsidRPr="00994E7B">
        <w:rPr>
          <w:iCs/>
        </w:rPr>
        <w:t>)</w:t>
      </w:r>
      <w:r w:rsidR="001902F9" w:rsidRPr="00994E7B">
        <w:rPr>
          <w:iCs/>
        </w:rPr>
        <w:t>.</w:t>
      </w:r>
      <w:bookmarkEnd w:id="4"/>
    </w:p>
    <w:p w14:paraId="7FB557ED" w14:textId="33674084" w:rsidR="007E30A0" w:rsidRPr="00994E7B" w:rsidRDefault="352E134C" w:rsidP="00361246">
      <w:pPr>
        <w:pStyle w:val="3-BodyText"/>
        <w:spacing w:line="259" w:lineRule="auto"/>
        <w:rPr>
          <w:rFonts w:ascii="Calibri" w:eastAsia="Calibri" w:hAnsi="Calibri" w:cs="Calibri"/>
        </w:rPr>
      </w:pPr>
      <w:r>
        <w:t xml:space="preserve">The pre-PBAC response </w:t>
      </w:r>
      <w:r w:rsidR="7C093C3D">
        <w:t xml:space="preserve">stated that the </w:t>
      </w:r>
      <w:r w:rsidR="2045D9CA">
        <w:t>health</w:t>
      </w:r>
      <w:r w:rsidR="7C093C3D">
        <w:t xml:space="preserve"> </w:t>
      </w:r>
      <w:r w:rsidR="57889F86">
        <w:t>professional</w:t>
      </w:r>
      <w:r w:rsidR="09E466C7">
        <w:t>s</w:t>
      </w:r>
      <w:r w:rsidR="57889F86">
        <w:t xml:space="preserve"> group emphasised </w:t>
      </w:r>
      <w:r w:rsidR="7C093C3D">
        <w:t>the</w:t>
      </w:r>
      <w:r w:rsidR="559D943B">
        <w:t xml:space="preserve"> importance of utilising cannabidiol as an </w:t>
      </w:r>
      <w:r w:rsidR="00C3037B" w:rsidRPr="009E471C">
        <w:rPr>
          <w:lang w:eastAsia="en-US"/>
        </w:rPr>
        <w:t>adjunctive</w:t>
      </w:r>
      <w:r w:rsidR="00C3037B">
        <w:t xml:space="preserve"> </w:t>
      </w:r>
      <w:r w:rsidR="559D943B">
        <w:t xml:space="preserve">option </w:t>
      </w:r>
      <w:r w:rsidR="00CC4959">
        <w:t>for</w:t>
      </w:r>
      <w:r w:rsidR="559D943B">
        <w:t xml:space="preserve"> reducing seizures and increasing seizure</w:t>
      </w:r>
      <w:r w:rsidR="00DC53C1">
        <w:t>-</w:t>
      </w:r>
      <w:r w:rsidR="559D943B">
        <w:t xml:space="preserve">free periods for </w:t>
      </w:r>
      <w:r w:rsidR="03EDF184">
        <w:t xml:space="preserve">patients. </w:t>
      </w:r>
      <w:r w:rsidR="6895925F">
        <w:t>T</w:t>
      </w:r>
      <w:r w:rsidR="03EDF184">
        <w:t>he</w:t>
      </w:r>
      <w:r w:rsidR="7C093C3D">
        <w:t xml:space="preserve"> </w:t>
      </w:r>
      <w:r w:rsidR="6895925F">
        <w:t>pre-PBAC response</w:t>
      </w:r>
      <w:r w:rsidR="559D943B">
        <w:t xml:space="preserve"> </w:t>
      </w:r>
      <w:r w:rsidR="00D757FA">
        <w:t xml:space="preserve">also reiterated </w:t>
      </w:r>
      <w:r w:rsidR="278ABB10">
        <w:t xml:space="preserve">that </w:t>
      </w:r>
      <w:r w:rsidR="00FE5050">
        <w:t>s</w:t>
      </w:r>
      <w:r w:rsidRPr="0026035F">
        <w:rPr>
          <w:rFonts w:ascii="Calibri" w:eastAsia="Calibri" w:hAnsi="Calibri" w:cs="Calibri"/>
        </w:rPr>
        <w:t>eizure types in patients with LGS are not limited to generali</w:t>
      </w:r>
      <w:r w:rsidR="004A074C">
        <w:rPr>
          <w:rFonts w:ascii="Calibri" w:eastAsia="Calibri" w:hAnsi="Calibri" w:cs="Calibri"/>
        </w:rPr>
        <w:t>s</w:t>
      </w:r>
      <w:r w:rsidRPr="0026035F">
        <w:rPr>
          <w:rFonts w:ascii="Calibri" w:eastAsia="Calibri" w:hAnsi="Calibri" w:cs="Calibri"/>
        </w:rPr>
        <w:t>ed seizures</w:t>
      </w:r>
      <w:r w:rsidR="00E4284F">
        <w:rPr>
          <w:rFonts w:ascii="Calibri" w:eastAsia="Calibri" w:hAnsi="Calibri" w:cs="Calibri"/>
        </w:rPr>
        <w:t>,</w:t>
      </w:r>
      <w:r w:rsidR="4A0F3A59" w:rsidRPr="0026035F">
        <w:rPr>
          <w:rFonts w:ascii="Calibri" w:eastAsia="Calibri" w:hAnsi="Calibri" w:cs="Calibri"/>
        </w:rPr>
        <w:t xml:space="preserve"> as most patients also experience focal seizures.</w:t>
      </w:r>
    </w:p>
    <w:p w14:paraId="0B0FDF0A" w14:textId="5BCA633B" w:rsidR="007E30A0" w:rsidRPr="00994E7B" w:rsidRDefault="037F6273" w:rsidP="00361246">
      <w:pPr>
        <w:pStyle w:val="3-BodyText"/>
        <w:numPr>
          <w:ilvl w:val="0"/>
          <w:numId w:val="0"/>
        </w:numPr>
        <w:ind w:left="720"/>
        <w:rPr>
          <w:iCs/>
        </w:rPr>
      </w:pPr>
      <w:r w:rsidRPr="301B1485">
        <w:rPr>
          <w:rFonts w:ascii="Calibri" w:eastAsia="Calibri" w:hAnsi="Calibri" w:cs="Calibri"/>
          <w:i/>
        </w:rPr>
        <w:t>For more detail on PBAC’s view, see section 5 PBAC outcome.</w:t>
      </w:r>
    </w:p>
    <w:p w14:paraId="0436B7D8" w14:textId="55A1508E" w:rsidR="00C27C1C" w:rsidRPr="00A6439B" w:rsidRDefault="00C27C1C" w:rsidP="00361246">
      <w:pPr>
        <w:pStyle w:val="2-SectionHeading"/>
      </w:pPr>
      <w:r w:rsidRPr="00A6439B">
        <w:t>Consideration of the evidence</w:t>
      </w:r>
    </w:p>
    <w:p w14:paraId="22685760" w14:textId="77777777" w:rsidR="00402AC7" w:rsidRPr="006E1229" w:rsidRDefault="00402AC7" w:rsidP="00361246">
      <w:pPr>
        <w:pStyle w:val="4-SubsectionHeading"/>
        <w:keepNext w:val="0"/>
        <w:rPr>
          <w:lang w:eastAsia="en-US"/>
        </w:rPr>
      </w:pPr>
      <w:r w:rsidRPr="006E1229">
        <w:rPr>
          <w:lang w:eastAsia="en-US"/>
        </w:rPr>
        <w:t>Sponsor hearing</w:t>
      </w:r>
    </w:p>
    <w:p w14:paraId="43D01FFF" w14:textId="3CDB7DB6" w:rsidR="00402AC7" w:rsidRDefault="009C6C77" w:rsidP="00361246">
      <w:pPr>
        <w:pStyle w:val="3-BodyText"/>
        <w:rPr>
          <w:lang w:eastAsia="en-US"/>
        </w:rPr>
      </w:pPr>
      <w:r w:rsidRPr="009C6C77">
        <w:rPr>
          <w:lang w:eastAsia="en-US"/>
        </w:rPr>
        <w:t>There was no hearing for this item.</w:t>
      </w:r>
    </w:p>
    <w:p w14:paraId="04A0C94F" w14:textId="1134C329" w:rsidR="009C6C77" w:rsidRDefault="00BD4042" w:rsidP="00361246">
      <w:pPr>
        <w:pStyle w:val="4-SubsectionHeading"/>
        <w:keepNext w:val="0"/>
        <w:rPr>
          <w:lang w:eastAsia="en-US"/>
        </w:rPr>
      </w:pPr>
      <w:r w:rsidRPr="00BD4042">
        <w:rPr>
          <w:lang w:eastAsia="en-US"/>
        </w:rPr>
        <w:t>Consumer comments</w:t>
      </w:r>
    </w:p>
    <w:p w14:paraId="6D95BDB6" w14:textId="3D48EA95" w:rsidR="00D92FE8" w:rsidRDefault="00870576" w:rsidP="00361246">
      <w:pPr>
        <w:pStyle w:val="3-BodyText"/>
        <w:rPr>
          <w:lang w:eastAsia="en-US"/>
        </w:rPr>
      </w:pPr>
      <w:bookmarkStart w:id="5" w:name="_Hlk203511693"/>
      <w:r w:rsidRPr="00870576">
        <w:rPr>
          <w:lang w:eastAsia="en-US"/>
        </w:rPr>
        <w:t>The PBAC noted and welcomed the input from health care professionals (1</w:t>
      </w:r>
      <w:r w:rsidR="007211DB">
        <w:rPr>
          <w:lang w:eastAsia="en-US"/>
        </w:rPr>
        <w:t>1</w:t>
      </w:r>
      <w:r w:rsidRPr="00870576">
        <w:rPr>
          <w:lang w:eastAsia="en-US"/>
        </w:rPr>
        <w:t>)</w:t>
      </w:r>
      <w:r w:rsidR="00E50692">
        <w:rPr>
          <w:lang w:eastAsia="en-US"/>
        </w:rPr>
        <w:t>,</w:t>
      </w:r>
      <w:r w:rsidRPr="00870576">
        <w:rPr>
          <w:lang w:eastAsia="en-US"/>
        </w:rPr>
        <w:t xml:space="preserve"> </w:t>
      </w:r>
      <w:r w:rsidR="00466E5A">
        <w:rPr>
          <w:lang w:eastAsia="en-US"/>
        </w:rPr>
        <w:t xml:space="preserve">a </w:t>
      </w:r>
      <w:r w:rsidR="00E50692">
        <w:rPr>
          <w:lang w:eastAsia="en-US"/>
        </w:rPr>
        <w:t xml:space="preserve">medical </w:t>
      </w:r>
      <w:r w:rsidRPr="00870576">
        <w:rPr>
          <w:lang w:eastAsia="en-US"/>
        </w:rPr>
        <w:t>organisation (1)</w:t>
      </w:r>
      <w:r w:rsidR="00E50692">
        <w:rPr>
          <w:lang w:eastAsia="en-US"/>
        </w:rPr>
        <w:t xml:space="preserve">, </w:t>
      </w:r>
      <w:r w:rsidR="00D456B6">
        <w:rPr>
          <w:lang w:eastAsia="en-US"/>
        </w:rPr>
        <w:t>and c</w:t>
      </w:r>
      <w:r w:rsidR="00D456B6" w:rsidRPr="00D456B6">
        <w:rPr>
          <w:lang w:eastAsia="en-US"/>
        </w:rPr>
        <w:t>onsumer group</w:t>
      </w:r>
      <w:r w:rsidR="00D456B6">
        <w:rPr>
          <w:lang w:eastAsia="en-US"/>
        </w:rPr>
        <w:t xml:space="preserve">s </w:t>
      </w:r>
      <w:bookmarkEnd w:id="5"/>
      <w:r w:rsidR="00D456B6">
        <w:rPr>
          <w:lang w:eastAsia="en-US"/>
        </w:rPr>
        <w:t>(2)</w:t>
      </w:r>
      <w:r w:rsidR="00D456B6" w:rsidRPr="00D456B6">
        <w:rPr>
          <w:lang w:eastAsia="en-US"/>
        </w:rPr>
        <w:t xml:space="preserve"> </w:t>
      </w:r>
      <w:r w:rsidRPr="00870576">
        <w:rPr>
          <w:lang w:eastAsia="en-US"/>
        </w:rPr>
        <w:t xml:space="preserve">via the Consumer Comments facility on the PBS website. </w:t>
      </w:r>
      <w:r w:rsidR="00BD6321">
        <w:rPr>
          <w:lang w:eastAsia="en-US"/>
        </w:rPr>
        <w:t>T</w:t>
      </w:r>
      <w:r w:rsidR="00BD6321" w:rsidRPr="00BD6321">
        <w:rPr>
          <w:lang w:eastAsia="en-US"/>
        </w:rPr>
        <w:t xml:space="preserve">he comments described a range of benefits associated </w:t>
      </w:r>
      <w:r w:rsidR="00BD6321" w:rsidRPr="00BD6321">
        <w:rPr>
          <w:lang w:eastAsia="en-US"/>
        </w:rPr>
        <w:lastRenderedPageBreak/>
        <w:t xml:space="preserve">with cannabidiol, including improved seizure control, better sleep quality, and enhanced mood and behaviour in patients with LGS. </w:t>
      </w:r>
      <w:r w:rsidR="00F04399" w:rsidRPr="00F04399">
        <w:rPr>
          <w:lang w:eastAsia="en-US"/>
        </w:rPr>
        <w:t>Cannabidiol is generally considered to be well tolerated, with fewer side effects and drug interactions compared to other AEDs.</w:t>
      </w:r>
      <w:r w:rsidR="00C901DE" w:rsidRPr="00C901DE">
        <w:rPr>
          <w:lang w:eastAsia="en-US"/>
        </w:rPr>
        <w:t xml:space="preserve"> </w:t>
      </w:r>
      <w:r w:rsidR="009E471C" w:rsidRPr="009E471C">
        <w:rPr>
          <w:lang w:eastAsia="en-US"/>
        </w:rPr>
        <w:t>The comments also emphasised the importance of access to cannabidiol as an adjunctive treatment, particularly for its role in reducing seizure frequency and increasing seizure-free periods. Overall, these benefits were seen as contributing to improved quality of life, reduced hospital admissions, and a lower risk of seizure-related injuries and complications.</w:t>
      </w:r>
      <w:r w:rsidR="00D92FE8">
        <w:rPr>
          <w:lang w:eastAsia="en-US"/>
        </w:rPr>
        <w:t xml:space="preserve"> Concerns were raised regarding the current PBS restriction, specifically the requirement for defined EEG criteria in patients with LGS. Practical challenges include limited access to EEG services in rural and remote areas, the evolving nature of EEG patterns in LGS, and difficulties in obtaining historical or repeated EEGs</w:t>
      </w:r>
      <w:r w:rsidR="000F00A0">
        <w:rPr>
          <w:lang w:eastAsia="en-US"/>
        </w:rPr>
        <w:t xml:space="preserve">, </w:t>
      </w:r>
      <w:r w:rsidR="00D92FE8">
        <w:rPr>
          <w:lang w:eastAsia="en-US"/>
        </w:rPr>
        <w:t>especially in adults with intellectual and behavioural impairments. Additionally, the specified EEG features may not consistently appear or be captured in short recordings, further limiting access to treatment.</w:t>
      </w:r>
      <w:r w:rsidR="00ED1575">
        <w:rPr>
          <w:lang w:eastAsia="en-US"/>
        </w:rPr>
        <w:t xml:space="preserve"> </w:t>
      </w:r>
      <w:r w:rsidR="008E7E5D" w:rsidRPr="008E7E5D">
        <w:rPr>
          <w:lang w:eastAsia="en-US"/>
        </w:rPr>
        <w:t xml:space="preserve">In the comments, health care professionals </w:t>
      </w:r>
      <w:r w:rsidR="00283105" w:rsidRPr="00283105">
        <w:rPr>
          <w:lang w:eastAsia="en-US"/>
        </w:rPr>
        <w:t>(mainly neurologists and epileptologists)</w:t>
      </w:r>
      <w:r w:rsidR="00283105">
        <w:rPr>
          <w:lang w:eastAsia="en-US"/>
        </w:rPr>
        <w:t xml:space="preserve"> </w:t>
      </w:r>
      <w:r w:rsidR="008E7E5D" w:rsidRPr="008E7E5D">
        <w:rPr>
          <w:lang w:eastAsia="en-US"/>
        </w:rPr>
        <w:t>supported the proposed amendments to the cannabidiol listing and the streamlined authority process, considering diagnosis by an epilepsy specialist sufficient without mandatory EEG documentation to improve equity of access for patients with LGS.</w:t>
      </w:r>
    </w:p>
    <w:p w14:paraId="78F81722" w14:textId="6153EC02" w:rsidR="000D7881" w:rsidRDefault="000D7881" w:rsidP="00361246">
      <w:pPr>
        <w:pStyle w:val="3-BodyText"/>
        <w:rPr>
          <w:lang w:eastAsia="en-US"/>
        </w:rPr>
      </w:pPr>
      <w:r w:rsidRPr="000D7881">
        <w:rPr>
          <w:lang w:eastAsia="en-US"/>
        </w:rPr>
        <w:t>Epilepsy Action Australia and the Epilepsy Foundation provided input supporting amendments to the PBS restrictions for cannabidiol. Their comments highlighted barriers to accessing EEGs and specialist care, particularly in rural and remote areas, and emphasised the need to allow paediatricians to prescribe cannabidiol and to amend EEG requirements where testing is not feasible</w:t>
      </w:r>
      <w:r w:rsidR="00970461">
        <w:rPr>
          <w:lang w:eastAsia="en-US"/>
        </w:rPr>
        <w:t>, to</w:t>
      </w:r>
      <w:r w:rsidRPr="000D7881">
        <w:rPr>
          <w:lang w:eastAsia="en-US"/>
        </w:rPr>
        <w:t xml:space="preserve"> improve equitable access, reduce financial burden, and ensure timely treatment for eligible patients.</w:t>
      </w:r>
    </w:p>
    <w:p w14:paraId="56D2BBDF" w14:textId="4CB5DC17" w:rsidR="00B94C86" w:rsidRDefault="00A063BA" w:rsidP="00361246">
      <w:pPr>
        <w:pStyle w:val="3-BodyText"/>
        <w:rPr>
          <w:lang w:eastAsia="en-US"/>
        </w:rPr>
      </w:pPr>
      <w:r w:rsidRPr="00A063BA">
        <w:rPr>
          <w:lang w:eastAsia="en-US"/>
        </w:rPr>
        <w:t>The National Paediatric Medicines Forum (NPMF) provided input in support of amending the PBS restrictions for cannabidiol, including lowering the restriction level to Authority Required (STREAMLINED), amending clinical criteria to ease EEG requirements, and allowing paediatricians to prescribe the medication for continuing treatment. The NPMF highlighted challenges in accessing EEG services</w:t>
      </w:r>
      <w:r>
        <w:rPr>
          <w:lang w:eastAsia="en-US"/>
        </w:rPr>
        <w:t xml:space="preserve">, </w:t>
      </w:r>
      <w:r w:rsidRPr="00A063BA">
        <w:rPr>
          <w:lang w:eastAsia="en-US"/>
        </w:rPr>
        <w:t>particularly in rural areas</w:t>
      </w:r>
      <w:r>
        <w:rPr>
          <w:lang w:eastAsia="en-US"/>
        </w:rPr>
        <w:t xml:space="preserve">, </w:t>
      </w:r>
      <w:r w:rsidRPr="00A063BA">
        <w:rPr>
          <w:lang w:eastAsia="en-US"/>
        </w:rPr>
        <w:t>the burden on families due to hospital constraints, and emphasi</w:t>
      </w:r>
      <w:r w:rsidR="00F74544">
        <w:rPr>
          <w:lang w:eastAsia="en-US"/>
        </w:rPr>
        <w:t>s</w:t>
      </w:r>
      <w:r w:rsidRPr="00A063BA">
        <w:rPr>
          <w:lang w:eastAsia="en-US"/>
        </w:rPr>
        <w:t>ed the importance of equitable access, the need to maintain treatment continuity, and the significant impact of cannabidiol in improving quality of life for patients with LGS, who often require complex, multi-drug regimens.</w:t>
      </w:r>
    </w:p>
    <w:p w14:paraId="3F679FE9" w14:textId="54FB3293" w:rsidR="00C27C1C" w:rsidRDefault="00C27C1C" w:rsidP="00361246">
      <w:pPr>
        <w:pStyle w:val="4-SubsectionHeading"/>
        <w:keepNext w:val="0"/>
        <w:rPr>
          <w:lang w:eastAsia="en-US"/>
        </w:rPr>
      </w:pPr>
      <w:r w:rsidRPr="00A6439B">
        <w:rPr>
          <w:lang w:eastAsia="en-US"/>
        </w:rPr>
        <w:t xml:space="preserve">Clinical trials </w:t>
      </w:r>
    </w:p>
    <w:p w14:paraId="2B4AA8AB" w14:textId="7B3CD76E" w:rsidR="00345FBC" w:rsidRPr="00994E7B" w:rsidRDefault="00050A2C" w:rsidP="00361246">
      <w:pPr>
        <w:pStyle w:val="3-BodyText"/>
        <w:rPr>
          <w:iCs/>
          <w:lang w:eastAsia="en-US"/>
        </w:rPr>
      </w:pPr>
      <w:r w:rsidRPr="00994E7B">
        <w:rPr>
          <w:iCs/>
          <w:lang w:eastAsia="en-US"/>
        </w:rPr>
        <w:t>T</w:t>
      </w:r>
      <w:r w:rsidR="00CB39E4" w:rsidRPr="00994E7B">
        <w:rPr>
          <w:iCs/>
          <w:lang w:eastAsia="en-US"/>
        </w:rPr>
        <w:t>wo randomised, double-blind, placebo-controlled</w:t>
      </w:r>
      <w:r w:rsidR="0064523A" w:rsidRPr="00994E7B">
        <w:rPr>
          <w:iCs/>
          <w:lang w:eastAsia="en-US"/>
        </w:rPr>
        <w:t xml:space="preserve"> </w:t>
      </w:r>
      <w:r w:rsidR="00CB39E4" w:rsidRPr="00994E7B">
        <w:rPr>
          <w:iCs/>
          <w:lang w:eastAsia="en-US"/>
        </w:rPr>
        <w:t>studies</w:t>
      </w:r>
      <w:r w:rsidR="006F20D2" w:rsidRPr="00994E7B">
        <w:rPr>
          <w:iCs/>
          <w:lang w:eastAsia="en-US"/>
        </w:rPr>
        <w:t xml:space="preserve"> </w:t>
      </w:r>
      <w:r w:rsidR="000128D4" w:rsidRPr="00994E7B">
        <w:rPr>
          <w:iCs/>
          <w:lang w:eastAsia="en-US"/>
        </w:rPr>
        <w:t xml:space="preserve">(GWPCARE3 and GWPCARE4) </w:t>
      </w:r>
      <w:r w:rsidRPr="00994E7B">
        <w:rPr>
          <w:iCs/>
          <w:lang w:eastAsia="en-US"/>
        </w:rPr>
        <w:t xml:space="preserve">were presented in the previous submissions </w:t>
      </w:r>
      <w:r w:rsidR="00381AA5" w:rsidRPr="00994E7B">
        <w:rPr>
          <w:iCs/>
          <w:lang w:eastAsia="en-US"/>
        </w:rPr>
        <w:t xml:space="preserve">to </w:t>
      </w:r>
      <w:r w:rsidRPr="00994E7B">
        <w:rPr>
          <w:iCs/>
          <w:lang w:eastAsia="en-US"/>
        </w:rPr>
        <w:t>demonstrate</w:t>
      </w:r>
      <w:r w:rsidR="00381AA5" w:rsidRPr="00994E7B">
        <w:rPr>
          <w:iCs/>
          <w:lang w:eastAsia="en-US"/>
        </w:rPr>
        <w:t xml:space="preserve"> the efficacy and safety of cannabidiol </w:t>
      </w:r>
      <w:r w:rsidR="00165751" w:rsidRPr="00994E7B">
        <w:rPr>
          <w:iCs/>
          <w:lang w:eastAsia="en-US"/>
        </w:rPr>
        <w:t xml:space="preserve">as </w:t>
      </w:r>
      <w:r w:rsidR="008E1B18">
        <w:rPr>
          <w:iCs/>
          <w:lang w:eastAsia="en-US"/>
        </w:rPr>
        <w:t xml:space="preserve">an </w:t>
      </w:r>
      <w:r w:rsidR="00165751" w:rsidRPr="00994E7B">
        <w:rPr>
          <w:iCs/>
          <w:lang w:eastAsia="en-US"/>
        </w:rPr>
        <w:t>adjunctive treatment for seizures associated with LGS in children and adults</w:t>
      </w:r>
      <w:r w:rsidR="00CB39E4" w:rsidRPr="00994E7B">
        <w:rPr>
          <w:iCs/>
          <w:lang w:eastAsia="en-US"/>
        </w:rPr>
        <w:t xml:space="preserve">. In both studies, </w:t>
      </w:r>
      <w:r w:rsidR="00D95262" w:rsidRPr="00994E7B">
        <w:rPr>
          <w:iCs/>
          <w:lang w:eastAsia="en-US"/>
        </w:rPr>
        <w:t xml:space="preserve">patients must have had seizures which were refractory to treatment, with documented failures on more than one AED, and patients needed to be taking one or more AEDs at a stable dose for 4 weeks prior to </w:t>
      </w:r>
      <w:r w:rsidR="00D95262" w:rsidRPr="00994E7B">
        <w:rPr>
          <w:iCs/>
          <w:lang w:eastAsia="en-US"/>
        </w:rPr>
        <w:lastRenderedPageBreak/>
        <w:t>randomisation</w:t>
      </w:r>
      <w:r w:rsidR="00276630">
        <w:rPr>
          <w:iCs/>
          <w:lang w:eastAsia="en-US"/>
        </w:rPr>
        <w:t xml:space="preserve"> </w:t>
      </w:r>
      <w:r w:rsidR="00D95262" w:rsidRPr="00994E7B">
        <w:rPr>
          <w:iCs/>
          <w:lang w:eastAsia="en-US"/>
        </w:rPr>
        <w:t>(paragraph 3.4</w:t>
      </w:r>
      <w:r w:rsidR="00C00E7B" w:rsidRPr="00994E7B">
        <w:rPr>
          <w:iCs/>
          <w:lang w:eastAsia="en-US"/>
        </w:rPr>
        <w:t xml:space="preserve">, </w:t>
      </w:r>
      <w:r w:rsidR="00B05378" w:rsidRPr="00994E7B">
        <w:rPr>
          <w:iCs/>
          <w:lang w:eastAsia="en-US"/>
        </w:rPr>
        <w:t>Public Summary Document (</w:t>
      </w:r>
      <w:r w:rsidR="00C00E7B" w:rsidRPr="00994E7B">
        <w:rPr>
          <w:iCs/>
          <w:lang w:eastAsia="en-US"/>
        </w:rPr>
        <w:t>PSD</w:t>
      </w:r>
      <w:r w:rsidR="00B05378" w:rsidRPr="00994E7B">
        <w:rPr>
          <w:iCs/>
          <w:lang w:eastAsia="en-US"/>
        </w:rPr>
        <w:t>)</w:t>
      </w:r>
      <w:r w:rsidR="00C00E7B" w:rsidRPr="00994E7B">
        <w:rPr>
          <w:iCs/>
          <w:lang w:eastAsia="en-US"/>
        </w:rPr>
        <w:t xml:space="preserve">, </w:t>
      </w:r>
      <w:r w:rsidR="00F10DDB" w:rsidRPr="00994E7B">
        <w:rPr>
          <w:iCs/>
          <w:lang w:eastAsia="en-US"/>
        </w:rPr>
        <w:t xml:space="preserve">July 2020 PBAC meeting). </w:t>
      </w:r>
    </w:p>
    <w:p w14:paraId="4CEB4DAB" w14:textId="33FD64DF" w:rsidR="00483D6B" w:rsidRDefault="00483D6B" w:rsidP="00361246">
      <w:pPr>
        <w:pStyle w:val="Caption"/>
        <w:keepNext/>
        <w:keepLines/>
      </w:pPr>
      <w:bookmarkStart w:id="6" w:name="_Ref199414209"/>
      <w:r>
        <w:t xml:space="preserve">Table </w:t>
      </w:r>
      <w:r>
        <w:fldChar w:fldCharType="begin"/>
      </w:r>
      <w:r>
        <w:instrText xml:space="preserve"> SEQ Table \* ARABIC </w:instrText>
      </w:r>
      <w:r>
        <w:fldChar w:fldCharType="separate"/>
      </w:r>
      <w:r w:rsidR="00BC591C">
        <w:rPr>
          <w:noProof/>
        </w:rPr>
        <w:t>2</w:t>
      </w:r>
      <w:r>
        <w:fldChar w:fldCharType="end"/>
      </w:r>
      <w:bookmarkEnd w:id="6"/>
      <w:r w:rsidR="004C1C28">
        <w:t xml:space="preserve">: </w:t>
      </w:r>
      <w:r w:rsidR="004C1C28" w:rsidRPr="004C1C28">
        <w:t xml:space="preserve">Trials presented in the </w:t>
      </w:r>
      <w:r w:rsidR="004C1C28">
        <w:t xml:space="preserve">previous </w:t>
      </w:r>
      <w:r w:rsidR="004C1C28" w:rsidRPr="004C1C28">
        <w:t>resubmission</w:t>
      </w:r>
      <w:r w:rsidR="004C1C28">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previous resubmissions"/>
      </w:tblPr>
      <w:tblGrid>
        <w:gridCol w:w="1293"/>
        <w:gridCol w:w="5316"/>
        <w:gridCol w:w="2407"/>
      </w:tblGrid>
      <w:tr w:rsidR="007815E1" w:rsidRPr="00A70DBB" w14:paraId="11E30D5C" w14:textId="77777777" w:rsidTr="002D44E8">
        <w:trPr>
          <w:tblHeader/>
        </w:trPr>
        <w:tc>
          <w:tcPr>
            <w:tcW w:w="717" w:type="pct"/>
            <w:shd w:val="clear" w:color="auto" w:fill="F2F2F2" w:themeFill="background1" w:themeFillShade="F2"/>
            <w:vAlign w:val="center"/>
          </w:tcPr>
          <w:p w14:paraId="07A154B7" w14:textId="77777777" w:rsidR="007815E1" w:rsidRPr="00A70DBB" w:rsidRDefault="007815E1" w:rsidP="00361246">
            <w:pPr>
              <w:pStyle w:val="In-tableHeading"/>
              <w:keepLines/>
              <w:rPr>
                <w:lang w:val="en-AU"/>
              </w:rPr>
            </w:pPr>
            <w:r w:rsidRPr="00A70DBB">
              <w:rPr>
                <w:lang w:val="en-AU"/>
              </w:rPr>
              <w:t>Trial ID</w:t>
            </w:r>
          </w:p>
        </w:tc>
        <w:tc>
          <w:tcPr>
            <w:tcW w:w="2948" w:type="pct"/>
            <w:shd w:val="clear" w:color="auto" w:fill="F2F2F2" w:themeFill="background1" w:themeFillShade="F2"/>
            <w:vAlign w:val="center"/>
          </w:tcPr>
          <w:p w14:paraId="533B962B" w14:textId="77777777" w:rsidR="007815E1" w:rsidRPr="00A70DBB" w:rsidRDefault="007815E1" w:rsidP="00361246">
            <w:pPr>
              <w:pStyle w:val="In-tableHeading"/>
              <w:keepLines/>
              <w:jc w:val="center"/>
              <w:rPr>
                <w:lang w:val="en-AU"/>
              </w:rPr>
            </w:pPr>
            <w:r w:rsidRPr="00A70DBB">
              <w:rPr>
                <w:lang w:val="en-AU"/>
              </w:rPr>
              <w:t>Protocol title/ Publication title</w:t>
            </w:r>
          </w:p>
        </w:tc>
        <w:tc>
          <w:tcPr>
            <w:tcW w:w="1335" w:type="pct"/>
            <w:shd w:val="clear" w:color="auto" w:fill="F2F2F2" w:themeFill="background1" w:themeFillShade="F2"/>
            <w:vAlign w:val="center"/>
          </w:tcPr>
          <w:p w14:paraId="2FFCD779" w14:textId="77777777" w:rsidR="007815E1" w:rsidRPr="00A70DBB" w:rsidRDefault="007815E1" w:rsidP="00361246">
            <w:pPr>
              <w:pStyle w:val="In-tableHeading"/>
              <w:keepLines/>
              <w:jc w:val="center"/>
              <w:rPr>
                <w:lang w:val="en-AU"/>
              </w:rPr>
            </w:pPr>
            <w:r w:rsidRPr="00A70DBB">
              <w:rPr>
                <w:lang w:val="en-AU"/>
              </w:rPr>
              <w:t>Publication citation</w:t>
            </w:r>
          </w:p>
        </w:tc>
      </w:tr>
      <w:tr w:rsidR="007815E1" w:rsidRPr="00A70DBB" w14:paraId="353BFEC1" w14:textId="77777777" w:rsidTr="002D44E8">
        <w:tc>
          <w:tcPr>
            <w:tcW w:w="717" w:type="pct"/>
            <w:vMerge w:val="restart"/>
            <w:tcBorders>
              <w:top w:val="single" w:sz="4" w:space="0" w:color="auto"/>
            </w:tcBorders>
            <w:shd w:val="clear" w:color="auto" w:fill="DBE5F1" w:themeFill="accent1" w:themeFillTint="33"/>
            <w:vAlign w:val="center"/>
          </w:tcPr>
          <w:p w14:paraId="4E843213" w14:textId="77777777" w:rsidR="007815E1" w:rsidRPr="00A70DBB" w:rsidRDefault="007815E1" w:rsidP="00361246">
            <w:pPr>
              <w:pStyle w:val="TableText0"/>
              <w:keepLines/>
            </w:pPr>
            <w:r w:rsidRPr="00A70DBB">
              <w:t>GWPCARE3</w:t>
            </w:r>
          </w:p>
        </w:tc>
        <w:tc>
          <w:tcPr>
            <w:tcW w:w="2948" w:type="pct"/>
            <w:tcBorders>
              <w:top w:val="single" w:sz="4" w:space="0" w:color="auto"/>
              <w:bottom w:val="nil"/>
            </w:tcBorders>
            <w:shd w:val="clear" w:color="auto" w:fill="DBE5F1" w:themeFill="accent1" w:themeFillTint="33"/>
          </w:tcPr>
          <w:p w14:paraId="4081F0D3" w14:textId="77777777" w:rsidR="007815E1" w:rsidRPr="00A70DBB" w:rsidRDefault="007815E1" w:rsidP="00361246">
            <w:pPr>
              <w:pStyle w:val="TableText0"/>
              <w:keepLines/>
            </w:pPr>
            <w:r w:rsidRPr="00A70DBB">
              <w:t>A randomised, double-blind, placebo-controlled study to investigate the efficacy and safety of cannabidiol (GWP42003-P) as adjunctive treatment for seizures associated with Lennox-Gastaut syndrome in children and adults. NCT02224560</w:t>
            </w:r>
          </w:p>
        </w:tc>
        <w:tc>
          <w:tcPr>
            <w:tcW w:w="1335" w:type="pct"/>
            <w:tcBorders>
              <w:top w:val="single" w:sz="4" w:space="0" w:color="auto"/>
              <w:bottom w:val="nil"/>
            </w:tcBorders>
            <w:shd w:val="clear" w:color="auto" w:fill="DBE5F1" w:themeFill="accent1" w:themeFillTint="33"/>
          </w:tcPr>
          <w:p w14:paraId="54009409" w14:textId="77777777" w:rsidR="007815E1" w:rsidRPr="00A70DBB" w:rsidRDefault="007815E1" w:rsidP="00361246">
            <w:pPr>
              <w:pStyle w:val="TableText0"/>
              <w:keepLines/>
            </w:pPr>
            <w:r w:rsidRPr="00A70DBB">
              <w:t>19 July 2017</w:t>
            </w:r>
          </w:p>
        </w:tc>
      </w:tr>
      <w:tr w:rsidR="007815E1" w:rsidRPr="00A70DBB" w14:paraId="6C4B2031" w14:textId="77777777" w:rsidTr="002D44E8">
        <w:tc>
          <w:tcPr>
            <w:tcW w:w="717" w:type="pct"/>
            <w:vMerge/>
            <w:tcBorders>
              <w:bottom w:val="single" w:sz="4" w:space="0" w:color="auto"/>
            </w:tcBorders>
            <w:shd w:val="clear" w:color="auto" w:fill="DBE5F1" w:themeFill="accent1" w:themeFillTint="33"/>
            <w:vAlign w:val="center"/>
          </w:tcPr>
          <w:p w14:paraId="59A8F1A7" w14:textId="77777777" w:rsidR="007815E1" w:rsidRPr="00A70DBB" w:rsidRDefault="007815E1" w:rsidP="00361246">
            <w:pPr>
              <w:pStyle w:val="TableText0"/>
              <w:keepLines/>
            </w:pPr>
          </w:p>
        </w:tc>
        <w:tc>
          <w:tcPr>
            <w:tcW w:w="2948" w:type="pct"/>
            <w:tcBorders>
              <w:top w:val="nil"/>
              <w:bottom w:val="single" w:sz="4" w:space="0" w:color="auto"/>
            </w:tcBorders>
            <w:shd w:val="clear" w:color="auto" w:fill="DBE5F1" w:themeFill="accent1" w:themeFillTint="33"/>
            <w:vAlign w:val="center"/>
          </w:tcPr>
          <w:p w14:paraId="414B6EB5" w14:textId="77777777" w:rsidR="007815E1" w:rsidRPr="00A70DBB" w:rsidRDefault="007815E1" w:rsidP="00361246">
            <w:pPr>
              <w:pStyle w:val="TableText0"/>
              <w:keepLines/>
              <w:rPr>
                <w:szCs w:val="18"/>
              </w:rPr>
            </w:pPr>
            <w:r w:rsidRPr="00A70DBB">
              <w:rPr>
                <w:rFonts w:cs="Segoe UI"/>
              </w:rPr>
              <w:t xml:space="preserve">Devinsky O et al. </w:t>
            </w:r>
            <w:r w:rsidRPr="00A70DBB">
              <w:rPr>
                <w:rFonts w:cs="Arial"/>
              </w:rPr>
              <w:t>Effect of cannabidiol on drop seizures in the Lennox-Gastaut syndrome.</w:t>
            </w:r>
          </w:p>
        </w:tc>
        <w:tc>
          <w:tcPr>
            <w:tcW w:w="1335" w:type="pct"/>
            <w:tcBorders>
              <w:top w:val="nil"/>
              <w:bottom w:val="single" w:sz="4" w:space="0" w:color="auto"/>
            </w:tcBorders>
            <w:shd w:val="clear" w:color="auto" w:fill="DBE5F1" w:themeFill="accent1" w:themeFillTint="33"/>
            <w:vAlign w:val="center"/>
          </w:tcPr>
          <w:p w14:paraId="05E2E3D5" w14:textId="77777777" w:rsidR="007815E1" w:rsidRPr="00A70DBB" w:rsidRDefault="007815E1" w:rsidP="00361246">
            <w:pPr>
              <w:pStyle w:val="TableText0"/>
              <w:keepLines/>
            </w:pPr>
            <w:r w:rsidRPr="00A70DBB">
              <w:rPr>
                <w:i/>
              </w:rPr>
              <w:t>NEJM</w:t>
            </w:r>
            <w:r w:rsidRPr="00A70DBB">
              <w:t xml:space="preserve"> 2018: 378(20):1888-1897</w:t>
            </w:r>
          </w:p>
        </w:tc>
      </w:tr>
      <w:tr w:rsidR="007815E1" w:rsidRPr="00A70DBB" w14:paraId="03005C6B" w14:textId="77777777" w:rsidTr="002D44E8">
        <w:tc>
          <w:tcPr>
            <w:tcW w:w="717" w:type="pct"/>
            <w:vMerge w:val="restart"/>
            <w:tcBorders>
              <w:top w:val="single" w:sz="4" w:space="0" w:color="auto"/>
            </w:tcBorders>
            <w:shd w:val="clear" w:color="auto" w:fill="DBE5F1" w:themeFill="accent1" w:themeFillTint="33"/>
            <w:vAlign w:val="center"/>
          </w:tcPr>
          <w:p w14:paraId="191EF263" w14:textId="77777777" w:rsidR="007815E1" w:rsidRPr="00A70DBB" w:rsidRDefault="007815E1" w:rsidP="00361246">
            <w:pPr>
              <w:pStyle w:val="TableText0"/>
              <w:keepLines/>
            </w:pPr>
            <w:r w:rsidRPr="00A70DBB">
              <w:t>GWPCARE4</w:t>
            </w:r>
          </w:p>
        </w:tc>
        <w:tc>
          <w:tcPr>
            <w:tcW w:w="2948" w:type="pct"/>
            <w:tcBorders>
              <w:top w:val="single" w:sz="4" w:space="0" w:color="auto"/>
              <w:bottom w:val="nil"/>
            </w:tcBorders>
            <w:shd w:val="clear" w:color="auto" w:fill="DBE5F1" w:themeFill="accent1" w:themeFillTint="33"/>
            <w:vAlign w:val="center"/>
          </w:tcPr>
          <w:p w14:paraId="534579BC" w14:textId="77777777" w:rsidR="007815E1" w:rsidRPr="00A70DBB" w:rsidRDefault="007815E1" w:rsidP="00361246">
            <w:pPr>
              <w:pStyle w:val="TableText0"/>
              <w:keepLines/>
              <w:rPr>
                <w:rFonts w:cs="Segoe UI"/>
              </w:rPr>
            </w:pPr>
            <w:r w:rsidRPr="00A70DBB">
              <w:rPr>
                <w:rFonts w:cs="Arial"/>
              </w:rPr>
              <w:t>A randomised, double-blind, placebo-controlled study to investigate the efficacy and safety of cannabidiol (GWP42003-P; CBD) as adjunctive treatment for seizures associated with Lennox-Gastaut syndrome in children and adults. NCT02224690</w:t>
            </w:r>
          </w:p>
        </w:tc>
        <w:tc>
          <w:tcPr>
            <w:tcW w:w="1335" w:type="pct"/>
            <w:tcBorders>
              <w:top w:val="single" w:sz="4" w:space="0" w:color="auto"/>
              <w:bottom w:val="nil"/>
            </w:tcBorders>
            <w:shd w:val="clear" w:color="auto" w:fill="DBE5F1" w:themeFill="accent1" w:themeFillTint="33"/>
            <w:vAlign w:val="center"/>
          </w:tcPr>
          <w:p w14:paraId="2B5BFCDC" w14:textId="77777777" w:rsidR="007815E1" w:rsidRPr="00A70DBB" w:rsidRDefault="007815E1" w:rsidP="00361246">
            <w:pPr>
              <w:pStyle w:val="TableText0"/>
              <w:keepLines/>
              <w:rPr>
                <w:rFonts w:cs="Arial"/>
              </w:rPr>
            </w:pPr>
            <w:r w:rsidRPr="00A70DBB">
              <w:rPr>
                <w:rFonts w:cs="Arial"/>
              </w:rPr>
              <w:t>24 February 2017; Addendum 3 13 December 2018</w:t>
            </w:r>
          </w:p>
        </w:tc>
      </w:tr>
      <w:tr w:rsidR="007815E1" w:rsidRPr="00A70DBB" w14:paraId="275DA3A1" w14:textId="77777777" w:rsidTr="002D44E8">
        <w:tc>
          <w:tcPr>
            <w:tcW w:w="717" w:type="pct"/>
            <w:vMerge/>
            <w:tcBorders>
              <w:bottom w:val="single" w:sz="4" w:space="0" w:color="auto"/>
            </w:tcBorders>
            <w:shd w:val="clear" w:color="auto" w:fill="DBE5F1" w:themeFill="accent1" w:themeFillTint="33"/>
            <w:vAlign w:val="center"/>
          </w:tcPr>
          <w:p w14:paraId="3FE615D7" w14:textId="77777777" w:rsidR="007815E1" w:rsidRPr="00A70DBB" w:rsidRDefault="007815E1" w:rsidP="00361246">
            <w:pPr>
              <w:pStyle w:val="TableText0"/>
              <w:keepLines/>
            </w:pPr>
          </w:p>
        </w:tc>
        <w:tc>
          <w:tcPr>
            <w:tcW w:w="2948" w:type="pct"/>
            <w:tcBorders>
              <w:top w:val="nil"/>
              <w:bottom w:val="single" w:sz="4" w:space="0" w:color="auto"/>
            </w:tcBorders>
            <w:shd w:val="clear" w:color="auto" w:fill="DBE5F1" w:themeFill="accent1" w:themeFillTint="33"/>
            <w:vAlign w:val="center"/>
          </w:tcPr>
          <w:p w14:paraId="78E0AFF2" w14:textId="77777777" w:rsidR="007815E1" w:rsidRPr="00A70DBB" w:rsidRDefault="007815E1" w:rsidP="00361246">
            <w:pPr>
              <w:pStyle w:val="TableText0"/>
              <w:keepLines/>
              <w:rPr>
                <w:szCs w:val="18"/>
              </w:rPr>
            </w:pPr>
            <w:r w:rsidRPr="00A70DBB">
              <w:rPr>
                <w:rFonts w:cs="Segoe UI"/>
              </w:rPr>
              <w:t>Th</w:t>
            </w:r>
            <w:r>
              <w:rPr>
                <w:rFonts w:cs="Segoe UI"/>
              </w:rPr>
              <w:t>ie</w:t>
            </w:r>
            <w:r w:rsidRPr="00A70DBB">
              <w:rPr>
                <w:rFonts w:cs="Segoe UI"/>
              </w:rPr>
              <w:t xml:space="preserve">le EA et al. </w:t>
            </w:r>
            <w:r w:rsidRPr="00A70DBB">
              <w:rPr>
                <w:rFonts w:cs="Arial"/>
              </w:rPr>
              <w:t>Cannabidiol in patients with seizures associated with Lennox-Gastaut syndrome (GWPCARE4): a randomised, double-blind, placebo-controlled phase 3 trial.</w:t>
            </w:r>
          </w:p>
        </w:tc>
        <w:tc>
          <w:tcPr>
            <w:tcW w:w="1335" w:type="pct"/>
            <w:tcBorders>
              <w:top w:val="nil"/>
              <w:bottom w:val="single" w:sz="4" w:space="0" w:color="auto"/>
            </w:tcBorders>
            <w:shd w:val="clear" w:color="auto" w:fill="DBE5F1" w:themeFill="accent1" w:themeFillTint="33"/>
            <w:vAlign w:val="center"/>
          </w:tcPr>
          <w:p w14:paraId="5ECADBC3" w14:textId="77777777" w:rsidR="007815E1" w:rsidRPr="00A70DBB" w:rsidRDefault="007815E1" w:rsidP="00361246">
            <w:pPr>
              <w:pStyle w:val="TableText0"/>
              <w:keepLines/>
              <w:rPr>
                <w:i/>
                <w:szCs w:val="18"/>
              </w:rPr>
            </w:pPr>
            <w:r w:rsidRPr="00A70DBB">
              <w:rPr>
                <w:rFonts w:cs="Arial"/>
                <w:i/>
              </w:rPr>
              <w:t>The Lancet</w:t>
            </w:r>
            <w:r w:rsidRPr="00A70DBB">
              <w:rPr>
                <w:rFonts w:cs="Arial"/>
              </w:rPr>
              <w:t xml:space="preserve"> 2018: 391(10125): 1085-1096</w:t>
            </w:r>
          </w:p>
        </w:tc>
      </w:tr>
    </w:tbl>
    <w:p w14:paraId="462375CF" w14:textId="58983F7A" w:rsidR="004C1C28" w:rsidRPr="00A9560B" w:rsidRDefault="00013332" w:rsidP="00361246">
      <w:pPr>
        <w:keepNext/>
        <w:keepLines/>
        <w:rPr>
          <w:rFonts w:ascii="Arial Narrow" w:hAnsi="Arial Narrow"/>
          <w:sz w:val="18"/>
          <w:szCs w:val="18"/>
        </w:rPr>
      </w:pPr>
      <w:r w:rsidRPr="00A9560B">
        <w:rPr>
          <w:rFonts w:ascii="Arial Narrow" w:hAnsi="Arial Narrow"/>
          <w:sz w:val="18"/>
          <w:szCs w:val="18"/>
        </w:rPr>
        <w:t xml:space="preserve">Source: Table </w:t>
      </w:r>
      <w:r w:rsidR="00A9560B">
        <w:rPr>
          <w:rFonts w:ascii="Arial Narrow" w:hAnsi="Arial Narrow"/>
          <w:sz w:val="18"/>
          <w:szCs w:val="18"/>
        </w:rPr>
        <w:t>3</w:t>
      </w:r>
      <w:r w:rsidRPr="00A9560B">
        <w:rPr>
          <w:rFonts w:ascii="Arial Narrow" w:hAnsi="Arial Narrow"/>
          <w:sz w:val="18"/>
          <w:szCs w:val="18"/>
        </w:rPr>
        <w:t xml:space="preserve">, </w:t>
      </w:r>
      <w:r w:rsidR="00A9560B">
        <w:rPr>
          <w:rFonts w:ascii="Arial Narrow" w:hAnsi="Arial Narrow"/>
          <w:sz w:val="18"/>
          <w:szCs w:val="18"/>
        </w:rPr>
        <w:t xml:space="preserve">March 2022 </w:t>
      </w:r>
      <w:r w:rsidRPr="00A9560B">
        <w:rPr>
          <w:rFonts w:ascii="Arial Narrow" w:hAnsi="Arial Narrow"/>
          <w:sz w:val="18"/>
          <w:szCs w:val="18"/>
        </w:rPr>
        <w:t>cannabidiol PSD.</w:t>
      </w:r>
    </w:p>
    <w:p w14:paraId="4F616C79" w14:textId="34F2DE2E" w:rsidR="00BF03F8" w:rsidRDefault="006900EB" w:rsidP="00361246">
      <w:pPr>
        <w:pStyle w:val="3-BodyText"/>
        <w:rPr>
          <w:lang w:eastAsia="en-US"/>
        </w:rPr>
      </w:pPr>
      <w:r w:rsidRPr="006900EB">
        <w:rPr>
          <w:lang w:eastAsia="en-US"/>
        </w:rPr>
        <w:t>The submission did not present any new clinical evidence in support of the proposed amendments to the current</w:t>
      </w:r>
      <w:r w:rsidR="00CD54F1">
        <w:rPr>
          <w:lang w:eastAsia="en-US"/>
        </w:rPr>
        <w:t xml:space="preserve"> </w:t>
      </w:r>
      <w:r w:rsidR="009060C2" w:rsidRPr="009060C2">
        <w:rPr>
          <w:lang w:eastAsia="en-US"/>
        </w:rPr>
        <w:t>restriction criteria</w:t>
      </w:r>
      <w:r w:rsidRPr="006900EB">
        <w:rPr>
          <w:lang w:eastAsia="en-US"/>
        </w:rPr>
        <w:t>.</w:t>
      </w:r>
    </w:p>
    <w:p w14:paraId="65CB0EA9" w14:textId="05C3F0F0" w:rsidR="007818BB" w:rsidRDefault="00683B1C" w:rsidP="00361246">
      <w:pPr>
        <w:pStyle w:val="4-SubsectionHeading"/>
        <w:rPr>
          <w:lang w:eastAsia="en-US"/>
        </w:rPr>
      </w:pPr>
      <w:r w:rsidRPr="00683B1C">
        <w:rPr>
          <w:lang w:eastAsia="en-US"/>
        </w:rPr>
        <w:t xml:space="preserve">Rationale for the </w:t>
      </w:r>
      <w:r w:rsidR="000D7E10">
        <w:rPr>
          <w:lang w:eastAsia="en-US"/>
        </w:rPr>
        <w:t>p</w:t>
      </w:r>
      <w:r w:rsidRPr="00683B1C">
        <w:rPr>
          <w:lang w:eastAsia="en-US"/>
        </w:rPr>
        <w:t xml:space="preserve">roposed </w:t>
      </w:r>
      <w:r w:rsidR="000D7E10">
        <w:rPr>
          <w:lang w:eastAsia="en-US"/>
        </w:rPr>
        <w:t>c</w:t>
      </w:r>
      <w:r w:rsidRPr="00683B1C">
        <w:rPr>
          <w:lang w:eastAsia="en-US"/>
        </w:rPr>
        <w:t>hanges</w:t>
      </w:r>
    </w:p>
    <w:p w14:paraId="2BCD8D09" w14:textId="68218E52" w:rsidR="00683B1C" w:rsidRPr="00994E7B" w:rsidRDefault="00934373" w:rsidP="00361246">
      <w:pPr>
        <w:pStyle w:val="3-BodyText"/>
        <w:rPr>
          <w:iCs/>
          <w:lang w:eastAsia="en-US"/>
        </w:rPr>
      </w:pPr>
      <w:r w:rsidRPr="00934373">
        <w:rPr>
          <w:lang w:eastAsia="en-US"/>
        </w:rPr>
        <w:t xml:space="preserve">The submission claimed that the current PBS restrictions for cannabidiol </w:t>
      </w:r>
      <w:r w:rsidR="001251DE" w:rsidRPr="001251DE">
        <w:rPr>
          <w:lang w:eastAsia="en-US"/>
        </w:rPr>
        <w:t>in the LGS indication</w:t>
      </w:r>
      <w:r w:rsidR="001251DE">
        <w:rPr>
          <w:lang w:eastAsia="en-US"/>
        </w:rPr>
        <w:t xml:space="preserve"> </w:t>
      </w:r>
      <w:r w:rsidR="00F00B01" w:rsidRPr="00F00B01">
        <w:rPr>
          <w:lang w:eastAsia="en-US"/>
        </w:rPr>
        <w:t>delay or prevent patient access to the medicine</w:t>
      </w:r>
      <w:r w:rsidRPr="00934373">
        <w:rPr>
          <w:lang w:eastAsia="en-US"/>
        </w:rPr>
        <w:t>, based on formal feedback from epilepsy specialist physicians.</w:t>
      </w:r>
      <w:r w:rsidR="001971D8" w:rsidRPr="001971D8">
        <w:t xml:space="preserve"> </w:t>
      </w:r>
      <w:r w:rsidR="00BD7B92" w:rsidRPr="00994E7B">
        <w:rPr>
          <w:iCs/>
          <w:lang w:eastAsia="en-US"/>
        </w:rPr>
        <w:t xml:space="preserve">However, the evaluation noted that the submission did not include details </w:t>
      </w:r>
      <w:r w:rsidR="00FB4EF0" w:rsidRPr="00994E7B">
        <w:rPr>
          <w:iCs/>
          <w:lang w:eastAsia="en-US"/>
        </w:rPr>
        <w:t>about the</w:t>
      </w:r>
      <w:r w:rsidR="00BD7B92" w:rsidRPr="00994E7B">
        <w:rPr>
          <w:iCs/>
          <w:lang w:eastAsia="en-US"/>
        </w:rPr>
        <w:t xml:space="preserve"> </w:t>
      </w:r>
      <w:r w:rsidR="00B51A47" w:rsidRPr="00994E7B">
        <w:rPr>
          <w:iCs/>
          <w:lang w:eastAsia="en-US"/>
        </w:rPr>
        <w:t xml:space="preserve">clinicians </w:t>
      </w:r>
      <w:r w:rsidR="00BD7B92" w:rsidRPr="00994E7B">
        <w:rPr>
          <w:iCs/>
          <w:lang w:eastAsia="en-US"/>
        </w:rPr>
        <w:t>who provided this feedback</w:t>
      </w:r>
      <w:r w:rsidR="00B25985" w:rsidRPr="00994E7B">
        <w:rPr>
          <w:iCs/>
          <w:lang w:eastAsia="en-US"/>
        </w:rPr>
        <w:t>,</w:t>
      </w:r>
      <w:r w:rsidR="00FB4EF0" w:rsidRPr="00994E7B">
        <w:rPr>
          <w:iCs/>
          <w:lang w:eastAsia="en-US"/>
        </w:rPr>
        <w:t xml:space="preserve"> </w:t>
      </w:r>
      <w:r w:rsidR="006A5835" w:rsidRPr="00994E7B">
        <w:rPr>
          <w:iCs/>
          <w:lang w:eastAsia="en-US"/>
        </w:rPr>
        <w:t xml:space="preserve">the number of clinicians involved, or the specific concerns they raised regarding the restrictions. </w:t>
      </w:r>
      <w:r w:rsidR="00936F41" w:rsidRPr="00936F41">
        <w:rPr>
          <w:iCs/>
          <w:lang w:eastAsia="en-US"/>
        </w:rPr>
        <w:t>In its pre-PBAC response, the sponsor subsequently provided some information about the epilepsy specialist physicians who were consulted for their input.</w:t>
      </w:r>
    </w:p>
    <w:p w14:paraId="1C355D46" w14:textId="5BA99391" w:rsidR="007D1FA1" w:rsidRPr="00806EFF" w:rsidRDefault="00D51B83" w:rsidP="00361246">
      <w:pPr>
        <w:pStyle w:val="3-BodyText"/>
        <w:numPr>
          <w:ilvl w:val="0"/>
          <w:numId w:val="0"/>
        </w:numPr>
        <w:rPr>
          <w:i/>
          <w:iCs/>
          <w:u w:val="single"/>
          <w:lang w:eastAsia="en-US"/>
        </w:rPr>
      </w:pPr>
      <w:r>
        <w:rPr>
          <w:i/>
          <w:iCs/>
          <w:u w:val="single"/>
          <w:lang w:eastAsia="en-US"/>
        </w:rPr>
        <w:t>A</w:t>
      </w:r>
      <w:r w:rsidRPr="00D51B83">
        <w:rPr>
          <w:i/>
          <w:iCs/>
          <w:u w:val="single"/>
          <w:lang w:eastAsia="en-US"/>
        </w:rPr>
        <w:t>dministrative burden</w:t>
      </w:r>
    </w:p>
    <w:p w14:paraId="4858168D" w14:textId="10FA4374" w:rsidR="00806EFF" w:rsidRPr="00994E7B" w:rsidRDefault="00675151" w:rsidP="00361246">
      <w:pPr>
        <w:pStyle w:val="3-BodyText"/>
        <w:rPr>
          <w:iCs/>
          <w:lang w:eastAsia="en-US"/>
        </w:rPr>
      </w:pPr>
      <w:r w:rsidRPr="00481F52">
        <w:rPr>
          <w:lang w:eastAsia="en-US"/>
        </w:rPr>
        <w:t xml:space="preserve">The submission claimed that the </w:t>
      </w:r>
      <w:r w:rsidR="00CE45BB" w:rsidRPr="00481F52">
        <w:rPr>
          <w:lang w:eastAsia="en-US"/>
        </w:rPr>
        <w:t>lower-than-expected</w:t>
      </w:r>
      <w:r w:rsidRPr="00481F52">
        <w:rPr>
          <w:lang w:eastAsia="en-US"/>
        </w:rPr>
        <w:t xml:space="preserve"> usage of cannabidiol for the treatment of seizures associated with LGS is partly due to the current restriction level, </w:t>
      </w:r>
      <w:r w:rsidR="006E644B" w:rsidRPr="00481F52">
        <w:rPr>
          <w:lang w:eastAsia="en-US"/>
        </w:rPr>
        <w:t xml:space="preserve">which requires authority approval through the </w:t>
      </w:r>
      <w:r w:rsidR="00CE720D" w:rsidRPr="00481F52">
        <w:rPr>
          <w:lang w:eastAsia="en-US"/>
        </w:rPr>
        <w:t>t</w:t>
      </w:r>
      <w:r w:rsidR="006E644B" w:rsidRPr="00481F52">
        <w:rPr>
          <w:lang w:eastAsia="en-US"/>
        </w:rPr>
        <w:t xml:space="preserve">elephone or </w:t>
      </w:r>
      <w:r w:rsidR="00CE720D" w:rsidRPr="00481F52">
        <w:rPr>
          <w:lang w:eastAsia="en-US"/>
        </w:rPr>
        <w:t>o</w:t>
      </w:r>
      <w:r w:rsidR="006E644B" w:rsidRPr="00481F52">
        <w:rPr>
          <w:lang w:eastAsia="en-US"/>
        </w:rPr>
        <w:t>nline PBS Authorities system.</w:t>
      </w:r>
      <w:r w:rsidR="007354F6" w:rsidRPr="00481F52">
        <w:rPr>
          <w:lang w:eastAsia="en-US"/>
        </w:rPr>
        <w:t xml:space="preserve"> </w:t>
      </w:r>
      <w:r w:rsidR="00481F52" w:rsidRPr="00481F52">
        <w:rPr>
          <w:lang w:eastAsia="en-US"/>
        </w:rPr>
        <w:t>The submission stated that this approval process imposes an administrative burden on prescribers and</w:t>
      </w:r>
      <w:r w:rsidR="00A119A4">
        <w:rPr>
          <w:lang w:eastAsia="en-US"/>
        </w:rPr>
        <w:t>,</w:t>
      </w:r>
      <w:r w:rsidR="00481F52" w:rsidRPr="00481F52">
        <w:rPr>
          <w:lang w:eastAsia="en-US"/>
        </w:rPr>
        <w:t xml:space="preserve"> therefore</w:t>
      </w:r>
      <w:r w:rsidR="00D36598">
        <w:rPr>
          <w:lang w:eastAsia="en-US"/>
        </w:rPr>
        <w:t>,</w:t>
      </w:r>
      <w:r w:rsidR="00481F52" w:rsidRPr="00481F52">
        <w:rPr>
          <w:lang w:eastAsia="en-US"/>
        </w:rPr>
        <w:t xml:space="preserve"> requested that the authority level be changed </w:t>
      </w:r>
      <w:r w:rsidR="00F5169F">
        <w:rPr>
          <w:lang w:eastAsia="en-US"/>
        </w:rPr>
        <w:t xml:space="preserve">from </w:t>
      </w:r>
      <w:r w:rsidR="00F5169F" w:rsidRPr="00EF4AD3">
        <w:rPr>
          <w:iCs/>
          <w:color w:val="000000" w:themeColor="text1"/>
        </w:rPr>
        <w:t>Authority Required (Telephone/</w:t>
      </w:r>
      <w:r w:rsidR="00F5169F" w:rsidRPr="00E85002">
        <w:rPr>
          <w:iCs/>
          <w:color w:val="000000" w:themeColor="text1"/>
        </w:rPr>
        <w:t>online PBS Authorities system</w:t>
      </w:r>
      <w:r w:rsidR="00F5169F" w:rsidRPr="00EF4AD3">
        <w:rPr>
          <w:iCs/>
          <w:color w:val="000000" w:themeColor="text1"/>
        </w:rPr>
        <w:t xml:space="preserve">) </w:t>
      </w:r>
      <w:r w:rsidR="00481F52" w:rsidRPr="00481F52">
        <w:rPr>
          <w:lang w:eastAsia="en-US"/>
        </w:rPr>
        <w:t>to Authority Required (STREAMLINED).</w:t>
      </w:r>
      <w:r w:rsidR="00B5102E" w:rsidRPr="00B5102E">
        <w:t xml:space="preserve"> </w:t>
      </w:r>
    </w:p>
    <w:p w14:paraId="38887261" w14:textId="33C76243" w:rsidR="00534530" w:rsidRPr="00994E7B" w:rsidRDefault="00F63D80" w:rsidP="00361246">
      <w:pPr>
        <w:pStyle w:val="3-BodyText"/>
        <w:rPr>
          <w:lang w:eastAsia="en-US"/>
        </w:rPr>
      </w:pPr>
      <w:r w:rsidRPr="7C3CB66F">
        <w:rPr>
          <w:lang w:eastAsia="en-US"/>
        </w:rPr>
        <w:t xml:space="preserve">In </w:t>
      </w:r>
      <w:r w:rsidR="00B839BB" w:rsidRPr="7C3CB66F">
        <w:rPr>
          <w:lang w:eastAsia="en-US"/>
        </w:rPr>
        <w:t xml:space="preserve">its </w:t>
      </w:r>
      <w:r w:rsidR="7BDF83BA" w:rsidRPr="7C3CB66F">
        <w:rPr>
          <w:lang w:eastAsia="en-US"/>
        </w:rPr>
        <w:t xml:space="preserve">previous </w:t>
      </w:r>
      <w:r w:rsidR="00B839BB" w:rsidRPr="7C3CB66F">
        <w:rPr>
          <w:lang w:eastAsia="en-US"/>
        </w:rPr>
        <w:t xml:space="preserve">consideration of </w:t>
      </w:r>
      <w:r w:rsidRPr="7C3CB66F">
        <w:rPr>
          <w:lang w:eastAsia="en-US"/>
        </w:rPr>
        <w:t>cannabidiol for the treatment of DS</w:t>
      </w:r>
      <w:r w:rsidR="008B304F" w:rsidRPr="7C3CB66F">
        <w:rPr>
          <w:lang w:eastAsia="en-US"/>
        </w:rPr>
        <w:t xml:space="preserve"> and LGS</w:t>
      </w:r>
      <w:r w:rsidRPr="7C3CB66F">
        <w:rPr>
          <w:lang w:eastAsia="en-US"/>
        </w:rPr>
        <w:t xml:space="preserve">, the PBAC </w:t>
      </w:r>
      <w:r w:rsidR="00C321E5" w:rsidRPr="7C3CB66F">
        <w:rPr>
          <w:lang w:eastAsia="en-US"/>
        </w:rPr>
        <w:t>advised</w:t>
      </w:r>
      <w:r w:rsidRPr="7C3CB66F">
        <w:rPr>
          <w:lang w:eastAsia="en-US"/>
        </w:rPr>
        <w:t xml:space="preserve"> that an Authority Required (Telephone/Online), Section 85 (General Schedule) listing was appropriate (paragraph</w:t>
      </w:r>
      <w:r w:rsidR="00EE0803" w:rsidRPr="7C3CB66F">
        <w:rPr>
          <w:lang w:eastAsia="en-US"/>
        </w:rPr>
        <w:t>s 3.7</w:t>
      </w:r>
      <w:r w:rsidR="00C321E5" w:rsidRPr="7C3CB66F">
        <w:rPr>
          <w:lang w:eastAsia="en-US"/>
        </w:rPr>
        <w:t xml:space="preserve"> </w:t>
      </w:r>
      <w:r w:rsidR="00EE0803" w:rsidRPr="7C3CB66F">
        <w:rPr>
          <w:lang w:eastAsia="en-US"/>
        </w:rPr>
        <w:t>and</w:t>
      </w:r>
      <w:r w:rsidRPr="7C3CB66F">
        <w:rPr>
          <w:lang w:eastAsia="en-US"/>
        </w:rPr>
        <w:t xml:space="preserve"> 9.8, PSD</w:t>
      </w:r>
      <w:r w:rsidR="00694AE5" w:rsidRPr="7C3CB66F">
        <w:rPr>
          <w:lang w:eastAsia="en-US"/>
        </w:rPr>
        <w:t>s</w:t>
      </w:r>
      <w:r w:rsidRPr="7C3CB66F">
        <w:rPr>
          <w:lang w:eastAsia="en-US"/>
        </w:rPr>
        <w:t xml:space="preserve">, </w:t>
      </w:r>
      <w:r w:rsidR="00B35BB3" w:rsidRPr="7C3CB66F">
        <w:rPr>
          <w:lang w:eastAsia="en-US"/>
        </w:rPr>
        <w:t xml:space="preserve">July and </w:t>
      </w:r>
      <w:r w:rsidRPr="7C3CB66F">
        <w:rPr>
          <w:lang w:eastAsia="en-US"/>
        </w:rPr>
        <w:t>November 2020 PBAC meeting</w:t>
      </w:r>
      <w:r w:rsidR="00B35BB3" w:rsidRPr="7C3CB66F">
        <w:rPr>
          <w:lang w:eastAsia="en-US"/>
        </w:rPr>
        <w:t>s</w:t>
      </w:r>
      <w:r w:rsidRPr="7C3CB66F">
        <w:rPr>
          <w:lang w:eastAsia="en-US"/>
        </w:rPr>
        <w:t>).</w:t>
      </w:r>
      <w:r w:rsidR="0038007F" w:rsidRPr="7C3CB66F">
        <w:rPr>
          <w:rFonts w:ascii="Segoe UI" w:eastAsia="Times New Roman" w:hAnsi="Segoe UI" w:cs="Segoe UI"/>
          <w:color w:val="424242"/>
          <w:shd w:val="clear" w:color="auto" w:fill="FAFAFA"/>
        </w:rPr>
        <w:t xml:space="preserve"> </w:t>
      </w:r>
      <w:r w:rsidR="0038007F" w:rsidRPr="7C3CB66F">
        <w:rPr>
          <w:lang w:eastAsia="en-US"/>
        </w:rPr>
        <w:t>In the March 2022 resubmission, the proposed restriction level for LGS was consistent with that approved for DS</w:t>
      </w:r>
      <w:r w:rsidR="0093063D" w:rsidRPr="7C3CB66F">
        <w:rPr>
          <w:lang w:eastAsia="en-US"/>
        </w:rPr>
        <w:t>:</w:t>
      </w:r>
      <w:r w:rsidR="00021E30" w:rsidRPr="7C3CB66F">
        <w:rPr>
          <w:lang w:eastAsia="en-US"/>
        </w:rPr>
        <w:t xml:space="preserve"> </w:t>
      </w:r>
      <w:r w:rsidR="001F6B7E" w:rsidRPr="7C3CB66F">
        <w:rPr>
          <w:lang w:eastAsia="en-US"/>
        </w:rPr>
        <w:t>Authority Required (Telephone/Online).</w:t>
      </w:r>
    </w:p>
    <w:p w14:paraId="3A981C2B" w14:textId="52F201F2" w:rsidR="009B329E" w:rsidRPr="00994E7B" w:rsidRDefault="004E2A58" w:rsidP="00361246">
      <w:pPr>
        <w:pStyle w:val="3-BodyText"/>
        <w:rPr>
          <w:iCs/>
          <w:lang w:eastAsia="en-US"/>
        </w:rPr>
      </w:pPr>
      <w:r w:rsidRPr="00994E7B">
        <w:rPr>
          <w:iCs/>
          <w:lang w:eastAsia="en-US"/>
        </w:rPr>
        <w:lastRenderedPageBreak/>
        <w:t xml:space="preserve">The evaluation noted that the PBAC had previously acknowledged the potential for cannabidiol to be used outside the intended population, other than as </w:t>
      </w:r>
      <w:r w:rsidR="00CA55ED" w:rsidRPr="00994E7B">
        <w:rPr>
          <w:iCs/>
          <w:lang w:eastAsia="en-US"/>
        </w:rPr>
        <w:t xml:space="preserve">adjunctive </w:t>
      </w:r>
      <w:r w:rsidRPr="00994E7B">
        <w:rPr>
          <w:iCs/>
          <w:lang w:eastAsia="en-US"/>
        </w:rPr>
        <w:t xml:space="preserve">therapy </w:t>
      </w:r>
      <w:r w:rsidR="006E4CE4" w:rsidRPr="00994E7B">
        <w:rPr>
          <w:iCs/>
          <w:lang w:eastAsia="en-US"/>
        </w:rPr>
        <w:t xml:space="preserve">in combination with other AEDs </w:t>
      </w:r>
      <w:r w:rsidRPr="00994E7B">
        <w:rPr>
          <w:iCs/>
          <w:lang w:eastAsia="en-US"/>
        </w:rPr>
        <w:t>for LGS</w:t>
      </w:r>
      <w:r w:rsidR="0068714A" w:rsidRPr="00994E7B">
        <w:rPr>
          <w:iCs/>
          <w:lang w:eastAsia="en-US"/>
        </w:rPr>
        <w:t>,</w:t>
      </w:r>
      <w:r w:rsidR="00585E36" w:rsidRPr="00994E7B">
        <w:rPr>
          <w:iCs/>
          <w:lang w:eastAsia="en-US"/>
        </w:rPr>
        <w:t xml:space="preserve"> and </w:t>
      </w:r>
      <w:r w:rsidR="0068714A" w:rsidRPr="00994E7B">
        <w:rPr>
          <w:iCs/>
          <w:lang w:eastAsia="en-US"/>
        </w:rPr>
        <w:t xml:space="preserve">that </w:t>
      </w:r>
      <w:r w:rsidRPr="00994E7B">
        <w:rPr>
          <w:iCs/>
          <w:lang w:eastAsia="en-US"/>
        </w:rPr>
        <w:t>the submission did not propose any changes to the current restriction level for DS</w:t>
      </w:r>
      <w:r w:rsidR="00585E36" w:rsidRPr="00994E7B">
        <w:rPr>
          <w:iCs/>
          <w:lang w:eastAsia="en-US"/>
        </w:rPr>
        <w:t xml:space="preserve">. </w:t>
      </w:r>
    </w:p>
    <w:p w14:paraId="613803C4" w14:textId="0AE7ED1F" w:rsidR="00955BA9" w:rsidRDefault="007524A4" w:rsidP="00361246">
      <w:pPr>
        <w:pStyle w:val="3-BodyText"/>
        <w:numPr>
          <w:ilvl w:val="0"/>
          <w:numId w:val="0"/>
        </w:numPr>
        <w:rPr>
          <w:i/>
          <w:iCs/>
          <w:u w:val="single"/>
          <w:lang w:eastAsia="en-US"/>
        </w:rPr>
      </w:pPr>
      <w:r w:rsidRPr="004C6E2D">
        <w:rPr>
          <w:i/>
          <w:iCs/>
          <w:u w:val="single"/>
          <w:lang w:eastAsia="en-US"/>
        </w:rPr>
        <w:t>Inequitable a</w:t>
      </w:r>
      <w:r w:rsidRPr="007524A4">
        <w:rPr>
          <w:i/>
          <w:iCs/>
          <w:u w:val="single"/>
          <w:lang w:eastAsia="en-US"/>
        </w:rPr>
        <w:t>ccess to cannabidiol</w:t>
      </w:r>
    </w:p>
    <w:p w14:paraId="3834D8D8" w14:textId="36694B63" w:rsidR="009E0B16" w:rsidRDefault="00107672" w:rsidP="00361246">
      <w:pPr>
        <w:pStyle w:val="3-BodyText"/>
        <w:rPr>
          <w:lang w:eastAsia="en-US"/>
        </w:rPr>
      </w:pPr>
      <w:bookmarkStart w:id="7" w:name="_Ref199505211"/>
      <w:r w:rsidRPr="00107672">
        <w:rPr>
          <w:lang w:eastAsia="en-US"/>
        </w:rPr>
        <w:t>The submission stated that consultation with epilepsy specialist physicians and the Epilepsy Society of Australia (ESA) has highlighted that the current restriction criteria contribute to inequitable access to cannabidiol,</w:t>
      </w:r>
      <w:r w:rsidR="001F1B12" w:rsidRPr="001F1B12">
        <w:rPr>
          <w:rFonts w:ascii="Segoe UI" w:eastAsia="Times New Roman" w:hAnsi="Segoe UI" w:cs="Segoe UI"/>
          <w:color w:val="424242"/>
          <w:szCs w:val="24"/>
          <w:shd w:val="clear" w:color="auto" w:fill="FAFAFA"/>
        </w:rPr>
        <w:t xml:space="preserve"> </w:t>
      </w:r>
      <w:r w:rsidR="001F1B12" w:rsidRPr="001F1B12">
        <w:rPr>
          <w:lang w:eastAsia="en-US"/>
        </w:rPr>
        <w:t>particularly for adult patients and those living in rural and remote areas. This inequity is attributed to</w:t>
      </w:r>
      <w:r w:rsidRPr="00107672">
        <w:rPr>
          <w:lang w:eastAsia="en-US"/>
        </w:rPr>
        <w:t>:</w:t>
      </w:r>
      <w:bookmarkEnd w:id="7"/>
    </w:p>
    <w:p w14:paraId="3339FE7E" w14:textId="461D6568" w:rsidR="009E0B16" w:rsidRDefault="009E0B16" w:rsidP="00361246">
      <w:pPr>
        <w:pStyle w:val="3-BodyText"/>
        <w:numPr>
          <w:ilvl w:val="0"/>
          <w:numId w:val="24"/>
        </w:numPr>
        <w:rPr>
          <w:lang w:eastAsia="en-US"/>
        </w:rPr>
      </w:pPr>
      <w:r w:rsidRPr="009E0B16">
        <w:rPr>
          <w:lang w:eastAsia="en-US"/>
        </w:rPr>
        <w:t>the unavailability of EEG services in rural and remote</w:t>
      </w:r>
      <w:r w:rsidR="00C01657">
        <w:rPr>
          <w:lang w:eastAsia="en-US"/>
        </w:rPr>
        <w:t xml:space="preserve"> </w:t>
      </w:r>
      <w:r w:rsidR="00CE45BB" w:rsidRPr="001F1B12">
        <w:rPr>
          <w:lang w:eastAsia="en-US"/>
        </w:rPr>
        <w:t>areas</w:t>
      </w:r>
      <w:r w:rsidR="00CE45BB" w:rsidRPr="009E0B16">
        <w:rPr>
          <w:lang w:eastAsia="en-US"/>
        </w:rPr>
        <w:t>.</w:t>
      </w:r>
    </w:p>
    <w:p w14:paraId="5B828912" w14:textId="32A9471B" w:rsidR="00475D6B" w:rsidRDefault="0089191A" w:rsidP="00361246">
      <w:pPr>
        <w:pStyle w:val="3-BodyText"/>
        <w:numPr>
          <w:ilvl w:val="0"/>
          <w:numId w:val="24"/>
        </w:numPr>
        <w:rPr>
          <w:lang w:eastAsia="en-US"/>
        </w:rPr>
      </w:pPr>
      <w:r w:rsidRPr="0089191A">
        <w:rPr>
          <w:lang w:eastAsia="en-US"/>
        </w:rPr>
        <w:t xml:space="preserve">difficulties in obtaining EEG in adults with LGS due to behavioural, cognitive, and physical </w:t>
      </w:r>
      <w:r w:rsidR="00CE45BB" w:rsidRPr="0089191A">
        <w:rPr>
          <w:lang w:eastAsia="en-US"/>
        </w:rPr>
        <w:t>comorbidities</w:t>
      </w:r>
      <w:r w:rsidR="00CE45BB" w:rsidRPr="009E0B16">
        <w:rPr>
          <w:lang w:eastAsia="en-US"/>
        </w:rPr>
        <w:t>.</w:t>
      </w:r>
    </w:p>
    <w:p w14:paraId="273FE9D0" w14:textId="29F9D4BB" w:rsidR="00E52DF5" w:rsidRPr="00DF5855" w:rsidRDefault="002B5C05" w:rsidP="00361246">
      <w:pPr>
        <w:pStyle w:val="ListParagraph"/>
        <w:numPr>
          <w:ilvl w:val="0"/>
          <w:numId w:val="24"/>
        </w:numPr>
        <w:rPr>
          <w:rFonts w:eastAsiaTheme="minorHAnsi" w:cstheme="minorBidi"/>
          <w:snapToGrid/>
          <w:szCs w:val="22"/>
          <w:lang w:eastAsia="en-US"/>
        </w:rPr>
      </w:pPr>
      <w:r w:rsidRPr="002B5C05">
        <w:rPr>
          <w:lang w:eastAsia="en-US"/>
        </w:rPr>
        <w:t>the inability to detect the specified EEG features in adult patients due to the well-documented evolution of LGS EEG patterns with age</w:t>
      </w:r>
      <w:r w:rsidR="00CE45BB">
        <w:rPr>
          <w:lang w:eastAsia="en-US"/>
        </w:rPr>
        <w:t>,</w:t>
      </w:r>
      <w:r w:rsidR="0027261F">
        <w:rPr>
          <w:lang w:eastAsia="en-US"/>
        </w:rPr>
        <w:t xml:space="preserve"> </w:t>
      </w:r>
      <w:r w:rsidR="009E0B16" w:rsidRPr="009E0B16">
        <w:rPr>
          <w:lang w:eastAsia="en-US"/>
        </w:rPr>
        <w:t>and</w:t>
      </w:r>
    </w:p>
    <w:p w14:paraId="49B68632" w14:textId="2E1B187E" w:rsidR="00214DD4" w:rsidRDefault="009924AB" w:rsidP="00361246">
      <w:pPr>
        <w:pStyle w:val="3-BodyText"/>
        <w:numPr>
          <w:ilvl w:val="0"/>
          <w:numId w:val="24"/>
        </w:numPr>
        <w:rPr>
          <w:lang w:eastAsia="en-US"/>
        </w:rPr>
      </w:pPr>
      <w:r>
        <w:rPr>
          <w:lang w:eastAsia="en-US"/>
        </w:rPr>
        <w:t>d</w:t>
      </w:r>
      <w:r w:rsidRPr="009924AB">
        <w:rPr>
          <w:lang w:eastAsia="en-US"/>
        </w:rPr>
        <w:t>ifficulties in accessing historical medical records containing previously performed and reported EEGs, or the need to repeat an EEG.</w:t>
      </w:r>
    </w:p>
    <w:p w14:paraId="7E21282A" w14:textId="139937BB" w:rsidR="0094523E" w:rsidRPr="00994E7B" w:rsidRDefault="00775204" w:rsidP="00361246">
      <w:pPr>
        <w:pStyle w:val="3-BodyText"/>
        <w:numPr>
          <w:ilvl w:val="1"/>
          <w:numId w:val="2"/>
        </w:numPr>
        <w:rPr>
          <w:iCs/>
          <w:lang w:eastAsia="en-US"/>
        </w:rPr>
      </w:pPr>
      <w:r w:rsidRPr="00775204">
        <w:rPr>
          <w:lang w:eastAsia="en-US"/>
        </w:rPr>
        <w:t xml:space="preserve">The submission proposed two options to </w:t>
      </w:r>
      <w:r w:rsidR="0016511C">
        <w:rPr>
          <w:lang w:eastAsia="en-US"/>
        </w:rPr>
        <w:t xml:space="preserve">address </w:t>
      </w:r>
      <w:r w:rsidR="004A1AB6" w:rsidRPr="004A1AB6">
        <w:rPr>
          <w:lang w:eastAsia="en-US"/>
        </w:rPr>
        <w:t>inequitable access to cannabidiol</w:t>
      </w:r>
      <w:r w:rsidR="0055333A">
        <w:rPr>
          <w:lang w:eastAsia="en-US"/>
        </w:rPr>
        <w:t>,</w:t>
      </w:r>
      <w:r w:rsidR="004A1AB6" w:rsidRPr="004A1AB6">
        <w:rPr>
          <w:lang w:eastAsia="en-US"/>
        </w:rPr>
        <w:t xml:space="preserve"> </w:t>
      </w:r>
      <w:r w:rsidR="0055333A" w:rsidRPr="0055333A">
        <w:rPr>
          <w:lang w:eastAsia="en-US"/>
        </w:rPr>
        <w:t xml:space="preserve">which arises from limitations associated with EEG </w:t>
      </w:r>
      <w:r w:rsidR="007E7B97">
        <w:rPr>
          <w:lang w:eastAsia="en-US"/>
        </w:rPr>
        <w:t>(</w:t>
      </w:r>
      <w:r w:rsidR="0055333A" w:rsidRPr="0055333A">
        <w:rPr>
          <w:lang w:eastAsia="en-US"/>
        </w:rPr>
        <w:t>particularly in rural and remote area</w:t>
      </w:r>
      <w:r w:rsidR="007E7B97">
        <w:rPr>
          <w:lang w:eastAsia="en-US"/>
        </w:rPr>
        <w:t>s</w:t>
      </w:r>
      <w:r w:rsidR="00F46228">
        <w:rPr>
          <w:lang w:eastAsia="en-US"/>
        </w:rPr>
        <w:t xml:space="preserve"> </w:t>
      </w:r>
      <w:r w:rsidR="005B14AE">
        <w:rPr>
          <w:lang w:eastAsia="en-US"/>
        </w:rPr>
        <w:t>and</w:t>
      </w:r>
      <w:r w:rsidR="004475DC">
        <w:rPr>
          <w:lang w:eastAsia="en-US"/>
        </w:rPr>
        <w:t xml:space="preserve"> </w:t>
      </w:r>
      <w:r w:rsidR="00F46228">
        <w:rPr>
          <w:lang w:eastAsia="en-US"/>
        </w:rPr>
        <w:t>adult patients with LGS</w:t>
      </w:r>
      <w:r w:rsidR="007E7B97">
        <w:rPr>
          <w:lang w:eastAsia="en-US"/>
        </w:rPr>
        <w:t xml:space="preserve">) </w:t>
      </w:r>
      <w:r w:rsidR="0055333A" w:rsidRPr="0055333A">
        <w:rPr>
          <w:lang w:eastAsia="en-US"/>
        </w:rPr>
        <w:t xml:space="preserve">or the </w:t>
      </w:r>
      <w:r w:rsidR="00A46F6B">
        <w:rPr>
          <w:lang w:eastAsia="en-US"/>
        </w:rPr>
        <w:t>un</w:t>
      </w:r>
      <w:r w:rsidR="0055333A" w:rsidRPr="0055333A">
        <w:rPr>
          <w:lang w:eastAsia="en-US"/>
        </w:rPr>
        <w:t>availability of EEG records, as outlined in paragraph</w:t>
      </w:r>
      <w:r w:rsidR="00693780">
        <w:rPr>
          <w:lang w:eastAsia="en-US"/>
        </w:rPr>
        <w:t xml:space="preserve"> </w:t>
      </w:r>
      <w:r w:rsidR="00693780">
        <w:rPr>
          <w:lang w:eastAsia="en-US"/>
        </w:rPr>
        <w:fldChar w:fldCharType="begin"/>
      </w:r>
      <w:r w:rsidR="00693780">
        <w:rPr>
          <w:lang w:eastAsia="en-US"/>
        </w:rPr>
        <w:instrText xml:space="preserve"> REF _Ref199505211 \r \h </w:instrText>
      </w:r>
      <w:r w:rsidR="00693780">
        <w:rPr>
          <w:lang w:eastAsia="en-US"/>
        </w:rPr>
      </w:r>
      <w:r w:rsidR="00693780">
        <w:rPr>
          <w:lang w:eastAsia="en-US"/>
        </w:rPr>
        <w:fldChar w:fldCharType="separate"/>
      </w:r>
      <w:r w:rsidR="00BC591C">
        <w:rPr>
          <w:lang w:eastAsia="en-US"/>
        </w:rPr>
        <w:t>4.11</w:t>
      </w:r>
      <w:r w:rsidR="00693780">
        <w:rPr>
          <w:lang w:eastAsia="en-US"/>
        </w:rPr>
        <w:fldChar w:fldCharType="end"/>
      </w:r>
      <w:r w:rsidRPr="00775204">
        <w:rPr>
          <w:lang w:eastAsia="en-US"/>
        </w:rPr>
        <w:t>: Option 1</w:t>
      </w:r>
      <w:r w:rsidR="001C6880">
        <w:rPr>
          <w:lang w:eastAsia="en-US"/>
        </w:rPr>
        <w:t>,</w:t>
      </w:r>
      <w:r w:rsidRPr="00775204">
        <w:rPr>
          <w:lang w:eastAsia="en-US"/>
        </w:rPr>
        <w:t xml:space="preserve"> to remove the requirement for an EEG to </w:t>
      </w:r>
      <w:r w:rsidR="001F6F55" w:rsidRPr="001F6F55">
        <w:rPr>
          <w:lang w:eastAsia="en-US"/>
        </w:rPr>
        <w:t>confirm the diagnosis of LGS</w:t>
      </w:r>
      <w:r w:rsidRPr="00775204">
        <w:rPr>
          <w:lang w:eastAsia="en-US"/>
        </w:rPr>
        <w:t>, and Option 2</w:t>
      </w:r>
      <w:r w:rsidR="0003418A">
        <w:rPr>
          <w:lang w:eastAsia="en-US"/>
        </w:rPr>
        <w:t>,</w:t>
      </w:r>
      <w:r w:rsidRPr="00775204">
        <w:rPr>
          <w:lang w:eastAsia="en-US"/>
        </w:rPr>
        <w:t xml:space="preserve"> to remove the requirement for </w:t>
      </w:r>
      <w:r w:rsidR="00682F63">
        <w:rPr>
          <w:lang w:eastAsia="en-US"/>
        </w:rPr>
        <w:t xml:space="preserve">an </w:t>
      </w:r>
      <w:r w:rsidRPr="00775204">
        <w:rPr>
          <w:lang w:eastAsia="en-US"/>
        </w:rPr>
        <w:t xml:space="preserve">EEG </w:t>
      </w:r>
      <w:r w:rsidR="0003418A">
        <w:rPr>
          <w:lang w:eastAsia="en-US"/>
        </w:rPr>
        <w:t xml:space="preserve">showing </w:t>
      </w:r>
      <w:r w:rsidR="00AB1C46" w:rsidRPr="00AB1C46">
        <w:rPr>
          <w:lang w:eastAsia="en-US"/>
        </w:rPr>
        <w:t>a pattern of slow (less than 3.0 hertz) spike-and-wave discharges with generalised paroxysmal fast activity</w:t>
      </w:r>
      <w:r w:rsidR="00E30695">
        <w:rPr>
          <w:lang w:eastAsia="en-US"/>
        </w:rPr>
        <w:t xml:space="preserve">. The submission stated that Option 2 </w:t>
      </w:r>
      <w:r w:rsidR="001E4EE2" w:rsidRPr="001E4EE2">
        <w:rPr>
          <w:lang w:eastAsia="en-US"/>
        </w:rPr>
        <w:t xml:space="preserve">was based on input from </w:t>
      </w:r>
      <w:r w:rsidR="0094523E" w:rsidRPr="0094523E">
        <w:rPr>
          <w:lang w:eastAsia="en-US"/>
        </w:rPr>
        <w:t>epilepsy specialist physicians</w:t>
      </w:r>
      <w:r w:rsidR="0094523E">
        <w:rPr>
          <w:lang w:eastAsia="en-US"/>
        </w:rPr>
        <w:t xml:space="preserve"> </w:t>
      </w:r>
      <w:r w:rsidR="001E4EE2" w:rsidRPr="001E4EE2">
        <w:rPr>
          <w:lang w:eastAsia="en-US"/>
        </w:rPr>
        <w:t xml:space="preserve">indicating that such EEG features may not be present in adults. </w:t>
      </w:r>
      <w:r w:rsidR="00977B29" w:rsidRPr="00977B29">
        <w:rPr>
          <w:lang w:eastAsia="en-US"/>
        </w:rPr>
        <w:t xml:space="preserve">The submission </w:t>
      </w:r>
      <w:r w:rsidR="00C06791">
        <w:rPr>
          <w:lang w:eastAsia="en-US"/>
        </w:rPr>
        <w:t xml:space="preserve">claimed </w:t>
      </w:r>
      <w:r w:rsidR="00977B29" w:rsidRPr="00977B29">
        <w:rPr>
          <w:lang w:eastAsia="en-US"/>
        </w:rPr>
        <w:t xml:space="preserve">that LGS progresses with age, leading to changes in seizure patterns and EEG features. For example, </w:t>
      </w:r>
      <w:r w:rsidR="00CE03CB">
        <w:rPr>
          <w:lang w:eastAsia="en-US"/>
        </w:rPr>
        <w:t xml:space="preserve">the submission stated that </w:t>
      </w:r>
      <w:r w:rsidR="00977B29" w:rsidRPr="00977B29">
        <w:rPr>
          <w:lang w:eastAsia="en-US"/>
        </w:rPr>
        <w:t xml:space="preserve">while children and adolescents typically exhibit 1.5–2.5 hertz slow spike-wave discharges during wakefulness and generalised paroxysmal fast activity during sleep, these patterns become less prominent or may even disappear in adulthood. </w:t>
      </w:r>
      <w:r w:rsidR="00FF6734" w:rsidRPr="00977B29">
        <w:rPr>
          <w:lang w:eastAsia="en-US"/>
        </w:rPr>
        <w:t>Subsequently</w:t>
      </w:r>
      <w:r w:rsidR="00977B29" w:rsidRPr="00977B29">
        <w:rPr>
          <w:lang w:eastAsia="en-US"/>
        </w:rPr>
        <w:t>, many adults (after the age of 16 years) no longer display the typical slow spike-wave discharges required for access to cannabidiol</w:t>
      </w:r>
      <w:r w:rsidR="00442B61">
        <w:rPr>
          <w:lang w:eastAsia="en-US"/>
        </w:rPr>
        <w:t>.</w:t>
      </w:r>
    </w:p>
    <w:p w14:paraId="730E4F39" w14:textId="3396E634" w:rsidR="0075228A" w:rsidRPr="00994E7B" w:rsidRDefault="0075228A" w:rsidP="00361246">
      <w:pPr>
        <w:pStyle w:val="3-BodyText"/>
        <w:numPr>
          <w:ilvl w:val="1"/>
          <w:numId w:val="2"/>
        </w:numPr>
        <w:rPr>
          <w:iCs/>
          <w:lang w:eastAsia="en-US"/>
        </w:rPr>
      </w:pPr>
      <w:r w:rsidRPr="00994E7B">
        <w:rPr>
          <w:iCs/>
          <w:lang w:eastAsia="en-US"/>
        </w:rPr>
        <w:t xml:space="preserve">However, the PBAC had previously noted clinical advice that LGS is a heterogeneous condition, often inconsistently defined in </w:t>
      </w:r>
      <w:r w:rsidR="00276A09">
        <w:rPr>
          <w:iCs/>
          <w:lang w:eastAsia="en-US"/>
        </w:rPr>
        <w:t xml:space="preserve">clinical </w:t>
      </w:r>
      <w:r w:rsidRPr="00994E7B">
        <w:rPr>
          <w:iCs/>
          <w:lang w:eastAsia="en-US"/>
        </w:rPr>
        <w:t xml:space="preserve">practice, and that EEG is the most definitive diagnostic measure for LGS. Further, the ESA </w:t>
      </w:r>
      <w:r w:rsidR="002F6BF1" w:rsidRPr="00994E7B">
        <w:rPr>
          <w:iCs/>
          <w:lang w:eastAsia="en-US"/>
        </w:rPr>
        <w:t xml:space="preserve">stated </w:t>
      </w:r>
      <w:r w:rsidRPr="00994E7B">
        <w:rPr>
          <w:iCs/>
          <w:lang w:eastAsia="en-US"/>
        </w:rPr>
        <w:t xml:space="preserve">that it would be appropriate to require </w:t>
      </w:r>
      <w:r w:rsidR="00A02D77" w:rsidRPr="00994E7B">
        <w:rPr>
          <w:iCs/>
          <w:lang w:eastAsia="en-US"/>
        </w:rPr>
        <w:t xml:space="preserve">patients to have </w:t>
      </w:r>
      <w:r w:rsidRPr="00994E7B">
        <w:rPr>
          <w:iCs/>
          <w:lang w:eastAsia="en-US"/>
        </w:rPr>
        <w:t>an electroclinical diagnosis of LGS confirmed by a neurologist with expertise in epilepsy</w:t>
      </w:r>
      <w:r w:rsidR="0056437E" w:rsidRPr="00994E7B">
        <w:rPr>
          <w:iCs/>
          <w:lang w:eastAsia="en-US"/>
        </w:rPr>
        <w:t xml:space="preserve"> </w:t>
      </w:r>
      <w:r w:rsidR="0056437E" w:rsidRPr="00994E7B">
        <w:rPr>
          <w:iCs/>
        </w:rPr>
        <w:t>and include typical EEG features of LGS in the</w:t>
      </w:r>
      <w:r w:rsidR="00FA6839" w:rsidRPr="00994E7B">
        <w:rPr>
          <w:iCs/>
        </w:rPr>
        <w:t xml:space="preserve"> </w:t>
      </w:r>
      <w:r w:rsidR="00F12664" w:rsidRPr="00994E7B">
        <w:rPr>
          <w:iCs/>
        </w:rPr>
        <w:t xml:space="preserve">clinical </w:t>
      </w:r>
      <w:r w:rsidR="00FA6839" w:rsidRPr="00994E7B">
        <w:rPr>
          <w:iCs/>
        </w:rPr>
        <w:t>criteria</w:t>
      </w:r>
      <w:r w:rsidR="00FA6839" w:rsidRPr="00994E7B">
        <w:rPr>
          <w:iCs/>
          <w:lang w:eastAsia="en-US"/>
        </w:rPr>
        <w:t xml:space="preserve">. </w:t>
      </w:r>
      <w:r w:rsidR="00952B36" w:rsidRPr="00994E7B">
        <w:rPr>
          <w:iCs/>
          <w:lang w:eastAsia="en-US"/>
        </w:rPr>
        <w:t xml:space="preserve">As such, the PBAC considered it appropriate to include a specific definition of LGS in the restriction criteria </w:t>
      </w:r>
      <w:r w:rsidR="007E767E" w:rsidRPr="00994E7B">
        <w:rPr>
          <w:iCs/>
          <w:lang w:eastAsia="en-US"/>
        </w:rPr>
        <w:t>to clearly identify patients with LGS</w:t>
      </w:r>
      <w:r w:rsidR="00C45F40" w:rsidRPr="00994E7B">
        <w:rPr>
          <w:iCs/>
          <w:lang w:eastAsia="en-US"/>
        </w:rPr>
        <w:t xml:space="preserve"> (</w:t>
      </w:r>
      <w:r w:rsidR="00263803" w:rsidRPr="00994E7B">
        <w:rPr>
          <w:iCs/>
          <w:lang w:eastAsia="en-US"/>
        </w:rPr>
        <w:t>paragraph</w:t>
      </w:r>
      <w:r w:rsidR="00C45F40" w:rsidRPr="00994E7B">
        <w:rPr>
          <w:iCs/>
          <w:lang w:eastAsia="en-US"/>
        </w:rPr>
        <w:t xml:space="preserve"> </w:t>
      </w:r>
      <w:r w:rsidR="00263803" w:rsidRPr="00994E7B">
        <w:rPr>
          <w:iCs/>
          <w:lang w:eastAsia="en-US"/>
        </w:rPr>
        <w:t>9.19, PSD, November 2020 PBAC meeting)</w:t>
      </w:r>
      <w:r w:rsidRPr="00994E7B">
        <w:rPr>
          <w:iCs/>
          <w:lang w:eastAsia="en-US"/>
        </w:rPr>
        <w:t>.</w:t>
      </w:r>
      <w:r w:rsidR="00EC7199" w:rsidRPr="00994E7B">
        <w:rPr>
          <w:iCs/>
          <w:lang w:eastAsia="en-US"/>
        </w:rPr>
        <w:t xml:space="preserve"> </w:t>
      </w:r>
    </w:p>
    <w:p w14:paraId="1A18C113" w14:textId="6D1D9EDA" w:rsidR="00D269FB" w:rsidRPr="00994E7B" w:rsidRDefault="0046000A" w:rsidP="00361246">
      <w:pPr>
        <w:pStyle w:val="3-BodyText"/>
        <w:numPr>
          <w:ilvl w:val="1"/>
          <w:numId w:val="2"/>
        </w:numPr>
        <w:spacing w:before="0"/>
        <w:rPr>
          <w:szCs w:val="24"/>
          <w:lang w:eastAsia="en-US"/>
        </w:rPr>
      </w:pPr>
      <w:r w:rsidRPr="0046000A">
        <w:rPr>
          <w:lang w:eastAsia="en-US"/>
        </w:rPr>
        <w:lastRenderedPageBreak/>
        <w:t xml:space="preserve">The submission argued that, as no other country with registration and reimbursement requires EEG as a criterion for accessing </w:t>
      </w:r>
      <w:r w:rsidR="00B53225">
        <w:rPr>
          <w:lang w:eastAsia="en-US"/>
        </w:rPr>
        <w:t>cannabidiol and</w:t>
      </w:r>
      <w:r w:rsidRPr="0046000A">
        <w:rPr>
          <w:lang w:eastAsia="en-US"/>
        </w:rPr>
        <w:t xml:space="preserve"> given that PBS restrictions for other </w:t>
      </w:r>
      <w:r w:rsidR="00AE7974">
        <w:rPr>
          <w:lang w:eastAsia="en-US"/>
        </w:rPr>
        <w:t xml:space="preserve">AEDs </w:t>
      </w:r>
      <w:r w:rsidRPr="0046000A">
        <w:rPr>
          <w:lang w:eastAsia="en-US"/>
        </w:rPr>
        <w:t>used in the treatment of LGS do not specify EEG</w:t>
      </w:r>
      <w:r w:rsidR="008B3C77">
        <w:rPr>
          <w:lang w:eastAsia="en-US"/>
        </w:rPr>
        <w:t xml:space="preserve"> </w:t>
      </w:r>
      <w:r w:rsidR="00787E82">
        <w:rPr>
          <w:lang w:eastAsia="en-US"/>
        </w:rPr>
        <w:t>requirement</w:t>
      </w:r>
      <w:r w:rsidR="00651399">
        <w:rPr>
          <w:lang w:eastAsia="en-US"/>
        </w:rPr>
        <w:t>s</w:t>
      </w:r>
      <w:r w:rsidRPr="0046000A">
        <w:rPr>
          <w:lang w:eastAsia="en-US"/>
        </w:rPr>
        <w:t>, seizure type, or frequency</w:t>
      </w:r>
      <w:r w:rsidR="00AC6109">
        <w:rPr>
          <w:lang w:eastAsia="en-US"/>
        </w:rPr>
        <w:t xml:space="preserve"> in the </w:t>
      </w:r>
      <w:r w:rsidRPr="0046000A">
        <w:rPr>
          <w:lang w:eastAsia="en-US"/>
        </w:rPr>
        <w:t>clinical criteria</w:t>
      </w:r>
      <w:r w:rsidR="000C3591">
        <w:rPr>
          <w:lang w:eastAsia="en-US"/>
        </w:rPr>
        <w:t>,</w:t>
      </w:r>
      <w:r w:rsidRPr="0046000A">
        <w:rPr>
          <w:lang w:eastAsia="en-US"/>
        </w:rPr>
        <w:t xml:space="preserve"> </w:t>
      </w:r>
      <w:r w:rsidR="000C3591" w:rsidRPr="000C3591">
        <w:rPr>
          <w:lang w:eastAsia="en-US"/>
        </w:rPr>
        <w:t>similar criteria should therefore be applied to the cannabidiol listing</w:t>
      </w:r>
      <w:r w:rsidRPr="0046000A">
        <w:rPr>
          <w:lang w:eastAsia="en-US"/>
        </w:rPr>
        <w:t>.</w:t>
      </w:r>
      <w:r w:rsidR="00566EFB">
        <w:rPr>
          <w:lang w:eastAsia="en-US"/>
        </w:rPr>
        <w:t xml:space="preserve"> </w:t>
      </w:r>
      <w:bookmarkStart w:id="8" w:name="_Hlk199582885"/>
      <w:r w:rsidR="00566EFB" w:rsidRPr="7C3CB66F">
        <w:rPr>
          <w:lang w:eastAsia="en-US"/>
        </w:rPr>
        <w:t xml:space="preserve">The evaluation </w:t>
      </w:r>
      <w:r w:rsidR="6EF476CD" w:rsidRPr="7C3CB66F">
        <w:rPr>
          <w:lang w:eastAsia="en-US"/>
        </w:rPr>
        <w:t>could</w:t>
      </w:r>
      <w:r w:rsidR="00821F7A">
        <w:rPr>
          <w:lang w:eastAsia="en-US"/>
        </w:rPr>
        <w:t xml:space="preserve"> not</w:t>
      </w:r>
      <w:r w:rsidR="00566EFB" w:rsidRPr="7C3CB66F">
        <w:rPr>
          <w:lang w:eastAsia="en-US"/>
        </w:rPr>
        <w:t xml:space="preserve"> verify whether other jurisdictions impose the requirement for an EEG as a diagnostic measure for LGS to access government-funded cannabidiol. </w:t>
      </w:r>
      <w:r w:rsidR="00437558" w:rsidRPr="7C3CB66F">
        <w:rPr>
          <w:lang w:eastAsia="en-US"/>
        </w:rPr>
        <w:t>T</w:t>
      </w:r>
      <w:r w:rsidR="00566EFB" w:rsidRPr="7C3CB66F">
        <w:rPr>
          <w:lang w:eastAsia="en-US"/>
        </w:rPr>
        <w:t xml:space="preserve">opiramate and cannabidiol are explicitly TGA-approved </w:t>
      </w:r>
      <w:r w:rsidR="00FB5016" w:rsidRPr="7C3CB66F">
        <w:rPr>
          <w:lang w:eastAsia="en-US"/>
        </w:rPr>
        <w:t>as add-on therapies for LGS in Australia.</w:t>
      </w:r>
      <w:r w:rsidR="0083734C">
        <w:t xml:space="preserve"> </w:t>
      </w:r>
      <w:r w:rsidR="0083734C" w:rsidRPr="7C3CB66F">
        <w:rPr>
          <w:lang w:eastAsia="en-US"/>
        </w:rPr>
        <w:t>Topiramate is currently PBS-listed as a General Schedule Authority Required (STREAMLINED) listing for LGS when seizures are not satisfactorily controlled by other AEDs.</w:t>
      </w:r>
    </w:p>
    <w:bookmarkEnd w:id="8"/>
    <w:p w14:paraId="2621FFD5" w14:textId="044C09F2" w:rsidR="00D23D16" w:rsidRPr="00D978AD" w:rsidRDefault="0063380D" w:rsidP="00361246">
      <w:pPr>
        <w:pStyle w:val="3-BodyText"/>
        <w:spacing w:before="0"/>
      </w:pPr>
      <w:r w:rsidRPr="0063380D">
        <w:t>The submission indicated that, should an EEG no longer be required to confirm a diagnosis of LGS under the updated restriction, the prescribing instruction “Tonic seizures must have been recorded on video-EEG or have been clearly observed and reported by a witness” would be redundant</w:t>
      </w:r>
      <w:r w:rsidR="00970DD4">
        <w:t xml:space="preserve">. </w:t>
      </w:r>
      <w:r w:rsidR="00D978AD" w:rsidRPr="00D978AD">
        <w:t>The submission therefore requested the removal of this prescribing instruction under Option 2.</w:t>
      </w:r>
    </w:p>
    <w:p w14:paraId="05C49B2C" w14:textId="213FC2D4" w:rsidR="00FE49D6" w:rsidRDefault="0009412A" w:rsidP="00361246">
      <w:pPr>
        <w:pStyle w:val="3-BodyText"/>
        <w:keepNext/>
        <w:numPr>
          <w:ilvl w:val="0"/>
          <w:numId w:val="0"/>
        </w:numPr>
      </w:pPr>
      <w:r w:rsidRPr="0009412A">
        <w:rPr>
          <w:i/>
          <w:iCs/>
          <w:u w:val="single"/>
          <w:lang w:eastAsia="en-US"/>
        </w:rPr>
        <w:t>Clinical terms for seizure types and frequency</w:t>
      </w:r>
      <w:r w:rsidRPr="0009412A">
        <w:t>.</w:t>
      </w:r>
    </w:p>
    <w:p w14:paraId="00B5C5A9" w14:textId="7926E76D" w:rsidR="00053AFE" w:rsidRDefault="006E5256" w:rsidP="00361246">
      <w:pPr>
        <w:pStyle w:val="3-BodyText"/>
      </w:pPr>
      <w:bookmarkStart w:id="9" w:name="_Ref199514851"/>
      <w:r w:rsidRPr="006E5256">
        <w:t xml:space="preserve">The submission proposed removing the term “generalised” from the criterion: “Patient must have (as an initiating patient)/have had (as a continuing patient) more than one type of generalised seizure.” The submission </w:t>
      </w:r>
      <w:r w:rsidR="00053AFE">
        <w:t xml:space="preserve">argued </w:t>
      </w:r>
      <w:r w:rsidRPr="006E5256">
        <w:t>that the current wording is clinically inaccurate, as seizure types in patients with LGS are not limited to generalised seizures. While generalised seizure</w:t>
      </w:r>
      <w:r w:rsidR="00053AFE">
        <w:t xml:space="preserve">s, </w:t>
      </w:r>
      <w:r w:rsidRPr="006E5256">
        <w:t>such as tonic, atonic, and atypical absence seizure</w:t>
      </w:r>
      <w:r w:rsidR="00053AFE">
        <w:t xml:space="preserve">s, </w:t>
      </w:r>
      <w:r w:rsidRPr="006E5256">
        <w:t xml:space="preserve">are characteristic features of LGS, </w:t>
      </w:r>
      <w:r w:rsidR="00053AFE" w:rsidRPr="006E5256">
        <w:t>many</w:t>
      </w:r>
      <w:r w:rsidRPr="006E5256">
        <w:t xml:space="preserve"> patients also experience focal seizures.</w:t>
      </w:r>
      <w:bookmarkEnd w:id="9"/>
    </w:p>
    <w:p w14:paraId="43F813E5" w14:textId="5AF9A08B" w:rsidR="00194FF7" w:rsidRPr="00994E7B" w:rsidRDefault="00194FF7" w:rsidP="00361246">
      <w:pPr>
        <w:pStyle w:val="3-BodyText"/>
        <w:rPr>
          <w:color w:val="000000" w:themeColor="text1"/>
        </w:rPr>
      </w:pPr>
      <w:r w:rsidRPr="00194FF7">
        <w:rPr>
          <w:iCs/>
          <w:color w:val="000000" w:themeColor="text1"/>
        </w:rPr>
        <w:t>The submission further argued that limiting the seizure types and frequency in the initiation criterion to</w:t>
      </w:r>
      <w:r>
        <w:rPr>
          <w:iCs/>
          <w:color w:val="000000" w:themeColor="text1"/>
        </w:rPr>
        <w:t xml:space="preserve"> </w:t>
      </w:r>
      <w:r w:rsidRPr="00194FF7">
        <w:rPr>
          <w:color w:val="000000" w:themeColor="text1"/>
        </w:rPr>
        <w:t>“at least two drop seizures (atonic, tonic, or tonic-clonic) per week”</w:t>
      </w:r>
      <w:r>
        <w:rPr>
          <w:iCs/>
          <w:color w:val="000000" w:themeColor="text1"/>
        </w:rPr>
        <w:t xml:space="preserve"> </w:t>
      </w:r>
      <w:r w:rsidRPr="00194FF7">
        <w:rPr>
          <w:iCs/>
          <w:color w:val="000000" w:themeColor="text1"/>
        </w:rPr>
        <w:t xml:space="preserve">is excessively restrictive. As noted in paragraph </w:t>
      </w:r>
      <w:r w:rsidR="000B083B">
        <w:rPr>
          <w:iCs/>
          <w:color w:val="000000" w:themeColor="text1"/>
        </w:rPr>
        <w:fldChar w:fldCharType="begin"/>
      </w:r>
      <w:r w:rsidR="000B083B">
        <w:rPr>
          <w:iCs/>
          <w:color w:val="000000" w:themeColor="text1"/>
        </w:rPr>
        <w:instrText xml:space="preserve"> REF _Ref199514851 \r \h </w:instrText>
      </w:r>
      <w:r w:rsidR="000B083B">
        <w:rPr>
          <w:iCs/>
          <w:color w:val="000000" w:themeColor="text1"/>
        </w:rPr>
      </w:r>
      <w:r w:rsidR="000B083B">
        <w:rPr>
          <w:iCs/>
          <w:color w:val="000000" w:themeColor="text1"/>
        </w:rPr>
        <w:fldChar w:fldCharType="separate"/>
      </w:r>
      <w:r w:rsidR="00BC591C">
        <w:rPr>
          <w:iCs/>
          <w:color w:val="000000" w:themeColor="text1"/>
        </w:rPr>
        <w:t>4.16</w:t>
      </w:r>
      <w:r w:rsidR="000B083B">
        <w:rPr>
          <w:iCs/>
          <w:color w:val="000000" w:themeColor="text1"/>
        </w:rPr>
        <w:fldChar w:fldCharType="end"/>
      </w:r>
      <w:r w:rsidRPr="00194FF7">
        <w:rPr>
          <w:iCs/>
          <w:color w:val="000000" w:themeColor="text1"/>
        </w:rPr>
        <w:t xml:space="preserve">, while atonic, tonic, and tonic-clonic seizures are common in patients with LGS, the condition is characterised by multiple seizure types, including myoclonic, atypical absence, and focal seizures. Seizure frequency can also fluctuate naturally, with some patients experiencing clusters in one week and fewer in another. </w:t>
      </w:r>
      <w:r w:rsidR="005248E1" w:rsidRPr="00994E7B">
        <w:rPr>
          <w:color w:val="000000" w:themeColor="text1"/>
        </w:rPr>
        <w:t xml:space="preserve">The </w:t>
      </w:r>
      <w:r w:rsidRPr="00994E7B">
        <w:rPr>
          <w:color w:val="000000" w:themeColor="text1"/>
        </w:rPr>
        <w:t xml:space="preserve">PBAC had previously noted that clinical trials of cannabidiol required patients to have at least two drop seizures per week at baseline and considered it appropriate to reflect this in the restriction </w:t>
      </w:r>
      <w:r w:rsidR="005248E1" w:rsidRPr="00994E7B">
        <w:rPr>
          <w:color w:val="000000" w:themeColor="text1"/>
        </w:rPr>
        <w:t>criteria (</w:t>
      </w:r>
      <w:r w:rsidR="005248E1" w:rsidRPr="00994E7B">
        <w:rPr>
          <w:color w:val="000000" w:themeColor="text1"/>
        </w:rPr>
        <w:fldChar w:fldCharType="begin"/>
      </w:r>
      <w:r w:rsidR="005248E1" w:rsidRPr="00994E7B">
        <w:rPr>
          <w:color w:val="000000" w:themeColor="text1"/>
        </w:rPr>
        <w:instrText xml:space="preserve"> REF _Ref199431877 \h  \* MERGEFORMAT </w:instrText>
      </w:r>
      <w:r w:rsidR="005248E1" w:rsidRPr="00994E7B">
        <w:rPr>
          <w:color w:val="000000" w:themeColor="text1"/>
        </w:rPr>
      </w:r>
      <w:r w:rsidR="005248E1" w:rsidRPr="00994E7B">
        <w:rPr>
          <w:color w:val="000000" w:themeColor="text1"/>
        </w:rPr>
        <w:fldChar w:fldCharType="separate"/>
      </w:r>
      <w:r w:rsidR="00BC591C" w:rsidRPr="003F3593">
        <w:rPr>
          <w:szCs w:val="20"/>
        </w:rPr>
        <w:t xml:space="preserve">Table </w:t>
      </w:r>
      <w:r w:rsidR="00BC591C">
        <w:rPr>
          <w:noProof/>
          <w:szCs w:val="20"/>
        </w:rPr>
        <w:t>1</w:t>
      </w:r>
      <w:r w:rsidR="005248E1" w:rsidRPr="00994E7B">
        <w:rPr>
          <w:color w:val="000000" w:themeColor="text1"/>
        </w:rPr>
        <w:fldChar w:fldCharType="end"/>
      </w:r>
      <w:r w:rsidR="005248E1" w:rsidRPr="00994E7B">
        <w:rPr>
          <w:color w:val="000000" w:themeColor="text1"/>
        </w:rPr>
        <w:t xml:space="preserve">). </w:t>
      </w:r>
      <w:r w:rsidRPr="00994E7B">
        <w:rPr>
          <w:color w:val="000000" w:themeColor="text1"/>
        </w:rPr>
        <w:t xml:space="preserve">The evaluation </w:t>
      </w:r>
      <w:r w:rsidR="005248E1" w:rsidRPr="00994E7B">
        <w:rPr>
          <w:color w:val="000000" w:themeColor="text1"/>
        </w:rPr>
        <w:t xml:space="preserve">noted </w:t>
      </w:r>
      <w:r w:rsidRPr="00994E7B">
        <w:rPr>
          <w:color w:val="000000" w:themeColor="text1"/>
        </w:rPr>
        <w:t xml:space="preserve">that the </w:t>
      </w:r>
      <w:r w:rsidR="005248E1" w:rsidRPr="00994E7B">
        <w:rPr>
          <w:color w:val="000000" w:themeColor="text1"/>
        </w:rPr>
        <w:t xml:space="preserve">PBS </w:t>
      </w:r>
      <w:r w:rsidRPr="00994E7B">
        <w:rPr>
          <w:color w:val="000000" w:themeColor="text1"/>
        </w:rPr>
        <w:t>listing</w:t>
      </w:r>
      <w:r w:rsidR="005248E1" w:rsidRPr="00994E7B">
        <w:rPr>
          <w:color w:val="000000" w:themeColor="text1"/>
        </w:rPr>
        <w:t xml:space="preserve"> </w:t>
      </w:r>
      <w:r w:rsidRPr="00994E7B">
        <w:rPr>
          <w:color w:val="000000" w:themeColor="text1"/>
        </w:rPr>
        <w:t xml:space="preserve">was based on these trials, which demonstrated the </w:t>
      </w:r>
      <w:r w:rsidR="005248E1" w:rsidRPr="00994E7B">
        <w:rPr>
          <w:color w:val="000000" w:themeColor="text1"/>
        </w:rPr>
        <w:t>efficacy</w:t>
      </w:r>
      <w:r w:rsidRPr="00994E7B">
        <w:rPr>
          <w:color w:val="000000" w:themeColor="text1"/>
        </w:rPr>
        <w:t xml:space="preserve"> of cannabidiol on drop seizures in LGS</w:t>
      </w:r>
      <w:r w:rsidR="005248E1" w:rsidRPr="00994E7B">
        <w:rPr>
          <w:color w:val="000000" w:themeColor="text1"/>
        </w:rPr>
        <w:t xml:space="preserve"> (paragraph </w:t>
      </w:r>
      <w:r w:rsidR="005248E1" w:rsidRPr="00994E7B">
        <w:rPr>
          <w:color w:val="000000" w:themeColor="text1"/>
        </w:rPr>
        <w:fldChar w:fldCharType="begin"/>
      </w:r>
      <w:r w:rsidR="005248E1" w:rsidRPr="00994E7B">
        <w:rPr>
          <w:color w:val="000000" w:themeColor="text1"/>
        </w:rPr>
        <w:instrText xml:space="preserve"> REF _Ref199436261 \r \h  \* MERGEFORMAT </w:instrText>
      </w:r>
      <w:r w:rsidR="005248E1" w:rsidRPr="00994E7B">
        <w:rPr>
          <w:color w:val="000000" w:themeColor="text1"/>
        </w:rPr>
      </w:r>
      <w:r w:rsidR="005248E1" w:rsidRPr="00994E7B">
        <w:rPr>
          <w:color w:val="000000" w:themeColor="text1"/>
        </w:rPr>
        <w:fldChar w:fldCharType="separate"/>
      </w:r>
      <w:r w:rsidR="00BC591C">
        <w:rPr>
          <w:color w:val="000000" w:themeColor="text1"/>
        </w:rPr>
        <w:t>3.6</w:t>
      </w:r>
      <w:r w:rsidR="005248E1" w:rsidRPr="00994E7B">
        <w:rPr>
          <w:color w:val="000000" w:themeColor="text1"/>
        </w:rPr>
        <w:fldChar w:fldCharType="end"/>
      </w:r>
      <w:r w:rsidR="005248E1" w:rsidRPr="00994E7B">
        <w:rPr>
          <w:color w:val="000000" w:themeColor="text1"/>
        </w:rPr>
        <w:t>).</w:t>
      </w:r>
    </w:p>
    <w:p w14:paraId="309D0A0D" w14:textId="5823C227" w:rsidR="00663114" w:rsidRDefault="00D17213" w:rsidP="00361246">
      <w:pPr>
        <w:pStyle w:val="3-BodyText"/>
        <w:numPr>
          <w:ilvl w:val="0"/>
          <w:numId w:val="0"/>
        </w:numPr>
        <w:rPr>
          <w:i/>
          <w:color w:val="000000" w:themeColor="text1"/>
          <w:u w:val="single"/>
        </w:rPr>
      </w:pPr>
      <w:r w:rsidRPr="00D17213">
        <w:rPr>
          <w:i/>
          <w:color w:val="000000" w:themeColor="text1"/>
          <w:u w:val="single"/>
        </w:rPr>
        <w:t>Adjunctive therapy</w:t>
      </w:r>
    </w:p>
    <w:p w14:paraId="1A2BBB86" w14:textId="35858344" w:rsidR="00E719FD" w:rsidRPr="00994E7B" w:rsidRDefault="00071482" w:rsidP="00361246">
      <w:pPr>
        <w:pStyle w:val="3-BodyText"/>
        <w:rPr>
          <w:iCs/>
          <w:szCs w:val="24"/>
        </w:rPr>
      </w:pPr>
      <w:r w:rsidRPr="00D005C3">
        <w:rPr>
          <w:szCs w:val="24"/>
        </w:rPr>
        <w:t xml:space="preserve">The submission requested the addition of “at initiation” </w:t>
      </w:r>
      <w:r w:rsidR="0084646D">
        <w:rPr>
          <w:szCs w:val="24"/>
        </w:rPr>
        <w:t xml:space="preserve">to </w:t>
      </w:r>
      <w:r w:rsidRPr="00D005C3">
        <w:rPr>
          <w:szCs w:val="24"/>
        </w:rPr>
        <w:t xml:space="preserve">the clinical criterion: “The treatment must be as adjunctive therapy to at least two other </w:t>
      </w:r>
      <w:r w:rsidR="00B64610" w:rsidRPr="00B64610">
        <w:rPr>
          <w:szCs w:val="24"/>
        </w:rPr>
        <w:t>antiseizure medication</w:t>
      </w:r>
      <w:r w:rsidRPr="00D005C3">
        <w:rPr>
          <w:szCs w:val="24"/>
        </w:rPr>
        <w:t xml:space="preserve">”. </w:t>
      </w:r>
      <w:r w:rsidR="00900F95" w:rsidRPr="00900F95">
        <w:rPr>
          <w:szCs w:val="24"/>
        </w:rPr>
        <w:t>This amendment is intended to require that cannabidiol be used with two concomitant AEDs only at the initiation of treatment, with this requirement not applying to continuing therapy.</w:t>
      </w:r>
    </w:p>
    <w:p w14:paraId="29759E81" w14:textId="0F42CB2D" w:rsidR="009718E6" w:rsidRPr="00994E7B" w:rsidRDefault="00D06634" w:rsidP="00361246">
      <w:pPr>
        <w:pStyle w:val="3-BodyText"/>
        <w:rPr>
          <w:iCs/>
          <w:szCs w:val="24"/>
        </w:rPr>
      </w:pPr>
      <w:r w:rsidRPr="00D06634">
        <w:lastRenderedPageBreak/>
        <w:t>The submission noted input from epilepsy specialists indicating that patients who initially achieve seizure control with cannabidiol and two AEDs may later discontinue one AED while maintaining seizure control. Under the current restriction, such patients would become ineligible for continued PBS-subsidised treatment.</w:t>
      </w:r>
      <w:r w:rsidRPr="00994E7B">
        <w:rPr>
          <w:iCs/>
        </w:rPr>
        <w:t xml:space="preserve"> However, the submission did not provide evidence demonstrating that cannabidiol combined with a single AED offers comparable clinical benefit to its use with two AEDs. The evaluation noted that the proposed </w:t>
      </w:r>
      <w:r w:rsidR="001F5855" w:rsidRPr="00994E7B">
        <w:rPr>
          <w:iCs/>
        </w:rPr>
        <w:t>criterion</w:t>
      </w:r>
      <w:r w:rsidRPr="00994E7B">
        <w:rPr>
          <w:iCs/>
        </w:rPr>
        <w:t xml:space="preserve"> could allow continued treatment with cannabidiol even in the absence of any concomitant AEDs, </w:t>
      </w:r>
      <w:r w:rsidR="008567BB" w:rsidRPr="00994E7B">
        <w:rPr>
          <w:iCs/>
        </w:rPr>
        <w:t>potentially resulting in a small increase in the eligible population.</w:t>
      </w:r>
      <w:r w:rsidRPr="00994E7B">
        <w:rPr>
          <w:iCs/>
        </w:rPr>
        <w:t xml:space="preserve"> </w:t>
      </w:r>
      <w:r w:rsidR="00F74961" w:rsidRPr="00994E7B">
        <w:rPr>
          <w:iCs/>
        </w:rPr>
        <w:t xml:space="preserve">The evaluation also notes the TGA-approved indication for cannabidiol is as adjunctive therapy (paragraph </w:t>
      </w:r>
      <w:r w:rsidR="00F74961" w:rsidRPr="00994E7B">
        <w:rPr>
          <w:iCs/>
        </w:rPr>
        <w:fldChar w:fldCharType="begin"/>
      </w:r>
      <w:r w:rsidR="00F74961" w:rsidRPr="00994E7B">
        <w:rPr>
          <w:iCs/>
        </w:rPr>
        <w:instrText xml:space="preserve"> REF _Ref199585154 \r \h </w:instrText>
      </w:r>
      <w:r w:rsidR="00F74961" w:rsidRPr="00994E7B">
        <w:rPr>
          <w:iCs/>
        </w:rPr>
      </w:r>
      <w:r w:rsidR="00F74961" w:rsidRPr="00994E7B">
        <w:rPr>
          <w:iCs/>
        </w:rPr>
        <w:fldChar w:fldCharType="separate"/>
      </w:r>
      <w:r w:rsidR="00BC591C">
        <w:rPr>
          <w:iCs/>
        </w:rPr>
        <w:t>2.3</w:t>
      </w:r>
      <w:r w:rsidR="00F74961" w:rsidRPr="00994E7B">
        <w:rPr>
          <w:iCs/>
        </w:rPr>
        <w:fldChar w:fldCharType="end"/>
      </w:r>
      <w:r w:rsidR="00F74961" w:rsidRPr="00994E7B">
        <w:rPr>
          <w:iCs/>
        </w:rPr>
        <w:t xml:space="preserve">), </w:t>
      </w:r>
      <w:r w:rsidR="00B3750A" w:rsidRPr="00994E7B">
        <w:rPr>
          <w:iCs/>
          <w:szCs w:val="24"/>
        </w:rPr>
        <w:t>without specifying a required number of concomitant AEDs for ongoing treatment.</w:t>
      </w:r>
    </w:p>
    <w:p w14:paraId="6F2721E8" w14:textId="3DFFCF5D" w:rsidR="00400357" w:rsidRDefault="00400357" w:rsidP="00361246">
      <w:pPr>
        <w:pStyle w:val="3-BodyText"/>
        <w:keepNext/>
        <w:numPr>
          <w:ilvl w:val="0"/>
          <w:numId w:val="0"/>
        </w:numPr>
        <w:rPr>
          <w:i/>
          <w:iCs/>
          <w:u w:val="single"/>
          <w:lang w:eastAsia="en-US"/>
        </w:rPr>
      </w:pPr>
      <w:r w:rsidRPr="00400357">
        <w:rPr>
          <w:i/>
          <w:iCs/>
          <w:u w:val="single"/>
          <w:lang w:eastAsia="en-US"/>
        </w:rPr>
        <w:t xml:space="preserve">Treatment criteria </w:t>
      </w:r>
    </w:p>
    <w:p w14:paraId="2EE4772D" w14:textId="495E4A9D" w:rsidR="00400357" w:rsidRPr="00994E7B" w:rsidRDefault="00726F16" w:rsidP="00361246">
      <w:pPr>
        <w:pStyle w:val="3-BodyText"/>
        <w:rPr>
          <w:iCs/>
        </w:rPr>
      </w:pPr>
      <w:r w:rsidRPr="00726F16">
        <w:t>The submission requested amending the treatment criteria to allow prescribing by a paediatrician without neurologist consultation, and continuation by a general practitioner in consultation with a paediatrician</w:t>
      </w:r>
      <w:r w:rsidR="00BB7206">
        <w:t>. T</w:t>
      </w:r>
      <w:r w:rsidR="00BB7206" w:rsidRPr="00BB7206">
        <w:t>his request was based on the limited availability of paediatric neurologists in rural areas</w:t>
      </w:r>
      <w:r w:rsidR="00BB7206">
        <w:t xml:space="preserve"> (e.g., </w:t>
      </w:r>
      <w:r w:rsidR="00BB7206" w:rsidRPr="00BB7206">
        <w:t>Queenslan</w:t>
      </w:r>
      <w:r w:rsidR="00BB7206">
        <w:t xml:space="preserve">d) </w:t>
      </w:r>
      <w:r w:rsidR="00BB7206" w:rsidRPr="00BB7206">
        <w:t>where general paediatricians are often responsible for managing patients with LGS</w:t>
      </w:r>
      <w:r w:rsidR="008F53DE">
        <w:t xml:space="preserve">. </w:t>
      </w:r>
      <w:r w:rsidR="000056EE" w:rsidRPr="00994E7B">
        <w:rPr>
          <w:iCs/>
        </w:rPr>
        <w:t xml:space="preserve">In March 2022, the restriction in the resubmission was modelled on that approved for DS, where </w:t>
      </w:r>
      <w:r w:rsidR="00C14B73" w:rsidRPr="00994E7B">
        <w:rPr>
          <w:bCs/>
          <w:iCs/>
          <w:szCs w:val="20"/>
        </w:rPr>
        <w:t xml:space="preserve">the PBAC advised that initial prescribing should be limited to neurologists, and that paediatricians and general practitioners, in addition to neurologists, could also continue treatment, but only in consultation with a neurologist </w:t>
      </w:r>
      <w:r w:rsidR="000056EE" w:rsidRPr="00994E7B">
        <w:rPr>
          <w:iCs/>
        </w:rPr>
        <w:t xml:space="preserve">(see </w:t>
      </w:r>
      <w:r w:rsidR="000056EE" w:rsidRPr="00994E7B">
        <w:rPr>
          <w:iCs/>
        </w:rPr>
        <w:fldChar w:fldCharType="begin"/>
      </w:r>
      <w:r w:rsidR="000056EE" w:rsidRPr="00994E7B">
        <w:rPr>
          <w:iCs/>
        </w:rPr>
        <w:instrText xml:space="preserve"> REF _Ref199431877 \h </w:instrText>
      </w:r>
      <w:r w:rsidR="00C14B73" w:rsidRPr="00994E7B">
        <w:rPr>
          <w:iCs/>
        </w:rPr>
        <w:instrText xml:space="preserve"> \* MERGEFORMAT </w:instrText>
      </w:r>
      <w:r w:rsidR="000056EE" w:rsidRPr="00994E7B">
        <w:rPr>
          <w:iCs/>
        </w:rPr>
      </w:r>
      <w:r w:rsidR="000056EE" w:rsidRPr="00994E7B">
        <w:rPr>
          <w:iCs/>
        </w:rPr>
        <w:fldChar w:fldCharType="separate"/>
      </w:r>
      <w:r w:rsidR="00BC591C" w:rsidRPr="00BC591C">
        <w:rPr>
          <w:iCs/>
          <w:szCs w:val="20"/>
        </w:rPr>
        <w:t xml:space="preserve">Table </w:t>
      </w:r>
      <w:r w:rsidR="00BC591C" w:rsidRPr="00BC591C">
        <w:rPr>
          <w:iCs/>
          <w:noProof/>
          <w:szCs w:val="20"/>
        </w:rPr>
        <w:t>1</w:t>
      </w:r>
      <w:r w:rsidR="000056EE" w:rsidRPr="00994E7B">
        <w:rPr>
          <w:iCs/>
        </w:rPr>
        <w:fldChar w:fldCharType="end"/>
      </w:r>
      <w:r w:rsidR="000056EE" w:rsidRPr="00994E7B">
        <w:rPr>
          <w:iCs/>
        </w:rPr>
        <w:t>).</w:t>
      </w:r>
    </w:p>
    <w:p w14:paraId="45D181E4" w14:textId="6CD20046" w:rsidR="00C27C1C" w:rsidRPr="00994E7B" w:rsidRDefault="00C27C1C" w:rsidP="00361246">
      <w:pPr>
        <w:pStyle w:val="4-SubsectionHeading"/>
        <w:rPr>
          <w:iCs/>
          <w:lang w:eastAsia="en-US"/>
        </w:rPr>
      </w:pPr>
      <w:r w:rsidRPr="00994E7B">
        <w:rPr>
          <w:iCs/>
          <w:lang w:eastAsia="en-US"/>
        </w:rPr>
        <w:t xml:space="preserve">Economic analysis </w:t>
      </w:r>
    </w:p>
    <w:p w14:paraId="726364E2" w14:textId="64D855C0" w:rsidR="002C2F74" w:rsidRPr="002C2F74" w:rsidRDefault="00464811" w:rsidP="00361246">
      <w:pPr>
        <w:pStyle w:val="3-BodyText"/>
      </w:pPr>
      <w:r w:rsidRPr="00464811">
        <w:t>No economic analysis was provided, as the submission stated that the proposed changes to the PBS restrictions would not impact the cost-effectiveness of cannabidiol.</w:t>
      </w:r>
    </w:p>
    <w:p w14:paraId="3C71CC3F" w14:textId="2AAE8131" w:rsidR="00F26D80" w:rsidRDefault="00D70349" w:rsidP="00361246">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218B60AF" w14:textId="1E6B60F1" w:rsidR="00365D6F" w:rsidRPr="00994E7B" w:rsidRDefault="00824D82" w:rsidP="00361246">
      <w:pPr>
        <w:pStyle w:val="3-BodyText"/>
        <w:numPr>
          <w:ilvl w:val="1"/>
          <w:numId w:val="2"/>
        </w:numPr>
        <w:rPr>
          <w:iCs/>
        </w:rPr>
      </w:pPr>
      <w:r w:rsidRPr="00824D82">
        <w:t xml:space="preserve">The submission presented a comparison between the actual utilisation (measured by the number of bottles dispensed) and the net financial impact against those estimated in the July 2022 PBAC submission </w:t>
      </w:r>
      <w:r w:rsidR="00325E37" w:rsidRPr="00325E37">
        <w:t>(</w:t>
      </w:r>
      <w:r w:rsidR="00325E37" w:rsidRPr="00E275A9">
        <w:rPr>
          <w:rFonts w:cstheme="minorHAnsi"/>
          <w:szCs w:val="24"/>
        </w:rPr>
        <w:t>see</w:t>
      </w:r>
      <w:r w:rsidR="00E275A9" w:rsidRPr="00E275A9">
        <w:rPr>
          <w:rFonts w:cstheme="minorHAnsi"/>
          <w:szCs w:val="24"/>
        </w:rPr>
        <w:t xml:space="preserve"> </w:t>
      </w:r>
      <w:r w:rsidR="00E275A9" w:rsidRPr="00E275A9">
        <w:rPr>
          <w:rFonts w:cstheme="minorHAnsi"/>
          <w:szCs w:val="24"/>
        </w:rPr>
        <w:fldChar w:fldCharType="begin"/>
      </w:r>
      <w:r w:rsidR="00E275A9" w:rsidRPr="00E275A9">
        <w:rPr>
          <w:rFonts w:cstheme="minorHAnsi"/>
          <w:szCs w:val="24"/>
        </w:rPr>
        <w:instrText xml:space="preserve"> REF _Ref199582964 \h  \* MERGEFORMAT </w:instrText>
      </w:r>
      <w:r w:rsidR="00E275A9" w:rsidRPr="00E275A9">
        <w:rPr>
          <w:rFonts w:cstheme="minorHAnsi"/>
          <w:szCs w:val="24"/>
        </w:rPr>
      </w:r>
      <w:r w:rsidR="00E275A9" w:rsidRPr="00E275A9">
        <w:rPr>
          <w:rFonts w:cstheme="minorHAnsi"/>
          <w:szCs w:val="24"/>
        </w:rPr>
        <w:fldChar w:fldCharType="separate"/>
      </w:r>
      <w:r w:rsidR="00BC591C" w:rsidRPr="00BC591C">
        <w:rPr>
          <w:rFonts w:cstheme="minorHAnsi"/>
          <w:szCs w:val="24"/>
        </w:rPr>
        <w:t xml:space="preserve">Table </w:t>
      </w:r>
      <w:r w:rsidR="00BC591C" w:rsidRPr="00BC591C">
        <w:rPr>
          <w:rFonts w:cstheme="minorHAnsi"/>
          <w:noProof/>
          <w:szCs w:val="24"/>
        </w:rPr>
        <w:t>3</w:t>
      </w:r>
      <w:r w:rsidR="00E275A9" w:rsidRPr="00E275A9">
        <w:rPr>
          <w:rFonts w:cstheme="minorHAnsi"/>
          <w:szCs w:val="24"/>
        </w:rPr>
        <w:fldChar w:fldCharType="end"/>
      </w:r>
      <w:r w:rsidR="00325E37" w:rsidRPr="00325E37">
        <w:t xml:space="preserve">). </w:t>
      </w:r>
      <w:r w:rsidR="00325E37" w:rsidRPr="00E740F5">
        <w:t>It claimed that current usage represents only 18% of the projected number of bottles expected to be dispensed, and 23% of the estimated financial impact during the first year of listing (June 2023 to May 2024).</w:t>
      </w:r>
      <w:r w:rsidR="00387128" w:rsidRPr="00E740F5">
        <w:t xml:space="preserve"> </w:t>
      </w:r>
      <w:r w:rsidR="005D0A1C" w:rsidRPr="00E740F5">
        <w:rPr>
          <w:iCs/>
        </w:rPr>
        <w:t>The evaluation</w:t>
      </w:r>
      <w:r w:rsidR="005D0A1C" w:rsidRPr="00994E7B">
        <w:rPr>
          <w:iCs/>
        </w:rPr>
        <w:t xml:space="preserve"> noted that the submission did not reference </w:t>
      </w:r>
      <w:r w:rsidR="0034406A" w:rsidRPr="00994E7B">
        <w:rPr>
          <w:iCs/>
        </w:rPr>
        <w:t>the revised utilisation and financial estimates from the September 2022 PBAC submission.</w:t>
      </w:r>
      <w:r w:rsidR="005D0A1C" w:rsidRPr="00994E7B">
        <w:rPr>
          <w:iCs/>
        </w:rPr>
        <w:t xml:space="preserve"> </w:t>
      </w:r>
    </w:p>
    <w:p w14:paraId="67061EA4" w14:textId="605AE4A4" w:rsidR="002A57B4" w:rsidRPr="00994E7B" w:rsidRDefault="005F7EAD" w:rsidP="00361246">
      <w:pPr>
        <w:pStyle w:val="3-BodyText"/>
        <w:rPr>
          <w:iCs/>
        </w:rPr>
      </w:pPr>
      <w:bookmarkStart w:id="10" w:name="_Ref199518964"/>
      <w:r>
        <w:t xml:space="preserve">The submission claimed that the </w:t>
      </w:r>
      <w:r w:rsidR="00301301">
        <w:t>proposed</w:t>
      </w:r>
      <w:r>
        <w:t xml:space="preserve"> changes to the PBS restrictions would not </w:t>
      </w:r>
      <w:r w:rsidR="003B4E76">
        <w:t xml:space="preserve">affect </w:t>
      </w:r>
      <w:r>
        <w:t>the intended population</w:t>
      </w:r>
      <w:r w:rsidR="009B1D65">
        <w:t xml:space="preserve"> </w:t>
      </w:r>
      <w:r>
        <w:t xml:space="preserve">or alter the existing recommendation, as there </w:t>
      </w:r>
      <w:r w:rsidR="00C81424">
        <w:t>were</w:t>
      </w:r>
      <w:r>
        <w:t xml:space="preserve"> no change</w:t>
      </w:r>
      <w:r w:rsidR="003B4E76">
        <w:t>s</w:t>
      </w:r>
      <w:r>
        <w:t xml:space="preserve"> to the clinical, economic, or financial information most recently relied upon by the PBAC. </w:t>
      </w:r>
      <w:r w:rsidR="00A2697E" w:rsidRPr="00994E7B">
        <w:rPr>
          <w:iCs/>
        </w:rPr>
        <w:t>However, t</w:t>
      </w:r>
      <w:r w:rsidR="00CF780E" w:rsidRPr="00994E7B">
        <w:rPr>
          <w:iCs/>
        </w:rPr>
        <w:t xml:space="preserve">he </w:t>
      </w:r>
      <w:r w:rsidRPr="00994E7B">
        <w:rPr>
          <w:iCs/>
        </w:rPr>
        <w:t xml:space="preserve">evaluation noted that, should the requested amendments to the PBS restrictions be recommended, </w:t>
      </w:r>
      <w:r w:rsidR="00ED5AB5" w:rsidRPr="00994E7B">
        <w:rPr>
          <w:iCs/>
        </w:rPr>
        <w:t xml:space="preserve">it would remain uncertain whether cannabidiol might be used outside the intended population. </w:t>
      </w:r>
      <w:r w:rsidR="00350329" w:rsidRPr="00994E7B">
        <w:rPr>
          <w:iCs/>
        </w:rPr>
        <w:t xml:space="preserve">Further, some </w:t>
      </w:r>
      <w:r w:rsidR="003B1358" w:rsidRPr="00994E7B">
        <w:rPr>
          <w:iCs/>
        </w:rPr>
        <w:t xml:space="preserve">proposed </w:t>
      </w:r>
      <w:r w:rsidR="00350329" w:rsidRPr="00994E7B">
        <w:rPr>
          <w:iCs/>
        </w:rPr>
        <w:t xml:space="preserve">changes explicitly </w:t>
      </w:r>
      <w:r w:rsidR="002B5EDD" w:rsidRPr="00994E7B">
        <w:rPr>
          <w:iCs/>
        </w:rPr>
        <w:t>broaden</w:t>
      </w:r>
      <w:r w:rsidR="00350329" w:rsidRPr="00994E7B">
        <w:rPr>
          <w:iCs/>
        </w:rPr>
        <w:t xml:space="preserve"> the</w:t>
      </w:r>
      <w:r w:rsidR="0034487F" w:rsidRPr="00994E7B">
        <w:rPr>
          <w:iCs/>
        </w:rPr>
        <w:t xml:space="preserve"> eligible </w:t>
      </w:r>
      <w:r w:rsidR="00350329" w:rsidRPr="00994E7B">
        <w:rPr>
          <w:iCs/>
        </w:rPr>
        <w:t xml:space="preserve">population (e.g. </w:t>
      </w:r>
      <w:r w:rsidR="00FE710D" w:rsidRPr="00994E7B">
        <w:rPr>
          <w:iCs/>
        </w:rPr>
        <w:t xml:space="preserve">removing the </w:t>
      </w:r>
      <w:r w:rsidR="00FE710D" w:rsidRPr="00994E7B">
        <w:rPr>
          <w:iCs/>
        </w:rPr>
        <w:lastRenderedPageBreak/>
        <w:t>requirement for two concomitant AEDs in continuing therapy or making certain diagnostic criteria optional or unnecessary</w:t>
      </w:r>
      <w:r w:rsidR="0034487F" w:rsidRPr="00994E7B">
        <w:rPr>
          <w:iCs/>
        </w:rPr>
        <w:t xml:space="preserve">). </w:t>
      </w:r>
      <w:r w:rsidR="00F07B25" w:rsidRPr="00994E7B">
        <w:rPr>
          <w:iCs/>
        </w:rPr>
        <w:t>This could lead to use in populations for whom cost-effectiveness has not been established.</w:t>
      </w:r>
      <w:r w:rsidR="0034487F" w:rsidRPr="00994E7B">
        <w:rPr>
          <w:iCs/>
        </w:rPr>
        <w:t xml:space="preserve"> </w:t>
      </w:r>
      <w:r w:rsidR="00BE5225" w:rsidRPr="00994E7B">
        <w:rPr>
          <w:iCs/>
        </w:rPr>
        <w:t>The submission did not provide evidence supporting cost-effectiveness in these proposed scenarios and instead relied on clinician feedback, without supplying direct supporting evidence.</w:t>
      </w:r>
    </w:p>
    <w:p w14:paraId="2DF0F1DA" w14:textId="5F39691C" w:rsidR="00B0210C" w:rsidRDefault="00B00223" w:rsidP="00361246">
      <w:pPr>
        <w:pStyle w:val="3-BodyText"/>
        <w:rPr>
          <w:iCs/>
        </w:rPr>
      </w:pPr>
      <w:r w:rsidRPr="00B00223">
        <w:t xml:space="preserve">The submission </w:t>
      </w:r>
      <w:r>
        <w:t xml:space="preserve">stated </w:t>
      </w:r>
      <w:r w:rsidRPr="00B00223">
        <w:t xml:space="preserve">that the observed under-utilisation, relative to PBAC-accepted estimates, </w:t>
      </w:r>
      <w:r w:rsidR="00A00F51" w:rsidRPr="00A00F51">
        <w:t>was due to PBS restrictions</w:t>
      </w:r>
      <w:r w:rsidRPr="00B00223">
        <w:t xml:space="preserve"> that unnecessarily limit patient access and contribute to therapeutic inequality. </w:t>
      </w:r>
      <w:r w:rsidRPr="00994E7B">
        <w:rPr>
          <w:iCs/>
        </w:rPr>
        <w:t xml:space="preserve">However, the submission did not provide evidence to support the claim that the restrictions are the primary driver of under-utilisation. The submission </w:t>
      </w:r>
      <w:r w:rsidR="001C639B" w:rsidRPr="00994E7B">
        <w:rPr>
          <w:iCs/>
        </w:rPr>
        <w:t xml:space="preserve">also </w:t>
      </w:r>
      <w:r w:rsidRPr="00994E7B">
        <w:rPr>
          <w:iCs/>
        </w:rPr>
        <w:t xml:space="preserve">did not consider other potential contributing factors, such as uncertainty in the </w:t>
      </w:r>
      <w:r w:rsidR="00AA1D7A" w:rsidRPr="00994E7B">
        <w:rPr>
          <w:iCs/>
        </w:rPr>
        <w:t xml:space="preserve">original </w:t>
      </w:r>
      <w:r w:rsidRPr="00994E7B">
        <w:rPr>
          <w:iCs/>
        </w:rPr>
        <w:t xml:space="preserve">estimates, changes in prescriber behaviour, or the real-world adverse event profile. </w:t>
      </w:r>
      <w:r w:rsidR="00AA1D7A" w:rsidRPr="00994E7B">
        <w:rPr>
          <w:iCs/>
        </w:rPr>
        <w:t>Additionally, the submission</w:t>
      </w:r>
      <w:r w:rsidRPr="00994E7B">
        <w:rPr>
          <w:iCs/>
        </w:rPr>
        <w:t xml:space="preserve"> did not include a sensitivity analysis or modelling to </w:t>
      </w:r>
      <w:r w:rsidR="004A59F1" w:rsidRPr="00994E7B">
        <w:rPr>
          <w:iCs/>
        </w:rPr>
        <w:t>assess</w:t>
      </w:r>
      <w:r w:rsidRPr="00994E7B">
        <w:rPr>
          <w:iCs/>
        </w:rPr>
        <w:t xml:space="preserve"> the extent to which the proposed changes </w:t>
      </w:r>
      <w:r w:rsidR="00CD32EE" w:rsidRPr="00994E7B">
        <w:rPr>
          <w:iCs/>
        </w:rPr>
        <w:t xml:space="preserve">are expected to improve </w:t>
      </w:r>
      <w:r w:rsidRPr="00994E7B">
        <w:rPr>
          <w:iCs/>
        </w:rPr>
        <w:t>access within the eligible population.</w:t>
      </w:r>
    </w:p>
    <w:p w14:paraId="38824CF6" w14:textId="77777777" w:rsidR="00B0210C" w:rsidRDefault="00B0210C" w:rsidP="00361246">
      <w:pPr>
        <w:jc w:val="left"/>
        <w:rPr>
          <w:rFonts w:asciiTheme="minorHAnsi" w:eastAsiaTheme="minorHAnsi" w:hAnsiTheme="minorHAnsi" w:cstheme="minorBidi"/>
          <w:iCs/>
          <w:szCs w:val="22"/>
        </w:rPr>
      </w:pPr>
      <w:r>
        <w:rPr>
          <w:iCs/>
        </w:rPr>
        <w:br w:type="page"/>
      </w:r>
    </w:p>
    <w:p w14:paraId="35F04FFD" w14:textId="77777777" w:rsidR="00C30C22" w:rsidRPr="00AD1C0B" w:rsidRDefault="00C30C22" w:rsidP="00361246">
      <w:pPr>
        <w:pStyle w:val="3-BodyText"/>
        <w:numPr>
          <w:ilvl w:val="0"/>
          <w:numId w:val="0"/>
        </w:numPr>
        <w:ind w:left="720"/>
        <w:rPr>
          <w:iCs/>
        </w:rPr>
      </w:pPr>
    </w:p>
    <w:p w14:paraId="5776D7DB" w14:textId="71E48525" w:rsidR="00272DE5" w:rsidRPr="004F3BEA" w:rsidRDefault="00101AAB" w:rsidP="00361246">
      <w:pPr>
        <w:pStyle w:val="Caption"/>
        <w:rPr>
          <w:b w:val="0"/>
          <w:bCs/>
          <w:szCs w:val="20"/>
        </w:rPr>
      </w:pPr>
      <w:bookmarkStart w:id="11" w:name="_Ref199582964"/>
      <w:bookmarkStart w:id="12" w:name="_Ref199582956"/>
      <w:r>
        <w:t xml:space="preserve">Table </w:t>
      </w:r>
      <w:r>
        <w:fldChar w:fldCharType="begin"/>
      </w:r>
      <w:r>
        <w:instrText xml:space="preserve"> SEQ Table \* ARABIC </w:instrText>
      </w:r>
      <w:r>
        <w:fldChar w:fldCharType="separate"/>
      </w:r>
      <w:r w:rsidR="00BC591C">
        <w:rPr>
          <w:noProof/>
        </w:rPr>
        <w:t>3</w:t>
      </w:r>
      <w:r>
        <w:fldChar w:fldCharType="end"/>
      </w:r>
      <w:bookmarkEnd w:id="10"/>
      <w:bookmarkEnd w:id="11"/>
      <w:r w:rsidR="00395C87" w:rsidRPr="004F3BEA">
        <w:rPr>
          <w:bCs/>
          <w:szCs w:val="20"/>
        </w:rPr>
        <w:t xml:space="preserve">: Comparison of </w:t>
      </w:r>
      <w:r w:rsidR="00B30F4B" w:rsidRPr="004F3BEA">
        <w:rPr>
          <w:bCs/>
          <w:szCs w:val="20"/>
        </w:rPr>
        <w:t xml:space="preserve">actual </w:t>
      </w:r>
      <w:r w:rsidR="00D70349" w:rsidRPr="004F3BEA">
        <w:rPr>
          <w:rStyle w:val="CommentReference"/>
          <w:bCs/>
          <w:sz w:val="20"/>
          <w:szCs w:val="20"/>
        </w:rPr>
        <w:t>us</w:t>
      </w:r>
      <w:r w:rsidR="004434E6" w:rsidRPr="004F3BEA">
        <w:rPr>
          <w:rStyle w:val="CommentReference"/>
          <w:bCs/>
          <w:sz w:val="20"/>
          <w:szCs w:val="20"/>
        </w:rPr>
        <w:t>e</w:t>
      </w:r>
      <w:r w:rsidR="00D70349" w:rsidRPr="004F3BEA">
        <w:rPr>
          <w:rStyle w:val="CommentReference"/>
          <w:bCs/>
          <w:sz w:val="20"/>
          <w:szCs w:val="20"/>
        </w:rPr>
        <w:t xml:space="preserve"> and financial implications</w:t>
      </w:r>
      <w:r w:rsidR="004B171D" w:rsidRPr="004F3BEA">
        <w:rPr>
          <w:rStyle w:val="CommentReference"/>
          <w:bCs/>
          <w:sz w:val="20"/>
          <w:szCs w:val="20"/>
        </w:rPr>
        <w:t xml:space="preserve"> </w:t>
      </w:r>
      <w:r w:rsidR="00B30F4B" w:rsidRPr="004F3BEA">
        <w:rPr>
          <w:rStyle w:val="CommentReference"/>
          <w:bCs/>
          <w:sz w:val="20"/>
          <w:szCs w:val="20"/>
        </w:rPr>
        <w:t xml:space="preserve">against </w:t>
      </w:r>
      <w:r w:rsidR="004434E6" w:rsidRPr="004F3BEA">
        <w:rPr>
          <w:rStyle w:val="CommentReference"/>
          <w:bCs/>
          <w:sz w:val="20"/>
          <w:szCs w:val="20"/>
        </w:rPr>
        <w:t xml:space="preserve">estimates </w:t>
      </w:r>
      <w:r w:rsidR="004B171D" w:rsidRPr="004F3BEA">
        <w:rPr>
          <w:rStyle w:val="CommentReference"/>
          <w:bCs/>
          <w:sz w:val="20"/>
          <w:szCs w:val="20"/>
        </w:rPr>
        <w:t xml:space="preserve">in the </w:t>
      </w:r>
      <w:r w:rsidR="00474CF9" w:rsidRPr="004F3BEA">
        <w:rPr>
          <w:rStyle w:val="CommentReference"/>
          <w:bCs/>
          <w:sz w:val="20"/>
          <w:szCs w:val="20"/>
        </w:rPr>
        <w:t xml:space="preserve">July </w:t>
      </w:r>
      <w:r w:rsidR="00395C87" w:rsidRPr="004F3BEA">
        <w:rPr>
          <w:rStyle w:val="CommentReference"/>
          <w:bCs/>
          <w:sz w:val="20"/>
          <w:szCs w:val="20"/>
        </w:rPr>
        <w:t xml:space="preserve">2022 submission </w:t>
      </w:r>
      <w:bookmarkEnd w:id="12"/>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Comparison of actual use and financial implications against estimates in the July 2022 submission "/>
      </w:tblPr>
      <w:tblGrid>
        <w:gridCol w:w="1998"/>
        <w:gridCol w:w="1156"/>
        <w:gridCol w:w="1156"/>
        <w:gridCol w:w="1157"/>
        <w:gridCol w:w="1157"/>
        <w:gridCol w:w="1157"/>
        <w:gridCol w:w="1157"/>
      </w:tblGrid>
      <w:tr w:rsidR="00D70349" w:rsidRPr="00AD1C0B" w14:paraId="50517F09" w14:textId="77777777" w:rsidTr="002D44E8">
        <w:trPr>
          <w:cantSplit/>
          <w:tblHeader/>
          <w:jc w:val="center"/>
        </w:trPr>
        <w:tc>
          <w:tcPr>
            <w:tcW w:w="1118" w:type="pct"/>
            <w:vAlign w:val="center"/>
          </w:tcPr>
          <w:p w14:paraId="146FDDC6" w14:textId="77777777" w:rsidR="00D70349" w:rsidRPr="00AD1C0B" w:rsidRDefault="00D70349" w:rsidP="00361246">
            <w:pPr>
              <w:pStyle w:val="TableText0"/>
              <w:keepLines/>
              <w:rPr>
                <w:szCs w:val="20"/>
              </w:rPr>
            </w:pPr>
          </w:p>
        </w:tc>
        <w:tc>
          <w:tcPr>
            <w:tcW w:w="647" w:type="pct"/>
            <w:vAlign w:val="center"/>
          </w:tcPr>
          <w:p w14:paraId="229BAAA8" w14:textId="77777777" w:rsidR="00D70349" w:rsidRPr="00AD1C0B" w:rsidRDefault="00D70349" w:rsidP="00361246">
            <w:pPr>
              <w:pStyle w:val="TableText0"/>
              <w:keepLines/>
              <w:rPr>
                <w:b/>
                <w:szCs w:val="20"/>
              </w:rPr>
            </w:pPr>
            <w:r w:rsidRPr="00AD1C0B">
              <w:rPr>
                <w:b/>
                <w:szCs w:val="20"/>
              </w:rPr>
              <w:t>Year 1</w:t>
            </w:r>
          </w:p>
        </w:tc>
        <w:tc>
          <w:tcPr>
            <w:tcW w:w="647" w:type="pct"/>
            <w:vAlign w:val="center"/>
          </w:tcPr>
          <w:p w14:paraId="48EEAB93" w14:textId="77777777" w:rsidR="00D70349" w:rsidRPr="00AD1C0B" w:rsidRDefault="00D70349" w:rsidP="00361246">
            <w:pPr>
              <w:pStyle w:val="TableText0"/>
              <w:keepLines/>
              <w:rPr>
                <w:b/>
                <w:szCs w:val="20"/>
              </w:rPr>
            </w:pPr>
            <w:r w:rsidRPr="00AD1C0B">
              <w:rPr>
                <w:b/>
                <w:szCs w:val="20"/>
              </w:rPr>
              <w:t>Year 2</w:t>
            </w:r>
          </w:p>
        </w:tc>
        <w:tc>
          <w:tcPr>
            <w:tcW w:w="647" w:type="pct"/>
            <w:vAlign w:val="center"/>
          </w:tcPr>
          <w:p w14:paraId="0738F741" w14:textId="77777777" w:rsidR="00D70349" w:rsidRPr="00AD1C0B" w:rsidRDefault="00D70349" w:rsidP="00361246">
            <w:pPr>
              <w:pStyle w:val="TableText0"/>
              <w:keepLines/>
              <w:rPr>
                <w:b/>
                <w:szCs w:val="20"/>
              </w:rPr>
            </w:pPr>
            <w:r w:rsidRPr="00AD1C0B">
              <w:rPr>
                <w:b/>
                <w:szCs w:val="20"/>
              </w:rPr>
              <w:t>Year 3</w:t>
            </w:r>
          </w:p>
        </w:tc>
        <w:tc>
          <w:tcPr>
            <w:tcW w:w="647" w:type="pct"/>
            <w:vAlign w:val="center"/>
          </w:tcPr>
          <w:p w14:paraId="2F722BB7" w14:textId="77777777" w:rsidR="00D70349" w:rsidRPr="00AD1C0B" w:rsidRDefault="00D70349" w:rsidP="00361246">
            <w:pPr>
              <w:pStyle w:val="TableText0"/>
              <w:keepLines/>
              <w:rPr>
                <w:b/>
                <w:szCs w:val="20"/>
              </w:rPr>
            </w:pPr>
            <w:r w:rsidRPr="00AD1C0B">
              <w:rPr>
                <w:b/>
                <w:szCs w:val="20"/>
              </w:rPr>
              <w:t>Year 4</w:t>
            </w:r>
          </w:p>
        </w:tc>
        <w:tc>
          <w:tcPr>
            <w:tcW w:w="647" w:type="pct"/>
            <w:vAlign w:val="center"/>
          </w:tcPr>
          <w:p w14:paraId="4A03E0AC" w14:textId="77777777" w:rsidR="00D70349" w:rsidRPr="00AD1C0B" w:rsidRDefault="00D70349" w:rsidP="00361246">
            <w:pPr>
              <w:pStyle w:val="TableText0"/>
              <w:keepLines/>
              <w:rPr>
                <w:b/>
                <w:szCs w:val="20"/>
              </w:rPr>
            </w:pPr>
            <w:r w:rsidRPr="00AD1C0B">
              <w:rPr>
                <w:b/>
                <w:szCs w:val="20"/>
              </w:rPr>
              <w:t>Year 5</w:t>
            </w:r>
          </w:p>
        </w:tc>
        <w:tc>
          <w:tcPr>
            <w:tcW w:w="647" w:type="pct"/>
          </w:tcPr>
          <w:p w14:paraId="11CF147B" w14:textId="77777777" w:rsidR="00D70349" w:rsidRPr="00AD1C0B" w:rsidRDefault="00D70349" w:rsidP="00361246">
            <w:pPr>
              <w:pStyle w:val="TableText0"/>
              <w:keepLines/>
              <w:rPr>
                <w:b/>
                <w:szCs w:val="20"/>
              </w:rPr>
            </w:pPr>
            <w:r w:rsidRPr="00AD1C0B">
              <w:rPr>
                <w:b/>
                <w:szCs w:val="20"/>
              </w:rPr>
              <w:t>Year 6</w:t>
            </w:r>
          </w:p>
        </w:tc>
      </w:tr>
      <w:tr w:rsidR="00E2180A" w:rsidRPr="00AD1C0B" w14:paraId="4CC09F75" w14:textId="77777777" w:rsidTr="002D44E8">
        <w:trPr>
          <w:cantSplit/>
          <w:tblHeader/>
          <w:jc w:val="center"/>
        </w:trPr>
        <w:tc>
          <w:tcPr>
            <w:tcW w:w="5000" w:type="pct"/>
            <w:gridSpan w:val="7"/>
            <w:vAlign w:val="center"/>
          </w:tcPr>
          <w:p w14:paraId="604EDEA7" w14:textId="140CFF84" w:rsidR="00E2180A" w:rsidRPr="00AD1C0B" w:rsidRDefault="00E2180A" w:rsidP="00361246">
            <w:pPr>
              <w:pStyle w:val="TableText0"/>
              <w:keepLines/>
              <w:rPr>
                <w:b/>
                <w:szCs w:val="20"/>
              </w:rPr>
            </w:pPr>
            <w:r w:rsidRPr="00AD1C0B">
              <w:rPr>
                <w:b/>
                <w:szCs w:val="20"/>
              </w:rPr>
              <w:t>July 2022 resubmission</w:t>
            </w:r>
          </w:p>
        </w:tc>
      </w:tr>
      <w:tr w:rsidR="00D70349" w:rsidRPr="00AD1C0B" w14:paraId="07125BC5" w14:textId="77777777" w:rsidTr="002D44E8">
        <w:trPr>
          <w:cantSplit/>
          <w:jc w:val="center"/>
        </w:trPr>
        <w:tc>
          <w:tcPr>
            <w:tcW w:w="5000" w:type="pct"/>
            <w:gridSpan w:val="7"/>
            <w:vAlign w:val="center"/>
          </w:tcPr>
          <w:p w14:paraId="618359A1" w14:textId="51B3289E" w:rsidR="00D70349" w:rsidRPr="00AD1C0B" w:rsidRDefault="00D70349" w:rsidP="00361246">
            <w:pPr>
              <w:pStyle w:val="TableText0"/>
              <w:keepLines/>
              <w:rPr>
                <w:b/>
                <w:color w:val="000000"/>
                <w:szCs w:val="20"/>
              </w:rPr>
            </w:pPr>
            <w:r w:rsidRPr="00AD1C0B">
              <w:rPr>
                <w:b/>
                <w:color w:val="000000"/>
                <w:szCs w:val="20"/>
              </w:rPr>
              <w:t>Estimated extent of use</w:t>
            </w:r>
            <w:r w:rsidR="00220EA9" w:rsidRPr="00AD1C0B">
              <w:rPr>
                <w:b/>
                <w:color w:val="000000"/>
                <w:szCs w:val="20"/>
              </w:rPr>
              <w:t xml:space="preserve"> </w:t>
            </w:r>
          </w:p>
        </w:tc>
      </w:tr>
      <w:tr w:rsidR="009C5EBA" w:rsidRPr="00AD1C0B" w14:paraId="5D4B879C" w14:textId="77777777" w:rsidTr="002D44E8">
        <w:trPr>
          <w:cantSplit/>
          <w:jc w:val="center"/>
        </w:trPr>
        <w:tc>
          <w:tcPr>
            <w:tcW w:w="1118" w:type="pct"/>
            <w:shd w:val="clear" w:color="auto" w:fill="DBE5F1" w:themeFill="accent1" w:themeFillTint="33"/>
            <w:vAlign w:val="center"/>
          </w:tcPr>
          <w:p w14:paraId="3D1A83AD" w14:textId="77788663" w:rsidR="009C5EBA" w:rsidRPr="00AD1C0B" w:rsidRDefault="009C5EBA" w:rsidP="00361246">
            <w:pPr>
              <w:pStyle w:val="TableText0"/>
              <w:keepLines/>
              <w:rPr>
                <w:szCs w:val="20"/>
              </w:rPr>
            </w:pPr>
            <w:r w:rsidRPr="00AD1C0B">
              <w:rPr>
                <w:szCs w:val="20"/>
              </w:rPr>
              <w:t>Number of patients treated</w:t>
            </w:r>
          </w:p>
        </w:tc>
        <w:tc>
          <w:tcPr>
            <w:tcW w:w="647" w:type="pct"/>
            <w:tcBorders>
              <w:bottom w:val="single" w:sz="4" w:space="0" w:color="auto"/>
            </w:tcBorders>
            <w:shd w:val="clear" w:color="auto" w:fill="DBE5F1" w:themeFill="accent1" w:themeFillTint="33"/>
          </w:tcPr>
          <w:p w14:paraId="3D3A69E7" w14:textId="3B2B001C" w:rsidR="009C5EBA" w:rsidRPr="009214D8" w:rsidRDefault="00211DEA" w:rsidP="00361246">
            <w:pPr>
              <w:pStyle w:val="TableText0"/>
              <w:keepLines/>
              <w:jc w:val="right"/>
              <w:rPr>
                <w:color w:val="000000"/>
                <w:szCs w:val="20"/>
                <w:vertAlign w:val="superscript"/>
              </w:rPr>
            </w:pPr>
            <w:r w:rsidRPr="00361246">
              <w:rPr>
                <w:color w:val="000000"/>
                <w:spacing w:val="48"/>
                <w:szCs w:val="20"/>
                <w:shd w:val="solid" w:color="000000" w:fill="000000"/>
                <w:fitText w:val="315" w:id="-628907776"/>
                <w14:textFill>
                  <w14:solidFill>
                    <w14:srgbClr w14:val="000000">
                      <w14:alpha w14:val="100000"/>
                    </w14:srgbClr>
                  </w14:solidFill>
                </w14:textFill>
              </w:rPr>
              <w:t>|||</w:t>
            </w:r>
            <w:r w:rsidRPr="00361246">
              <w:rPr>
                <w:color w:val="000000"/>
                <w:spacing w:val="1"/>
                <w:szCs w:val="20"/>
                <w:shd w:val="solid" w:color="000000" w:fill="000000"/>
                <w:fitText w:val="315" w:id="-628907776"/>
                <w14:textFill>
                  <w14:solidFill>
                    <w14:srgbClr w14:val="000000">
                      <w14:alpha w14:val="100000"/>
                    </w14:srgbClr>
                  </w14:solidFill>
                </w14:textFill>
              </w:rPr>
              <w:t>|</w:t>
            </w:r>
            <w:r w:rsidR="0004278D">
              <w:rPr>
                <w:szCs w:val="20"/>
                <w:vertAlign w:val="superscript"/>
              </w:rPr>
              <w:t>1</w:t>
            </w:r>
          </w:p>
        </w:tc>
        <w:tc>
          <w:tcPr>
            <w:tcW w:w="647" w:type="pct"/>
            <w:tcBorders>
              <w:bottom w:val="single" w:sz="4" w:space="0" w:color="auto"/>
            </w:tcBorders>
            <w:shd w:val="clear" w:color="auto" w:fill="DBE5F1" w:themeFill="accent1" w:themeFillTint="33"/>
          </w:tcPr>
          <w:p w14:paraId="04FD8588" w14:textId="6A924F9D" w:rsidR="009C5EBA" w:rsidRPr="009214D8" w:rsidRDefault="00211DEA" w:rsidP="00361246">
            <w:pPr>
              <w:pStyle w:val="TableText0"/>
              <w:keepLines/>
              <w:jc w:val="right"/>
              <w:rPr>
                <w:color w:val="000000"/>
                <w:szCs w:val="20"/>
              </w:rPr>
            </w:pPr>
            <w:r w:rsidRPr="00361246">
              <w:rPr>
                <w:iCs/>
                <w:color w:val="000000"/>
                <w:spacing w:val="48"/>
                <w:szCs w:val="20"/>
                <w:shd w:val="solid" w:color="000000" w:fill="000000"/>
                <w:fitText w:val="315" w:id="-628907775"/>
                <w14:textFill>
                  <w14:solidFill>
                    <w14:srgbClr w14:val="000000">
                      <w14:alpha w14:val="100000"/>
                    </w14:srgbClr>
                  </w14:solidFill>
                </w14:textFill>
              </w:rPr>
              <w:t>|||</w:t>
            </w:r>
            <w:r w:rsidRPr="00361246">
              <w:rPr>
                <w:iCs/>
                <w:color w:val="000000"/>
                <w:spacing w:val="1"/>
                <w:szCs w:val="20"/>
                <w:shd w:val="solid" w:color="000000" w:fill="000000"/>
                <w:fitText w:val="315" w:id="-628907775"/>
                <w14:textFill>
                  <w14:solidFill>
                    <w14:srgbClr w14:val="000000">
                      <w14:alpha w14:val="100000"/>
                    </w14:srgbClr>
                  </w14:solidFill>
                </w14:textFill>
              </w:rPr>
              <w:t>|</w:t>
            </w:r>
            <w:r w:rsidR="009214D8">
              <w:rPr>
                <w:szCs w:val="20"/>
                <w:vertAlign w:val="superscript"/>
              </w:rPr>
              <w:t>1</w:t>
            </w:r>
          </w:p>
        </w:tc>
        <w:tc>
          <w:tcPr>
            <w:tcW w:w="647" w:type="pct"/>
            <w:tcBorders>
              <w:bottom w:val="single" w:sz="4" w:space="0" w:color="auto"/>
            </w:tcBorders>
            <w:shd w:val="clear" w:color="auto" w:fill="DBE5F1" w:themeFill="accent1" w:themeFillTint="33"/>
          </w:tcPr>
          <w:p w14:paraId="0CF8783E" w14:textId="2AA01B99" w:rsidR="009C5EBA" w:rsidRPr="00AD1C0B" w:rsidRDefault="00211DEA" w:rsidP="00361246">
            <w:pPr>
              <w:pStyle w:val="TableText0"/>
              <w:keepLines/>
              <w:jc w:val="right"/>
              <w:rPr>
                <w:color w:val="000000"/>
                <w:szCs w:val="20"/>
              </w:rPr>
            </w:pPr>
            <w:r w:rsidRPr="00211DEA">
              <w:rPr>
                <w:iCs/>
                <w:color w:val="000000"/>
                <w:spacing w:val="48"/>
                <w:szCs w:val="20"/>
                <w:shd w:val="solid" w:color="000000" w:fill="000000"/>
                <w:fitText w:val="315" w:id="-628907774"/>
                <w14:textFill>
                  <w14:solidFill>
                    <w14:srgbClr w14:val="000000">
                      <w14:alpha w14:val="100000"/>
                    </w14:srgbClr>
                  </w14:solidFill>
                </w14:textFill>
              </w:rPr>
              <w:t>|||</w:t>
            </w:r>
            <w:r w:rsidRPr="00211DEA">
              <w:rPr>
                <w:iCs/>
                <w:color w:val="000000"/>
                <w:spacing w:val="1"/>
                <w:szCs w:val="20"/>
                <w:shd w:val="solid" w:color="000000" w:fill="000000"/>
                <w:fitText w:val="315" w:id="-628907774"/>
                <w14:textFill>
                  <w14:solidFill>
                    <w14:srgbClr w14:val="000000">
                      <w14:alpha w14:val="100000"/>
                    </w14:srgbClr>
                  </w14:solidFill>
                </w14:textFill>
              </w:rPr>
              <w:t>|</w:t>
            </w:r>
            <w:r w:rsidR="009214D8">
              <w:rPr>
                <w:szCs w:val="20"/>
                <w:vertAlign w:val="superscript"/>
              </w:rPr>
              <w:t>1</w:t>
            </w:r>
          </w:p>
        </w:tc>
        <w:tc>
          <w:tcPr>
            <w:tcW w:w="647" w:type="pct"/>
            <w:tcBorders>
              <w:bottom w:val="single" w:sz="4" w:space="0" w:color="auto"/>
            </w:tcBorders>
            <w:shd w:val="clear" w:color="auto" w:fill="DBE5F1" w:themeFill="accent1" w:themeFillTint="33"/>
          </w:tcPr>
          <w:p w14:paraId="3329A117" w14:textId="3F9FB043" w:rsidR="009C5EBA" w:rsidRPr="00AD1C0B" w:rsidRDefault="00211DEA" w:rsidP="00361246">
            <w:pPr>
              <w:pStyle w:val="TableText0"/>
              <w:keepLines/>
              <w:jc w:val="right"/>
              <w:rPr>
                <w:color w:val="000000"/>
                <w:szCs w:val="20"/>
              </w:rPr>
            </w:pPr>
            <w:r w:rsidRPr="00211DEA">
              <w:rPr>
                <w:iCs/>
                <w:color w:val="000000"/>
                <w:spacing w:val="48"/>
                <w:szCs w:val="20"/>
                <w:shd w:val="solid" w:color="000000" w:fill="000000"/>
                <w:fitText w:val="315" w:id="-628907773"/>
                <w14:textFill>
                  <w14:solidFill>
                    <w14:srgbClr w14:val="000000">
                      <w14:alpha w14:val="100000"/>
                    </w14:srgbClr>
                  </w14:solidFill>
                </w14:textFill>
              </w:rPr>
              <w:t>|||</w:t>
            </w:r>
            <w:r w:rsidRPr="00211DEA">
              <w:rPr>
                <w:iCs/>
                <w:color w:val="000000"/>
                <w:spacing w:val="1"/>
                <w:szCs w:val="20"/>
                <w:shd w:val="solid" w:color="000000" w:fill="000000"/>
                <w:fitText w:val="315" w:id="-628907773"/>
                <w14:textFill>
                  <w14:solidFill>
                    <w14:srgbClr w14:val="000000">
                      <w14:alpha w14:val="100000"/>
                    </w14:srgbClr>
                  </w14:solidFill>
                </w14:textFill>
              </w:rPr>
              <w:t>|</w:t>
            </w:r>
            <w:r w:rsidR="009214D8">
              <w:rPr>
                <w:szCs w:val="20"/>
                <w:vertAlign w:val="superscript"/>
              </w:rPr>
              <w:t>1</w:t>
            </w:r>
          </w:p>
        </w:tc>
        <w:tc>
          <w:tcPr>
            <w:tcW w:w="647" w:type="pct"/>
            <w:tcBorders>
              <w:bottom w:val="single" w:sz="4" w:space="0" w:color="auto"/>
            </w:tcBorders>
            <w:shd w:val="clear" w:color="auto" w:fill="DBE5F1" w:themeFill="accent1" w:themeFillTint="33"/>
          </w:tcPr>
          <w:p w14:paraId="5F15BC88" w14:textId="0F96FE4F" w:rsidR="009C5EBA" w:rsidRPr="00AD1C0B" w:rsidRDefault="00211DEA" w:rsidP="00361246">
            <w:pPr>
              <w:pStyle w:val="TableText0"/>
              <w:keepLines/>
              <w:jc w:val="right"/>
              <w:rPr>
                <w:color w:val="000000"/>
                <w:szCs w:val="20"/>
              </w:rPr>
            </w:pPr>
            <w:r w:rsidRPr="00211DEA">
              <w:rPr>
                <w:iCs/>
                <w:color w:val="000000"/>
                <w:spacing w:val="48"/>
                <w:szCs w:val="20"/>
                <w:shd w:val="solid" w:color="000000" w:fill="000000"/>
                <w:fitText w:val="315" w:id="-628907772"/>
                <w14:textFill>
                  <w14:solidFill>
                    <w14:srgbClr w14:val="000000">
                      <w14:alpha w14:val="100000"/>
                    </w14:srgbClr>
                  </w14:solidFill>
                </w14:textFill>
              </w:rPr>
              <w:t>|||</w:t>
            </w:r>
            <w:r w:rsidRPr="00211DEA">
              <w:rPr>
                <w:iCs/>
                <w:color w:val="000000"/>
                <w:spacing w:val="1"/>
                <w:szCs w:val="20"/>
                <w:shd w:val="solid" w:color="000000" w:fill="000000"/>
                <w:fitText w:val="315" w:id="-628907772"/>
                <w14:textFill>
                  <w14:solidFill>
                    <w14:srgbClr w14:val="000000">
                      <w14:alpha w14:val="100000"/>
                    </w14:srgbClr>
                  </w14:solidFill>
                </w14:textFill>
              </w:rPr>
              <w:t>|</w:t>
            </w:r>
            <w:r w:rsidR="009214D8">
              <w:rPr>
                <w:szCs w:val="20"/>
                <w:vertAlign w:val="superscript"/>
              </w:rPr>
              <w:t>1</w:t>
            </w:r>
          </w:p>
        </w:tc>
        <w:tc>
          <w:tcPr>
            <w:tcW w:w="647" w:type="pct"/>
            <w:tcBorders>
              <w:bottom w:val="single" w:sz="4" w:space="0" w:color="auto"/>
            </w:tcBorders>
            <w:shd w:val="clear" w:color="auto" w:fill="DBE5F1" w:themeFill="accent1" w:themeFillTint="33"/>
          </w:tcPr>
          <w:p w14:paraId="5FEE8AB1" w14:textId="303754A6" w:rsidR="009C5EBA" w:rsidRPr="00AD1C0B" w:rsidRDefault="00211DEA" w:rsidP="00361246">
            <w:pPr>
              <w:pStyle w:val="TableText0"/>
              <w:keepLines/>
              <w:jc w:val="right"/>
              <w:rPr>
                <w:color w:val="000000"/>
                <w:szCs w:val="20"/>
              </w:rPr>
            </w:pPr>
            <w:r w:rsidRPr="00211DEA">
              <w:rPr>
                <w:iCs/>
                <w:color w:val="000000"/>
                <w:spacing w:val="48"/>
                <w:szCs w:val="20"/>
                <w:shd w:val="solid" w:color="000000" w:fill="000000"/>
                <w:fitText w:val="315" w:id="-628907771"/>
                <w14:textFill>
                  <w14:solidFill>
                    <w14:srgbClr w14:val="000000">
                      <w14:alpha w14:val="100000"/>
                    </w14:srgbClr>
                  </w14:solidFill>
                </w14:textFill>
              </w:rPr>
              <w:t>|||</w:t>
            </w:r>
            <w:r w:rsidRPr="00211DEA">
              <w:rPr>
                <w:iCs/>
                <w:color w:val="000000"/>
                <w:spacing w:val="1"/>
                <w:szCs w:val="20"/>
                <w:shd w:val="solid" w:color="000000" w:fill="000000"/>
                <w:fitText w:val="315" w:id="-628907771"/>
                <w14:textFill>
                  <w14:solidFill>
                    <w14:srgbClr w14:val="000000">
                      <w14:alpha w14:val="100000"/>
                    </w14:srgbClr>
                  </w14:solidFill>
                </w14:textFill>
              </w:rPr>
              <w:t>|</w:t>
            </w:r>
            <w:r w:rsidR="009214D8">
              <w:rPr>
                <w:szCs w:val="20"/>
                <w:vertAlign w:val="superscript"/>
              </w:rPr>
              <w:t>1</w:t>
            </w:r>
          </w:p>
        </w:tc>
      </w:tr>
      <w:tr w:rsidR="002A7CCC" w:rsidRPr="00AD1C0B" w14:paraId="5D5D440C" w14:textId="77777777" w:rsidTr="002D44E8">
        <w:trPr>
          <w:cantSplit/>
          <w:jc w:val="center"/>
        </w:trPr>
        <w:tc>
          <w:tcPr>
            <w:tcW w:w="1118" w:type="pct"/>
            <w:shd w:val="clear" w:color="auto" w:fill="DBE5F1" w:themeFill="accent1" w:themeFillTint="33"/>
            <w:vAlign w:val="center"/>
          </w:tcPr>
          <w:p w14:paraId="359E474F" w14:textId="48DEA4FD" w:rsidR="002A7CCC" w:rsidRPr="00AD1C0B" w:rsidRDefault="002A7CCC" w:rsidP="00361246">
            <w:pPr>
              <w:pStyle w:val="TableText0"/>
              <w:keepLines/>
              <w:rPr>
                <w:szCs w:val="20"/>
                <w:vertAlign w:val="superscript"/>
              </w:rPr>
            </w:pPr>
            <w:r w:rsidRPr="00AD1C0B">
              <w:rPr>
                <w:szCs w:val="20"/>
              </w:rPr>
              <w:t xml:space="preserve">Number of bottles </w:t>
            </w:r>
          </w:p>
        </w:tc>
        <w:tc>
          <w:tcPr>
            <w:tcW w:w="647" w:type="pct"/>
            <w:tcBorders>
              <w:bottom w:val="single" w:sz="4" w:space="0" w:color="auto"/>
            </w:tcBorders>
            <w:shd w:val="clear" w:color="auto" w:fill="DBE5F1" w:themeFill="accent1" w:themeFillTint="33"/>
          </w:tcPr>
          <w:p w14:paraId="14228129" w14:textId="70CAB74D" w:rsidR="002A7CCC" w:rsidRPr="00E91E29" w:rsidRDefault="00211DEA" w:rsidP="00361246">
            <w:pPr>
              <w:pStyle w:val="TableText0"/>
              <w:keepLines/>
              <w:jc w:val="right"/>
              <w:rPr>
                <w:color w:val="000000"/>
                <w:szCs w:val="20"/>
                <w:vertAlign w:val="superscript"/>
              </w:rPr>
            </w:pPr>
            <w:r w:rsidRPr="00211DEA">
              <w:rPr>
                <w:color w:val="000000"/>
                <w:spacing w:val="48"/>
                <w:szCs w:val="20"/>
                <w:shd w:val="solid" w:color="000000" w:fill="000000"/>
                <w:fitText w:val="315" w:id="-628907770"/>
                <w14:textFill>
                  <w14:solidFill>
                    <w14:srgbClr w14:val="000000">
                      <w14:alpha w14:val="100000"/>
                    </w14:srgbClr>
                  </w14:solidFill>
                </w14:textFill>
              </w:rPr>
              <w:t>|||</w:t>
            </w:r>
            <w:r w:rsidRPr="00211DEA">
              <w:rPr>
                <w:color w:val="000000"/>
                <w:spacing w:val="1"/>
                <w:szCs w:val="20"/>
                <w:shd w:val="solid" w:color="000000" w:fill="000000"/>
                <w:fitText w:val="315" w:id="-628907770"/>
                <w14:textFill>
                  <w14:solidFill>
                    <w14:srgbClr w14:val="000000">
                      <w14:alpha w14:val="100000"/>
                    </w14:srgbClr>
                  </w14:solidFill>
                </w14:textFill>
              </w:rPr>
              <w:t>|</w:t>
            </w:r>
            <w:r w:rsidR="00A93DC9">
              <w:rPr>
                <w:szCs w:val="20"/>
                <w:vertAlign w:val="superscript"/>
              </w:rPr>
              <w:t>2</w:t>
            </w:r>
          </w:p>
        </w:tc>
        <w:tc>
          <w:tcPr>
            <w:tcW w:w="647" w:type="pct"/>
            <w:tcBorders>
              <w:bottom w:val="single" w:sz="4" w:space="0" w:color="auto"/>
            </w:tcBorders>
            <w:shd w:val="clear" w:color="auto" w:fill="DBE5F1" w:themeFill="accent1" w:themeFillTint="33"/>
          </w:tcPr>
          <w:p w14:paraId="0AC1C51C" w14:textId="5675B5AC" w:rsidR="002A7CCC" w:rsidRPr="00E91E29" w:rsidRDefault="00211DEA" w:rsidP="00361246">
            <w:pPr>
              <w:pStyle w:val="TableText0"/>
              <w:keepLines/>
              <w:jc w:val="right"/>
              <w:rPr>
                <w:color w:val="000000"/>
                <w:szCs w:val="20"/>
                <w:vertAlign w:val="superscript"/>
              </w:rPr>
            </w:pPr>
            <w:r w:rsidRPr="00211DEA">
              <w:rPr>
                <w:color w:val="000000"/>
                <w:spacing w:val="48"/>
                <w:szCs w:val="20"/>
                <w:shd w:val="solid" w:color="000000" w:fill="000000"/>
                <w:fitText w:val="315" w:id="-628907769"/>
                <w14:textFill>
                  <w14:solidFill>
                    <w14:srgbClr w14:val="000000">
                      <w14:alpha w14:val="100000"/>
                    </w14:srgbClr>
                  </w14:solidFill>
                </w14:textFill>
              </w:rPr>
              <w:t>|||</w:t>
            </w:r>
            <w:r w:rsidRPr="00211DEA">
              <w:rPr>
                <w:color w:val="000000"/>
                <w:spacing w:val="1"/>
                <w:szCs w:val="20"/>
                <w:shd w:val="solid" w:color="000000" w:fill="000000"/>
                <w:fitText w:val="315" w:id="-628907769"/>
                <w14:textFill>
                  <w14:solidFill>
                    <w14:srgbClr w14:val="000000">
                      <w14:alpha w14:val="100000"/>
                    </w14:srgbClr>
                  </w14:solidFill>
                </w14:textFill>
              </w:rPr>
              <w:t>|</w:t>
            </w:r>
            <w:r w:rsidR="00182317">
              <w:rPr>
                <w:szCs w:val="20"/>
                <w:vertAlign w:val="superscript"/>
              </w:rPr>
              <w:t>3</w:t>
            </w:r>
          </w:p>
        </w:tc>
        <w:tc>
          <w:tcPr>
            <w:tcW w:w="647" w:type="pct"/>
            <w:tcBorders>
              <w:bottom w:val="single" w:sz="4" w:space="0" w:color="auto"/>
            </w:tcBorders>
            <w:shd w:val="clear" w:color="auto" w:fill="DBE5F1" w:themeFill="accent1" w:themeFillTint="33"/>
          </w:tcPr>
          <w:p w14:paraId="46B37406" w14:textId="3B55E1B7" w:rsidR="002A7CCC" w:rsidRPr="00E91E29" w:rsidRDefault="00211DEA" w:rsidP="00361246">
            <w:pPr>
              <w:pStyle w:val="TableText0"/>
              <w:keepLines/>
              <w:jc w:val="right"/>
              <w:rPr>
                <w:color w:val="000000"/>
                <w:szCs w:val="20"/>
                <w:vertAlign w:val="superscript"/>
              </w:rPr>
            </w:pPr>
            <w:r w:rsidRPr="00211DEA">
              <w:rPr>
                <w:color w:val="000000"/>
                <w:spacing w:val="48"/>
                <w:szCs w:val="20"/>
                <w:shd w:val="solid" w:color="000000" w:fill="000000"/>
                <w:fitText w:val="315" w:id="-628907768"/>
                <w14:textFill>
                  <w14:solidFill>
                    <w14:srgbClr w14:val="000000">
                      <w14:alpha w14:val="100000"/>
                    </w14:srgbClr>
                  </w14:solidFill>
                </w14:textFill>
              </w:rPr>
              <w:t>|||</w:t>
            </w:r>
            <w:r w:rsidRPr="00211DEA">
              <w:rPr>
                <w:color w:val="000000"/>
                <w:spacing w:val="1"/>
                <w:szCs w:val="20"/>
                <w:shd w:val="solid" w:color="000000" w:fill="000000"/>
                <w:fitText w:val="315" w:id="-628907768"/>
                <w14:textFill>
                  <w14:solidFill>
                    <w14:srgbClr w14:val="000000">
                      <w14:alpha w14:val="100000"/>
                    </w14:srgbClr>
                  </w14:solidFill>
                </w14:textFill>
              </w:rPr>
              <w:t>|</w:t>
            </w:r>
            <w:r w:rsidR="00182317">
              <w:rPr>
                <w:szCs w:val="20"/>
                <w:vertAlign w:val="superscript"/>
              </w:rPr>
              <w:t>4</w:t>
            </w:r>
          </w:p>
        </w:tc>
        <w:tc>
          <w:tcPr>
            <w:tcW w:w="647" w:type="pct"/>
            <w:tcBorders>
              <w:bottom w:val="single" w:sz="4" w:space="0" w:color="auto"/>
            </w:tcBorders>
            <w:shd w:val="clear" w:color="auto" w:fill="DBE5F1" w:themeFill="accent1" w:themeFillTint="33"/>
          </w:tcPr>
          <w:p w14:paraId="6D76F480" w14:textId="105FC396" w:rsidR="002A7CCC" w:rsidRPr="00AD1C0B" w:rsidRDefault="00211DEA" w:rsidP="00361246">
            <w:pPr>
              <w:pStyle w:val="TableText0"/>
              <w:keepLines/>
              <w:jc w:val="right"/>
              <w:rPr>
                <w:color w:val="000000"/>
                <w:szCs w:val="20"/>
              </w:rPr>
            </w:pPr>
            <w:r w:rsidRPr="0092484B">
              <w:rPr>
                <w:color w:val="000000"/>
                <w:spacing w:val="48"/>
                <w:szCs w:val="20"/>
                <w:shd w:val="solid" w:color="000000" w:fill="000000"/>
                <w:fitText w:val="315" w:id="-628907767"/>
                <w14:textFill>
                  <w14:solidFill>
                    <w14:srgbClr w14:val="000000">
                      <w14:alpha w14:val="100000"/>
                    </w14:srgbClr>
                  </w14:solidFill>
                </w14:textFill>
              </w:rPr>
              <w:t>|||</w:t>
            </w:r>
            <w:r w:rsidRPr="0092484B">
              <w:rPr>
                <w:color w:val="000000"/>
                <w:spacing w:val="1"/>
                <w:szCs w:val="20"/>
                <w:shd w:val="solid" w:color="000000" w:fill="000000"/>
                <w:fitText w:val="315" w:id="-628907767"/>
                <w14:textFill>
                  <w14:solidFill>
                    <w14:srgbClr w14:val="000000">
                      <w14:alpha w14:val="100000"/>
                    </w14:srgbClr>
                  </w14:solidFill>
                </w14:textFill>
              </w:rPr>
              <w:t>|</w:t>
            </w:r>
            <w:r w:rsidR="00182317">
              <w:rPr>
                <w:szCs w:val="20"/>
                <w:vertAlign w:val="superscript"/>
              </w:rPr>
              <w:t>4</w:t>
            </w:r>
          </w:p>
        </w:tc>
        <w:tc>
          <w:tcPr>
            <w:tcW w:w="647" w:type="pct"/>
            <w:tcBorders>
              <w:bottom w:val="single" w:sz="4" w:space="0" w:color="auto"/>
            </w:tcBorders>
            <w:shd w:val="clear" w:color="auto" w:fill="DBE5F1" w:themeFill="accent1" w:themeFillTint="33"/>
          </w:tcPr>
          <w:p w14:paraId="078EC90A" w14:textId="7EC37CC7" w:rsidR="002A7CCC" w:rsidRPr="00AD1C0B" w:rsidRDefault="00211DEA" w:rsidP="00361246">
            <w:pPr>
              <w:pStyle w:val="TableText0"/>
              <w:keepLines/>
              <w:jc w:val="right"/>
              <w:rPr>
                <w:color w:val="000000"/>
                <w:szCs w:val="20"/>
              </w:rPr>
            </w:pPr>
            <w:r w:rsidRPr="00211DEA">
              <w:rPr>
                <w:color w:val="000000"/>
                <w:spacing w:val="48"/>
                <w:szCs w:val="20"/>
                <w:shd w:val="solid" w:color="000000" w:fill="000000"/>
                <w:fitText w:val="315" w:id="-628907766"/>
                <w14:textFill>
                  <w14:solidFill>
                    <w14:srgbClr w14:val="000000">
                      <w14:alpha w14:val="100000"/>
                    </w14:srgbClr>
                  </w14:solidFill>
                </w14:textFill>
              </w:rPr>
              <w:t>|||</w:t>
            </w:r>
            <w:r w:rsidRPr="00211DEA">
              <w:rPr>
                <w:color w:val="000000"/>
                <w:spacing w:val="1"/>
                <w:szCs w:val="20"/>
                <w:shd w:val="solid" w:color="000000" w:fill="000000"/>
                <w:fitText w:val="315" w:id="-628907766"/>
                <w14:textFill>
                  <w14:solidFill>
                    <w14:srgbClr w14:val="000000">
                      <w14:alpha w14:val="100000"/>
                    </w14:srgbClr>
                  </w14:solidFill>
                </w14:textFill>
              </w:rPr>
              <w:t>|</w:t>
            </w:r>
            <w:r w:rsidR="00182317">
              <w:rPr>
                <w:szCs w:val="20"/>
                <w:vertAlign w:val="superscript"/>
              </w:rPr>
              <w:t>4</w:t>
            </w:r>
          </w:p>
        </w:tc>
        <w:tc>
          <w:tcPr>
            <w:tcW w:w="647" w:type="pct"/>
            <w:tcBorders>
              <w:bottom w:val="single" w:sz="4" w:space="0" w:color="auto"/>
            </w:tcBorders>
            <w:shd w:val="clear" w:color="auto" w:fill="DBE5F1" w:themeFill="accent1" w:themeFillTint="33"/>
          </w:tcPr>
          <w:p w14:paraId="0BC345E6" w14:textId="56CF51EF" w:rsidR="002A7CCC" w:rsidRPr="00AD1C0B" w:rsidRDefault="00211DEA" w:rsidP="00361246">
            <w:pPr>
              <w:pStyle w:val="TableText0"/>
              <w:keepLines/>
              <w:jc w:val="right"/>
              <w:rPr>
                <w:color w:val="000000"/>
                <w:szCs w:val="20"/>
              </w:rPr>
            </w:pPr>
            <w:r w:rsidRPr="00211DEA">
              <w:rPr>
                <w:color w:val="000000"/>
                <w:spacing w:val="48"/>
                <w:szCs w:val="20"/>
                <w:shd w:val="solid" w:color="000000" w:fill="000000"/>
                <w:fitText w:val="315" w:id="-628907765"/>
                <w14:textFill>
                  <w14:solidFill>
                    <w14:srgbClr w14:val="000000">
                      <w14:alpha w14:val="100000"/>
                    </w14:srgbClr>
                  </w14:solidFill>
                </w14:textFill>
              </w:rPr>
              <w:t>|||</w:t>
            </w:r>
            <w:r w:rsidRPr="00211DEA">
              <w:rPr>
                <w:color w:val="000000"/>
                <w:spacing w:val="1"/>
                <w:szCs w:val="20"/>
                <w:shd w:val="solid" w:color="000000" w:fill="000000"/>
                <w:fitText w:val="315" w:id="-628907765"/>
                <w14:textFill>
                  <w14:solidFill>
                    <w14:srgbClr w14:val="000000">
                      <w14:alpha w14:val="100000"/>
                    </w14:srgbClr>
                  </w14:solidFill>
                </w14:textFill>
              </w:rPr>
              <w:t>|</w:t>
            </w:r>
            <w:r w:rsidR="00182317">
              <w:rPr>
                <w:szCs w:val="20"/>
                <w:vertAlign w:val="superscript"/>
              </w:rPr>
              <w:t>4</w:t>
            </w:r>
          </w:p>
        </w:tc>
      </w:tr>
      <w:tr w:rsidR="000C1AFF" w:rsidRPr="00AD1C0B" w14:paraId="3CD835A0" w14:textId="77777777" w:rsidTr="002D44E8">
        <w:trPr>
          <w:cantSplit/>
          <w:jc w:val="center"/>
        </w:trPr>
        <w:tc>
          <w:tcPr>
            <w:tcW w:w="5000" w:type="pct"/>
            <w:gridSpan w:val="7"/>
            <w:vAlign w:val="center"/>
          </w:tcPr>
          <w:p w14:paraId="0717F32A" w14:textId="599CB1D7" w:rsidR="000C1AFF" w:rsidRPr="00AD1C0B" w:rsidRDefault="000C1AFF" w:rsidP="00361246">
            <w:pPr>
              <w:pStyle w:val="TableText0"/>
              <w:keepLines/>
              <w:rPr>
                <w:b/>
                <w:bCs w:val="0"/>
                <w:color w:val="000000"/>
                <w:szCs w:val="20"/>
              </w:rPr>
            </w:pPr>
            <w:r w:rsidRPr="00AD1C0B">
              <w:rPr>
                <w:b/>
                <w:bCs w:val="0"/>
                <w:color w:val="000000"/>
                <w:szCs w:val="20"/>
              </w:rPr>
              <w:t>Net financial implications</w:t>
            </w:r>
          </w:p>
        </w:tc>
      </w:tr>
      <w:tr w:rsidR="00CF7612" w:rsidRPr="00AD1C0B" w14:paraId="6DC7AAF7" w14:textId="77777777" w:rsidTr="002D44E8">
        <w:trPr>
          <w:cantSplit/>
          <w:jc w:val="center"/>
        </w:trPr>
        <w:tc>
          <w:tcPr>
            <w:tcW w:w="1118" w:type="pct"/>
            <w:shd w:val="clear" w:color="auto" w:fill="DBE5F1" w:themeFill="accent1" w:themeFillTint="33"/>
            <w:vAlign w:val="center"/>
          </w:tcPr>
          <w:p w14:paraId="41FA959D" w14:textId="6A62CDCD" w:rsidR="00CF7612" w:rsidRPr="00AD1C0B" w:rsidRDefault="00CF7612" w:rsidP="00361246">
            <w:pPr>
              <w:pStyle w:val="TableText0"/>
              <w:keepLines/>
              <w:rPr>
                <w:szCs w:val="20"/>
              </w:rPr>
            </w:pPr>
            <w:r w:rsidRPr="00AD1C0B">
              <w:rPr>
                <w:szCs w:val="20"/>
              </w:rPr>
              <w:t>Net cost to PBS/RPBS</w:t>
            </w:r>
          </w:p>
        </w:tc>
        <w:tc>
          <w:tcPr>
            <w:tcW w:w="647" w:type="pct"/>
            <w:shd w:val="clear" w:color="auto" w:fill="DBE5F1" w:themeFill="accent1" w:themeFillTint="33"/>
            <w:vAlign w:val="center"/>
          </w:tcPr>
          <w:p w14:paraId="454A7C1B" w14:textId="74017D67" w:rsidR="00CF7612" w:rsidRPr="00E91E29" w:rsidRDefault="00CF7612" w:rsidP="00361246">
            <w:pPr>
              <w:pStyle w:val="TableText0"/>
              <w:keepLines/>
              <w:jc w:val="right"/>
              <w:rPr>
                <w:color w:val="000000"/>
                <w:szCs w:val="20"/>
                <w:vertAlign w:val="superscript"/>
              </w:rPr>
            </w:pPr>
            <w:r w:rsidRPr="00AD1C0B">
              <w:rPr>
                <w:iCs/>
                <w:szCs w:val="20"/>
              </w:rPr>
              <w:t>$</w:t>
            </w:r>
            <w:r w:rsidR="00211DEA" w:rsidRPr="00211DEA">
              <w:rPr>
                <w:iCs/>
                <w:color w:val="000000"/>
                <w:spacing w:val="48"/>
                <w:szCs w:val="20"/>
                <w:shd w:val="solid" w:color="000000" w:fill="000000"/>
                <w:fitText w:val="315" w:id="-628907764"/>
                <w14:textFill>
                  <w14:solidFill>
                    <w14:srgbClr w14:val="000000">
                      <w14:alpha w14:val="100000"/>
                    </w14:srgbClr>
                  </w14:solidFill>
                </w14:textFill>
              </w:rPr>
              <w:t>|||</w:t>
            </w:r>
            <w:r w:rsidR="00211DEA" w:rsidRPr="00211DEA">
              <w:rPr>
                <w:iCs/>
                <w:color w:val="000000"/>
                <w:spacing w:val="1"/>
                <w:szCs w:val="20"/>
                <w:shd w:val="solid" w:color="000000" w:fill="000000"/>
                <w:fitText w:val="315" w:id="-628907764"/>
                <w14:textFill>
                  <w14:solidFill>
                    <w14:srgbClr w14:val="000000">
                      <w14:alpha w14:val="100000"/>
                    </w14:srgbClr>
                  </w14:solidFill>
                </w14:textFill>
              </w:rPr>
              <w:t>|</w:t>
            </w:r>
            <w:r w:rsidR="00D64765">
              <w:rPr>
                <w:iCs/>
                <w:szCs w:val="20"/>
                <w:vertAlign w:val="superscript"/>
              </w:rPr>
              <w:t>5</w:t>
            </w:r>
          </w:p>
        </w:tc>
        <w:tc>
          <w:tcPr>
            <w:tcW w:w="647" w:type="pct"/>
            <w:shd w:val="clear" w:color="auto" w:fill="DBE5F1" w:themeFill="accent1" w:themeFillTint="33"/>
            <w:vAlign w:val="center"/>
          </w:tcPr>
          <w:p w14:paraId="5587EA01" w14:textId="08DF1CEA" w:rsidR="00CF7612" w:rsidRPr="00E91E29" w:rsidRDefault="00CF7612" w:rsidP="00361246">
            <w:pPr>
              <w:pStyle w:val="TableText0"/>
              <w:keepLines/>
              <w:jc w:val="center"/>
              <w:rPr>
                <w:iCs/>
                <w:szCs w:val="20"/>
                <w:vertAlign w:val="superscript"/>
              </w:rPr>
            </w:pPr>
            <w:r w:rsidRPr="00AD1C0B">
              <w:rPr>
                <w:iCs/>
                <w:szCs w:val="20"/>
              </w:rPr>
              <w:t>$</w:t>
            </w:r>
            <w:r w:rsidR="00211DEA" w:rsidRPr="00211DEA">
              <w:rPr>
                <w:iCs/>
                <w:color w:val="000000"/>
                <w:spacing w:val="53"/>
                <w:szCs w:val="20"/>
                <w:shd w:val="solid" w:color="000000" w:fill="000000"/>
                <w:fitText w:val="330" w:id="-628907763"/>
                <w14:textFill>
                  <w14:solidFill>
                    <w14:srgbClr w14:val="000000">
                      <w14:alpha w14:val="100000"/>
                    </w14:srgbClr>
                  </w14:solidFill>
                </w14:textFill>
              </w:rPr>
              <w:t>|||</w:t>
            </w:r>
            <w:r w:rsidR="00211DEA" w:rsidRPr="00211DEA">
              <w:rPr>
                <w:iCs/>
                <w:color w:val="000000"/>
                <w:spacing w:val="1"/>
                <w:szCs w:val="20"/>
                <w:shd w:val="solid" w:color="000000" w:fill="000000"/>
                <w:fitText w:val="330" w:id="-628907763"/>
                <w14:textFill>
                  <w14:solidFill>
                    <w14:srgbClr w14:val="000000">
                      <w14:alpha w14:val="100000"/>
                    </w14:srgbClr>
                  </w14:solidFill>
                </w14:textFill>
              </w:rPr>
              <w:t>|</w:t>
            </w:r>
            <w:r w:rsidR="00D64765">
              <w:rPr>
                <w:iCs/>
                <w:szCs w:val="20"/>
                <w:vertAlign w:val="superscript"/>
              </w:rPr>
              <w:t>6</w:t>
            </w:r>
          </w:p>
        </w:tc>
        <w:tc>
          <w:tcPr>
            <w:tcW w:w="647" w:type="pct"/>
            <w:shd w:val="clear" w:color="auto" w:fill="DBE5F1" w:themeFill="accent1" w:themeFillTint="33"/>
            <w:vAlign w:val="center"/>
          </w:tcPr>
          <w:p w14:paraId="5A290C2B" w14:textId="1645C0C2" w:rsidR="00CF7612" w:rsidRPr="00AD1C0B" w:rsidRDefault="00CF7612" w:rsidP="00361246">
            <w:pPr>
              <w:pStyle w:val="TableText0"/>
              <w:keepLines/>
              <w:jc w:val="center"/>
              <w:rPr>
                <w:iCs/>
                <w:szCs w:val="20"/>
              </w:rPr>
            </w:pPr>
            <w:r w:rsidRPr="00AD1C0B">
              <w:rPr>
                <w:iCs/>
                <w:szCs w:val="20"/>
              </w:rPr>
              <w:t>$</w:t>
            </w:r>
            <w:r w:rsidR="00211DEA" w:rsidRPr="00211DEA">
              <w:rPr>
                <w:iCs/>
                <w:color w:val="000000"/>
                <w:spacing w:val="53"/>
                <w:szCs w:val="20"/>
                <w:shd w:val="solid" w:color="000000" w:fill="000000"/>
                <w:fitText w:val="330" w:id="-628907762"/>
                <w14:textFill>
                  <w14:solidFill>
                    <w14:srgbClr w14:val="000000">
                      <w14:alpha w14:val="100000"/>
                    </w14:srgbClr>
                  </w14:solidFill>
                </w14:textFill>
              </w:rPr>
              <w:t>|||</w:t>
            </w:r>
            <w:r w:rsidR="00211DEA" w:rsidRPr="00211DEA">
              <w:rPr>
                <w:iCs/>
                <w:color w:val="000000"/>
                <w:spacing w:val="1"/>
                <w:szCs w:val="20"/>
                <w:shd w:val="solid" w:color="000000" w:fill="000000"/>
                <w:fitText w:val="330" w:id="-628907762"/>
                <w14:textFill>
                  <w14:solidFill>
                    <w14:srgbClr w14:val="000000">
                      <w14:alpha w14:val="100000"/>
                    </w14:srgbClr>
                  </w14:solidFill>
                </w14:textFill>
              </w:rPr>
              <w:t>|</w:t>
            </w:r>
            <w:r w:rsidR="00D64765">
              <w:rPr>
                <w:iCs/>
                <w:szCs w:val="20"/>
                <w:vertAlign w:val="superscript"/>
              </w:rPr>
              <w:t>6</w:t>
            </w:r>
          </w:p>
        </w:tc>
        <w:tc>
          <w:tcPr>
            <w:tcW w:w="647" w:type="pct"/>
            <w:shd w:val="clear" w:color="auto" w:fill="DBE5F1" w:themeFill="accent1" w:themeFillTint="33"/>
            <w:vAlign w:val="center"/>
          </w:tcPr>
          <w:p w14:paraId="73C4A55C" w14:textId="2CC0F38B" w:rsidR="00CF7612" w:rsidRPr="00AD1C0B" w:rsidRDefault="00CF7612" w:rsidP="00361246">
            <w:pPr>
              <w:pStyle w:val="TableText0"/>
              <w:keepLines/>
              <w:jc w:val="center"/>
              <w:rPr>
                <w:iCs/>
                <w:szCs w:val="20"/>
              </w:rPr>
            </w:pPr>
            <w:r w:rsidRPr="00AD1C0B">
              <w:rPr>
                <w:iCs/>
                <w:szCs w:val="20"/>
              </w:rPr>
              <w:t>$</w:t>
            </w:r>
            <w:r w:rsidR="00211DEA" w:rsidRPr="00211DEA">
              <w:rPr>
                <w:iCs/>
                <w:color w:val="000000"/>
                <w:spacing w:val="53"/>
                <w:szCs w:val="20"/>
                <w:shd w:val="solid" w:color="000000" w:fill="000000"/>
                <w:fitText w:val="330" w:id="-628907761"/>
                <w14:textFill>
                  <w14:solidFill>
                    <w14:srgbClr w14:val="000000">
                      <w14:alpha w14:val="100000"/>
                    </w14:srgbClr>
                  </w14:solidFill>
                </w14:textFill>
              </w:rPr>
              <w:t>|||</w:t>
            </w:r>
            <w:r w:rsidR="00211DEA" w:rsidRPr="00211DEA">
              <w:rPr>
                <w:iCs/>
                <w:color w:val="000000"/>
                <w:spacing w:val="1"/>
                <w:szCs w:val="20"/>
                <w:shd w:val="solid" w:color="000000" w:fill="000000"/>
                <w:fitText w:val="330" w:id="-628907761"/>
                <w14:textFill>
                  <w14:solidFill>
                    <w14:srgbClr w14:val="000000">
                      <w14:alpha w14:val="100000"/>
                    </w14:srgbClr>
                  </w14:solidFill>
                </w14:textFill>
              </w:rPr>
              <w:t>|</w:t>
            </w:r>
            <w:r w:rsidR="00D64765">
              <w:rPr>
                <w:iCs/>
                <w:szCs w:val="20"/>
                <w:vertAlign w:val="superscript"/>
              </w:rPr>
              <w:t>6</w:t>
            </w:r>
          </w:p>
        </w:tc>
        <w:tc>
          <w:tcPr>
            <w:tcW w:w="647" w:type="pct"/>
            <w:shd w:val="clear" w:color="auto" w:fill="DBE5F1" w:themeFill="accent1" w:themeFillTint="33"/>
            <w:vAlign w:val="center"/>
          </w:tcPr>
          <w:p w14:paraId="5A08AF29" w14:textId="01304213" w:rsidR="00CF7612" w:rsidRPr="00AD1C0B" w:rsidRDefault="00CF7612" w:rsidP="00361246">
            <w:pPr>
              <w:pStyle w:val="TableText0"/>
              <w:keepLines/>
              <w:jc w:val="center"/>
              <w:rPr>
                <w:iCs/>
                <w:szCs w:val="20"/>
              </w:rPr>
            </w:pPr>
            <w:r w:rsidRPr="00AD1C0B">
              <w:rPr>
                <w:iCs/>
                <w:szCs w:val="20"/>
              </w:rPr>
              <w:t>$</w:t>
            </w:r>
            <w:r w:rsidR="00211DEA" w:rsidRPr="00211DEA">
              <w:rPr>
                <w:iCs/>
                <w:color w:val="000000"/>
                <w:spacing w:val="53"/>
                <w:szCs w:val="20"/>
                <w:shd w:val="solid" w:color="000000" w:fill="000000"/>
                <w:fitText w:val="330" w:id="-628907760"/>
                <w14:textFill>
                  <w14:solidFill>
                    <w14:srgbClr w14:val="000000">
                      <w14:alpha w14:val="100000"/>
                    </w14:srgbClr>
                  </w14:solidFill>
                </w14:textFill>
              </w:rPr>
              <w:t>|||</w:t>
            </w:r>
            <w:r w:rsidR="00211DEA" w:rsidRPr="00211DEA">
              <w:rPr>
                <w:iCs/>
                <w:color w:val="000000"/>
                <w:spacing w:val="1"/>
                <w:szCs w:val="20"/>
                <w:shd w:val="solid" w:color="000000" w:fill="000000"/>
                <w:fitText w:val="330" w:id="-628907760"/>
                <w14:textFill>
                  <w14:solidFill>
                    <w14:srgbClr w14:val="000000">
                      <w14:alpha w14:val="100000"/>
                    </w14:srgbClr>
                  </w14:solidFill>
                </w14:textFill>
              </w:rPr>
              <w:t>|</w:t>
            </w:r>
            <w:r w:rsidR="00824365">
              <w:rPr>
                <w:iCs/>
                <w:szCs w:val="20"/>
                <w:vertAlign w:val="superscript"/>
              </w:rPr>
              <w:t>7</w:t>
            </w:r>
          </w:p>
        </w:tc>
        <w:tc>
          <w:tcPr>
            <w:tcW w:w="647" w:type="pct"/>
            <w:shd w:val="clear" w:color="auto" w:fill="DBE5F1" w:themeFill="accent1" w:themeFillTint="33"/>
            <w:vAlign w:val="center"/>
          </w:tcPr>
          <w:p w14:paraId="1A3491BC" w14:textId="517B49AE" w:rsidR="00CF7612" w:rsidRPr="00AD1C0B" w:rsidRDefault="00CF7612" w:rsidP="00361246">
            <w:pPr>
              <w:pStyle w:val="TableText0"/>
              <w:keepLines/>
              <w:jc w:val="right"/>
              <w:rPr>
                <w:color w:val="000000"/>
                <w:szCs w:val="20"/>
              </w:rPr>
            </w:pPr>
            <w:r w:rsidRPr="00AD1C0B">
              <w:rPr>
                <w:iCs/>
                <w:szCs w:val="20"/>
              </w:rPr>
              <w:t>$</w:t>
            </w:r>
            <w:r w:rsidR="00211DEA" w:rsidRPr="00211DEA">
              <w:rPr>
                <w:iCs/>
                <w:color w:val="000000"/>
                <w:spacing w:val="48"/>
                <w:szCs w:val="20"/>
                <w:shd w:val="solid" w:color="000000" w:fill="000000"/>
                <w:fitText w:val="315" w:id="-628907776"/>
                <w14:textFill>
                  <w14:solidFill>
                    <w14:srgbClr w14:val="000000">
                      <w14:alpha w14:val="100000"/>
                    </w14:srgbClr>
                  </w14:solidFill>
                </w14:textFill>
              </w:rPr>
              <w:t>|||</w:t>
            </w:r>
            <w:r w:rsidR="00211DEA" w:rsidRPr="00211DEA">
              <w:rPr>
                <w:iCs/>
                <w:color w:val="000000"/>
                <w:spacing w:val="1"/>
                <w:szCs w:val="20"/>
                <w:shd w:val="solid" w:color="000000" w:fill="000000"/>
                <w:fitText w:val="315" w:id="-628907776"/>
                <w14:textFill>
                  <w14:solidFill>
                    <w14:srgbClr w14:val="000000">
                      <w14:alpha w14:val="100000"/>
                    </w14:srgbClr>
                  </w14:solidFill>
                </w14:textFill>
              </w:rPr>
              <w:t>|</w:t>
            </w:r>
            <w:r w:rsidR="00824365">
              <w:rPr>
                <w:iCs/>
                <w:szCs w:val="20"/>
                <w:vertAlign w:val="superscript"/>
              </w:rPr>
              <w:t>6</w:t>
            </w:r>
          </w:p>
        </w:tc>
      </w:tr>
      <w:tr w:rsidR="00E2180A" w:rsidRPr="00AD1C0B" w14:paraId="72262732" w14:textId="77777777" w:rsidTr="002D44E8">
        <w:trPr>
          <w:cantSplit/>
          <w:jc w:val="center"/>
        </w:trPr>
        <w:tc>
          <w:tcPr>
            <w:tcW w:w="5000" w:type="pct"/>
            <w:gridSpan w:val="7"/>
            <w:vAlign w:val="center"/>
          </w:tcPr>
          <w:p w14:paraId="19D3EC8A" w14:textId="78AC327A" w:rsidR="00E2180A" w:rsidRPr="00AD1C0B" w:rsidRDefault="00945163" w:rsidP="00361246">
            <w:pPr>
              <w:pStyle w:val="TableText0"/>
              <w:keepLines/>
              <w:rPr>
                <w:b/>
                <w:bCs w:val="0"/>
                <w:iCs/>
                <w:szCs w:val="20"/>
              </w:rPr>
            </w:pPr>
            <w:r w:rsidRPr="00AD1C0B">
              <w:rPr>
                <w:b/>
                <w:bCs w:val="0"/>
                <w:iCs/>
                <w:szCs w:val="20"/>
              </w:rPr>
              <w:t>Actual PBS usage data provided in the submission (note: Year 2 is not a full year)</w:t>
            </w:r>
          </w:p>
        </w:tc>
      </w:tr>
      <w:tr w:rsidR="00252836" w:rsidRPr="00AD1C0B" w14:paraId="73E685F3" w14:textId="77777777" w:rsidTr="002D44E8">
        <w:trPr>
          <w:cantSplit/>
          <w:jc w:val="center"/>
        </w:trPr>
        <w:tc>
          <w:tcPr>
            <w:tcW w:w="5000" w:type="pct"/>
            <w:gridSpan w:val="7"/>
            <w:vAlign w:val="center"/>
          </w:tcPr>
          <w:p w14:paraId="2981CEC8" w14:textId="646174CD" w:rsidR="00252836" w:rsidRPr="00AD1C0B" w:rsidRDefault="00252836" w:rsidP="00361246">
            <w:pPr>
              <w:pStyle w:val="TableText0"/>
              <w:keepLines/>
              <w:rPr>
                <w:b/>
                <w:bCs w:val="0"/>
                <w:iCs/>
                <w:color w:val="FF0000"/>
                <w:szCs w:val="20"/>
              </w:rPr>
            </w:pPr>
            <w:r w:rsidRPr="00AD1C0B">
              <w:rPr>
                <w:b/>
                <w:color w:val="000000"/>
                <w:szCs w:val="20"/>
              </w:rPr>
              <w:t>Extent of use</w:t>
            </w:r>
          </w:p>
        </w:tc>
      </w:tr>
      <w:tr w:rsidR="00D60D29" w:rsidRPr="00AD1C0B" w14:paraId="2CDA7D91" w14:textId="77777777" w:rsidTr="002D44E8">
        <w:trPr>
          <w:cantSplit/>
          <w:jc w:val="center"/>
        </w:trPr>
        <w:tc>
          <w:tcPr>
            <w:tcW w:w="1118" w:type="pct"/>
            <w:tcBorders>
              <w:bottom w:val="single" w:sz="4" w:space="0" w:color="auto"/>
            </w:tcBorders>
          </w:tcPr>
          <w:p w14:paraId="64800428" w14:textId="34BC4634" w:rsidR="00D60D29" w:rsidRPr="00AD1C0B" w:rsidRDefault="00D60D29" w:rsidP="00361246">
            <w:pPr>
              <w:pStyle w:val="TableText0"/>
              <w:keepLines/>
              <w:rPr>
                <w:szCs w:val="20"/>
              </w:rPr>
            </w:pPr>
            <w:r w:rsidRPr="00AD1C0B">
              <w:rPr>
                <w:szCs w:val="20"/>
              </w:rPr>
              <w:t>Number of bottles dispensed</w:t>
            </w:r>
          </w:p>
        </w:tc>
        <w:tc>
          <w:tcPr>
            <w:tcW w:w="647" w:type="pct"/>
            <w:tcBorders>
              <w:bottom w:val="single" w:sz="4" w:space="0" w:color="auto"/>
            </w:tcBorders>
          </w:tcPr>
          <w:p w14:paraId="1E2C5EE1" w14:textId="36031EA2" w:rsidR="00D60D29" w:rsidRPr="00962539" w:rsidRDefault="00211DEA" w:rsidP="00361246">
            <w:pPr>
              <w:pStyle w:val="TableText0"/>
              <w:keepLines/>
              <w:jc w:val="right"/>
              <w:rPr>
                <w:szCs w:val="20"/>
                <w:vertAlign w:val="superscript"/>
              </w:rPr>
            </w:pPr>
            <w:r w:rsidRPr="00211DEA">
              <w:rPr>
                <w:color w:val="000000"/>
                <w:spacing w:val="48"/>
                <w:szCs w:val="20"/>
                <w:shd w:val="solid" w:color="000000" w:fill="000000"/>
                <w:fitText w:val="315" w:id="-628907775"/>
                <w14:textFill>
                  <w14:solidFill>
                    <w14:srgbClr w14:val="000000">
                      <w14:alpha w14:val="100000"/>
                    </w14:srgbClr>
                  </w14:solidFill>
                </w14:textFill>
              </w:rPr>
              <w:t>|||</w:t>
            </w:r>
            <w:r w:rsidRPr="00211DEA">
              <w:rPr>
                <w:color w:val="000000"/>
                <w:spacing w:val="1"/>
                <w:szCs w:val="20"/>
                <w:shd w:val="solid" w:color="000000" w:fill="000000"/>
                <w:fitText w:val="315" w:id="-628907775"/>
                <w14:textFill>
                  <w14:solidFill>
                    <w14:srgbClr w14:val="000000">
                      <w14:alpha w14:val="100000"/>
                    </w14:srgbClr>
                  </w14:solidFill>
                </w14:textFill>
              </w:rPr>
              <w:t>|</w:t>
            </w:r>
            <w:r w:rsidR="00824365">
              <w:rPr>
                <w:szCs w:val="20"/>
                <w:vertAlign w:val="superscript"/>
              </w:rPr>
              <w:t>1</w:t>
            </w:r>
          </w:p>
        </w:tc>
        <w:tc>
          <w:tcPr>
            <w:tcW w:w="647" w:type="pct"/>
            <w:tcBorders>
              <w:bottom w:val="single" w:sz="4" w:space="0" w:color="auto"/>
            </w:tcBorders>
          </w:tcPr>
          <w:p w14:paraId="2740AA3E" w14:textId="12BB3746" w:rsidR="00D60D29" w:rsidRPr="00962539" w:rsidRDefault="00211DEA" w:rsidP="00361246">
            <w:pPr>
              <w:pStyle w:val="TableText0"/>
              <w:keepLines/>
              <w:jc w:val="right"/>
              <w:rPr>
                <w:iCs/>
                <w:szCs w:val="20"/>
                <w:vertAlign w:val="superscript"/>
              </w:rPr>
            </w:pPr>
            <w:r w:rsidRPr="00211DEA">
              <w:rPr>
                <w:iCs/>
                <w:color w:val="000000"/>
                <w:spacing w:val="48"/>
                <w:szCs w:val="20"/>
                <w:shd w:val="solid" w:color="000000" w:fill="000000"/>
                <w:fitText w:val="315" w:id="-628907774"/>
                <w14:textFill>
                  <w14:solidFill>
                    <w14:srgbClr w14:val="000000">
                      <w14:alpha w14:val="100000"/>
                    </w14:srgbClr>
                  </w14:solidFill>
                </w14:textFill>
              </w:rPr>
              <w:t>|||</w:t>
            </w:r>
            <w:r w:rsidRPr="00211DEA">
              <w:rPr>
                <w:iCs/>
                <w:color w:val="000000"/>
                <w:spacing w:val="1"/>
                <w:szCs w:val="20"/>
                <w:shd w:val="solid" w:color="000000" w:fill="000000"/>
                <w:fitText w:val="315" w:id="-628907774"/>
                <w14:textFill>
                  <w14:solidFill>
                    <w14:srgbClr w14:val="000000">
                      <w14:alpha w14:val="100000"/>
                    </w14:srgbClr>
                  </w14:solidFill>
                </w14:textFill>
              </w:rPr>
              <w:t>|</w:t>
            </w:r>
            <w:r w:rsidR="00824365">
              <w:rPr>
                <w:iCs/>
                <w:szCs w:val="20"/>
                <w:vertAlign w:val="superscript"/>
              </w:rPr>
              <w:t>1</w:t>
            </w:r>
          </w:p>
        </w:tc>
        <w:tc>
          <w:tcPr>
            <w:tcW w:w="2589" w:type="pct"/>
            <w:gridSpan w:val="4"/>
            <w:tcBorders>
              <w:bottom w:val="single" w:sz="4" w:space="0" w:color="auto"/>
            </w:tcBorders>
          </w:tcPr>
          <w:p w14:paraId="36B3DAB7" w14:textId="09935DC3" w:rsidR="00D60D29" w:rsidRPr="00AD1C0B" w:rsidRDefault="00D60D29" w:rsidP="00361246">
            <w:pPr>
              <w:pStyle w:val="TableText0"/>
              <w:keepLines/>
              <w:jc w:val="center"/>
              <w:rPr>
                <w:iCs/>
                <w:szCs w:val="20"/>
              </w:rPr>
            </w:pPr>
            <w:r w:rsidRPr="00AD1C0B">
              <w:rPr>
                <w:iCs/>
                <w:szCs w:val="20"/>
              </w:rPr>
              <w:t>N/A</w:t>
            </w:r>
          </w:p>
        </w:tc>
      </w:tr>
      <w:tr w:rsidR="00941EE5" w:rsidRPr="00AD1C0B" w14:paraId="56AA957C" w14:textId="77777777" w:rsidTr="002D44E8">
        <w:trPr>
          <w:cantSplit/>
          <w:jc w:val="center"/>
        </w:trPr>
        <w:tc>
          <w:tcPr>
            <w:tcW w:w="5000" w:type="pct"/>
            <w:gridSpan w:val="7"/>
            <w:vAlign w:val="center"/>
          </w:tcPr>
          <w:p w14:paraId="00B5B9EE" w14:textId="499E168F" w:rsidR="00941EE5" w:rsidRPr="00AD1C0B" w:rsidRDefault="00252836" w:rsidP="00361246">
            <w:pPr>
              <w:pStyle w:val="TableText0"/>
              <w:keepLines/>
              <w:rPr>
                <w:iCs/>
                <w:szCs w:val="20"/>
              </w:rPr>
            </w:pPr>
            <w:r w:rsidRPr="00AD1C0B">
              <w:rPr>
                <w:b/>
                <w:bCs w:val="0"/>
                <w:color w:val="000000"/>
                <w:szCs w:val="20"/>
              </w:rPr>
              <w:t>Net financial implications</w:t>
            </w:r>
          </w:p>
        </w:tc>
      </w:tr>
      <w:tr w:rsidR="00D60D29" w:rsidRPr="00AD1C0B" w14:paraId="73183D74" w14:textId="77777777" w:rsidTr="002D44E8">
        <w:trPr>
          <w:cantSplit/>
          <w:jc w:val="center"/>
        </w:trPr>
        <w:tc>
          <w:tcPr>
            <w:tcW w:w="1118" w:type="pct"/>
            <w:vAlign w:val="center"/>
          </w:tcPr>
          <w:p w14:paraId="6DF4AD90" w14:textId="6D282183" w:rsidR="00D60D29" w:rsidRPr="00AD1C0B" w:rsidRDefault="00D60D29" w:rsidP="00361246">
            <w:pPr>
              <w:pStyle w:val="TableText0"/>
              <w:keepLines/>
              <w:rPr>
                <w:szCs w:val="20"/>
              </w:rPr>
            </w:pPr>
            <w:r w:rsidRPr="00AD1C0B">
              <w:rPr>
                <w:szCs w:val="20"/>
              </w:rPr>
              <w:t>Net cost to PBS/RPBS</w:t>
            </w:r>
          </w:p>
        </w:tc>
        <w:tc>
          <w:tcPr>
            <w:tcW w:w="647" w:type="pct"/>
            <w:vAlign w:val="center"/>
          </w:tcPr>
          <w:p w14:paraId="5EB34ECB" w14:textId="77AD5A2C" w:rsidR="00D60D29" w:rsidRPr="00962539" w:rsidRDefault="00FF61DF" w:rsidP="00361246">
            <w:pPr>
              <w:pStyle w:val="TableText0"/>
              <w:keepLines/>
              <w:jc w:val="right"/>
              <w:rPr>
                <w:iCs/>
                <w:szCs w:val="20"/>
                <w:vertAlign w:val="superscript"/>
              </w:rPr>
            </w:pPr>
            <w:r w:rsidRPr="00AD1C0B">
              <w:rPr>
                <w:iCs/>
                <w:szCs w:val="20"/>
              </w:rPr>
              <w:t>$</w:t>
            </w:r>
            <w:r w:rsidR="00211DEA" w:rsidRPr="00211DEA">
              <w:rPr>
                <w:iCs/>
                <w:color w:val="000000"/>
                <w:spacing w:val="48"/>
                <w:szCs w:val="20"/>
                <w:shd w:val="solid" w:color="000000" w:fill="000000"/>
                <w:fitText w:val="315" w:id="-628907773"/>
                <w14:textFill>
                  <w14:solidFill>
                    <w14:srgbClr w14:val="000000">
                      <w14:alpha w14:val="100000"/>
                    </w14:srgbClr>
                  </w14:solidFill>
                </w14:textFill>
              </w:rPr>
              <w:t>|||</w:t>
            </w:r>
            <w:r w:rsidR="00211DEA" w:rsidRPr="00211DEA">
              <w:rPr>
                <w:iCs/>
                <w:color w:val="000000"/>
                <w:spacing w:val="1"/>
                <w:szCs w:val="20"/>
                <w:shd w:val="solid" w:color="000000" w:fill="000000"/>
                <w:fitText w:val="315" w:id="-628907773"/>
                <w14:textFill>
                  <w14:solidFill>
                    <w14:srgbClr w14:val="000000">
                      <w14:alpha w14:val="100000"/>
                    </w14:srgbClr>
                  </w14:solidFill>
                </w14:textFill>
              </w:rPr>
              <w:t>|</w:t>
            </w:r>
            <w:r w:rsidR="00962539">
              <w:rPr>
                <w:iCs/>
                <w:szCs w:val="20"/>
                <w:vertAlign w:val="superscript"/>
              </w:rPr>
              <w:t>5</w:t>
            </w:r>
          </w:p>
        </w:tc>
        <w:tc>
          <w:tcPr>
            <w:tcW w:w="647" w:type="pct"/>
            <w:vAlign w:val="center"/>
          </w:tcPr>
          <w:p w14:paraId="1FE2A7BA" w14:textId="54A3D7F4" w:rsidR="00D60D29" w:rsidRPr="00962539" w:rsidRDefault="002D29F4" w:rsidP="00361246">
            <w:pPr>
              <w:pStyle w:val="TableText0"/>
              <w:keepLines/>
              <w:jc w:val="right"/>
              <w:rPr>
                <w:iCs/>
                <w:szCs w:val="20"/>
                <w:vertAlign w:val="superscript"/>
              </w:rPr>
            </w:pPr>
            <w:r w:rsidRPr="00AD1C0B">
              <w:rPr>
                <w:iCs/>
                <w:szCs w:val="20"/>
              </w:rPr>
              <w:t>$</w:t>
            </w:r>
            <w:r w:rsidR="00211DEA" w:rsidRPr="00211DEA">
              <w:rPr>
                <w:iCs/>
                <w:color w:val="000000"/>
                <w:spacing w:val="48"/>
                <w:szCs w:val="20"/>
                <w:shd w:val="solid" w:color="000000" w:fill="000000"/>
                <w:fitText w:val="315" w:id="-628907772"/>
                <w14:textFill>
                  <w14:solidFill>
                    <w14:srgbClr w14:val="000000">
                      <w14:alpha w14:val="100000"/>
                    </w14:srgbClr>
                  </w14:solidFill>
                </w14:textFill>
              </w:rPr>
              <w:t>|||</w:t>
            </w:r>
            <w:r w:rsidR="00211DEA" w:rsidRPr="00211DEA">
              <w:rPr>
                <w:iCs/>
                <w:color w:val="000000"/>
                <w:spacing w:val="1"/>
                <w:szCs w:val="20"/>
                <w:shd w:val="solid" w:color="000000" w:fill="000000"/>
                <w:fitText w:val="315" w:id="-628907772"/>
                <w14:textFill>
                  <w14:solidFill>
                    <w14:srgbClr w14:val="000000">
                      <w14:alpha w14:val="100000"/>
                    </w14:srgbClr>
                  </w14:solidFill>
                </w14:textFill>
              </w:rPr>
              <w:t>|</w:t>
            </w:r>
            <w:r w:rsidR="00962539">
              <w:rPr>
                <w:iCs/>
                <w:szCs w:val="20"/>
                <w:vertAlign w:val="superscript"/>
              </w:rPr>
              <w:t>5</w:t>
            </w:r>
          </w:p>
        </w:tc>
        <w:tc>
          <w:tcPr>
            <w:tcW w:w="2589" w:type="pct"/>
            <w:gridSpan w:val="4"/>
            <w:vAlign w:val="center"/>
          </w:tcPr>
          <w:p w14:paraId="5476F816" w14:textId="71A2DAB3" w:rsidR="00D60D29" w:rsidRPr="00AD1C0B" w:rsidRDefault="00D60D29" w:rsidP="00361246">
            <w:pPr>
              <w:pStyle w:val="TableText0"/>
              <w:keepLines/>
              <w:jc w:val="center"/>
              <w:rPr>
                <w:iCs/>
                <w:szCs w:val="20"/>
              </w:rPr>
            </w:pPr>
            <w:r w:rsidRPr="00AD1C0B">
              <w:rPr>
                <w:iCs/>
                <w:szCs w:val="20"/>
              </w:rPr>
              <w:t>N/A</w:t>
            </w:r>
          </w:p>
        </w:tc>
      </w:tr>
    </w:tbl>
    <w:p w14:paraId="42320224" w14:textId="1083DE8B" w:rsidR="00D70349" w:rsidRPr="00A6439B" w:rsidRDefault="00AB4684" w:rsidP="00361246">
      <w:pPr>
        <w:pStyle w:val="TableFigureFooter"/>
        <w:keepNext/>
        <w:keepLines/>
        <w:jc w:val="left"/>
      </w:pPr>
      <w:r w:rsidRPr="00A6439B">
        <w:t>Abbreviations: MBS = Medical Benefits Scheme; PBS = Pharmaceutical Benefits Scheme; RPBS = Repatriation Pharmaceutical Benefits Scheme</w:t>
      </w:r>
      <w:r w:rsidR="006A53E7">
        <w:t xml:space="preserve">; </w:t>
      </w:r>
      <w:r w:rsidR="006A53E7" w:rsidRPr="006A53E7">
        <w:t xml:space="preserve">PSD = Public Summary </w:t>
      </w:r>
      <w:r w:rsidR="00135748" w:rsidRPr="006A53E7">
        <w:t>Document</w:t>
      </w:r>
      <w:r w:rsidR="00D60D29">
        <w:t>; N/A = not available</w:t>
      </w:r>
    </w:p>
    <w:p w14:paraId="6D21A960" w14:textId="72B5AFF1" w:rsidR="00D70349" w:rsidRPr="009550D2" w:rsidRDefault="00D70349" w:rsidP="00361246">
      <w:pPr>
        <w:pStyle w:val="TableFigureFooter"/>
        <w:keepNext/>
        <w:keepLines/>
        <w:rPr>
          <w:color w:val="000000" w:themeColor="text1"/>
        </w:rPr>
      </w:pPr>
      <w:r w:rsidRPr="009550D2">
        <w:rPr>
          <w:color w:val="000000" w:themeColor="text1"/>
        </w:rPr>
        <w:t xml:space="preserve">Source: </w:t>
      </w:r>
      <w:r w:rsidR="005D49A0" w:rsidRPr="009550D2">
        <w:rPr>
          <w:color w:val="000000" w:themeColor="text1"/>
        </w:rPr>
        <w:t xml:space="preserve">Table </w:t>
      </w:r>
      <w:r w:rsidR="009550D2" w:rsidRPr="009550D2">
        <w:rPr>
          <w:color w:val="000000" w:themeColor="text1"/>
        </w:rPr>
        <w:t xml:space="preserve">3 </w:t>
      </w:r>
      <w:r w:rsidRPr="009550D2">
        <w:rPr>
          <w:color w:val="000000" w:themeColor="text1"/>
        </w:rPr>
        <w:t xml:space="preserve">of the </w:t>
      </w:r>
      <w:r w:rsidR="00D34541" w:rsidRPr="009550D2">
        <w:rPr>
          <w:color w:val="000000" w:themeColor="text1"/>
        </w:rPr>
        <w:t xml:space="preserve">cannabidiol </w:t>
      </w:r>
      <w:r w:rsidR="004D6E4C" w:rsidRPr="009550D2">
        <w:rPr>
          <w:color w:val="000000" w:themeColor="text1"/>
        </w:rPr>
        <w:t xml:space="preserve">July </w:t>
      </w:r>
      <w:r w:rsidR="006A53E7" w:rsidRPr="009550D2">
        <w:rPr>
          <w:color w:val="000000" w:themeColor="text1"/>
        </w:rPr>
        <w:t>2022 PSD</w:t>
      </w:r>
      <w:r w:rsidR="001A791B" w:rsidRPr="009550D2">
        <w:rPr>
          <w:color w:val="000000" w:themeColor="text1"/>
        </w:rPr>
        <w:t xml:space="preserve">; Table </w:t>
      </w:r>
      <w:r w:rsidR="00502E37" w:rsidRPr="009550D2">
        <w:rPr>
          <w:color w:val="000000" w:themeColor="text1"/>
        </w:rPr>
        <w:t>1.4-1</w:t>
      </w:r>
      <w:r w:rsidR="009550D2" w:rsidRPr="009550D2">
        <w:rPr>
          <w:color w:val="000000" w:themeColor="text1"/>
        </w:rPr>
        <w:t xml:space="preserve"> </w:t>
      </w:r>
      <w:r w:rsidR="00502E37" w:rsidRPr="009550D2">
        <w:rPr>
          <w:color w:val="000000" w:themeColor="text1"/>
        </w:rPr>
        <w:t xml:space="preserve">of the submission </w:t>
      </w:r>
    </w:p>
    <w:p w14:paraId="425B09AE" w14:textId="79D56D66" w:rsidR="0004278D" w:rsidRPr="00824365" w:rsidRDefault="00EC26DB" w:rsidP="00361246">
      <w:pPr>
        <w:pStyle w:val="TableFigureFooter"/>
        <w:keepNext/>
        <w:keepLines/>
        <w:jc w:val="left"/>
        <w:rPr>
          <w:i/>
          <w:iCs/>
        </w:rPr>
      </w:pPr>
      <w:r>
        <w:t>Note: Year 1</w:t>
      </w:r>
      <w:r w:rsidR="00EE3AD0">
        <w:t>:</w:t>
      </w:r>
      <w:r>
        <w:t xml:space="preserve"> </w:t>
      </w:r>
      <w:r w:rsidR="00FA119A">
        <w:t>June 2023 to May 2024</w:t>
      </w:r>
      <w:r w:rsidR="001A791B">
        <w:t>;</w:t>
      </w:r>
      <w:r w:rsidR="00FA119A">
        <w:t xml:space="preserve"> Year 2: June 2024 and January 2025</w:t>
      </w:r>
      <w:r w:rsidR="0004278D">
        <w:br/>
      </w:r>
      <w:r w:rsidR="0004278D">
        <w:rPr>
          <w:i/>
          <w:iCs/>
        </w:rPr>
        <w:t>The redacted values correspond to the following ranges:</w:t>
      </w:r>
      <w:r w:rsidR="0004278D">
        <w:rPr>
          <w:i/>
          <w:iCs/>
        </w:rPr>
        <w:br/>
      </w:r>
      <w:r w:rsidR="0004278D">
        <w:rPr>
          <w:i/>
          <w:iCs/>
          <w:vertAlign w:val="superscript"/>
        </w:rPr>
        <w:t>1</w:t>
      </w:r>
      <w:r w:rsidR="009214D8">
        <w:rPr>
          <w:i/>
          <w:iCs/>
          <w:vertAlign w:val="superscript"/>
        </w:rPr>
        <w:t xml:space="preserve"> </w:t>
      </w:r>
      <w:r w:rsidR="009214D8" w:rsidRPr="009214D8">
        <w:rPr>
          <w:i/>
          <w:iCs/>
        </w:rPr>
        <w:t>500 to &lt; 5,000</w:t>
      </w:r>
      <w:r w:rsidR="009214D8">
        <w:rPr>
          <w:i/>
          <w:iCs/>
        </w:rPr>
        <w:br/>
      </w:r>
      <w:r w:rsidR="009214D8">
        <w:rPr>
          <w:i/>
          <w:iCs/>
          <w:vertAlign w:val="superscript"/>
        </w:rPr>
        <w:t xml:space="preserve">2 </w:t>
      </w:r>
      <w:r w:rsidR="00182317">
        <w:rPr>
          <w:i/>
          <w:iCs/>
        </w:rPr>
        <w:t>10,000 to &lt; 20,000</w:t>
      </w:r>
      <w:r w:rsidR="00182317">
        <w:rPr>
          <w:i/>
          <w:iCs/>
        </w:rPr>
        <w:br/>
      </w:r>
      <w:r w:rsidR="00182317">
        <w:rPr>
          <w:i/>
          <w:iCs/>
          <w:vertAlign w:val="superscript"/>
        </w:rPr>
        <w:t xml:space="preserve">3 </w:t>
      </w:r>
      <w:r w:rsidR="00182317">
        <w:rPr>
          <w:i/>
          <w:iCs/>
        </w:rPr>
        <w:t>20,000 to &lt; 30,000</w:t>
      </w:r>
      <w:r w:rsidR="00182317">
        <w:rPr>
          <w:i/>
          <w:iCs/>
        </w:rPr>
        <w:br/>
      </w:r>
      <w:r w:rsidR="00182317" w:rsidRPr="00E91E29">
        <w:rPr>
          <w:i/>
          <w:iCs/>
          <w:vertAlign w:val="superscript"/>
        </w:rPr>
        <w:t>4</w:t>
      </w:r>
      <w:r w:rsidR="00182317">
        <w:rPr>
          <w:i/>
          <w:iCs/>
        </w:rPr>
        <w:t xml:space="preserve"> 30,000 to &lt; 40,000</w:t>
      </w:r>
      <w:r w:rsidR="00182317">
        <w:rPr>
          <w:i/>
          <w:iCs/>
        </w:rPr>
        <w:br/>
      </w:r>
      <w:r w:rsidR="00D64765" w:rsidRPr="00E91E29">
        <w:rPr>
          <w:i/>
          <w:iCs/>
          <w:vertAlign w:val="superscript"/>
        </w:rPr>
        <w:t>5</w:t>
      </w:r>
      <w:r w:rsidR="00D64765">
        <w:rPr>
          <w:i/>
          <w:iCs/>
          <w:vertAlign w:val="superscript"/>
        </w:rPr>
        <w:t xml:space="preserve"> </w:t>
      </w:r>
      <w:r w:rsidR="00D64765">
        <w:rPr>
          <w:i/>
          <w:iCs/>
        </w:rPr>
        <w:t>$10 million to &lt; $20 million</w:t>
      </w:r>
      <w:r w:rsidR="00D64765">
        <w:rPr>
          <w:i/>
          <w:iCs/>
        </w:rPr>
        <w:br/>
      </w:r>
      <w:r w:rsidR="00D64765">
        <w:rPr>
          <w:i/>
          <w:iCs/>
          <w:vertAlign w:val="superscript"/>
        </w:rPr>
        <w:t xml:space="preserve">6 </w:t>
      </w:r>
      <w:r w:rsidR="00D64765">
        <w:rPr>
          <w:i/>
          <w:iCs/>
        </w:rPr>
        <w:t>$20 million to &lt; $30 million</w:t>
      </w:r>
      <w:r w:rsidR="00824365">
        <w:rPr>
          <w:i/>
          <w:iCs/>
        </w:rPr>
        <w:br/>
      </w:r>
      <w:r w:rsidR="00824365">
        <w:rPr>
          <w:i/>
          <w:iCs/>
          <w:vertAlign w:val="superscript"/>
        </w:rPr>
        <w:t>7</w:t>
      </w:r>
      <w:r w:rsidR="00824365">
        <w:rPr>
          <w:i/>
          <w:iCs/>
        </w:rPr>
        <w:t xml:space="preserve"> $30 million to &lt; $40 million</w:t>
      </w:r>
    </w:p>
    <w:p w14:paraId="36875348" w14:textId="7C272EA8" w:rsidR="00831B88" w:rsidRDefault="00831B88" w:rsidP="00361246">
      <w:pPr>
        <w:pStyle w:val="4-SubsectionHeading"/>
        <w:spacing w:before="0"/>
        <w:rPr>
          <w:lang w:eastAsia="en-US"/>
        </w:rPr>
      </w:pPr>
      <w:r>
        <w:rPr>
          <w:lang w:eastAsia="en-US"/>
        </w:rPr>
        <w:t xml:space="preserve">Risk-sharing arrangements </w:t>
      </w:r>
    </w:p>
    <w:p w14:paraId="037A3DE0" w14:textId="19C60038" w:rsidR="00EF3199" w:rsidRPr="00EF3199" w:rsidRDefault="009C0C19" w:rsidP="00361246">
      <w:pPr>
        <w:pStyle w:val="3-BodyText"/>
        <w:spacing w:before="0"/>
        <w:rPr>
          <w:sz w:val="22"/>
        </w:rPr>
      </w:pPr>
      <w:r w:rsidRPr="009C0C19">
        <w:rPr>
          <w:lang w:eastAsia="en-US"/>
        </w:rPr>
        <w:t xml:space="preserve">The submission did not propose any </w:t>
      </w:r>
      <w:r w:rsidR="006F5F10">
        <w:rPr>
          <w:lang w:eastAsia="en-US"/>
        </w:rPr>
        <w:t xml:space="preserve">changes </w:t>
      </w:r>
      <w:r w:rsidRPr="009C0C19">
        <w:rPr>
          <w:lang w:eastAsia="en-US"/>
        </w:rPr>
        <w:t xml:space="preserve">to the existing </w:t>
      </w:r>
      <w:r w:rsidR="000504BC">
        <w:rPr>
          <w:lang w:eastAsia="en-US"/>
        </w:rPr>
        <w:t>RSA</w:t>
      </w:r>
      <w:r w:rsidR="00AC32EC">
        <w:rPr>
          <w:lang w:eastAsia="en-US"/>
        </w:rPr>
        <w:t>.</w:t>
      </w:r>
    </w:p>
    <w:p w14:paraId="0679E566" w14:textId="77777777" w:rsidR="005137EF" w:rsidRDefault="005137EF" w:rsidP="00361246">
      <w:pPr>
        <w:pStyle w:val="2-SectionHeading"/>
      </w:pPr>
      <w:r w:rsidRPr="005137EF">
        <w:t>PBAC Outcome</w:t>
      </w:r>
    </w:p>
    <w:p w14:paraId="6533F706" w14:textId="3E5669AB" w:rsidR="00B02C40" w:rsidRDefault="007234A9" w:rsidP="00361246">
      <w:pPr>
        <w:pStyle w:val="3-BodyText"/>
        <w:spacing w:before="0"/>
      </w:pPr>
      <w:bookmarkStart w:id="13" w:name="_Hlk203511360"/>
      <w:r w:rsidRPr="007234A9">
        <w:t>The PBAC recommended amending the restriction level of cannabidiol for the treatment of seizures associated with Lennox-Gastaut syndrome (LGS), from Authority Required (Telephone/online PBS Authorities system) to Authority Required (STREAMLINED).</w:t>
      </w:r>
    </w:p>
    <w:bookmarkEnd w:id="13"/>
    <w:p w14:paraId="609ECE63" w14:textId="3A3A5D99" w:rsidR="007858B7" w:rsidRDefault="007858B7" w:rsidP="00361246">
      <w:pPr>
        <w:pStyle w:val="3-BodyText"/>
      </w:pPr>
      <w:r>
        <w:t>The PBAC also recommended the following amendments</w:t>
      </w:r>
      <w:r w:rsidR="003C6608">
        <w:t xml:space="preserve"> </w:t>
      </w:r>
      <w:r w:rsidR="00E574AB" w:rsidRPr="00E574AB">
        <w:t>to the current PBS criteria for cannabidiol in the LGS indication</w:t>
      </w:r>
      <w:r>
        <w:t xml:space="preserve">, </w:t>
      </w:r>
      <w:r w:rsidR="009C5395" w:rsidRPr="009C5395">
        <w:t>as proposed in Option 2 of the submission:</w:t>
      </w:r>
    </w:p>
    <w:p w14:paraId="47609F48" w14:textId="73242874" w:rsidR="007858B7" w:rsidRDefault="007858B7" w:rsidP="00361246">
      <w:pPr>
        <w:pStyle w:val="3-BodyText"/>
        <w:numPr>
          <w:ilvl w:val="0"/>
          <w:numId w:val="56"/>
        </w:numPr>
      </w:pPr>
      <w:r>
        <w:t xml:space="preserve">Change the </w:t>
      </w:r>
      <w:r w:rsidR="2B7CED6B">
        <w:t xml:space="preserve">mandatory </w:t>
      </w:r>
      <w:r>
        <w:t>requirement for an electroencephalogram (EEG) to confirm the diagnosis of LGS, allowing for EEG confirmation where possible.</w:t>
      </w:r>
    </w:p>
    <w:p w14:paraId="739D5470" w14:textId="2E4DA5E9" w:rsidR="007858B7" w:rsidRDefault="006E768B" w:rsidP="00361246">
      <w:pPr>
        <w:pStyle w:val="3-BodyText"/>
        <w:numPr>
          <w:ilvl w:val="0"/>
          <w:numId w:val="55"/>
        </w:numPr>
      </w:pPr>
      <w:r w:rsidRPr="006E768B">
        <w:t xml:space="preserve">Remove the specific EEG feature requirement of slow </w:t>
      </w:r>
      <w:r w:rsidR="00145410" w:rsidRPr="00145410">
        <w:t xml:space="preserve">(less than 3.0 hertz) </w:t>
      </w:r>
      <w:r w:rsidRPr="006E768B">
        <w:t>spike-and-wave discharges with generalised paroxysmal fast activity</w:t>
      </w:r>
      <w:r w:rsidR="00BE4AE8">
        <w:t xml:space="preserve"> </w:t>
      </w:r>
      <w:r w:rsidR="00BE4AE8" w:rsidRPr="00BE4AE8">
        <w:t>(sleep recording should be obtained where it is possible)</w:t>
      </w:r>
      <w:r w:rsidRPr="006E768B">
        <w:t>.</w:t>
      </w:r>
    </w:p>
    <w:p w14:paraId="4C8B7686" w14:textId="4953CC4A" w:rsidR="00304D5E" w:rsidRDefault="00304D5E" w:rsidP="00361246">
      <w:pPr>
        <w:pStyle w:val="3-BodyText"/>
        <w:numPr>
          <w:ilvl w:val="0"/>
          <w:numId w:val="55"/>
        </w:numPr>
      </w:pPr>
      <w:r w:rsidRPr="00304D5E">
        <w:t>Remove the requirement for seizure classification to be limited to generalised seizures for both initial and continuing treatment.</w:t>
      </w:r>
    </w:p>
    <w:p w14:paraId="75BD4D90" w14:textId="319E705B" w:rsidR="007858B7" w:rsidRDefault="007858B7" w:rsidP="00361246">
      <w:pPr>
        <w:pStyle w:val="3-BodyText"/>
        <w:numPr>
          <w:ilvl w:val="0"/>
          <w:numId w:val="55"/>
        </w:numPr>
      </w:pPr>
      <w:r>
        <w:lastRenderedPageBreak/>
        <w:t xml:space="preserve">Remove the requirement for </w:t>
      </w:r>
      <w:r w:rsidR="001C4BFE">
        <w:t>s</w:t>
      </w:r>
      <w:r>
        <w:t>eizure frequency and type</w:t>
      </w:r>
      <w:r w:rsidR="009C7ECF">
        <w:t>:</w:t>
      </w:r>
      <w:r w:rsidR="00655B41">
        <w:t xml:space="preserve"> </w:t>
      </w:r>
      <w:r w:rsidR="001C4BFE">
        <w:t>“</w:t>
      </w:r>
      <w:r>
        <w:t>at least two drop seizures (atonic, tonic, or tonic-clonic) per week</w:t>
      </w:r>
      <w:r w:rsidR="00685998">
        <w:t>”</w:t>
      </w:r>
      <w:r>
        <w:t>.</w:t>
      </w:r>
    </w:p>
    <w:p w14:paraId="7A557755" w14:textId="71DB4661" w:rsidR="007858B7" w:rsidRDefault="007858B7" w:rsidP="00361246">
      <w:pPr>
        <w:pStyle w:val="3-BodyText"/>
        <w:numPr>
          <w:ilvl w:val="0"/>
          <w:numId w:val="55"/>
        </w:numPr>
      </w:pPr>
      <w:r>
        <w:t xml:space="preserve">Remove the requirement for “at least two” other </w:t>
      </w:r>
      <w:r w:rsidR="00C51791" w:rsidRPr="00C51791">
        <w:t>antiseizure medication</w:t>
      </w:r>
      <w:r w:rsidR="00736F95">
        <w:t>,</w:t>
      </w:r>
      <w:r>
        <w:t xml:space="preserve"> </w:t>
      </w:r>
      <w:r w:rsidR="00736F95">
        <w:t xml:space="preserve">allowing </w:t>
      </w:r>
      <w:r w:rsidR="00B93199">
        <w:t xml:space="preserve">ongoing </w:t>
      </w:r>
      <w:r w:rsidR="00736F95">
        <w:t>cannabidiol use with one or more concomitant AEDs.</w:t>
      </w:r>
    </w:p>
    <w:p w14:paraId="3BCFF8FB" w14:textId="1FFA4EEE" w:rsidR="007858B7" w:rsidRDefault="007858B7" w:rsidP="00361246">
      <w:pPr>
        <w:pStyle w:val="3-BodyText"/>
        <w:numPr>
          <w:ilvl w:val="0"/>
          <w:numId w:val="55"/>
        </w:numPr>
      </w:pPr>
      <w:r>
        <w:t>Amend the treatment criteria to allow prescribing by a paediatrician without the need for consultation with a neurologist, and continuation of therapy by a general practitioner in consultation with a paediatrician;</w:t>
      </w:r>
    </w:p>
    <w:p w14:paraId="40A110C7" w14:textId="321E2A6A" w:rsidR="007858B7" w:rsidRPr="003D6467" w:rsidRDefault="00397B24" w:rsidP="00361246">
      <w:pPr>
        <w:pStyle w:val="3-BodyText"/>
        <w:numPr>
          <w:ilvl w:val="0"/>
          <w:numId w:val="55"/>
        </w:numPr>
      </w:pPr>
      <w:r>
        <w:t xml:space="preserve">Remove the prescribing instruction that </w:t>
      </w:r>
      <w:r w:rsidR="00510762">
        <w:t>“</w:t>
      </w:r>
      <w:r w:rsidR="007858B7">
        <w:t>tonic seizures must have been recorded on video-EEG or have been clearly observed and reported by a witness.</w:t>
      </w:r>
      <w:r w:rsidR="5C7DD212">
        <w:t>”</w:t>
      </w:r>
    </w:p>
    <w:p w14:paraId="0D9B4B10" w14:textId="2243325B" w:rsidR="00DD34A3" w:rsidRPr="00211DEA" w:rsidRDefault="006273E8" w:rsidP="00361246">
      <w:pPr>
        <w:pStyle w:val="3-BodyText"/>
      </w:pPr>
      <w:r>
        <w:t xml:space="preserve">The PBAC noted input from health professionals, </w:t>
      </w:r>
      <w:r w:rsidR="00081777">
        <w:t>primarily</w:t>
      </w:r>
      <w:r>
        <w:t xml:space="preserve"> neurologists and epileptologists involved in the management of patients with LGS, who emphasised the clinical need for cannabidiol as an adjunctive</w:t>
      </w:r>
      <w:r w:rsidR="00CC3AE4">
        <w:t xml:space="preserve"> therapy</w:t>
      </w:r>
      <w:r>
        <w:t>. The comments highlighted the therapeutic benefits of cannabidiol in reducing seizure frequency, hospital admissions, and the risk of seizure-related injuries and complications, which contributes to an overall improvement in the quality of life for patients and their families.</w:t>
      </w:r>
      <w:r w:rsidR="000211C2">
        <w:t xml:space="preserve"> </w:t>
      </w:r>
      <w:r>
        <w:t xml:space="preserve">The PBAC also noted input from the National Paediatric Medicines Forum (NPMF) and consumer groups supporting amendments to the current PBS restrictions. </w:t>
      </w:r>
      <w:r w:rsidR="004C4587" w:rsidRPr="004C4587">
        <w:t xml:space="preserve">In particular, </w:t>
      </w:r>
      <w:r w:rsidR="00DB1F8D">
        <w:t xml:space="preserve">the comments </w:t>
      </w:r>
      <w:r w:rsidR="004C4587" w:rsidRPr="004C4587">
        <w:t>expressed support for removing the requirement for defined EEG criteria</w:t>
      </w:r>
      <w:r>
        <w:t xml:space="preserve">, </w:t>
      </w:r>
      <w:r w:rsidR="00A85655" w:rsidRPr="00A85655">
        <w:t>reflecting</w:t>
      </w:r>
      <w:r w:rsidR="003108AF">
        <w:t xml:space="preserve"> </w:t>
      </w:r>
      <w:r w:rsidR="004A5A94" w:rsidRPr="004A5A94">
        <w:t>the limited availability of EEG services</w:t>
      </w:r>
      <w:r w:rsidR="004A5A94">
        <w:t xml:space="preserve">, </w:t>
      </w:r>
      <w:r w:rsidR="004A5A94" w:rsidRPr="004A5A94">
        <w:t>especially in rural and remote areas</w:t>
      </w:r>
      <w:r w:rsidR="001F4685">
        <w:t xml:space="preserve">, </w:t>
      </w:r>
      <w:r>
        <w:t xml:space="preserve">and the variability of EEG features </w:t>
      </w:r>
      <w:r w:rsidR="00122FB4" w:rsidRPr="00122FB4">
        <w:t xml:space="preserve">observed </w:t>
      </w:r>
      <w:r>
        <w:t xml:space="preserve">in adult patients. Additionally, the comments supported the inclusion of paediatricians as eligible prescribers </w:t>
      </w:r>
      <w:r w:rsidR="00DD34A3" w:rsidRPr="00DD34A3">
        <w:t xml:space="preserve">to ensure </w:t>
      </w:r>
      <w:r w:rsidR="008B0701" w:rsidRPr="00211DEA">
        <w:t xml:space="preserve">equitable and </w:t>
      </w:r>
      <w:r w:rsidR="00DD34A3" w:rsidRPr="00211DEA">
        <w:t>timely access to cannabidiol for patients</w:t>
      </w:r>
      <w:r w:rsidR="00B710E8" w:rsidRPr="00211DEA">
        <w:t xml:space="preserve"> with LGS</w:t>
      </w:r>
      <w:r w:rsidR="00DD34A3" w:rsidRPr="00211DEA">
        <w:t>.</w:t>
      </w:r>
    </w:p>
    <w:p w14:paraId="43A31F0A" w14:textId="48629363" w:rsidR="00F6713D" w:rsidRPr="00211DEA" w:rsidRDefault="00F6713D" w:rsidP="00361246">
      <w:pPr>
        <w:pStyle w:val="3-BodyText"/>
      </w:pPr>
      <w:r w:rsidRPr="00211DEA">
        <w:t>The PBAC noted the submission’s claim that the current PBS restrictions delay or prevent access to cannabidiol for patients with LGS, based on feedback from epilepsy specialist physicians and utilisation data since its listing for LGS. The data show</w:t>
      </w:r>
      <w:r w:rsidR="00D03D85" w:rsidRPr="00211DEA">
        <w:t>ed</w:t>
      </w:r>
      <w:r w:rsidRPr="00211DEA">
        <w:t xml:space="preserve"> that actual utilisation (bottles dispensed) </w:t>
      </w:r>
      <w:r w:rsidR="00BE4499" w:rsidRPr="00211DEA">
        <w:t xml:space="preserve">accounted for </w:t>
      </w:r>
      <w:r w:rsidRPr="00211DEA">
        <w:t>only 18% of the projected number of bottles expected to be dispensed, and 23% of the estimated financial impact during the first year of listing (June 2023 to May 2024).</w:t>
      </w:r>
    </w:p>
    <w:p w14:paraId="602D089C" w14:textId="18026B16" w:rsidR="005879A5" w:rsidRDefault="00F7722C" w:rsidP="00361246">
      <w:pPr>
        <w:pStyle w:val="3-BodyText"/>
      </w:pPr>
      <w:r w:rsidRPr="00211DEA">
        <w:t>The PBAC acknowledged concerns related to the requir</w:t>
      </w:r>
      <w:r w:rsidRPr="00F7722C">
        <w:t xml:space="preserve">ement for an EEG to confirm LGS diagnosis under </w:t>
      </w:r>
      <w:r>
        <w:t xml:space="preserve">the </w:t>
      </w:r>
      <w:r w:rsidRPr="00F7722C">
        <w:t>current clinical criteria, including limited EEG services in rural and remote areas, which require severely disabled patients to travel long distances to metropolitan centres for testing</w:t>
      </w:r>
      <w:r w:rsidR="006A64BB">
        <w:t>,</w:t>
      </w:r>
      <w:r w:rsidRPr="00F7722C">
        <w:t xml:space="preserve"> difficulties </w:t>
      </w:r>
      <w:r w:rsidR="007502C1">
        <w:t xml:space="preserve">in </w:t>
      </w:r>
      <w:r w:rsidRPr="00F7722C">
        <w:t>meeting sleep/video EEG requirements in inpatient hospital settings due to bed shortages</w:t>
      </w:r>
      <w:r w:rsidR="00B05A95">
        <w:t>,</w:t>
      </w:r>
      <w:r w:rsidRPr="00F7722C">
        <w:t xml:space="preserve"> challenges </w:t>
      </w:r>
      <w:r w:rsidR="00FC7192">
        <w:t xml:space="preserve">in </w:t>
      </w:r>
      <w:r w:rsidRPr="00F7722C">
        <w:t>obtaining EEGs in adult</w:t>
      </w:r>
      <w:r w:rsidR="00F366BA">
        <w:t xml:space="preserve"> patients </w:t>
      </w:r>
      <w:r w:rsidRPr="00F7722C">
        <w:t>with behavioural, cognitive, and physical comorbidities</w:t>
      </w:r>
      <w:r w:rsidR="00F366BA">
        <w:t>,</w:t>
      </w:r>
      <w:r w:rsidRPr="00F7722C">
        <w:t xml:space="preserve"> and issues accessing historical EEG reports.</w:t>
      </w:r>
      <w:r w:rsidR="00C66851">
        <w:t xml:space="preserve"> </w:t>
      </w:r>
      <w:r w:rsidR="00C66851" w:rsidRPr="00C66851">
        <w:t xml:space="preserve">The PBAC recalled clinical advice that EEG is the most definitive diagnostic measure for LGS (paragraph 9.19, PSD, November 2020 PBAC meeting), and </w:t>
      </w:r>
      <w:r w:rsidR="00951A88" w:rsidRPr="00951A88">
        <w:t>considered it appropriate to retain EEG confirmation as an optional criterion in the</w:t>
      </w:r>
      <w:r w:rsidR="00951A88">
        <w:t xml:space="preserve"> restriction</w:t>
      </w:r>
      <w:r w:rsidR="00951A88" w:rsidRPr="00951A88">
        <w:t xml:space="preserve"> to improve patient access to cannabidiol.</w:t>
      </w:r>
    </w:p>
    <w:p w14:paraId="01B24EC7" w14:textId="31A2D9EF" w:rsidR="00774732" w:rsidRDefault="00A74AED" w:rsidP="00361246">
      <w:pPr>
        <w:pStyle w:val="3-BodyText"/>
      </w:pPr>
      <w:r w:rsidRPr="00A74AED">
        <w:lastRenderedPageBreak/>
        <w:t xml:space="preserve">The PBAC advised that the proposed amendments in Option 2 to remove specific EEG features, seizure frequency and type, and the number of concomitant AEDs are reasonable, based on input from </w:t>
      </w:r>
      <w:r w:rsidR="00C94682" w:rsidRPr="00C94682">
        <w:t>epilepsy specialist physicians.</w:t>
      </w:r>
      <w:r w:rsidR="008D287E">
        <w:t xml:space="preserve"> </w:t>
      </w:r>
      <w:r w:rsidR="00E40B30" w:rsidRPr="00E40B30">
        <w:t xml:space="preserve">The PBAC </w:t>
      </w:r>
      <w:r w:rsidR="00E40B30">
        <w:t xml:space="preserve">also </w:t>
      </w:r>
      <w:r w:rsidR="00E40B30" w:rsidRPr="00E40B30">
        <w:t xml:space="preserve">considered it appropriate to allow prescribing by a paediatrician for both initial and continuing treatment. In clinical practice, paediatric patients </w:t>
      </w:r>
      <w:r w:rsidR="00AD2A54">
        <w:t xml:space="preserve">with LGS </w:t>
      </w:r>
      <w:r w:rsidR="00E40B30" w:rsidRPr="00E40B30">
        <w:t>are often managed by paediatricians due to a shortage of trained neurologists, particularly in regional and rural areas.</w:t>
      </w:r>
    </w:p>
    <w:p w14:paraId="5C224F79" w14:textId="47182EB6" w:rsidR="00FA6444" w:rsidRDefault="00276622" w:rsidP="00361246">
      <w:pPr>
        <w:pStyle w:val="3-BodyText"/>
      </w:pPr>
      <w:r w:rsidRPr="00276622">
        <w:t>The PBAC acknowledged input from health professionals and organisations supporting the proposed authority level amendment to reduce administrative burden. The PBAC noted that current utilisation of cannabidiol is lower than anticipated</w:t>
      </w:r>
      <w:r w:rsidR="00C95338">
        <w:t>,</w:t>
      </w:r>
      <w:r w:rsidRPr="00276622">
        <w:t xml:space="preserve"> that prescribers now have considerable experience with its use</w:t>
      </w:r>
      <w:r w:rsidR="00ED4BA5">
        <w:t xml:space="preserve">, </w:t>
      </w:r>
      <w:r w:rsidRPr="00276622">
        <w:t xml:space="preserve">and </w:t>
      </w:r>
      <w:r w:rsidR="00D313C3">
        <w:t xml:space="preserve">that </w:t>
      </w:r>
      <w:r w:rsidRPr="00276622">
        <w:t>the risk of prescribing to ineligible patients</w:t>
      </w:r>
      <w:r w:rsidR="00D313C3">
        <w:t xml:space="preserve"> is low</w:t>
      </w:r>
      <w:r w:rsidR="00925908">
        <w:t xml:space="preserve">. </w:t>
      </w:r>
      <w:r w:rsidR="00925908" w:rsidRPr="00925908">
        <w:t>Therefore,</w:t>
      </w:r>
      <w:r w:rsidR="00925908">
        <w:t xml:space="preserve"> </w:t>
      </w:r>
      <w:r w:rsidRPr="00276622">
        <w:t>the PBAC considered a streamlined authority to be appropriate.</w:t>
      </w:r>
    </w:p>
    <w:p w14:paraId="139CFA4D" w14:textId="3933604C" w:rsidR="005F6AE8" w:rsidRDefault="00E57944" w:rsidP="00361246">
      <w:pPr>
        <w:pStyle w:val="3-BodyText"/>
      </w:pPr>
      <w:r w:rsidRPr="00E57944">
        <w:t xml:space="preserve">The PBAC noted the submission’s estimate that the proposed changes would have no net financial impact. While the PBAC considered there is uncertainty regarding the extent of financial implications from the revised PBS restrictions, which may increase utilisation of cannabidiol, it is not expected to result in a substantial financial impact. </w:t>
      </w:r>
      <w:r w:rsidR="0077539B">
        <w:t xml:space="preserve">The PBAC </w:t>
      </w:r>
      <w:r w:rsidR="00464072">
        <w:t>recommended</w:t>
      </w:r>
      <w:r w:rsidR="0077539B">
        <w:t xml:space="preserve"> that no revision to the existing financial estimates </w:t>
      </w:r>
      <w:r w:rsidR="00523D97">
        <w:t xml:space="preserve">previously agreed </w:t>
      </w:r>
      <w:r w:rsidR="0077539B">
        <w:t xml:space="preserve">for </w:t>
      </w:r>
      <w:r w:rsidR="00523D97" w:rsidRPr="007234A9">
        <w:t>cannabidiol</w:t>
      </w:r>
      <w:r w:rsidR="00523D97">
        <w:t xml:space="preserve"> </w:t>
      </w:r>
      <w:r w:rsidR="0077539B">
        <w:t>was required</w:t>
      </w:r>
      <w:r w:rsidR="00464072">
        <w:t xml:space="preserve">. </w:t>
      </w:r>
      <w:r w:rsidRPr="00E57944">
        <w:t>The PBAC advised that it will closely monitor the usage of cannabidiol on the PBS and its financial impact.</w:t>
      </w:r>
    </w:p>
    <w:p w14:paraId="3D65A3F0" w14:textId="65FC4835" w:rsidR="00110A2D" w:rsidRDefault="00110A2D" w:rsidP="00361246">
      <w:pPr>
        <w:pStyle w:val="3-BodyText"/>
      </w:pPr>
      <w:r w:rsidRPr="003D60FA">
        <w:t xml:space="preserve">The PBAC found that the criteria prescribed by the </w:t>
      </w:r>
      <w:r w:rsidRPr="003D60FA">
        <w:rPr>
          <w:i/>
        </w:rPr>
        <w:t>National Health (Pharmaceuticals and Vaccines – Cost Recovery) Regulations 2022</w:t>
      </w:r>
      <w:r w:rsidRPr="003D60FA">
        <w:t xml:space="preserve"> for Pricing Pathway A were not met</w:t>
      </w:r>
      <w:r w:rsidR="00714AB4">
        <w:t>, as</w:t>
      </w:r>
      <w:r w:rsidRPr="003D60FA">
        <w:t xml:space="preserve"> its recommendation </w:t>
      </w:r>
      <w:r w:rsidR="002D5E73">
        <w:t xml:space="preserve">to amend </w:t>
      </w:r>
      <w:r w:rsidRPr="003D60FA">
        <w:t xml:space="preserve">the clinical criteria for </w:t>
      </w:r>
      <w:r w:rsidR="00A41680" w:rsidRPr="00A41680">
        <w:t xml:space="preserve">cannabidiol for the treatment of seizures associated with LGS </w:t>
      </w:r>
      <w:r w:rsidRPr="003D60FA">
        <w:t>is not expected to address a high and urgent unmet clinical need.</w:t>
      </w:r>
    </w:p>
    <w:p w14:paraId="3679B50C" w14:textId="77777777" w:rsidR="008E3ABE" w:rsidRPr="002B1919" w:rsidRDefault="008E3ABE" w:rsidP="00361246">
      <w:pPr>
        <w:pStyle w:val="3-BodyText"/>
      </w:pPr>
      <w:r w:rsidRPr="002B1919">
        <w:t>The PBAC noted that this submission is not eligible for an Independent Review as it received a positive recommendation.</w:t>
      </w:r>
    </w:p>
    <w:p w14:paraId="3A9906D0" w14:textId="486EB75D" w:rsidR="00FB0F39" w:rsidRPr="00E90D55" w:rsidRDefault="00D70B58" w:rsidP="00361246">
      <w:pPr>
        <w:rPr>
          <w:rFonts w:asciiTheme="minorHAnsi" w:eastAsiaTheme="minorHAnsi" w:hAnsiTheme="minorHAnsi" w:cstheme="minorBidi"/>
          <w:b/>
          <w:bCs/>
          <w:snapToGrid w:val="0"/>
          <w:szCs w:val="22"/>
          <w:lang w:val="en-GB"/>
        </w:rPr>
      </w:pPr>
      <w:r w:rsidRPr="00E90D55">
        <w:rPr>
          <w:rFonts w:asciiTheme="minorHAnsi" w:eastAsiaTheme="minorHAnsi" w:hAnsiTheme="minorHAnsi" w:cstheme="minorBidi"/>
          <w:b/>
          <w:bCs/>
          <w:snapToGrid w:val="0"/>
          <w:szCs w:val="22"/>
          <w:lang w:val="en-GB"/>
        </w:rPr>
        <w:t>Outcome:</w:t>
      </w:r>
    </w:p>
    <w:p w14:paraId="5F46CFFA" w14:textId="39761DF2" w:rsidR="00E922DA" w:rsidRDefault="00D70B58" w:rsidP="00361246">
      <w:pPr>
        <w:spacing w:after="120"/>
        <w:rPr>
          <w:rFonts w:asciiTheme="minorHAnsi" w:eastAsiaTheme="minorHAnsi" w:hAnsiTheme="minorHAnsi" w:cstheme="minorBidi"/>
          <w:bCs/>
          <w:snapToGrid w:val="0"/>
          <w:szCs w:val="22"/>
          <w:lang w:val="en-GB"/>
        </w:rPr>
      </w:pPr>
      <w:r w:rsidRPr="00B0169F">
        <w:rPr>
          <w:rFonts w:asciiTheme="minorHAnsi" w:eastAsiaTheme="minorHAnsi" w:hAnsiTheme="minorHAnsi" w:cstheme="minorBidi"/>
          <w:bCs/>
          <w:snapToGrid w:val="0"/>
          <w:szCs w:val="22"/>
          <w:lang w:val="en-GB"/>
        </w:rPr>
        <w:t>Recommended</w:t>
      </w:r>
    </w:p>
    <w:p w14:paraId="03678DA8" w14:textId="77777777" w:rsidR="00E922DA" w:rsidRDefault="00E922DA" w:rsidP="00361246">
      <w:pPr>
        <w:jc w:val="left"/>
        <w:rPr>
          <w:rFonts w:asciiTheme="minorHAnsi" w:eastAsiaTheme="minorHAnsi" w:hAnsiTheme="minorHAnsi" w:cstheme="minorBidi"/>
          <w:bCs/>
          <w:snapToGrid w:val="0"/>
          <w:szCs w:val="22"/>
          <w:lang w:val="en-GB"/>
        </w:rPr>
      </w:pPr>
      <w:r>
        <w:rPr>
          <w:rFonts w:asciiTheme="minorHAnsi" w:eastAsiaTheme="minorHAnsi" w:hAnsiTheme="minorHAnsi" w:cstheme="minorBidi"/>
          <w:bCs/>
          <w:snapToGrid w:val="0"/>
          <w:szCs w:val="22"/>
          <w:lang w:val="en-GB"/>
        </w:rPr>
        <w:br w:type="page"/>
      </w:r>
    </w:p>
    <w:p w14:paraId="6D8F83F4" w14:textId="77777777" w:rsidR="000F286C" w:rsidRPr="000F286C" w:rsidRDefault="000F286C" w:rsidP="00361246">
      <w:pPr>
        <w:pStyle w:val="2-SectionHeading"/>
      </w:pPr>
      <w:r w:rsidRPr="000F286C">
        <w:lastRenderedPageBreak/>
        <w:t>Recommended listing</w:t>
      </w:r>
    </w:p>
    <w:p w14:paraId="1F240E8B" w14:textId="0E4DC756" w:rsidR="00243B8B" w:rsidRDefault="00EA0F41" w:rsidP="00361246">
      <w:pPr>
        <w:pStyle w:val="3-BodyText"/>
        <w:rPr>
          <w:snapToGrid w:val="0"/>
          <w:lang w:val="en-GB"/>
        </w:rPr>
      </w:pPr>
      <w:r w:rsidRPr="00EA0F41">
        <w:rPr>
          <w:snapToGrid w:val="0"/>
          <w:lang w:val="en-GB"/>
        </w:rPr>
        <w:t>Amend existing listing as follows:</w:t>
      </w:r>
      <w:r w:rsidR="00B86E3F" w:rsidRPr="00B86E3F">
        <w:t xml:space="preserve"> </w:t>
      </w:r>
    </w:p>
    <w:p w14:paraId="2DF3F83B" w14:textId="7A997448" w:rsidR="00243B8B" w:rsidRPr="00243B8B" w:rsidRDefault="00243B8B" w:rsidP="00361246">
      <w:pPr>
        <w:pStyle w:val="3-BodyText"/>
        <w:numPr>
          <w:ilvl w:val="0"/>
          <w:numId w:val="0"/>
        </w:numPr>
        <w:rPr>
          <w:snapToGrid w:val="0"/>
          <w:lang w:val="en-GB"/>
        </w:rPr>
      </w:pPr>
      <w:r>
        <w:rPr>
          <w:snapToGrid w:val="0"/>
          <w:lang w:val="en-GB"/>
        </w:rPr>
        <w:t xml:space="preserve">Additions are in </w:t>
      </w:r>
      <w:r w:rsidR="0092484B">
        <w:rPr>
          <w:i/>
          <w:iCs/>
          <w:snapToGrid w:val="0"/>
          <w:lang w:val="en-GB"/>
        </w:rPr>
        <w:t>i</w:t>
      </w:r>
      <w:r w:rsidRPr="005724C7">
        <w:rPr>
          <w:i/>
          <w:iCs/>
          <w:snapToGrid w:val="0"/>
          <w:lang w:val="en-GB"/>
        </w:rPr>
        <w:t>talics</w:t>
      </w:r>
      <w:r>
        <w:rPr>
          <w:snapToGrid w:val="0"/>
          <w:lang w:val="en-GB"/>
        </w:rPr>
        <w:t xml:space="preserve"> and deletions are in </w:t>
      </w:r>
      <w:r w:rsidRPr="00243B8B">
        <w:rPr>
          <w:strike/>
          <w:snapToGrid w:val="0"/>
          <w:lang w:val="en-GB"/>
        </w:rPr>
        <w:t>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1413"/>
        <w:gridCol w:w="2526"/>
        <w:gridCol w:w="810"/>
        <w:gridCol w:w="813"/>
        <w:gridCol w:w="811"/>
        <w:gridCol w:w="812"/>
        <w:gridCol w:w="1882"/>
      </w:tblGrid>
      <w:tr w:rsidR="00790EC6" w:rsidRPr="002E4B8E" w14:paraId="33F409F2" w14:textId="77777777" w:rsidTr="00E922DA">
        <w:trPr>
          <w:cantSplit/>
          <w:trHeight w:val="20"/>
        </w:trPr>
        <w:tc>
          <w:tcPr>
            <w:tcW w:w="3939" w:type="dxa"/>
            <w:gridSpan w:val="2"/>
            <w:vAlign w:val="center"/>
          </w:tcPr>
          <w:p w14:paraId="08DFF999" w14:textId="77777777" w:rsidR="00790EC6" w:rsidRPr="002E4B8E" w:rsidRDefault="00790EC6" w:rsidP="00361246">
            <w:pPr>
              <w:keepLines/>
              <w:rPr>
                <w:rFonts w:ascii="Arial Narrow" w:hAnsi="Arial Narrow" w:cs="Arial"/>
                <w:b/>
                <w:bCs/>
                <w:sz w:val="20"/>
                <w:szCs w:val="20"/>
              </w:rPr>
            </w:pPr>
            <w:r w:rsidRPr="002E4B8E">
              <w:rPr>
                <w:rFonts w:ascii="Arial Narrow" w:hAnsi="Arial Narrow" w:cs="Arial"/>
                <w:b/>
                <w:bCs/>
                <w:sz w:val="20"/>
                <w:szCs w:val="20"/>
              </w:rPr>
              <w:t>MEDICINAL PRODUCT</w:t>
            </w:r>
          </w:p>
          <w:p w14:paraId="137719A8" w14:textId="77777777" w:rsidR="00790EC6" w:rsidRPr="002E4B8E" w:rsidRDefault="00790EC6" w:rsidP="00361246">
            <w:pPr>
              <w:keepLines/>
              <w:rPr>
                <w:rFonts w:ascii="Arial Narrow" w:hAnsi="Arial Narrow" w:cs="Arial"/>
                <w:b/>
                <w:sz w:val="20"/>
                <w:szCs w:val="20"/>
              </w:rPr>
            </w:pPr>
            <w:r w:rsidRPr="002E4B8E">
              <w:rPr>
                <w:rFonts w:ascii="Arial Narrow" w:hAnsi="Arial Narrow" w:cs="Arial"/>
                <w:b/>
                <w:bCs/>
                <w:sz w:val="20"/>
                <w:szCs w:val="20"/>
              </w:rPr>
              <w:t>medicinal product pack</w:t>
            </w:r>
          </w:p>
        </w:tc>
        <w:tc>
          <w:tcPr>
            <w:tcW w:w="810" w:type="dxa"/>
            <w:vAlign w:val="center"/>
          </w:tcPr>
          <w:p w14:paraId="5B2008E9" w14:textId="77777777" w:rsidR="00790EC6" w:rsidRPr="002E4B8E" w:rsidRDefault="00790EC6" w:rsidP="00361246">
            <w:pPr>
              <w:keepLines/>
              <w:jc w:val="center"/>
              <w:rPr>
                <w:rFonts w:ascii="Arial Narrow" w:hAnsi="Arial Narrow" w:cs="Arial"/>
                <w:b/>
                <w:sz w:val="20"/>
                <w:szCs w:val="20"/>
              </w:rPr>
            </w:pPr>
            <w:r w:rsidRPr="002E4B8E">
              <w:rPr>
                <w:rFonts w:ascii="Arial Narrow" w:hAnsi="Arial Narrow" w:cs="Arial"/>
                <w:b/>
                <w:sz w:val="20"/>
                <w:szCs w:val="20"/>
              </w:rPr>
              <w:t>PBS item code</w:t>
            </w:r>
          </w:p>
        </w:tc>
        <w:tc>
          <w:tcPr>
            <w:tcW w:w="813" w:type="dxa"/>
            <w:vAlign w:val="center"/>
          </w:tcPr>
          <w:p w14:paraId="7702CC66" w14:textId="77777777" w:rsidR="00790EC6" w:rsidRPr="002E4B8E" w:rsidRDefault="00790EC6" w:rsidP="00361246">
            <w:pPr>
              <w:keepLines/>
              <w:jc w:val="center"/>
              <w:rPr>
                <w:rFonts w:ascii="Arial Narrow" w:hAnsi="Arial Narrow" w:cs="Arial"/>
                <w:b/>
                <w:sz w:val="20"/>
                <w:szCs w:val="20"/>
              </w:rPr>
            </w:pPr>
            <w:r w:rsidRPr="002E4B8E">
              <w:rPr>
                <w:rFonts w:ascii="Arial Narrow" w:hAnsi="Arial Narrow" w:cs="Arial"/>
                <w:b/>
                <w:sz w:val="20"/>
                <w:szCs w:val="20"/>
              </w:rPr>
              <w:t>Max. qty packs</w:t>
            </w:r>
          </w:p>
        </w:tc>
        <w:tc>
          <w:tcPr>
            <w:tcW w:w="811" w:type="dxa"/>
            <w:vAlign w:val="center"/>
          </w:tcPr>
          <w:p w14:paraId="41686BA0" w14:textId="77777777" w:rsidR="00790EC6" w:rsidRPr="002E4B8E" w:rsidRDefault="00790EC6" w:rsidP="00361246">
            <w:pPr>
              <w:keepLines/>
              <w:jc w:val="center"/>
              <w:rPr>
                <w:rFonts w:ascii="Arial Narrow" w:hAnsi="Arial Narrow" w:cs="Arial"/>
                <w:b/>
                <w:sz w:val="20"/>
                <w:szCs w:val="20"/>
              </w:rPr>
            </w:pPr>
            <w:r w:rsidRPr="002E4B8E">
              <w:rPr>
                <w:rFonts w:ascii="Arial Narrow" w:hAnsi="Arial Narrow" w:cs="Arial"/>
                <w:b/>
                <w:sz w:val="20"/>
                <w:szCs w:val="20"/>
              </w:rPr>
              <w:t>Max. qty units</w:t>
            </w:r>
          </w:p>
        </w:tc>
        <w:tc>
          <w:tcPr>
            <w:tcW w:w="812" w:type="dxa"/>
            <w:vAlign w:val="center"/>
          </w:tcPr>
          <w:p w14:paraId="5DF5BBA7" w14:textId="77777777" w:rsidR="00790EC6" w:rsidRPr="002E4B8E" w:rsidRDefault="00790EC6" w:rsidP="00361246">
            <w:pPr>
              <w:keepLines/>
              <w:jc w:val="center"/>
              <w:rPr>
                <w:rFonts w:ascii="Arial Narrow" w:hAnsi="Arial Narrow" w:cs="Arial"/>
                <w:b/>
                <w:sz w:val="20"/>
                <w:szCs w:val="20"/>
              </w:rPr>
            </w:pPr>
            <w:r w:rsidRPr="002E4B8E">
              <w:rPr>
                <w:rFonts w:ascii="Arial Narrow" w:hAnsi="Arial Narrow" w:cs="Arial"/>
                <w:b/>
                <w:sz w:val="20"/>
                <w:szCs w:val="20"/>
              </w:rPr>
              <w:t>№.of</w:t>
            </w:r>
          </w:p>
          <w:p w14:paraId="372CF067" w14:textId="77777777" w:rsidR="00790EC6" w:rsidRPr="002E4B8E" w:rsidRDefault="00790EC6" w:rsidP="00361246">
            <w:pPr>
              <w:keepLines/>
              <w:jc w:val="center"/>
              <w:rPr>
                <w:rFonts w:ascii="Arial Narrow" w:hAnsi="Arial Narrow" w:cs="Arial"/>
                <w:b/>
                <w:sz w:val="20"/>
                <w:szCs w:val="20"/>
              </w:rPr>
            </w:pPr>
            <w:r w:rsidRPr="002E4B8E">
              <w:rPr>
                <w:rFonts w:ascii="Arial Narrow" w:hAnsi="Arial Narrow" w:cs="Arial"/>
                <w:b/>
                <w:sz w:val="20"/>
                <w:szCs w:val="20"/>
              </w:rPr>
              <w:t>Rpts</w:t>
            </w:r>
          </w:p>
        </w:tc>
        <w:tc>
          <w:tcPr>
            <w:tcW w:w="1882" w:type="dxa"/>
            <w:vAlign w:val="center"/>
          </w:tcPr>
          <w:p w14:paraId="520F6720" w14:textId="77777777" w:rsidR="00790EC6" w:rsidRPr="002E4B8E" w:rsidRDefault="00790EC6" w:rsidP="00361246">
            <w:pPr>
              <w:keepLines/>
              <w:rPr>
                <w:rFonts w:ascii="Arial Narrow" w:hAnsi="Arial Narrow" w:cs="Arial"/>
                <w:b/>
                <w:sz w:val="20"/>
                <w:szCs w:val="20"/>
                <w:lang w:val="fr-FR"/>
              </w:rPr>
            </w:pPr>
            <w:r w:rsidRPr="002E4B8E">
              <w:rPr>
                <w:rFonts w:ascii="Arial Narrow" w:hAnsi="Arial Narrow" w:cs="Arial"/>
                <w:b/>
                <w:sz w:val="20"/>
                <w:szCs w:val="20"/>
              </w:rPr>
              <w:t>Available brands</w:t>
            </w:r>
          </w:p>
        </w:tc>
      </w:tr>
      <w:tr w:rsidR="00790EC6" w:rsidRPr="002E4B8E" w14:paraId="727858D1" w14:textId="77777777" w:rsidTr="00E922DA">
        <w:trPr>
          <w:cantSplit/>
          <w:trHeight w:val="20"/>
        </w:trPr>
        <w:tc>
          <w:tcPr>
            <w:tcW w:w="9067" w:type="dxa"/>
            <w:gridSpan w:val="7"/>
            <w:vAlign w:val="center"/>
          </w:tcPr>
          <w:p w14:paraId="342E6228" w14:textId="77777777" w:rsidR="00790EC6" w:rsidRPr="002E4B8E" w:rsidRDefault="00790EC6" w:rsidP="00361246">
            <w:pPr>
              <w:keepLines/>
              <w:rPr>
                <w:rFonts w:ascii="Arial Narrow" w:hAnsi="Arial Narrow" w:cs="Arial"/>
                <w:sz w:val="20"/>
                <w:szCs w:val="20"/>
              </w:rPr>
            </w:pPr>
            <w:r w:rsidRPr="002E4B8E">
              <w:rPr>
                <w:rFonts w:ascii="Arial Narrow" w:hAnsi="Arial Narrow" w:cs="Arial"/>
                <w:sz w:val="20"/>
                <w:szCs w:val="20"/>
              </w:rPr>
              <w:t>CANNABIDIOL</w:t>
            </w:r>
          </w:p>
        </w:tc>
      </w:tr>
      <w:tr w:rsidR="00790EC6" w:rsidRPr="002E4B8E" w14:paraId="0A683639" w14:textId="77777777" w:rsidTr="00E922DA">
        <w:trPr>
          <w:cantSplit/>
          <w:trHeight w:val="20"/>
        </w:trPr>
        <w:tc>
          <w:tcPr>
            <w:tcW w:w="3939" w:type="dxa"/>
            <w:gridSpan w:val="2"/>
            <w:vAlign w:val="center"/>
          </w:tcPr>
          <w:p w14:paraId="0DF44449" w14:textId="77777777" w:rsidR="00790EC6" w:rsidRPr="002E4B8E" w:rsidRDefault="00790EC6" w:rsidP="00361246">
            <w:pPr>
              <w:keepLines/>
              <w:rPr>
                <w:rFonts w:ascii="Arial Narrow" w:hAnsi="Arial Narrow" w:cs="Arial"/>
                <w:sz w:val="20"/>
                <w:szCs w:val="20"/>
              </w:rPr>
            </w:pPr>
            <w:r w:rsidRPr="002E4B8E">
              <w:rPr>
                <w:rFonts w:ascii="Arial Narrow" w:hAnsi="Arial Narrow" w:cs="Arial"/>
                <w:color w:val="000000" w:themeColor="text1"/>
                <w:sz w:val="20"/>
                <w:szCs w:val="20"/>
              </w:rPr>
              <w:t>cannabidiol 100 mg/mL oral liquid, 100 mL</w:t>
            </w:r>
          </w:p>
        </w:tc>
        <w:tc>
          <w:tcPr>
            <w:tcW w:w="810" w:type="dxa"/>
            <w:vAlign w:val="center"/>
          </w:tcPr>
          <w:p w14:paraId="6EEC6FD2" w14:textId="73C81F17" w:rsidR="00790EC6" w:rsidRPr="002E4B8E" w:rsidRDefault="00790EC6" w:rsidP="00361246">
            <w:pPr>
              <w:keepLines/>
              <w:rPr>
                <w:rFonts w:ascii="Arial Narrow" w:hAnsi="Arial Narrow" w:cs="Arial"/>
                <w:sz w:val="20"/>
                <w:szCs w:val="20"/>
              </w:rPr>
            </w:pPr>
            <w:r w:rsidRPr="002E4B8E">
              <w:rPr>
                <w:rFonts w:ascii="Arial Narrow" w:hAnsi="Arial Narrow" w:cs="Arial"/>
                <w:sz w:val="20"/>
                <w:szCs w:val="20"/>
              </w:rPr>
              <w:t>13277T</w:t>
            </w:r>
          </w:p>
        </w:tc>
        <w:tc>
          <w:tcPr>
            <w:tcW w:w="813" w:type="dxa"/>
            <w:vAlign w:val="center"/>
          </w:tcPr>
          <w:p w14:paraId="7F8ABA2E" w14:textId="77777777" w:rsidR="00790EC6" w:rsidRPr="002E4B8E" w:rsidRDefault="00790EC6" w:rsidP="00361246">
            <w:pPr>
              <w:keepLines/>
              <w:jc w:val="center"/>
              <w:rPr>
                <w:rFonts w:ascii="Arial Narrow" w:hAnsi="Arial Narrow" w:cs="Arial"/>
                <w:sz w:val="20"/>
                <w:szCs w:val="20"/>
              </w:rPr>
            </w:pPr>
            <w:r w:rsidRPr="002E4B8E">
              <w:rPr>
                <w:rFonts w:ascii="Arial Narrow" w:hAnsi="Arial Narrow" w:cs="Arial"/>
                <w:sz w:val="20"/>
                <w:szCs w:val="20"/>
              </w:rPr>
              <w:t>1</w:t>
            </w:r>
          </w:p>
        </w:tc>
        <w:tc>
          <w:tcPr>
            <w:tcW w:w="811" w:type="dxa"/>
            <w:vAlign w:val="center"/>
          </w:tcPr>
          <w:p w14:paraId="08157053" w14:textId="77777777" w:rsidR="00790EC6" w:rsidRPr="002E4B8E" w:rsidRDefault="00790EC6" w:rsidP="00361246">
            <w:pPr>
              <w:keepLines/>
              <w:jc w:val="center"/>
              <w:rPr>
                <w:rFonts w:ascii="Arial Narrow" w:hAnsi="Arial Narrow" w:cs="Arial"/>
                <w:sz w:val="20"/>
                <w:szCs w:val="20"/>
              </w:rPr>
            </w:pPr>
            <w:r w:rsidRPr="002E4B8E">
              <w:rPr>
                <w:rFonts w:ascii="Arial Narrow" w:hAnsi="Arial Narrow" w:cs="Arial"/>
                <w:sz w:val="20"/>
                <w:szCs w:val="20"/>
              </w:rPr>
              <w:t>1</w:t>
            </w:r>
          </w:p>
        </w:tc>
        <w:tc>
          <w:tcPr>
            <w:tcW w:w="812" w:type="dxa"/>
            <w:vAlign w:val="center"/>
          </w:tcPr>
          <w:p w14:paraId="3982CC23" w14:textId="77777777" w:rsidR="00790EC6" w:rsidRPr="002E4B8E" w:rsidRDefault="00790EC6" w:rsidP="00361246">
            <w:pPr>
              <w:keepLines/>
              <w:jc w:val="center"/>
              <w:rPr>
                <w:rFonts w:ascii="Arial Narrow" w:hAnsi="Arial Narrow" w:cs="Arial"/>
                <w:sz w:val="20"/>
                <w:szCs w:val="20"/>
              </w:rPr>
            </w:pPr>
            <w:r w:rsidRPr="002E4B8E">
              <w:rPr>
                <w:rFonts w:ascii="Arial Narrow" w:hAnsi="Arial Narrow" w:cs="Arial"/>
                <w:sz w:val="20"/>
                <w:szCs w:val="20"/>
              </w:rPr>
              <w:t>5</w:t>
            </w:r>
          </w:p>
        </w:tc>
        <w:tc>
          <w:tcPr>
            <w:tcW w:w="1882" w:type="dxa"/>
            <w:vAlign w:val="center"/>
          </w:tcPr>
          <w:p w14:paraId="69DE2617" w14:textId="77777777" w:rsidR="00790EC6" w:rsidRPr="002E4B8E" w:rsidRDefault="00790EC6" w:rsidP="00361246">
            <w:pPr>
              <w:keepLines/>
              <w:rPr>
                <w:rFonts w:ascii="Arial Narrow" w:hAnsi="Arial Narrow" w:cs="Arial"/>
                <w:color w:val="000000" w:themeColor="text1"/>
                <w:sz w:val="20"/>
                <w:szCs w:val="20"/>
              </w:rPr>
            </w:pPr>
            <w:r w:rsidRPr="002E4B8E">
              <w:rPr>
                <w:rFonts w:ascii="Arial Narrow" w:hAnsi="Arial Narrow" w:cs="Arial"/>
                <w:color w:val="000000" w:themeColor="text1"/>
                <w:sz w:val="20"/>
                <w:szCs w:val="20"/>
              </w:rPr>
              <w:t>Epidyolex</w:t>
            </w:r>
          </w:p>
        </w:tc>
      </w:tr>
      <w:tr w:rsidR="00790EC6" w:rsidRPr="002E4B8E" w14:paraId="7D14BB3C" w14:textId="77777777" w:rsidTr="00E922DA">
        <w:tblPrEx>
          <w:tblCellMar>
            <w:top w:w="15" w:type="dxa"/>
            <w:bottom w:w="15" w:type="dxa"/>
          </w:tblCellMar>
          <w:tblLook w:val="04A0" w:firstRow="1" w:lastRow="0" w:firstColumn="1" w:lastColumn="0" w:noHBand="0" w:noVBand="1"/>
        </w:tblPrEx>
        <w:trPr>
          <w:trHeight w:val="20"/>
        </w:trPr>
        <w:tc>
          <w:tcPr>
            <w:tcW w:w="9067" w:type="dxa"/>
            <w:gridSpan w:val="7"/>
            <w:tcBorders>
              <w:top w:val="single" w:sz="4" w:space="0" w:color="auto"/>
              <w:left w:val="single" w:sz="4" w:space="0" w:color="auto"/>
              <w:right w:val="single" w:sz="4" w:space="0" w:color="auto"/>
            </w:tcBorders>
            <w:vAlign w:val="center"/>
          </w:tcPr>
          <w:p w14:paraId="5AF4D177" w14:textId="77777777" w:rsidR="00790EC6" w:rsidRPr="002E4B8E" w:rsidRDefault="00790EC6" w:rsidP="00361246">
            <w:pPr>
              <w:rPr>
                <w:rFonts w:ascii="Arial Narrow" w:hAnsi="Arial Narrow" w:cs="Arial"/>
                <w:sz w:val="20"/>
                <w:szCs w:val="20"/>
              </w:rPr>
            </w:pPr>
          </w:p>
        </w:tc>
      </w:tr>
      <w:tr w:rsidR="00790EC6" w:rsidRPr="002E4B8E" w14:paraId="401673AC" w14:textId="77777777" w:rsidTr="00E922DA">
        <w:tblPrEx>
          <w:tblCellMar>
            <w:top w:w="15" w:type="dxa"/>
            <w:bottom w:w="15" w:type="dxa"/>
          </w:tblCellMar>
          <w:tblLook w:val="04A0" w:firstRow="1" w:lastRow="0" w:firstColumn="1" w:lastColumn="0" w:noHBand="0" w:noVBand="1"/>
        </w:tblPrEx>
        <w:trPr>
          <w:trHeight w:val="20"/>
        </w:trPr>
        <w:tc>
          <w:tcPr>
            <w:tcW w:w="9067" w:type="dxa"/>
            <w:gridSpan w:val="7"/>
            <w:tcBorders>
              <w:top w:val="single" w:sz="4" w:space="0" w:color="auto"/>
              <w:left w:val="single" w:sz="4" w:space="0" w:color="auto"/>
              <w:right w:val="single" w:sz="4" w:space="0" w:color="auto"/>
            </w:tcBorders>
            <w:vAlign w:val="center"/>
          </w:tcPr>
          <w:p w14:paraId="1F5FFA6A" w14:textId="4FF73617" w:rsidR="00790EC6" w:rsidRPr="002E4B8E" w:rsidRDefault="00D14457" w:rsidP="00361246">
            <w:pPr>
              <w:keepLines/>
              <w:rPr>
                <w:rFonts w:ascii="Arial Narrow" w:hAnsi="Arial Narrow" w:cs="Arial"/>
                <w:b/>
                <w:sz w:val="20"/>
                <w:szCs w:val="20"/>
              </w:rPr>
            </w:pPr>
            <w:r>
              <w:rPr>
                <w:rFonts w:ascii="Arial Narrow" w:hAnsi="Arial Narrow"/>
                <w:b/>
                <w:sz w:val="20"/>
                <w:szCs w:val="20"/>
              </w:rPr>
              <w:t xml:space="preserve">Amend </w:t>
            </w:r>
            <w:r w:rsidR="00790EC6" w:rsidRPr="002E4B8E">
              <w:rPr>
                <w:rFonts w:ascii="Arial Narrow" w:hAnsi="Arial Narrow"/>
                <w:b/>
                <w:sz w:val="20"/>
                <w:szCs w:val="20"/>
              </w:rPr>
              <w:t>Restriction Summary 14047/ Treatment of Concept: 14047</w:t>
            </w:r>
          </w:p>
        </w:tc>
      </w:tr>
      <w:tr w:rsidR="00790EC6" w:rsidRPr="002E4B8E" w14:paraId="1F0F0328" w14:textId="77777777" w:rsidTr="00E922DA">
        <w:tblPrEx>
          <w:tblCellMar>
            <w:top w:w="15" w:type="dxa"/>
            <w:bottom w:w="15" w:type="dxa"/>
          </w:tblCellMar>
          <w:tblLook w:val="04A0" w:firstRow="1" w:lastRow="0" w:firstColumn="1" w:lastColumn="0" w:noHBand="0" w:noVBand="1"/>
        </w:tblPrEx>
        <w:trPr>
          <w:trHeight w:val="20"/>
        </w:trPr>
        <w:tc>
          <w:tcPr>
            <w:tcW w:w="1413" w:type="dxa"/>
            <w:vMerge w:val="restart"/>
            <w:tcBorders>
              <w:top w:val="single" w:sz="4" w:space="0" w:color="auto"/>
              <w:left w:val="single" w:sz="4" w:space="0" w:color="auto"/>
              <w:right w:val="single" w:sz="4" w:space="0" w:color="auto"/>
            </w:tcBorders>
          </w:tcPr>
          <w:p w14:paraId="38606C0B" w14:textId="77777777" w:rsidR="00790EC6" w:rsidRPr="002E4B8E" w:rsidRDefault="00790EC6" w:rsidP="00361246">
            <w:pPr>
              <w:jc w:val="center"/>
              <w:rPr>
                <w:rFonts w:ascii="Arial Narrow" w:hAnsi="Arial Narrow" w:cs="Arial"/>
                <w:b/>
                <w:sz w:val="20"/>
                <w:szCs w:val="20"/>
              </w:rPr>
            </w:pPr>
            <w:r w:rsidRPr="002E4B8E">
              <w:rPr>
                <w:rFonts w:ascii="Arial Narrow" w:hAnsi="Arial Narrow" w:cs="Arial"/>
                <w:b/>
                <w:sz w:val="20"/>
                <w:szCs w:val="20"/>
              </w:rPr>
              <w:t xml:space="preserve">Concept ID </w:t>
            </w:r>
            <w:r w:rsidRPr="002E4B8E">
              <w:rPr>
                <w:rFonts w:ascii="Arial Narrow" w:hAnsi="Arial Narrow" w:cs="Arial"/>
                <w:sz w:val="20"/>
                <w:szCs w:val="20"/>
              </w:rPr>
              <w:t>(for internal Dept. use)</w:t>
            </w: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661DC4AD" w14:textId="77777777" w:rsidR="00790EC6" w:rsidRPr="002E4B8E" w:rsidRDefault="00790EC6" w:rsidP="00361246">
            <w:pPr>
              <w:keepLines/>
              <w:rPr>
                <w:rFonts w:ascii="Arial Narrow" w:hAnsi="Arial Narrow" w:cs="Arial"/>
                <w:sz w:val="20"/>
                <w:szCs w:val="20"/>
              </w:rPr>
            </w:pPr>
            <w:r w:rsidRPr="002E4B8E">
              <w:rPr>
                <w:rFonts w:ascii="Arial Narrow" w:hAnsi="Arial Narrow" w:cs="Arial"/>
                <w:b/>
                <w:sz w:val="20"/>
                <w:szCs w:val="20"/>
              </w:rPr>
              <w:t>Category / Program:</w:t>
            </w:r>
            <w:r w:rsidRPr="002E4B8E">
              <w:rPr>
                <w:rFonts w:ascii="Arial Narrow" w:hAnsi="Arial Narrow" w:cs="Arial"/>
                <w:color w:val="FF0000"/>
                <w:sz w:val="20"/>
                <w:szCs w:val="20"/>
              </w:rPr>
              <w:t xml:space="preserve"> </w:t>
            </w:r>
            <w:r w:rsidRPr="002E4B8E">
              <w:rPr>
                <w:rFonts w:ascii="Arial Narrow" w:eastAsia="Calibri" w:hAnsi="Arial Narrow" w:cs="Arial"/>
                <w:sz w:val="20"/>
                <w:szCs w:val="20"/>
              </w:rPr>
              <w:fldChar w:fldCharType="begin">
                <w:ffData>
                  <w:name w:val="Check1"/>
                  <w:enabled/>
                  <w:calcOnExit w:val="0"/>
                  <w:checkBox>
                    <w:sizeAuto/>
                    <w:default w:val="1"/>
                  </w:checkBox>
                </w:ffData>
              </w:fldChar>
            </w:r>
            <w:r w:rsidRPr="002E4B8E">
              <w:rPr>
                <w:rFonts w:ascii="Arial Narrow" w:eastAsia="Calibri" w:hAnsi="Arial Narrow" w:cs="Arial"/>
                <w:sz w:val="20"/>
                <w:szCs w:val="20"/>
              </w:rPr>
              <w:instrText xml:space="preserve"> FORMCHECKBOX </w:instrText>
            </w:r>
            <w:r w:rsidRPr="002E4B8E">
              <w:rPr>
                <w:rFonts w:ascii="Arial Narrow" w:eastAsia="Calibri" w:hAnsi="Arial Narrow" w:cs="Arial"/>
                <w:sz w:val="20"/>
                <w:szCs w:val="20"/>
              </w:rPr>
            </w:r>
            <w:r w:rsidRPr="002E4B8E">
              <w:rPr>
                <w:rFonts w:ascii="Arial Narrow" w:eastAsia="Calibri" w:hAnsi="Arial Narrow" w:cs="Arial"/>
                <w:sz w:val="20"/>
                <w:szCs w:val="20"/>
              </w:rPr>
              <w:fldChar w:fldCharType="separate"/>
            </w:r>
            <w:r w:rsidRPr="002E4B8E">
              <w:rPr>
                <w:rFonts w:ascii="Arial Narrow" w:eastAsia="Calibri" w:hAnsi="Arial Narrow" w:cs="Arial"/>
                <w:sz w:val="20"/>
                <w:szCs w:val="20"/>
              </w:rPr>
              <w:fldChar w:fldCharType="end"/>
            </w:r>
            <w:r w:rsidRPr="002E4B8E">
              <w:rPr>
                <w:rFonts w:ascii="Arial Narrow" w:eastAsia="Calibri" w:hAnsi="Arial Narrow" w:cs="Arial"/>
                <w:sz w:val="20"/>
                <w:szCs w:val="20"/>
              </w:rPr>
              <w:t xml:space="preserve"> GENERAL - General Schedule (Code GE) </w:t>
            </w:r>
          </w:p>
        </w:tc>
      </w:tr>
      <w:tr w:rsidR="00790EC6" w:rsidRPr="002E4B8E" w14:paraId="791107F2" w14:textId="77777777" w:rsidTr="00E922DA">
        <w:tblPrEx>
          <w:tblCellMar>
            <w:top w:w="15" w:type="dxa"/>
            <w:bottom w:w="15" w:type="dxa"/>
          </w:tblCellMar>
          <w:tblLook w:val="04A0" w:firstRow="1" w:lastRow="0" w:firstColumn="1" w:lastColumn="0" w:noHBand="0" w:noVBand="1"/>
        </w:tblPrEx>
        <w:trPr>
          <w:trHeight w:val="20"/>
        </w:trPr>
        <w:tc>
          <w:tcPr>
            <w:tcW w:w="1413" w:type="dxa"/>
            <w:vMerge/>
          </w:tcPr>
          <w:p w14:paraId="1DF8D4FF" w14:textId="77777777" w:rsidR="00790EC6" w:rsidRPr="002E4B8E" w:rsidRDefault="00790EC6" w:rsidP="00361246">
            <w:pPr>
              <w:rPr>
                <w:rFonts w:ascii="Arial Narrow" w:hAnsi="Arial Narrow" w:cs="Arial"/>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6E100EB4" w14:textId="77777777" w:rsidR="00790EC6" w:rsidRPr="002E4B8E" w:rsidRDefault="00790EC6" w:rsidP="00361246">
            <w:pPr>
              <w:keepLines/>
              <w:rPr>
                <w:rFonts w:ascii="Arial Narrow" w:hAnsi="Arial Narrow" w:cs="Arial"/>
                <w:b/>
                <w:sz w:val="20"/>
                <w:szCs w:val="20"/>
              </w:rPr>
            </w:pPr>
            <w:r w:rsidRPr="002E4B8E">
              <w:rPr>
                <w:rFonts w:ascii="Arial Narrow" w:hAnsi="Arial Narrow" w:cs="Arial"/>
                <w:b/>
                <w:sz w:val="20"/>
                <w:szCs w:val="20"/>
              </w:rPr>
              <w:t xml:space="preserve">Prescriber type: </w:t>
            </w:r>
            <w:r w:rsidRPr="002E4B8E">
              <w:rPr>
                <w:rFonts w:ascii="Arial Narrow" w:hAnsi="Arial Narrow" w:cs="Arial"/>
                <w:sz w:val="20"/>
                <w:szCs w:val="20"/>
              </w:rPr>
              <w:fldChar w:fldCharType="begin">
                <w:ffData>
                  <w:name w:val=""/>
                  <w:enabled/>
                  <w:calcOnExit w:val="0"/>
                  <w:checkBox>
                    <w:sizeAuto/>
                    <w:default w:val="1"/>
                  </w:checkBox>
                </w:ffData>
              </w:fldChar>
            </w:r>
            <w:r w:rsidRPr="002E4B8E">
              <w:rPr>
                <w:rFonts w:ascii="Arial Narrow" w:hAnsi="Arial Narrow" w:cs="Arial"/>
                <w:sz w:val="20"/>
                <w:szCs w:val="20"/>
              </w:rPr>
              <w:instrText xml:space="preserve"> FORMCHECKBOX </w:instrText>
            </w:r>
            <w:r w:rsidRPr="002E4B8E">
              <w:rPr>
                <w:rFonts w:ascii="Arial Narrow" w:hAnsi="Arial Narrow" w:cs="Arial"/>
                <w:sz w:val="20"/>
                <w:szCs w:val="20"/>
              </w:rPr>
            </w:r>
            <w:r w:rsidRPr="002E4B8E">
              <w:rPr>
                <w:rFonts w:ascii="Arial Narrow" w:hAnsi="Arial Narrow" w:cs="Arial"/>
                <w:sz w:val="20"/>
                <w:szCs w:val="20"/>
              </w:rPr>
              <w:fldChar w:fldCharType="separate"/>
            </w:r>
            <w:r w:rsidRPr="002E4B8E">
              <w:rPr>
                <w:rFonts w:ascii="Arial Narrow" w:hAnsi="Arial Narrow" w:cs="Arial"/>
                <w:sz w:val="20"/>
                <w:szCs w:val="20"/>
              </w:rPr>
              <w:fldChar w:fldCharType="end"/>
            </w:r>
            <w:r w:rsidRPr="002E4B8E">
              <w:rPr>
                <w:rFonts w:ascii="Arial Narrow" w:hAnsi="Arial Narrow" w:cs="Arial"/>
                <w:sz w:val="20"/>
                <w:szCs w:val="20"/>
              </w:rPr>
              <w:t>Medical Practitioners</w:t>
            </w:r>
          </w:p>
        </w:tc>
      </w:tr>
      <w:tr w:rsidR="00790EC6" w:rsidRPr="002E4B8E" w14:paraId="5C1983D6" w14:textId="77777777" w:rsidTr="00E922DA">
        <w:tblPrEx>
          <w:tblCellMar>
            <w:top w:w="15" w:type="dxa"/>
            <w:bottom w:w="15" w:type="dxa"/>
          </w:tblCellMar>
          <w:tblLook w:val="04A0" w:firstRow="1" w:lastRow="0" w:firstColumn="1" w:lastColumn="0" w:noHBand="0" w:noVBand="1"/>
        </w:tblPrEx>
        <w:trPr>
          <w:trHeight w:val="20"/>
        </w:trPr>
        <w:tc>
          <w:tcPr>
            <w:tcW w:w="1413" w:type="dxa"/>
            <w:vMerge/>
          </w:tcPr>
          <w:p w14:paraId="1D6AD929" w14:textId="77777777" w:rsidR="00790EC6" w:rsidRPr="002E4B8E" w:rsidRDefault="00790EC6" w:rsidP="00361246">
            <w:pPr>
              <w:rPr>
                <w:rFonts w:ascii="Arial Narrow" w:hAnsi="Arial Narrow" w:cs="Arial"/>
                <w:sz w:val="20"/>
                <w:szCs w:val="20"/>
              </w:rPr>
            </w:pPr>
          </w:p>
        </w:tc>
        <w:tc>
          <w:tcPr>
            <w:tcW w:w="7654" w:type="dxa"/>
            <w:gridSpan w:val="6"/>
            <w:tcBorders>
              <w:top w:val="single" w:sz="4" w:space="0" w:color="auto"/>
              <w:left w:val="single" w:sz="4" w:space="0" w:color="auto"/>
              <w:bottom w:val="single" w:sz="4" w:space="0" w:color="auto"/>
              <w:right w:val="single" w:sz="4" w:space="0" w:color="auto"/>
            </w:tcBorders>
            <w:vAlign w:val="center"/>
          </w:tcPr>
          <w:p w14:paraId="7320C461" w14:textId="1C109A7E" w:rsidR="003C0021" w:rsidRPr="003C0021" w:rsidRDefault="4CF5F7AD" w:rsidP="00361246">
            <w:pPr>
              <w:keepLines/>
              <w:rPr>
                <w:rFonts w:ascii="Arial Narrow" w:hAnsi="Arial Narrow" w:cs="Arial"/>
                <w:b/>
                <w:bCs/>
                <w:sz w:val="20"/>
                <w:szCs w:val="20"/>
              </w:rPr>
            </w:pPr>
            <w:r w:rsidRPr="7C3CB66F">
              <w:rPr>
                <w:rFonts w:ascii="Arial Narrow" w:hAnsi="Arial Narrow" w:cs="Arial"/>
                <w:b/>
                <w:bCs/>
                <w:sz w:val="20"/>
                <w:szCs w:val="20"/>
              </w:rPr>
              <w:t>Restriction type:</w:t>
            </w:r>
            <w:r w:rsidR="00A90E79">
              <w:rPr>
                <w:rFonts w:ascii="Arial Narrow" w:hAnsi="Arial Narrow" w:cs="Arial"/>
                <w:b/>
                <w:bCs/>
                <w:sz w:val="20"/>
                <w:szCs w:val="20"/>
              </w:rPr>
              <w:t xml:space="preserve"> </w:t>
            </w:r>
            <w:r w:rsidR="003C0021" w:rsidRPr="00842AEE">
              <w:rPr>
                <w:rFonts w:ascii="Arial Narrow" w:eastAsia="Calibri" w:hAnsi="Arial Narrow" w:cs="Arial"/>
                <w:strike/>
                <w:sz w:val="20"/>
                <w:szCs w:val="20"/>
              </w:rPr>
              <w:fldChar w:fldCharType="begin">
                <w:ffData>
                  <w:name w:val="Check3"/>
                  <w:enabled/>
                  <w:calcOnExit w:val="0"/>
                  <w:checkBox>
                    <w:sizeAuto/>
                    <w:default w:val="1"/>
                  </w:checkBox>
                </w:ffData>
              </w:fldChar>
            </w:r>
            <w:r w:rsidR="003C0021" w:rsidRPr="00842AEE">
              <w:rPr>
                <w:rFonts w:ascii="Arial Narrow" w:eastAsia="Calibri" w:hAnsi="Arial Narrow" w:cs="Arial"/>
                <w:strike/>
                <w:sz w:val="20"/>
                <w:szCs w:val="20"/>
              </w:rPr>
              <w:instrText xml:space="preserve"> FORMCHECKBOX </w:instrText>
            </w:r>
            <w:r w:rsidR="003C0021" w:rsidRPr="00842AEE">
              <w:rPr>
                <w:rFonts w:ascii="Arial Narrow" w:eastAsia="Calibri" w:hAnsi="Arial Narrow" w:cs="Arial"/>
                <w:strike/>
                <w:sz w:val="20"/>
                <w:szCs w:val="20"/>
              </w:rPr>
            </w:r>
            <w:r w:rsidR="003C0021" w:rsidRPr="00842AEE">
              <w:rPr>
                <w:rFonts w:ascii="Arial Narrow" w:eastAsia="Calibri" w:hAnsi="Arial Narrow" w:cs="Arial"/>
                <w:strike/>
                <w:sz w:val="20"/>
                <w:szCs w:val="20"/>
              </w:rPr>
              <w:fldChar w:fldCharType="separate"/>
            </w:r>
            <w:r w:rsidR="003C0021" w:rsidRPr="00842AEE">
              <w:rPr>
                <w:rFonts w:ascii="Arial Narrow" w:eastAsia="Calibri" w:hAnsi="Arial Narrow" w:cs="Arial"/>
                <w:strike/>
                <w:sz w:val="20"/>
                <w:szCs w:val="20"/>
              </w:rPr>
              <w:fldChar w:fldCharType="end"/>
            </w:r>
            <w:r w:rsidR="003C0021" w:rsidRPr="00D37CA1">
              <w:rPr>
                <w:rFonts w:ascii="Arial Narrow" w:eastAsia="Calibri" w:hAnsi="Arial Narrow" w:cs="Arial"/>
                <w:strike/>
                <w:sz w:val="20"/>
                <w:szCs w:val="20"/>
              </w:rPr>
              <w:t>Authority Required (telephone/online PBS Authorities system)</w:t>
            </w:r>
          </w:p>
          <w:p w14:paraId="21051C40" w14:textId="6D305B05" w:rsidR="00790EC6" w:rsidRPr="007678B9" w:rsidRDefault="00790EC6" w:rsidP="00361246">
            <w:pPr>
              <w:keepLines/>
              <w:rPr>
                <w:rFonts w:ascii="Arial Narrow" w:hAnsi="Arial Narrow" w:cs="Arial"/>
                <w:b/>
                <w:bCs/>
                <w:sz w:val="20"/>
                <w:szCs w:val="20"/>
              </w:rPr>
            </w:pPr>
            <w:r w:rsidRPr="003C0021">
              <w:rPr>
                <w:rFonts w:ascii="Arial Narrow" w:eastAsia="Calibri" w:hAnsi="Arial Narrow" w:cs="Arial"/>
                <w:i/>
                <w:iCs/>
                <w:sz w:val="20"/>
                <w:szCs w:val="20"/>
              </w:rPr>
              <w:fldChar w:fldCharType="begin">
                <w:ffData>
                  <w:name w:val=""/>
                  <w:enabled/>
                  <w:calcOnExit w:val="0"/>
                  <w:checkBox>
                    <w:sizeAuto/>
                    <w:default w:val="1"/>
                  </w:checkBox>
                </w:ffData>
              </w:fldChar>
            </w:r>
            <w:r w:rsidRPr="008445F6">
              <w:rPr>
                <w:rFonts w:ascii="Arial Narrow" w:eastAsia="Calibri" w:hAnsi="Arial Narrow" w:cs="Arial"/>
                <w:i/>
                <w:iCs/>
                <w:sz w:val="20"/>
                <w:szCs w:val="20"/>
              </w:rPr>
              <w:instrText xml:space="preserve"> FORMCHECKBOX </w:instrText>
            </w:r>
            <w:r w:rsidRPr="003C0021">
              <w:rPr>
                <w:rFonts w:ascii="Arial Narrow" w:eastAsia="Calibri" w:hAnsi="Arial Narrow" w:cs="Arial"/>
                <w:i/>
                <w:iCs/>
                <w:sz w:val="20"/>
                <w:szCs w:val="20"/>
              </w:rPr>
            </w:r>
            <w:r w:rsidRPr="003C0021">
              <w:rPr>
                <w:rFonts w:ascii="Arial Narrow" w:eastAsia="Calibri" w:hAnsi="Arial Narrow" w:cs="Arial"/>
                <w:i/>
                <w:iCs/>
                <w:sz w:val="20"/>
                <w:szCs w:val="20"/>
              </w:rPr>
              <w:fldChar w:fldCharType="separate"/>
            </w:r>
            <w:r w:rsidRPr="003C0021">
              <w:rPr>
                <w:rFonts w:ascii="Arial Narrow" w:eastAsia="Calibri" w:hAnsi="Arial Narrow" w:cs="Arial"/>
                <w:i/>
                <w:iCs/>
                <w:sz w:val="20"/>
                <w:szCs w:val="20"/>
              </w:rPr>
              <w:fldChar w:fldCharType="end"/>
            </w:r>
            <w:r w:rsidR="4CF5F7AD" w:rsidRPr="003C0021">
              <w:rPr>
                <w:rFonts w:ascii="Arial Narrow" w:eastAsia="Calibri" w:hAnsi="Arial Narrow" w:cs="Arial"/>
                <w:i/>
                <w:iCs/>
                <w:sz w:val="20"/>
                <w:szCs w:val="20"/>
              </w:rPr>
              <w:t>Authority Required (Streamlined)</w:t>
            </w:r>
            <w:r w:rsidR="00D14457" w:rsidRPr="003C0021">
              <w:rPr>
                <w:rFonts w:ascii="Arial Narrow" w:eastAsia="Calibri" w:hAnsi="Arial Narrow" w:cs="Arial"/>
                <w:i/>
                <w:iCs/>
                <w:sz w:val="20"/>
                <w:szCs w:val="20"/>
              </w:rPr>
              <w:t xml:space="preserve"> (New code)</w:t>
            </w:r>
          </w:p>
        </w:tc>
      </w:tr>
      <w:tr w:rsidR="00E922DA" w:rsidRPr="002E4B8E" w14:paraId="3C164C20" w14:textId="77777777" w:rsidTr="00E922DA">
        <w:tblPrEx>
          <w:tblCellMar>
            <w:top w:w="15" w:type="dxa"/>
            <w:bottom w:w="15" w:type="dxa"/>
          </w:tblCellMar>
          <w:tblLook w:val="04A0" w:firstRow="1" w:lastRow="0" w:firstColumn="1" w:lastColumn="0" w:noHBand="0" w:noVBand="1"/>
        </w:tblPrEx>
        <w:trPr>
          <w:trHeight w:val="20"/>
        </w:trPr>
        <w:tc>
          <w:tcPr>
            <w:tcW w:w="9067" w:type="dxa"/>
            <w:gridSpan w:val="7"/>
            <w:vAlign w:val="center"/>
          </w:tcPr>
          <w:p w14:paraId="5BE6B0B7" w14:textId="326FE520" w:rsidR="00E922DA" w:rsidRPr="002E4B8E" w:rsidRDefault="00E922DA" w:rsidP="00361246">
            <w:pPr>
              <w:rPr>
                <w:rFonts w:ascii="Arial Narrow" w:hAnsi="Arial Narrow"/>
                <w:sz w:val="20"/>
                <w:szCs w:val="20"/>
              </w:rPr>
            </w:pPr>
            <w:r w:rsidRPr="002E4B8E">
              <w:rPr>
                <w:rFonts w:ascii="Arial Narrow" w:hAnsi="Arial Narrow"/>
                <w:b/>
                <w:bCs/>
                <w:sz w:val="20"/>
                <w:szCs w:val="20"/>
              </w:rPr>
              <w:t xml:space="preserve">Administrative Advice: </w:t>
            </w:r>
            <w:r w:rsidRPr="002E4B8E">
              <w:rPr>
                <w:rFonts w:ascii="Arial Narrow" w:hAnsi="Arial Narrow"/>
                <w:sz w:val="20"/>
                <w:szCs w:val="20"/>
              </w:rPr>
              <w:t>Requests for increased quantities may be sought based on daily doses not exceeding 20 mg/kg/day (in line with the Product Information) for up to 4 weeks per dispensing.</w:t>
            </w:r>
          </w:p>
        </w:tc>
      </w:tr>
      <w:tr w:rsidR="00E922DA" w:rsidRPr="002E4B8E" w14:paraId="4A667605" w14:textId="77777777" w:rsidTr="00E922DA">
        <w:tblPrEx>
          <w:tblCellMar>
            <w:top w:w="15" w:type="dxa"/>
            <w:bottom w:w="15" w:type="dxa"/>
          </w:tblCellMar>
          <w:tblLook w:val="04A0" w:firstRow="1" w:lastRow="0" w:firstColumn="1" w:lastColumn="0" w:noHBand="0" w:noVBand="1"/>
        </w:tblPrEx>
        <w:trPr>
          <w:trHeight w:val="20"/>
        </w:trPr>
        <w:tc>
          <w:tcPr>
            <w:tcW w:w="9067" w:type="dxa"/>
            <w:gridSpan w:val="7"/>
            <w:vAlign w:val="center"/>
          </w:tcPr>
          <w:p w14:paraId="3A618635" w14:textId="00E5D554" w:rsidR="00E922DA" w:rsidRPr="002E4B8E" w:rsidRDefault="00E922DA" w:rsidP="00361246">
            <w:pPr>
              <w:rPr>
                <w:rFonts w:ascii="Arial Narrow" w:hAnsi="Arial Narrow"/>
                <w:b/>
                <w:bCs/>
                <w:sz w:val="20"/>
                <w:szCs w:val="20"/>
              </w:rPr>
            </w:pPr>
            <w:r w:rsidRPr="002E4B8E">
              <w:rPr>
                <w:rFonts w:ascii="Arial Narrow" w:hAnsi="Arial Narrow"/>
                <w:b/>
                <w:bCs/>
                <w:sz w:val="20"/>
                <w:szCs w:val="20"/>
              </w:rPr>
              <w:t xml:space="preserve">Administrative Advice: </w:t>
            </w:r>
            <w:r w:rsidRPr="002E4B8E">
              <w:rPr>
                <w:rFonts w:ascii="Arial Narrow" w:hAnsi="Arial Narrow"/>
                <w:sz w:val="20"/>
                <w:szCs w:val="20"/>
              </w:rPr>
              <w:t>No increase in the maximum number of repeats may be authorised.</w:t>
            </w:r>
          </w:p>
        </w:tc>
      </w:tr>
      <w:tr w:rsidR="00E922DA" w:rsidRPr="002E4B8E" w14:paraId="77F35529" w14:textId="77777777" w:rsidTr="00E922DA">
        <w:tblPrEx>
          <w:tblCellMar>
            <w:top w:w="15" w:type="dxa"/>
            <w:bottom w:w="15" w:type="dxa"/>
          </w:tblCellMar>
          <w:tblLook w:val="04A0" w:firstRow="1" w:lastRow="0" w:firstColumn="1" w:lastColumn="0" w:noHBand="0" w:noVBand="1"/>
        </w:tblPrEx>
        <w:trPr>
          <w:trHeight w:val="20"/>
        </w:trPr>
        <w:tc>
          <w:tcPr>
            <w:tcW w:w="9067" w:type="dxa"/>
            <w:gridSpan w:val="7"/>
            <w:vAlign w:val="center"/>
          </w:tcPr>
          <w:p w14:paraId="405780C1" w14:textId="72DA17DA" w:rsidR="00E922DA" w:rsidRPr="002E4B8E" w:rsidRDefault="00E922DA" w:rsidP="00361246">
            <w:pPr>
              <w:rPr>
                <w:rFonts w:ascii="Arial Narrow" w:hAnsi="Arial Narrow"/>
                <w:b/>
                <w:bCs/>
                <w:sz w:val="20"/>
                <w:szCs w:val="20"/>
              </w:rPr>
            </w:pPr>
            <w:r w:rsidRPr="002E4B8E">
              <w:rPr>
                <w:rFonts w:ascii="Arial Narrow" w:hAnsi="Arial Narrow"/>
                <w:b/>
                <w:bCs/>
                <w:sz w:val="20"/>
                <w:szCs w:val="20"/>
              </w:rPr>
              <w:t xml:space="preserve">Administrative Advice: </w:t>
            </w:r>
            <w:r w:rsidRPr="002E4B8E">
              <w:rPr>
                <w:rFonts w:ascii="Arial Narrow" w:hAnsi="Arial Narrow"/>
                <w:sz w:val="20"/>
                <w:szCs w:val="20"/>
              </w:rPr>
              <w:t>Special Pricing Arrangements apply.</w:t>
            </w:r>
          </w:p>
        </w:tc>
      </w:tr>
      <w:tr w:rsidR="00E922DA" w:rsidRPr="002E4B8E" w14:paraId="3766C8B3" w14:textId="77777777" w:rsidTr="00E922DA">
        <w:tblPrEx>
          <w:tblCellMar>
            <w:top w:w="15" w:type="dxa"/>
            <w:bottom w:w="15" w:type="dxa"/>
          </w:tblCellMar>
          <w:tblLook w:val="04A0" w:firstRow="1" w:lastRow="0" w:firstColumn="1" w:lastColumn="0" w:noHBand="0" w:noVBand="1"/>
        </w:tblPrEx>
        <w:trPr>
          <w:trHeight w:val="20"/>
        </w:trPr>
        <w:tc>
          <w:tcPr>
            <w:tcW w:w="9067" w:type="dxa"/>
            <w:gridSpan w:val="7"/>
          </w:tcPr>
          <w:p w14:paraId="7236B265" w14:textId="53D00120" w:rsidR="00E922DA" w:rsidRPr="002E4B8E" w:rsidRDefault="00E922DA" w:rsidP="00361246">
            <w:pPr>
              <w:rPr>
                <w:rFonts w:ascii="Arial Narrow" w:hAnsi="Arial Narrow"/>
                <w:b/>
                <w:bCs/>
                <w:sz w:val="20"/>
                <w:szCs w:val="20"/>
              </w:rPr>
            </w:pPr>
            <w:r w:rsidRPr="002E4B8E">
              <w:rPr>
                <w:rFonts w:ascii="Arial Narrow" w:hAnsi="Arial Narrow"/>
                <w:b/>
                <w:bCs/>
                <w:sz w:val="20"/>
                <w:szCs w:val="20"/>
              </w:rPr>
              <w:t>Indication:</w:t>
            </w:r>
            <w:r w:rsidRPr="002E4B8E">
              <w:rPr>
                <w:rFonts w:ascii="Arial Narrow" w:hAnsi="Arial Narrow"/>
                <w:sz w:val="20"/>
                <w:szCs w:val="20"/>
              </w:rPr>
              <w:t xml:space="preserve"> Seizures of the Lennox-Gastaut syndrome</w:t>
            </w:r>
          </w:p>
        </w:tc>
      </w:tr>
      <w:tr w:rsidR="00E922DA" w:rsidRPr="002E4B8E" w14:paraId="0D9602C3"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hideMark/>
          </w:tcPr>
          <w:p w14:paraId="734733AA" w14:textId="326FFE58" w:rsidR="00E922DA" w:rsidRPr="002E4B8E" w:rsidRDefault="00E922DA" w:rsidP="00361246">
            <w:pPr>
              <w:keepLines/>
              <w:rPr>
                <w:rFonts w:ascii="Arial Narrow" w:hAnsi="Arial Narrow"/>
                <w:color w:val="333333"/>
                <w:sz w:val="20"/>
                <w:szCs w:val="20"/>
              </w:rPr>
            </w:pPr>
            <w:r w:rsidRPr="002E4B8E">
              <w:rPr>
                <w:rFonts w:ascii="Arial Narrow" w:hAnsi="Arial Narrow"/>
                <w:b/>
                <w:bCs/>
                <w:sz w:val="20"/>
                <w:szCs w:val="20"/>
              </w:rPr>
              <w:t xml:space="preserve">Clinical criteria: </w:t>
            </w:r>
          </w:p>
        </w:tc>
      </w:tr>
      <w:tr w:rsidR="00E922DA" w:rsidRPr="002E4B8E" w14:paraId="5B0B5F29"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hideMark/>
          </w:tcPr>
          <w:p w14:paraId="5E5050CD" w14:textId="120962FF" w:rsidR="00E922DA" w:rsidRPr="00D66C9C" w:rsidRDefault="00E922DA" w:rsidP="00361246">
            <w:pPr>
              <w:rPr>
                <w:rFonts w:ascii="Arial Narrow" w:hAnsi="Arial Narrow"/>
                <w:strike/>
                <w:color w:val="333333"/>
                <w:sz w:val="20"/>
                <w:szCs w:val="20"/>
              </w:rPr>
            </w:pPr>
            <w:r w:rsidRPr="00D66C9C">
              <w:rPr>
                <w:rFonts w:ascii="Arial Narrow" w:hAnsi="Arial Narrow"/>
                <w:strike/>
                <w:color w:val="333333"/>
                <w:sz w:val="20"/>
                <w:szCs w:val="20"/>
              </w:rPr>
              <w:t>Patient must have a diagnosis of Lennox-Gastaut syndrome confirmed by an electroencephalogram (EEG) that showed a pattern of slow (less than 3.0 hertz) spike-and-wave discharges with generalised paroxysmal fast activity (sleep recording should be obtained where it is possible)</w:t>
            </w:r>
          </w:p>
          <w:p w14:paraId="1B77B945" w14:textId="2B061A04" w:rsidR="00E922DA" w:rsidRPr="00A355BD" w:rsidRDefault="00E922DA" w:rsidP="00361246">
            <w:pPr>
              <w:rPr>
                <w:rFonts w:ascii="Arial Narrow" w:hAnsi="Arial Narrow"/>
                <w:i/>
                <w:iCs/>
                <w:sz w:val="20"/>
                <w:szCs w:val="20"/>
              </w:rPr>
            </w:pPr>
            <w:r w:rsidRPr="00A355BD">
              <w:rPr>
                <w:rFonts w:ascii="Arial Narrow" w:hAnsi="Arial Narrow"/>
                <w:i/>
                <w:iCs/>
                <w:color w:val="333333"/>
                <w:sz w:val="20"/>
                <w:szCs w:val="20"/>
              </w:rPr>
              <w:t>Patient must have a diagnosis of Lennox-Gastaut syndrom</w:t>
            </w:r>
            <w:r w:rsidRPr="00A355BD">
              <w:rPr>
                <w:rFonts w:ascii="Arial Narrow" w:hAnsi="Arial Narrow"/>
                <w:i/>
                <w:iCs/>
                <w:sz w:val="20"/>
                <w:szCs w:val="20"/>
              </w:rPr>
              <w:t xml:space="preserve">e. </w:t>
            </w:r>
            <w:r>
              <w:rPr>
                <w:rFonts w:ascii="Arial Narrow" w:hAnsi="Arial Narrow"/>
                <w:i/>
                <w:iCs/>
                <w:sz w:val="20"/>
                <w:szCs w:val="20"/>
              </w:rPr>
              <w:t>T</w:t>
            </w:r>
            <w:r w:rsidRPr="00A355BD">
              <w:rPr>
                <w:rFonts w:ascii="Arial Narrow" w:hAnsi="Arial Narrow"/>
                <w:i/>
                <w:iCs/>
                <w:sz w:val="20"/>
                <w:szCs w:val="20"/>
              </w:rPr>
              <w:t>he diagnosis should be confirmed by an electroencephalogram (EEG) where possible.</w:t>
            </w:r>
          </w:p>
        </w:tc>
      </w:tr>
      <w:tr w:rsidR="00E922DA" w:rsidRPr="002E4B8E" w14:paraId="3A6746E2"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hideMark/>
          </w:tcPr>
          <w:p w14:paraId="075A9DE0" w14:textId="6FA5B1A5" w:rsidR="00E922DA" w:rsidRPr="002E4B8E" w:rsidRDefault="00E922DA" w:rsidP="00361246">
            <w:pPr>
              <w:jc w:val="left"/>
              <w:rPr>
                <w:rFonts w:ascii="Arial Narrow" w:hAnsi="Arial Narrow"/>
                <w:color w:val="333333"/>
                <w:sz w:val="20"/>
                <w:szCs w:val="20"/>
              </w:rPr>
            </w:pPr>
            <w:r w:rsidRPr="002E4B8E">
              <w:rPr>
                <w:rFonts w:ascii="Arial Narrow" w:hAnsi="Arial Narrow"/>
                <w:b/>
                <w:bCs/>
                <w:sz w:val="20"/>
                <w:szCs w:val="20"/>
              </w:rPr>
              <w:t>AND</w:t>
            </w:r>
          </w:p>
        </w:tc>
      </w:tr>
      <w:tr w:rsidR="00E922DA" w:rsidRPr="002E4B8E" w14:paraId="5EF8EE00"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hideMark/>
          </w:tcPr>
          <w:p w14:paraId="3D7C2735" w14:textId="1C3C32CC" w:rsidR="00E922DA" w:rsidRPr="002E4B8E" w:rsidRDefault="00E922DA" w:rsidP="00361246">
            <w:pPr>
              <w:jc w:val="left"/>
              <w:rPr>
                <w:rFonts w:ascii="Arial Narrow" w:hAnsi="Arial Narrow"/>
                <w:sz w:val="20"/>
                <w:szCs w:val="20"/>
              </w:rPr>
            </w:pPr>
            <w:r w:rsidRPr="002E4B8E">
              <w:rPr>
                <w:rFonts w:ascii="Arial Narrow" w:hAnsi="Arial Narrow"/>
                <w:b/>
                <w:bCs/>
                <w:sz w:val="20"/>
                <w:szCs w:val="20"/>
              </w:rPr>
              <w:t>Clinical criteria:</w:t>
            </w:r>
          </w:p>
        </w:tc>
      </w:tr>
      <w:tr w:rsidR="00E922DA" w:rsidRPr="002E4B8E" w14:paraId="42E2F42C"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hideMark/>
          </w:tcPr>
          <w:p w14:paraId="4330D187" w14:textId="057C9111" w:rsidR="00E922DA" w:rsidRPr="002E4B8E" w:rsidRDefault="00E922DA" w:rsidP="00361246">
            <w:pPr>
              <w:jc w:val="left"/>
              <w:rPr>
                <w:rFonts w:ascii="Arial Narrow" w:hAnsi="Arial Narrow"/>
                <w:sz w:val="20"/>
                <w:szCs w:val="20"/>
              </w:rPr>
            </w:pPr>
            <w:r w:rsidRPr="002E4B8E">
              <w:rPr>
                <w:rFonts w:ascii="Arial Narrow" w:hAnsi="Arial Narrow"/>
                <w:color w:val="333333"/>
                <w:sz w:val="20"/>
                <w:szCs w:val="20"/>
              </w:rPr>
              <w:t xml:space="preserve">Patient must have (as an initiating patient)/have had (as a continuing patient) more than one type of </w:t>
            </w:r>
            <w:r w:rsidRPr="00243B8B">
              <w:rPr>
                <w:rFonts w:ascii="Arial Narrow" w:hAnsi="Arial Narrow"/>
                <w:strike/>
                <w:color w:val="333333"/>
                <w:sz w:val="20"/>
                <w:szCs w:val="20"/>
              </w:rPr>
              <w:t>generalised</w:t>
            </w:r>
            <w:r>
              <w:rPr>
                <w:rFonts w:ascii="Arial Narrow" w:hAnsi="Arial Narrow"/>
                <w:color w:val="333333"/>
                <w:sz w:val="20"/>
                <w:szCs w:val="20"/>
              </w:rPr>
              <w:t xml:space="preserve"> </w:t>
            </w:r>
            <w:r w:rsidRPr="002E4B8E">
              <w:rPr>
                <w:rFonts w:ascii="Arial Narrow" w:hAnsi="Arial Narrow"/>
                <w:color w:val="333333"/>
                <w:sz w:val="20"/>
                <w:szCs w:val="20"/>
              </w:rPr>
              <w:t>seizures</w:t>
            </w:r>
            <w:r>
              <w:rPr>
                <w:rFonts w:ascii="Arial Narrow" w:hAnsi="Arial Narrow"/>
                <w:color w:val="333333"/>
                <w:sz w:val="20"/>
                <w:szCs w:val="20"/>
              </w:rPr>
              <w:t xml:space="preserve"> </w:t>
            </w:r>
            <w:r w:rsidRPr="000E6518">
              <w:rPr>
                <w:rFonts w:ascii="Arial Narrow" w:hAnsi="Arial Narrow"/>
                <w:i/>
                <w:iCs/>
                <w:sz w:val="20"/>
                <w:szCs w:val="20"/>
              </w:rPr>
              <w:t xml:space="preserve">that are not adequately controlled with at least two other </w:t>
            </w:r>
            <w:r w:rsidRPr="00B64610">
              <w:rPr>
                <w:rFonts w:ascii="Arial Narrow" w:hAnsi="Arial Narrow"/>
                <w:i/>
                <w:iCs/>
                <w:sz w:val="20"/>
                <w:szCs w:val="20"/>
              </w:rPr>
              <w:t xml:space="preserve">antiseizure </w:t>
            </w:r>
            <w:r>
              <w:rPr>
                <w:rFonts w:ascii="Arial Narrow" w:hAnsi="Arial Narrow"/>
                <w:i/>
                <w:iCs/>
                <w:sz w:val="20"/>
                <w:szCs w:val="20"/>
              </w:rPr>
              <w:t xml:space="preserve">medication </w:t>
            </w:r>
            <w:r w:rsidRPr="000E6518">
              <w:rPr>
                <w:rFonts w:ascii="Arial Narrow" w:hAnsi="Arial Narrow"/>
                <w:i/>
                <w:iCs/>
                <w:sz w:val="20"/>
                <w:szCs w:val="20"/>
              </w:rPr>
              <w:t xml:space="preserve">prior to initiating treatment with this </w:t>
            </w:r>
            <w:r>
              <w:rPr>
                <w:rFonts w:ascii="Arial Narrow" w:hAnsi="Arial Narrow"/>
                <w:i/>
                <w:iCs/>
                <w:sz w:val="20"/>
                <w:szCs w:val="20"/>
              </w:rPr>
              <w:t>medicine.</w:t>
            </w:r>
          </w:p>
        </w:tc>
      </w:tr>
      <w:tr w:rsidR="00E922DA" w:rsidRPr="002E4B8E" w14:paraId="47CD7FE8" w14:textId="43BD880B"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6FBD2F53" w14:textId="5E74D934" w:rsidR="00E922DA" w:rsidRPr="005F24BF" w:rsidRDefault="00E922DA" w:rsidP="00361246">
            <w:pPr>
              <w:jc w:val="left"/>
              <w:rPr>
                <w:rFonts w:ascii="Arial Narrow" w:hAnsi="Arial Narrow"/>
                <w:strike/>
                <w:color w:val="FF0000"/>
                <w:sz w:val="20"/>
                <w:szCs w:val="20"/>
              </w:rPr>
            </w:pPr>
            <w:r w:rsidRPr="005F24BF">
              <w:rPr>
                <w:rFonts w:ascii="Arial Narrow" w:hAnsi="Arial Narrow"/>
                <w:b/>
                <w:bCs/>
                <w:strike/>
                <w:sz w:val="20"/>
                <w:szCs w:val="20"/>
              </w:rPr>
              <w:t>AND</w:t>
            </w:r>
          </w:p>
        </w:tc>
      </w:tr>
      <w:tr w:rsidR="00E922DA" w:rsidRPr="002E4B8E" w14:paraId="2A60E4F1" w14:textId="3F0B8AFB"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676BB739" w14:textId="288630D1" w:rsidR="00E922DA" w:rsidRPr="005F24BF" w:rsidRDefault="00E922DA" w:rsidP="00361246">
            <w:pPr>
              <w:rPr>
                <w:rFonts w:ascii="Arial Narrow" w:hAnsi="Arial Narrow"/>
                <w:strike/>
                <w:sz w:val="20"/>
                <w:szCs w:val="20"/>
              </w:rPr>
            </w:pPr>
            <w:r w:rsidRPr="005F24BF">
              <w:rPr>
                <w:rFonts w:ascii="Arial Narrow" w:hAnsi="Arial Narrow"/>
                <w:b/>
                <w:bCs/>
                <w:strike/>
                <w:sz w:val="20"/>
                <w:szCs w:val="20"/>
              </w:rPr>
              <w:t>Clinical criteria:</w:t>
            </w:r>
          </w:p>
        </w:tc>
      </w:tr>
      <w:tr w:rsidR="00E922DA" w:rsidRPr="002E4B8E" w14:paraId="169187F0" w14:textId="52DE3902"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2A3035ED" w14:textId="7590E641" w:rsidR="00E922DA" w:rsidRPr="005F24BF" w:rsidRDefault="00E922DA" w:rsidP="00361246">
            <w:pPr>
              <w:rPr>
                <w:rFonts w:ascii="Arial Narrow" w:hAnsi="Arial Narrow"/>
                <w:strike/>
                <w:sz w:val="20"/>
                <w:szCs w:val="20"/>
              </w:rPr>
            </w:pPr>
            <w:r w:rsidRPr="005F24BF">
              <w:rPr>
                <w:rFonts w:ascii="Arial Narrow" w:hAnsi="Arial Narrow"/>
                <w:strike/>
                <w:sz w:val="20"/>
                <w:szCs w:val="20"/>
              </w:rPr>
              <w:t>Patient must have had seizures that are not adequately controlled with at least two other anti-epileptic drugs prior to initiating treatment with this medicine</w:t>
            </w:r>
          </w:p>
        </w:tc>
      </w:tr>
      <w:tr w:rsidR="00E922DA" w:rsidRPr="002E4B8E" w14:paraId="567CA80A"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hideMark/>
          </w:tcPr>
          <w:p w14:paraId="17208AE1" w14:textId="0EBA3558" w:rsidR="00E922DA" w:rsidRPr="002E4B8E" w:rsidRDefault="00E922DA" w:rsidP="00361246">
            <w:pPr>
              <w:rPr>
                <w:rFonts w:ascii="Arial Narrow" w:hAnsi="Arial Narrow"/>
                <w:sz w:val="20"/>
                <w:szCs w:val="20"/>
              </w:rPr>
            </w:pPr>
            <w:r w:rsidRPr="002E4B8E">
              <w:rPr>
                <w:rFonts w:ascii="Arial Narrow" w:hAnsi="Arial Narrow"/>
                <w:b/>
                <w:bCs/>
                <w:sz w:val="20"/>
                <w:szCs w:val="20"/>
              </w:rPr>
              <w:t>AND</w:t>
            </w:r>
          </w:p>
        </w:tc>
      </w:tr>
      <w:tr w:rsidR="00E922DA" w:rsidRPr="002E4B8E" w14:paraId="69FC1E43"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57621CEA" w14:textId="5E8386FB" w:rsidR="00E922DA" w:rsidRPr="002E4B8E" w:rsidRDefault="00E922DA" w:rsidP="00361246">
            <w:pPr>
              <w:rPr>
                <w:rFonts w:ascii="Arial Narrow" w:hAnsi="Arial Narrow"/>
                <w:sz w:val="20"/>
                <w:szCs w:val="20"/>
              </w:rPr>
            </w:pPr>
            <w:r w:rsidRPr="002E4B8E">
              <w:rPr>
                <w:rFonts w:ascii="Arial Narrow" w:hAnsi="Arial Narrow"/>
                <w:b/>
                <w:bCs/>
                <w:sz w:val="20"/>
                <w:szCs w:val="20"/>
              </w:rPr>
              <w:t>Clinical criteria:</w:t>
            </w:r>
          </w:p>
        </w:tc>
      </w:tr>
      <w:tr w:rsidR="00E922DA" w:rsidRPr="002E4B8E" w14:paraId="215139EA"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17C2A56E" w14:textId="01DEB649" w:rsidR="00E922DA" w:rsidRPr="002E4B8E" w:rsidRDefault="00E922DA" w:rsidP="00361246">
            <w:pPr>
              <w:rPr>
                <w:rFonts w:ascii="Arial Narrow" w:hAnsi="Arial Narrow"/>
                <w:sz w:val="20"/>
                <w:szCs w:val="20"/>
              </w:rPr>
            </w:pPr>
            <w:r w:rsidRPr="002E4B8E">
              <w:rPr>
                <w:rFonts w:ascii="Arial Narrow" w:hAnsi="Arial Narrow"/>
                <w:sz w:val="20"/>
                <w:szCs w:val="20"/>
              </w:rPr>
              <w:t>The treatment must be as adjunctive therapy</w:t>
            </w:r>
            <w:r>
              <w:rPr>
                <w:rFonts w:ascii="Arial Narrow" w:hAnsi="Arial Narrow"/>
                <w:sz w:val="20"/>
                <w:szCs w:val="20"/>
              </w:rPr>
              <w:t xml:space="preserve"> </w:t>
            </w:r>
            <w:r w:rsidRPr="002E4B8E">
              <w:rPr>
                <w:rFonts w:ascii="Arial Narrow" w:hAnsi="Arial Narrow"/>
                <w:sz w:val="20"/>
                <w:szCs w:val="20"/>
              </w:rPr>
              <w:t xml:space="preserve">to </w:t>
            </w:r>
            <w:r w:rsidRPr="005F24BF">
              <w:rPr>
                <w:rFonts w:ascii="Arial Narrow" w:hAnsi="Arial Narrow"/>
                <w:strike/>
                <w:sz w:val="20"/>
                <w:szCs w:val="20"/>
              </w:rPr>
              <w:t>at least two</w:t>
            </w:r>
            <w:r w:rsidRPr="005F24BF">
              <w:rPr>
                <w:rFonts w:ascii="Arial Narrow" w:hAnsi="Arial Narrow"/>
                <w:sz w:val="20"/>
                <w:szCs w:val="20"/>
              </w:rPr>
              <w:t xml:space="preserve"> </w:t>
            </w:r>
            <w:r w:rsidRPr="002E4B8E">
              <w:rPr>
                <w:rFonts w:ascii="Arial Narrow" w:hAnsi="Arial Narrow"/>
                <w:sz w:val="20"/>
                <w:szCs w:val="20"/>
              </w:rPr>
              <w:t xml:space="preserve">other </w:t>
            </w:r>
            <w:r w:rsidRPr="00241FD2">
              <w:rPr>
                <w:rFonts w:ascii="Arial Narrow" w:hAnsi="Arial Narrow"/>
                <w:sz w:val="20"/>
                <w:szCs w:val="20"/>
              </w:rPr>
              <w:t>antiseizure medication</w:t>
            </w:r>
          </w:p>
        </w:tc>
      </w:tr>
      <w:tr w:rsidR="00E922DA" w:rsidRPr="002E4B8E" w14:paraId="3BC4E2BB"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3C8E57A3" w14:textId="40565F27" w:rsidR="00E922DA" w:rsidRPr="002E4B8E" w:rsidRDefault="00E922DA" w:rsidP="00361246">
            <w:pPr>
              <w:rPr>
                <w:rFonts w:ascii="Arial Narrow" w:hAnsi="Arial Narrow"/>
                <w:sz w:val="20"/>
                <w:szCs w:val="20"/>
              </w:rPr>
            </w:pPr>
            <w:r w:rsidRPr="002E4B8E">
              <w:rPr>
                <w:rFonts w:ascii="Arial Narrow" w:hAnsi="Arial Narrow"/>
                <w:b/>
                <w:bCs/>
                <w:sz w:val="20"/>
                <w:szCs w:val="20"/>
              </w:rPr>
              <w:t>Treatment criteria:</w:t>
            </w:r>
          </w:p>
        </w:tc>
      </w:tr>
      <w:tr w:rsidR="00E922DA" w:rsidRPr="002E4B8E" w14:paraId="68D967B2"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hideMark/>
          </w:tcPr>
          <w:p w14:paraId="6D3A18E1" w14:textId="2E8B872E" w:rsidR="00E922DA" w:rsidRPr="002E4B8E" w:rsidRDefault="00E922DA" w:rsidP="00361246">
            <w:pPr>
              <w:keepNext/>
              <w:rPr>
                <w:rFonts w:ascii="Arial Narrow" w:hAnsi="Arial Narrow"/>
                <w:sz w:val="20"/>
                <w:szCs w:val="20"/>
              </w:rPr>
            </w:pPr>
            <w:r w:rsidRPr="002E4B8E">
              <w:rPr>
                <w:rFonts w:ascii="Arial Narrow" w:hAnsi="Arial Narrow" w:cs="Arial Narrow"/>
                <w:color w:val="000000" w:themeColor="text1"/>
                <w:sz w:val="20"/>
                <w:szCs w:val="20"/>
              </w:rPr>
              <w:t xml:space="preserve">Must be treated by </w:t>
            </w:r>
            <w:r w:rsidRPr="009845BD">
              <w:rPr>
                <w:rFonts w:ascii="Arial Narrow" w:hAnsi="Arial Narrow" w:cs="Arial Narrow"/>
                <w:strike/>
                <w:color w:val="000000" w:themeColor="text1"/>
                <w:sz w:val="20"/>
                <w:szCs w:val="20"/>
              </w:rPr>
              <w:t>a neurologist</w:t>
            </w:r>
            <w:r w:rsidRPr="009845BD">
              <w:rPr>
                <w:rFonts w:ascii="Arial Narrow" w:hAnsi="Arial Narrow" w:cs="Arial Narrow"/>
                <w:color w:val="000000" w:themeColor="text1"/>
                <w:sz w:val="20"/>
                <w:szCs w:val="20"/>
              </w:rPr>
              <w:t xml:space="preserve"> </w:t>
            </w:r>
            <w:r w:rsidRPr="000E6518">
              <w:rPr>
                <w:rFonts w:ascii="Arial Narrow" w:hAnsi="Arial Narrow" w:cs="Arial Narrow"/>
                <w:i/>
                <w:iCs/>
                <w:color w:val="000000" w:themeColor="text1"/>
                <w:sz w:val="20"/>
                <w:szCs w:val="20"/>
              </w:rPr>
              <w:t>a prescriber who is either (i) a neurologist,</w:t>
            </w:r>
            <w:r w:rsidRPr="000E6518">
              <w:rPr>
                <w:rFonts w:ascii="Arial Narrow" w:hAnsi="Arial Narrow" w:cs="Arial Narrow"/>
                <w:i/>
                <w:iCs/>
                <w:sz w:val="20"/>
                <w:szCs w:val="20"/>
              </w:rPr>
              <w:t xml:space="preserve"> </w:t>
            </w:r>
            <w:r w:rsidRPr="000E6518">
              <w:rPr>
                <w:rFonts w:ascii="Arial Narrow" w:hAnsi="Arial Narrow" w:cs="Arial Narrow"/>
                <w:i/>
                <w:iCs/>
                <w:color w:val="000000" w:themeColor="text1"/>
                <w:sz w:val="20"/>
                <w:szCs w:val="20"/>
              </w:rPr>
              <w:t xml:space="preserve">(ii) a </w:t>
            </w:r>
            <w:r w:rsidRPr="000E6518">
              <w:rPr>
                <w:rFonts w:ascii="Arial Narrow" w:hAnsi="Arial Narrow" w:cs="Arial Narrow"/>
                <w:i/>
                <w:iCs/>
                <w:sz w:val="20"/>
                <w:szCs w:val="20"/>
              </w:rPr>
              <w:t>paediatrician</w:t>
            </w:r>
            <w:r w:rsidRPr="002E4B8E">
              <w:rPr>
                <w:rFonts w:ascii="Arial Narrow" w:hAnsi="Arial Narrow" w:cs="Arial Narrow"/>
                <w:color w:val="FF0000"/>
                <w:sz w:val="20"/>
                <w:szCs w:val="20"/>
              </w:rPr>
              <w:t xml:space="preserve"> </w:t>
            </w:r>
            <w:r w:rsidRPr="002E4B8E">
              <w:rPr>
                <w:rFonts w:ascii="Arial Narrow" w:hAnsi="Arial Narrow" w:cs="Arial Narrow"/>
                <w:color w:val="000000" w:themeColor="text1"/>
                <w:sz w:val="20"/>
                <w:szCs w:val="20"/>
              </w:rPr>
              <w:t>if treatment is being initiated; or</w:t>
            </w:r>
          </w:p>
        </w:tc>
      </w:tr>
      <w:tr w:rsidR="00E922DA" w:rsidRPr="002E4B8E" w14:paraId="54FFA6E4"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hideMark/>
          </w:tcPr>
          <w:p w14:paraId="07C2BDFF" w14:textId="65737AE5" w:rsidR="00E922DA" w:rsidRPr="002E4B8E" w:rsidRDefault="00E922DA" w:rsidP="00361246">
            <w:pPr>
              <w:autoSpaceDE w:val="0"/>
              <w:autoSpaceDN w:val="0"/>
              <w:adjustRightInd w:val="0"/>
              <w:jc w:val="left"/>
              <w:rPr>
                <w:rFonts w:ascii="Arial Narrow" w:hAnsi="Arial Narrow" w:cs="Arial Narrow"/>
                <w:color w:val="000000" w:themeColor="text1"/>
                <w:sz w:val="20"/>
                <w:szCs w:val="20"/>
              </w:rPr>
            </w:pPr>
            <w:r w:rsidRPr="002E4B8E">
              <w:rPr>
                <w:rFonts w:ascii="Arial Narrow" w:hAnsi="Arial Narrow" w:cs="Arial Narrow"/>
                <w:iCs/>
                <w:color w:val="000000" w:themeColor="text1"/>
                <w:sz w:val="20"/>
                <w:szCs w:val="20"/>
              </w:rPr>
              <w:t xml:space="preserve">Must be treated by </w:t>
            </w:r>
            <w:r w:rsidRPr="003E5A44">
              <w:rPr>
                <w:rFonts w:ascii="Arial Narrow" w:hAnsi="Arial Narrow" w:cs="Arial Narrow"/>
                <w:iCs/>
                <w:strike/>
                <w:color w:val="000000" w:themeColor="text1"/>
                <w:sz w:val="20"/>
                <w:szCs w:val="20"/>
              </w:rPr>
              <w:t>a neurologist</w:t>
            </w:r>
            <w:r w:rsidRPr="003E5A44">
              <w:rPr>
                <w:rFonts w:ascii="Arial Narrow" w:hAnsi="Arial Narrow" w:cs="Arial Narrow"/>
                <w:iCs/>
                <w:color w:val="000000" w:themeColor="text1"/>
                <w:sz w:val="20"/>
                <w:szCs w:val="20"/>
              </w:rPr>
              <w:t xml:space="preserve"> </w:t>
            </w:r>
            <w:r w:rsidRPr="003E5A44">
              <w:rPr>
                <w:rFonts w:ascii="Arial Narrow" w:hAnsi="Arial Narrow" w:cs="Arial Narrow"/>
                <w:i/>
                <w:color w:val="000000" w:themeColor="text1"/>
                <w:sz w:val="20"/>
                <w:szCs w:val="20"/>
              </w:rPr>
              <w:t>a prescriber who is either (i) a neurologist,</w:t>
            </w:r>
            <w:r w:rsidRPr="003E5A44">
              <w:rPr>
                <w:rFonts w:ascii="Arial Narrow" w:hAnsi="Arial Narrow" w:cs="Arial Narrow"/>
                <w:i/>
                <w:sz w:val="20"/>
                <w:szCs w:val="20"/>
              </w:rPr>
              <w:t xml:space="preserve"> </w:t>
            </w:r>
            <w:r w:rsidRPr="003E5A44">
              <w:rPr>
                <w:rFonts w:ascii="Arial Narrow" w:hAnsi="Arial Narrow" w:cs="Arial Narrow"/>
                <w:i/>
                <w:color w:val="000000" w:themeColor="text1"/>
                <w:sz w:val="20"/>
                <w:szCs w:val="20"/>
              </w:rPr>
              <w:t xml:space="preserve">(ii) a </w:t>
            </w:r>
            <w:r w:rsidRPr="003E5A44">
              <w:rPr>
                <w:rFonts w:ascii="Arial Narrow" w:hAnsi="Arial Narrow" w:cs="Arial Narrow"/>
                <w:i/>
                <w:sz w:val="20"/>
                <w:szCs w:val="20"/>
              </w:rPr>
              <w:t>paediatrician</w:t>
            </w:r>
            <w:r w:rsidRPr="002E4B8E">
              <w:rPr>
                <w:rFonts w:ascii="Arial Narrow" w:hAnsi="Arial Narrow" w:cs="Arial Narrow"/>
                <w:b/>
                <w:bCs/>
                <w:sz w:val="20"/>
                <w:szCs w:val="20"/>
              </w:rPr>
              <w:t xml:space="preserve"> </w:t>
            </w:r>
            <w:r w:rsidRPr="002E4B8E">
              <w:rPr>
                <w:rFonts w:ascii="Arial Narrow" w:hAnsi="Arial Narrow" w:cs="Arial Narrow"/>
                <w:iCs/>
                <w:color w:val="000000" w:themeColor="text1"/>
                <w:sz w:val="20"/>
                <w:szCs w:val="20"/>
              </w:rPr>
              <w:t>if treatment is being continued or re-initiated; or</w:t>
            </w:r>
          </w:p>
        </w:tc>
      </w:tr>
      <w:tr w:rsidR="00E922DA" w:rsidRPr="002E4B8E" w14:paraId="1B136F0F" w14:textId="77777777" w:rsidTr="00E922DA">
        <w:tblPrEx>
          <w:tblCellMar>
            <w:top w:w="15" w:type="dxa"/>
            <w:bottom w:w="15" w:type="dxa"/>
          </w:tblCellMar>
        </w:tblPrEx>
        <w:trPr>
          <w:cantSplit/>
          <w:trHeight w:val="284"/>
        </w:trPr>
        <w:tc>
          <w:tcPr>
            <w:tcW w:w="9067" w:type="dxa"/>
            <w:gridSpan w:val="7"/>
            <w:vAlign w:val="center"/>
          </w:tcPr>
          <w:p w14:paraId="3071DC0B" w14:textId="796B2838" w:rsidR="00E922DA" w:rsidRPr="002E4B8E" w:rsidRDefault="00E922DA" w:rsidP="00361246">
            <w:pPr>
              <w:autoSpaceDE w:val="0"/>
              <w:autoSpaceDN w:val="0"/>
              <w:adjustRightInd w:val="0"/>
              <w:rPr>
                <w:rFonts w:ascii="Arial Narrow" w:hAnsi="Arial Narrow" w:cs="Arial Narrow"/>
                <w:iCs/>
                <w:strike/>
                <w:color w:val="000000" w:themeColor="text1"/>
                <w:sz w:val="20"/>
                <w:szCs w:val="20"/>
              </w:rPr>
            </w:pPr>
            <w:r w:rsidRPr="002E4B8E">
              <w:rPr>
                <w:rFonts w:ascii="Arial Narrow" w:hAnsi="Arial Narrow" w:cs="Arial Narrow"/>
                <w:iCs/>
                <w:color w:val="000000" w:themeColor="text1"/>
                <w:sz w:val="20"/>
                <w:szCs w:val="20"/>
              </w:rPr>
              <w:t>Must be treated by a general practitioner in consultation with</w:t>
            </w:r>
            <w:r>
              <w:rPr>
                <w:rFonts w:ascii="Arial Narrow" w:hAnsi="Arial Narrow" w:cs="Arial Narrow"/>
                <w:iCs/>
                <w:color w:val="000000" w:themeColor="text1"/>
                <w:sz w:val="20"/>
                <w:szCs w:val="20"/>
              </w:rPr>
              <w:t xml:space="preserve"> </w:t>
            </w:r>
            <w:r w:rsidRPr="003E5A44">
              <w:rPr>
                <w:rFonts w:ascii="Arial Narrow" w:hAnsi="Arial Narrow" w:cs="Arial Narrow"/>
                <w:iCs/>
                <w:strike/>
                <w:color w:val="000000" w:themeColor="text1"/>
                <w:sz w:val="20"/>
                <w:szCs w:val="20"/>
              </w:rPr>
              <w:t>a neurologist</w:t>
            </w:r>
            <w:r w:rsidRPr="002E4B8E">
              <w:rPr>
                <w:rFonts w:ascii="Arial Narrow" w:hAnsi="Arial Narrow" w:cs="Arial Narrow"/>
                <w:iCs/>
                <w:color w:val="000000" w:themeColor="text1"/>
                <w:sz w:val="20"/>
                <w:szCs w:val="20"/>
              </w:rPr>
              <w:t xml:space="preserve"> </w:t>
            </w:r>
            <w:r w:rsidRPr="003E5A44">
              <w:rPr>
                <w:rFonts w:ascii="Arial Narrow" w:hAnsi="Arial Narrow" w:cs="Arial Narrow"/>
                <w:i/>
                <w:color w:val="000000" w:themeColor="text1"/>
                <w:sz w:val="20"/>
                <w:szCs w:val="20"/>
              </w:rPr>
              <w:t>either (I) a neurologist</w:t>
            </w:r>
            <w:r w:rsidRPr="003E5A44">
              <w:rPr>
                <w:rFonts w:ascii="Arial Narrow" w:hAnsi="Arial Narrow" w:cs="Arial Narrow"/>
                <w:i/>
                <w:sz w:val="20"/>
                <w:szCs w:val="20"/>
              </w:rPr>
              <w:t xml:space="preserve">, </w:t>
            </w:r>
            <w:r w:rsidRPr="003E5A44">
              <w:rPr>
                <w:rFonts w:ascii="Arial Narrow" w:hAnsi="Arial Narrow" w:cs="Arial Narrow"/>
                <w:i/>
                <w:color w:val="000000" w:themeColor="text1"/>
                <w:sz w:val="20"/>
                <w:szCs w:val="20"/>
              </w:rPr>
              <w:t xml:space="preserve">(ii) a </w:t>
            </w:r>
            <w:r w:rsidRPr="003E5A44">
              <w:rPr>
                <w:rFonts w:ascii="Arial Narrow" w:hAnsi="Arial Narrow" w:cs="Arial Narrow"/>
                <w:i/>
                <w:sz w:val="20"/>
                <w:szCs w:val="20"/>
              </w:rPr>
              <w:t>paediatrician</w:t>
            </w:r>
            <w:r w:rsidRPr="00B54BBC">
              <w:rPr>
                <w:rFonts w:ascii="Arial Narrow" w:hAnsi="Arial Narrow" w:cs="Arial Narrow"/>
                <w:sz w:val="20"/>
                <w:szCs w:val="20"/>
              </w:rPr>
              <w:t xml:space="preserve"> </w:t>
            </w:r>
            <w:r w:rsidRPr="00B54BBC">
              <w:rPr>
                <w:rFonts w:ascii="Arial Narrow" w:hAnsi="Arial Narrow" w:cs="Arial Narrow"/>
                <w:iCs/>
                <w:color w:val="000000" w:themeColor="text1"/>
                <w:sz w:val="20"/>
                <w:szCs w:val="20"/>
              </w:rPr>
              <w:t>if treatment is being continued</w:t>
            </w:r>
          </w:p>
        </w:tc>
      </w:tr>
      <w:tr w:rsidR="00E922DA" w:rsidRPr="002E4B8E" w14:paraId="4D4EA988" w14:textId="77777777" w:rsidTr="00E922DA">
        <w:tblPrEx>
          <w:tblCellMar>
            <w:top w:w="15" w:type="dxa"/>
            <w:bottom w:w="15" w:type="dxa"/>
          </w:tblCellMar>
        </w:tblPrEx>
        <w:trPr>
          <w:cantSplit/>
          <w:trHeight w:val="284"/>
        </w:trPr>
        <w:tc>
          <w:tcPr>
            <w:tcW w:w="9067" w:type="dxa"/>
            <w:gridSpan w:val="7"/>
            <w:vAlign w:val="center"/>
          </w:tcPr>
          <w:p w14:paraId="00257D60" w14:textId="77777777" w:rsidR="00E922DA" w:rsidRPr="000E6518" w:rsidRDefault="00E922DA" w:rsidP="00361246">
            <w:pPr>
              <w:autoSpaceDE w:val="0"/>
              <w:autoSpaceDN w:val="0"/>
              <w:adjustRightInd w:val="0"/>
              <w:rPr>
                <w:rFonts w:ascii="Arial Narrow" w:hAnsi="Arial Narrow" w:cs="Arial Narrow"/>
                <w:iCs/>
                <w:strike/>
                <w:color w:val="000000" w:themeColor="text1"/>
                <w:sz w:val="20"/>
                <w:szCs w:val="20"/>
              </w:rPr>
            </w:pPr>
            <w:r w:rsidRPr="000E6518">
              <w:rPr>
                <w:rFonts w:ascii="Arial Narrow" w:hAnsi="Arial Narrow" w:cs="Arial Narrow"/>
                <w:b/>
                <w:bCs/>
                <w:iCs/>
                <w:strike/>
                <w:color w:val="000000" w:themeColor="text1"/>
                <w:sz w:val="20"/>
                <w:szCs w:val="20"/>
              </w:rPr>
              <w:t>Prescribing Instructions:</w:t>
            </w:r>
          </w:p>
          <w:p w14:paraId="5C448FD4" w14:textId="53B889CF" w:rsidR="00E922DA" w:rsidRPr="002E4B8E" w:rsidRDefault="00E922DA" w:rsidP="00361246">
            <w:pPr>
              <w:autoSpaceDE w:val="0"/>
              <w:autoSpaceDN w:val="0"/>
              <w:adjustRightInd w:val="0"/>
              <w:rPr>
                <w:rFonts w:ascii="Arial Narrow" w:hAnsi="Arial Narrow" w:cs="Arial Narrow"/>
                <w:iCs/>
                <w:color w:val="000000" w:themeColor="text1"/>
                <w:sz w:val="20"/>
                <w:szCs w:val="20"/>
              </w:rPr>
            </w:pPr>
            <w:r w:rsidRPr="000E6518">
              <w:rPr>
                <w:rFonts w:ascii="Arial Narrow" w:hAnsi="Arial Narrow" w:cs="Arial Narrow"/>
                <w:iCs/>
                <w:strike/>
                <w:color w:val="000000" w:themeColor="text1"/>
                <w:sz w:val="20"/>
                <w:szCs w:val="20"/>
              </w:rPr>
              <w:t>Tonic seizures must have been recorded on video-EEG or have been clearly observed and reported by a witness.</w:t>
            </w:r>
          </w:p>
        </w:tc>
      </w:tr>
      <w:tr w:rsidR="00E922DA" w:rsidRPr="002E4B8E" w14:paraId="5300C249" w14:textId="77777777" w:rsidTr="00E922DA">
        <w:tblPrEx>
          <w:tblCellMar>
            <w:top w:w="15" w:type="dxa"/>
            <w:bottom w:w="15" w:type="dxa"/>
          </w:tblCellMar>
          <w:tblLook w:val="04A0" w:firstRow="1" w:lastRow="0" w:firstColumn="1" w:lastColumn="0" w:noHBand="0" w:noVBand="1"/>
        </w:tblPrEx>
        <w:trPr>
          <w:cantSplit/>
          <w:trHeight w:val="20"/>
        </w:trPr>
        <w:tc>
          <w:tcPr>
            <w:tcW w:w="9067" w:type="dxa"/>
            <w:gridSpan w:val="7"/>
            <w:vAlign w:val="center"/>
          </w:tcPr>
          <w:p w14:paraId="7C292F19" w14:textId="0E26D284" w:rsidR="00E922DA" w:rsidRPr="002E4B8E" w:rsidRDefault="00E922DA" w:rsidP="00361246">
            <w:pPr>
              <w:keepNext/>
              <w:rPr>
                <w:rFonts w:ascii="Arial Narrow" w:hAnsi="Arial Narrow" w:cs="Arial Narrow"/>
                <w:iCs/>
                <w:strike/>
                <w:color w:val="FF0000"/>
                <w:sz w:val="20"/>
                <w:szCs w:val="20"/>
              </w:rPr>
            </w:pPr>
            <w:r w:rsidRPr="002E4B8E">
              <w:rPr>
                <w:rFonts w:ascii="Arial Narrow" w:hAnsi="Arial Narrow"/>
                <w:b/>
                <w:bCs/>
                <w:sz w:val="20"/>
                <w:szCs w:val="20"/>
              </w:rPr>
              <w:lastRenderedPageBreak/>
              <w:t xml:space="preserve">Prescribing Instructions: </w:t>
            </w:r>
            <w:r w:rsidRPr="002E4B8E">
              <w:rPr>
                <w:rFonts w:ascii="Arial Narrow" w:hAnsi="Arial Narrow"/>
                <w:sz w:val="20"/>
                <w:szCs w:val="20"/>
              </w:rPr>
              <w:t>Confirmation of eligibility for treatment with diagnostic reports must be documented in the patient's medical records.</w:t>
            </w:r>
          </w:p>
        </w:tc>
      </w:tr>
    </w:tbl>
    <w:p w14:paraId="758DC845" w14:textId="07E502AF" w:rsidR="00170C4D" w:rsidRDefault="002F67FC" w:rsidP="00361246">
      <w:pPr>
        <w:pStyle w:val="3-BodyText"/>
        <w:numPr>
          <w:ilvl w:val="0"/>
          <w:numId w:val="0"/>
        </w:numPr>
        <w:rPr>
          <w:sz w:val="22"/>
        </w:rPr>
      </w:pPr>
      <w:r w:rsidRPr="002F67FC">
        <w:rPr>
          <w:b/>
          <w:bCs/>
          <w:i/>
          <w:iCs/>
          <w:snapToGrid w:val="0"/>
          <w:lang w:val="en-GB"/>
        </w:rPr>
        <w:t xml:space="preserve">This restriction may be subject to further review. Should there be any changes made to the restriction the Sponsor will </w:t>
      </w:r>
      <w:proofErr w:type="gramStart"/>
      <w:r w:rsidRPr="002F67FC">
        <w:rPr>
          <w:b/>
          <w:bCs/>
          <w:i/>
          <w:iCs/>
          <w:snapToGrid w:val="0"/>
          <w:lang w:val="en-GB"/>
        </w:rPr>
        <w:t>be informed</w:t>
      </w:r>
      <w:proofErr w:type="gramEnd"/>
      <w:r w:rsidRPr="002F67FC">
        <w:rPr>
          <w:b/>
          <w:bCs/>
          <w:i/>
          <w:iCs/>
          <w:snapToGrid w:val="0"/>
          <w:lang w:val="en-GB"/>
        </w:rPr>
        <w:t>.</w:t>
      </w:r>
    </w:p>
    <w:p w14:paraId="360106E5" w14:textId="1FC930CA" w:rsidR="000D4F18" w:rsidRDefault="00B0210C" w:rsidP="00361246">
      <w:pPr>
        <w:pStyle w:val="2-SectionHeading"/>
      </w:pPr>
      <w:r>
        <w:t>Context for Decision</w:t>
      </w:r>
    </w:p>
    <w:p w14:paraId="488A3389" w14:textId="1DE7A756" w:rsidR="00B0210C" w:rsidRDefault="00B0210C" w:rsidP="00361246">
      <w:pPr>
        <w:pStyle w:val="3-BodyText"/>
        <w:numPr>
          <w:ilvl w:val="0"/>
          <w:numId w:val="0"/>
        </w:numPr>
        <w:ind w:left="720"/>
      </w:pPr>
      <w:r w:rsidRPr="00B0210C">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F8D5A5E" w14:textId="24777C99" w:rsidR="00B0210C" w:rsidRDefault="00B0210C" w:rsidP="00361246">
      <w:pPr>
        <w:pStyle w:val="2-SectionHeading"/>
      </w:pPr>
      <w:r>
        <w:t>Sponsor’s Comment</w:t>
      </w:r>
    </w:p>
    <w:p w14:paraId="330C2893" w14:textId="77777777" w:rsidR="00B0210C" w:rsidRDefault="00B0210C" w:rsidP="00361246">
      <w:pPr>
        <w:pStyle w:val="NormalWeb"/>
        <w:spacing w:before="120" w:beforeAutospacing="0" w:after="120" w:afterAutospacing="0"/>
        <w:ind w:left="709"/>
        <w:rPr>
          <w:rFonts w:ascii="Calibri" w:hAnsi="Calibri" w:cs="Calibri"/>
        </w:rPr>
      </w:pPr>
      <w:r>
        <w:rPr>
          <w:rFonts w:ascii="Calibri" w:hAnsi="Calibri" w:cs="Calibri"/>
        </w:rPr>
        <w:t>The sponsor had no comment.</w:t>
      </w:r>
    </w:p>
    <w:p w14:paraId="51276F1C" w14:textId="77777777" w:rsidR="00B0210C" w:rsidRPr="00B0210C" w:rsidRDefault="00B0210C" w:rsidP="00361246">
      <w:pPr>
        <w:pStyle w:val="3-BodyText"/>
        <w:numPr>
          <w:ilvl w:val="0"/>
          <w:numId w:val="0"/>
        </w:numPr>
      </w:pPr>
    </w:p>
    <w:sectPr w:rsidR="00B0210C" w:rsidRPr="00B0210C"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FC77" w14:textId="77777777" w:rsidR="001D65DA" w:rsidRDefault="001D65DA">
      <w:r>
        <w:separator/>
      </w:r>
    </w:p>
    <w:p w14:paraId="5E646687" w14:textId="77777777" w:rsidR="001D65DA" w:rsidRDefault="001D65DA"/>
  </w:endnote>
  <w:endnote w:type="continuationSeparator" w:id="0">
    <w:p w14:paraId="361C0076" w14:textId="77777777" w:rsidR="001D65DA" w:rsidRDefault="001D65DA">
      <w:r>
        <w:continuationSeparator/>
      </w:r>
    </w:p>
    <w:p w14:paraId="6B4A9272" w14:textId="77777777" w:rsidR="001D65DA" w:rsidRDefault="001D65DA"/>
  </w:endnote>
  <w:endnote w:type="continuationNotice" w:id="1">
    <w:p w14:paraId="221449C7" w14:textId="77777777" w:rsidR="001D65DA" w:rsidRDefault="001D6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2D44E8">
      <w:trPr>
        <w:trHeight w:val="151"/>
      </w:trPr>
      <w:tc>
        <w:tcPr>
          <w:tcW w:w="2250" w:type="pct"/>
          <w:tcBorders>
            <w:top w:val="nil"/>
            <w:left w:val="nil"/>
            <w:bottom w:val="single" w:sz="4" w:space="0" w:color="4F81BD"/>
            <w:right w:val="nil"/>
          </w:tcBorders>
        </w:tcPr>
        <w:p w14:paraId="096D0DDE" w14:textId="1CD80E80" w:rsidR="009C26AA" w:rsidRPr="005A3173" w:rsidRDefault="00435EDE"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2336" behindDoc="0" locked="0" layoutInCell="1" allowOverlap="1" wp14:anchorId="27B11473" wp14:editId="4F851B72">
                    <wp:simplePos x="635" y="635"/>
                    <wp:positionH relativeFrom="page">
                      <wp:align>center</wp:align>
                    </wp:positionH>
                    <wp:positionV relativeFrom="page">
                      <wp:align>bottom</wp:align>
                    </wp:positionV>
                    <wp:extent cx="551815" cy="376555"/>
                    <wp:effectExtent l="0" t="0" r="635" b="0"/>
                    <wp:wrapNone/>
                    <wp:docPr id="15516561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B27088" w14:textId="7E940804" w:rsidR="00435EDE" w:rsidRPr="00435EDE" w:rsidRDefault="00435EDE" w:rsidP="00435EDE">
                                <w:pPr>
                                  <w:rPr>
                                    <w:rFonts w:eastAsia="Calibri" w:cs="Calibri"/>
                                    <w:noProof/>
                                    <w:color w:val="FF0000"/>
                                  </w:rPr>
                                </w:pPr>
                                <w:r w:rsidRPr="00435EDE">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B1147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EB27088" w14:textId="7E940804" w:rsidR="00435EDE" w:rsidRPr="00435EDE" w:rsidRDefault="00435EDE" w:rsidP="00435EDE">
                          <w:pPr>
                            <w:rPr>
                              <w:rFonts w:eastAsia="Calibri" w:cs="Calibri"/>
                              <w:noProof/>
                              <w:color w:val="FF0000"/>
                            </w:rPr>
                          </w:pPr>
                          <w:r w:rsidRPr="00435EDE">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2D44E8">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42F811B8" w:rsidR="009C26AA" w:rsidRPr="00D429EC" w:rsidRDefault="00435EDE"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3360" behindDoc="0" locked="0" layoutInCell="1" allowOverlap="1" wp14:anchorId="41CCAAD7" wp14:editId="79460F04">
              <wp:simplePos x="914400" y="9410700"/>
              <wp:positionH relativeFrom="page">
                <wp:align>center</wp:align>
              </wp:positionH>
              <wp:positionV relativeFrom="page">
                <wp:align>bottom</wp:align>
              </wp:positionV>
              <wp:extent cx="551815" cy="376555"/>
              <wp:effectExtent l="0" t="0" r="635" b="0"/>
              <wp:wrapNone/>
              <wp:docPr id="18380788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BDB274" w14:textId="0D73D713" w:rsidR="00435EDE" w:rsidRPr="00435EDE" w:rsidRDefault="00435EDE" w:rsidP="00435EDE">
                          <w:pPr>
                            <w:rPr>
                              <w:rFonts w:eastAsia="Calibri" w:cs="Calibri"/>
                              <w:noProof/>
                              <w:color w:val="FF0000"/>
                            </w:rPr>
                          </w:pPr>
                          <w:r w:rsidRPr="00435EDE">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CAAD7"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9BDB274" w14:textId="0D73D713" w:rsidR="00435EDE" w:rsidRPr="00435EDE" w:rsidRDefault="00435EDE" w:rsidP="00435EDE">
                    <w:pPr>
                      <w:rPr>
                        <w:rFonts w:eastAsia="Calibri" w:cs="Calibri"/>
                        <w:noProof/>
                        <w:color w:val="FF0000"/>
                      </w:rPr>
                    </w:pPr>
                    <w:r w:rsidRPr="00435EDE">
                      <w:rPr>
                        <w:rFonts w:eastAsia="Calibri" w:cs="Calibri"/>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B182" w14:textId="1CC4EBB1" w:rsidR="006F0AAD" w:rsidRDefault="00435EDE">
    <w:pPr>
      <w:pStyle w:val="Footer"/>
    </w:pPr>
    <w:r>
      <w:rPr>
        <w:noProof/>
      </w:rPr>
      <mc:AlternateContent>
        <mc:Choice Requires="wps">
          <w:drawing>
            <wp:anchor distT="0" distB="0" distL="0" distR="0" simplePos="0" relativeHeight="251661312" behindDoc="0" locked="0" layoutInCell="1" allowOverlap="1" wp14:anchorId="4992B566" wp14:editId="6EF5ECC8">
              <wp:simplePos x="635" y="635"/>
              <wp:positionH relativeFrom="page">
                <wp:align>center</wp:align>
              </wp:positionH>
              <wp:positionV relativeFrom="page">
                <wp:align>bottom</wp:align>
              </wp:positionV>
              <wp:extent cx="551815" cy="376555"/>
              <wp:effectExtent l="0" t="0" r="635" b="0"/>
              <wp:wrapNone/>
              <wp:docPr id="1817787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4A5CF1" w14:textId="34DC791F" w:rsidR="00435EDE" w:rsidRPr="00435EDE" w:rsidRDefault="00435EDE" w:rsidP="00435EDE">
                          <w:pPr>
                            <w:rPr>
                              <w:rFonts w:eastAsia="Calibri" w:cs="Calibri"/>
                              <w:noProof/>
                              <w:color w:val="FF0000"/>
                            </w:rPr>
                          </w:pPr>
                          <w:r w:rsidRPr="00435EDE">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92B56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94A5CF1" w14:textId="34DC791F" w:rsidR="00435EDE" w:rsidRPr="00435EDE" w:rsidRDefault="00435EDE" w:rsidP="00435EDE">
                    <w:pPr>
                      <w:rPr>
                        <w:rFonts w:eastAsia="Calibri" w:cs="Calibri"/>
                        <w:noProof/>
                        <w:color w:val="FF0000"/>
                      </w:rPr>
                    </w:pPr>
                    <w:r w:rsidRPr="00435EDE">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0BFC" w14:textId="77777777" w:rsidR="001D65DA" w:rsidRDefault="001D65DA">
      <w:r>
        <w:separator/>
      </w:r>
    </w:p>
    <w:p w14:paraId="05008550" w14:textId="77777777" w:rsidR="001D65DA" w:rsidRDefault="001D65DA"/>
  </w:footnote>
  <w:footnote w:type="continuationSeparator" w:id="0">
    <w:p w14:paraId="26EA0748" w14:textId="77777777" w:rsidR="001D65DA" w:rsidRDefault="001D65DA">
      <w:r>
        <w:continuationSeparator/>
      </w:r>
    </w:p>
    <w:p w14:paraId="7B262314" w14:textId="77777777" w:rsidR="001D65DA" w:rsidRDefault="001D65DA"/>
  </w:footnote>
  <w:footnote w:type="continuationNotice" w:id="1">
    <w:p w14:paraId="47121A03" w14:textId="77777777" w:rsidR="001D65DA" w:rsidRDefault="001D6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2D44E8">
      <w:trPr>
        <w:trHeight w:val="151"/>
      </w:trPr>
      <w:tc>
        <w:tcPr>
          <w:tcW w:w="2389" w:type="pct"/>
          <w:tcBorders>
            <w:top w:val="nil"/>
            <w:left w:val="nil"/>
            <w:bottom w:val="single" w:sz="4" w:space="0" w:color="4F81BD"/>
            <w:right w:val="nil"/>
          </w:tcBorders>
        </w:tcPr>
        <w:p w14:paraId="4C63CCAF" w14:textId="5609D81A" w:rsidR="009C26AA" w:rsidRPr="00A06225" w:rsidRDefault="00435EDE">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9264" behindDoc="0" locked="0" layoutInCell="1" allowOverlap="1" wp14:anchorId="52B438DB" wp14:editId="4A618AF2">
                    <wp:simplePos x="635" y="635"/>
                    <wp:positionH relativeFrom="page">
                      <wp:align>center</wp:align>
                    </wp:positionH>
                    <wp:positionV relativeFrom="page">
                      <wp:align>top</wp:align>
                    </wp:positionV>
                    <wp:extent cx="551815" cy="376555"/>
                    <wp:effectExtent l="0" t="0" r="635" b="4445"/>
                    <wp:wrapNone/>
                    <wp:docPr id="21477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50EC4A" w14:textId="18857B0C" w:rsidR="00435EDE" w:rsidRPr="00435EDE" w:rsidRDefault="00435EDE" w:rsidP="00435EDE">
                                <w:pPr>
                                  <w:rPr>
                                    <w:rFonts w:eastAsia="Calibri" w:cs="Calibri"/>
                                    <w:noProof/>
                                    <w:color w:val="FF0000"/>
                                  </w:rPr>
                                </w:pPr>
                                <w:r w:rsidRPr="00435ED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438D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150EC4A" w14:textId="18857B0C" w:rsidR="00435EDE" w:rsidRPr="00435EDE" w:rsidRDefault="00435EDE" w:rsidP="00435EDE">
                          <w:pPr>
                            <w:rPr>
                              <w:rFonts w:eastAsia="Calibri" w:cs="Calibri"/>
                              <w:noProof/>
                              <w:color w:val="FF0000"/>
                            </w:rPr>
                          </w:pPr>
                          <w:r w:rsidRPr="00435EDE">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2D44E8">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4C10F01A" w:rsidR="00C56D78" w:rsidRPr="00C56D78" w:rsidRDefault="00435EDE"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cs="Arial"/>
        <w:i/>
        <w:noProof/>
        <w:color w:val="808080"/>
      </w:rPr>
      <mc:AlternateContent>
        <mc:Choice Requires="wps">
          <w:drawing>
            <wp:anchor distT="0" distB="0" distL="0" distR="0" simplePos="0" relativeHeight="251660288" behindDoc="0" locked="0" layoutInCell="1" allowOverlap="1" wp14:anchorId="53C1C36E" wp14:editId="18F84D55">
              <wp:simplePos x="914400" y="914400"/>
              <wp:positionH relativeFrom="page">
                <wp:align>center</wp:align>
              </wp:positionH>
              <wp:positionV relativeFrom="page">
                <wp:align>top</wp:align>
              </wp:positionV>
              <wp:extent cx="551815" cy="376555"/>
              <wp:effectExtent l="0" t="0" r="635" b="4445"/>
              <wp:wrapNone/>
              <wp:docPr id="7008400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3C84DD" w14:textId="0EC1E742" w:rsidR="00435EDE" w:rsidRPr="00435EDE" w:rsidRDefault="00435EDE" w:rsidP="00435EDE">
                          <w:pPr>
                            <w:rPr>
                              <w:rFonts w:eastAsia="Calibri" w:cs="Calibri"/>
                              <w:noProof/>
                              <w:color w:val="FF0000"/>
                            </w:rPr>
                          </w:pPr>
                          <w:r w:rsidRPr="00435ED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1C36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A3C84DD" w14:textId="0EC1E742" w:rsidR="00435EDE" w:rsidRPr="00435EDE" w:rsidRDefault="00435EDE" w:rsidP="00435EDE">
                    <w:pPr>
                      <w:rPr>
                        <w:rFonts w:eastAsia="Calibri" w:cs="Calibri"/>
                        <w:noProof/>
                        <w:color w:val="FF0000"/>
                      </w:rPr>
                    </w:pPr>
                    <w:r w:rsidRPr="00435EDE">
                      <w:rPr>
                        <w:rFonts w:eastAsia="Calibri" w:cs="Calibri"/>
                        <w:noProof/>
                        <w:color w:val="FF0000"/>
                      </w:rPr>
                      <w:t>OFFICIAL</w:t>
                    </w:r>
                  </w:p>
                </w:txbxContent>
              </v:textbox>
              <w10:wrap anchorx="page" anchory="page"/>
            </v:shape>
          </w:pict>
        </mc:Fallback>
      </mc:AlternateContent>
    </w:r>
    <w:r w:rsidR="00C223D7">
      <w:rPr>
        <w:rFonts w:asciiTheme="minorHAnsi" w:hAnsiTheme="minorHAnsi" w:cs="Arial"/>
        <w:i/>
        <w:noProof/>
        <w:color w:val="808080"/>
      </w:rPr>
      <w:t>Public Summary Document</w:t>
    </w:r>
    <w:r w:rsidR="0068381D">
      <w:rPr>
        <w:rFonts w:asciiTheme="minorHAnsi" w:hAnsiTheme="minorHAnsi" w:cs="Arial"/>
        <w:i/>
        <w:noProof/>
        <w:color w:val="808080"/>
      </w:rPr>
      <w:t xml:space="preserve"> </w:t>
    </w:r>
    <w:r w:rsidR="00CC2224">
      <w:rPr>
        <w:rFonts w:asciiTheme="minorHAnsi" w:eastAsiaTheme="minorEastAsia" w:hAnsiTheme="minorHAnsi" w:cstheme="minorHAnsi"/>
        <w:i/>
        <w:color w:val="808080"/>
      </w:rPr>
      <w:t xml:space="preserve">– </w:t>
    </w:r>
    <w:r w:rsidR="00D306C9">
      <w:rPr>
        <w:rFonts w:asciiTheme="minorHAnsi" w:eastAsiaTheme="minorEastAsia" w:hAnsiTheme="minorHAnsi" w:cstheme="minorHAnsi"/>
        <w:i/>
        <w:color w:val="808080"/>
      </w:rPr>
      <w:t>July</w:t>
    </w:r>
    <w:r w:rsidR="00C56D78">
      <w:rPr>
        <w:rFonts w:asciiTheme="minorHAnsi" w:eastAsiaTheme="minorEastAsia" w:hAnsiTheme="minorHAnsi" w:cstheme="minorHAnsi"/>
        <w:i/>
        <w:color w:val="808080"/>
      </w:rPr>
      <w:t xml:space="preserve"> 202</w:t>
    </w:r>
    <w:r w:rsidR="00D306C9">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E0A9" w14:textId="05871402" w:rsidR="006F0AAD" w:rsidRDefault="00435EDE">
    <w:pPr>
      <w:pStyle w:val="Header"/>
    </w:pPr>
    <w:r>
      <w:rPr>
        <w:noProof/>
      </w:rPr>
      <mc:AlternateContent>
        <mc:Choice Requires="wps">
          <w:drawing>
            <wp:anchor distT="0" distB="0" distL="0" distR="0" simplePos="0" relativeHeight="251658240" behindDoc="0" locked="0" layoutInCell="1" allowOverlap="1" wp14:anchorId="2A1731C6" wp14:editId="38DF47B4">
              <wp:simplePos x="635" y="635"/>
              <wp:positionH relativeFrom="page">
                <wp:align>center</wp:align>
              </wp:positionH>
              <wp:positionV relativeFrom="page">
                <wp:align>top</wp:align>
              </wp:positionV>
              <wp:extent cx="551815" cy="376555"/>
              <wp:effectExtent l="0" t="0" r="635" b="4445"/>
              <wp:wrapNone/>
              <wp:docPr id="11915665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711EBC" w14:textId="7BB4F486" w:rsidR="00435EDE" w:rsidRPr="00435EDE" w:rsidRDefault="00435EDE" w:rsidP="00435EDE">
                          <w:pPr>
                            <w:rPr>
                              <w:rFonts w:eastAsia="Calibri" w:cs="Calibri"/>
                              <w:noProof/>
                              <w:color w:val="FF0000"/>
                            </w:rPr>
                          </w:pPr>
                          <w:r w:rsidRPr="00435ED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1731C6"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1711EBC" w14:textId="7BB4F486" w:rsidR="00435EDE" w:rsidRPr="00435EDE" w:rsidRDefault="00435EDE" w:rsidP="00435EDE">
                    <w:pPr>
                      <w:rPr>
                        <w:rFonts w:eastAsia="Calibri" w:cs="Calibri"/>
                        <w:noProof/>
                        <w:color w:val="FF0000"/>
                      </w:rPr>
                    </w:pPr>
                    <w:r w:rsidRPr="00435EDE">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0D197F"/>
    <w:multiLevelType w:val="hybridMultilevel"/>
    <w:tmpl w:val="C5A852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8454DDE"/>
    <w:multiLevelType w:val="multilevel"/>
    <w:tmpl w:val="4A10C922"/>
    <w:lvl w:ilvl="0">
      <w:start w:val="1"/>
      <w:numFmt w:val="bullet"/>
      <w:lvlText w:val=""/>
      <w:lvlJc w:val="left"/>
      <w:pPr>
        <w:ind w:left="1440" w:hanging="720"/>
      </w:pPr>
      <w:rPr>
        <w:rFonts w:ascii="Symbol" w:hAnsi="Symbol" w:hint="default"/>
        <w:b/>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CDD0157"/>
    <w:multiLevelType w:val="hybridMultilevel"/>
    <w:tmpl w:val="AEE88F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B70305B"/>
    <w:multiLevelType w:val="hybridMultilevel"/>
    <w:tmpl w:val="2B888AEE"/>
    <w:lvl w:ilvl="0" w:tplc="3E14D1E2">
      <w:start w:val="1"/>
      <w:numFmt w:val="bullet"/>
      <w:lvlText w:val="o"/>
      <w:lvlJc w:val="left"/>
      <w:pPr>
        <w:ind w:left="1440" w:hanging="360"/>
      </w:pPr>
      <w:rPr>
        <w:rFonts w:ascii="Symbol" w:hAnsi="Symbol" w:cstheme="minorHAnsi" w:hint="default"/>
        <w:sz w:val="20"/>
        <w:szCs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F0170C3"/>
    <w:multiLevelType w:val="hybridMultilevel"/>
    <w:tmpl w:val="6B2AC652"/>
    <w:lvl w:ilvl="0" w:tplc="0C090001">
      <w:start w:val="1"/>
      <w:numFmt w:val="bullet"/>
      <w:lvlText w:val=""/>
      <w:lvlJc w:val="left"/>
      <w:pPr>
        <w:ind w:left="800" w:hanging="360"/>
      </w:pPr>
      <w:rPr>
        <w:rFonts w:ascii="Symbol" w:hAnsi="Symbol" w:hint="default"/>
      </w:rPr>
    </w:lvl>
    <w:lvl w:ilvl="1" w:tplc="0C090003">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tentative="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6" w15:restartNumberingAfterBreak="0">
    <w:nsid w:val="301B404E"/>
    <w:multiLevelType w:val="hybridMultilevel"/>
    <w:tmpl w:val="547A522A"/>
    <w:lvl w:ilvl="0" w:tplc="7DD6E042">
      <w:start w:val="1"/>
      <w:numFmt w:val="bullet"/>
      <w:lvlText w:val="o"/>
      <w:lvlJc w:val="left"/>
      <w:pPr>
        <w:tabs>
          <w:tab w:val="num" w:pos="720"/>
        </w:tabs>
        <w:ind w:left="720" w:hanging="360"/>
      </w:pPr>
      <w:rPr>
        <w:rFonts w:ascii="Courier New" w:hAnsi="Courier New" w:hint="default"/>
      </w:rPr>
    </w:lvl>
    <w:lvl w:ilvl="1" w:tplc="E4BEE4C2" w:tentative="1">
      <w:start w:val="1"/>
      <w:numFmt w:val="bullet"/>
      <w:lvlText w:val="o"/>
      <w:lvlJc w:val="left"/>
      <w:pPr>
        <w:tabs>
          <w:tab w:val="num" w:pos="1440"/>
        </w:tabs>
        <w:ind w:left="1440" w:hanging="360"/>
      </w:pPr>
      <w:rPr>
        <w:rFonts w:ascii="Courier New" w:hAnsi="Courier New" w:hint="default"/>
      </w:rPr>
    </w:lvl>
    <w:lvl w:ilvl="2" w:tplc="9B5ED496">
      <w:start w:val="1"/>
      <w:numFmt w:val="bullet"/>
      <w:lvlText w:val="o"/>
      <w:lvlJc w:val="left"/>
      <w:pPr>
        <w:tabs>
          <w:tab w:val="num" w:pos="2160"/>
        </w:tabs>
        <w:ind w:left="2160" w:hanging="360"/>
      </w:pPr>
      <w:rPr>
        <w:rFonts w:ascii="Courier New" w:hAnsi="Courier New" w:hint="default"/>
      </w:rPr>
    </w:lvl>
    <w:lvl w:ilvl="3" w:tplc="1FA2031A" w:tentative="1">
      <w:start w:val="1"/>
      <w:numFmt w:val="bullet"/>
      <w:lvlText w:val="o"/>
      <w:lvlJc w:val="left"/>
      <w:pPr>
        <w:tabs>
          <w:tab w:val="num" w:pos="2880"/>
        </w:tabs>
        <w:ind w:left="2880" w:hanging="360"/>
      </w:pPr>
      <w:rPr>
        <w:rFonts w:ascii="Courier New" w:hAnsi="Courier New" w:hint="default"/>
      </w:rPr>
    </w:lvl>
    <w:lvl w:ilvl="4" w:tplc="61C2DB92" w:tentative="1">
      <w:start w:val="1"/>
      <w:numFmt w:val="bullet"/>
      <w:lvlText w:val="o"/>
      <w:lvlJc w:val="left"/>
      <w:pPr>
        <w:tabs>
          <w:tab w:val="num" w:pos="3600"/>
        </w:tabs>
        <w:ind w:left="3600" w:hanging="360"/>
      </w:pPr>
      <w:rPr>
        <w:rFonts w:ascii="Courier New" w:hAnsi="Courier New" w:hint="default"/>
      </w:rPr>
    </w:lvl>
    <w:lvl w:ilvl="5" w:tplc="21EE3162" w:tentative="1">
      <w:start w:val="1"/>
      <w:numFmt w:val="bullet"/>
      <w:lvlText w:val="o"/>
      <w:lvlJc w:val="left"/>
      <w:pPr>
        <w:tabs>
          <w:tab w:val="num" w:pos="4320"/>
        </w:tabs>
        <w:ind w:left="4320" w:hanging="360"/>
      </w:pPr>
      <w:rPr>
        <w:rFonts w:ascii="Courier New" w:hAnsi="Courier New" w:hint="default"/>
      </w:rPr>
    </w:lvl>
    <w:lvl w:ilvl="6" w:tplc="DA86CA82" w:tentative="1">
      <w:start w:val="1"/>
      <w:numFmt w:val="bullet"/>
      <w:lvlText w:val="o"/>
      <w:lvlJc w:val="left"/>
      <w:pPr>
        <w:tabs>
          <w:tab w:val="num" w:pos="5040"/>
        </w:tabs>
        <w:ind w:left="5040" w:hanging="360"/>
      </w:pPr>
      <w:rPr>
        <w:rFonts w:ascii="Courier New" w:hAnsi="Courier New" w:hint="default"/>
      </w:rPr>
    </w:lvl>
    <w:lvl w:ilvl="7" w:tplc="8D64C6B4" w:tentative="1">
      <w:start w:val="1"/>
      <w:numFmt w:val="bullet"/>
      <w:lvlText w:val="o"/>
      <w:lvlJc w:val="left"/>
      <w:pPr>
        <w:tabs>
          <w:tab w:val="num" w:pos="5760"/>
        </w:tabs>
        <w:ind w:left="5760" w:hanging="360"/>
      </w:pPr>
      <w:rPr>
        <w:rFonts w:ascii="Courier New" w:hAnsi="Courier New" w:hint="default"/>
      </w:rPr>
    </w:lvl>
    <w:lvl w:ilvl="8" w:tplc="85BAA716"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9F78CD"/>
    <w:multiLevelType w:val="hybridMultilevel"/>
    <w:tmpl w:val="364A0A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7C15E8"/>
    <w:multiLevelType w:val="hybridMultilevel"/>
    <w:tmpl w:val="13E205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6530F40"/>
    <w:multiLevelType w:val="hybridMultilevel"/>
    <w:tmpl w:val="BE72A648"/>
    <w:lvl w:ilvl="0" w:tplc="28629AFE">
      <w:start w:val="1"/>
      <w:numFmt w:val="upp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74B4892"/>
    <w:multiLevelType w:val="hybridMultilevel"/>
    <w:tmpl w:val="76307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DF71B1"/>
    <w:multiLevelType w:val="hybridMultilevel"/>
    <w:tmpl w:val="275656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0742CB"/>
    <w:multiLevelType w:val="hybridMultilevel"/>
    <w:tmpl w:val="5AC824C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E02121"/>
    <w:multiLevelType w:val="hybridMultilevel"/>
    <w:tmpl w:val="18F014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144D25"/>
    <w:multiLevelType w:val="hybridMultilevel"/>
    <w:tmpl w:val="A3903B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1A56D37"/>
    <w:multiLevelType w:val="hybridMultilevel"/>
    <w:tmpl w:val="2D4665A6"/>
    <w:lvl w:ilvl="0" w:tplc="C53874DE">
      <w:start w:val="1"/>
      <w:numFmt w:val="bullet"/>
      <w:lvlText w:val=""/>
      <w:lvlJc w:val="left"/>
      <w:pPr>
        <w:ind w:left="227" w:hanging="22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3757F4"/>
    <w:multiLevelType w:val="hybridMultilevel"/>
    <w:tmpl w:val="5BBE17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6759D2"/>
    <w:multiLevelType w:val="hybridMultilevel"/>
    <w:tmpl w:val="A5B6E820"/>
    <w:lvl w:ilvl="0" w:tplc="C6F659A0">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6874D27"/>
    <w:multiLevelType w:val="hybridMultilevel"/>
    <w:tmpl w:val="30D0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F5443A"/>
    <w:multiLevelType w:val="multilevel"/>
    <w:tmpl w:val="4A10C922"/>
    <w:lvl w:ilvl="0">
      <w:start w:val="1"/>
      <w:numFmt w:val="bullet"/>
      <w:lvlText w:val=""/>
      <w:lvlJc w:val="left"/>
      <w:pPr>
        <w:ind w:left="720" w:hanging="720"/>
      </w:pPr>
      <w:rPr>
        <w:rFonts w:ascii="Symbol" w:hAnsi="Symbol" w:hint="default"/>
        <w:b/>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04688D"/>
    <w:multiLevelType w:val="hybridMultilevel"/>
    <w:tmpl w:val="3F4C9E68"/>
    <w:lvl w:ilvl="0" w:tplc="68AADD34">
      <w:start w:val="1"/>
      <w:numFmt w:val="bullet"/>
      <w:lvlText w:val=""/>
      <w:lvlJc w:val="left"/>
      <w:pPr>
        <w:ind w:left="227" w:hanging="22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C5D161E"/>
    <w:multiLevelType w:val="hybridMultilevel"/>
    <w:tmpl w:val="6A5A5D42"/>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E1C3422"/>
    <w:multiLevelType w:val="hybridMultilevel"/>
    <w:tmpl w:val="035C5F54"/>
    <w:lvl w:ilvl="0" w:tplc="06E026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755574"/>
    <w:multiLevelType w:val="multilevel"/>
    <w:tmpl w:val="F168C3FC"/>
    <w:lvl w:ilvl="0">
      <w:start w:val="3"/>
      <w:numFmt w:val="decimal"/>
      <w:lvlText w:val="%1."/>
      <w:lvlJc w:val="left"/>
      <w:pPr>
        <w:ind w:left="360" w:hanging="360"/>
      </w:pPr>
      <w:rPr>
        <w:rFonts w:hint="default"/>
      </w:rPr>
    </w:lvl>
    <w:lvl w:ilvl="1">
      <w:start w:val="27"/>
      <w:numFmt w:val="decimal"/>
      <w:isLgl/>
      <w:lvlText w:val="%1.%2"/>
      <w:lvlJc w:val="left"/>
      <w:pPr>
        <w:ind w:left="502" w:hanging="360"/>
      </w:pPr>
      <w:rPr>
        <w:rFonts w:hint="default"/>
        <w:b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BC7105A"/>
    <w:multiLevelType w:val="hybridMultilevel"/>
    <w:tmpl w:val="5B3446F6"/>
    <w:lvl w:ilvl="0" w:tplc="B3426E2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9B0B28"/>
    <w:multiLevelType w:val="multilevel"/>
    <w:tmpl w:val="4A10C922"/>
    <w:lvl w:ilvl="0">
      <w:start w:val="1"/>
      <w:numFmt w:val="bullet"/>
      <w:lvlText w:val=""/>
      <w:lvlJc w:val="left"/>
      <w:pPr>
        <w:ind w:left="720" w:hanging="720"/>
      </w:pPr>
      <w:rPr>
        <w:rFonts w:ascii="Symbol" w:hAnsi="Symbol" w:hint="default"/>
        <w:b/>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4E543E7"/>
    <w:multiLevelType w:val="hybridMultilevel"/>
    <w:tmpl w:val="9C68BDDA"/>
    <w:lvl w:ilvl="0" w:tplc="1D1E61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4D033C"/>
    <w:multiLevelType w:val="multilevel"/>
    <w:tmpl w:val="CB2CDA50"/>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0"/>
  </w:num>
  <w:num w:numId="2" w16cid:durableId="957570559">
    <w:abstractNumId w:val="36"/>
  </w:num>
  <w:num w:numId="3" w16cid:durableId="1159004663">
    <w:abstractNumId w:val="27"/>
  </w:num>
  <w:num w:numId="4" w16cid:durableId="418600173">
    <w:abstractNumId w:val="37"/>
  </w:num>
  <w:num w:numId="5" w16cid:durableId="34236669">
    <w:abstractNumId w:val="33"/>
  </w:num>
  <w:num w:numId="6" w16cid:durableId="1279799443">
    <w:abstractNumId w:val="16"/>
  </w:num>
  <w:num w:numId="7" w16cid:durableId="495537779">
    <w:abstractNumId w:val="11"/>
  </w:num>
  <w:num w:numId="8" w16cid:durableId="1468400811">
    <w:abstractNumId w:val="0"/>
  </w:num>
  <w:num w:numId="9" w16cid:durableId="1915313393">
    <w:abstractNumId w:val="30"/>
  </w:num>
  <w:num w:numId="10" w16cid:durableId="1662348298">
    <w:abstractNumId w:val="15"/>
  </w:num>
  <w:num w:numId="11" w16cid:durableId="670838392">
    <w:abstractNumId w:val="34"/>
  </w:num>
  <w:num w:numId="12" w16cid:durableId="1103570019">
    <w:abstractNumId w:val="7"/>
  </w:num>
  <w:num w:numId="13" w16cid:durableId="2041346921">
    <w:abstractNumId w:val="36"/>
  </w:num>
  <w:num w:numId="14" w16cid:durableId="483663270">
    <w:abstractNumId w:val="5"/>
  </w:num>
  <w:num w:numId="15" w16cid:durableId="2101099834">
    <w:abstractNumId w:val="4"/>
  </w:num>
  <w:num w:numId="16" w16cid:durableId="152452748">
    <w:abstractNumId w:val="21"/>
  </w:num>
  <w:num w:numId="17" w16cid:durableId="934554348">
    <w:abstractNumId w:val="23"/>
  </w:num>
  <w:num w:numId="18" w16cid:durableId="228464062">
    <w:abstractNumId w:val="22"/>
  </w:num>
  <w:num w:numId="19" w16cid:durableId="880749451">
    <w:abstractNumId w:val="17"/>
  </w:num>
  <w:num w:numId="20" w16cid:durableId="198595233">
    <w:abstractNumId w:val="13"/>
  </w:num>
  <w:num w:numId="21" w16cid:durableId="1459059925">
    <w:abstractNumId w:val="25"/>
  </w:num>
  <w:num w:numId="22" w16cid:durableId="402916543">
    <w:abstractNumId w:val="20"/>
  </w:num>
  <w:num w:numId="23" w16cid:durableId="941110399">
    <w:abstractNumId w:val="8"/>
  </w:num>
  <w:num w:numId="24" w16cid:durableId="757097582">
    <w:abstractNumId w:val="3"/>
  </w:num>
  <w:num w:numId="25" w16cid:durableId="161092472">
    <w:abstractNumId w:val="36"/>
  </w:num>
  <w:num w:numId="26" w16cid:durableId="1519461214">
    <w:abstractNumId w:val="14"/>
  </w:num>
  <w:num w:numId="27" w16cid:durableId="812912176">
    <w:abstractNumId w:val="36"/>
  </w:num>
  <w:num w:numId="28" w16cid:durableId="92483849">
    <w:abstractNumId w:val="36"/>
  </w:num>
  <w:num w:numId="29" w16cid:durableId="387581834">
    <w:abstractNumId w:val="36"/>
  </w:num>
  <w:num w:numId="30" w16cid:durableId="1817725668">
    <w:abstractNumId w:val="12"/>
  </w:num>
  <w:num w:numId="31" w16cid:durableId="2093046732">
    <w:abstractNumId w:val="31"/>
  </w:num>
  <w:num w:numId="32" w16cid:durableId="16784755">
    <w:abstractNumId w:val="35"/>
  </w:num>
  <w:num w:numId="33" w16cid:durableId="1204905370">
    <w:abstractNumId w:val="28"/>
  </w:num>
  <w:num w:numId="34" w16cid:durableId="2021080111">
    <w:abstractNumId w:val="7"/>
  </w:num>
  <w:num w:numId="35" w16cid:durableId="1850752981">
    <w:abstractNumId w:val="7"/>
  </w:num>
  <w:num w:numId="36" w16cid:durableId="749734623">
    <w:abstractNumId w:val="18"/>
  </w:num>
  <w:num w:numId="37" w16cid:durableId="350647017">
    <w:abstractNumId w:val="36"/>
  </w:num>
  <w:num w:numId="38" w16cid:durableId="479006164">
    <w:abstractNumId w:val="32"/>
  </w:num>
  <w:num w:numId="39" w16cid:durableId="1677224992">
    <w:abstractNumId w:val="24"/>
  </w:num>
  <w:num w:numId="40" w16cid:durableId="228535525">
    <w:abstractNumId w:val="2"/>
  </w:num>
  <w:num w:numId="41" w16cid:durableId="1349410903">
    <w:abstractNumId w:val="36"/>
  </w:num>
  <w:num w:numId="42" w16cid:durableId="776146122">
    <w:abstractNumId w:val="36"/>
  </w:num>
  <w:num w:numId="43" w16cid:durableId="1442413650">
    <w:abstractNumId w:val="9"/>
  </w:num>
  <w:num w:numId="44" w16cid:durableId="727143445">
    <w:abstractNumId w:val="29"/>
  </w:num>
  <w:num w:numId="45" w16cid:durableId="1385715400">
    <w:abstractNumId w:val="36"/>
  </w:num>
  <w:num w:numId="46" w16cid:durableId="419840483">
    <w:abstractNumId w:val="36"/>
  </w:num>
  <w:num w:numId="47" w16cid:durableId="1933198601">
    <w:abstractNumId w:val="36"/>
  </w:num>
  <w:num w:numId="48" w16cid:durableId="1412197514">
    <w:abstractNumId w:val="36"/>
  </w:num>
  <w:num w:numId="49" w16cid:durableId="1911620841">
    <w:abstractNumId w:val="36"/>
  </w:num>
  <w:num w:numId="50" w16cid:durableId="922690342">
    <w:abstractNumId w:val="36"/>
  </w:num>
  <w:num w:numId="51" w16cid:durableId="1741177011">
    <w:abstractNumId w:val="26"/>
  </w:num>
  <w:num w:numId="52" w16cid:durableId="1515338131">
    <w:abstractNumId w:val="36"/>
  </w:num>
  <w:num w:numId="53" w16cid:durableId="1301231847">
    <w:abstractNumId w:val="6"/>
  </w:num>
  <w:num w:numId="54" w16cid:durableId="605160195">
    <w:abstractNumId w:val="36"/>
  </w:num>
  <w:num w:numId="55" w16cid:durableId="1501850334">
    <w:abstractNumId w:val="1"/>
  </w:num>
  <w:num w:numId="56" w16cid:durableId="57582634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333"/>
    <w:rsid w:val="0000080A"/>
    <w:rsid w:val="0000096D"/>
    <w:rsid w:val="000009BE"/>
    <w:rsid w:val="00000BDE"/>
    <w:rsid w:val="00001663"/>
    <w:rsid w:val="000025AD"/>
    <w:rsid w:val="0000322E"/>
    <w:rsid w:val="0000335D"/>
    <w:rsid w:val="00003646"/>
    <w:rsid w:val="00003EC5"/>
    <w:rsid w:val="00004A1C"/>
    <w:rsid w:val="0000538D"/>
    <w:rsid w:val="000056EE"/>
    <w:rsid w:val="00005A0C"/>
    <w:rsid w:val="00006782"/>
    <w:rsid w:val="00006927"/>
    <w:rsid w:val="00006D84"/>
    <w:rsid w:val="00006E63"/>
    <w:rsid w:val="00006F89"/>
    <w:rsid w:val="000070BF"/>
    <w:rsid w:val="00007192"/>
    <w:rsid w:val="0000747C"/>
    <w:rsid w:val="0001179A"/>
    <w:rsid w:val="00011834"/>
    <w:rsid w:val="00011A59"/>
    <w:rsid w:val="00011E4A"/>
    <w:rsid w:val="00012089"/>
    <w:rsid w:val="000128D4"/>
    <w:rsid w:val="00012F81"/>
    <w:rsid w:val="00013332"/>
    <w:rsid w:val="00013947"/>
    <w:rsid w:val="000149D2"/>
    <w:rsid w:val="00014D69"/>
    <w:rsid w:val="00015581"/>
    <w:rsid w:val="000165D9"/>
    <w:rsid w:val="00016A41"/>
    <w:rsid w:val="00016C97"/>
    <w:rsid w:val="00017358"/>
    <w:rsid w:val="0001767F"/>
    <w:rsid w:val="00017BFF"/>
    <w:rsid w:val="00020916"/>
    <w:rsid w:val="00020E27"/>
    <w:rsid w:val="0002103C"/>
    <w:rsid w:val="000211C2"/>
    <w:rsid w:val="000214D1"/>
    <w:rsid w:val="000216A8"/>
    <w:rsid w:val="00021E30"/>
    <w:rsid w:val="00021F20"/>
    <w:rsid w:val="00021FE6"/>
    <w:rsid w:val="000240A7"/>
    <w:rsid w:val="0002464A"/>
    <w:rsid w:val="000246E0"/>
    <w:rsid w:val="00025A04"/>
    <w:rsid w:val="00026159"/>
    <w:rsid w:val="0002693D"/>
    <w:rsid w:val="000272DC"/>
    <w:rsid w:val="00027A58"/>
    <w:rsid w:val="00027E5C"/>
    <w:rsid w:val="000302DD"/>
    <w:rsid w:val="0003040C"/>
    <w:rsid w:val="0003050E"/>
    <w:rsid w:val="0003106B"/>
    <w:rsid w:val="00032166"/>
    <w:rsid w:val="0003351B"/>
    <w:rsid w:val="000335B9"/>
    <w:rsid w:val="0003418A"/>
    <w:rsid w:val="00034905"/>
    <w:rsid w:val="000349EE"/>
    <w:rsid w:val="00035A5C"/>
    <w:rsid w:val="00035DF7"/>
    <w:rsid w:val="00036366"/>
    <w:rsid w:val="0003649A"/>
    <w:rsid w:val="000373CB"/>
    <w:rsid w:val="00037906"/>
    <w:rsid w:val="00040A30"/>
    <w:rsid w:val="00040F4D"/>
    <w:rsid w:val="000414C9"/>
    <w:rsid w:val="0004195F"/>
    <w:rsid w:val="000421A1"/>
    <w:rsid w:val="0004240E"/>
    <w:rsid w:val="000425A2"/>
    <w:rsid w:val="0004278D"/>
    <w:rsid w:val="00042BA7"/>
    <w:rsid w:val="00043FE3"/>
    <w:rsid w:val="00044E52"/>
    <w:rsid w:val="00044EC4"/>
    <w:rsid w:val="000455D1"/>
    <w:rsid w:val="00045E26"/>
    <w:rsid w:val="00046107"/>
    <w:rsid w:val="000462F4"/>
    <w:rsid w:val="00046903"/>
    <w:rsid w:val="00046B19"/>
    <w:rsid w:val="000471CB"/>
    <w:rsid w:val="00047247"/>
    <w:rsid w:val="00047E3F"/>
    <w:rsid w:val="000504BC"/>
    <w:rsid w:val="00050A2C"/>
    <w:rsid w:val="00050E13"/>
    <w:rsid w:val="000514B5"/>
    <w:rsid w:val="000521ED"/>
    <w:rsid w:val="00052E8A"/>
    <w:rsid w:val="0005322E"/>
    <w:rsid w:val="0005373A"/>
    <w:rsid w:val="00053AFE"/>
    <w:rsid w:val="000546CF"/>
    <w:rsid w:val="00054E2B"/>
    <w:rsid w:val="000558F4"/>
    <w:rsid w:val="00055A8E"/>
    <w:rsid w:val="00056B84"/>
    <w:rsid w:val="000572DD"/>
    <w:rsid w:val="00060208"/>
    <w:rsid w:val="00060CB7"/>
    <w:rsid w:val="00060E64"/>
    <w:rsid w:val="000621AB"/>
    <w:rsid w:val="00062C03"/>
    <w:rsid w:val="00062E88"/>
    <w:rsid w:val="00064A29"/>
    <w:rsid w:val="00064EB6"/>
    <w:rsid w:val="000650C3"/>
    <w:rsid w:val="00066193"/>
    <w:rsid w:val="0006635A"/>
    <w:rsid w:val="00066755"/>
    <w:rsid w:val="000670CB"/>
    <w:rsid w:val="000671DF"/>
    <w:rsid w:val="000673F8"/>
    <w:rsid w:val="0006765F"/>
    <w:rsid w:val="00071482"/>
    <w:rsid w:val="00071A5B"/>
    <w:rsid w:val="00072730"/>
    <w:rsid w:val="0007337F"/>
    <w:rsid w:val="00073E0C"/>
    <w:rsid w:val="00074320"/>
    <w:rsid w:val="0007524D"/>
    <w:rsid w:val="00075A6C"/>
    <w:rsid w:val="000763D5"/>
    <w:rsid w:val="00076AC2"/>
    <w:rsid w:val="00076C38"/>
    <w:rsid w:val="00077143"/>
    <w:rsid w:val="00077DF7"/>
    <w:rsid w:val="00077E05"/>
    <w:rsid w:val="0008022C"/>
    <w:rsid w:val="0008050C"/>
    <w:rsid w:val="000809E7"/>
    <w:rsid w:val="000810D6"/>
    <w:rsid w:val="0008159A"/>
    <w:rsid w:val="00081777"/>
    <w:rsid w:val="00082169"/>
    <w:rsid w:val="000834BE"/>
    <w:rsid w:val="00083892"/>
    <w:rsid w:val="00083F01"/>
    <w:rsid w:val="0008400A"/>
    <w:rsid w:val="000849CF"/>
    <w:rsid w:val="00085382"/>
    <w:rsid w:val="00085ED6"/>
    <w:rsid w:val="000865EF"/>
    <w:rsid w:val="00087C4C"/>
    <w:rsid w:val="00087E15"/>
    <w:rsid w:val="000908EE"/>
    <w:rsid w:val="00091451"/>
    <w:rsid w:val="000918CB"/>
    <w:rsid w:val="0009194C"/>
    <w:rsid w:val="00091B06"/>
    <w:rsid w:val="00091CF2"/>
    <w:rsid w:val="00091F4B"/>
    <w:rsid w:val="00093670"/>
    <w:rsid w:val="00093BEA"/>
    <w:rsid w:val="0009412A"/>
    <w:rsid w:val="00094CC0"/>
    <w:rsid w:val="000951C4"/>
    <w:rsid w:val="00095ADA"/>
    <w:rsid w:val="00095E69"/>
    <w:rsid w:val="00095F3A"/>
    <w:rsid w:val="000969AD"/>
    <w:rsid w:val="00096A95"/>
    <w:rsid w:val="00096CE3"/>
    <w:rsid w:val="000975FB"/>
    <w:rsid w:val="00097830"/>
    <w:rsid w:val="000A02F8"/>
    <w:rsid w:val="000A0428"/>
    <w:rsid w:val="000A10CA"/>
    <w:rsid w:val="000A274C"/>
    <w:rsid w:val="000A316A"/>
    <w:rsid w:val="000A3AA2"/>
    <w:rsid w:val="000A422F"/>
    <w:rsid w:val="000A42EF"/>
    <w:rsid w:val="000A44B2"/>
    <w:rsid w:val="000A4CE3"/>
    <w:rsid w:val="000A4F88"/>
    <w:rsid w:val="000A52F6"/>
    <w:rsid w:val="000A58B8"/>
    <w:rsid w:val="000A707F"/>
    <w:rsid w:val="000A7106"/>
    <w:rsid w:val="000A78B8"/>
    <w:rsid w:val="000A7A71"/>
    <w:rsid w:val="000B083B"/>
    <w:rsid w:val="000B09DA"/>
    <w:rsid w:val="000B1C82"/>
    <w:rsid w:val="000B363F"/>
    <w:rsid w:val="000B3BED"/>
    <w:rsid w:val="000B3FD9"/>
    <w:rsid w:val="000B44C3"/>
    <w:rsid w:val="000B479F"/>
    <w:rsid w:val="000B5039"/>
    <w:rsid w:val="000B558D"/>
    <w:rsid w:val="000B5A89"/>
    <w:rsid w:val="000B65F6"/>
    <w:rsid w:val="000B6A3C"/>
    <w:rsid w:val="000B7767"/>
    <w:rsid w:val="000C05D6"/>
    <w:rsid w:val="000C0B5F"/>
    <w:rsid w:val="000C0DA5"/>
    <w:rsid w:val="000C1AFF"/>
    <w:rsid w:val="000C1D87"/>
    <w:rsid w:val="000C2BE0"/>
    <w:rsid w:val="000C3591"/>
    <w:rsid w:val="000C3B92"/>
    <w:rsid w:val="000C3FCF"/>
    <w:rsid w:val="000C4221"/>
    <w:rsid w:val="000C4798"/>
    <w:rsid w:val="000C4E9F"/>
    <w:rsid w:val="000C566B"/>
    <w:rsid w:val="000C5740"/>
    <w:rsid w:val="000C5F95"/>
    <w:rsid w:val="000C6996"/>
    <w:rsid w:val="000C6F27"/>
    <w:rsid w:val="000C7026"/>
    <w:rsid w:val="000C70CC"/>
    <w:rsid w:val="000C7385"/>
    <w:rsid w:val="000C78CD"/>
    <w:rsid w:val="000C7B50"/>
    <w:rsid w:val="000C7B7F"/>
    <w:rsid w:val="000C7C46"/>
    <w:rsid w:val="000D01FF"/>
    <w:rsid w:val="000D09E9"/>
    <w:rsid w:val="000D0F12"/>
    <w:rsid w:val="000D113F"/>
    <w:rsid w:val="000D11F6"/>
    <w:rsid w:val="000D135F"/>
    <w:rsid w:val="000D23BA"/>
    <w:rsid w:val="000D23E4"/>
    <w:rsid w:val="000D3110"/>
    <w:rsid w:val="000D369E"/>
    <w:rsid w:val="000D4134"/>
    <w:rsid w:val="000D49F1"/>
    <w:rsid w:val="000D4A3A"/>
    <w:rsid w:val="000D4B44"/>
    <w:rsid w:val="000D4E9E"/>
    <w:rsid w:val="000D4F18"/>
    <w:rsid w:val="000D7881"/>
    <w:rsid w:val="000D7AC9"/>
    <w:rsid w:val="000D7B5E"/>
    <w:rsid w:val="000D7C6F"/>
    <w:rsid w:val="000D7D4F"/>
    <w:rsid w:val="000D7E10"/>
    <w:rsid w:val="000E060F"/>
    <w:rsid w:val="000E0FFA"/>
    <w:rsid w:val="000E1848"/>
    <w:rsid w:val="000E18BF"/>
    <w:rsid w:val="000E19B7"/>
    <w:rsid w:val="000E1C03"/>
    <w:rsid w:val="000E1D0B"/>
    <w:rsid w:val="000E20FC"/>
    <w:rsid w:val="000E284D"/>
    <w:rsid w:val="000E30DB"/>
    <w:rsid w:val="000E3168"/>
    <w:rsid w:val="000E3C1D"/>
    <w:rsid w:val="000E3DFB"/>
    <w:rsid w:val="000E42C8"/>
    <w:rsid w:val="000E48E4"/>
    <w:rsid w:val="000E4DEC"/>
    <w:rsid w:val="000E5EA1"/>
    <w:rsid w:val="000E6518"/>
    <w:rsid w:val="000E6539"/>
    <w:rsid w:val="000E681E"/>
    <w:rsid w:val="000E696B"/>
    <w:rsid w:val="000E7E52"/>
    <w:rsid w:val="000E7E90"/>
    <w:rsid w:val="000EE1C7"/>
    <w:rsid w:val="000F0003"/>
    <w:rsid w:val="000F00A0"/>
    <w:rsid w:val="000F0560"/>
    <w:rsid w:val="000F0962"/>
    <w:rsid w:val="000F0CF3"/>
    <w:rsid w:val="000F12C5"/>
    <w:rsid w:val="000F1894"/>
    <w:rsid w:val="000F24B9"/>
    <w:rsid w:val="000F286C"/>
    <w:rsid w:val="000F3384"/>
    <w:rsid w:val="000F3438"/>
    <w:rsid w:val="000F38E1"/>
    <w:rsid w:val="000F41EC"/>
    <w:rsid w:val="000F4561"/>
    <w:rsid w:val="000F4D6B"/>
    <w:rsid w:val="000F4E6A"/>
    <w:rsid w:val="000F635D"/>
    <w:rsid w:val="000F6877"/>
    <w:rsid w:val="000F6ABB"/>
    <w:rsid w:val="000F7354"/>
    <w:rsid w:val="000F7689"/>
    <w:rsid w:val="000F7C27"/>
    <w:rsid w:val="001005BF"/>
    <w:rsid w:val="00100D1A"/>
    <w:rsid w:val="00101AAB"/>
    <w:rsid w:val="00101ABE"/>
    <w:rsid w:val="00101E02"/>
    <w:rsid w:val="00101E27"/>
    <w:rsid w:val="00102202"/>
    <w:rsid w:val="001026AA"/>
    <w:rsid w:val="00102700"/>
    <w:rsid w:val="00102A78"/>
    <w:rsid w:val="00103118"/>
    <w:rsid w:val="00103A6E"/>
    <w:rsid w:val="00103F1B"/>
    <w:rsid w:val="00104227"/>
    <w:rsid w:val="00104258"/>
    <w:rsid w:val="00104826"/>
    <w:rsid w:val="001053D5"/>
    <w:rsid w:val="001064AE"/>
    <w:rsid w:val="00106CAA"/>
    <w:rsid w:val="00107409"/>
    <w:rsid w:val="00107672"/>
    <w:rsid w:val="00110591"/>
    <w:rsid w:val="001107BF"/>
    <w:rsid w:val="00110A2D"/>
    <w:rsid w:val="00111F92"/>
    <w:rsid w:val="00112CB0"/>
    <w:rsid w:val="00113649"/>
    <w:rsid w:val="00113D5C"/>
    <w:rsid w:val="0011439A"/>
    <w:rsid w:val="001152C9"/>
    <w:rsid w:val="00115949"/>
    <w:rsid w:val="00115B61"/>
    <w:rsid w:val="00116148"/>
    <w:rsid w:val="00116B03"/>
    <w:rsid w:val="00117053"/>
    <w:rsid w:val="00117EF8"/>
    <w:rsid w:val="00120AA6"/>
    <w:rsid w:val="001215A6"/>
    <w:rsid w:val="00121BC0"/>
    <w:rsid w:val="00121D0B"/>
    <w:rsid w:val="00121E84"/>
    <w:rsid w:val="00122FB4"/>
    <w:rsid w:val="001239DB"/>
    <w:rsid w:val="0012417C"/>
    <w:rsid w:val="00124284"/>
    <w:rsid w:val="00124335"/>
    <w:rsid w:val="001249B7"/>
    <w:rsid w:val="00124BF2"/>
    <w:rsid w:val="001251DE"/>
    <w:rsid w:val="00125837"/>
    <w:rsid w:val="0012597F"/>
    <w:rsid w:val="00126B19"/>
    <w:rsid w:val="00126D3A"/>
    <w:rsid w:val="0012749D"/>
    <w:rsid w:val="001275D8"/>
    <w:rsid w:val="001278E6"/>
    <w:rsid w:val="00127A23"/>
    <w:rsid w:val="001306A5"/>
    <w:rsid w:val="00130918"/>
    <w:rsid w:val="00130EB5"/>
    <w:rsid w:val="00130F52"/>
    <w:rsid w:val="001311AE"/>
    <w:rsid w:val="00131282"/>
    <w:rsid w:val="001312E0"/>
    <w:rsid w:val="00132AB9"/>
    <w:rsid w:val="001332CF"/>
    <w:rsid w:val="001339A5"/>
    <w:rsid w:val="00134994"/>
    <w:rsid w:val="001350C3"/>
    <w:rsid w:val="00135748"/>
    <w:rsid w:val="00135D0E"/>
    <w:rsid w:val="00135D68"/>
    <w:rsid w:val="0013632D"/>
    <w:rsid w:val="001366C2"/>
    <w:rsid w:val="00136C17"/>
    <w:rsid w:val="00137C41"/>
    <w:rsid w:val="00137FAD"/>
    <w:rsid w:val="0014076C"/>
    <w:rsid w:val="001408F8"/>
    <w:rsid w:val="00140B74"/>
    <w:rsid w:val="00140CFC"/>
    <w:rsid w:val="00140D94"/>
    <w:rsid w:val="00141EAD"/>
    <w:rsid w:val="00142395"/>
    <w:rsid w:val="0014250D"/>
    <w:rsid w:val="00142714"/>
    <w:rsid w:val="001433C8"/>
    <w:rsid w:val="001435CA"/>
    <w:rsid w:val="00144D09"/>
    <w:rsid w:val="00144E06"/>
    <w:rsid w:val="001452ED"/>
    <w:rsid w:val="00145410"/>
    <w:rsid w:val="0014563F"/>
    <w:rsid w:val="00145C89"/>
    <w:rsid w:val="00145EA4"/>
    <w:rsid w:val="00146027"/>
    <w:rsid w:val="00147D84"/>
    <w:rsid w:val="001508A9"/>
    <w:rsid w:val="00150B30"/>
    <w:rsid w:val="00151BBA"/>
    <w:rsid w:val="00151CBD"/>
    <w:rsid w:val="00152462"/>
    <w:rsid w:val="00152A6C"/>
    <w:rsid w:val="00153009"/>
    <w:rsid w:val="001533C3"/>
    <w:rsid w:val="00154090"/>
    <w:rsid w:val="00154290"/>
    <w:rsid w:val="001542C1"/>
    <w:rsid w:val="0015463B"/>
    <w:rsid w:val="001549C1"/>
    <w:rsid w:val="00155492"/>
    <w:rsid w:val="00155EAF"/>
    <w:rsid w:val="00156C8D"/>
    <w:rsid w:val="0015743E"/>
    <w:rsid w:val="00160838"/>
    <w:rsid w:val="00160F4D"/>
    <w:rsid w:val="001610BC"/>
    <w:rsid w:val="001614A1"/>
    <w:rsid w:val="00161A99"/>
    <w:rsid w:val="00162805"/>
    <w:rsid w:val="00162BDD"/>
    <w:rsid w:val="00162C7E"/>
    <w:rsid w:val="00162D4E"/>
    <w:rsid w:val="00163329"/>
    <w:rsid w:val="00163447"/>
    <w:rsid w:val="00164049"/>
    <w:rsid w:val="00164623"/>
    <w:rsid w:val="00164702"/>
    <w:rsid w:val="0016511C"/>
    <w:rsid w:val="001652DE"/>
    <w:rsid w:val="001653EC"/>
    <w:rsid w:val="00165751"/>
    <w:rsid w:val="00165B64"/>
    <w:rsid w:val="00165E2A"/>
    <w:rsid w:val="001661F3"/>
    <w:rsid w:val="001665EC"/>
    <w:rsid w:val="001669D5"/>
    <w:rsid w:val="00166F9F"/>
    <w:rsid w:val="00166FF2"/>
    <w:rsid w:val="00167663"/>
    <w:rsid w:val="00167C39"/>
    <w:rsid w:val="00170C4D"/>
    <w:rsid w:val="00171018"/>
    <w:rsid w:val="0017237F"/>
    <w:rsid w:val="00172B75"/>
    <w:rsid w:val="00173202"/>
    <w:rsid w:val="00174EB8"/>
    <w:rsid w:val="001752CB"/>
    <w:rsid w:val="001756CB"/>
    <w:rsid w:val="00175787"/>
    <w:rsid w:val="0017635D"/>
    <w:rsid w:val="00176667"/>
    <w:rsid w:val="00176B9D"/>
    <w:rsid w:val="001770B9"/>
    <w:rsid w:val="001772BB"/>
    <w:rsid w:val="00180713"/>
    <w:rsid w:val="00180720"/>
    <w:rsid w:val="0018082A"/>
    <w:rsid w:val="00180C25"/>
    <w:rsid w:val="00181F73"/>
    <w:rsid w:val="00182317"/>
    <w:rsid w:val="0018258A"/>
    <w:rsid w:val="00182C23"/>
    <w:rsid w:val="00182EA0"/>
    <w:rsid w:val="001830CE"/>
    <w:rsid w:val="001836E3"/>
    <w:rsid w:val="0018438A"/>
    <w:rsid w:val="00184659"/>
    <w:rsid w:val="001846F3"/>
    <w:rsid w:val="00185797"/>
    <w:rsid w:val="001860E5"/>
    <w:rsid w:val="0018643B"/>
    <w:rsid w:val="001869A0"/>
    <w:rsid w:val="00186EA5"/>
    <w:rsid w:val="001900A0"/>
    <w:rsid w:val="001902F9"/>
    <w:rsid w:val="00190F7D"/>
    <w:rsid w:val="0019224E"/>
    <w:rsid w:val="00193E3B"/>
    <w:rsid w:val="00194FF7"/>
    <w:rsid w:val="00195445"/>
    <w:rsid w:val="00196307"/>
    <w:rsid w:val="001971D8"/>
    <w:rsid w:val="00197C70"/>
    <w:rsid w:val="00197F03"/>
    <w:rsid w:val="001A014E"/>
    <w:rsid w:val="001A0D10"/>
    <w:rsid w:val="001A16F1"/>
    <w:rsid w:val="001A33EA"/>
    <w:rsid w:val="001A3615"/>
    <w:rsid w:val="001A3B1D"/>
    <w:rsid w:val="001A4413"/>
    <w:rsid w:val="001A462B"/>
    <w:rsid w:val="001A48C0"/>
    <w:rsid w:val="001A4C4F"/>
    <w:rsid w:val="001A5A2B"/>
    <w:rsid w:val="001A6DCB"/>
    <w:rsid w:val="001A6E12"/>
    <w:rsid w:val="001A76FB"/>
    <w:rsid w:val="001A791B"/>
    <w:rsid w:val="001A7D0D"/>
    <w:rsid w:val="001A7F22"/>
    <w:rsid w:val="001B017F"/>
    <w:rsid w:val="001B0B79"/>
    <w:rsid w:val="001B19BD"/>
    <w:rsid w:val="001B19EA"/>
    <w:rsid w:val="001B2BBC"/>
    <w:rsid w:val="001B2BCD"/>
    <w:rsid w:val="001B3A40"/>
    <w:rsid w:val="001B3B97"/>
    <w:rsid w:val="001B3ECD"/>
    <w:rsid w:val="001B3FFE"/>
    <w:rsid w:val="001B4216"/>
    <w:rsid w:val="001B5129"/>
    <w:rsid w:val="001B61F4"/>
    <w:rsid w:val="001B63BA"/>
    <w:rsid w:val="001B6784"/>
    <w:rsid w:val="001B6DA7"/>
    <w:rsid w:val="001B7FC2"/>
    <w:rsid w:val="001B7FD5"/>
    <w:rsid w:val="001C0B27"/>
    <w:rsid w:val="001C0B4C"/>
    <w:rsid w:val="001C0EC4"/>
    <w:rsid w:val="001C1195"/>
    <w:rsid w:val="001C1282"/>
    <w:rsid w:val="001C12AE"/>
    <w:rsid w:val="001C1E84"/>
    <w:rsid w:val="001C20E1"/>
    <w:rsid w:val="001C25EA"/>
    <w:rsid w:val="001C2A0F"/>
    <w:rsid w:val="001C2E11"/>
    <w:rsid w:val="001C2E42"/>
    <w:rsid w:val="001C3113"/>
    <w:rsid w:val="001C3475"/>
    <w:rsid w:val="001C426F"/>
    <w:rsid w:val="001C42E1"/>
    <w:rsid w:val="001C4BFE"/>
    <w:rsid w:val="001C4CE1"/>
    <w:rsid w:val="001C639B"/>
    <w:rsid w:val="001C6880"/>
    <w:rsid w:val="001C69BC"/>
    <w:rsid w:val="001C6DB2"/>
    <w:rsid w:val="001D062A"/>
    <w:rsid w:val="001D11D1"/>
    <w:rsid w:val="001D1B2A"/>
    <w:rsid w:val="001D1F5F"/>
    <w:rsid w:val="001D2BD7"/>
    <w:rsid w:val="001D3270"/>
    <w:rsid w:val="001D3A7F"/>
    <w:rsid w:val="001D3A8C"/>
    <w:rsid w:val="001D52C4"/>
    <w:rsid w:val="001D533A"/>
    <w:rsid w:val="001D595B"/>
    <w:rsid w:val="001D65DA"/>
    <w:rsid w:val="001D6922"/>
    <w:rsid w:val="001D6EF0"/>
    <w:rsid w:val="001D75A0"/>
    <w:rsid w:val="001D75F9"/>
    <w:rsid w:val="001D7BE3"/>
    <w:rsid w:val="001D7DDA"/>
    <w:rsid w:val="001E02E9"/>
    <w:rsid w:val="001E06D2"/>
    <w:rsid w:val="001E17C4"/>
    <w:rsid w:val="001E1C2E"/>
    <w:rsid w:val="001E2A47"/>
    <w:rsid w:val="001E2D65"/>
    <w:rsid w:val="001E37E0"/>
    <w:rsid w:val="001E4318"/>
    <w:rsid w:val="001E4EE2"/>
    <w:rsid w:val="001E50F6"/>
    <w:rsid w:val="001E58E8"/>
    <w:rsid w:val="001F005B"/>
    <w:rsid w:val="001F0266"/>
    <w:rsid w:val="001F0A4A"/>
    <w:rsid w:val="001F0FC8"/>
    <w:rsid w:val="001F1850"/>
    <w:rsid w:val="001F1B12"/>
    <w:rsid w:val="001F1FBF"/>
    <w:rsid w:val="001F2311"/>
    <w:rsid w:val="001F2B80"/>
    <w:rsid w:val="001F2F1C"/>
    <w:rsid w:val="001F3189"/>
    <w:rsid w:val="001F4685"/>
    <w:rsid w:val="001F571A"/>
    <w:rsid w:val="001F5855"/>
    <w:rsid w:val="001F5E29"/>
    <w:rsid w:val="001F65F3"/>
    <w:rsid w:val="001F6B7E"/>
    <w:rsid w:val="001F6F55"/>
    <w:rsid w:val="001F7058"/>
    <w:rsid w:val="001F714B"/>
    <w:rsid w:val="001F75DC"/>
    <w:rsid w:val="002005C8"/>
    <w:rsid w:val="00200BEA"/>
    <w:rsid w:val="00201FB8"/>
    <w:rsid w:val="002032F6"/>
    <w:rsid w:val="00203FAC"/>
    <w:rsid w:val="00204B7E"/>
    <w:rsid w:val="00204E81"/>
    <w:rsid w:val="0020667E"/>
    <w:rsid w:val="00207485"/>
    <w:rsid w:val="00207746"/>
    <w:rsid w:val="00211097"/>
    <w:rsid w:val="00211DEA"/>
    <w:rsid w:val="002132F5"/>
    <w:rsid w:val="002133FB"/>
    <w:rsid w:val="00213CFB"/>
    <w:rsid w:val="00214DD4"/>
    <w:rsid w:val="00214F86"/>
    <w:rsid w:val="0021553C"/>
    <w:rsid w:val="0021557B"/>
    <w:rsid w:val="00216548"/>
    <w:rsid w:val="00216B87"/>
    <w:rsid w:val="002174A9"/>
    <w:rsid w:val="002174D1"/>
    <w:rsid w:val="002174FD"/>
    <w:rsid w:val="00217736"/>
    <w:rsid w:val="00217B9D"/>
    <w:rsid w:val="00217BE1"/>
    <w:rsid w:val="002206D5"/>
    <w:rsid w:val="00220EA9"/>
    <w:rsid w:val="00221361"/>
    <w:rsid w:val="00221465"/>
    <w:rsid w:val="002214B9"/>
    <w:rsid w:val="00222680"/>
    <w:rsid w:val="00223370"/>
    <w:rsid w:val="00223686"/>
    <w:rsid w:val="00224D1E"/>
    <w:rsid w:val="00226611"/>
    <w:rsid w:val="00227123"/>
    <w:rsid w:val="002274C4"/>
    <w:rsid w:val="00227BC5"/>
    <w:rsid w:val="00230F63"/>
    <w:rsid w:val="0023172E"/>
    <w:rsid w:val="00232B1B"/>
    <w:rsid w:val="00232F62"/>
    <w:rsid w:val="0023346A"/>
    <w:rsid w:val="00234252"/>
    <w:rsid w:val="0023466E"/>
    <w:rsid w:val="00236F20"/>
    <w:rsid w:val="0023712C"/>
    <w:rsid w:val="002375B1"/>
    <w:rsid w:val="00237AC6"/>
    <w:rsid w:val="002418D5"/>
    <w:rsid w:val="002418F0"/>
    <w:rsid w:val="00241FD2"/>
    <w:rsid w:val="00242173"/>
    <w:rsid w:val="002422F2"/>
    <w:rsid w:val="00242349"/>
    <w:rsid w:val="00242927"/>
    <w:rsid w:val="00242B64"/>
    <w:rsid w:val="00242BFD"/>
    <w:rsid w:val="00243B8B"/>
    <w:rsid w:val="00243CFC"/>
    <w:rsid w:val="00244139"/>
    <w:rsid w:val="002441E6"/>
    <w:rsid w:val="00244490"/>
    <w:rsid w:val="00244BEC"/>
    <w:rsid w:val="00245444"/>
    <w:rsid w:val="00245B9C"/>
    <w:rsid w:val="00245E12"/>
    <w:rsid w:val="00247435"/>
    <w:rsid w:val="0025078C"/>
    <w:rsid w:val="00250874"/>
    <w:rsid w:val="0025129C"/>
    <w:rsid w:val="0025160B"/>
    <w:rsid w:val="00251B85"/>
    <w:rsid w:val="00252579"/>
    <w:rsid w:val="00252587"/>
    <w:rsid w:val="002526D4"/>
    <w:rsid w:val="00252836"/>
    <w:rsid w:val="00253499"/>
    <w:rsid w:val="002551A4"/>
    <w:rsid w:val="00255234"/>
    <w:rsid w:val="00257664"/>
    <w:rsid w:val="00257AC3"/>
    <w:rsid w:val="00257D6F"/>
    <w:rsid w:val="00260165"/>
    <w:rsid w:val="0026035F"/>
    <w:rsid w:val="00260C3E"/>
    <w:rsid w:val="00260DF7"/>
    <w:rsid w:val="002620DC"/>
    <w:rsid w:val="0026241B"/>
    <w:rsid w:val="00262BF4"/>
    <w:rsid w:val="00263152"/>
    <w:rsid w:val="00263475"/>
    <w:rsid w:val="002635C5"/>
    <w:rsid w:val="0026374A"/>
    <w:rsid w:val="00263803"/>
    <w:rsid w:val="00264313"/>
    <w:rsid w:val="00264465"/>
    <w:rsid w:val="00265151"/>
    <w:rsid w:val="00265158"/>
    <w:rsid w:val="00265C2C"/>
    <w:rsid w:val="00266509"/>
    <w:rsid w:val="00267098"/>
    <w:rsid w:val="00267332"/>
    <w:rsid w:val="00267C2F"/>
    <w:rsid w:val="00270720"/>
    <w:rsid w:val="00271004"/>
    <w:rsid w:val="00271BA1"/>
    <w:rsid w:val="00271ECB"/>
    <w:rsid w:val="0027261F"/>
    <w:rsid w:val="00272BEA"/>
    <w:rsid w:val="00272DE5"/>
    <w:rsid w:val="002734E8"/>
    <w:rsid w:val="00273550"/>
    <w:rsid w:val="002735AE"/>
    <w:rsid w:val="00273AC5"/>
    <w:rsid w:val="0027589B"/>
    <w:rsid w:val="00275FC3"/>
    <w:rsid w:val="002762FA"/>
    <w:rsid w:val="002764D7"/>
    <w:rsid w:val="00276622"/>
    <w:rsid w:val="00276630"/>
    <w:rsid w:val="00276A09"/>
    <w:rsid w:val="00276A0B"/>
    <w:rsid w:val="00276B76"/>
    <w:rsid w:val="00276BE3"/>
    <w:rsid w:val="00276E68"/>
    <w:rsid w:val="00277505"/>
    <w:rsid w:val="002775F0"/>
    <w:rsid w:val="00277873"/>
    <w:rsid w:val="00277C96"/>
    <w:rsid w:val="00277E7B"/>
    <w:rsid w:val="00280D8A"/>
    <w:rsid w:val="00280FC3"/>
    <w:rsid w:val="0028158C"/>
    <w:rsid w:val="002823B6"/>
    <w:rsid w:val="00283105"/>
    <w:rsid w:val="002832B8"/>
    <w:rsid w:val="00284DEE"/>
    <w:rsid w:val="00285BA3"/>
    <w:rsid w:val="0028602B"/>
    <w:rsid w:val="00286E7B"/>
    <w:rsid w:val="00290968"/>
    <w:rsid w:val="00290C03"/>
    <w:rsid w:val="00290D15"/>
    <w:rsid w:val="002912EA"/>
    <w:rsid w:val="00291576"/>
    <w:rsid w:val="0029196C"/>
    <w:rsid w:val="002919B8"/>
    <w:rsid w:val="002920C8"/>
    <w:rsid w:val="00292392"/>
    <w:rsid w:val="002923EE"/>
    <w:rsid w:val="00292A8A"/>
    <w:rsid w:val="00292E3B"/>
    <w:rsid w:val="002933A8"/>
    <w:rsid w:val="00293971"/>
    <w:rsid w:val="00293AE9"/>
    <w:rsid w:val="0029404F"/>
    <w:rsid w:val="00294274"/>
    <w:rsid w:val="00294310"/>
    <w:rsid w:val="0029434D"/>
    <w:rsid w:val="0029458F"/>
    <w:rsid w:val="002949ED"/>
    <w:rsid w:val="00295D04"/>
    <w:rsid w:val="002960F3"/>
    <w:rsid w:val="0029622A"/>
    <w:rsid w:val="002962B3"/>
    <w:rsid w:val="0029720F"/>
    <w:rsid w:val="00297A63"/>
    <w:rsid w:val="002A018F"/>
    <w:rsid w:val="002A01A1"/>
    <w:rsid w:val="002A0247"/>
    <w:rsid w:val="002A058A"/>
    <w:rsid w:val="002A0E04"/>
    <w:rsid w:val="002A104C"/>
    <w:rsid w:val="002A1D6E"/>
    <w:rsid w:val="002A1EF7"/>
    <w:rsid w:val="002A2B7B"/>
    <w:rsid w:val="002A42A8"/>
    <w:rsid w:val="002A4648"/>
    <w:rsid w:val="002A494D"/>
    <w:rsid w:val="002A4960"/>
    <w:rsid w:val="002A49D2"/>
    <w:rsid w:val="002A57B4"/>
    <w:rsid w:val="002A5890"/>
    <w:rsid w:val="002A5977"/>
    <w:rsid w:val="002A6264"/>
    <w:rsid w:val="002A636A"/>
    <w:rsid w:val="002A64B0"/>
    <w:rsid w:val="002A73E0"/>
    <w:rsid w:val="002A755F"/>
    <w:rsid w:val="002A7CCC"/>
    <w:rsid w:val="002B02D0"/>
    <w:rsid w:val="002B0AE0"/>
    <w:rsid w:val="002B0B2B"/>
    <w:rsid w:val="002B1701"/>
    <w:rsid w:val="002B1919"/>
    <w:rsid w:val="002B1AE6"/>
    <w:rsid w:val="002B1D51"/>
    <w:rsid w:val="002B25B2"/>
    <w:rsid w:val="002B2DE8"/>
    <w:rsid w:val="002B30F8"/>
    <w:rsid w:val="002B388A"/>
    <w:rsid w:val="002B39D3"/>
    <w:rsid w:val="002B3BFE"/>
    <w:rsid w:val="002B3C1A"/>
    <w:rsid w:val="002B419F"/>
    <w:rsid w:val="002B4C2A"/>
    <w:rsid w:val="002B5596"/>
    <w:rsid w:val="002B5831"/>
    <w:rsid w:val="002B5C05"/>
    <w:rsid w:val="002B5EDD"/>
    <w:rsid w:val="002B6722"/>
    <w:rsid w:val="002B77D7"/>
    <w:rsid w:val="002C0763"/>
    <w:rsid w:val="002C0E4B"/>
    <w:rsid w:val="002C1826"/>
    <w:rsid w:val="002C1BC5"/>
    <w:rsid w:val="002C202D"/>
    <w:rsid w:val="002C212F"/>
    <w:rsid w:val="002C286D"/>
    <w:rsid w:val="002C2F35"/>
    <w:rsid w:val="002C2F74"/>
    <w:rsid w:val="002C4CE8"/>
    <w:rsid w:val="002C4DBF"/>
    <w:rsid w:val="002C5850"/>
    <w:rsid w:val="002C5A9E"/>
    <w:rsid w:val="002C6580"/>
    <w:rsid w:val="002C67C3"/>
    <w:rsid w:val="002C6AA9"/>
    <w:rsid w:val="002C6E81"/>
    <w:rsid w:val="002C7485"/>
    <w:rsid w:val="002C7E0E"/>
    <w:rsid w:val="002D0510"/>
    <w:rsid w:val="002D0646"/>
    <w:rsid w:val="002D2641"/>
    <w:rsid w:val="002D2668"/>
    <w:rsid w:val="002D283A"/>
    <w:rsid w:val="002D29F4"/>
    <w:rsid w:val="002D336D"/>
    <w:rsid w:val="002D3510"/>
    <w:rsid w:val="002D39F3"/>
    <w:rsid w:val="002D4184"/>
    <w:rsid w:val="002D44E8"/>
    <w:rsid w:val="002D4543"/>
    <w:rsid w:val="002D538A"/>
    <w:rsid w:val="002D5E73"/>
    <w:rsid w:val="002D5F9E"/>
    <w:rsid w:val="002D6DE9"/>
    <w:rsid w:val="002D715F"/>
    <w:rsid w:val="002D7276"/>
    <w:rsid w:val="002D7687"/>
    <w:rsid w:val="002D7723"/>
    <w:rsid w:val="002E022A"/>
    <w:rsid w:val="002E1A4B"/>
    <w:rsid w:val="002E1D8F"/>
    <w:rsid w:val="002E2E29"/>
    <w:rsid w:val="002E3153"/>
    <w:rsid w:val="002E3353"/>
    <w:rsid w:val="002E3438"/>
    <w:rsid w:val="002E37F3"/>
    <w:rsid w:val="002E3FAE"/>
    <w:rsid w:val="002E3FD4"/>
    <w:rsid w:val="002E439E"/>
    <w:rsid w:val="002E4A02"/>
    <w:rsid w:val="002E4B8E"/>
    <w:rsid w:val="002E5292"/>
    <w:rsid w:val="002E5E08"/>
    <w:rsid w:val="002E650F"/>
    <w:rsid w:val="002E6CFE"/>
    <w:rsid w:val="002E6DA1"/>
    <w:rsid w:val="002E6F49"/>
    <w:rsid w:val="002E72CA"/>
    <w:rsid w:val="002E75DD"/>
    <w:rsid w:val="002E7CEE"/>
    <w:rsid w:val="002E7F38"/>
    <w:rsid w:val="002F10F4"/>
    <w:rsid w:val="002F1D07"/>
    <w:rsid w:val="002F3833"/>
    <w:rsid w:val="002F3B46"/>
    <w:rsid w:val="002F4D37"/>
    <w:rsid w:val="002F4F99"/>
    <w:rsid w:val="002F56B8"/>
    <w:rsid w:val="002F5C5B"/>
    <w:rsid w:val="002F600D"/>
    <w:rsid w:val="002F67FC"/>
    <w:rsid w:val="002F6BF1"/>
    <w:rsid w:val="002F6F0F"/>
    <w:rsid w:val="002F7E47"/>
    <w:rsid w:val="00300AD6"/>
    <w:rsid w:val="00300B1B"/>
    <w:rsid w:val="00301301"/>
    <w:rsid w:val="0030174C"/>
    <w:rsid w:val="003019D0"/>
    <w:rsid w:val="003019DE"/>
    <w:rsid w:val="00301E5A"/>
    <w:rsid w:val="00302CC3"/>
    <w:rsid w:val="00302D61"/>
    <w:rsid w:val="0030311E"/>
    <w:rsid w:val="00303CFE"/>
    <w:rsid w:val="00304AE0"/>
    <w:rsid w:val="00304D5E"/>
    <w:rsid w:val="00304E56"/>
    <w:rsid w:val="003052B4"/>
    <w:rsid w:val="00305FDB"/>
    <w:rsid w:val="003064AF"/>
    <w:rsid w:val="0030714E"/>
    <w:rsid w:val="00307212"/>
    <w:rsid w:val="0030752A"/>
    <w:rsid w:val="0030792A"/>
    <w:rsid w:val="00307DC6"/>
    <w:rsid w:val="0031004B"/>
    <w:rsid w:val="003108AF"/>
    <w:rsid w:val="00310A8B"/>
    <w:rsid w:val="00310B68"/>
    <w:rsid w:val="00313A5F"/>
    <w:rsid w:val="00314151"/>
    <w:rsid w:val="00314D0D"/>
    <w:rsid w:val="003160D2"/>
    <w:rsid w:val="0031682D"/>
    <w:rsid w:val="003173FC"/>
    <w:rsid w:val="00317C6C"/>
    <w:rsid w:val="00320B80"/>
    <w:rsid w:val="00320CD3"/>
    <w:rsid w:val="003211BB"/>
    <w:rsid w:val="003215FF"/>
    <w:rsid w:val="00322667"/>
    <w:rsid w:val="0032364C"/>
    <w:rsid w:val="00325835"/>
    <w:rsid w:val="00325E37"/>
    <w:rsid w:val="0032607C"/>
    <w:rsid w:val="00326375"/>
    <w:rsid w:val="00326666"/>
    <w:rsid w:val="00326818"/>
    <w:rsid w:val="00326E79"/>
    <w:rsid w:val="00327130"/>
    <w:rsid w:val="0032748A"/>
    <w:rsid w:val="0032793B"/>
    <w:rsid w:val="003301B1"/>
    <w:rsid w:val="003306A8"/>
    <w:rsid w:val="00330C4D"/>
    <w:rsid w:val="00330CF2"/>
    <w:rsid w:val="00331000"/>
    <w:rsid w:val="00331189"/>
    <w:rsid w:val="003314AD"/>
    <w:rsid w:val="00331715"/>
    <w:rsid w:val="00331A09"/>
    <w:rsid w:val="0033263D"/>
    <w:rsid w:val="003329A3"/>
    <w:rsid w:val="00332BE6"/>
    <w:rsid w:val="00334E69"/>
    <w:rsid w:val="0033518A"/>
    <w:rsid w:val="00335535"/>
    <w:rsid w:val="00336655"/>
    <w:rsid w:val="003367EF"/>
    <w:rsid w:val="003410E4"/>
    <w:rsid w:val="00341AE4"/>
    <w:rsid w:val="003422AA"/>
    <w:rsid w:val="003425CA"/>
    <w:rsid w:val="00342776"/>
    <w:rsid w:val="00342A94"/>
    <w:rsid w:val="003433EC"/>
    <w:rsid w:val="00343FB7"/>
    <w:rsid w:val="0034406A"/>
    <w:rsid w:val="0034487F"/>
    <w:rsid w:val="00345FBC"/>
    <w:rsid w:val="0034636E"/>
    <w:rsid w:val="00347308"/>
    <w:rsid w:val="003476EE"/>
    <w:rsid w:val="00347897"/>
    <w:rsid w:val="00350329"/>
    <w:rsid w:val="003506FF"/>
    <w:rsid w:val="00350CD3"/>
    <w:rsid w:val="00351789"/>
    <w:rsid w:val="003531FB"/>
    <w:rsid w:val="003541DC"/>
    <w:rsid w:val="003541DD"/>
    <w:rsid w:val="00355E63"/>
    <w:rsid w:val="003565C1"/>
    <w:rsid w:val="00356E5B"/>
    <w:rsid w:val="003604F9"/>
    <w:rsid w:val="00360536"/>
    <w:rsid w:val="00360887"/>
    <w:rsid w:val="00360F93"/>
    <w:rsid w:val="00361246"/>
    <w:rsid w:val="00361DFA"/>
    <w:rsid w:val="0036249F"/>
    <w:rsid w:val="00362958"/>
    <w:rsid w:val="00363724"/>
    <w:rsid w:val="00365D6F"/>
    <w:rsid w:val="0036718C"/>
    <w:rsid w:val="00367F2A"/>
    <w:rsid w:val="00371246"/>
    <w:rsid w:val="00371687"/>
    <w:rsid w:val="003727FA"/>
    <w:rsid w:val="00372DF4"/>
    <w:rsid w:val="003736C9"/>
    <w:rsid w:val="0037554B"/>
    <w:rsid w:val="00376331"/>
    <w:rsid w:val="00376A5A"/>
    <w:rsid w:val="00377107"/>
    <w:rsid w:val="0038007F"/>
    <w:rsid w:val="0038076E"/>
    <w:rsid w:val="00380995"/>
    <w:rsid w:val="00380E4B"/>
    <w:rsid w:val="003812D4"/>
    <w:rsid w:val="00381AA5"/>
    <w:rsid w:val="00381F58"/>
    <w:rsid w:val="0038343A"/>
    <w:rsid w:val="00383973"/>
    <w:rsid w:val="00383B77"/>
    <w:rsid w:val="00384835"/>
    <w:rsid w:val="00384988"/>
    <w:rsid w:val="00384AE0"/>
    <w:rsid w:val="00387128"/>
    <w:rsid w:val="003872CF"/>
    <w:rsid w:val="003874CB"/>
    <w:rsid w:val="00387F85"/>
    <w:rsid w:val="00390901"/>
    <w:rsid w:val="0039137E"/>
    <w:rsid w:val="00391ADC"/>
    <w:rsid w:val="0039236F"/>
    <w:rsid w:val="00392F61"/>
    <w:rsid w:val="003930B4"/>
    <w:rsid w:val="0039342A"/>
    <w:rsid w:val="003956F8"/>
    <w:rsid w:val="0039570D"/>
    <w:rsid w:val="0039599A"/>
    <w:rsid w:val="00395C87"/>
    <w:rsid w:val="00396E08"/>
    <w:rsid w:val="003970DD"/>
    <w:rsid w:val="0039782C"/>
    <w:rsid w:val="00397A61"/>
    <w:rsid w:val="00397B24"/>
    <w:rsid w:val="00397F98"/>
    <w:rsid w:val="003A053F"/>
    <w:rsid w:val="003A0F7E"/>
    <w:rsid w:val="003A13A6"/>
    <w:rsid w:val="003A2165"/>
    <w:rsid w:val="003A2551"/>
    <w:rsid w:val="003A2C1A"/>
    <w:rsid w:val="003A34FC"/>
    <w:rsid w:val="003A3AF3"/>
    <w:rsid w:val="003A3BD2"/>
    <w:rsid w:val="003A3FD4"/>
    <w:rsid w:val="003A417B"/>
    <w:rsid w:val="003A4340"/>
    <w:rsid w:val="003A47EF"/>
    <w:rsid w:val="003A586A"/>
    <w:rsid w:val="003A5B4A"/>
    <w:rsid w:val="003A5D95"/>
    <w:rsid w:val="003A6510"/>
    <w:rsid w:val="003A69D5"/>
    <w:rsid w:val="003A74E2"/>
    <w:rsid w:val="003B0C8E"/>
    <w:rsid w:val="003B0D3A"/>
    <w:rsid w:val="003B1358"/>
    <w:rsid w:val="003B2302"/>
    <w:rsid w:val="003B23C5"/>
    <w:rsid w:val="003B291C"/>
    <w:rsid w:val="003B2A75"/>
    <w:rsid w:val="003B353A"/>
    <w:rsid w:val="003B49B2"/>
    <w:rsid w:val="003B4E76"/>
    <w:rsid w:val="003B5FCB"/>
    <w:rsid w:val="003B6124"/>
    <w:rsid w:val="003B6426"/>
    <w:rsid w:val="003B7960"/>
    <w:rsid w:val="003B79A3"/>
    <w:rsid w:val="003C0021"/>
    <w:rsid w:val="003C0095"/>
    <w:rsid w:val="003C027D"/>
    <w:rsid w:val="003C0734"/>
    <w:rsid w:val="003C0908"/>
    <w:rsid w:val="003C093A"/>
    <w:rsid w:val="003C1647"/>
    <w:rsid w:val="003C1ECF"/>
    <w:rsid w:val="003C1EDA"/>
    <w:rsid w:val="003C2BF1"/>
    <w:rsid w:val="003C2FB5"/>
    <w:rsid w:val="003C380E"/>
    <w:rsid w:val="003C470B"/>
    <w:rsid w:val="003C6608"/>
    <w:rsid w:val="003C6B8B"/>
    <w:rsid w:val="003C7297"/>
    <w:rsid w:val="003C78DD"/>
    <w:rsid w:val="003C7A74"/>
    <w:rsid w:val="003D0BAC"/>
    <w:rsid w:val="003D19C0"/>
    <w:rsid w:val="003D1A2D"/>
    <w:rsid w:val="003D1A6A"/>
    <w:rsid w:val="003D24C5"/>
    <w:rsid w:val="003D2F24"/>
    <w:rsid w:val="003D32CF"/>
    <w:rsid w:val="003D36D7"/>
    <w:rsid w:val="003D3713"/>
    <w:rsid w:val="003D3994"/>
    <w:rsid w:val="003D3B91"/>
    <w:rsid w:val="003D40C1"/>
    <w:rsid w:val="003D4594"/>
    <w:rsid w:val="003D462C"/>
    <w:rsid w:val="003D4AC4"/>
    <w:rsid w:val="003D4DAB"/>
    <w:rsid w:val="003D5433"/>
    <w:rsid w:val="003D5EBD"/>
    <w:rsid w:val="003D63B7"/>
    <w:rsid w:val="003D6467"/>
    <w:rsid w:val="003D656B"/>
    <w:rsid w:val="003D74C5"/>
    <w:rsid w:val="003E0F19"/>
    <w:rsid w:val="003E3D03"/>
    <w:rsid w:val="003E4374"/>
    <w:rsid w:val="003E468B"/>
    <w:rsid w:val="003E4971"/>
    <w:rsid w:val="003E4BAF"/>
    <w:rsid w:val="003E5A44"/>
    <w:rsid w:val="003E5A8D"/>
    <w:rsid w:val="003E60EB"/>
    <w:rsid w:val="003E62BD"/>
    <w:rsid w:val="003E64DB"/>
    <w:rsid w:val="003E658D"/>
    <w:rsid w:val="003E6CB7"/>
    <w:rsid w:val="003F044F"/>
    <w:rsid w:val="003F07B7"/>
    <w:rsid w:val="003F0BED"/>
    <w:rsid w:val="003F0C3A"/>
    <w:rsid w:val="003F15F0"/>
    <w:rsid w:val="003F1F52"/>
    <w:rsid w:val="003F2AD9"/>
    <w:rsid w:val="003F2DC1"/>
    <w:rsid w:val="003F2EE3"/>
    <w:rsid w:val="003F3228"/>
    <w:rsid w:val="003F3593"/>
    <w:rsid w:val="003F3AF8"/>
    <w:rsid w:val="003F5BAF"/>
    <w:rsid w:val="003F5C8C"/>
    <w:rsid w:val="003F6291"/>
    <w:rsid w:val="003F63CE"/>
    <w:rsid w:val="003F6CF6"/>
    <w:rsid w:val="003F6D35"/>
    <w:rsid w:val="003F6F2D"/>
    <w:rsid w:val="003F71F0"/>
    <w:rsid w:val="003F775A"/>
    <w:rsid w:val="0040000D"/>
    <w:rsid w:val="00400042"/>
    <w:rsid w:val="00400357"/>
    <w:rsid w:val="00400578"/>
    <w:rsid w:val="00400E4A"/>
    <w:rsid w:val="00400E55"/>
    <w:rsid w:val="0040128E"/>
    <w:rsid w:val="00401318"/>
    <w:rsid w:val="00401640"/>
    <w:rsid w:val="00401A3D"/>
    <w:rsid w:val="0040216B"/>
    <w:rsid w:val="00402AC7"/>
    <w:rsid w:val="0040333A"/>
    <w:rsid w:val="00404658"/>
    <w:rsid w:val="00404852"/>
    <w:rsid w:val="00405299"/>
    <w:rsid w:val="0040590E"/>
    <w:rsid w:val="00405A68"/>
    <w:rsid w:val="004077E6"/>
    <w:rsid w:val="00407CC8"/>
    <w:rsid w:val="00407E8B"/>
    <w:rsid w:val="00411BE5"/>
    <w:rsid w:val="00411D3A"/>
    <w:rsid w:val="00413E4B"/>
    <w:rsid w:val="0041472D"/>
    <w:rsid w:val="004148C9"/>
    <w:rsid w:val="00414F0C"/>
    <w:rsid w:val="004150D9"/>
    <w:rsid w:val="0041516B"/>
    <w:rsid w:val="00415EF5"/>
    <w:rsid w:val="0041679A"/>
    <w:rsid w:val="00417703"/>
    <w:rsid w:val="00420358"/>
    <w:rsid w:val="00420400"/>
    <w:rsid w:val="00423E78"/>
    <w:rsid w:val="00424097"/>
    <w:rsid w:val="004252EC"/>
    <w:rsid w:val="00425AFD"/>
    <w:rsid w:val="004274AC"/>
    <w:rsid w:val="0042775C"/>
    <w:rsid w:val="00430D2B"/>
    <w:rsid w:val="00430D36"/>
    <w:rsid w:val="00430D39"/>
    <w:rsid w:val="0043155B"/>
    <w:rsid w:val="00432015"/>
    <w:rsid w:val="004320CA"/>
    <w:rsid w:val="00432279"/>
    <w:rsid w:val="004323AA"/>
    <w:rsid w:val="00432EBF"/>
    <w:rsid w:val="004346CF"/>
    <w:rsid w:val="00434C95"/>
    <w:rsid w:val="00434D6B"/>
    <w:rsid w:val="00435EDE"/>
    <w:rsid w:val="00436930"/>
    <w:rsid w:val="00437558"/>
    <w:rsid w:val="00437594"/>
    <w:rsid w:val="00437A2B"/>
    <w:rsid w:val="0044199B"/>
    <w:rsid w:val="00442B61"/>
    <w:rsid w:val="00442C91"/>
    <w:rsid w:val="00443162"/>
    <w:rsid w:val="004434E6"/>
    <w:rsid w:val="00444602"/>
    <w:rsid w:val="004446B9"/>
    <w:rsid w:val="00444D73"/>
    <w:rsid w:val="00444E9D"/>
    <w:rsid w:val="00445ADB"/>
    <w:rsid w:val="00445C87"/>
    <w:rsid w:val="004465BD"/>
    <w:rsid w:val="00446938"/>
    <w:rsid w:val="00446E91"/>
    <w:rsid w:val="004475DC"/>
    <w:rsid w:val="00451783"/>
    <w:rsid w:val="00451D55"/>
    <w:rsid w:val="00451DDF"/>
    <w:rsid w:val="00452610"/>
    <w:rsid w:val="0045275E"/>
    <w:rsid w:val="004528FA"/>
    <w:rsid w:val="00452A6C"/>
    <w:rsid w:val="00453A24"/>
    <w:rsid w:val="00454436"/>
    <w:rsid w:val="004551CA"/>
    <w:rsid w:val="00457A04"/>
    <w:rsid w:val="00457EEF"/>
    <w:rsid w:val="0046000A"/>
    <w:rsid w:val="00460920"/>
    <w:rsid w:val="00461A44"/>
    <w:rsid w:val="00461B7A"/>
    <w:rsid w:val="00462165"/>
    <w:rsid w:val="00462D26"/>
    <w:rsid w:val="0046368B"/>
    <w:rsid w:val="0046385A"/>
    <w:rsid w:val="004639CD"/>
    <w:rsid w:val="00463B50"/>
    <w:rsid w:val="00464039"/>
    <w:rsid w:val="00464072"/>
    <w:rsid w:val="00464811"/>
    <w:rsid w:val="0046523D"/>
    <w:rsid w:val="0046640D"/>
    <w:rsid w:val="00466ADA"/>
    <w:rsid w:val="00466BA6"/>
    <w:rsid w:val="00466DD4"/>
    <w:rsid w:val="00466E5A"/>
    <w:rsid w:val="0046737B"/>
    <w:rsid w:val="00467ADC"/>
    <w:rsid w:val="00467C32"/>
    <w:rsid w:val="00470218"/>
    <w:rsid w:val="004702BB"/>
    <w:rsid w:val="004710D6"/>
    <w:rsid w:val="0047211D"/>
    <w:rsid w:val="00472399"/>
    <w:rsid w:val="004729D0"/>
    <w:rsid w:val="00473102"/>
    <w:rsid w:val="0047494B"/>
    <w:rsid w:val="00474CF9"/>
    <w:rsid w:val="00475C48"/>
    <w:rsid w:val="00475D6B"/>
    <w:rsid w:val="004760BE"/>
    <w:rsid w:val="00476245"/>
    <w:rsid w:val="00476509"/>
    <w:rsid w:val="00476799"/>
    <w:rsid w:val="004773C4"/>
    <w:rsid w:val="00477A9B"/>
    <w:rsid w:val="00480445"/>
    <w:rsid w:val="00480CFA"/>
    <w:rsid w:val="00481F52"/>
    <w:rsid w:val="004828BF"/>
    <w:rsid w:val="00482AE4"/>
    <w:rsid w:val="00482B03"/>
    <w:rsid w:val="00483035"/>
    <w:rsid w:val="00483394"/>
    <w:rsid w:val="00483D6B"/>
    <w:rsid w:val="00485583"/>
    <w:rsid w:val="00485940"/>
    <w:rsid w:val="00486C95"/>
    <w:rsid w:val="004877C2"/>
    <w:rsid w:val="00487AB3"/>
    <w:rsid w:val="004904B9"/>
    <w:rsid w:val="00490C19"/>
    <w:rsid w:val="00491D70"/>
    <w:rsid w:val="00491EDC"/>
    <w:rsid w:val="004925AC"/>
    <w:rsid w:val="004928E1"/>
    <w:rsid w:val="00492D8D"/>
    <w:rsid w:val="00494084"/>
    <w:rsid w:val="0049562B"/>
    <w:rsid w:val="00495B8A"/>
    <w:rsid w:val="00496662"/>
    <w:rsid w:val="00496E1A"/>
    <w:rsid w:val="0049774C"/>
    <w:rsid w:val="004A074C"/>
    <w:rsid w:val="004A118C"/>
    <w:rsid w:val="004A1431"/>
    <w:rsid w:val="004A1866"/>
    <w:rsid w:val="004A1AB6"/>
    <w:rsid w:val="004A2484"/>
    <w:rsid w:val="004A2D3E"/>
    <w:rsid w:val="004A3710"/>
    <w:rsid w:val="004A378E"/>
    <w:rsid w:val="004A3922"/>
    <w:rsid w:val="004A5828"/>
    <w:rsid w:val="004A59F1"/>
    <w:rsid w:val="004A5A85"/>
    <w:rsid w:val="004A5A94"/>
    <w:rsid w:val="004A608A"/>
    <w:rsid w:val="004A6E8B"/>
    <w:rsid w:val="004A71D1"/>
    <w:rsid w:val="004A7BD7"/>
    <w:rsid w:val="004A7C5B"/>
    <w:rsid w:val="004A7E72"/>
    <w:rsid w:val="004B0AA8"/>
    <w:rsid w:val="004B120A"/>
    <w:rsid w:val="004B171D"/>
    <w:rsid w:val="004B1845"/>
    <w:rsid w:val="004B1902"/>
    <w:rsid w:val="004B2348"/>
    <w:rsid w:val="004B2E01"/>
    <w:rsid w:val="004B2E98"/>
    <w:rsid w:val="004B4322"/>
    <w:rsid w:val="004B4E61"/>
    <w:rsid w:val="004B4EB0"/>
    <w:rsid w:val="004B5640"/>
    <w:rsid w:val="004B5E85"/>
    <w:rsid w:val="004B6084"/>
    <w:rsid w:val="004B6CD8"/>
    <w:rsid w:val="004B743B"/>
    <w:rsid w:val="004BCF29"/>
    <w:rsid w:val="004C0206"/>
    <w:rsid w:val="004C03D0"/>
    <w:rsid w:val="004C143E"/>
    <w:rsid w:val="004C1BD7"/>
    <w:rsid w:val="004C1BF2"/>
    <w:rsid w:val="004C1C28"/>
    <w:rsid w:val="004C1D1F"/>
    <w:rsid w:val="004C1FF7"/>
    <w:rsid w:val="004C239C"/>
    <w:rsid w:val="004C31FE"/>
    <w:rsid w:val="004C32DA"/>
    <w:rsid w:val="004C37CF"/>
    <w:rsid w:val="004C3BED"/>
    <w:rsid w:val="004C3F08"/>
    <w:rsid w:val="004C4587"/>
    <w:rsid w:val="004C524C"/>
    <w:rsid w:val="004C5C7A"/>
    <w:rsid w:val="004C5EDD"/>
    <w:rsid w:val="004C5FFA"/>
    <w:rsid w:val="004C691D"/>
    <w:rsid w:val="004C6C07"/>
    <w:rsid w:val="004C6E2D"/>
    <w:rsid w:val="004C7E15"/>
    <w:rsid w:val="004C7EC6"/>
    <w:rsid w:val="004D1E86"/>
    <w:rsid w:val="004D2582"/>
    <w:rsid w:val="004D2CD1"/>
    <w:rsid w:val="004D2CF5"/>
    <w:rsid w:val="004D365C"/>
    <w:rsid w:val="004D4FF6"/>
    <w:rsid w:val="004D5ADD"/>
    <w:rsid w:val="004D5D4E"/>
    <w:rsid w:val="004D602A"/>
    <w:rsid w:val="004D6BE6"/>
    <w:rsid w:val="004D6E4C"/>
    <w:rsid w:val="004D7480"/>
    <w:rsid w:val="004D752A"/>
    <w:rsid w:val="004D7AAC"/>
    <w:rsid w:val="004E0CC3"/>
    <w:rsid w:val="004E2A58"/>
    <w:rsid w:val="004E2D87"/>
    <w:rsid w:val="004E36EC"/>
    <w:rsid w:val="004E3BC3"/>
    <w:rsid w:val="004E4010"/>
    <w:rsid w:val="004E5642"/>
    <w:rsid w:val="004E6257"/>
    <w:rsid w:val="004E63CF"/>
    <w:rsid w:val="004E692D"/>
    <w:rsid w:val="004E7230"/>
    <w:rsid w:val="004E7D87"/>
    <w:rsid w:val="004F0C01"/>
    <w:rsid w:val="004F1852"/>
    <w:rsid w:val="004F20A3"/>
    <w:rsid w:val="004F2553"/>
    <w:rsid w:val="004F306A"/>
    <w:rsid w:val="004F38F6"/>
    <w:rsid w:val="004F3BEA"/>
    <w:rsid w:val="004F3E84"/>
    <w:rsid w:val="004F5192"/>
    <w:rsid w:val="004F531A"/>
    <w:rsid w:val="004F5570"/>
    <w:rsid w:val="004F57D1"/>
    <w:rsid w:val="004F66FB"/>
    <w:rsid w:val="004F6B5F"/>
    <w:rsid w:val="004F6F12"/>
    <w:rsid w:val="004F791D"/>
    <w:rsid w:val="005009B3"/>
    <w:rsid w:val="00501024"/>
    <w:rsid w:val="00501554"/>
    <w:rsid w:val="00501C81"/>
    <w:rsid w:val="00502936"/>
    <w:rsid w:val="00502AFE"/>
    <w:rsid w:val="00502E37"/>
    <w:rsid w:val="00502E64"/>
    <w:rsid w:val="00503AD7"/>
    <w:rsid w:val="00503D1F"/>
    <w:rsid w:val="00503E89"/>
    <w:rsid w:val="00504239"/>
    <w:rsid w:val="00504E0C"/>
    <w:rsid w:val="00504E13"/>
    <w:rsid w:val="00505779"/>
    <w:rsid w:val="00505ACA"/>
    <w:rsid w:val="00505AED"/>
    <w:rsid w:val="00505C84"/>
    <w:rsid w:val="00506149"/>
    <w:rsid w:val="00506822"/>
    <w:rsid w:val="00506BAC"/>
    <w:rsid w:val="00506E52"/>
    <w:rsid w:val="00506F67"/>
    <w:rsid w:val="00507633"/>
    <w:rsid w:val="0050772B"/>
    <w:rsid w:val="00510762"/>
    <w:rsid w:val="005109D4"/>
    <w:rsid w:val="00510D54"/>
    <w:rsid w:val="0051230A"/>
    <w:rsid w:val="005125EC"/>
    <w:rsid w:val="00512FAE"/>
    <w:rsid w:val="005137EF"/>
    <w:rsid w:val="00513FA1"/>
    <w:rsid w:val="00513FAF"/>
    <w:rsid w:val="005145A7"/>
    <w:rsid w:val="00514CD7"/>
    <w:rsid w:val="00516028"/>
    <w:rsid w:val="005160ED"/>
    <w:rsid w:val="005167EC"/>
    <w:rsid w:val="00516920"/>
    <w:rsid w:val="005170DA"/>
    <w:rsid w:val="005174F3"/>
    <w:rsid w:val="00517DA0"/>
    <w:rsid w:val="00520512"/>
    <w:rsid w:val="00520D6A"/>
    <w:rsid w:val="00522445"/>
    <w:rsid w:val="00522DB6"/>
    <w:rsid w:val="0052364F"/>
    <w:rsid w:val="00523D97"/>
    <w:rsid w:val="00524457"/>
    <w:rsid w:val="005248E1"/>
    <w:rsid w:val="00524BC6"/>
    <w:rsid w:val="00525926"/>
    <w:rsid w:val="0052604B"/>
    <w:rsid w:val="005260B4"/>
    <w:rsid w:val="005263E7"/>
    <w:rsid w:val="005264A7"/>
    <w:rsid w:val="00527340"/>
    <w:rsid w:val="0052778D"/>
    <w:rsid w:val="0052792D"/>
    <w:rsid w:val="00527F71"/>
    <w:rsid w:val="0053010F"/>
    <w:rsid w:val="005303C6"/>
    <w:rsid w:val="005306A0"/>
    <w:rsid w:val="0053099E"/>
    <w:rsid w:val="00530DB0"/>
    <w:rsid w:val="0053195F"/>
    <w:rsid w:val="005319B2"/>
    <w:rsid w:val="00532402"/>
    <w:rsid w:val="00532769"/>
    <w:rsid w:val="005327FC"/>
    <w:rsid w:val="00532C74"/>
    <w:rsid w:val="00532E83"/>
    <w:rsid w:val="0053311D"/>
    <w:rsid w:val="0053319E"/>
    <w:rsid w:val="00533239"/>
    <w:rsid w:val="005333FB"/>
    <w:rsid w:val="00533D3B"/>
    <w:rsid w:val="0053405C"/>
    <w:rsid w:val="00534530"/>
    <w:rsid w:val="00534E2E"/>
    <w:rsid w:val="00535133"/>
    <w:rsid w:val="0053695C"/>
    <w:rsid w:val="00537E84"/>
    <w:rsid w:val="00540412"/>
    <w:rsid w:val="0054064C"/>
    <w:rsid w:val="00541B72"/>
    <w:rsid w:val="00541E2B"/>
    <w:rsid w:val="00542BBA"/>
    <w:rsid w:val="00544552"/>
    <w:rsid w:val="00544A2E"/>
    <w:rsid w:val="00544AE4"/>
    <w:rsid w:val="00544CAE"/>
    <w:rsid w:val="00544CAF"/>
    <w:rsid w:val="00545130"/>
    <w:rsid w:val="005462D9"/>
    <w:rsid w:val="00546A1D"/>
    <w:rsid w:val="00546B36"/>
    <w:rsid w:val="00546B93"/>
    <w:rsid w:val="00546CFF"/>
    <w:rsid w:val="0054725D"/>
    <w:rsid w:val="00547F33"/>
    <w:rsid w:val="00552777"/>
    <w:rsid w:val="0055286A"/>
    <w:rsid w:val="0055333A"/>
    <w:rsid w:val="005543A8"/>
    <w:rsid w:val="005543AD"/>
    <w:rsid w:val="0055510A"/>
    <w:rsid w:val="00555745"/>
    <w:rsid w:val="005557C9"/>
    <w:rsid w:val="005572E6"/>
    <w:rsid w:val="00557A0C"/>
    <w:rsid w:val="00557D4F"/>
    <w:rsid w:val="0056122E"/>
    <w:rsid w:val="005614DD"/>
    <w:rsid w:val="00561938"/>
    <w:rsid w:val="0056230E"/>
    <w:rsid w:val="00563352"/>
    <w:rsid w:val="00563AAE"/>
    <w:rsid w:val="0056437E"/>
    <w:rsid w:val="0056484E"/>
    <w:rsid w:val="00564DFE"/>
    <w:rsid w:val="00565347"/>
    <w:rsid w:val="00565911"/>
    <w:rsid w:val="00565999"/>
    <w:rsid w:val="00565FEC"/>
    <w:rsid w:val="00566EFB"/>
    <w:rsid w:val="00567D8A"/>
    <w:rsid w:val="00567FC8"/>
    <w:rsid w:val="00570231"/>
    <w:rsid w:val="005703E5"/>
    <w:rsid w:val="005714B7"/>
    <w:rsid w:val="005724C7"/>
    <w:rsid w:val="005725EB"/>
    <w:rsid w:val="005737A8"/>
    <w:rsid w:val="00573D5F"/>
    <w:rsid w:val="0057410C"/>
    <w:rsid w:val="00574492"/>
    <w:rsid w:val="005750E9"/>
    <w:rsid w:val="005755C8"/>
    <w:rsid w:val="005764CD"/>
    <w:rsid w:val="0057703E"/>
    <w:rsid w:val="005777CC"/>
    <w:rsid w:val="00577C4D"/>
    <w:rsid w:val="0058048C"/>
    <w:rsid w:val="00580532"/>
    <w:rsid w:val="00580E1E"/>
    <w:rsid w:val="00581932"/>
    <w:rsid w:val="00582833"/>
    <w:rsid w:val="00583002"/>
    <w:rsid w:val="005835BF"/>
    <w:rsid w:val="00583C13"/>
    <w:rsid w:val="005856E2"/>
    <w:rsid w:val="00585E36"/>
    <w:rsid w:val="005879A5"/>
    <w:rsid w:val="005903BB"/>
    <w:rsid w:val="00590CD7"/>
    <w:rsid w:val="00591570"/>
    <w:rsid w:val="00593893"/>
    <w:rsid w:val="005939D5"/>
    <w:rsid w:val="005963BB"/>
    <w:rsid w:val="0059645C"/>
    <w:rsid w:val="00596D37"/>
    <w:rsid w:val="00596D7F"/>
    <w:rsid w:val="00597DA3"/>
    <w:rsid w:val="00597EF1"/>
    <w:rsid w:val="005A10D8"/>
    <w:rsid w:val="005A15D2"/>
    <w:rsid w:val="005A2F6F"/>
    <w:rsid w:val="005A3173"/>
    <w:rsid w:val="005A3223"/>
    <w:rsid w:val="005A3DA3"/>
    <w:rsid w:val="005A52C4"/>
    <w:rsid w:val="005A59B3"/>
    <w:rsid w:val="005A63A1"/>
    <w:rsid w:val="005B01B1"/>
    <w:rsid w:val="005B0486"/>
    <w:rsid w:val="005B1032"/>
    <w:rsid w:val="005B1256"/>
    <w:rsid w:val="005B1473"/>
    <w:rsid w:val="005B14AE"/>
    <w:rsid w:val="005B1EBC"/>
    <w:rsid w:val="005B235C"/>
    <w:rsid w:val="005B275A"/>
    <w:rsid w:val="005B36FA"/>
    <w:rsid w:val="005B3F64"/>
    <w:rsid w:val="005B4646"/>
    <w:rsid w:val="005B5651"/>
    <w:rsid w:val="005B5B0E"/>
    <w:rsid w:val="005B61F2"/>
    <w:rsid w:val="005B6BE4"/>
    <w:rsid w:val="005B7385"/>
    <w:rsid w:val="005B7E00"/>
    <w:rsid w:val="005C0834"/>
    <w:rsid w:val="005C1468"/>
    <w:rsid w:val="005C1A1D"/>
    <w:rsid w:val="005C2E3B"/>
    <w:rsid w:val="005C32F8"/>
    <w:rsid w:val="005C3A4C"/>
    <w:rsid w:val="005C4530"/>
    <w:rsid w:val="005C4543"/>
    <w:rsid w:val="005C45F8"/>
    <w:rsid w:val="005C4F73"/>
    <w:rsid w:val="005C50D9"/>
    <w:rsid w:val="005C50DC"/>
    <w:rsid w:val="005C51D5"/>
    <w:rsid w:val="005C5A55"/>
    <w:rsid w:val="005C6721"/>
    <w:rsid w:val="005C757C"/>
    <w:rsid w:val="005D03AB"/>
    <w:rsid w:val="005D0A1C"/>
    <w:rsid w:val="005D10E1"/>
    <w:rsid w:val="005D11A7"/>
    <w:rsid w:val="005D2447"/>
    <w:rsid w:val="005D2A90"/>
    <w:rsid w:val="005D32F7"/>
    <w:rsid w:val="005D38CD"/>
    <w:rsid w:val="005D401D"/>
    <w:rsid w:val="005D4746"/>
    <w:rsid w:val="005D49A0"/>
    <w:rsid w:val="005D5017"/>
    <w:rsid w:val="005D5639"/>
    <w:rsid w:val="005D5708"/>
    <w:rsid w:val="005D5E17"/>
    <w:rsid w:val="005D63FA"/>
    <w:rsid w:val="005D643D"/>
    <w:rsid w:val="005D7215"/>
    <w:rsid w:val="005D73C7"/>
    <w:rsid w:val="005D7908"/>
    <w:rsid w:val="005D7C0C"/>
    <w:rsid w:val="005E0050"/>
    <w:rsid w:val="005E0128"/>
    <w:rsid w:val="005E0C2D"/>
    <w:rsid w:val="005E0D82"/>
    <w:rsid w:val="005E0F59"/>
    <w:rsid w:val="005E1333"/>
    <w:rsid w:val="005E14CF"/>
    <w:rsid w:val="005E26B3"/>
    <w:rsid w:val="005E271A"/>
    <w:rsid w:val="005E27D2"/>
    <w:rsid w:val="005E3136"/>
    <w:rsid w:val="005E3809"/>
    <w:rsid w:val="005E3904"/>
    <w:rsid w:val="005E3CDA"/>
    <w:rsid w:val="005E507D"/>
    <w:rsid w:val="005E621A"/>
    <w:rsid w:val="005E6397"/>
    <w:rsid w:val="005E6694"/>
    <w:rsid w:val="005E728B"/>
    <w:rsid w:val="005F0AD0"/>
    <w:rsid w:val="005F0C3F"/>
    <w:rsid w:val="005F1F94"/>
    <w:rsid w:val="005F24BF"/>
    <w:rsid w:val="005F25A4"/>
    <w:rsid w:val="005F2E21"/>
    <w:rsid w:val="005F2FA2"/>
    <w:rsid w:val="005F3B38"/>
    <w:rsid w:val="005F3BC8"/>
    <w:rsid w:val="005F45F9"/>
    <w:rsid w:val="005F4625"/>
    <w:rsid w:val="005F473A"/>
    <w:rsid w:val="005F51F6"/>
    <w:rsid w:val="005F537A"/>
    <w:rsid w:val="005F55CA"/>
    <w:rsid w:val="005F68CC"/>
    <w:rsid w:val="005F6AE8"/>
    <w:rsid w:val="005F76BC"/>
    <w:rsid w:val="005F7B60"/>
    <w:rsid w:val="005F7C39"/>
    <w:rsid w:val="005F7EAD"/>
    <w:rsid w:val="00600A18"/>
    <w:rsid w:val="00600F65"/>
    <w:rsid w:val="00601467"/>
    <w:rsid w:val="006015F6"/>
    <w:rsid w:val="00601A91"/>
    <w:rsid w:val="00602063"/>
    <w:rsid w:val="00602BA3"/>
    <w:rsid w:val="00603A4C"/>
    <w:rsid w:val="00603EDB"/>
    <w:rsid w:val="006043F8"/>
    <w:rsid w:val="00604A9F"/>
    <w:rsid w:val="00604D36"/>
    <w:rsid w:val="006056C7"/>
    <w:rsid w:val="00605B63"/>
    <w:rsid w:val="00605F9A"/>
    <w:rsid w:val="00606442"/>
    <w:rsid w:val="006066DF"/>
    <w:rsid w:val="00606A7B"/>
    <w:rsid w:val="00606EED"/>
    <w:rsid w:val="0060703F"/>
    <w:rsid w:val="00607B20"/>
    <w:rsid w:val="00607DDB"/>
    <w:rsid w:val="0061010B"/>
    <w:rsid w:val="00610421"/>
    <w:rsid w:val="00612A95"/>
    <w:rsid w:val="00612B1C"/>
    <w:rsid w:val="00612B6D"/>
    <w:rsid w:val="00612E34"/>
    <w:rsid w:val="00613390"/>
    <w:rsid w:val="00614159"/>
    <w:rsid w:val="00614495"/>
    <w:rsid w:val="0061539F"/>
    <w:rsid w:val="006158A3"/>
    <w:rsid w:val="006160BA"/>
    <w:rsid w:val="00616C5F"/>
    <w:rsid w:val="00616DAC"/>
    <w:rsid w:val="0061758E"/>
    <w:rsid w:val="00617725"/>
    <w:rsid w:val="00617C00"/>
    <w:rsid w:val="00620701"/>
    <w:rsid w:val="00620BA9"/>
    <w:rsid w:val="00620E1D"/>
    <w:rsid w:val="006225C8"/>
    <w:rsid w:val="0062316F"/>
    <w:rsid w:val="00624210"/>
    <w:rsid w:val="00624574"/>
    <w:rsid w:val="0062504E"/>
    <w:rsid w:val="006250BE"/>
    <w:rsid w:val="006256B9"/>
    <w:rsid w:val="006263BF"/>
    <w:rsid w:val="0062667C"/>
    <w:rsid w:val="00626AAD"/>
    <w:rsid w:val="006273E8"/>
    <w:rsid w:val="0062748A"/>
    <w:rsid w:val="00627612"/>
    <w:rsid w:val="00630546"/>
    <w:rsid w:val="00630A2C"/>
    <w:rsid w:val="00631091"/>
    <w:rsid w:val="0063149C"/>
    <w:rsid w:val="00632180"/>
    <w:rsid w:val="00632514"/>
    <w:rsid w:val="006326FE"/>
    <w:rsid w:val="0063277E"/>
    <w:rsid w:val="00632B76"/>
    <w:rsid w:val="0063380D"/>
    <w:rsid w:val="006339F8"/>
    <w:rsid w:val="00633FC8"/>
    <w:rsid w:val="00634A75"/>
    <w:rsid w:val="00635094"/>
    <w:rsid w:val="0063567F"/>
    <w:rsid w:val="00635C39"/>
    <w:rsid w:val="00635EF7"/>
    <w:rsid w:val="0063682E"/>
    <w:rsid w:val="00636D93"/>
    <w:rsid w:val="006376F5"/>
    <w:rsid w:val="006379D9"/>
    <w:rsid w:val="00637A28"/>
    <w:rsid w:val="00640088"/>
    <w:rsid w:val="00640D16"/>
    <w:rsid w:val="00641134"/>
    <w:rsid w:val="006416A9"/>
    <w:rsid w:val="006419E9"/>
    <w:rsid w:val="00642672"/>
    <w:rsid w:val="00642DA8"/>
    <w:rsid w:val="006436CD"/>
    <w:rsid w:val="00643B17"/>
    <w:rsid w:val="0064523A"/>
    <w:rsid w:val="006453CE"/>
    <w:rsid w:val="006453FE"/>
    <w:rsid w:val="00645519"/>
    <w:rsid w:val="006463A8"/>
    <w:rsid w:val="006469FF"/>
    <w:rsid w:val="00647BFD"/>
    <w:rsid w:val="00647F71"/>
    <w:rsid w:val="00650976"/>
    <w:rsid w:val="0065114F"/>
    <w:rsid w:val="00651169"/>
    <w:rsid w:val="00651399"/>
    <w:rsid w:val="0065315E"/>
    <w:rsid w:val="00653283"/>
    <w:rsid w:val="006539F7"/>
    <w:rsid w:val="00653D69"/>
    <w:rsid w:val="006552E6"/>
    <w:rsid w:val="006554E7"/>
    <w:rsid w:val="00655790"/>
    <w:rsid w:val="00655794"/>
    <w:rsid w:val="00655B41"/>
    <w:rsid w:val="00655BDD"/>
    <w:rsid w:val="00655C25"/>
    <w:rsid w:val="00656263"/>
    <w:rsid w:val="00656264"/>
    <w:rsid w:val="00656F2F"/>
    <w:rsid w:val="00657B4E"/>
    <w:rsid w:val="00657C1A"/>
    <w:rsid w:val="00657C63"/>
    <w:rsid w:val="00660574"/>
    <w:rsid w:val="00660AC2"/>
    <w:rsid w:val="00660C38"/>
    <w:rsid w:val="006612C1"/>
    <w:rsid w:val="00661CBC"/>
    <w:rsid w:val="006620FB"/>
    <w:rsid w:val="00662353"/>
    <w:rsid w:val="00662B85"/>
    <w:rsid w:val="00663114"/>
    <w:rsid w:val="00663CF2"/>
    <w:rsid w:val="00663EE9"/>
    <w:rsid w:val="00664987"/>
    <w:rsid w:val="00665326"/>
    <w:rsid w:val="0066592E"/>
    <w:rsid w:val="006670B3"/>
    <w:rsid w:val="006670BE"/>
    <w:rsid w:val="00667E59"/>
    <w:rsid w:val="00670A76"/>
    <w:rsid w:val="00670B91"/>
    <w:rsid w:val="006711AA"/>
    <w:rsid w:val="006711EE"/>
    <w:rsid w:val="006719DB"/>
    <w:rsid w:val="00672280"/>
    <w:rsid w:val="00672B57"/>
    <w:rsid w:val="00672D2A"/>
    <w:rsid w:val="00672E5F"/>
    <w:rsid w:val="00673F1F"/>
    <w:rsid w:val="00674360"/>
    <w:rsid w:val="00674417"/>
    <w:rsid w:val="00674472"/>
    <w:rsid w:val="00674747"/>
    <w:rsid w:val="00674BBF"/>
    <w:rsid w:val="00674C79"/>
    <w:rsid w:val="00675151"/>
    <w:rsid w:val="00675622"/>
    <w:rsid w:val="00675911"/>
    <w:rsid w:val="00675DEB"/>
    <w:rsid w:val="0067747D"/>
    <w:rsid w:val="0068084F"/>
    <w:rsid w:val="00680D23"/>
    <w:rsid w:val="006818D5"/>
    <w:rsid w:val="00681CA4"/>
    <w:rsid w:val="00682C34"/>
    <w:rsid w:val="00682F63"/>
    <w:rsid w:val="006830D2"/>
    <w:rsid w:val="0068381D"/>
    <w:rsid w:val="00683B1C"/>
    <w:rsid w:val="00685998"/>
    <w:rsid w:val="0068650E"/>
    <w:rsid w:val="00686559"/>
    <w:rsid w:val="0068714A"/>
    <w:rsid w:val="00687152"/>
    <w:rsid w:val="00687290"/>
    <w:rsid w:val="006874C5"/>
    <w:rsid w:val="006900EB"/>
    <w:rsid w:val="0069039D"/>
    <w:rsid w:val="006904DE"/>
    <w:rsid w:val="006906DB"/>
    <w:rsid w:val="006911F9"/>
    <w:rsid w:val="00691900"/>
    <w:rsid w:val="00691A2C"/>
    <w:rsid w:val="00691C4A"/>
    <w:rsid w:val="00691E6C"/>
    <w:rsid w:val="00692645"/>
    <w:rsid w:val="00693425"/>
    <w:rsid w:val="0069342D"/>
    <w:rsid w:val="00693780"/>
    <w:rsid w:val="00693DFB"/>
    <w:rsid w:val="00694AE5"/>
    <w:rsid w:val="00694C73"/>
    <w:rsid w:val="00694F55"/>
    <w:rsid w:val="00694FD5"/>
    <w:rsid w:val="0069501D"/>
    <w:rsid w:val="00695B34"/>
    <w:rsid w:val="00695CFD"/>
    <w:rsid w:val="00696129"/>
    <w:rsid w:val="00696C9D"/>
    <w:rsid w:val="00697CF2"/>
    <w:rsid w:val="006A055E"/>
    <w:rsid w:val="006A12A5"/>
    <w:rsid w:val="006A2515"/>
    <w:rsid w:val="006A2A4E"/>
    <w:rsid w:val="006A3977"/>
    <w:rsid w:val="006A40B5"/>
    <w:rsid w:val="006A419A"/>
    <w:rsid w:val="006A4870"/>
    <w:rsid w:val="006A53E7"/>
    <w:rsid w:val="006A572D"/>
    <w:rsid w:val="006A5835"/>
    <w:rsid w:val="006A5E20"/>
    <w:rsid w:val="006A6308"/>
    <w:rsid w:val="006A64BB"/>
    <w:rsid w:val="006A66E5"/>
    <w:rsid w:val="006A6C1B"/>
    <w:rsid w:val="006A757C"/>
    <w:rsid w:val="006B04D6"/>
    <w:rsid w:val="006B0AF5"/>
    <w:rsid w:val="006B0D94"/>
    <w:rsid w:val="006B16B6"/>
    <w:rsid w:val="006B2890"/>
    <w:rsid w:val="006B402A"/>
    <w:rsid w:val="006B427B"/>
    <w:rsid w:val="006B485D"/>
    <w:rsid w:val="006B6A0C"/>
    <w:rsid w:val="006B7DDA"/>
    <w:rsid w:val="006B7E49"/>
    <w:rsid w:val="006B7FF5"/>
    <w:rsid w:val="006C0299"/>
    <w:rsid w:val="006C02A1"/>
    <w:rsid w:val="006C034A"/>
    <w:rsid w:val="006C0C45"/>
    <w:rsid w:val="006C0CF8"/>
    <w:rsid w:val="006C1A7C"/>
    <w:rsid w:val="006C1DB6"/>
    <w:rsid w:val="006C27D5"/>
    <w:rsid w:val="006C2806"/>
    <w:rsid w:val="006C334C"/>
    <w:rsid w:val="006C3B86"/>
    <w:rsid w:val="006C3BA5"/>
    <w:rsid w:val="006C3D1C"/>
    <w:rsid w:val="006C40B9"/>
    <w:rsid w:val="006C5849"/>
    <w:rsid w:val="006C5F92"/>
    <w:rsid w:val="006C620C"/>
    <w:rsid w:val="006C6C10"/>
    <w:rsid w:val="006C708E"/>
    <w:rsid w:val="006D0E67"/>
    <w:rsid w:val="006D14E7"/>
    <w:rsid w:val="006D15F6"/>
    <w:rsid w:val="006D226C"/>
    <w:rsid w:val="006D39A3"/>
    <w:rsid w:val="006D401B"/>
    <w:rsid w:val="006D4444"/>
    <w:rsid w:val="006D4B7B"/>
    <w:rsid w:val="006D555D"/>
    <w:rsid w:val="006D6493"/>
    <w:rsid w:val="006D6EC7"/>
    <w:rsid w:val="006D7945"/>
    <w:rsid w:val="006D7B05"/>
    <w:rsid w:val="006D7E45"/>
    <w:rsid w:val="006E1143"/>
    <w:rsid w:val="006E1BCD"/>
    <w:rsid w:val="006E2732"/>
    <w:rsid w:val="006E409B"/>
    <w:rsid w:val="006E4CE4"/>
    <w:rsid w:val="006E5256"/>
    <w:rsid w:val="006E59CD"/>
    <w:rsid w:val="006E5F6B"/>
    <w:rsid w:val="006E644B"/>
    <w:rsid w:val="006E68E1"/>
    <w:rsid w:val="006E6B45"/>
    <w:rsid w:val="006E74FF"/>
    <w:rsid w:val="006E768B"/>
    <w:rsid w:val="006F00ED"/>
    <w:rsid w:val="006F026F"/>
    <w:rsid w:val="006F0A71"/>
    <w:rsid w:val="006F0AAD"/>
    <w:rsid w:val="006F10FC"/>
    <w:rsid w:val="006F17CF"/>
    <w:rsid w:val="006F1C6B"/>
    <w:rsid w:val="006F1EB5"/>
    <w:rsid w:val="006F20D2"/>
    <w:rsid w:val="006F22B7"/>
    <w:rsid w:val="006F2ECE"/>
    <w:rsid w:val="006F40C2"/>
    <w:rsid w:val="006F4E62"/>
    <w:rsid w:val="006F5125"/>
    <w:rsid w:val="006F531B"/>
    <w:rsid w:val="006F5F10"/>
    <w:rsid w:val="006F6D41"/>
    <w:rsid w:val="006F733D"/>
    <w:rsid w:val="00700765"/>
    <w:rsid w:val="0070203F"/>
    <w:rsid w:val="00702959"/>
    <w:rsid w:val="00702B6F"/>
    <w:rsid w:val="007030B4"/>
    <w:rsid w:val="0070341E"/>
    <w:rsid w:val="00703942"/>
    <w:rsid w:val="00703B86"/>
    <w:rsid w:val="00704069"/>
    <w:rsid w:val="00704CEA"/>
    <w:rsid w:val="007052CF"/>
    <w:rsid w:val="00705D0C"/>
    <w:rsid w:val="00706A2F"/>
    <w:rsid w:val="00706EEE"/>
    <w:rsid w:val="0070718E"/>
    <w:rsid w:val="00707E52"/>
    <w:rsid w:val="00710259"/>
    <w:rsid w:val="0071031F"/>
    <w:rsid w:val="00710737"/>
    <w:rsid w:val="00711CE8"/>
    <w:rsid w:val="0071219A"/>
    <w:rsid w:val="0071248F"/>
    <w:rsid w:val="00712E55"/>
    <w:rsid w:val="0071340B"/>
    <w:rsid w:val="00713C50"/>
    <w:rsid w:val="0071436D"/>
    <w:rsid w:val="00714AB4"/>
    <w:rsid w:val="0071508D"/>
    <w:rsid w:val="007150B1"/>
    <w:rsid w:val="007150CA"/>
    <w:rsid w:val="00715733"/>
    <w:rsid w:val="0071573C"/>
    <w:rsid w:val="00715BBB"/>
    <w:rsid w:val="00716881"/>
    <w:rsid w:val="00717017"/>
    <w:rsid w:val="007174BB"/>
    <w:rsid w:val="0072025D"/>
    <w:rsid w:val="007211DB"/>
    <w:rsid w:val="00722CFD"/>
    <w:rsid w:val="00722D92"/>
    <w:rsid w:val="00722F2C"/>
    <w:rsid w:val="00723328"/>
    <w:rsid w:val="007234A9"/>
    <w:rsid w:val="007237DE"/>
    <w:rsid w:val="00723893"/>
    <w:rsid w:val="0072502E"/>
    <w:rsid w:val="007251A9"/>
    <w:rsid w:val="007255BB"/>
    <w:rsid w:val="00726F16"/>
    <w:rsid w:val="00730098"/>
    <w:rsid w:val="00730408"/>
    <w:rsid w:val="0073137C"/>
    <w:rsid w:val="007315BF"/>
    <w:rsid w:val="007337F1"/>
    <w:rsid w:val="007338F3"/>
    <w:rsid w:val="007340B9"/>
    <w:rsid w:val="0073422E"/>
    <w:rsid w:val="00734E8D"/>
    <w:rsid w:val="00735323"/>
    <w:rsid w:val="007353D3"/>
    <w:rsid w:val="007354F6"/>
    <w:rsid w:val="00735823"/>
    <w:rsid w:val="00735970"/>
    <w:rsid w:val="00736F95"/>
    <w:rsid w:val="0073736F"/>
    <w:rsid w:val="0073779C"/>
    <w:rsid w:val="00740020"/>
    <w:rsid w:val="00741159"/>
    <w:rsid w:val="007411F1"/>
    <w:rsid w:val="0074156B"/>
    <w:rsid w:val="00741619"/>
    <w:rsid w:val="007417EC"/>
    <w:rsid w:val="00742042"/>
    <w:rsid w:val="0074221E"/>
    <w:rsid w:val="007422FE"/>
    <w:rsid w:val="00742885"/>
    <w:rsid w:val="00742EA6"/>
    <w:rsid w:val="00743862"/>
    <w:rsid w:val="007442FA"/>
    <w:rsid w:val="007457B7"/>
    <w:rsid w:val="00746EF4"/>
    <w:rsid w:val="00747092"/>
    <w:rsid w:val="007477FF"/>
    <w:rsid w:val="007502C1"/>
    <w:rsid w:val="00750311"/>
    <w:rsid w:val="0075168B"/>
    <w:rsid w:val="0075228A"/>
    <w:rsid w:val="007522AB"/>
    <w:rsid w:val="007524A4"/>
    <w:rsid w:val="007526E6"/>
    <w:rsid w:val="00752C10"/>
    <w:rsid w:val="00752FF6"/>
    <w:rsid w:val="00753357"/>
    <w:rsid w:val="00754C18"/>
    <w:rsid w:val="00754D0D"/>
    <w:rsid w:val="00754DF9"/>
    <w:rsid w:val="007555E8"/>
    <w:rsid w:val="00755CC5"/>
    <w:rsid w:val="00757378"/>
    <w:rsid w:val="0075755B"/>
    <w:rsid w:val="007578A4"/>
    <w:rsid w:val="00757BCA"/>
    <w:rsid w:val="00757F7D"/>
    <w:rsid w:val="00760EBD"/>
    <w:rsid w:val="00762407"/>
    <w:rsid w:val="00762862"/>
    <w:rsid w:val="0076291F"/>
    <w:rsid w:val="00763337"/>
    <w:rsid w:val="00763F5B"/>
    <w:rsid w:val="0076403F"/>
    <w:rsid w:val="0076420C"/>
    <w:rsid w:val="00764428"/>
    <w:rsid w:val="0076507C"/>
    <w:rsid w:val="00765A19"/>
    <w:rsid w:val="0076698E"/>
    <w:rsid w:val="00767365"/>
    <w:rsid w:val="007678B9"/>
    <w:rsid w:val="007714BA"/>
    <w:rsid w:val="00771D07"/>
    <w:rsid w:val="0077234A"/>
    <w:rsid w:val="00772649"/>
    <w:rsid w:val="00772F5D"/>
    <w:rsid w:val="00773015"/>
    <w:rsid w:val="00773246"/>
    <w:rsid w:val="00773608"/>
    <w:rsid w:val="00773BE3"/>
    <w:rsid w:val="007743DD"/>
    <w:rsid w:val="00774732"/>
    <w:rsid w:val="00774D98"/>
    <w:rsid w:val="00774E2C"/>
    <w:rsid w:val="0077503C"/>
    <w:rsid w:val="0077510E"/>
    <w:rsid w:val="0077518D"/>
    <w:rsid w:val="00775204"/>
    <w:rsid w:val="0077539B"/>
    <w:rsid w:val="007753C2"/>
    <w:rsid w:val="0077580D"/>
    <w:rsid w:val="00776068"/>
    <w:rsid w:val="007767AA"/>
    <w:rsid w:val="00776DFD"/>
    <w:rsid w:val="007774DF"/>
    <w:rsid w:val="0077773F"/>
    <w:rsid w:val="007777B5"/>
    <w:rsid w:val="00780E9E"/>
    <w:rsid w:val="007813F5"/>
    <w:rsid w:val="007815E1"/>
    <w:rsid w:val="007818BB"/>
    <w:rsid w:val="00781F3E"/>
    <w:rsid w:val="007821C4"/>
    <w:rsid w:val="00782DD1"/>
    <w:rsid w:val="007838B8"/>
    <w:rsid w:val="00784D5E"/>
    <w:rsid w:val="00785779"/>
    <w:rsid w:val="007858B7"/>
    <w:rsid w:val="007863F7"/>
    <w:rsid w:val="007864E6"/>
    <w:rsid w:val="00786629"/>
    <w:rsid w:val="00787079"/>
    <w:rsid w:val="007872EE"/>
    <w:rsid w:val="00787E82"/>
    <w:rsid w:val="00787FD8"/>
    <w:rsid w:val="007903B8"/>
    <w:rsid w:val="007908C1"/>
    <w:rsid w:val="00790EC6"/>
    <w:rsid w:val="007915BA"/>
    <w:rsid w:val="00791844"/>
    <w:rsid w:val="007920AD"/>
    <w:rsid w:val="0079250E"/>
    <w:rsid w:val="00793CA6"/>
    <w:rsid w:val="00793CE9"/>
    <w:rsid w:val="00794C0C"/>
    <w:rsid w:val="00794E8F"/>
    <w:rsid w:val="00794EB4"/>
    <w:rsid w:val="00794FB4"/>
    <w:rsid w:val="00796667"/>
    <w:rsid w:val="00797068"/>
    <w:rsid w:val="0079715E"/>
    <w:rsid w:val="007979BD"/>
    <w:rsid w:val="007A36A5"/>
    <w:rsid w:val="007A3BCA"/>
    <w:rsid w:val="007A3D8E"/>
    <w:rsid w:val="007A4284"/>
    <w:rsid w:val="007A468E"/>
    <w:rsid w:val="007A5945"/>
    <w:rsid w:val="007A5C88"/>
    <w:rsid w:val="007A6126"/>
    <w:rsid w:val="007A6214"/>
    <w:rsid w:val="007A6A2F"/>
    <w:rsid w:val="007B024E"/>
    <w:rsid w:val="007B0968"/>
    <w:rsid w:val="007B0E69"/>
    <w:rsid w:val="007B16C7"/>
    <w:rsid w:val="007B28B0"/>
    <w:rsid w:val="007B3372"/>
    <w:rsid w:val="007B3BAF"/>
    <w:rsid w:val="007B3DDC"/>
    <w:rsid w:val="007B40D1"/>
    <w:rsid w:val="007B45A4"/>
    <w:rsid w:val="007B511C"/>
    <w:rsid w:val="007B6385"/>
    <w:rsid w:val="007B63F6"/>
    <w:rsid w:val="007B72A6"/>
    <w:rsid w:val="007C062C"/>
    <w:rsid w:val="007C06D2"/>
    <w:rsid w:val="007C08E0"/>
    <w:rsid w:val="007C0F57"/>
    <w:rsid w:val="007C1319"/>
    <w:rsid w:val="007C1340"/>
    <w:rsid w:val="007C1C90"/>
    <w:rsid w:val="007C1CA9"/>
    <w:rsid w:val="007C2680"/>
    <w:rsid w:val="007C298B"/>
    <w:rsid w:val="007C2CD2"/>
    <w:rsid w:val="007C2F4B"/>
    <w:rsid w:val="007C30D6"/>
    <w:rsid w:val="007C394D"/>
    <w:rsid w:val="007C3F0A"/>
    <w:rsid w:val="007C40B6"/>
    <w:rsid w:val="007C49B3"/>
    <w:rsid w:val="007C4F97"/>
    <w:rsid w:val="007C5975"/>
    <w:rsid w:val="007C729F"/>
    <w:rsid w:val="007C72AD"/>
    <w:rsid w:val="007C7478"/>
    <w:rsid w:val="007D01D2"/>
    <w:rsid w:val="007D0765"/>
    <w:rsid w:val="007D1967"/>
    <w:rsid w:val="007D1A6F"/>
    <w:rsid w:val="007D1FA1"/>
    <w:rsid w:val="007D2100"/>
    <w:rsid w:val="007D2D16"/>
    <w:rsid w:val="007D2DEF"/>
    <w:rsid w:val="007D307B"/>
    <w:rsid w:val="007D31DF"/>
    <w:rsid w:val="007D3723"/>
    <w:rsid w:val="007D503D"/>
    <w:rsid w:val="007D5332"/>
    <w:rsid w:val="007D59E7"/>
    <w:rsid w:val="007D5F2A"/>
    <w:rsid w:val="007D65C0"/>
    <w:rsid w:val="007D72F8"/>
    <w:rsid w:val="007E07AC"/>
    <w:rsid w:val="007E0FE2"/>
    <w:rsid w:val="007E1014"/>
    <w:rsid w:val="007E12F8"/>
    <w:rsid w:val="007E14EB"/>
    <w:rsid w:val="007E1673"/>
    <w:rsid w:val="007E19BE"/>
    <w:rsid w:val="007E1D28"/>
    <w:rsid w:val="007E1E8F"/>
    <w:rsid w:val="007E30A0"/>
    <w:rsid w:val="007E3D4E"/>
    <w:rsid w:val="007E4564"/>
    <w:rsid w:val="007E490F"/>
    <w:rsid w:val="007E4973"/>
    <w:rsid w:val="007E6122"/>
    <w:rsid w:val="007E6533"/>
    <w:rsid w:val="007E672D"/>
    <w:rsid w:val="007E767E"/>
    <w:rsid w:val="007E7B97"/>
    <w:rsid w:val="007F0021"/>
    <w:rsid w:val="007F031D"/>
    <w:rsid w:val="007F0B76"/>
    <w:rsid w:val="007F1007"/>
    <w:rsid w:val="007F112B"/>
    <w:rsid w:val="007F21AF"/>
    <w:rsid w:val="007F22A6"/>
    <w:rsid w:val="007F2641"/>
    <w:rsid w:val="007F2A78"/>
    <w:rsid w:val="007F3206"/>
    <w:rsid w:val="007F3CA6"/>
    <w:rsid w:val="007F3D4F"/>
    <w:rsid w:val="007F5AC8"/>
    <w:rsid w:val="007F5DF0"/>
    <w:rsid w:val="007F707E"/>
    <w:rsid w:val="007F7C36"/>
    <w:rsid w:val="007F7F45"/>
    <w:rsid w:val="007F7FE9"/>
    <w:rsid w:val="0080001F"/>
    <w:rsid w:val="0080081C"/>
    <w:rsid w:val="00801958"/>
    <w:rsid w:val="008027BB"/>
    <w:rsid w:val="00802B59"/>
    <w:rsid w:val="008048EA"/>
    <w:rsid w:val="008049B2"/>
    <w:rsid w:val="00804C22"/>
    <w:rsid w:val="008055AF"/>
    <w:rsid w:val="008057CD"/>
    <w:rsid w:val="00805B11"/>
    <w:rsid w:val="00806173"/>
    <w:rsid w:val="008066B8"/>
    <w:rsid w:val="00806796"/>
    <w:rsid w:val="00806E32"/>
    <w:rsid w:val="00806EFF"/>
    <w:rsid w:val="00810167"/>
    <w:rsid w:val="008104D0"/>
    <w:rsid w:val="00811C98"/>
    <w:rsid w:val="00811CC0"/>
    <w:rsid w:val="00811D36"/>
    <w:rsid w:val="0081218E"/>
    <w:rsid w:val="008124BF"/>
    <w:rsid w:val="008126AC"/>
    <w:rsid w:val="0081312C"/>
    <w:rsid w:val="00814276"/>
    <w:rsid w:val="008151D6"/>
    <w:rsid w:val="00815567"/>
    <w:rsid w:val="0081604C"/>
    <w:rsid w:val="00816322"/>
    <w:rsid w:val="0081637F"/>
    <w:rsid w:val="008166AB"/>
    <w:rsid w:val="0082048A"/>
    <w:rsid w:val="00820803"/>
    <w:rsid w:val="00821527"/>
    <w:rsid w:val="00821F7A"/>
    <w:rsid w:val="00822162"/>
    <w:rsid w:val="008225CE"/>
    <w:rsid w:val="00822696"/>
    <w:rsid w:val="00823011"/>
    <w:rsid w:val="00823549"/>
    <w:rsid w:val="0082368A"/>
    <w:rsid w:val="00824069"/>
    <w:rsid w:val="00824133"/>
    <w:rsid w:val="00824365"/>
    <w:rsid w:val="00824D82"/>
    <w:rsid w:val="008251FC"/>
    <w:rsid w:val="00825A6C"/>
    <w:rsid w:val="0082617E"/>
    <w:rsid w:val="008268BB"/>
    <w:rsid w:val="00826BCA"/>
    <w:rsid w:val="00826D60"/>
    <w:rsid w:val="00826F6D"/>
    <w:rsid w:val="00827097"/>
    <w:rsid w:val="008301C4"/>
    <w:rsid w:val="008306F3"/>
    <w:rsid w:val="0083071B"/>
    <w:rsid w:val="00830E40"/>
    <w:rsid w:val="0083122F"/>
    <w:rsid w:val="00831B88"/>
    <w:rsid w:val="00832B7C"/>
    <w:rsid w:val="00832C22"/>
    <w:rsid w:val="00832C2A"/>
    <w:rsid w:val="00832D9A"/>
    <w:rsid w:val="008335CD"/>
    <w:rsid w:val="00833A9E"/>
    <w:rsid w:val="00834462"/>
    <w:rsid w:val="0083466B"/>
    <w:rsid w:val="00834F9D"/>
    <w:rsid w:val="008358A9"/>
    <w:rsid w:val="00835B74"/>
    <w:rsid w:val="00835C62"/>
    <w:rsid w:val="008368A1"/>
    <w:rsid w:val="00837189"/>
    <w:rsid w:val="0083734C"/>
    <w:rsid w:val="00837B7F"/>
    <w:rsid w:val="00837F0A"/>
    <w:rsid w:val="00840037"/>
    <w:rsid w:val="00840C5B"/>
    <w:rsid w:val="00840EF7"/>
    <w:rsid w:val="00841DA9"/>
    <w:rsid w:val="0084210C"/>
    <w:rsid w:val="00842AEE"/>
    <w:rsid w:val="00842E3A"/>
    <w:rsid w:val="0084377A"/>
    <w:rsid w:val="00843970"/>
    <w:rsid w:val="00843CDF"/>
    <w:rsid w:val="008444CB"/>
    <w:rsid w:val="008445F6"/>
    <w:rsid w:val="00844C0A"/>
    <w:rsid w:val="00844FD0"/>
    <w:rsid w:val="00845172"/>
    <w:rsid w:val="0084558E"/>
    <w:rsid w:val="00846056"/>
    <w:rsid w:val="0084646D"/>
    <w:rsid w:val="0084671A"/>
    <w:rsid w:val="0084681F"/>
    <w:rsid w:val="00846A92"/>
    <w:rsid w:val="008474F7"/>
    <w:rsid w:val="00847998"/>
    <w:rsid w:val="00847D08"/>
    <w:rsid w:val="00847D9F"/>
    <w:rsid w:val="00847EC0"/>
    <w:rsid w:val="0085037E"/>
    <w:rsid w:val="00850CC7"/>
    <w:rsid w:val="008517A4"/>
    <w:rsid w:val="00852395"/>
    <w:rsid w:val="00853902"/>
    <w:rsid w:val="00853C97"/>
    <w:rsid w:val="00853F89"/>
    <w:rsid w:val="00854418"/>
    <w:rsid w:val="00854506"/>
    <w:rsid w:val="0085476D"/>
    <w:rsid w:val="0085581C"/>
    <w:rsid w:val="00855FD6"/>
    <w:rsid w:val="008567BB"/>
    <w:rsid w:val="00856DDD"/>
    <w:rsid w:val="008577D7"/>
    <w:rsid w:val="00857EC4"/>
    <w:rsid w:val="00860233"/>
    <w:rsid w:val="00860E14"/>
    <w:rsid w:val="008612A4"/>
    <w:rsid w:val="00861427"/>
    <w:rsid w:val="008621F5"/>
    <w:rsid w:val="00862FD9"/>
    <w:rsid w:val="00863127"/>
    <w:rsid w:val="0086324D"/>
    <w:rsid w:val="00863E68"/>
    <w:rsid w:val="0086410D"/>
    <w:rsid w:val="0086449E"/>
    <w:rsid w:val="008647B5"/>
    <w:rsid w:val="00864A11"/>
    <w:rsid w:val="00867D4F"/>
    <w:rsid w:val="00867D64"/>
    <w:rsid w:val="00867D85"/>
    <w:rsid w:val="00870576"/>
    <w:rsid w:val="008720F3"/>
    <w:rsid w:val="00872E8F"/>
    <w:rsid w:val="00873538"/>
    <w:rsid w:val="00873784"/>
    <w:rsid w:val="00873F8F"/>
    <w:rsid w:val="00874169"/>
    <w:rsid w:val="00874746"/>
    <w:rsid w:val="008748AB"/>
    <w:rsid w:val="008749B1"/>
    <w:rsid w:val="00875BE0"/>
    <w:rsid w:val="00875DCB"/>
    <w:rsid w:val="00876FBF"/>
    <w:rsid w:val="00877122"/>
    <w:rsid w:val="0087755A"/>
    <w:rsid w:val="0087771B"/>
    <w:rsid w:val="008802E1"/>
    <w:rsid w:val="008812A1"/>
    <w:rsid w:val="008814BC"/>
    <w:rsid w:val="00882085"/>
    <w:rsid w:val="0088216F"/>
    <w:rsid w:val="00882F69"/>
    <w:rsid w:val="00883188"/>
    <w:rsid w:val="008832A3"/>
    <w:rsid w:val="00883BE4"/>
    <w:rsid w:val="008849A1"/>
    <w:rsid w:val="00884A0C"/>
    <w:rsid w:val="0088525D"/>
    <w:rsid w:val="00885BB3"/>
    <w:rsid w:val="00886ACA"/>
    <w:rsid w:val="00886B01"/>
    <w:rsid w:val="008873FF"/>
    <w:rsid w:val="0089031E"/>
    <w:rsid w:val="00890AC7"/>
    <w:rsid w:val="00890D4B"/>
    <w:rsid w:val="0089109A"/>
    <w:rsid w:val="0089191A"/>
    <w:rsid w:val="00892197"/>
    <w:rsid w:val="0089289A"/>
    <w:rsid w:val="00892BA2"/>
    <w:rsid w:val="00893411"/>
    <w:rsid w:val="00893D5C"/>
    <w:rsid w:val="0089460B"/>
    <w:rsid w:val="00895F2E"/>
    <w:rsid w:val="0089657B"/>
    <w:rsid w:val="008970C3"/>
    <w:rsid w:val="00897D58"/>
    <w:rsid w:val="00897F22"/>
    <w:rsid w:val="008A011A"/>
    <w:rsid w:val="008A07CC"/>
    <w:rsid w:val="008A0B39"/>
    <w:rsid w:val="008A169B"/>
    <w:rsid w:val="008A17A3"/>
    <w:rsid w:val="008A1956"/>
    <w:rsid w:val="008A1E85"/>
    <w:rsid w:val="008A2209"/>
    <w:rsid w:val="008A2390"/>
    <w:rsid w:val="008A2419"/>
    <w:rsid w:val="008A35A0"/>
    <w:rsid w:val="008A372C"/>
    <w:rsid w:val="008A4937"/>
    <w:rsid w:val="008A4C22"/>
    <w:rsid w:val="008A50F1"/>
    <w:rsid w:val="008A59D9"/>
    <w:rsid w:val="008A5F24"/>
    <w:rsid w:val="008A643E"/>
    <w:rsid w:val="008A6819"/>
    <w:rsid w:val="008A7235"/>
    <w:rsid w:val="008A760C"/>
    <w:rsid w:val="008B007A"/>
    <w:rsid w:val="008B0701"/>
    <w:rsid w:val="008B0C61"/>
    <w:rsid w:val="008B13BD"/>
    <w:rsid w:val="008B156E"/>
    <w:rsid w:val="008B17EC"/>
    <w:rsid w:val="008B1E93"/>
    <w:rsid w:val="008B2EC0"/>
    <w:rsid w:val="008B304F"/>
    <w:rsid w:val="008B3656"/>
    <w:rsid w:val="008B3C77"/>
    <w:rsid w:val="008B43C1"/>
    <w:rsid w:val="008B4AB1"/>
    <w:rsid w:val="008B4AD1"/>
    <w:rsid w:val="008B5081"/>
    <w:rsid w:val="008B68BA"/>
    <w:rsid w:val="008B6912"/>
    <w:rsid w:val="008B6DCF"/>
    <w:rsid w:val="008B7832"/>
    <w:rsid w:val="008C146F"/>
    <w:rsid w:val="008C1B7C"/>
    <w:rsid w:val="008C279F"/>
    <w:rsid w:val="008C3DFF"/>
    <w:rsid w:val="008C4D49"/>
    <w:rsid w:val="008C5AE6"/>
    <w:rsid w:val="008C5E4E"/>
    <w:rsid w:val="008C6350"/>
    <w:rsid w:val="008C7213"/>
    <w:rsid w:val="008D0531"/>
    <w:rsid w:val="008D0945"/>
    <w:rsid w:val="008D1408"/>
    <w:rsid w:val="008D1409"/>
    <w:rsid w:val="008D14BA"/>
    <w:rsid w:val="008D15CC"/>
    <w:rsid w:val="008D1729"/>
    <w:rsid w:val="008D1998"/>
    <w:rsid w:val="008D1B5C"/>
    <w:rsid w:val="008D287E"/>
    <w:rsid w:val="008D2AE5"/>
    <w:rsid w:val="008D3347"/>
    <w:rsid w:val="008D36E6"/>
    <w:rsid w:val="008D371B"/>
    <w:rsid w:val="008D3C82"/>
    <w:rsid w:val="008D447E"/>
    <w:rsid w:val="008D47BA"/>
    <w:rsid w:val="008D4B35"/>
    <w:rsid w:val="008D64D1"/>
    <w:rsid w:val="008D6ACF"/>
    <w:rsid w:val="008D7A41"/>
    <w:rsid w:val="008E039B"/>
    <w:rsid w:val="008E0F41"/>
    <w:rsid w:val="008E1A3B"/>
    <w:rsid w:val="008E1B18"/>
    <w:rsid w:val="008E2C72"/>
    <w:rsid w:val="008E3680"/>
    <w:rsid w:val="008E3ABE"/>
    <w:rsid w:val="008E4D82"/>
    <w:rsid w:val="008E4F87"/>
    <w:rsid w:val="008E5870"/>
    <w:rsid w:val="008E7398"/>
    <w:rsid w:val="008E77E4"/>
    <w:rsid w:val="008E7E5D"/>
    <w:rsid w:val="008F0213"/>
    <w:rsid w:val="008F07ED"/>
    <w:rsid w:val="008F11F8"/>
    <w:rsid w:val="008F1434"/>
    <w:rsid w:val="008F19B2"/>
    <w:rsid w:val="008F2BB9"/>
    <w:rsid w:val="008F3CF6"/>
    <w:rsid w:val="008F3D6A"/>
    <w:rsid w:val="008F3E2B"/>
    <w:rsid w:val="008F3ED6"/>
    <w:rsid w:val="008F490D"/>
    <w:rsid w:val="008F49BD"/>
    <w:rsid w:val="008F4B30"/>
    <w:rsid w:val="008F5048"/>
    <w:rsid w:val="008F53DE"/>
    <w:rsid w:val="008F54C3"/>
    <w:rsid w:val="008F579D"/>
    <w:rsid w:val="008F5E5F"/>
    <w:rsid w:val="008F5EEC"/>
    <w:rsid w:val="008F5F1D"/>
    <w:rsid w:val="008F6AB0"/>
    <w:rsid w:val="008F6E0A"/>
    <w:rsid w:val="008F7355"/>
    <w:rsid w:val="008F7A8B"/>
    <w:rsid w:val="008F7C1D"/>
    <w:rsid w:val="008F7DD5"/>
    <w:rsid w:val="0090029A"/>
    <w:rsid w:val="00900A3E"/>
    <w:rsid w:val="00900F95"/>
    <w:rsid w:val="00901B95"/>
    <w:rsid w:val="00901E2E"/>
    <w:rsid w:val="00902286"/>
    <w:rsid w:val="009023DC"/>
    <w:rsid w:val="009027C5"/>
    <w:rsid w:val="009042C4"/>
    <w:rsid w:val="00904413"/>
    <w:rsid w:val="009045EB"/>
    <w:rsid w:val="009060C2"/>
    <w:rsid w:val="009067B7"/>
    <w:rsid w:val="00906E7A"/>
    <w:rsid w:val="00906E7F"/>
    <w:rsid w:val="0090775A"/>
    <w:rsid w:val="00907CC1"/>
    <w:rsid w:val="00907DFD"/>
    <w:rsid w:val="009119AF"/>
    <w:rsid w:val="009121A7"/>
    <w:rsid w:val="00912517"/>
    <w:rsid w:val="00912747"/>
    <w:rsid w:val="009128C8"/>
    <w:rsid w:val="00913C99"/>
    <w:rsid w:val="009154BA"/>
    <w:rsid w:val="0091566F"/>
    <w:rsid w:val="00916176"/>
    <w:rsid w:val="0091720F"/>
    <w:rsid w:val="00917370"/>
    <w:rsid w:val="00917D69"/>
    <w:rsid w:val="00917F9E"/>
    <w:rsid w:val="00920122"/>
    <w:rsid w:val="00920741"/>
    <w:rsid w:val="00920B36"/>
    <w:rsid w:val="00920B6D"/>
    <w:rsid w:val="009211B1"/>
    <w:rsid w:val="009214D8"/>
    <w:rsid w:val="0092185B"/>
    <w:rsid w:val="00923541"/>
    <w:rsid w:val="0092484B"/>
    <w:rsid w:val="00924F6D"/>
    <w:rsid w:val="009251DF"/>
    <w:rsid w:val="0092568A"/>
    <w:rsid w:val="00925908"/>
    <w:rsid w:val="00926560"/>
    <w:rsid w:val="00926B15"/>
    <w:rsid w:val="00926BB3"/>
    <w:rsid w:val="00926E01"/>
    <w:rsid w:val="009276ED"/>
    <w:rsid w:val="00930291"/>
    <w:rsid w:val="0093063D"/>
    <w:rsid w:val="00930937"/>
    <w:rsid w:val="00930D8B"/>
    <w:rsid w:val="00931D34"/>
    <w:rsid w:val="00931FCF"/>
    <w:rsid w:val="0093221A"/>
    <w:rsid w:val="009324A6"/>
    <w:rsid w:val="009325AD"/>
    <w:rsid w:val="009330E0"/>
    <w:rsid w:val="00933B7D"/>
    <w:rsid w:val="00933E6C"/>
    <w:rsid w:val="00934373"/>
    <w:rsid w:val="00934CFC"/>
    <w:rsid w:val="00935A6E"/>
    <w:rsid w:val="00936F41"/>
    <w:rsid w:val="0093783C"/>
    <w:rsid w:val="00937958"/>
    <w:rsid w:val="00940529"/>
    <w:rsid w:val="009406E5"/>
    <w:rsid w:val="00940AB3"/>
    <w:rsid w:val="00940B46"/>
    <w:rsid w:val="009412E5"/>
    <w:rsid w:val="00941602"/>
    <w:rsid w:val="00941B4B"/>
    <w:rsid w:val="00941EE5"/>
    <w:rsid w:val="00942160"/>
    <w:rsid w:val="00942A9A"/>
    <w:rsid w:val="0094380E"/>
    <w:rsid w:val="00944845"/>
    <w:rsid w:val="009448AE"/>
    <w:rsid w:val="00944AFC"/>
    <w:rsid w:val="00944E45"/>
    <w:rsid w:val="00944F37"/>
    <w:rsid w:val="00945163"/>
    <w:rsid w:val="009451DF"/>
    <w:rsid w:val="0094523E"/>
    <w:rsid w:val="00945F19"/>
    <w:rsid w:val="009460EC"/>
    <w:rsid w:val="009462F0"/>
    <w:rsid w:val="009465E2"/>
    <w:rsid w:val="00946921"/>
    <w:rsid w:val="00946B9C"/>
    <w:rsid w:val="00946DC1"/>
    <w:rsid w:val="0094728F"/>
    <w:rsid w:val="009472AF"/>
    <w:rsid w:val="00947343"/>
    <w:rsid w:val="00950E89"/>
    <w:rsid w:val="0095146F"/>
    <w:rsid w:val="00951854"/>
    <w:rsid w:val="009518A6"/>
    <w:rsid w:val="00951A88"/>
    <w:rsid w:val="00951D07"/>
    <w:rsid w:val="00951F2D"/>
    <w:rsid w:val="00952839"/>
    <w:rsid w:val="00952B36"/>
    <w:rsid w:val="0095344C"/>
    <w:rsid w:val="009534C7"/>
    <w:rsid w:val="009536F9"/>
    <w:rsid w:val="00953898"/>
    <w:rsid w:val="0095398C"/>
    <w:rsid w:val="00954969"/>
    <w:rsid w:val="00954B23"/>
    <w:rsid w:val="00954DF9"/>
    <w:rsid w:val="009550D2"/>
    <w:rsid w:val="009550DB"/>
    <w:rsid w:val="00955BA9"/>
    <w:rsid w:val="00955F6A"/>
    <w:rsid w:val="00957944"/>
    <w:rsid w:val="00957B27"/>
    <w:rsid w:val="00957FEB"/>
    <w:rsid w:val="00960288"/>
    <w:rsid w:val="009602C5"/>
    <w:rsid w:val="0096103A"/>
    <w:rsid w:val="00962223"/>
    <w:rsid w:val="0096252B"/>
    <w:rsid w:val="00962539"/>
    <w:rsid w:val="00963251"/>
    <w:rsid w:val="00963751"/>
    <w:rsid w:val="009644D9"/>
    <w:rsid w:val="00964A9F"/>
    <w:rsid w:val="00964B48"/>
    <w:rsid w:val="00964BE7"/>
    <w:rsid w:val="00965D50"/>
    <w:rsid w:val="00965FCC"/>
    <w:rsid w:val="00966D0D"/>
    <w:rsid w:val="00967453"/>
    <w:rsid w:val="00967732"/>
    <w:rsid w:val="0096783C"/>
    <w:rsid w:val="00970023"/>
    <w:rsid w:val="009701D7"/>
    <w:rsid w:val="00970461"/>
    <w:rsid w:val="00970DD4"/>
    <w:rsid w:val="009715F9"/>
    <w:rsid w:val="009718E6"/>
    <w:rsid w:val="009722B3"/>
    <w:rsid w:val="00972B95"/>
    <w:rsid w:val="009738ED"/>
    <w:rsid w:val="00973AD0"/>
    <w:rsid w:val="00973E24"/>
    <w:rsid w:val="00974754"/>
    <w:rsid w:val="00974C21"/>
    <w:rsid w:val="00974D5F"/>
    <w:rsid w:val="00975948"/>
    <w:rsid w:val="009772FD"/>
    <w:rsid w:val="00977B29"/>
    <w:rsid w:val="00977B77"/>
    <w:rsid w:val="00977BF3"/>
    <w:rsid w:val="00980150"/>
    <w:rsid w:val="009803E4"/>
    <w:rsid w:val="00980B0E"/>
    <w:rsid w:val="00980E94"/>
    <w:rsid w:val="00981BDE"/>
    <w:rsid w:val="00982B39"/>
    <w:rsid w:val="009836A3"/>
    <w:rsid w:val="009837C5"/>
    <w:rsid w:val="009845BD"/>
    <w:rsid w:val="00984984"/>
    <w:rsid w:val="00984C58"/>
    <w:rsid w:val="0098533A"/>
    <w:rsid w:val="009855A8"/>
    <w:rsid w:val="009856F2"/>
    <w:rsid w:val="00985992"/>
    <w:rsid w:val="00985CBE"/>
    <w:rsid w:val="00985D1A"/>
    <w:rsid w:val="00987520"/>
    <w:rsid w:val="009901BE"/>
    <w:rsid w:val="00990CF8"/>
    <w:rsid w:val="00990DE0"/>
    <w:rsid w:val="009913F4"/>
    <w:rsid w:val="00991782"/>
    <w:rsid w:val="00991A08"/>
    <w:rsid w:val="00991CB2"/>
    <w:rsid w:val="009924AB"/>
    <w:rsid w:val="009937F7"/>
    <w:rsid w:val="00993915"/>
    <w:rsid w:val="009939E2"/>
    <w:rsid w:val="0099465B"/>
    <w:rsid w:val="0099483F"/>
    <w:rsid w:val="00994C60"/>
    <w:rsid w:val="00994E7B"/>
    <w:rsid w:val="009951A1"/>
    <w:rsid w:val="009951BE"/>
    <w:rsid w:val="00995274"/>
    <w:rsid w:val="009957AE"/>
    <w:rsid w:val="00995C43"/>
    <w:rsid w:val="009964DC"/>
    <w:rsid w:val="0099702E"/>
    <w:rsid w:val="009971F8"/>
    <w:rsid w:val="009972F8"/>
    <w:rsid w:val="00997A44"/>
    <w:rsid w:val="009A0CDD"/>
    <w:rsid w:val="009A1F82"/>
    <w:rsid w:val="009A3168"/>
    <w:rsid w:val="009A4621"/>
    <w:rsid w:val="009A4BDF"/>
    <w:rsid w:val="009A582D"/>
    <w:rsid w:val="009A5D04"/>
    <w:rsid w:val="009A5DB3"/>
    <w:rsid w:val="009A5E16"/>
    <w:rsid w:val="009A61CA"/>
    <w:rsid w:val="009A69B8"/>
    <w:rsid w:val="009A765C"/>
    <w:rsid w:val="009B0062"/>
    <w:rsid w:val="009B042B"/>
    <w:rsid w:val="009B0C64"/>
    <w:rsid w:val="009B0F67"/>
    <w:rsid w:val="009B1AC2"/>
    <w:rsid w:val="009B1D65"/>
    <w:rsid w:val="009B208A"/>
    <w:rsid w:val="009B2221"/>
    <w:rsid w:val="009B2756"/>
    <w:rsid w:val="009B2E32"/>
    <w:rsid w:val="009B329E"/>
    <w:rsid w:val="009B3D56"/>
    <w:rsid w:val="009B3F8C"/>
    <w:rsid w:val="009B3FAF"/>
    <w:rsid w:val="009B533B"/>
    <w:rsid w:val="009B546B"/>
    <w:rsid w:val="009B55D8"/>
    <w:rsid w:val="009B56D7"/>
    <w:rsid w:val="009B5A15"/>
    <w:rsid w:val="009B5AFA"/>
    <w:rsid w:val="009B6E5D"/>
    <w:rsid w:val="009B6EE4"/>
    <w:rsid w:val="009B77B4"/>
    <w:rsid w:val="009C03E2"/>
    <w:rsid w:val="009C06B2"/>
    <w:rsid w:val="009C0C19"/>
    <w:rsid w:val="009C0CE3"/>
    <w:rsid w:val="009C12BA"/>
    <w:rsid w:val="009C1FFD"/>
    <w:rsid w:val="009C26AA"/>
    <w:rsid w:val="009C3D3B"/>
    <w:rsid w:val="009C3EE6"/>
    <w:rsid w:val="009C47B6"/>
    <w:rsid w:val="009C5395"/>
    <w:rsid w:val="009C5609"/>
    <w:rsid w:val="009C5EBA"/>
    <w:rsid w:val="009C63DA"/>
    <w:rsid w:val="009C6954"/>
    <w:rsid w:val="009C6C77"/>
    <w:rsid w:val="009C6F71"/>
    <w:rsid w:val="009C703C"/>
    <w:rsid w:val="009C7ECF"/>
    <w:rsid w:val="009D0C29"/>
    <w:rsid w:val="009D119F"/>
    <w:rsid w:val="009D1448"/>
    <w:rsid w:val="009D160B"/>
    <w:rsid w:val="009D16FC"/>
    <w:rsid w:val="009D1BD8"/>
    <w:rsid w:val="009D206E"/>
    <w:rsid w:val="009D21E0"/>
    <w:rsid w:val="009D2E0A"/>
    <w:rsid w:val="009D34CE"/>
    <w:rsid w:val="009D3CAA"/>
    <w:rsid w:val="009D4944"/>
    <w:rsid w:val="009D507A"/>
    <w:rsid w:val="009D50E3"/>
    <w:rsid w:val="009D5453"/>
    <w:rsid w:val="009D6028"/>
    <w:rsid w:val="009D6532"/>
    <w:rsid w:val="009D684B"/>
    <w:rsid w:val="009D6DEB"/>
    <w:rsid w:val="009D71FD"/>
    <w:rsid w:val="009D7856"/>
    <w:rsid w:val="009D7859"/>
    <w:rsid w:val="009E0265"/>
    <w:rsid w:val="009E06F0"/>
    <w:rsid w:val="009E0755"/>
    <w:rsid w:val="009E0B16"/>
    <w:rsid w:val="009E10AD"/>
    <w:rsid w:val="009E18F3"/>
    <w:rsid w:val="009E2537"/>
    <w:rsid w:val="009E2588"/>
    <w:rsid w:val="009E2E8E"/>
    <w:rsid w:val="009E31D3"/>
    <w:rsid w:val="009E40E1"/>
    <w:rsid w:val="009E471C"/>
    <w:rsid w:val="009E5843"/>
    <w:rsid w:val="009E5DDA"/>
    <w:rsid w:val="009E6166"/>
    <w:rsid w:val="009E63B3"/>
    <w:rsid w:val="009E64AE"/>
    <w:rsid w:val="009E6E6E"/>
    <w:rsid w:val="009E758B"/>
    <w:rsid w:val="009E7716"/>
    <w:rsid w:val="009E7AA3"/>
    <w:rsid w:val="009E7EF1"/>
    <w:rsid w:val="009E7FD4"/>
    <w:rsid w:val="009F0EFA"/>
    <w:rsid w:val="009F2E9D"/>
    <w:rsid w:val="009F40C5"/>
    <w:rsid w:val="009F4E46"/>
    <w:rsid w:val="009F52BA"/>
    <w:rsid w:val="009F5B65"/>
    <w:rsid w:val="009F5C8D"/>
    <w:rsid w:val="009F5D57"/>
    <w:rsid w:val="009F5F2E"/>
    <w:rsid w:val="009F778C"/>
    <w:rsid w:val="00A00101"/>
    <w:rsid w:val="00A00F51"/>
    <w:rsid w:val="00A01432"/>
    <w:rsid w:val="00A0167A"/>
    <w:rsid w:val="00A01980"/>
    <w:rsid w:val="00A0210F"/>
    <w:rsid w:val="00A0216B"/>
    <w:rsid w:val="00A02D77"/>
    <w:rsid w:val="00A03538"/>
    <w:rsid w:val="00A05182"/>
    <w:rsid w:val="00A05529"/>
    <w:rsid w:val="00A05E48"/>
    <w:rsid w:val="00A0610E"/>
    <w:rsid w:val="00A06225"/>
    <w:rsid w:val="00A0626F"/>
    <w:rsid w:val="00A063BA"/>
    <w:rsid w:val="00A066E6"/>
    <w:rsid w:val="00A06AD8"/>
    <w:rsid w:val="00A07C65"/>
    <w:rsid w:val="00A10584"/>
    <w:rsid w:val="00A110D1"/>
    <w:rsid w:val="00A11863"/>
    <w:rsid w:val="00A11971"/>
    <w:rsid w:val="00A119A4"/>
    <w:rsid w:val="00A119D5"/>
    <w:rsid w:val="00A12420"/>
    <w:rsid w:val="00A12587"/>
    <w:rsid w:val="00A1272F"/>
    <w:rsid w:val="00A128E6"/>
    <w:rsid w:val="00A12E2D"/>
    <w:rsid w:val="00A144D3"/>
    <w:rsid w:val="00A14842"/>
    <w:rsid w:val="00A14936"/>
    <w:rsid w:val="00A15075"/>
    <w:rsid w:val="00A155E8"/>
    <w:rsid w:val="00A16765"/>
    <w:rsid w:val="00A17EA7"/>
    <w:rsid w:val="00A20355"/>
    <w:rsid w:val="00A2074C"/>
    <w:rsid w:val="00A212BB"/>
    <w:rsid w:val="00A21D7D"/>
    <w:rsid w:val="00A21F8F"/>
    <w:rsid w:val="00A22AC3"/>
    <w:rsid w:val="00A23449"/>
    <w:rsid w:val="00A2351E"/>
    <w:rsid w:val="00A23C7A"/>
    <w:rsid w:val="00A23F3F"/>
    <w:rsid w:val="00A24067"/>
    <w:rsid w:val="00A24280"/>
    <w:rsid w:val="00A2480D"/>
    <w:rsid w:val="00A24A4B"/>
    <w:rsid w:val="00A24B3B"/>
    <w:rsid w:val="00A260BF"/>
    <w:rsid w:val="00A2697E"/>
    <w:rsid w:val="00A26BEF"/>
    <w:rsid w:val="00A272C9"/>
    <w:rsid w:val="00A2744D"/>
    <w:rsid w:val="00A27732"/>
    <w:rsid w:val="00A300A3"/>
    <w:rsid w:val="00A3042E"/>
    <w:rsid w:val="00A306F6"/>
    <w:rsid w:val="00A30C04"/>
    <w:rsid w:val="00A30D16"/>
    <w:rsid w:val="00A315CA"/>
    <w:rsid w:val="00A32534"/>
    <w:rsid w:val="00A33582"/>
    <w:rsid w:val="00A33A79"/>
    <w:rsid w:val="00A33EB7"/>
    <w:rsid w:val="00A34E6C"/>
    <w:rsid w:val="00A34FD0"/>
    <w:rsid w:val="00A355BD"/>
    <w:rsid w:val="00A360C4"/>
    <w:rsid w:val="00A361EA"/>
    <w:rsid w:val="00A362D6"/>
    <w:rsid w:val="00A36398"/>
    <w:rsid w:val="00A36CC1"/>
    <w:rsid w:val="00A36F3F"/>
    <w:rsid w:val="00A3700E"/>
    <w:rsid w:val="00A377D4"/>
    <w:rsid w:val="00A37C8D"/>
    <w:rsid w:val="00A4020E"/>
    <w:rsid w:val="00A4034E"/>
    <w:rsid w:val="00A40493"/>
    <w:rsid w:val="00A408E8"/>
    <w:rsid w:val="00A409FD"/>
    <w:rsid w:val="00A40A8F"/>
    <w:rsid w:val="00A40BEE"/>
    <w:rsid w:val="00A40FB5"/>
    <w:rsid w:val="00A41680"/>
    <w:rsid w:val="00A42826"/>
    <w:rsid w:val="00A429B3"/>
    <w:rsid w:val="00A43729"/>
    <w:rsid w:val="00A43C27"/>
    <w:rsid w:val="00A44EC1"/>
    <w:rsid w:val="00A45CF9"/>
    <w:rsid w:val="00A45D9F"/>
    <w:rsid w:val="00A466C7"/>
    <w:rsid w:val="00A46C01"/>
    <w:rsid w:val="00A46F6B"/>
    <w:rsid w:val="00A4767B"/>
    <w:rsid w:val="00A4770F"/>
    <w:rsid w:val="00A50069"/>
    <w:rsid w:val="00A510E4"/>
    <w:rsid w:val="00A512A0"/>
    <w:rsid w:val="00A5148A"/>
    <w:rsid w:val="00A51F8C"/>
    <w:rsid w:val="00A52580"/>
    <w:rsid w:val="00A526F7"/>
    <w:rsid w:val="00A5273B"/>
    <w:rsid w:val="00A53A9D"/>
    <w:rsid w:val="00A5572A"/>
    <w:rsid w:val="00A55FEE"/>
    <w:rsid w:val="00A56304"/>
    <w:rsid w:val="00A5652D"/>
    <w:rsid w:val="00A56EA5"/>
    <w:rsid w:val="00A57422"/>
    <w:rsid w:val="00A57C64"/>
    <w:rsid w:val="00A57D25"/>
    <w:rsid w:val="00A57E20"/>
    <w:rsid w:val="00A603A1"/>
    <w:rsid w:val="00A60D70"/>
    <w:rsid w:val="00A6131A"/>
    <w:rsid w:val="00A6227D"/>
    <w:rsid w:val="00A62831"/>
    <w:rsid w:val="00A62C1A"/>
    <w:rsid w:val="00A6346C"/>
    <w:rsid w:val="00A63CA2"/>
    <w:rsid w:val="00A6426D"/>
    <w:rsid w:val="00A6439B"/>
    <w:rsid w:val="00A64478"/>
    <w:rsid w:val="00A65050"/>
    <w:rsid w:val="00A6566F"/>
    <w:rsid w:val="00A662D6"/>
    <w:rsid w:val="00A665C1"/>
    <w:rsid w:val="00A669A2"/>
    <w:rsid w:val="00A66B32"/>
    <w:rsid w:val="00A673A4"/>
    <w:rsid w:val="00A7001A"/>
    <w:rsid w:val="00A70434"/>
    <w:rsid w:val="00A70622"/>
    <w:rsid w:val="00A70977"/>
    <w:rsid w:val="00A70D58"/>
    <w:rsid w:val="00A70E49"/>
    <w:rsid w:val="00A71190"/>
    <w:rsid w:val="00A71B3A"/>
    <w:rsid w:val="00A71D37"/>
    <w:rsid w:val="00A72D14"/>
    <w:rsid w:val="00A733F6"/>
    <w:rsid w:val="00A73421"/>
    <w:rsid w:val="00A74124"/>
    <w:rsid w:val="00A74158"/>
    <w:rsid w:val="00A744F9"/>
    <w:rsid w:val="00A74547"/>
    <w:rsid w:val="00A746B8"/>
    <w:rsid w:val="00A74AED"/>
    <w:rsid w:val="00A753A1"/>
    <w:rsid w:val="00A75A55"/>
    <w:rsid w:val="00A75C43"/>
    <w:rsid w:val="00A76CEF"/>
    <w:rsid w:val="00A770EE"/>
    <w:rsid w:val="00A7716D"/>
    <w:rsid w:val="00A77613"/>
    <w:rsid w:val="00A77A08"/>
    <w:rsid w:val="00A77B87"/>
    <w:rsid w:val="00A77E01"/>
    <w:rsid w:val="00A801AD"/>
    <w:rsid w:val="00A810C2"/>
    <w:rsid w:val="00A81458"/>
    <w:rsid w:val="00A81851"/>
    <w:rsid w:val="00A826C6"/>
    <w:rsid w:val="00A8390C"/>
    <w:rsid w:val="00A83919"/>
    <w:rsid w:val="00A83C94"/>
    <w:rsid w:val="00A83CDB"/>
    <w:rsid w:val="00A852B0"/>
    <w:rsid w:val="00A85655"/>
    <w:rsid w:val="00A86317"/>
    <w:rsid w:val="00A86341"/>
    <w:rsid w:val="00A86AE0"/>
    <w:rsid w:val="00A86C82"/>
    <w:rsid w:val="00A87E03"/>
    <w:rsid w:val="00A87E13"/>
    <w:rsid w:val="00A90E79"/>
    <w:rsid w:val="00A90F9F"/>
    <w:rsid w:val="00A91030"/>
    <w:rsid w:val="00A91031"/>
    <w:rsid w:val="00A912B0"/>
    <w:rsid w:val="00A91362"/>
    <w:rsid w:val="00A9151C"/>
    <w:rsid w:val="00A919C6"/>
    <w:rsid w:val="00A91BFB"/>
    <w:rsid w:val="00A921D6"/>
    <w:rsid w:val="00A92200"/>
    <w:rsid w:val="00A928BD"/>
    <w:rsid w:val="00A92D61"/>
    <w:rsid w:val="00A92FDB"/>
    <w:rsid w:val="00A936B6"/>
    <w:rsid w:val="00A93DC9"/>
    <w:rsid w:val="00A9560B"/>
    <w:rsid w:val="00A96A6F"/>
    <w:rsid w:val="00A972B3"/>
    <w:rsid w:val="00A97DE9"/>
    <w:rsid w:val="00AA12CD"/>
    <w:rsid w:val="00AA1D7A"/>
    <w:rsid w:val="00AA24E9"/>
    <w:rsid w:val="00AA391E"/>
    <w:rsid w:val="00AA438F"/>
    <w:rsid w:val="00AA4D1C"/>
    <w:rsid w:val="00AA52FD"/>
    <w:rsid w:val="00AA59C3"/>
    <w:rsid w:val="00AA5D40"/>
    <w:rsid w:val="00AA6AB7"/>
    <w:rsid w:val="00AA6AFB"/>
    <w:rsid w:val="00AA6B66"/>
    <w:rsid w:val="00AA7006"/>
    <w:rsid w:val="00AB11C6"/>
    <w:rsid w:val="00AB127A"/>
    <w:rsid w:val="00AB17C8"/>
    <w:rsid w:val="00AB1C46"/>
    <w:rsid w:val="00AB3138"/>
    <w:rsid w:val="00AB4684"/>
    <w:rsid w:val="00AB4FD3"/>
    <w:rsid w:val="00AB5856"/>
    <w:rsid w:val="00AB6A80"/>
    <w:rsid w:val="00AB709A"/>
    <w:rsid w:val="00AB7333"/>
    <w:rsid w:val="00AC081D"/>
    <w:rsid w:val="00AC0C6F"/>
    <w:rsid w:val="00AC1266"/>
    <w:rsid w:val="00AC193C"/>
    <w:rsid w:val="00AC1A00"/>
    <w:rsid w:val="00AC2A87"/>
    <w:rsid w:val="00AC30C1"/>
    <w:rsid w:val="00AC32EC"/>
    <w:rsid w:val="00AC4DE5"/>
    <w:rsid w:val="00AC5031"/>
    <w:rsid w:val="00AC5206"/>
    <w:rsid w:val="00AC5B15"/>
    <w:rsid w:val="00AC6109"/>
    <w:rsid w:val="00AC62D1"/>
    <w:rsid w:val="00AC6B25"/>
    <w:rsid w:val="00AD095B"/>
    <w:rsid w:val="00AD0F43"/>
    <w:rsid w:val="00AD1C0B"/>
    <w:rsid w:val="00AD2472"/>
    <w:rsid w:val="00AD2A54"/>
    <w:rsid w:val="00AD3106"/>
    <w:rsid w:val="00AD3199"/>
    <w:rsid w:val="00AD31CF"/>
    <w:rsid w:val="00AD4322"/>
    <w:rsid w:val="00AD50FD"/>
    <w:rsid w:val="00AD6719"/>
    <w:rsid w:val="00AD7022"/>
    <w:rsid w:val="00AD7351"/>
    <w:rsid w:val="00AE11A5"/>
    <w:rsid w:val="00AE13E2"/>
    <w:rsid w:val="00AE1D22"/>
    <w:rsid w:val="00AE22D3"/>
    <w:rsid w:val="00AE25F7"/>
    <w:rsid w:val="00AE2770"/>
    <w:rsid w:val="00AE43F4"/>
    <w:rsid w:val="00AE465D"/>
    <w:rsid w:val="00AE4A39"/>
    <w:rsid w:val="00AE50AB"/>
    <w:rsid w:val="00AE522B"/>
    <w:rsid w:val="00AE5987"/>
    <w:rsid w:val="00AE5A49"/>
    <w:rsid w:val="00AE5B24"/>
    <w:rsid w:val="00AE5C3A"/>
    <w:rsid w:val="00AE5E9E"/>
    <w:rsid w:val="00AE76C1"/>
    <w:rsid w:val="00AE7974"/>
    <w:rsid w:val="00AF03E6"/>
    <w:rsid w:val="00AF0BCE"/>
    <w:rsid w:val="00AF10A6"/>
    <w:rsid w:val="00AF11D8"/>
    <w:rsid w:val="00AF276D"/>
    <w:rsid w:val="00AF48E0"/>
    <w:rsid w:val="00AF495F"/>
    <w:rsid w:val="00AF5343"/>
    <w:rsid w:val="00AF564E"/>
    <w:rsid w:val="00AF5867"/>
    <w:rsid w:val="00AF62DF"/>
    <w:rsid w:val="00AF6464"/>
    <w:rsid w:val="00AF68CC"/>
    <w:rsid w:val="00AF6E7F"/>
    <w:rsid w:val="00AF70D7"/>
    <w:rsid w:val="00B00086"/>
    <w:rsid w:val="00B00223"/>
    <w:rsid w:val="00B00CD0"/>
    <w:rsid w:val="00B00E7F"/>
    <w:rsid w:val="00B0169F"/>
    <w:rsid w:val="00B01FF4"/>
    <w:rsid w:val="00B0210C"/>
    <w:rsid w:val="00B026A1"/>
    <w:rsid w:val="00B02C40"/>
    <w:rsid w:val="00B0326D"/>
    <w:rsid w:val="00B0331F"/>
    <w:rsid w:val="00B05378"/>
    <w:rsid w:val="00B05A95"/>
    <w:rsid w:val="00B06037"/>
    <w:rsid w:val="00B06478"/>
    <w:rsid w:val="00B07533"/>
    <w:rsid w:val="00B07CFB"/>
    <w:rsid w:val="00B07F62"/>
    <w:rsid w:val="00B10363"/>
    <w:rsid w:val="00B1059E"/>
    <w:rsid w:val="00B11210"/>
    <w:rsid w:val="00B11694"/>
    <w:rsid w:val="00B11768"/>
    <w:rsid w:val="00B127DA"/>
    <w:rsid w:val="00B1289D"/>
    <w:rsid w:val="00B12BE7"/>
    <w:rsid w:val="00B12D31"/>
    <w:rsid w:val="00B130E6"/>
    <w:rsid w:val="00B13364"/>
    <w:rsid w:val="00B13AD1"/>
    <w:rsid w:val="00B13D70"/>
    <w:rsid w:val="00B13FCB"/>
    <w:rsid w:val="00B142D8"/>
    <w:rsid w:val="00B1435B"/>
    <w:rsid w:val="00B149BA"/>
    <w:rsid w:val="00B14A36"/>
    <w:rsid w:val="00B16273"/>
    <w:rsid w:val="00B16461"/>
    <w:rsid w:val="00B164B4"/>
    <w:rsid w:val="00B170A5"/>
    <w:rsid w:val="00B1725F"/>
    <w:rsid w:val="00B176C8"/>
    <w:rsid w:val="00B17CAF"/>
    <w:rsid w:val="00B17DE9"/>
    <w:rsid w:val="00B17EE5"/>
    <w:rsid w:val="00B205AA"/>
    <w:rsid w:val="00B2100A"/>
    <w:rsid w:val="00B210F1"/>
    <w:rsid w:val="00B21A91"/>
    <w:rsid w:val="00B22BA2"/>
    <w:rsid w:val="00B22BBA"/>
    <w:rsid w:val="00B22C82"/>
    <w:rsid w:val="00B22E84"/>
    <w:rsid w:val="00B233AD"/>
    <w:rsid w:val="00B235A3"/>
    <w:rsid w:val="00B23E25"/>
    <w:rsid w:val="00B2405E"/>
    <w:rsid w:val="00B248D5"/>
    <w:rsid w:val="00B254A8"/>
    <w:rsid w:val="00B256C9"/>
    <w:rsid w:val="00B25985"/>
    <w:rsid w:val="00B25F75"/>
    <w:rsid w:val="00B26B3F"/>
    <w:rsid w:val="00B27444"/>
    <w:rsid w:val="00B2778F"/>
    <w:rsid w:val="00B2784F"/>
    <w:rsid w:val="00B2787F"/>
    <w:rsid w:val="00B27980"/>
    <w:rsid w:val="00B30A4C"/>
    <w:rsid w:val="00B30F4B"/>
    <w:rsid w:val="00B327E2"/>
    <w:rsid w:val="00B32B1E"/>
    <w:rsid w:val="00B33635"/>
    <w:rsid w:val="00B33835"/>
    <w:rsid w:val="00B345F8"/>
    <w:rsid w:val="00B3538A"/>
    <w:rsid w:val="00B35B64"/>
    <w:rsid w:val="00B35BB3"/>
    <w:rsid w:val="00B37440"/>
    <w:rsid w:val="00B3750A"/>
    <w:rsid w:val="00B37A23"/>
    <w:rsid w:val="00B37C53"/>
    <w:rsid w:val="00B37CF8"/>
    <w:rsid w:val="00B42690"/>
    <w:rsid w:val="00B42950"/>
    <w:rsid w:val="00B42AF4"/>
    <w:rsid w:val="00B43E90"/>
    <w:rsid w:val="00B44308"/>
    <w:rsid w:val="00B4431C"/>
    <w:rsid w:val="00B454F3"/>
    <w:rsid w:val="00B45580"/>
    <w:rsid w:val="00B45722"/>
    <w:rsid w:val="00B460F4"/>
    <w:rsid w:val="00B467DC"/>
    <w:rsid w:val="00B476E5"/>
    <w:rsid w:val="00B47A88"/>
    <w:rsid w:val="00B47E3C"/>
    <w:rsid w:val="00B47EAA"/>
    <w:rsid w:val="00B50ED4"/>
    <w:rsid w:val="00B5102E"/>
    <w:rsid w:val="00B51A47"/>
    <w:rsid w:val="00B51E09"/>
    <w:rsid w:val="00B51E7C"/>
    <w:rsid w:val="00B51F0E"/>
    <w:rsid w:val="00B52303"/>
    <w:rsid w:val="00B52708"/>
    <w:rsid w:val="00B52CD7"/>
    <w:rsid w:val="00B53225"/>
    <w:rsid w:val="00B5392A"/>
    <w:rsid w:val="00B539EF"/>
    <w:rsid w:val="00B540F5"/>
    <w:rsid w:val="00B54BBC"/>
    <w:rsid w:val="00B55CC8"/>
    <w:rsid w:val="00B56118"/>
    <w:rsid w:val="00B566E1"/>
    <w:rsid w:val="00B569C4"/>
    <w:rsid w:val="00B56AFB"/>
    <w:rsid w:val="00B56E29"/>
    <w:rsid w:val="00B57147"/>
    <w:rsid w:val="00B572BE"/>
    <w:rsid w:val="00B57C40"/>
    <w:rsid w:val="00B602F6"/>
    <w:rsid w:val="00B6076A"/>
    <w:rsid w:val="00B60CF3"/>
    <w:rsid w:val="00B60ED3"/>
    <w:rsid w:val="00B60F83"/>
    <w:rsid w:val="00B60FCF"/>
    <w:rsid w:val="00B610E3"/>
    <w:rsid w:val="00B61ADC"/>
    <w:rsid w:val="00B62EC1"/>
    <w:rsid w:val="00B63251"/>
    <w:rsid w:val="00B63768"/>
    <w:rsid w:val="00B63B29"/>
    <w:rsid w:val="00B6403B"/>
    <w:rsid w:val="00B644BC"/>
    <w:rsid w:val="00B64610"/>
    <w:rsid w:val="00B64A96"/>
    <w:rsid w:val="00B6517B"/>
    <w:rsid w:val="00B6533B"/>
    <w:rsid w:val="00B663B5"/>
    <w:rsid w:val="00B664A6"/>
    <w:rsid w:val="00B6773F"/>
    <w:rsid w:val="00B67948"/>
    <w:rsid w:val="00B67A48"/>
    <w:rsid w:val="00B67F50"/>
    <w:rsid w:val="00B70EB3"/>
    <w:rsid w:val="00B710E8"/>
    <w:rsid w:val="00B7119F"/>
    <w:rsid w:val="00B720A5"/>
    <w:rsid w:val="00B72906"/>
    <w:rsid w:val="00B72BEF"/>
    <w:rsid w:val="00B74C2C"/>
    <w:rsid w:val="00B74C9D"/>
    <w:rsid w:val="00B74F48"/>
    <w:rsid w:val="00B7525E"/>
    <w:rsid w:val="00B75433"/>
    <w:rsid w:val="00B75F70"/>
    <w:rsid w:val="00B760B3"/>
    <w:rsid w:val="00B760FB"/>
    <w:rsid w:val="00B76765"/>
    <w:rsid w:val="00B767AB"/>
    <w:rsid w:val="00B76EBC"/>
    <w:rsid w:val="00B801BA"/>
    <w:rsid w:val="00B80D50"/>
    <w:rsid w:val="00B80F17"/>
    <w:rsid w:val="00B812D6"/>
    <w:rsid w:val="00B81911"/>
    <w:rsid w:val="00B81A6A"/>
    <w:rsid w:val="00B82643"/>
    <w:rsid w:val="00B836AE"/>
    <w:rsid w:val="00B839BB"/>
    <w:rsid w:val="00B83D17"/>
    <w:rsid w:val="00B840B8"/>
    <w:rsid w:val="00B842A6"/>
    <w:rsid w:val="00B846E6"/>
    <w:rsid w:val="00B84D5C"/>
    <w:rsid w:val="00B8514A"/>
    <w:rsid w:val="00B85AF6"/>
    <w:rsid w:val="00B8676E"/>
    <w:rsid w:val="00B86E09"/>
    <w:rsid w:val="00B86E3F"/>
    <w:rsid w:val="00B90552"/>
    <w:rsid w:val="00B91AB7"/>
    <w:rsid w:val="00B92E46"/>
    <w:rsid w:val="00B93199"/>
    <w:rsid w:val="00B941ED"/>
    <w:rsid w:val="00B94C86"/>
    <w:rsid w:val="00B956ED"/>
    <w:rsid w:val="00B95B80"/>
    <w:rsid w:val="00B95F36"/>
    <w:rsid w:val="00B96DF3"/>
    <w:rsid w:val="00BA0EA1"/>
    <w:rsid w:val="00BA188C"/>
    <w:rsid w:val="00BA2DA8"/>
    <w:rsid w:val="00BA347C"/>
    <w:rsid w:val="00BA37AC"/>
    <w:rsid w:val="00BA4C54"/>
    <w:rsid w:val="00BA4C79"/>
    <w:rsid w:val="00BA4D84"/>
    <w:rsid w:val="00BA5537"/>
    <w:rsid w:val="00BA623B"/>
    <w:rsid w:val="00BA696B"/>
    <w:rsid w:val="00BA69DE"/>
    <w:rsid w:val="00BA779C"/>
    <w:rsid w:val="00BB0698"/>
    <w:rsid w:val="00BB0F84"/>
    <w:rsid w:val="00BB120A"/>
    <w:rsid w:val="00BB298A"/>
    <w:rsid w:val="00BB3469"/>
    <w:rsid w:val="00BB3668"/>
    <w:rsid w:val="00BB3D4F"/>
    <w:rsid w:val="00BB5C36"/>
    <w:rsid w:val="00BB5C49"/>
    <w:rsid w:val="00BB6240"/>
    <w:rsid w:val="00BB6285"/>
    <w:rsid w:val="00BB66C8"/>
    <w:rsid w:val="00BB69F5"/>
    <w:rsid w:val="00BB6AE4"/>
    <w:rsid w:val="00BB6E48"/>
    <w:rsid w:val="00BB707A"/>
    <w:rsid w:val="00BB7206"/>
    <w:rsid w:val="00BB76AC"/>
    <w:rsid w:val="00BB7EC3"/>
    <w:rsid w:val="00BB7F39"/>
    <w:rsid w:val="00BC0164"/>
    <w:rsid w:val="00BC04B1"/>
    <w:rsid w:val="00BC0E30"/>
    <w:rsid w:val="00BC1A9E"/>
    <w:rsid w:val="00BC1B9E"/>
    <w:rsid w:val="00BC1C0E"/>
    <w:rsid w:val="00BC28C4"/>
    <w:rsid w:val="00BC28E4"/>
    <w:rsid w:val="00BC2A0D"/>
    <w:rsid w:val="00BC470E"/>
    <w:rsid w:val="00BC4B9A"/>
    <w:rsid w:val="00BC4EB2"/>
    <w:rsid w:val="00BC591C"/>
    <w:rsid w:val="00BC5B44"/>
    <w:rsid w:val="00BC676F"/>
    <w:rsid w:val="00BC6E65"/>
    <w:rsid w:val="00BC7009"/>
    <w:rsid w:val="00BC76E7"/>
    <w:rsid w:val="00BC7737"/>
    <w:rsid w:val="00BC7D1C"/>
    <w:rsid w:val="00BD02C3"/>
    <w:rsid w:val="00BD04F6"/>
    <w:rsid w:val="00BD17B8"/>
    <w:rsid w:val="00BD1DED"/>
    <w:rsid w:val="00BD294F"/>
    <w:rsid w:val="00BD3119"/>
    <w:rsid w:val="00BD4042"/>
    <w:rsid w:val="00BD480B"/>
    <w:rsid w:val="00BD5E24"/>
    <w:rsid w:val="00BD6014"/>
    <w:rsid w:val="00BD6321"/>
    <w:rsid w:val="00BD6569"/>
    <w:rsid w:val="00BD7483"/>
    <w:rsid w:val="00BD784C"/>
    <w:rsid w:val="00BD7852"/>
    <w:rsid w:val="00BD7B92"/>
    <w:rsid w:val="00BE020A"/>
    <w:rsid w:val="00BE10CC"/>
    <w:rsid w:val="00BE13DF"/>
    <w:rsid w:val="00BE1EF0"/>
    <w:rsid w:val="00BE25D7"/>
    <w:rsid w:val="00BE273E"/>
    <w:rsid w:val="00BE4499"/>
    <w:rsid w:val="00BE4786"/>
    <w:rsid w:val="00BE4AE8"/>
    <w:rsid w:val="00BE4F15"/>
    <w:rsid w:val="00BE5225"/>
    <w:rsid w:val="00BE6365"/>
    <w:rsid w:val="00BF03F8"/>
    <w:rsid w:val="00BF065E"/>
    <w:rsid w:val="00BF092C"/>
    <w:rsid w:val="00BF1674"/>
    <w:rsid w:val="00BF18B5"/>
    <w:rsid w:val="00BF21D1"/>
    <w:rsid w:val="00BF27A0"/>
    <w:rsid w:val="00BF2FC1"/>
    <w:rsid w:val="00BF40E6"/>
    <w:rsid w:val="00BF4AD4"/>
    <w:rsid w:val="00BF4B13"/>
    <w:rsid w:val="00BF4CB6"/>
    <w:rsid w:val="00BF51E1"/>
    <w:rsid w:val="00BF5443"/>
    <w:rsid w:val="00BF5B2A"/>
    <w:rsid w:val="00BF5D23"/>
    <w:rsid w:val="00BF6A34"/>
    <w:rsid w:val="00BF6CBD"/>
    <w:rsid w:val="00C0059A"/>
    <w:rsid w:val="00C00775"/>
    <w:rsid w:val="00C00A73"/>
    <w:rsid w:val="00C00DA7"/>
    <w:rsid w:val="00C00E7B"/>
    <w:rsid w:val="00C01657"/>
    <w:rsid w:val="00C01FB9"/>
    <w:rsid w:val="00C02EA6"/>
    <w:rsid w:val="00C034FB"/>
    <w:rsid w:val="00C049C9"/>
    <w:rsid w:val="00C04CDE"/>
    <w:rsid w:val="00C059D5"/>
    <w:rsid w:val="00C05A4D"/>
    <w:rsid w:val="00C064E2"/>
    <w:rsid w:val="00C06791"/>
    <w:rsid w:val="00C068A6"/>
    <w:rsid w:val="00C07C2B"/>
    <w:rsid w:val="00C103E3"/>
    <w:rsid w:val="00C10541"/>
    <w:rsid w:val="00C106C6"/>
    <w:rsid w:val="00C11819"/>
    <w:rsid w:val="00C11DEA"/>
    <w:rsid w:val="00C11FCB"/>
    <w:rsid w:val="00C12768"/>
    <w:rsid w:val="00C12D70"/>
    <w:rsid w:val="00C13055"/>
    <w:rsid w:val="00C13BFC"/>
    <w:rsid w:val="00C13F18"/>
    <w:rsid w:val="00C14011"/>
    <w:rsid w:val="00C141BA"/>
    <w:rsid w:val="00C14B73"/>
    <w:rsid w:val="00C14BB1"/>
    <w:rsid w:val="00C154C8"/>
    <w:rsid w:val="00C157F3"/>
    <w:rsid w:val="00C160CC"/>
    <w:rsid w:val="00C16724"/>
    <w:rsid w:val="00C16D4D"/>
    <w:rsid w:val="00C20630"/>
    <w:rsid w:val="00C21374"/>
    <w:rsid w:val="00C21B09"/>
    <w:rsid w:val="00C223D7"/>
    <w:rsid w:val="00C22B07"/>
    <w:rsid w:val="00C248A0"/>
    <w:rsid w:val="00C24B8D"/>
    <w:rsid w:val="00C2511E"/>
    <w:rsid w:val="00C25EFF"/>
    <w:rsid w:val="00C261D2"/>
    <w:rsid w:val="00C2673A"/>
    <w:rsid w:val="00C27194"/>
    <w:rsid w:val="00C278CD"/>
    <w:rsid w:val="00C27B58"/>
    <w:rsid w:val="00C27C1C"/>
    <w:rsid w:val="00C302C8"/>
    <w:rsid w:val="00C3037B"/>
    <w:rsid w:val="00C30C22"/>
    <w:rsid w:val="00C3166C"/>
    <w:rsid w:val="00C321E5"/>
    <w:rsid w:val="00C33186"/>
    <w:rsid w:val="00C33CBF"/>
    <w:rsid w:val="00C34700"/>
    <w:rsid w:val="00C348EF"/>
    <w:rsid w:val="00C349A5"/>
    <w:rsid w:val="00C34F0D"/>
    <w:rsid w:val="00C35996"/>
    <w:rsid w:val="00C368E6"/>
    <w:rsid w:val="00C37820"/>
    <w:rsid w:val="00C403D0"/>
    <w:rsid w:val="00C40782"/>
    <w:rsid w:val="00C41185"/>
    <w:rsid w:val="00C42BCD"/>
    <w:rsid w:val="00C438A9"/>
    <w:rsid w:val="00C43F0B"/>
    <w:rsid w:val="00C4485F"/>
    <w:rsid w:val="00C4493A"/>
    <w:rsid w:val="00C44DED"/>
    <w:rsid w:val="00C45723"/>
    <w:rsid w:val="00C45ABA"/>
    <w:rsid w:val="00C45F40"/>
    <w:rsid w:val="00C46C13"/>
    <w:rsid w:val="00C46E6F"/>
    <w:rsid w:val="00C4747E"/>
    <w:rsid w:val="00C47E81"/>
    <w:rsid w:val="00C50159"/>
    <w:rsid w:val="00C5151E"/>
    <w:rsid w:val="00C51791"/>
    <w:rsid w:val="00C51E7A"/>
    <w:rsid w:val="00C51FA1"/>
    <w:rsid w:val="00C52256"/>
    <w:rsid w:val="00C52F89"/>
    <w:rsid w:val="00C5332D"/>
    <w:rsid w:val="00C5342C"/>
    <w:rsid w:val="00C53B2B"/>
    <w:rsid w:val="00C54118"/>
    <w:rsid w:val="00C544DA"/>
    <w:rsid w:val="00C547F5"/>
    <w:rsid w:val="00C54F3F"/>
    <w:rsid w:val="00C55F4E"/>
    <w:rsid w:val="00C5632B"/>
    <w:rsid w:val="00C56804"/>
    <w:rsid w:val="00C56D78"/>
    <w:rsid w:val="00C56DDD"/>
    <w:rsid w:val="00C57465"/>
    <w:rsid w:val="00C575E1"/>
    <w:rsid w:val="00C60272"/>
    <w:rsid w:val="00C603D4"/>
    <w:rsid w:val="00C60BB9"/>
    <w:rsid w:val="00C611CC"/>
    <w:rsid w:val="00C61559"/>
    <w:rsid w:val="00C6256A"/>
    <w:rsid w:val="00C6264A"/>
    <w:rsid w:val="00C63FDA"/>
    <w:rsid w:val="00C642B9"/>
    <w:rsid w:val="00C6461B"/>
    <w:rsid w:val="00C64EBC"/>
    <w:rsid w:val="00C661C2"/>
    <w:rsid w:val="00C664D2"/>
    <w:rsid w:val="00C66851"/>
    <w:rsid w:val="00C66C47"/>
    <w:rsid w:val="00C677E1"/>
    <w:rsid w:val="00C67BDE"/>
    <w:rsid w:val="00C67E14"/>
    <w:rsid w:val="00C70E6E"/>
    <w:rsid w:val="00C710E2"/>
    <w:rsid w:val="00C71264"/>
    <w:rsid w:val="00C71BA0"/>
    <w:rsid w:val="00C71C3F"/>
    <w:rsid w:val="00C726F1"/>
    <w:rsid w:val="00C7278B"/>
    <w:rsid w:val="00C72BBF"/>
    <w:rsid w:val="00C72BF6"/>
    <w:rsid w:val="00C7409E"/>
    <w:rsid w:val="00C74557"/>
    <w:rsid w:val="00C748A0"/>
    <w:rsid w:val="00C74D6D"/>
    <w:rsid w:val="00C75571"/>
    <w:rsid w:val="00C75DB9"/>
    <w:rsid w:val="00C7693E"/>
    <w:rsid w:val="00C76E76"/>
    <w:rsid w:val="00C77850"/>
    <w:rsid w:val="00C77891"/>
    <w:rsid w:val="00C77B74"/>
    <w:rsid w:val="00C77E2E"/>
    <w:rsid w:val="00C80193"/>
    <w:rsid w:val="00C80527"/>
    <w:rsid w:val="00C81424"/>
    <w:rsid w:val="00C82062"/>
    <w:rsid w:val="00C8217F"/>
    <w:rsid w:val="00C829A9"/>
    <w:rsid w:val="00C82F47"/>
    <w:rsid w:val="00C8304F"/>
    <w:rsid w:val="00C83D69"/>
    <w:rsid w:val="00C85C83"/>
    <w:rsid w:val="00C8643B"/>
    <w:rsid w:val="00C86466"/>
    <w:rsid w:val="00C874A4"/>
    <w:rsid w:val="00C87B80"/>
    <w:rsid w:val="00C87FB4"/>
    <w:rsid w:val="00C901DE"/>
    <w:rsid w:val="00C90330"/>
    <w:rsid w:val="00C91449"/>
    <w:rsid w:val="00C91F7C"/>
    <w:rsid w:val="00C92D10"/>
    <w:rsid w:val="00C92F79"/>
    <w:rsid w:val="00C94682"/>
    <w:rsid w:val="00C94B43"/>
    <w:rsid w:val="00C95200"/>
    <w:rsid w:val="00C95338"/>
    <w:rsid w:val="00C95F58"/>
    <w:rsid w:val="00C966EB"/>
    <w:rsid w:val="00C96794"/>
    <w:rsid w:val="00C96C91"/>
    <w:rsid w:val="00C96EAA"/>
    <w:rsid w:val="00C96EC0"/>
    <w:rsid w:val="00CA06F9"/>
    <w:rsid w:val="00CA07BF"/>
    <w:rsid w:val="00CA099E"/>
    <w:rsid w:val="00CA0F88"/>
    <w:rsid w:val="00CA10DE"/>
    <w:rsid w:val="00CA14BB"/>
    <w:rsid w:val="00CA230C"/>
    <w:rsid w:val="00CA48D9"/>
    <w:rsid w:val="00CA55ED"/>
    <w:rsid w:val="00CA5E0E"/>
    <w:rsid w:val="00CB0E11"/>
    <w:rsid w:val="00CB1193"/>
    <w:rsid w:val="00CB1AA1"/>
    <w:rsid w:val="00CB1B2F"/>
    <w:rsid w:val="00CB1BDB"/>
    <w:rsid w:val="00CB2B94"/>
    <w:rsid w:val="00CB358A"/>
    <w:rsid w:val="00CB39E4"/>
    <w:rsid w:val="00CB3ADD"/>
    <w:rsid w:val="00CB3E0A"/>
    <w:rsid w:val="00CB3E26"/>
    <w:rsid w:val="00CB4767"/>
    <w:rsid w:val="00CB493D"/>
    <w:rsid w:val="00CB520C"/>
    <w:rsid w:val="00CB5275"/>
    <w:rsid w:val="00CB6BB0"/>
    <w:rsid w:val="00CB733F"/>
    <w:rsid w:val="00CB7589"/>
    <w:rsid w:val="00CC0024"/>
    <w:rsid w:val="00CC0223"/>
    <w:rsid w:val="00CC0AAB"/>
    <w:rsid w:val="00CC1892"/>
    <w:rsid w:val="00CC1FC0"/>
    <w:rsid w:val="00CC2224"/>
    <w:rsid w:val="00CC298B"/>
    <w:rsid w:val="00CC3718"/>
    <w:rsid w:val="00CC3AE4"/>
    <w:rsid w:val="00CC3B97"/>
    <w:rsid w:val="00CC3CA2"/>
    <w:rsid w:val="00CC4959"/>
    <w:rsid w:val="00CC5EF5"/>
    <w:rsid w:val="00CC61C7"/>
    <w:rsid w:val="00CD0AF7"/>
    <w:rsid w:val="00CD176C"/>
    <w:rsid w:val="00CD1953"/>
    <w:rsid w:val="00CD209F"/>
    <w:rsid w:val="00CD2191"/>
    <w:rsid w:val="00CD32EE"/>
    <w:rsid w:val="00CD454E"/>
    <w:rsid w:val="00CD4787"/>
    <w:rsid w:val="00CD4A8C"/>
    <w:rsid w:val="00CD54F1"/>
    <w:rsid w:val="00CD6257"/>
    <w:rsid w:val="00CD79B3"/>
    <w:rsid w:val="00CD7C0B"/>
    <w:rsid w:val="00CD7F18"/>
    <w:rsid w:val="00CE03CB"/>
    <w:rsid w:val="00CE052B"/>
    <w:rsid w:val="00CE10C4"/>
    <w:rsid w:val="00CE2343"/>
    <w:rsid w:val="00CE27B5"/>
    <w:rsid w:val="00CE29A5"/>
    <w:rsid w:val="00CE2BDF"/>
    <w:rsid w:val="00CE2EE1"/>
    <w:rsid w:val="00CE45BB"/>
    <w:rsid w:val="00CE53EC"/>
    <w:rsid w:val="00CE5627"/>
    <w:rsid w:val="00CE65EF"/>
    <w:rsid w:val="00CE6D24"/>
    <w:rsid w:val="00CE6DAF"/>
    <w:rsid w:val="00CE720D"/>
    <w:rsid w:val="00CF1914"/>
    <w:rsid w:val="00CF1D64"/>
    <w:rsid w:val="00CF1EF8"/>
    <w:rsid w:val="00CF28A2"/>
    <w:rsid w:val="00CF2939"/>
    <w:rsid w:val="00CF410A"/>
    <w:rsid w:val="00CF47B8"/>
    <w:rsid w:val="00CF553A"/>
    <w:rsid w:val="00CF5DFE"/>
    <w:rsid w:val="00CF6A49"/>
    <w:rsid w:val="00CF7528"/>
    <w:rsid w:val="00CF7612"/>
    <w:rsid w:val="00CF780E"/>
    <w:rsid w:val="00CF7FDE"/>
    <w:rsid w:val="00D00185"/>
    <w:rsid w:val="00D005C3"/>
    <w:rsid w:val="00D008CB"/>
    <w:rsid w:val="00D01085"/>
    <w:rsid w:val="00D010C5"/>
    <w:rsid w:val="00D011EA"/>
    <w:rsid w:val="00D0124D"/>
    <w:rsid w:val="00D012AF"/>
    <w:rsid w:val="00D0246B"/>
    <w:rsid w:val="00D02A88"/>
    <w:rsid w:val="00D0321E"/>
    <w:rsid w:val="00D03A5C"/>
    <w:rsid w:val="00D03D85"/>
    <w:rsid w:val="00D05457"/>
    <w:rsid w:val="00D055A6"/>
    <w:rsid w:val="00D061BC"/>
    <w:rsid w:val="00D0635D"/>
    <w:rsid w:val="00D06634"/>
    <w:rsid w:val="00D067B7"/>
    <w:rsid w:val="00D069EB"/>
    <w:rsid w:val="00D06CC9"/>
    <w:rsid w:val="00D07A8A"/>
    <w:rsid w:val="00D10B6E"/>
    <w:rsid w:val="00D10D10"/>
    <w:rsid w:val="00D10D56"/>
    <w:rsid w:val="00D10E31"/>
    <w:rsid w:val="00D11199"/>
    <w:rsid w:val="00D14457"/>
    <w:rsid w:val="00D1455A"/>
    <w:rsid w:val="00D14573"/>
    <w:rsid w:val="00D14629"/>
    <w:rsid w:val="00D14A70"/>
    <w:rsid w:val="00D14DD0"/>
    <w:rsid w:val="00D15EE5"/>
    <w:rsid w:val="00D1627A"/>
    <w:rsid w:val="00D1627B"/>
    <w:rsid w:val="00D1720C"/>
    <w:rsid w:val="00D17213"/>
    <w:rsid w:val="00D178D1"/>
    <w:rsid w:val="00D207EA"/>
    <w:rsid w:val="00D20D69"/>
    <w:rsid w:val="00D211FB"/>
    <w:rsid w:val="00D22093"/>
    <w:rsid w:val="00D22648"/>
    <w:rsid w:val="00D22C0E"/>
    <w:rsid w:val="00D23D16"/>
    <w:rsid w:val="00D2401C"/>
    <w:rsid w:val="00D2499E"/>
    <w:rsid w:val="00D24A76"/>
    <w:rsid w:val="00D25031"/>
    <w:rsid w:val="00D2631C"/>
    <w:rsid w:val="00D269FB"/>
    <w:rsid w:val="00D26C32"/>
    <w:rsid w:val="00D30106"/>
    <w:rsid w:val="00D306C9"/>
    <w:rsid w:val="00D31150"/>
    <w:rsid w:val="00D3138B"/>
    <w:rsid w:val="00D313C3"/>
    <w:rsid w:val="00D31FCE"/>
    <w:rsid w:val="00D326A3"/>
    <w:rsid w:val="00D3280C"/>
    <w:rsid w:val="00D3406A"/>
    <w:rsid w:val="00D34541"/>
    <w:rsid w:val="00D34D24"/>
    <w:rsid w:val="00D35404"/>
    <w:rsid w:val="00D36016"/>
    <w:rsid w:val="00D36598"/>
    <w:rsid w:val="00D36BD6"/>
    <w:rsid w:val="00D37CA1"/>
    <w:rsid w:val="00D37D58"/>
    <w:rsid w:val="00D40B11"/>
    <w:rsid w:val="00D4117E"/>
    <w:rsid w:val="00D42343"/>
    <w:rsid w:val="00D42864"/>
    <w:rsid w:val="00D429EC"/>
    <w:rsid w:val="00D42EBA"/>
    <w:rsid w:val="00D441F1"/>
    <w:rsid w:val="00D44BC0"/>
    <w:rsid w:val="00D456B6"/>
    <w:rsid w:val="00D4572C"/>
    <w:rsid w:val="00D45865"/>
    <w:rsid w:val="00D45A04"/>
    <w:rsid w:val="00D4649E"/>
    <w:rsid w:val="00D469B2"/>
    <w:rsid w:val="00D46AF4"/>
    <w:rsid w:val="00D50AB1"/>
    <w:rsid w:val="00D5195F"/>
    <w:rsid w:val="00D51B83"/>
    <w:rsid w:val="00D51C3E"/>
    <w:rsid w:val="00D51D12"/>
    <w:rsid w:val="00D5219B"/>
    <w:rsid w:val="00D52457"/>
    <w:rsid w:val="00D52693"/>
    <w:rsid w:val="00D52B24"/>
    <w:rsid w:val="00D52EAA"/>
    <w:rsid w:val="00D52ECF"/>
    <w:rsid w:val="00D533F8"/>
    <w:rsid w:val="00D5391A"/>
    <w:rsid w:val="00D53F0C"/>
    <w:rsid w:val="00D5411A"/>
    <w:rsid w:val="00D54179"/>
    <w:rsid w:val="00D54514"/>
    <w:rsid w:val="00D549C9"/>
    <w:rsid w:val="00D54B09"/>
    <w:rsid w:val="00D55D5F"/>
    <w:rsid w:val="00D57100"/>
    <w:rsid w:val="00D57A12"/>
    <w:rsid w:val="00D60BD4"/>
    <w:rsid w:val="00D60CD1"/>
    <w:rsid w:val="00D60D29"/>
    <w:rsid w:val="00D6243E"/>
    <w:rsid w:val="00D6324F"/>
    <w:rsid w:val="00D64765"/>
    <w:rsid w:val="00D65658"/>
    <w:rsid w:val="00D66C9C"/>
    <w:rsid w:val="00D671A7"/>
    <w:rsid w:val="00D67EB2"/>
    <w:rsid w:val="00D70349"/>
    <w:rsid w:val="00D709CD"/>
    <w:rsid w:val="00D70B58"/>
    <w:rsid w:val="00D70BA8"/>
    <w:rsid w:val="00D70EFA"/>
    <w:rsid w:val="00D7172D"/>
    <w:rsid w:val="00D71B8C"/>
    <w:rsid w:val="00D72B6F"/>
    <w:rsid w:val="00D73A8B"/>
    <w:rsid w:val="00D741EB"/>
    <w:rsid w:val="00D746FF"/>
    <w:rsid w:val="00D74CEA"/>
    <w:rsid w:val="00D757FA"/>
    <w:rsid w:val="00D7679C"/>
    <w:rsid w:val="00D76809"/>
    <w:rsid w:val="00D817A9"/>
    <w:rsid w:val="00D820F3"/>
    <w:rsid w:val="00D82831"/>
    <w:rsid w:val="00D83605"/>
    <w:rsid w:val="00D841F4"/>
    <w:rsid w:val="00D84797"/>
    <w:rsid w:val="00D84934"/>
    <w:rsid w:val="00D84BC5"/>
    <w:rsid w:val="00D84CBE"/>
    <w:rsid w:val="00D85131"/>
    <w:rsid w:val="00D866EB"/>
    <w:rsid w:val="00D8699B"/>
    <w:rsid w:val="00D86C52"/>
    <w:rsid w:val="00D871E8"/>
    <w:rsid w:val="00D87D1A"/>
    <w:rsid w:val="00D87DFC"/>
    <w:rsid w:val="00D87F69"/>
    <w:rsid w:val="00D906DA"/>
    <w:rsid w:val="00D90E72"/>
    <w:rsid w:val="00D90F8E"/>
    <w:rsid w:val="00D91271"/>
    <w:rsid w:val="00D919F5"/>
    <w:rsid w:val="00D92523"/>
    <w:rsid w:val="00D929E6"/>
    <w:rsid w:val="00D92A87"/>
    <w:rsid w:val="00D92FE8"/>
    <w:rsid w:val="00D945F6"/>
    <w:rsid w:val="00D94F03"/>
    <w:rsid w:val="00D950D3"/>
    <w:rsid w:val="00D95161"/>
    <w:rsid w:val="00D95262"/>
    <w:rsid w:val="00D95C23"/>
    <w:rsid w:val="00D97158"/>
    <w:rsid w:val="00D978AD"/>
    <w:rsid w:val="00DA0A82"/>
    <w:rsid w:val="00DA0D14"/>
    <w:rsid w:val="00DA0DDB"/>
    <w:rsid w:val="00DA1F0B"/>
    <w:rsid w:val="00DA1FC9"/>
    <w:rsid w:val="00DA25CD"/>
    <w:rsid w:val="00DA2C92"/>
    <w:rsid w:val="00DA2CB5"/>
    <w:rsid w:val="00DA32AE"/>
    <w:rsid w:val="00DA358F"/>
    <w:rsid w:val="00DA383E"/>
    <w:rsid w:val="00DA3FB6"/>
    <w:rsid w:val="00DA4BAC"/>
    <w:rsid w:val="00DA5552"/>
    <w:rsid w:val="00DA5924"/>
    <w:rsid w:val="00DA6C52"/>
    <w:rsid w:val="00DA6E6D"/>
    <w:rsid w:val="00DA722E"/>
    <w:rsid w:val="00DA792A"/>
    <w:rsid w:val="00DA7C38"/>
    <w:rsid w:val="00DB0151"/>
    <w:rsid w:val="00DB0160"/>
    <w:rsid w:val="00DB04D7"/>
    <w:rsid w:val="00DB0E3A"/>
    <w:rsid w:val="00DB141D"/>
    <w:rsid w:val="00DB1F8D"/>
    <w:rsid w:val="00DB2744"/>
    <w:rsid w:val="00DB490E"/>
    <w:rsid w:val="00DB5048"/>
    <w:rsid w:val="00DB50E1"/>
    <w:rsid w:val="00DB5F6F"/>
    <w:rsid w:val="00DB7DCF"/>
    <w:rsid w:val="00DC019C"/>
    <w:rsid w:val="00DC0566"/>
    <w:rsid w:val="00DC05E1"/>
    <w:rsid w:val="00DC101E"/>
    <w:rsid w:val="00DC1499"/>
    <w:rsid w:val="00DC1656"/>
    <w:rsid w:val="00DC16CF"/>
    <w:rsid w:val="00DC2BA2"/>
    <w:rsid w:val="00DC2C3E"/>
    <w:rsid w:val="00DC3137"/>
    <w:rsid w:val="00DC3712"/>
    <w:rsid w:val="00DC3A71"/>
    <w:rsid w:val="00DC4880"/>
    <w:rsid w:val="00DC51EA"/>
    <w:rsid w:val="00DC53C1"/>
    <w:rsid w:val="00DC5657"/>
    <w:rsid w:val="00DC581F"/>
    <w:rsid w:val="00DC58A5"/>
    <w:rsid w:val="00DC5DC2"/>
    <w:rsid w:val="00DC5E90"/>
    <w:rsid w:val="00DC64BC"/>
    <w:rsid w:val="00DC6EC3"/>
    <w:rsid w:val="00DC732A"/>
    <w:rsid w:val="00DC7D40"/>
    <w:rsid w:val="00DD00C3"/>
    <w:rsid w:val="00DD04D7"/>
    <w:rsid w:val="00DD0BE9"/>
    <w:rsid w:val="00DD0DEB"/>
    <w:rsid w:val="00DD0FE1"/>
    <w:rsid w:val="00DD177F"/>
    <w:rsid w:val="00DD1B30"/>
    <w:rsid w:val="00DD1F90"/>
    <w:rsid w:val="00DD26F9"/>
    <w:rsid w:val="00DD34A3"/>
    <w:rsid w:val="00DD350E"/>
    <w:rsid w:val="00DD367D"/>
    <w:rsid w:val="00DD42AB"/>
    <w:rsid w:val="00DD5D06"/>
    <w:rsid w:val="00DD5E5E"/>
    <w:rsid w:val="00DD5F9F"/>
    <w:rsid w:val="00DD66E8"/>
    <w:rsid w:val="00DD693F"/>
    <w:rsid w:val="00DD74AD"/>
    <w:rsid w:val="00DE06AF"/>
    <w:rsid w:val="00DE0E13"/>
    <w:rsid w:val="00DE17D0"/>
    <w:rsid w:val="00DE243F"/>
    <w:rsid w:val="00DE347E"/>
    <w:rsid w:val="00DE37F8"/>
    <w:rsid w:val="00DE38D6"/>
    <w:rsid w:val="00DE3BA1"/>
    <w:rsid w:val="00DE4418"/>
    <w:rsid w:val="00DE4E81"/>
    <w:rsid w:val="00DE4F28"/>
    <w:rsid w:val="00DE52C3"/>
    <w:rsid w:val="00DE6619"/>
    <w:rsid w:val="00DE6A03"/>
    <w:rsid w:val="00DE6D27"/>
    <w:rsid w:val="00DE6D95"/>
    <w:rsid w:val="00DE76EA"/>
    <w:rsid w:val="00DE78CA"/>
    <w:rsid w:val="00DF01F8"/>
    <w:rsid w:val="00DF021D"/>
    <w:rsid w:val="00DF14EE"/>
    <w:rsid w:val="00DF217D"/>
    <w:rsid w:val="00DF26A7"/>
    <w:rsid w:val="00DF2CBB"/>
    <w:rsid w:val="00DF3277"/>
    <w:rsid w:val="00DF4DC9"/>
    <w:rsid w:val="00DF5855"/>
    <w:rsid w:val="00DF5BFB"/>
    <w:rsid w:val="00DF6A31"/>
    <w:rsid w:val="00DF70A3"/>
    <w:rsid w:val="00DF7407"/>
    <w:rsid w:val="00DF763B"/>
    <w:rsid w:val="00DF77A1"/>
    <w:rsid w:val="00DF7919"/>
    <w:rsid w:val="00E0207E"/>
    <w:rsid w:val="00E020BE"/>
    <w:rsid w:val="00E02AE6"/>
    <w:rsid w:val="00E02FBF"/>
    <w:rsid w:val="00E03912"/>
    <w:rsid w:val="00E04748"/>
    <w:rsid w:val="00E04CB8"/>
    <w:rsid w:val="00E05C31"/>
    <w:rsid w:val="00E060AF"/>
    <w:rsid w:val="00E0615D"/>
    <w:rsid w:val="00E078D9"/>
    <w:rsid w:val="00E10293"/>
    <w:rsid w:val="00E103A0"/>
    <w:rsid w:val="00E1043F"/>
    <w:rsid w:val="00E1089F"/>
    <w:rsid w:val="00E1157E"/>
    <w:rsid w:val="00E11F44"/>
    <w:rsid w:val="00E13253"/>
    <w:rsid w:val="00E13C55"/>
    <w:rsid w:val="00E13E60"/>
    <w:rsid w:val="00E1463A"/>
    <w:rsid w:val="00E14A95"/>
    <w:rsid w:val="00E14BBA"/>
    <w:rsid w:val="00E15627"/>
    <w:rsid w:val="00E15E3A"/>
    <w:rsid w:val="00E1622B"/>
    <w:rsid w:val="00E164B3"/>
    <w:rsid w:val="00E16910"/>
    <w:rsid w:val="00E16B25"/>
    <w:rsid w:val="00E170E8"/>
    <w:rsid w:val="00E174D2"/>
    <w:rsid w:val="00E20147"/>
    <w:rsid w:val="00E20496"/>
    <w:rsid w:val="00E20A12"/>
    <w:rsid w:val="00E20CE2"/>
    <w:rsid w:val="00E21164"/>
    <w:rsid w:val="00E2180A"/>
    <w:rsid w:val="00E2364E"/>
    <w:rsid w:val="00E239E2"/>
    <w:rsid w:val="00E24724"/>
    <w:rsid w:val="00E24C3F"/>
    <w:rsid w:val="00E24DB7"/>
    <w:rsid w:val="00E24E09"/>
    <w:rsid w:val="00E25427"/>
    <w:rsid w:val="00E256B8"/>
    <w:rsid w:val="00E27234"/>
    <w:rsid w:val="00E275A9"/>
    <w:rsid w:val="00E27876"/>
    <w:rsid w:val="00E27B80"/>
    <w:rsid w:val="00E27DB4"/>
    <w:rsid w:val="00E30695"/>
    <w:rsid w:val="00E3096B"/>
    <w:rsid w:val="00E31306"/>
    <w:rsid w:val="00E322C4"/>
    <w:rsid w:val="00E32BBF"/>
    <w:rsid w:val="00E3495C"/>
    <w:rsid w:val="00E34D46"/>
    <w:rsid w:val="00E35242"/>
    <w:rsid w:val="00E35692"/>
    <w:rsid w:val="00E35985"/>
    <w:rsid w:val="00E35F28"/>
    <w:rsid w:val="00E364D0"/>
    <w:rsid w:val="00E36CE1"/>
    <w:rsid w:val="00E37C39"/>
    <w:rsid w:val="00E37F68"/>
    <w:rsid w:val="00E4023D"/>
    <w:rsid w:val="00E40AB9"/>
    <w:rsid w:val="00E40B30"/>
    <w:rsid w:val="00E4140E"/>
    <w:rsid w:val="00E41D39"/>
    <w:rsid w:val="00E4284F"/>
    <w:rsid w:val="00E42B85"/>
    <w:rsid w:val="00E42BDB"/>
    <w:rsid w:val="00E43579"/>
    <w:rsid w:val="00E4423F"/>
    <w:rsid w:val="00E45E25"/>
    <w:rsid w:val="00E45EA0"/>
    <w:rsid w:val="00E46B13"/>
    <w:rsid w:val="00E47D6D"/>
    <w:rsid w:val="00E50097"/>
    <w:rsid w:val="00E50692"/>
    <w:rsid w:val="00E50F18"/>
    <w:rsid w:val="00E524A9"/>
    <w:rsid w:val="00E52DF5"/>
    <w:rsid w:val="00E535B9"/>
    <w:rsid w:val="00E5379B"/>
    <w:rsid w:val="00E53F1A"/>
    <w:rsid w:val="00E54692"/>
    <w:rsid w:val="00E554B6"/>
    <w:rsid w:val="00E55F50"/>
    <w:rsid w:val="00E56055"/>
    <w:rsid w:val="00E560B5"/>
    <w:rsid w:val="00E56621"/>
    <w:rsid w:val="00E56B39"/>
    <w:rsid w:val="00E5726D"/>
    <w:rsid w:val="00E5730D"/>
    <w:rsid w:val="00E57423"/>
    <w:rsid w:val="00E574AB"/>
    <w:rsid w:val="00E57944"/>
    <w:rsid w:val="00E57EEB"/>
    <w:rsid w:val="00E6137B"/>
    <w:rsid w:val="00E61CFD"/>
    <w:rsid w:val="00E6241F"/>
    <w:rsid w:val="00E62D94"/>
    <w:rsid w:val="00E62ECC"/>
    <w:rsid w:val="00E633E2"/>
    <w:rsid w:val="00E64F37"/>
    <w:rsid w:val="00E65091"/>
    <w:rsid w:val="00E65393"/>
    <w:rsid w:val="00E65E54"/>
    <w:rsid w:val="00E65F31"/>
    <w:rsid w:val="00E661C7"/>
    <w:rsid w:val="00E66679"/>
    <w:rsid w:val="00E71086"/>
    <w:rsid w:val="00E719FD"/>
    <w:rsid w:val="00E71A43"/>
    <w:rsid w:val="00E72110"/>
    <w:rsid w:val="00E72FDA"/>
    <w:rsid w:val="00E732C4"/>
    <w:rsid w:val="00E740F5"/>
    <w:rsid w:val="00E745B6"/>
    <w:rsid w:val="00E74714"/>
    <w:rsid w:val="00E74E41"/>
    <w:rsid w:val="00E75151"/>
    <w:rsid w:val="00E75163"/>
    <w:rsid w:val="00E75686"/>
    <w:rsid w:val="00E75A17"/>
    <w:rsid w:val="00E80155"/>
    <w:rsid w:val="00E80EA9"/>
    <w:rsid w:val="00E81263"/>
    <w:rsid w:val="00E8134B"/>
    <w:rsid w:val="00E81525"/>
    <w:rsid w:val="00E81E0D"/>
    <w:rsid w:val="00E81F28"/>
    <w:rsid w:val="00E82089"/>
    <w:rsid w:val="00E83393"/>
    <w:rsid w:val="00E8358B"/>
    <w:rsid w:val="00E84303"/>
    <w:rsid w:val="00E848C0"/>
    <w:rsid w:val="00E84B4C"/>
    <w:rsid w:val="00E84BB8"/>
    <w:rsid w:val="00E85002"/>
    <w:rsid w:val="00E85E23"/>
    <w:rsid w:val="00E865EB"/>
    <w:rsid w:val="00E86F92"/>
    <w:rsid w:val="00E873C0"/>
    <w:rsid w:val="00E87533"/>
    <w:rsid w:val="00E879DD"/>
    <w:rsid w:val="00E87E54"/>
    <w:rsid w:val="00E87FB0"/>
    <w:rsid w:val="00E90D55"/>
    <w:rsid w:val="00E91B96"/>
    <w:rsid w:val="00E91E29"/>
    <w:rsid w:val="00E922DA"/>
    <w:rsid w:val="00E9239D"/>
    <w:rsid w:val="00E92F2E"/>
    <w:rsid w:val="00E935DA"/>
    <w:rsid w:val="00E93C29"/>
    <w:rsid w:val="00E93D1E"/>
    <w:rsid w:val="00E941A1"/>
    <w:rsid w:val="00E9502C"/>
    <w:rsid w:val="00E95987"/>
    <w:rsid w:val="00E95CE3"/>
    <w:rsid w:val="00E95F9A"/>
    <w:rsid w:val="00E966E3"/>
    <w:rsid w:val="00E96E99"/>
    <w:rsid w:val="00E97A72"/>
    <w:rsid w:val="00E97C57"/>
    <w:rsid w:val="00EA0856"/>
    <w:rsid w:val="00EA0F41"/>
    <w:rsid w:val="00EA13B7"/>
    <w:rsid w:val="00EA1DC4"/>
    <w:rsid w:val="00EA214D"/>
    <w:rsid w:val="00EA23BB"/>
    <w:rsid w:val="00EA252F"/>
    <w:rsid w:val="00EA2825"/>
    <w:rsid w:val="00EA41D9"/>
    <w:rsid w:val="00EA4B01"/>
    <w:rsid w:val="00EA4EFB"/>
    <w:rsid w:val="00EA5027"/>
    <w:rsid w:val="00EA64C2"/>
    <w:rsid w:val="00EA6518"/>
    <w:rsid w:val="00EA71A2"/>
    <w:rsid w:val="00EA7466"/>
    <w:rsid w:val="00EA7C9D"/>
    <w:rsid w:val="00EA7EDE"/>
    <w:rsid w:val="00EB0312"/>
    <w:rsid w:val="00EB0B63"/>
    <w:rsid w:val="00EB0EB5"/>
    <w:rsid w:val="00EB1936"/>
    <w:rsid w:val="00EB1DBA"/>
    <w:rsid w:val="00EB3545"/>
    <w:rsid w:val="00EB37BE"/>
    <w:rsid w:val="00EB4BAE"/>
    <w:rsid w:val="00EB5088"/>
    <w:rsid w:val="00EB6652"/>
    <w:rsid w:val="00EB7210"/>
    <w:rsid w:val="00EB7455"/>
    <w:rsid w:val="00EB74CC"/>
    <w:rsid w:val="00EB75AF"/>
    <w:rsid w:val="00EB7E3B"/>
    <w:rsid w:val="00EC1A50"/>
    <w:rsid w:val="00EC26DB"/>
    <w:rsid w:val="00EC2726"/>
    <w:rsid w:val="00EC2B0C"/>
    <w:rsid w:val="00EC440B"/>
    <w:rsid w:val="00EC47C6"/>
    <w:rsid w:val="00EC4EB1"/>
    <w:rsid w:val="00EC575E"/>
    <w:rsid w:val="00EC681C"/>
    <w:rsid w:val="00EC7199"/>
    <w:rsid w:val="00EC78E4"/>
    <w:rsid w:val="00EC7B87"/>
    <w:rsid w:val="00EC7F5B"/>
    <w:rsid w:val="00ED049A"/>
    <w:rsid w:val="00ED1575"/>
    <w:rsid w:val="00ED1644"/>
    <w:rsid w:val="00ED2593"/>
    <w:rsid w:val="00ED31E6"/>
    <w:rsid w:val="00ED3709"/>
    <w:rsid w:val="00ED432F"/>
    <w:rsid w:val="00ED4BA5"/>
    <w:rsid w:val="00ED5AB5"/>
    <w:rsid w:val="00ED5EB9"/>
    <w:rsid w:val="00ED65AB"/>
    <w:rsid w:val="00ED67AB"/>
    <w:rsid w:val="00ED6E34"/>
    <w:rsid w:val="00ED79C4"/>
    <w:rsid w:val="00ED7C20"/>
    <w:rsid w:val="00ED7D55"/>
    <w:rsid w:val="00ED7D9C"/>
    <w:rsid w:val="00ED7DFA"/>
    <w:rsid w:val="00EE00A7"/>
    <w:rsid w:val="00EE0803"/>
    <w:rsid w:val="00EE2F77"/>
    <w:rsid w:val="00EE3158"/>
    <w:rsid w:val="00EE31A2"/>
    <w:rsid w:val="00EE34B4"/>
    <w:rsid w:val="00EE3A18"/>
    <w:rsid w:val="00EE3AD0"/>
    <w:rsid w:val="00EE41E4"/>
    <w:rsid w:val="00EE4329"/>
    <w:rsid w:val="00EE5D9C"/>
    <w:rsid w:val="00EE6203"/>
    <w:rsid w:val="00EE6558"/>
    <w:rsid w:val="00EE6FB3"/>
    <w:rsid w:val="00EF0069"/>
    <w:rsid w:val="00EF0423"/>
    <w:rsid w:val="00EF0442"/>
    <w:rsid w:val="00EF138E"/>
    <w:rsid w:val="00EF14AF"/>
    <w:rsid w:val="00EF1E32"/>
    <w:rsid w:val="00EF229C"/>
    <w:rsid w:val="00EF28A1"/>
    <w:rsid w:val="00EF2AA7"/>
    <w:rsid w:val="00EF2D1C"/>
    <w:rsid w:val="00EF2D81"/>
    <w:rsid w:val="00EF3199"/>
    <w:rsid w:val="00EF3C52"/>
    <w:rsid w:val="00EF44A0"/>
    <w:rsid w:val="00EF4580"/>
    <w:rsid w:val="00EF4AD3"/>
    <w:rsid w:val="00EF4E96"/>
    <w:rsid w:val="00EF4FED"/>
    <w:rsid w:val="00EF5388"/>
    <w:rsid w:val="00EF5920"/>
    <w:rsid w:val="00EF5C79"/>
    <w:rsid w:val="00EF5F45"/>
    <w:rsid w:val="00EF6843"/>
    <w:rsid w:val="00EF6941"/>
    <w:rsid w:val="00EF6FB3"/>
    <w:rsid w:val="00EF7A19"/>
    <w:rsid w:val="00F0006B"/>
    <w:rsid w:val="00F0068B"/>
    <w:rsid w:val="00F007C6"/>
    <w:rsid w:val="00F00B01"/>
    <w:rsid w:val="00F00E87"/>
    <w:rsid w:val="00F0100F"/>
    <w:rsid w:val="00F0172E"/>
    <w:rsid w:val="00F025D3"/>
    <w:rsid w:val="00F029F5"/>
    <w:rsid w:val="00F04249"/>
    <w:rsid w:val="00F04288"/>
    <w:rsid w:val="00F04399"/>
    <w:rsid w:val="00F050BD"/>
    <w:rsid w:val="00F05657"/>
    <w:rsid w:val="00F05AB0"/>
    <w:rsid w:val="00F05C51"/>
    <w:rsid w:val="00F06451"/>
    <w:rsid w:val="00F06528"/>
    <w:rsid w:val="00F065B4"/>
    <w:rsid w:val="00F07B25"/>
    <w:rsid w:val="00F10DDB"/>
    <w:rsid w:val="00F111EB"/>
    <w:rsid w:val="00F11486"/>
    <w:rsid w:val="00F1239C"/>
    <w:rsid w:val="00F1259C"/>
    <w:rsid w:val="00F12664"/>
    <w:rsid w:val="00F12A83"/>
    <w:rsid w:val="00F12C74"/>
    <w:rsid w:val="00F13214"/>
    <w:rsid w:val="00F137FE"/>
    <w:rsid w:val="00F13DCF"/>
    <w:rsid w:val="00F15450"/>
    <w:rsid w:val="00F1559A"/>
    <w:rsid w:val="00F17ED6"/>
    <w:rsid w:val="00F201CF"/>
    <w:rsid w:val="00F20676"/>
    <w:rsid w:val="00F209E2"/>
    <w:rsid w:val="00F20A81"/>
    <w:rsid w:val="00F21082"/>
    <w:rsid w:val="00F229D3"/>
    <w:rsid w:val="00F22BD7"/>
    <w:rsid w:val="00F237EB"/>
    <w:rsid w:val="00F23957"/>
    <w:rsid w:val="00F2398F"/>
    <w:rsid w:val="00F239A5"/>
    <w:rsid w:val="00F23C09"/>
    <w:rsid w:val="00F25578"/>
    <w:rsid w:val="00F25707"/>
    <w:rsid w:val="00F258E5"/>
    <w:rsid w:val="00F25B9C"/>
    <w:rsid w:val="00F26419"/>
    <w:rsid w:val="00F2675A"/>
    <w:rsid w:val="00F26CC6"/>
    <w:rsid w:val="00F26D80"/>
    <w:rsid w:val="00F271C1"/>
    <w:rsid w:val="00F27288"/>
    <w:rsid w:val="00F300BC"/>
    <w:rsid w:val="00F305FA"/>
    <w:rsid w:val="00F30E40"/>
    <w:rsid w:val="00F32491"/>
    <w:rsid w:val="00F3263C"/>
    <w:rsid w:val="00F3280C"/>
    <w:rsid w:val="00F3293E"/>
    <w:rsid w:val="00F32E76"/>
    <w:rsid w:val="00F33079"/>
    <w:rsid w:val="00F3334E"/>
    <w:rsid w:val="00F3573A"/>
    <w:rsid w:val="00F366BA"/>
    <w:rsid w:val="00F369E0"/>
    <w:rsid w:val="00F36C52"/>
    <w:rsid w:val="00F36CCB"/>
    <w:rsid w:val="00F374E5"/>
    <w:rsid w:val="00F3751D"/>
    <w:rsid w:val="00F37B93"/>
    <w:rsid w:val="00F37BAD"/>
    <w:rsid w:val="00F37CD5"/>
    <w:rsid w:val="00F37ECA"/>
    <w:rsid w:val="00F37FF9"/>
    <w:rsid w:val="00F40500"/>
    <w:rsid w:val="00F409E4"/>
    <w:rsid w:val="00F40A1C"/>
    <w:rsid w:val="00F4159D"/>
    <w:rsid w:val="00F41874"/>
    <w:rsid w:val="00F42934"/>
    <w:rsid w:val="00F43AF2"/>
    <w:rsid w:val="00F4492F"/>
    <w:rsid w:val="00F45216"/>
    <w:rsid w:val="00F45404"/>
    <w:rsid w:val="00F45D7E"/>
    <w:rsid w:val="00F46228"/>
    <w:rsid w:val="00F46752"/>
    <w:rsid w:val="00F5007E"/>
    <w:rsid w:val="00F508F6"/>
    <w:rsid w:val="00F50EC4"/>
    <w:rsid w:val="00F513E1"/>
    <w:rsid w:val="00F5169F"/>
    <w:rsid w:val="00F52227"/>
    <w:rsid w:val="00F52232"/>
    <w:rsid w:val="00F527B1"/>
    <w:rsid w:val="00F52931"/>
    <w:rsid w:val="00F52DC2"/>
    <w:rsid w:val="00F538D3"/>
    <w:rsid w:val="00F53EF1"/>
    <w:rsid w:val="00F54AF9"/>
    <w:rsid w:val="00F54B49"/>
    <w:rsid w:val="00F550CF"/>
    <w:rsid w:val="00F552C8"/>
    <w:rsid w:val="00F553D2"/>
    <w:rsid w:val="00F554D8"/>
    <w:rsid w:val="00F55859"/>
    <w:rsid w:val="00F55C60"/>
    <w:rsid w:val="00F56766"/>
    <w:rsid w:val="00F56A2D"/>
    <w:rsid w:val="00F570C7"/>
    <w:rsid w:val="00F57356"/>
    <w:rsid w:val="00F57A6D"/>
    <w:rsid w:val="00F6044B"/>
    <w:rsid w:val="00F61E5D"/>
    <w:rsid w:val="00F6215B"/>
    <w:rsid w:val="00F624C5"/>
    <w:rsid w:val="00F627AC"/>
    <w:rsid w:val="00F62F19"/>
    <w:rsid w:val="00F638CC"/>
    <w:rsid w:val="00F63A97"/>
    <w:rsid w:val="00F63D65"/>
    <w:rsid w:val="00F63D80"/>
    <w:rsid w:val="00F64052"/>
    <w:rsid w:val="00F64C9E"/>
    <w:rsid w:val="00F64CC1"/>
    <w:rsid w:val="00F64FC8"/>
    <w:rsid w:val="00F657E1"/>
    <w:rsid w:val="00F663DD"/>
    <w:rsid w:val="00F665F4"/>
    <w:rsid w:val="00F66B8F"/>
    <w:rsid w:val="00F6713D"/>
    <w:rsid w:val="00F67742"/>
    <w:rsid w:val="00F67B92"/>
    <w:rsid w:val="00F708B1"/>
    <w:rsid w:val="00F71FEF"/>
    <w:rsid w:val="00F72317"/>
    <w:rsid w:val="00F73A48"/>
    <w:rsid w:val="00F73DC1"/>
    <w:rsid w:val="00F74544"/>
    <w:rsid w:val="00F74961"/>
    <w:rsid w:val="00F74F03"/>
    <w:rsid w:val="00F7535C"/>
    <w:rsid w:val="00F75BB8"/>
    <w:rsid w:val="00F762E0"/>
    <w:rsid w:val="00F76B3E"/>
    <w:rsid w:val="00F7722C"/>
    <w:rsid w:val="00F7732A"/>
    <w:rsid w:val="00F77714"/>
    <w:rsid w:val="00F77BD3"/>
    <w:rsid w:val="00F77E7C"/>
    <w:rsid w:val="00F80475"/>
    <w:rsid w:val="00F80E6E"/>
    <w:rsid w:val="00F81390"/>
    <w:rsid w:val="00F81F7A"/>
    <w:rsid w:val="00F8247A"/>
    <w:rsid w:val="00F824C0"/>
    <w:rsid w:val="00F826B5"/>
    <w:rsid w:val="00F8292E"/>
    <w:rsid w:val="00F82E5C"/>
    <w:rsid w:val="00F83E86"/>
    <w:rsid w:val="00F83F58"/>
    <w:rsid w:val="00F84067"/>
    <w:rsid w:val="00F85206"/>
    <w:rsid w:val="00F858A1"/>
    <w:rsid w:val="00F8597A"/>
    <w:rsid w:val="00F85EDB"/>
    <w:rsid w:val="00F861E3"/>
    <w:rsid w:val="00F87C7A"/>
    <w:rsid w:val="00F87CEA"/>
    <w:rsid w:val="00F919C6"/>
    <w:rsid w:val="00F9265D"/>
    <w:rsid w:val="00F92F7E"/>
    <w:rsid w:val="00F93EB3"/>
    <w:rsid w:val="00F944E2"/>
    <w:rsid w:val="00F9580F"/>
    <w:rsid w:val="00F96060"/>
    <w:rsid w:val="00F9629A"/>
    <w:rsid w:val="00F966B0"/>
    <w:rsid w:val="00F97EFC"/>
    <w:rsid w:val="00FA0705"/>
    <w:rsid w:val="00FA0B04"/>
    <w:rsid w:val="00FA0C7C"/>
    <w:rsid w:val="00FA0E1B"/>
    <w:rsid w:val="00FA119A"/>
    <w:rsid w:val="00FA1BDD"/>
    <w:rsid w:val="00FA1FAB"/>
    <w:rsid w:val="00FA2946"/>
    <w:rsid w:val="00FA305C"/>
    <w:rsid w:val="00FA4550"/>
    <w:rsid w:val="00FA462E"/>
    <w:rsid w:val="00FA4CA5"/>
    <w:rsid w:val="00FA4DA9"/>
    <w:rsid w:val="00FA4DD5"/>
    <w:rsid w:val="00FA4E51"/>
    <w:rsid w:val="00FA5883"/>
    <w:rsid w:val="00FA6055"/>
    <w:rsid w:val="00FA6444"/>
    <w:rsid w:val="00FA6446"/>
    <w:rsid w:val="00FA6839"/>
    <w:rsid w:val="00FA6944"/>
    <w:rsid w:val="00FA6ED7"/>
    <w:rsid w:val="00FA72AF"/>
    <w:rsid w:val="00FA77B1"/>
    <w:rsid w:val="00FA7959"/>
    <w:rsid w:val="00FB0430"/>
    <w:rsid w:val="00FB0B39"/>
    <w:rsid w:val="00FB0F39"/>
    <w:rsid w:val="00FB2105"/>
    <w:rsid w:val="00FB217B"/>
    <w:rsid w:val="00FB2656"/>
    <w:rsid w:val="00FB26BF"/>
    <w:rsid w:val="00FB322F"/>
    <w:rsid w:val="00FB3C04"/>
    <w:rsid w:val="00FB442F"/>
    <w:rsid w:val="00FB44C9"/>
    <w:rsid w:val="00FB4B99"/>
    <w:rsid w:val="00FB4EF0"/>
    <w:rsid w:val="00FB5016"/>
    <w:rsid w:val="00FC0041"/>
    <w:rsid w:val="00FC118C"/>
    <w:rsid w:val="00FC1929"/>
    <w:rsid w:val="00FC1953"/>
    <w:rsid w:val="00FC4305"/>
    <w:rsid w:val="00FC5B46"/>
    <w:rsid w:val="00FC7026"/>
    <w:rsid w:val="00FC7192"/>
    <w:rsid w:val="00FC7AFD"/>
    <w:rsid w:val="00FC7EFC"/>
    <w:rsid w:val="00FD091F"/>
    <w:rsid w:val="00FD18C3"/>
    <w:rsid w:val="00FD1D4F"/>
    <w:rsid w:val="00FD20EB"/>
    <w:rsid w:val="00FD219E"/>
    <w:rsid w:val="00FD2338"/>
    <w:rsid w:val="00FD24BF"/>
    <w:rsid w:val="00FD26B0"/>
    <w:rsid w:val="00FD292C"/>
    <w:rsid w:val="00FD2F1F"/>
    <w:rsid w:val="00FD30AA"/>
    <w:rsid w:val="00FD34EE"/>
    <w:rsid w:val="00FD3972"/>
    <w:rsid w:val="00FD3A3D"/>
    <w:rsid w:val="00FD3B6E"/>
    <w:rsid w:val="00FD4140"/>
    <w:rsid w:val="00FD46BD"/>
    <w:rsid w:val="00FD49EA"/>
    <w:rsid w:val="00FD569A"/>
    <w:rsid w:val="00FD57EB"/>
    <w:rsid w:val="00FD6D8E"/>
    <w:rsid w:val="00FD75FE"/>
    <w:rsid w:val="00FE0663"/>
    <w:rsid w:val="00FE0E94"/>
    <w:rsid w:val="00FE113B"/>
    <w:rsid w:val="00FE11E3"/>
    <w:rsid w:val="00FE18DE"/>
    <w:rsid w:val="00FE2548"/>
    <w:rsid w:val="00FE28FD"/>
    <w:rsid w:val="00FE2D3D"/>
    <w:rsid w:val="00FE369C"/>
    <w:rsid w:val="00FE3CD9"/>
    <w:rsid w:val="00FE43A6"/>
    <w:rsid w:val="00FE49D6"/>
    <w:rsid w:val="00FE5009"/>
    <w:rsid w:val="00FE5012"/>
    <w:rsid w:val="00FE5050"/>
    <w:rsid w:val="00FE5061"/>
    <w:rsid w:val="00FE6555"/>
    <w:rsid w:val="00FE710D"/>
    <w:rsid w:val="00FE7854"/>
    <w:rsid w:val="00FE7FA5"/>
    <w:rsid w:val="00FF00BD"/>
    <w:rsid w:val="00FF067C"/>
    <w:rsid w:val="00FF0A3A"/>
    <w:rsid w:val="00FF0B13"/>
    <w:rsid w:val="00FF0EB1"/>
    <w:rsid w:val="00FF0F54"/>
    <w:rsid w:val="00FF1054"/>
    <w:rsid w:val="00FF1672"/>
    <w:rsid w:val="00FF1ED4"/>
    <w:rsid w:val="00FF1EDF"/>
    <w:rsid w:val="00FF2801"/>
    <w:rsid w:val="00FF43B0"/>
    <w:rsid w:val="00FF440F"/>
    <w:rsid w:val="00FF4754"/>
    <w:rsid w:val="00FF5101"/>
    <w:rsid w:val="00FF5587"/>
    <w:rsid w:val="00FF61DF"/>
    <w:rsid w:val="00FF62A4"/>
    <w:rsid w:val="00FF6734"/>
    <w:rsid w:val="00FF68C8"/>
    <w:rsid w:val="00FF6EB7"/>
    <w:rsid w:val="00FF74EF"/>
    <w:rsid w:val="00FF799B"/>
    <w:rsid w:val="01215A69"/>
    <w:rsid w:val="012A7082"/>
    <w:rsid w:val="0143FC8B"/>
    <w:rsid w:val="01472274"/>
    <w:rsid w:val="0172F46C"/>
    <w:rsid w:val="01BAC867"/>
    <w:rsid w:val="0254441C"/>
    <w:rsid w:val="02D3C907"/>
    <w:rsid w:val="02E816C3"/>
    <w:rsid w:val="02ECFDB1"/>
    <w:rsid w:val="032394EB"/>
    <w:rsid w:val="033B2F40"/>
    <w:rsid w:val="037F6273"/>
    <w:rsid w:val="03C73FEB"/>
    <w:rsid w:val="03DA956B"/>
    <w:rsid w:val="03EDF184"/>
    <w:rsid w:val="040AE707"/>
    <w:rsid w:val="0437B5A4"/>
    <w:rsid w:val="04511F0C"/>
    <w:rsid w:val="045582A0"/>
    <w:rsid w:val="04A12F4E"/>
    <w:rsid w:val="04B95EF1"/>
    <w:rsid w:val="04DBE9EA"/>
    <w:rsid w:val="05182518"/>
    <w:rsid w:val="051D99F9"/>
    <w:rsid w:val="05B612E3"/>
    <w:rsid w:val="0605216C"/>
    <w:rsid w:val="063D1140"/>
    <w:rsid w:val="063EE9F7"/>
    <w:rsid w:val="0697D457"/>
    <w:rsid w:val="069F379E"/>
    <w:rsid w:val="06AD6CEE"/>
    <w:rsid w:val="076CEE75"/>
    <w:rsid w:val="07F251AF"/>
    <w:rsid w:val="08185FB9"/>
    <w:rsid w:val="082A09EB"/>
    <w:rsid w:val="089BC592"/>
    <w:rsid w:val="08A1BF4B"/>
    <w:rsid w:val="08B9F8FC"/>
    <w:rsid w:val="08BC0F8E"/>
    <w:rsid w:val="09597567"/>
    <w:rsid w:val="09E466C7"/>
    <w:rsid w:val="0A0C7AE1"/>
    <w:rsid w:val="0A663D94"/>
    <w:rsid w:val="0AD5557B"/>
    <w:rsid w:val="0B1BF5E7"/>
    <w:rsid w:val="0C5332CF"/>
    <w:rsid w:val="0C6D5C62"/>
    <w:rsid w:val="0C844C79"/>
    <w:rsid w:val="0CDCDEF4"/>
    <w:rsid w:val="0CF130DF"/>
    <w:rsid w:val="0CFE1DFD"/>
    <w:rsid w:val="0D024A17"/>
    <w:rsid w:val="0D4E5F47"/>
    <w:rsid w:val="0D4FC7CF"/>
    <w:rsid w:val="0D656DEA"/>
    <w:rsid w:val="0DC4E36E"/>
    <w:rsid w:val="0DDBED9B"/>
    <w:rsid w:val="0E17400C"/>
    <w:rsid w:val="0E3EE335"/>
    <w:rsid w:val="0E5E506F"/>
    <w:rsid w:val="0EFAE02F"/>
    <w:rsid w:val="0F5CF529"/>
    <w:rsid w:val="0FC31246"/>
    <w:rsid w:val="1023E0F9"/>
    <w:rsid w:val="10DEC82E"/>
    <w:rsid w:val="12509CB1"/>
    <w:rsid w:val="12539970"/>
    <w:rsid w:val="1272477B"/>
    <w:rsid w:val="12B95C68"/>
    <w:rsid w:val="13E9FE34"/>
    <w:rsid w:val="14DEC95A"/>
    <w:rsid w:val="14F07869"/>
    <w:rsid w:val="15107A79"/>
    <w:rsid w:val="1540B5A7"/>
    <w:rsid w:val="1559BAC6"/>
    <w:rsid w:val="1582359F"/>
    <w:rsid w:val="162998A6"/>
    <w:rsid w:val="17FD5F39"/>
    <w:rsid w:val="1813271E"/>
    <w:rsid w:val="18657CF4"/>
    <w:rsid w:val="1911E558"/>
    <w:rsid w:val="19890FA6"/>
    <w:rsid w:val="19B44400"/>
    <w:rsid w:val="19F2311B"/>
    <w:rsid w:val="19F7AA11"/>
    <w:rsid w:val="1A09CDF1"/>
    <w:rsid w:val="1A0D3C6A"/>
    <w:rsid w:val="1A2D1BE7"/>
    <w:rsid w:val="1A8A0C43"/>
    <w:rsid w:val="1B0BFFE7"/>
    <w:rsid w:val="1B4DABE9"/>
    <w:rsid w:val="1B4F75B8"/>
    <w:rsid w:val="1BF2AB92"/>
    <w:rsid w:val="1CB61375"/>
    <w:rsid w:val="1D0C64FB"/>
    <w:rsid w:val="1D4E7C25"/>
    <w:rsid w:val="1D6033D6"/>
    <w:rsid w:val="1DAB06FC"/>
    <w:rsid w:val="1DDBDA0D"/>
    <w:rsid w:val="1DFBC403"/>
    <w:rsid w:val="1E382E8C"/>
    <w:rsid w:val="1E6D0D3C"/>
    <w:rsid w:val="1E938E64"/>
    <w:rsid w:val="1E96D3B2"/>
    <w:rsid w:val="1EAFF635"/>
    <w:rsid w:val="1F3EECBD"/>
    <w:rsid w:val="1F43189E"/>
    <w:rsid w:val="1FB6E350"/>
    <w:rsid w:val="1FF3162D"/>
    <w:rsid w:val="2009EB8A"/>
    <w:rsid w:val="2045D9CA"/>
    <w:rsid w:val="210F5AF1"/>
    <w:rsid w:val="2110C26F"/>
    <w:rsid w:val="212CBC64"/>
    <w:rsid w:val="21A177AE"/>
    <w:rsid w:val="21EE171B"/>
    <w:rsid w:val="21FC014A"/>
    <w:rsid w:val="229BDC6F"/>
    <w:rsid w:val="22DA6E7E"/>
    <w:rsid w:val="231C3354"/>
    <w:rsid w:val="231FC24E"/>
    <w:rsid w:val="236FF9C5"/>
    <w:rsid w:val="238CC620"/>
    <w:rsid w:val="23B3CF88"/>
    <w:rsid w:val="2424CDE6"/>
    <w:rsid w:val="244B8CF8"/>
    <w:rsid w:val="249AFC6B"/>
    <w:rsid w:val="24C0A041"/>
    <w:rsid w:val="24CA5046"/>
    <w:rsid w:val="24EA198B"/>
    <w:rsid w:val="24F4814D"/>
    <w:rsid w:val="24F49182"/>
    <w:rsid w:val="250448F6"/>
    <w:rsid w:val="25454866"/>
    <w:rsid w:val="258615BB"/>
    <w:rsid w:val="25F1041B"/>
    <w:rsid w:val="25FBA2AB"/>
    <w:rsid w:val="262A09B9"/>
    <w:rsid w:val="263C17BE"/>
    <w:rsid w:val="26615FE7"/>
    <w:rsid w:val="2678B15D"/>
    <w:rsid w:val="26E4140F"/>
    <w:rsid w:val="26F6F44A"/>
    <w:rsid w:val="27394882"/>
    <w:rsid w:val="2751E3E7"/>
    <w:rsid w:val="277C2D9B"/>
    <w:rsid w:val="278ABB10"/>
    <w:rsid w:val="27A4119F"/>
    <w:rsid w:val="27F15365"/>
    <w:rsid w:val="27F5AA1A"/>
    <w:rsid w:val="28B27485"/>
    <w:rsid w:val="29365BD7"/>
    <w:rsid w:val="29882150"/>
    <w:rsid w:val="29E0E709"/>
    <w:rsid w:val="2AA490C3"/>
    <w:rsid w:val="2AB480AD"/>
    <w:rsid w:val="2B593456"/>
    <w:rsid w:val="2B7CED6B"/>
    <w:rsid w:val="2B8D5B09"/>
    <w:rsid w:val="2C4C1D68"/>
    <w:rsid w:val="2C7C3DFB"/>
    <w:rsid w:val="2D470254"/>
    <w:rsid w:val="2DCC3BC3"/>
    <w:rsid w:val="2DECC312"/>
    <w:rsid w:val="2E4579D6"/>
    <w:rsid w:val="2EA17445"/>
    <w:rsid w:val="2EC28206"/>
    <w:rsid w:val="2EF0545B"/>
    <w:rsid w:val="2F0EBF05"/>
    <w:rsid w:val="2FC97F8A"/>
    <w:rsid w:val="300EDF22"/>
    <w:rsid w:val="301B1485"/>
    <w:rsid w:val="3079EB0D"/>
    <w:rsid w:val="307D714D"/>
    <w:rsid w:val="3093AC95"/>
    <w:rsid w:val="30A01D4B"/>
    <w:rsid w:val="30E8B387"/>
    <w:rsid w:val="3147C617"/>
    <w:rsid w:val="3189D6E2"/>
    <w:rsid w:val="31C1265F"/>
    <w:rsid w:val="321F658F"/>
    <w:rsid w:val="32A558AD"/>
    <w:rsid w:val="32F27442"/>
    <w:rsid w:val="32FFC29C"/>
    <w:rsid w:val="3320F36F"/>
    <w:rsid w:val="332E3FA0"/>
    <w:rsid w:val="33ADA7D6"/>
    <w:rsid w:val="340D0A3D"/>
    <w:rsid w:val="343A4F58"/>
    <w:rsid w:val="34E7EA92"/>
    <w:rsid w:val="352E134C"/>
    <w:rsid w:val="363425FC"/>
    <w:rsid w:val="370A78A0"/>
    <w:rsid w:val="373C6128"/>
    <w:rsid w:val="37C1F8E8"/>
    <w:rsid w:val="3805C0E7"/>
    <w:rsid w:val="38168071"/>
    <w:rsid w:val="38D55731"/>
    <w:rsid w:val="393376D2"/>
    <w:rsid w:val="395463D1"/>
    <w:rsid w:val="398863F1"/>
    <w:rsid w:val="39F27BA6"/>
    <w:rsid w:val="3A20C143"/>
    <w:rsid w:val="3A4C135D"/>
    <w:rsid w:val="3B1B855D"/>
    <w:rsid w:val="3B8EA803"/>
    <w:rsid w:val="3BA095AD"/>
    <w:rsid w:val="3CED4B30"/>
    <w:rsid w:val="3EDC23CB"/>
    <w:rsid w:val="3F55AFCF"/>
    <w:rsid w:val="3F8821FC"/>
    <w:rsid w:val="40771079"/>
    <w:rsid w:val="40930EF5"/>
    <w:rsid w:val="4110CDB4"/>
    <w:rsid w:val="418BF4D2"/>
    <w:rsid w:val="41E1B904"/>
    <w:rsid w:val="42691D0F"/>
    <w:rsid w:val="428CC8B9"/>
    <w:rsid w:val="431B6C5A"/>
    <w:rsid w:val="436B7E08"/>
    <w:rsid w:val="4372D6C2"/>
    <w:rsid w:val="4401CA6C"/>
    <w:rsid w:val="4423FAF4"/>
    <w:rsid w:val="443448FB"/>
    <w:rsid w:val="443D3DE2"/>
    <w:rsid w:val="44505BFC"/>
    <w:rsid w:val="44509721"/>
    <w:rsid w:val="450F5A46"/>
    <w:rsid w:val="4536166F"/>
    <w:rsid w:val="456C4AA2"/>
    <w:rsid w:val="4641A0D0"/>
    <w:rsid w:val="48125C18"/>
    <w:rsid w:val="483DA525"/>
    <w:rsid w:val="4873567A"/>
    <w:rsid w:val="48F582C0"/>
    <w:rsid w:val="495D9BBE"/>
    <w:rsid w:val="49B7B512"/>
    <w:rsid w:val="4A0F3A59"/>
    <w:rsid w:val="4AE86C22"/>
    <w:rsid w:val="4AEDDB52"/>
    <w:rsid w:val="4B2F0C6F"/>
    <w:rsid w:val="4B530EAF"/>
    <w:rsid w:val="4B7A4C6F"/>
    <w:rsid w:val="4B856F1B"/>
    <w:rsid w:val="4BD8C8E0"/>
    <w:rsid w:val="4C8B405E"/>
    <w:rsid w:val="4CA8BA21"/>
    <w:rsid w:val="4CF5F7AD"/>
    <w:rsid w:val="4D21EA56"/>
    <w:rsid w:val="4D84F43A"/>
    <w:rsid w:val="4DA14906"/>
    <w:rsid w:val="4DD74500"/>
    <w:rsid w:val="4DE5DC6D"/>
    <w:rsid w:val="4E99415A"/>
    <w:rsid w:val="4EE3854C"/>
    <w:rsid w:val="4F28A562"/>
    <w:rsid w:val="4F521A96"/>
    <w:rsid w:val="5057B658"/>
    <w:rsid w:val="50C74562"/>
    <w:rsid w:val="50F1C25A"/>
    <w:rsid w:val="517C50E5"/>
    <w:rsid w:val="51A107A9"/>
    <w:rsid w:val="51CC42B0"/>
    <w:rsid w:val="51E28164"/>
    <w:rsid w:val="521C1C44"/>
    <w:rsid w:val="53044900"/>
    <w:rsid w:val="530B9722"/>
    <w:rsid w:val="53229BC9"/>
    <w:rsid w:val="53470AFA"/>
    <w:rsid w:val="53B39A2E"/>
    <w:rsid w:val="53C74147"/>
    <w:rsid w:val="54C17BA2"/>
    <w:rsid w:val="54C80A15"/>
    <w:rsid w:val="553311EF"/>
    <w:rsid w:val="559D943B"/>
    <w:rsid w:val="55ACD1A0"/>
    <w:rsid w:val="55B6C4A5"/>
    <w:rsid w:val="561D9A77"/>
    <w:rsid w:val="564D294D"/>
    <w:rsid w:val="5675EC8F"/>
    <w:rsid w:val="56AFA43F"/>
    <w:rsid w:val="5700D100"/>
    <w:rsid w:val="57889F86"/>
    <w:rsid w:val="57AAF4C0"/>
    <w:rsid w:val="58723DEE"/>
    <w:rsid w:val="58963761"/>
    <w:rsid w:val="58C9F1AF"/>
    <w:rsid w:val="590877AE"/>
    <w:rsid w:val="59185BFB"/>
    <w:rsid w:val="593F501C"/>
    <w:rsid w:val="59F816F8"/>
    <w:rsid w:val="5A05D725"/>
    <w:rsid w:val="5A679761"/>
    <w:rsid w:val="5A7B14A8"/>
    <w:rsid w:val="5ADD90BE"/>
    <w:rsid w:val="5B1E38D7"/>
    <w:rsid w:val="5B609D16"/>
    <w:rsid w:val="5B9D8C93"/>
    <w:rsid w:val="5C574A5E"/>
    <w:rsid w:val="5C7DD212"/>
    <w:rsid w:val="5CB076C8"/>
    <w:rsid w:val="5CDAB897"/>
    <w:rsid w:val="5D5832E9"/>
    <w:rsid w:val="5D80A09E"/>
    <w:rsid w:val="5DC1C88E"/>
    <w:rsid w:val="5DCE2607"/>
    <w:rsid w:val="5DF2A876"/>
    <w:rsid w:val="5EA6CC69"/>
    <w:rsid w:val="5EACEEBD"/>
    <w:rsid w:val="5EBDDC85"/>
    <w:rsid w:val="5F8C18FC"/>
    <w:rsid w:val="5FC09002"/>
    <w:rsid w:val="600E03FD"/>
    <w:rsid w:val="608FAE68"/>
    <w:rsid w:val="611A60D8"/>
    <w:rsid w:val="6238D218"/>
    <w:rsid w:val="62596F93"/>
    <w:rsid w:val="628CB478"/>
    <w:rsid w:val="62AD93BA"/>
    <w:rsid w:val="6318801F"/>
    <w:rsid w:val="63555756"/>
    <w:rsid w:val="640CAAC3"/>
    <w:rsid w:val="644E444D"/>
    <w:rsid w:val="64A4AB3F"/>
    <w:rsid w:val="64E389CE"/>
    <w:rsid w:val="651DA6AA"/>
    <w:rsid w:val="65472CD8"/>
    <w:rsid w:val="65573E26"/>
    <w:rsid w:val="65AD35BA"/>
    <w:rsid w:val="65BBD125"/>
    <w:rsid w:val="65C2D45A"/>
    <w:rsid w:val="660C72DA"/>
    <w:rsid w:val="6638737E"/>
    <w:rsid w:val="6657D135"/>
    <w:rsid w:val="66D9E62A"/>
    <w:rsid w:val="66E8E023"/>
    <w:rsid w:val="6728F4B3"/>
    <w:rsid w:val="673BE400"/>
    <w:rsid w:val="67919037"/>
    <w:rsid w:val="67B6BAF7"/>
    <w:rsid w:val="6895925F"/>
    <w:rsid w:val="689E9903"/>
    <w:rsid w:val="68E0347C"/>
    <w:rsid w:val="6956685D"/>
    <w:rsid w:val="699B3EBB"/>
    <w:rsid w:val="69A7D5B7"/>
    <w:rsid w:val="6A2AAF49"/>
    <w:rsid w:val="6A3607D7"/>
    <w:rsid w:val="6B7852F4"/>
    <w:rsid w:val="6B9BD710"/>
    <w:rsid w:val="6BAD574D"/>
    <w:rsid w:val="6BEB7C01"/>
    <w:rsid w:val="6C4F0B7D"/>
    <w:rsid w:val="6CA77350"/>
    <w:rsid w:val="6D764457"/>
    <w:rsid w:val="6D852059"/>
    <w:rsid w:val="6E937499"/>
    <w:rsid w:val="6EF476CD"/>
    <w:rsid w:val="6F3A031A"/>
    <w:rsid w:val="6F4BE56C"/>
    <w:rsid w:val="6F4D834C"/>
    <w:rsid w:val="6FF1BCA7"/>
    <w:rsid w:val="705150C7"/>
    <w:rsid w:val="70971A32"/>
    <w:rsid w:val="709A626A"/>
    <w:rsid w:val="70A874E9"/>
    <w:rsid w:val="70AD5561"/>
    <w:rsid w:val="711E82BE"/>
    <w:rsid w:val="712913D4"/>
    <w:rsid w:val="716D6D8F"/>
    <w:rsid w:val="727EB8A6"/>
    <w:rsid w:val="72A1D9C4"/>
    <w:rsid w:val="72D1A106"/>
    <w:rsid w:val="731BA24E"/>
    <w:rsid w:val="737F68A7"/>
    <w:rsid w:val="73C929CD"/>
    <w:rsid w:val="73E6ACD8"/>
    <w:rsid w:val="73E7CF48"/>
    <w:rsid w:val="755F46CF"/>
    <w:rsid w:val="75B5D97D"/>
    <w:rsid w:val="75B9CE48"/>
    <w:rsid w:val="764DA178"/>
    <w:rsid w:val="77B642A1"/>
    <w:rsid w:val="78063D85"/>
    <w:rsid w:val="78168F3E"/>
    <w:rsid w:val="7824A058"/>
    <w:rsid w:val="78D5B626"/>
    <w:rsid w:val="78E271BD"/>
    <w:rsid w:val="78E93C4E"/>
    <w:rsid w:val="7953DDAF"/>
    <w:rsid w:val="79E941EA"/>
    <w:rsid w:val="7A3DE86F"/>
    <w:rsid w:val="7A870A8E"/>
    <w:rsid w:val="7AD6838E"/>
    <w:rsid w:val="7B180F93"/>
    <w:rsid w:val="7B1B6DA9"/>
    <w:rsid w:val="7B349606"/>
    <w:rsid w:val="7B72D56E"/>
    <w:rsid w:val="7B90F366"/>
    <w:rsid w:val="7BD1BB07"/>
    <w:rsid w:val="7BDF83BA"/>
    <w:rsid w:val="7BEE38A3"/>
    <w:rsid w:val="7C02CDAC"/>
    <w:rsid w:val="7C093C3D"/>
    <w:rsid w:val="7C3CB66F"/>
    <w:rsid w:val="7C63B7C1"/>
    <w:rsid w:val="7C7143EA"/>
    <w:rsid w:val="7C73E7A8"/>
    <w:rsid w:val="7C7878ED"/>
    <w:rsid w:val="7CDEBC17"/>
    <w:rsid w:val="7D162B5C"/>
    <w:rsid w:val="7D61AEBC"/>
    <w:rsid w:val="7D76B515"/>
    <w:rsid w:val="7D98DA3E"/>
    <w:rsid w:val="7DA9E224"/>
    <w:rsid w:val="7DAC400C"/>
    <w:rsid w:val="7DD9F58E"/>
    <w:rsid w:val="7E303FD3"/>
    <w:rsid w:val="7E3EF267"/>
    <w:rsid w:val="7E77EEEF"/>
    <w:rsid w:val="7E784689"/>
    <w:rsid w:val="7E9A54A9"/>
    <w:rsid w:val="7F2289D0"/>
    <w:rsid w:val="7F47C472"/>
    <w:rsid w:val="7F5272B6"/>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8A9"/>
    <w:pPr>
      <w:jc w:val="both"/>
    </w:pPr>
    <w:rPr>
      <w:rFonts w:ascii="Calibri" w:hAnsi="Calibri"/>
      <w:sz w:val="24"/>
      <w:szCs w:val="24"/>
    </w:rPr>
  </w:style>
  <w:style w:type="paragraph" w:styleId="Heading1">
    <w:name w:val="heading 1"/>
    <w:basedOn w:val="ListParagraph"/>
    <w:next w:val="Normal"/>
    <w:link w:val="Heading1Char"/>
    <w:uiPriority w:val="1"/>
    <w:rsid w:val="00C603D4"/>
    <w:pPr>
      <w:ind w:left="1210" w:hanging="36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link w:val="ListParagraphChar"/>
    <w:uiPriority w:val="1"/>
    <w:qFormat/>
    <w:rsid w:val="00D86C52"/>
    <w:pPr>
      <w:numPr>
        <w:numId w:val="12"/>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3"/>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Bodycopy">
    <w:name w:val="Body copy"/>
    <w:basedOn w:val="Normal"/>
    <w:link w:val="BodycopyChar"/>
    <w:qFormat/>
    <w:rsid w:val="00D067B7"/>
    <w:pPr>
      <w:spacing w:after="120"/>
      <w:jc w:val="left"/>
    </w:pPr>
    <w:rPr>
      <w:rFonts w:ascii="Arial" w:eastAsia="Calibri" w:hAnsi="Arial" w:cs="Arial"/>
      <w:bCs/>
      <w:sz w:val="18"/>
      <w:szCs w:val="20"/>
      <w:lang w:eastAsia="en-US"/>
    </w:rPr>
  </w:style>
  <w:style w:type="character" w:customStyle="1" w:styleId="BodycopyChar">
    <w:name w:val="Body copy Char"/>
    <w:basedOn w:val="DefaultParagraphFont"/>
    <w:link w:val="Bodycopy"/>
    <w:rsid w:val="00D067B7"/>
    <w:rPr>
      <w:rFonts w:ascii="Arial" w:eastAsia="Calibri" w:hAnsi="Arial" w:cs="Arial"/>
      <w:bCs/>
      <w:sz w:val="18"/>
      <w:lang w:eastAsia="en-US"/>
    </w:rPr>
  </w:style>
  <w:style w:type="paragraph" w:styleId="FootnoteText">
    <w:name w:val="footnote text"/>
    <w:basedOn w:val="Normal"/>
    <w:link w:val="FootnoteTextChar"/>
    <w:semiHidden/>
    <w:unhideWhenUsed/>
    <w:rsid w:val="00B17DE9"/>
    <w:rPr>
      <w:sz w:val="20"/>
      <w:szCs w:val="20"/>
    </w:rPr>
  </w:style>
  <w:style w:type="character" w:customStyle="1" w:styleId="FootnoteTextChar">
    <w:name w:val="Footnote Text Char"/>
    <w:basedOn w:val="DefaultParagraphFont"/>
    <w:link w:val="FootnoteText"/>
    <w:semiHidden/>
    <w:rsid w:val="00B17DE9"/>
    <w:rPr>
      <w:rFonts w:ascii="Calibri" w:hAnsi="Calibri"/>
    </w:rPr>
  </w:style>
  <w:style w:type="character" w:styleId="FootnoteReference">
    <w:name w:val="footnote reference"/>
    <w:basedOn w:val="DefaultParagraphFont"/>
    <w:semiHidden/>
    <w:unhideWhenUsed/>
    <w:rsid w:val="00B17DE9"/>
    <w:rPr>
      <w:vertAlign w:val="superscript"/>
    </w:rPr>
  </w:style>
  <w:style w:type="paragraph" w:customStyle="1" w:styleId="3-SubsectionHeading">
    <w:name w:val="3-Subsection Heading"/>
    <w:basedOn w:val="Heading2"/>
    <w:next w:val="Normal"/>
    <w:link w:val="3-SubsectionHeadingChar"/>
    <w:qFormat/>
    <w:rsid w:val="00402AC7"/>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402AC7"/>
    <w:rPr>
      <w:rFonts w:asciiTheme="minorHAnsi" w:eastAsiaTheme="majorEastAsia" w:hAnsiTheme="minorHAnsi" w:cstheme="majorBidi"/>
      <w:b/>
      <w:i/>
      <w:spacing w:val="5"/>
      <w:kern w:val="28"/>
      <w:sz w:val="28"/>
      <w:szCs w:val="36"/>
      <w:lang w:eastAsia="en-US"/>
    </w:rPr>
  </w:style>
  <w:style w:type="paragraph" w:customStyle="1" w:styleId="COMH1-numbered">
    <w:name w:val="COM H1 - numbered"/>
    <w:next w:val="COMexecsummnumbered"/>
    <w:qFormat/>
    <w:rsid w:val="00D5195F"/>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qFormat/>
    <w:rsid w:val="00D5195F"/>
    <w:pPr>
      <w:spacing w:before="60" w:after="60"/>
      <w:ind w:left="720" w:hanging="720"/>
      <w:jc w:val="both"/>
    </w:pPr>
    <w:rPr>
      <w:rFonts w:asciiTheme="minorHAnsi" w:eastAsiaTheme="minorHAnsi" w:hAnsiTheme="minorHAnsi" w:cstheme="minorBidi"/>
      <w:sz w:val="24"/>
      <w:szCs w:val="22"/>
    </w:rPr>
  </w:style>
  <w:style w:type="paragraph" w:styleId="NormalWeb">
    <w:name w:val="Normal (Web)"/>
    <w:basedOn w:val="Normal"/>
    <w:uiPriority w:val="99"/>
    <w:semiHidden/>
    <w:unhideWhenUsed/>
    <w:rsid w:val="00B0210C"/>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27950034">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31061388">
      <w:bodyDiv w:val="1"/>
      <w:marLeft w:val="0"/>
      <w:marRight w:val="0"/>
      <w:marTop w:val="0"/>
      <w:marBottom w:val="0"/>
      <w:divBdr>
        <w:top w:val="none" w:sz="0" w:space="0" w:color="auto"/>
        <w:left w:val="none" w:sz="0" w:space="0" w:color="auto"/>
        <w:bottom w:val="none" w:sz="0" w:space="0" w:color="auto"/>
        <w:right w:val="none" w:sz="0" w:space="0" w:color="auto"/>
      </w:divBdr>
      <w:divsChild>
        <w:div w:id="132067573">
          <w:marLeft w:val="1354"/>
          <w:marRight w:val="0"/>
          <w:marTop w:val="0"/>
          <w:marBottom w:val="120"/>
          <w:divBdr>
            <w:top w:val="none" w:sz="0" w:space="0" w:color="auto"/>
            <w:left w:val="none" w:sz="0" w:space="0" w:color="auto"/>
            <w:bottom w:val="none" w:sz="0" w:space="0" w:color="auto"/>
            <w:right w:val="none" w:sz="0" w:space="0" w:color="auto"/>
          </w:divBdr>
        </w:div>
        <w:div w:id="453214055">
          <w:marLeft w:val="1354"/>
          <w:marRight w:val="0"/>
          <w:marTop w:val="0"/>
          <w:marBottom w:val="120"/>
          <w:divBdr>
            <w:top w:val="none" w:sz="0" w:space="0" w:color="auto"/>
            <w:left w:val="none" w:sz="0" w:space="0" w:color="auto"/>
            <w:bottom w:val="none" w:sz="0" w:space="0" w:color="auto"/>
            <w:right w:val="none" w:sz="0" w:space="0" w:color="auto"/>
          </w:divBdr>
        </w:div>
        <w:div w:id="639386314">
          <w:marLeft w:val="1354"/>
          <w:marRight w:val="0"/>
          <w:marTop w:val="0"/>
          <w:marBottom w:val="120"/>
          <w:divBdr>
            <w:top w:val="none" w:sz="0" w:space="0" w:color="auto"/>
            <w:left w:val="none" w:sz="0" w:space="0" w:color="auto"/>
            <w:bottom w:val="none" w:sz="0" w:space="0" w:color="auto"/>
            <w:right w:val="none" w:sz="0" w:space="0" w:color="auto"/>
          </w:divBdr>
        </w:div>
        <w:div w:id="1236092010">
          <w:marLeft w:val="1354"/>
          <w:marRight w:val="0"/>
          <w:marTop w:val="0"/>
          <w:marBottom w:val="120"/>
          <w:divBdr>
            <w:top w:val="none" w:sz="0" w:space="0" w:color="auto"/>
            <w:left w:val="none" w:sz="0" w:space="0" w:color="auto"/>
            <w:bottom w:val="none" w:sz="0" w:space="0" w:color="auto"/>
            <w:right w:val="none" w:sz="0" w:space="0" w:color="auto"/>
          </w:divBdr>
        </w:div>
        <w:div w:id="1603487763">
          <w:marLeft w:val="1354"/>
          <w:marRight w:val="0"/>
          <w:marTop w:val="0"/>
          <w:marBottom w:val="120"/>
          <w:divBdr>
            <w:top w:val="none" w:sz="0" w:space="0" w:color="auto"/>
            <w:left w:val="none" w:sz="0" w:space="0" w:color="auto"/>
            <w:bottom w:val="none" w:sz="0" w:space="0" w:color="auto"/>
            <w:right w:val="none" w:sz="0" w:space="0" w:color="auto"/>
          </w:divBdr>
        </w:div>
        <w:div w:id="1813520469">
          <w:marLeft w:val="1354"/>
          <w:marRight w:val="0"/>
          <w:marTop w:val="0"/>
          <w:marBottom w:val="120"/>
          <w:divBdr>
            <w:top w:val="none" w:sz="0" w:space="0" w:color="auto"/>
            <w:left w:val="none" w:sz="0" w:space="0" w:color="auto"/>
            <w:bottom w:val="none" w:sz="0" w:space="0" w:color="auto"/>
            <w:right w:val="none" w:sz="0" w:space="0" w:color="auto"/>
          </w:divBdr>
        </w:div>
      </w:divsChild>
    </w:div>
    <w:div w:id="65098235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0490284">
      <w:bodyDiv w:val="1"/>
      <w:marLeft w:val="0"/>
      <w:marRight w:val="0"/>
      <w:marTop w:val="0"/>
      <w:marBottom w:val="0"/>
      <w:divBdr>
        <w:top w:val="none" w:sz="0" w:space="0" w:color="auto"/>
        <w:left w:val="none" w:sz="0" w:space="0" w:color="auto"/>
        <w:bottom w:val="none" w:sz="0" w:space="0" w:color="auto"/>
        <w:right w:val="none" w:sz="0" w:space="0" w:color="auto"/>
      </w:divBdr>
      <w:divsChild>
        <w:div w:id="60910726">
          <w:marLeft w:val="360"/>
          <w:marRight w:val="0"/>
          <w:marTop w:val="200"/>
          <w:marBottom w:val="0"/>
          <w:divBdr>
            <w:top w:val="none" w:sz="0" w:space="0" w:color="auto"/>
            <w:left w:val="none" w:sz="0" w:space="0" w:color="auto"/>
            <w:bottom w:val="none" w:sz="0" w:space="0" w:color="auto"/>
            <w:right w:val="none" w:sz="0" w:space="0" w:color="auto"/>
          </w:divBdr>
        </w:div>
        <w:div w:id="224533043">
          <w:marLeft w:val="360"/>
          <w:marRight w:val="0"/>
          <w:marTop w:val="200"/>
          <w:marBottom w:val="0"/>
          <w:divBdr>
            <w:top w:val="none" w:sz="0" w:space="0" w:color="auto"/>
            <w:left w:val="none" w:sz="0" w:space="0" w:color="auto"/>
            <w:bottom w:val="none" w:sz="0" w:space="0" w:color="auto"/>
            <w:right w:val="none" w:sz="0" w:space="0" w:color="auto"/>
          </w:divBdr>
        </w:div>
        <w:div w:id="1322850491">
          <w:marLeft w:val="360"/>
          <w:marRight w:val="0"/>
          <w:marTop w:val="200"/>
          <w:marBottom w:val="0"/>
          <w:divBdr>
            <w:top w:val="none" w:sz="0" w:space="0" w:color="auto"/>
            <w:left w:val="none" w:sz="0" w:space="0" w:color="auto"/>
            <w:bottom w:val="none" w:sz="0" w:space="0" w:color="auto"/>
            <w:right w:val="none" w:sz="0" w:space="0" w:color="auto"/>
          </w:divBdr>
        </w:div>
        <w:div w:id="1575578736">
          <w:marLeft w:val="360"/>
          <w:marRight w:val="0"/>
          <w:marTop w:val="200"/>
          <w:marBottom w:val="0"/>
          <w:divBdr>
            <w:top w:val="none" w:sz="0" w:space="0" w:color="auto"/>
            <w:left w:val="none" w:sz="0" w:space="0" w:color="auto"/>
            <w:bottom w:val="none" w:sz="0" w:space="0" w:color="auto"/>
            <w:right w:val="none" w:sz="0" w:space="0" w:color="auto"/>
          </w:divBdr>
        </w:div>
        <w:div w:id="1929148380">
          <w:marLeft w:val="360"/>
          <w:marRight w:val="0"/>
          <w:marTop w:val="2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6430505">
      <w:bodyDiv w:val="1"/>
      <w:marLeft w:val="0"/>
      <w:marRight w:val="0"/>
      <w:marTop w:val="0"/>
      <w:marBottom w:val="0"/>
      <w:divBdr>
        <w:top w:val="none" w:sz="0" w:space="0" w:color="auto"/>
        <w:left w:val="none" w:sz="0" w:space="0" w:color="auto"/>
        <w:bottom w:val="none" w:sz="0" w:space="0" w:color="auto"/>
        <w:right w:val="none" w:sz="0" w:space="0" w:color="auto"/>
      </w:divBdr>
    </w:div>
    <w:div w:id="890119590">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4014141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4247117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1453378">
      <w:bodyDiv w:val="1"/>
      <w:marLeft w:val="0"/>
      <w:marRight w:val="0"/>
      <w:marTop w:val="0"/>
      <w:marBottom w:val="0"/>
      <w:divBdr>
        <w:top w:val="none" w:sz="0" w:space="0" w:color="auto"/>
        <w:left w:val="none" w:sz="0" w:space="0" w:color="auto"/>
        <w:bottom w:val="none" w:sz="0" w:space="0" w:color="auto"/>
        <w:right w:val="none" w:sz="0" w:space="0" w:color="auto"/>
      </w:divBdr>
      <w:divsChild>
        <w:div w:id="1939633734">
          <w:marLeft w:val="0"/>
          <w:marRight w:val="0"/>
          <w:marTop w:val="0"/>
          <w:marBottom w:val="0"/>
          <w:divBdr>
            <w:top w:val="none" w:sz="0" w:space="0" w:color="C4DEEE"/>
            <w:left w:val="none" w:sz="0" w:space="8" w:color="C4DEEE"/>
            <w:bottom w:val="none" w:sz="0" w:space="0" w:color="C4DEEE"/>
            <w:right w:val="none" w:sz="0" w:space="0" w:color="C4DEEE"/>
          </w:divBdr>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89646306">
      <w:bodyDiv w:val="1"/>
      <w:marLeft w:val="0"/>
      <w:marRight w:val="0"/>
      <w:marTop w:val="0"/>
      <w:marBottom w:val="0"/>
      <w:divBdr>
        <w:top w:val="none" w:sz="0" w:space="0" w:color="auto"/>
        <w:left w:val="none" w:sz="0" w:space="0" w:color="auto"/>
        <w:bottom w:val="none" w:sz="0" w:space="0" w:color="auto"/>
        <w:right w:val="none" w:sz="0" w:space="0" w:color="auto"/>
      </w:divBdr>
    </w:div>
    <w:div w:id="21199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13E3F-6BA9-4E4C-A198-37A2029AFEA3}">
  <ds:schemaRefs>
    <ds:schemaRef ds:uri="http://schemas.microsoft.com/sharepoint/v3/contenttype/forms"/>
  </ds:schemaRefs>
</ds:datastoreItem>
</file>

<file path=customXml/itemProps2.xml><?xml version="1.0" encoding="utf-8"?>
<ds:datastoreItem xmlns:ds="http://schemas.openxmlformats.org/officeDocument/2006/customXml" ds:itemID="{B8B7B330-B177-467D-8A3E-76B42701134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BB6F71E5-7C0C-47D2-A427-5D341910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6700</Words>
  <Characters>38731</Characters>
  <Application>Microsoft Office Word</Application>
  <DocSecurity>0</DocSecurity>
  <Lines>860</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2025-10-27T02:26:00Z</dcterms:created>
  <dcterms:modified xsi:type="dcterms:W3CDTF">2025-10-27T02:26:00Z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ClassificationContentMarkingHeaderShapeIds">
    <vt:lpwstr>4705dcad,147b9ff,29c5f876</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6c593e1e,5c7c64d9,6d8edb93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2025-09-14T23:37:26Z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2dec6d14-e100-41c7-98ec-a08791a32063</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