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2077" w14:textId="34D3BF92" w:rsidR="000A5DD6" w:rsidRPr="000A5DD6" w:rsidRDefault="000A5DD6" w:rsidP="000A5DD6">
      <w:pPr>
        <w:rPr>
          <w:rFonts w:cs="Calibri"/>
          <w:color w:val="FF0000"/>
        </w:rPr>
      </w:pPr>
      <w:r w:rsidRPr="000A5DD6">
        <w:rPr>
          <w:rFonts w:cs="Calibri"/>
          <w:color w:val="FF0000"/>
        </w:rPr>
        <w:t xml:space="preserve">An addendum to </w:t>
      </w:r>
      <w:r w:rsidR="00FB542F" w:rsidRPr="000A5DD6">
        <w:rPr>
          <w:rFonts w:cs="Calibri"/>
          <w:color w:val="FF0000"/>
        </w:rPr>
        <w:t>th</w:t>
      </w:r>
      <w:r w:rsidR="00FB542F">
        <w:rPr>
          <w:rFonts w:cs="Calibri"/>
          <w:color w:val="FF0000"/>
        </w:rPr>
        <w:t>is</w:t>
      </w:r>
      <w:r w:rsidR="00FB542F" w:rsidRPr="000A5DD6">
        <w:rPr>
          <w:rFonts w:cs="Calibri"/>
          <w:color w:val="FF0000"/>
        </w:rPr>
        <w:t xml:space="preserve"> </w:t>
      </w:r>
      <w:r w:rsidRPr="000A5DD6">
        <w:rPr>
          <w:rFonts w:asciiTheme="minorHAnsi" w:hAnsiTheme="minorHAnsi" w:cs="Arial"/>
          <w:iCs/>
          <w:color w:val="FF0000"/>
        </w:rPr>
        <w:t>Public Summary Document</w:t>
      </w:r>
      <w:r w:rsidRPr="000A5DD6">
        <w:rPr>
          <w:rFonts w:cs="Calibri"/>
          <w:color w:val="FF0000"/>
        </w:rPr>
        <w:t xml:space="preserve"> has been included at the end of the document.</w:t>
      </w:r>
    </w:p>
    <w:p w14:paraId="63563D88" w14:textId="62657E59" w:rsidR="002A0E4A" w:rsidRPr="00AA073C" w:rsidRDefault="007F03E1" w:rsidP="00AA073C">
      <w:pPr>
        <w:pStyle w:val="1MainTitle"/>
        <w:jc w:val="left"/>
      </w:pPr>
      <w:r w:rsidRPr="00050C3F">
        <w:t>6.11</w:t>
      </w:r>
      <w:r w:rsidRPr="00050C3F">
        <w:tab/>
        <w:t>EPLERENONE,</w:t>
      </w:r>
      <w:r w:rsidRPr="00050C3F">
        <w:br/>
        <w:t>Tablet 25 mg,</w:t>
      </w:r>
      <w:r w:rsidR="0024297A">
        <w:br/>
      </w:r>
      <w:r w:rsidR="00396402" w:rsidRPr="00396402">
        <w:t>Tablet 50 mg</w:t>
      </w:r>
      <w:r w:rsidRPr="00050C3F">
        <w:t>,</w:t>
      </w:r>
      <w:r w:rsidRPr="00050C3F">
        <w:br/>
        <w:t>Inspra®</w:t>
      </w:r>
      <w:r w:rsidRPr="00050C3F" w:rsidDel="00871CA6">
        <w:t xml:space="preserve"> </w:t>
      </w:r>
      <w:r w:rsidRPr="00050C3F">
        <w:br/>
        <w:t>V</w:t>
      </w:r>
      <w:r w:rsidR="00F11C9D" w:rsidRPr="00050C3F">
        <w:t>iatris</w:t>
      </w:r>
      <w:r w:rsidRPr="00050C3F">
        <w:t xml:space="preserve"> P</w:t>
      </w:r>
      <w:r w:rsidR="00F11C9D" w:rsidRPr="00050C3F">
        <w:t>ty Ltd</w:t>
      </w:r>
    </w:p>
    <w:p w14:paraId="5F4D54C1" w14:textId="16333175" w:rsidR="00E11F44" w:rsidRPr="00050C3F" w:rsidRDefault="007E490F" w:rsidP="00CD6257">
      <w:pPr>
        <w:pStyle w:val="2-SectionHeading"/>
        <w:rPr>
          <w:rFonts w:cstheme="minorHAnsi"/>
        </w:rPr>
      </w:pPr>
      <w:r w:rsidRPr="00050C3F">
        <w:t xml:space="preserve">Purpose of </w:t>
      </w:r>
      <w:r w:rsidR="00FA0B04" w:rsidRPr="00050C3F">
        <w:t>Submission</w:t>
      </w:r>
      <w:r w:rsidRPr="00050C3F">
        <w:t xml:space="preserve"> </w:t>
      </w:r>
    </w:p>
    <w:p w14:paraId="28BE4BCE" w14:textId="6D785C5A" w:rsidR="005F7161" w:rsidRPr="005F7161" w:rsidRDefault="005F7161" w:rsidP="005F7161">
      <w:pPr>
        <w:pStyle w:val="3-BodyText"/>
        <w:rPr>
          <w:rFonts w:cstheme="minorHAnsi"/>
        </w:rPr>
      </w:pPr>
      <w:r w:rsidRPr="005F7161">
        <w:rPr>
          <w:rFonts w:cstheme="minorHAnsi"/>
        </w:rPr>
        <w:t xml:space="preserve">The Category 3 submission requested amendments to the current PBS restriction </w:t>
      </w:r>
      <w:r w:rsidR="000853A2" w:rsidRPr="005F7161">
        <w:rPr>
          <w:rFonts w:cstheme="minorHAnsi"/>
        </w:rPr>
        <w:t>for eplerenone</w:t>
      </w:r>
      <w:r w:rsidRPr="005F7161">
        <w:rPr>
          <w:rFonts w:cstheme="minorHAnsi"/>
        </w:rPr>
        <w:t xml:space="preserve"> (Inspra</w:t>
      </w:r>
      <w:r w:rsidRPr="000A25C8">
        <w:rPr>
          <w:rFonts w:cstheme="minorHAnsi"/>
          <w:vertAlign w:val="superscript"/>
        </w:rPr>
        <w:t>®</w:t>
      </w:r>
      <w:r w:rsidRPr="005F7161">
        <w:rPr>
          <w:rFonts w:cstheme="minorHAnsi"/>
        </w:rPr>
        <w:t>) to align with clinical guidelines for the management of heart failure. The current PBS restriction restricts subsidy of eplerenone to</w:t>
      </w:r>
      <w:r w:rsidR="00E82B15">
        <w:rPr>
          <w:rFonts w:cstheme="minorHAnsi"/>
        </w:rPr>
        <w:t>:</w:t>
      </w:r>
      <w:r w:rsidRPr="005F7161">
        <w:rPr>
          <w:rFonts w:cstheme="minorHAnsi"/>
        </w:rPr>
        <w:t xml:space="preserve"> </w:t>
      </w:r>
    </w:p>
    <w:p w14:paraId="276EEEFC" w14:textId="225BB3C8" w:rsidR="005F7161" w:rsidRPr="005F7161" w:rsidRDefault="005F7161" w:rsidP="13C95913">
      <w:pPr>
        <w:pStyle w:val="3-BodyText"/>
      </w:pPr>
      <w:r w:rsidRPr="13C95913">
        <w:t>be prescribed for heart failure with a left ventricular ejection fraction</w:t>
      </w:r>
      <w:r w:rsidR="004F6A6C" w:rsidRPr="13C95913">
        <w:t xml:space="preserve"> </w:t>
      </w:r>
      <w:r w:rsidRPr="13C95913">
        <w:t xml:space="preserve">(LVEF) of 40% or </w:t>
      </w:r>
      <w:proofErr w:type="gramStart"/>
      <w:r w:rsidRPr="13C95913">
        <w:t>less</w:t>
      </w:r>
      <w:r w:rsidR="00DF036B" w:rsidRPr="13C95913">
        <w:t>;</w:t>
      </w:r>
      <w:proofErr w:type="gramEnd"/>
      <w:r w:rsidRPr="13C95913">
        <w:t xml:space="preserve"> </w:t>
      </w:r>
    </w:p>
    <w:p w14:paraId="65D30885" w14:textId="5CA8B1FF" w:rsidR="005F7161" w:rsidRPr="005F7161" w:rsidRDefault="005F7161" w:rsidP="13C95913">
      <w:pPr>
        <w:pStyle w:val="3-BodyText"/>
      </w:pPr>
      <w:r w:rsidRPr="13C95913">
        <w:t>be prescribed when heart failure is diagnosed within 3 to 14 days following an acute myocardial infarction</w:t>
      </w:r>
      <w:r w:rsidR="00DF036B" w:rsidRPr="13C95913">
        <w:t>;</w:t>
      </w:r>
      <w:r w:rsidRPr="13C95913">
        <w:t xml:space="preserve"> and </w:t>
      </w:r>
    </w:p>
    <w:p w14:paraId="6BFAC163" w14:textId="6901B814" w:rsidR="005F7161" w:rsidRPr="005F7161" w:rsidRDefault="005F7161" w:rsidP="009E244D">
      <w:pPr>
        <w:pStyle w:val="3-BodyText"/>
        <w:numPr>
          <w:ilvl w:val="0"/>
          <w:numId w:val="23"/>
        </w:numPr>
        <w:rPr>
          <w:rFonts w:cstheme="minorHAnsi"/>
        </w:rPr>
      </w:pPr>
      <w:r w:rsidRPr="005F7161">
        <w:rPr>
          <w:rFonts w:cstheme="minorHAnsi"/>
        </w:rPr>
        <w:t xml:space="preserve">treatment must be commenced within 14 days of an acute myocardial infarction. </w:t>
      </w:r>
    </w:p>
    <w:p w14:paraId="01C3592E" w14:textId="165DD8B9" w:rsidR="00187CE3" w:rsidRPr="008E6BE1" w:rsidRDefault="00187CE3" w:rsidP="000A2A32">
      <w:pPr>
        <w:pStyle w:val="3-BodyText"/>
        <w:rPr>
          <w:b/>
          <w:bCs/>
          <w:iCs/>
        </w:rPr>
      </w:pPr>
      <w:r w:rsidRPr="008E6BE1">
        <w:rPr>
          <w:rFonts w:cstheme="minorHAnsi"/>
          <w:iCs/>
        </w:rPr>
        <w:t xml:space="preserve">The submission noted that the </w:t>
      </w:r>
      <w:r w:rsidR="005F7161" w:rsidRPr="005F7161">
        <w:rPr>
          <w:rFonts w:cstheme="minorHAnsi"/>
        </w:rPr>
        <w:t xml:space="preserve">current Australian </w:t>
      </w:r>
      <w:r w:rsidRPr="008E6BE1">
        <w:rPr>
          <w:rFonts w:cstheme="minorHAnsi"/>
          <w:iCs/>
        </w:rPr>
        <w:t xml:space="preserve">and European </w:t>
      </w:r>
      <w:r w:rsidR="005F7161" w:rsidRPr="005F7161">
        <w:rPr>
          <w:rFonts w:cstheme="minorHAnsi"/>
        </w:rPr>
        <w:t xml:space="preserve">guidelines for heart failure </w:t>
      </w:r>
      <w:r w:rsidRPr="008E6BE1">
        <w:rPr>
          <w:rFonts w:cstheme="minorHAnsi"/>
          <w:iCs/>
        </w:rPr>
        <w:t xml:space="preserve">recommended a </w:t>
      </w:r>
      <w:r w:rsidR="005F7161" w:rsidRPr="008E6BE1">
        <w:t xml:space="preserve">mineralocorticoid receptor </w:t>
      </w:r>
      <w:r w:rsidR="005745CD" w:rsidRPr="008E6BE1">
        <w:t>antagonist</w:t>
      </w:r>
      <w:r w:rsidR="005745CD" w:rsidRPr="008E6BE1">
        <w:rPr>
          <w:rFonts w:cstheme="minorHAnsi"/>
          <w:iCs/>
        </w:rPr>
        <w:t xml:space="preserve"> (</w:t>
      </w:r>
      <w:r w:rsidRPr="008E6BE1">
        <w:rPr>
          <w:rFonts w:cstheme="minorHAnsi"/>
          <w:iCs/>
        </w:rPr>
        <w:t>MRA</w:t>
      </w:r>
      <w:r w:rsidR="005745CD" w:rsidRPr="008E6BE1">
        <w:rPr>
          <w:rFonts w:cstheme="minorHAnsi"/>
          <w:iCs/>
        </w:rPr>
        <w:t>)</w:t>
      </w:r>
      <w:r w:rsidRPr="008E6BE1">
        <w:rPr>
          <w:rFonts w:cstheme="minorHAnsi"/>
          <w:iCs/>
        </w:rPr>
        <w:t xml:space="preserve"> </w:t>
      </w:r>
      <w:r w:rsidR="005F7161" w:rsidRPr="005F7161">
        <w:rPr>
          <w:rFonts w:cstheme="minorHAnsi"/>
        </w:rPr>
        <w:t xml:space="preserve">in all patients with </w:t>
      </w:r>
      <w:r w:rsidR="00925B57" w:rsidRPr="008E6BE1">
        <w:rPr>
          <w:rFonts w:cstheme="minorHAnsi"/>
          <w:iCs/>
        </w:rPr>
        <w:t>heart failure</w:t>
      </w:r>
      <w:r w:rsidR="005F7161" w:rsidRPr="005F7161">
        <w:rPr>
          <w:rFonts w:cstheme="minorHAnsi"/>
        </w:rPr>
        <w:t xml:space="preserve"> with </w:t>
      </w:r>
      <w:r w:rsidR="00925B57" w:rsidRPr="008E6BE1">
        <w:rPr>
          <w:rFonts w:cstheme="minorHAnsi"/>
          <w:iCs/>
        </w:rPr>
        <w:t>reduced ejection fraction (</w:t>
      </w:r>
      <w:proofErr w:type="spellStart"/>
      <w:r w:rsidRPr="008E6BE1">
        <w:rPr>
          <w:rFonts w:cstheme="minorHAnsi"/>
          <w:iCs/>
        </w:rPr>
        <w:t>HFrEF</w:t>
      </w:r>
      <w:proofErr w:type="spellEnd"/>
      <w:r w:rsidR="00925B57" w:rsidRPr="008E6BE1">
        <w:rPr>
          <w:rFonts w:cstheme="minorHAnsi"/>
          <w:iCs/>
        </w:rPr>
        <w:t>)</w:t>
      </w:r>
      <w:r w:rsidRPr="008E6BE1">
        <w:rPr>
          <w:rFonts w:cstheme="minorHAnsi"/>
          <w:iCs/>
        </w:rPr>
        <w:t xml:space="preserve"> associated with a moderate or severe reduction in </w:t>
      </w:r>
      <w:r w:rsidR="005F7161" w:rsidRPr="005F7161">
        <w:rPr>
          <w:rFonts w:cstheme="minorHAnsi"/>
        </w:rPr>
        <w:t xml:space="preserve">LVEF </w:t>
      </w:r>
      <w:r w:rsidR="004F6A6C">
        <w:rPr>
          <w:rFonts w:cstheme="minorHAnsi"/>
          <w:iCs/>
        </w:rPr>
        <w:t>(</w:t>
      </w:r>
      <w:r w:rsidRPr="008E6BE1">
        <w:rPr>
          <w:rFonts w:cstheme="minorHAnsi"/>
          <w:iCs/>
        </w:rPr>
        <w:t xml:space="preserve">less than or equal to </w:t>
      </w:r>
      <w:r w:rsidR="005F7161" w:rsidRPr="005F7161">
        <w:rPr>
          <w:rFonts w:cstheme="minorHAnsi"/>
        </w:rPr>
        <w:t>40</w:t>
      </w:r>
      <w:r w:rsidRPr="008E6BE1">
        <w:rPr>
          <w:rFonts w:cstheme="minorHAnsi"/>
          <w:iCs/>
        </w:rPr>
        <w:t>%</w:t>
      </w:r>
      <w:r w:rsidR="004F6A6C">
        <w:rPr>
          <w:rFonts w:cstheme="minorHAnsi"/>
          <w:iCs/>
        </w:rPr>
        <w:t>)</w:t>
      </w:r>
      <w:r w:rsidR="005F7161" w:rsidRPr="005F7161">
        <w:rPr>
          <w:rFonts w:cstheme="minorHAnsi"/>
        </w:rPr>
        <w:t xml:space="preserve"> unless contraindicated or not tolerated, to decrease mortality and decrease hospitalisation for heart failure. </w:t>
      </w:r>
      <w:r w:rsidRPr="008E6BE1">
        <w:rPr>
          <w:rFonts w:cstheme="minorHAnsi"/>
          <w:iCs/>
        </w:rPr>
        <w:t>This recommendation was taken from the Guidelines for the prevention, detection and management of heart failure in Australia 2018 and the 2021 European Society of Cardiology (ESC) Guidelines for the diagnosis and treatment of acute and chronic heart failure respectively.</w:t>
      </w:r>
    </w:p>
    <w:p w14:paraId="0DD9E276" w14:textId="064F69D7" w:rsidR="005F7161" w:rsidRPr="008E6BE1" w:rsidRDefault="004452CD" w:rsidP="00187CE3">
      <w:pPr>
        <w:pStyle w:val="3-BodyText"/>
      </w:pPr>
      <w:r w:rsidRPr="008E6BE1">
        <w:t xml:space="preserve">The submission therefore proposed expansion of the current listing: </w:t>
      </w:r>
    </w:p>
    <w:p w14:paraId="7AD18721" w14:textId="748917B1" w:rsidR="005F7161" w:rsidRPr="005F7161" w:rsidRDefault="005F7161" w:rsidP="13C95913">
      <w:pPr>
        <w:pStyle w:val="3-BodyText"/>
      </w:pPr>
      <w:r w:rsidRPr="13C95913">
        <w:t>Patient must be symptomatic with NYHA classes II, III or IV</w:t>
      </w:r>
      <w:r w:rsidR="0077223F" w:rsidRPr="13C95913">
        <w:t>, AND</w:t>
      </w:r>
    </w:p>
    <w:p w14:paraId="5339FB04" w14:textId="0A41FAD7" w:rsidR="005F7161" w:rsidRPr="005F7161" w:rsidRDefault="005F7161" w:rsidP="13C95913">
      <w:pPr>
        <w:pStyle w:val="3-BodyText"/>
      </w:pPr>
      <w:r w:rsidRPr="13C95913">
        <w:t>Patient must have a documented LVEF of less than or equal to 40%,</w:t>
      </w:r>
      <w:r w:rsidR="0077223F" w:rsidRPr="13C95913">
        <w:t xml:space="preserve"> AND</w:t>
      </w:r>
    </w:p>
    <w:p w14:paraId="725FB65F" w14:textId="50EE20FA" w:rsidR="005F7161" w:rsidRPr="005F7161" w:rsidRDefault="005F7161" w:rsidP="13C95913">
      <w:pPr>
        <w:pStyle w:val="3-BodyText"/>
      </w:pPr>
      <w:r w:rsidRPr="13C95913">
        <w:t>Patient must receive concomitant optimal standard chronic heart failure treatment, which must include a beta</w:t>
      </w:r>
      <w:r w:rsidR="0004446C">
        <w:noBreakHyphen/>
      </w:r>
      <w:r w:rsidRPr="13C95913">
        <w:t>blocker, unless at least one of the following is present in relation to the beta</w:t>
      </w:r>
      <w:r w:rsidR="0004446C">
        <w:noBreakHyphen/>
      </w:r>
      <w:r w:rsidRPr="13C95913">
        <w:t>blocker: (</w:t>
      </w:r>
      <w:proofErr w:type="spellStart"/>
      <w:r w:rsidRPr="13C95913">
        <w:t>i</w:t>
      </w:r>
      <w:proofErr w:type="spellEnd"/>
      <w:r w:rsidRPr="13C95913">
        <w:t>) a contraindication listed in the Product Information, (ii) an existing/expected intolerance, (iii) local treatment guidelines recommend initiation of this drug product prior to a beta</w:t>
      </w:r>
      <w:r w:rsidR="0004446C">
        <w:noBreakHyphen/>
      </w:r>
      <w:r w:rsidRPr="13C95913">
        <w:t>blocker</w:t>
      </w:r>
      <w:r w:rsidR="0077223F" w:rsidRPr="13C95913">
        <w:t>,</w:t>
      </w:r>
      <w:r w:rsidRPr="13C95913">
        <w:t xml:space="preserve"> AND</w:t>
      </w:r>
    </w:p>
    <w:p w14:paraId="6FAA7A20" w14:textId="7BA9CEC0" w:rsidR="00BB65B2" w:rsidRDefault="005F7161" w:rsidP="009E244D">
      <w:pPr>
        <w:pStyle w:val="3-BodyText"/>
        <w:numPr>
          <w:ilvl w:val="0"/>
          <w:numId w:val="24"/>
        </w:numPr>
        <w:rPr>
          <w:rFonts w:cstheme="minorHAnsi"/>
        </w:rPr>
      </w:pPr>
      <w:r w:rsidRPr="005F7161">
        <w:rPr>
          <w:rFonts w:cstheme="minorHAnsi"/>
        </w:rPr>
        <w:t xml:space="preserve">Patient must have been stabilised on an </w:t>
      </w:r>
      <w:r w:rsidR="00811202" w:rsidRPr="008E6BE1">
        <w:t>angiotensin</w:t>
      </w:r>
      <w:r w:rsidR="0004446C">
        <w:noBreakHyphen/>
      </w:r>
      <w:r w:rsidR="00811202" w:rsidRPr="008E6BE1">
        <w:t>converting enzyme (</w:t>
      </w:r>
      <w:r w:rsidRPr="008E6BE1">
        <w:t>ACE</w:t>
      </w:r>
      <w:r w:rsidR="00811202" w:rsidRPr="008E6BE1">
        <w:t>)</w:t>
      </w:r>
      <w:r w:rsidRPr="008E6BE1">
        <w:t xml:space="preserve"> inhibitor </w:t>
      </w:r>
      <w:r w:rsidRPr="005F7161">
        <w:rPr>
          <w:rFonts w:cstheme="minorHAnsi"/>
        </w:rPr>
        <w:t xml:space="preserve">at the time of initiation with this drug, unless such treatment is </w:t>
      </w:r>
      <w:r w:rsidRPr="005F7161">
        <w:rPr>
          <w:rFonts w:cstheme="minorHAnsi"/>
        </w:rPr>
        <w:lastRenderedPageBreak/>
        <w:t>contraindicated according to the TGA</w:t>
      </w:r>
      <w:r w:rsidR="0004446C">
        <w:rPr>
          <w:rFonts w:cstheme="minorHAnsi"/>
        </w:rPr>
        <w:noBreakHyphen/>
      </w:r>
      <w:r w:rsidRPr="005F7161">
        <w:rPr>
          <w:rFonts w:cstheme="minorHAnsi"/>
        </w:rPr>
        <w:t>approved Product Information or cannot be tolerated; OR Patient must have been stabilised on an angiotensin II antagonist at the time of initiation with this drug, unless such treatment is contraindicated according to the TGA</w:t>
      </w:r>
      <w:r w:rsidR="0004446C">
        <w:rPr>
          <w:rFonts w:cstheme="minorHAnsi"/>
        </w:rPr>
        <w:noBreakHyphen/>
      </w:r>
      <w:r w:rsidRPr="005F7161">
        <w:rPr>
          <w:rFonts w:cstheme="minorHAnsi"/>
        </w:rPr>
        <w:t>approved Product Information or cannot be tolerated</w:t>
      </w:r>
      <w:r w:rsidR="00BB65B2">
        <w:rPr>
          <w:rFonts w:cstheme="minorHAnsi"/>
        </w:rPr>
        <w:t>.</w:t>
      </w:r>
    </w:p>
    <w:p w14:paraId="4A2B7ACD" w14:textId="54F62686" w:rsidR="002C56B6" w:rsidRPr="002C56B6" w:rsidRDefault="0037077E" w:rsidP="0098382C">
      <w:pPr>
        <w:pStyle w:val="3-BodyText"/>
      </w:pPr>
      <w:r w:rsidRPr="005B3E0D">
        <w:t xml:space="preserve">In 2023, the PBAC Executive recommended that a utilisation review of </w:t>
      </w:r>
      <w:r w:rsidR="00002BDC" w:rsidRPr="005B3E0D">
        <w:t>HF</w:t>
      </w:r>
      <w:r w:rsidRPr="005B3E0D">
        <w:t xml:space="preserve"> medicines be undertaken, including switching between medicines, combination treatment and add</w:t>
      </w:r>
      <w:r w:rsidR="0004446C">
        <w:noBreakHyphen/>
      </w:r>
      <w:r w:rsidRPr="005B3E0D">
        <w:t>on therapy. The Executive also advised a literature review of the comparative effectiveness of PBS</w:t>
      </w:r>
      <w:r w:rsidR="318392D6">
        <w:t xml:space="preserve"> </w:t>
      </w:r>
      <w:r w:rsidRPr="005B3E0D">
        <w:t xml:space="preserve">listed medicines for </w:t>
      </w:r>
      <w:r w:rsidR="00002BDC" w:rsidRPr="005B3E0D">
        <w:t>HF</w:t>
      </w:r>
      <w:r w:rsidRPr="005B3E0D">
        <w:t xml:space="preserve"> may improve understanding of effectiveness and the place of each medicine in the treatment algorithm.</w:t>
      </w:r>
      <w:r w:rsidR="003C3527">
        <w:t xml:space="preserve"> The PBAC considered this utilisation analysis at its September 2024 meeting. </w:t>
      </w:r>
    </w:p>
    <w:p w14:paraId="1DACDB93" w14:textId="6657B6E2" w:rsidR="0017378F" w:rsidRDefault="00002BDC" w:rsidP="0017378F">
      <w:pPr>
        <w:pStyle w:val="4Bodytextnumbered"/>
        <w:numPr>
          <w:ilvl w:val="1"/>
          <w:numId w:val="2"/>
        </w:numPr>
      </w:pPr>
      <w:r>
        <w:t xml:space="preserve">The </w:t>
      </w:r>
      <w:r w:rsidR="00060107">
        <w:t xml:space="preserve">utilisation </w:t>
      </w:r>
      <w:r>
        <w:t>report stated that m</w:t>
      </w:r>
      <w:r w:rsidRPr="00BB3CEB">
        <w:t>any patients with HF are older and have a number of chronic conditions</w:t>
      </w:r>
      <w:r>
        <w:t xml:space="preserve"> (e.g. renal impairment, hypotension) which may</w:t>
      </w:r>
      <w:r w:rsidRPr="008E06E5">
        <w:t xml:space="preserve"> </w:t>
      </w:r>
      <w:r w:rsidRPr="00BB3CEB">
        <w:t xml:space="preserve">result in </w:t>
      </w:r>
      <w:r>
        <w:t>prescribers</w:t>
      </w:r>
      <w:r w:rsidRPr="00BB3CEB">
        <w:t xml:space="preserve"> choosing a stepwise approach to management </w:t>
      </w:r>
      <w:r>
        <w:t>(</w:t>
      </w:r>
      <w:r w:rsidRPr="00BB3CEB">
        <w:t>rather than initiation of quadruple therapy</w:t>
      </w:r>
      <w:r w:rsidR="0071513A">
        <w:t xml:space="preserve"> </w:t>
      </w:r>
      <w:r w:rsidR="00BC4484">
        <w:t>as per the Australian Medicines Handbook and the Australian Heart Foundation</w:t>
      </w:r>
      <w:r>
        <w:t xml:space="preserve">) and lower maximal doses of medications, </w:t>
      </w:r>
      <w:r w:rsidRPr="00BB3CEB">
        <w:t xml:space="preserve">to </w:t>
      </w:r>
      <w:r>
        <w:t>balance</w:t>
      </w:r>
      <w:r w:rsidRPr="00BB3CEB">
        <w:t xml:space="preserve"> benefit </w:t>
      </w:r>
      <w:r>
        <w:t>with the</w:t>
      </w:r>
      <w:r w:rsidRPr="00BB3CEB">
        <w:t xml:space="preserve"> competing risk of exacerbating other conditions. </w:t>
      </w:r>
      <w:r w:rsidRPr="00220696">
        <w:t xml:space="preserve">PBS restrictions for many </w:t>
      </w:r>
      <w:r>
        <w:t>HF medicines</w:t>
      </w:r>
      <w:r w:rsidRPr="00220696">
        <w:t xml:space="preserve"> (e</w:t>
      </w:r>
      <w:r>
        <w:t>.</w:t>
      </w:r>
      <w:r w:rsidRPr="00220696">
        <w:t>g</w:t>
      </w:r>
      <w:r>
        <w:t>.</w:t>
      </w:r>
      <w:r w:rsidRPr="00220696">
        <w:t xml:space="preserve"> ARNI, HCN, epler</w:t>
      </w:r>
      <w:r>
        <w:t>e</w:t>
      </w:r>
      <w:r w:rsidRPr="00220696">
        <w:t xml:space="preserve">none) predated the evolving treatment paradigm for </w:t>
      </w:r>
      <w:r>
        <w:t>HF</w:t>
      </w:r>
      <w:r w:rsidRPr="00220696">
        <w:t xml:space="preserve"> and, in </w:t>
      </w:r>
      <w:r>
        <w:t>some</w:t>
      </w:r>
      <w:r w:rsidRPr="00220696">
        <w:t xml:space="preserve"> cases, preclude </w:t>
      </w:r>
      <w:r>
        <w:t>initiation with</w:t>
      </w:r>
      <w:r w:rsidRPr="00220696">
        <w:t xml:space="preserve"> quadruple therapy or require a stepwise approach if an adequate clinical response has not been seen. Additionally, current guidelines support quadruple therapy for patients with </w:t>
      </w:r>
      <w:r w:rsidRPr="004A0CC2">
        <w:t>New York Heart Association</w:t>
      </w:r>
      <w:r>
        <w:t xml:space="preserve"> (</w:t>
      </w:r>
      <w:r w:rsidRPr="00220696">
        <w:t>NYHA</w:t>
      </w:r>
      <w:r>
        <w:t>)</w:t>
      </w:r>
      <w:r w:rsidRPr="00220696">
        <w:t xml:space="preserve"> Class</w:t>
      </w:r>
      <w:r>
        <w:t> </w:t>
      </w:r>
      <w:r w:rsidRPr="00220696">
        <w:t xml:space="preserve">I </w:t>
      </w:r>
      <w:r>
        <w:t>HF</w:t>
      </w:r>
      <w:r w:rsidRPr="00220696">
        <w:t>, whereas PBS restrictions frequently stipulate NYHA Class II or higher</w:t>
      </w:r>
      <w:r>
        <w:t xml:space="preserve"> (as based on the clinical evidence at the time of listing on the PBS)</w:t>
      </w:r>
      <w:r w:rsidRPr="00220696">
        <w:t>.</w:t>
      </w:r>
    </w:p>
    <w:p w14:paraId="16E74CFD" w14:textId="09636869" w:rsidR="0017378F" w:rsidRDefault="00002BDC" w:rsidP="0017378F">
      <w:pPr>
        <w:pStyle w:val="4Bodytextnumbered"/>
        <w:numPr>
          <w:ilvl w:val="1"/>
          <w:numId w:val="2"/>
        </w:numPr>
      </w:pPr>
      <w:r>
        <w:t xml:space="preserve">For these reasons, and to be consistent with PBS restrictions, the report considered </w:t>
      </w:r>
      <w:r w:rsidRPr="00FB04F8">
        <w:t xml:space="preserve">“standard of care” for </w:t>
      </w:r>
      <w:proofErr w:type="spellStart"/>
      <w:r w:rsidRPr="00FB04F8">
        <w:t>HFrEF</w:t>
      </w:r>
      <w:proofErr w:type="spellEnd"/>
      <w:r w:rsidRPr="00FB04F8">
        <w:t xml:space="preserve"> to be dual therapy with a renin</w:t>
      </w:r>
      <w:r w:rsidR="0004446C">
        <w:noBreakHyphen/>
      </w:r>
      <w:r w:rsidRPr="00FB04F8">
        <w:t xml:space="preserve">angiotensin system inhibitor and </w:t>
      </w:r>
      <w:r w:rsidR="00A33DE2">
        <w:t>HF</w:t>
      </w:r>
      <w:r w:rsidRPr="00FB04F8">
        <w:t xml:space="preserve"> specific </w:t>
      </w:r>
      <w:r w:rsidR="00170D3D" w:rsidRPr="00FB04F8">
        <w:t>beta blocker</w:t>
      </w:r>
      <w:r w:rsidR="00395FE7" w:rsidRPr="00FB04F8">
        <w:t xml:space="preserve"> (</w:t>
      </w:r>
      <w:r w:rsidRPr="00FB04F8">
        <w:t>BB</w:t>
      </w:r>
      <w:r w:rsidR="00395FE7" w:rsidRPr="00FB04F8">
        <w:t>)</w:t>
      </w:r>
      <w:r w:rsidRPr="00FB04F8">
        <w:t xml:space="preserve">, with or without an MRA, and with or without </w:t>
      </w:r>
      <w:r w:rsidR="004656BF" w:rsidRPr="00FB04F8">
        <w:t>a</w:t>
      </w:r>
      <w:r w:rsidRPr="00FB04F8">
        <w:t xml:space="preserve"> </w:t>
      </w:r>
      <w:r w:rsidR="0017378F" w:rsidRPr="00FB04F8">
        <w:t>sodium glucose co</w:t>
      </w:r>
      <w:r w:rsidR="0004446C">
        <w:noBreakHyphen/>
      </w:r>
      <w:r w:rsidR="0017378F" w:rsidRPr="00FB04F8">
        <w:t xml:space="preserve">transporter 2 inhibitors (SGLT2is) indicated for HF (i.e. dapagliflozin and empagliflozin). </w:t>
      </w:r>
    </w:p>
    <w:p w14:paraId="72EC527E" w14:textId="38C1953E" w:rsidR="009C60EC" w:rsidRPr="009C60EC" w:rsidRDefault="006978B4" w:rsidP="006978B4">
      <w:pPr>
        <w:pStyle w:val="3-BodyText"/>
        <w:rPr>
          <w:iCs/>
        </w:rPr>
      </w:pPr>
      <w:r w:rsidRPr="00FB04F8">
        <w:t xml:space="preserve">The submission </w:t>
      </w:r>
      <w:r>
        <w:t xml:space="preserve">stated that this analysis/report </w:t>
      </w:r>
      <w:r w:rsidR="0055177B">
        <w:t>and the PBAC</w:t>
      </w:r>
      <w:r w:rsidR="00EB125B">
        <w:t xml:space="preserve">’s consideration </w:t>
      </w:r>
      <w:r w:rsidR="007200C5">
        <w:t xml:space="preserve">of it </w:t>
      </w:r>
      <w:r>
        <w:t>also</w:t>
      </w:r>
      <w:r w:rsidRPr="00FB04F8">
        <w:t xml:space="preserve"> formed the rationale for this submission</w:t>
      </w:r>
      <w:r w:rsidR="009C60EC">
        <w:t xml:space="preserve">: </w:t>
      </w:r>
    </w:p>
    <w:p w14:paraId="1A7CBA71" w14:textId="0AB8BE8E" w:rsidR="00034562" w:rsidRPr="009C60EC" w:rsidRDefault="0072034D" w:rsidP="009C60EC">
      <w:pPr>
        <w:pStyle w:val="3-BodyText"/>
        <w:numPr>
          <w:ilvl w:val="0"/>
          <w:numId w:val="27"/>
        </w:numPr>
      </w:pPr>
      <w:r w:rsidRPr="006566D6">
        <w:rPr>
          <w:rFonts w:eastAsia="Calibri"/>
        </w:rPr>
        <w:t>“The PBAC advised it would consider stakeholder input on revising PBS restrictions for HF medicines to align with clinical guidelines in the context of a future PMR. The PBAC was cognisant that the discordance between PBS restrictions and clinical treatment guidelines is likely to reflect clinical scenarios in which HF treatments have not been demonstrated to be cost</w:t>
      </w:r>
      <w:r w:rsidR="0004446C">
        <w:rPr>
          <w:rFonts w:eastAsia="Calibri"/>
        </w:rPr>
        <w:noBreakHyphen/>
      </w:r>
      <w:r w:rsidRPr="006566D6">
        <w:rPr>
          <w:rFonts w:eastAsia="Calibri"/>
        </w:rPr>
        <w:t>effective.”</w:t>
      </w:r>
      <w:r w:rsidR="00747791" w:rsidRPr="006978B4">
        <w:rPr>
          <w:rFonts w:eastAsia="Calibri"/>
        </w:rPr>
        <w:t xml:space="preserve"> (Web Outcomes, September 2024 PBAC Meeting)</w:t>
      </w:r>
      <w:r w:rsidR="000215A2" w:rsidRPr="006978B4">
        <w:rPr>
          <w:rFonts w:eastAsia="Calibri"/>
        </w:rPr>
        <w:t>.</w:t>
      </w:r>
    </w:p>
    <w:p w14:paraId="3D1D4320" w14:textId="1905071E" w:rsidR="007E490F" w:rsidRPr="00050C3F" w:rsidRDefault="007E490F" w:rsidP="001F2311">
      <w:pPr>
        <w:pStyle w:val="2-SectionHeading"/>
      </w:pPr>
      <w:r w:rsidRPr="00050C3F">
        <w:t xml:space="preserve">Background </w:t>
      </w:r>
    </w:p>
    <w:p w14:paraId="33C2C319" w14:textId="681A18A1" w:rsidR="007E490F" w:rsidRPr="005E6DAA" w:rsidRDefault="00C05532" w:rsidP="005E6DAA">
      <w:pPr>
        <w:pStyle w:val="4-SubsectionHeading"/>
        <w:keepNext w:val="0"/>
        <w:rPr>
          <w:lang w:eastAsia="en-US"/>
        </w:rPr>
      </w:pPr>
      <w:r w:rsidRPr="005E6DAA">
        <w:rPr>
          <w:lang w:eastAsia="en-US"/>
        </w:rPr>
        <w:t>R</w:t>
      </w:r>
      <w:r w:rsidR="007E490F" w:rsidRPr="005E6DAA">
        <w:rPr>
          <w:lang w:eastAsia="en-US"/>
        </w:rPr>
        <w:t>egistration status</w:t>
      </w:r>
    </w:p>
    <w:p w14:paraId="2D591D0C" w14:textId="77777777" w:rsidR="00F249BD" w:rsidRPr="00050C3F" w:rsidRDefault="005D09E8">
      <w:pPr>
        <w:pStyle w:val="3-BodyText"/>
      </w:pPr>
      <w:r w:rsidRPr="00050C3F">
        <w:t>E</w:t>
      </w:r>
      <w:r w:rsidR="00454A6A" w:rsidRPr="00050C3F">
        <w:t>plerenone</w:t>
      </w:r>
      <w:r w:rsidR="007E490F" w:rsidRPr="00050C3F">
        <w:t xml:space="preserve"> was TGA registered on </w:t>
      </w:r>
      <w:r w:rsidR="00454A6A" w:rsidRPr="00050C3F">
        <w:t>22 June 2005</w:t>
      </w:r>
      <w:r w:rsidR="00F249BD" w:rsidRPr="00050C3F">
        <w:t xml:space="preserve">: </w:t>
      </w:r>
    </w:p>
    <w:p w14:paraId="7C8087F8" w14:textId="12169ED5" w:rsidR="00F249BD" w:rsidRPr="00050C3F" w:rsidRDefault="00F249BD" w:rsidP="00D33623">
      <w:pPr>
        <w:pStyle w:val="3-BodyText"/>
        <w:numPr>
          <w:ilvl w:val="0"/>
          <w:numId w:val="12"/>
        </w:numPr>
      </w:pPr>
      <w:r w:rsidRPr="00050C3F">
        <w:lastRenderedPageBreak/>
        <w:t>To reduce the risk of cardiovascular death in combination with standard therapy in patients who have evidence of heart failure and left ventricular impairment within 3</w:t>
      </w:r>
      <w:r w:rsidR="0004446C">
        <w:noBreakHyphen/>
      </w:r>
      <w:r w:rsidRPr="00050C3F">
        <w:t>14 days of an acute myocardial infarction</w:t>
      </w:r>
      <w:r w:rsidR="001619A1">
        <w:t>; and</w:t>
      </w:r>
    </w:p>
    <w:p w14:paraId="4AEFF8DC" w14:textId="022D3719" w:rsidR="00C84BA9" w:rsidRPr="00050C3F" w:rsidRDefault="00BB5138" w:rsidP="00670717">
      <w:pPr>
        <w:pStyle w:val="3-BodyText"/>
        <w:numPr>
          <w:ilvl w:val="0"/>
          <w:numId w:val="0"/>
        </w:numPr>
        <w:ind w:left="720"/>
      </w:pPr>
      <w:r>
        <w:t>An extension of the indication</w:t>
      </w:r>
      <w:r w:rsidR="00B72BFA">
        <w:t xml:space="preserve"> </w:t>
      </w:r>
      <w:r w:rsidR="00F74D54" w:rsidRPr="00F74D54">
        <w:t>for Eplerenone</w:t>
      </w:r>
      <w:r w:rsidR="008D62E8">
        <w:t xml:space="preserve"> was</w:t>
      </w:r>
      <w:r w:rsidR="00701132">
        <w:t xml:space="preserve"> </w:t>
      </w:r>
      <w:r w:rsidR="0026597E">
        <w:t>approved</w:t>
      </w:r>
      <w:r w:rsidR="002D1A1D">
        <w:t xml:space="preserve"> on </w:t>
      </w:r>
      <w:r w:rsidR="00033F9F">
        <w:t xml:space="preserve">30 </w:t>
      </w:r>
      <w:r w:rsidR="009B0D84">
        <w:t>October</w:t>
      </w:r>
      <w:r w:rsidR="00C51E3C">
        <w:t xml:space="preserve"> 2014</w:t>
      </w:r>
      <w:r w:rsidR="00C84BA9">
        <w:t>:</w:t>
      </w:r>
    </w:p>
    <w:p w14:paraId="443F758C" w14:textId="53CB5F99" w:rsidR="008A1AB3" w:rsidRPr="00050C3F" w:rsidRDefault="00F249BD" w:rsidP="00DD5F94">
      <w:pPr>
        <w:pStyle w:val="3-BodyText"/>
        <w:numPr>
          <w:ilvl w:val="0"/>
          <w:numId w:val="12"/>
        </w:numPr>
      </w:pPr>
      <w:r w:rsidRPr="00050C3F">
        <w:t>To reduce the risk of cardiovascular mortality and morbidity in adult patients with NYHA class II (chronic) heart failure and left ventricular systolic dysfunction (LVEF less than or equal to 30% or LVEF less than or equal to 35% in addition to QRS duration of greater than 130 msec), in addition to standard optimal therapy</w:t>
      </w:r>
      <w:r w:rsidR="001619A1">
        <w:t>.</w:t>
      </w:r>
    </w:p>
    <w:p w14:paraId="3B7C9C99" w14:textId="34164850" w:rsidR="007E490F" w:rsidRPr="005E6DAA" w:rsidRDefault="007E490F" w:rsidP="005E6DAA">
      <w:pPr>
        <w:pStyle w:val="4-SubsectionHeading"/>
        <w:keepNext w:val="0"/>
        <w:rPr>
          <w:lang w:eastAsia="en-US"/>
        </w:rPr>
      </w:pPr>
      <w:r w:rsidRPr="005E6DAA">
        <w:rPr>
          <w:lang w:eastAsia="en-US"/>
        </w:rPr>
        <w:t xml:space="preserve">Previous PBAC consideration </w:t>
      </w:r>
    </w:p>
    <w:p w14:paraId="684E444C" w14:textId="659D706E" w:rsidR="008C0BA6" w:rsidRPr="006566D6" w:rsidRDefault="007D1920" w:rsidP="00A601C2">
      <w:pPr>
        <w:pStyle w:val="3-BodyText"/>
      </w:pPr>
      <w:r>
        <w:t>Inspra</w:t>
      </w:r>
      <w:r w:rsidR="3BB2C64F" w:rsidRPr="4630B983">
        <w:rPr>
          <w:vertAlign w:val="superscript"/>
        </w:rPr>
        <w:t>®</w:t>
      </w:r>
      <w:r w:rsidR="007E490F">
        <w:t xml:space="preserve"> was previously considered by the PBAC at its </w:t>
      </w:r>
      <w:r w:rsidR="00A601C2">
        <w:t>July 2005</w:t>
      </w:r>
      <w:r w:rsidR="007E490F">
        <w:t xml:space="preserve"> meeting.</w:t>
      </w:r>
      <w:r w:rsidR="00215DF1">
        <w:t xml:space="preserve"> The PBAC recommended listing based on acceptable cost</w:t>
      </w:r>
      <w:r w:rsidR="0004446C">
        <w:noBreakHyphen/>
      </w:r>
      <w:r w:rsidR="00215DF1">
        <w:t>effectiveness compared with placebo (or standard medical management) where eplerenone treatment is commenced in eligible patients within three to fourteen days of the acute myocardial infarction (</w:t>
      </w:r>
      <w:r w:rsidR="00E716B2">
        <w:t xml:space="preserve">eplerenone, </w:t>
      </w:r>
      <w:r w:rsidR="00215DF1">
        <w:t xml:space="preserve">Public </w:t>
      </w:r>
      <w:r w:rsidR="00E716B2">
        <w:t>Summary Document (PSD), July 2005 PBAC meeting</w:t>
      </w:r>
      <w:r w:rsidR="00215DF1">
        <w:t xml:space="preserve">). </w:t>
      </w:r>
    </w:p>
    <w:p w14:paraId="01D91A78" w14:textId="20B61318" w:rsidR="00701E83" w:rsidRPr="006566D6" w:rsidRDefault="00215DF1" w:rsidP="00F977B5">
      <w:pPr>
        <w:pStyle w:val="3-BodyText"/>
      </w:pPr>
      <w:r w:rsidRPr="00050C3F">
        <w:t xml:space="preserve">No other </w:t>
      </w:r>
      <w:r w:rsidR="001564B3">
        <w:t xml:space="preserve">eplerenone </w:t>
      </w:r>
      <w:r w:rsidRPr="00050C3F">
        <w:t>submissions have been considered</w:t>
      </w:r>
      <w:r w:rsidR="00E716B2">
        <w:t xml:space="preserve"> by the PBAC to date. </w:t>
      </w:r>
      <w:r w:rsidR="00A8198C" w:rsidRPr="006566D6">
        <w:rPr>
          <w:iCs/>
        </w:rPr>
        <w:t xml:space="preserve">A major submission </w:t>
      </w:r>
      <w:r w:rsidR="00FC64B5" w:rsidRPr="006566D6">
        <w:rPr>
          <w:iCs/>
        </w:rPr>
        <w:t>was made to the March 2013 PBAC meeting</w:t>
      </w:r>
      <w:r w:rsidR="00667128" w:rsidRPr="006566D6">
        <w:rPr>
          <w:iCs/>
        </w:rPr>
        <w:t>, by Pfizer Pty Limited,</w:t>
      </w:r>
      <w:r w:rsidR="00FC64B5" w:rsidRPr="006566D6">
        <w:rPr>
          <w:iCs/>
        </w:rPr>
        <w:t xml:space="preserve"> seeking to extend the </w:t>
      </w:r>
      <w:r w:rsidR="00DB1898" w:rsidRPr="006566D6">
        <w:rPr>
          <w:iCs/>
        </w:rPr>
        <w:t>current Authority Required (STREAMLINED) listing to include treatment of New York Heart Association (NYHA) class II (chronic) heart failure with left ventricular systolic dysfunction (LVEF) in addition to standard optimal therapy. (</w:t>
      </w:r>
      <w:hyperlink r:id="rId11" w:history="1">
        <w:r w:rsidR="00DB1898" w:rsidRPr="006566D6">
          <w:rPr>
            <w:rStyle w:val="Hyperlink"/>
            <w:iCs/>
          </w:rPr>
          <w:t>PBAC Web Agenda, March 2013</w:t>
        </w:r>
      </w:hyperlink>
      <w:r w:rsidR="00DB1898" w:rsidRPr="006566D6">
        <w:rPr>
          <w:iCs/>
        </w:rPr>
        <w:t xml:space="preserve">). The submission was not considered by the </w:t>
      </w:r>
      <w:proofErr w:type="gramStart"/>
      <w:r w:rsidR="00DB1898" w:rsidRPr="006566D6">
        <w:rPr>
          <w:iCs/>
        </w:rPr>
        <w:t>PBAC</w:t>
      </w:r>
      <w:r w:rsidR="005B1E69" w:rsidRPr="006566D6">
        <w:rPr>
          <w:iCs/>
        </w:rPr>
        <w:t>,</w:t>
      </w:r>
      <w:proofErr w:type="gramEnd"/>
      <w:r w:rsidR="005B1E69" w:rsidRPr="006566D6">
        <w:rPr>
          <w:iCs/>
        </w:rPr>
        <w:t xml:space="preserve"> hence no outcomes were published</w:t>
      </w:r>
      <w:r w:rsidR="00DB1898" w:rsidRPr="006566D6">
        <w:rPr>
          <w:iCs/>
        </w:rPr>
        <w:t>.</w:t>
      </w:r>
    </w:p>
    <w:p w14:paraId="1B8790B6" w14:textId="426A0A83" w:rsidR="00964A9F" w:rsidRPr="00050C3F" w:rsidRDefault="00964A9F" w:rsidP="00964A9F">
      <w:pPr>
        <w:pStyle w:val="2-SectionHeading"/>
      </w:pPr>
      <w:r w:rsidRPr="00050C3F">
        <w:t xml:space="preserve">Requested listing </w:t>
      </w:r>
    </w:p>
    <w:p w14:paraId="5900ACD3" w14:textId="106BAF88" w:rsidR="00A3081F" w:rsidRPr="00A3081F" w:rsidRDefault="00964A9F" w:rsidP="00964A9F">
      <w:pPr>
        <w:pStyle w:val="3-BodyText"/>
        <w:rPr>
          <w:rFonts w:cstheme="minorHAnsi"/>
        </w:rPr>
      </w:pPr>
      <w:r w:rsidRPr="00050C3F">
        <w:t xml:space="preserve">The submission requested </w:t>
      </w:r>
      <w:r w:rsidR="00775940">
        <w:t>several</w:t>
      </w:r>
      <w:r w:rsidR="000B58ED">
        <w:t xml:space="preserve"> amendments to </w:t>
      </w:r>
      <w:r w:rsidRPr="00050C3F">
        <w:t xml:space="preserve">the </w:t>
      </w:r>
      <w:r w:rsidR="000B58ED">
        <w:t xml:space="preserve">existing listing. </w:t>
      </w:r>
    </w:p>
    <w:p w14:paraId="2A53A51E" w14:textId="203F73D9" w:rsidR="00930BCC" w:rsidRDefault="00A82502" w:rsidP="00930BCC">
      <w:pPr>
        <w:pStyle w:val="3-BodyText"/>
        <w:rPr>
          <w:rFonts w:cstheme="minorHAnsi"/>
        </w:rPr>
      </w:pPr>
      <w:r>
        <w:rPr>
          <w:rFonts w:cstheme="minorHAnsi"/>
        </w:rPr>
        <w:t xml:space="preserve">The following tables </w:t>
      </w:r>
      <w:r w:rsidR="00C1613A">
        <w:rPr>
          <w:rFonts w:cstheme="minorHAnsi"/>
        </w:rPr>
        <w:t xml:space="preserve">represent </w:t>
      </w:r>
      <w:r>
        <w:rPr>
          <w:rFonts w:cstheme="minorHAnsi"/>
        </w:rPr>
        <w:t>the current PBS listing</w:t>
      </w:r>
      <w:r w:rsidR="00665BD9">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2887E772" w14:textId="77777777" w:rsidTr="007C3C42">
        <w:trPr>
          <w:cantSplit/>
          <w:trHeight w:val="20"/>
        </w:trPr>
        <w:tc>
          <w:tcPr>
            <w:tcW w:w="3939" w:type="dxa"/>
            <w:gridSpan w:val="2"/>
            <w:vAlign w:val="center"/>
          </w:tcPr>
          <w:p w14:paraId="37506467"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22288ECC"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08FAF79D"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1EF9EAC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74B166C1"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54BFE15D" w14:textId="77777777" w:rsidR="00930BCC" w:rsidRPr="008C614A" w:rsidRDefault="00930BCC" w:rsidP="007C3C42">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60359250" w14:textId="77777777" w:rsidR="00930BCC" w:rsidRPr="008C614A" w:rsidRDefault="00930BCC" w:rsidP="007C3C42">
            <w:pPr>
              <w:keepLines/>
              <w:jc w:val="center"/>
              <w:rPr>
                <w:rFonts w:ascii="Arial Narrow" w:hAnsi="Arial Narrow" w:cs="Arial"/>
                <w:b/>
                <w:sz w:val="20"/>
                <w:szCs w:val="20"/>
              </w:rPr>
            </w:pPr>
            <w:proofErr w:type="spellStart"/>
            <w:r w:rsidRPr="008C614A">
              <w:rPr>
                <w:rFonts w:ascii="Arial Narrow" w:hAnsi="Arial Narrow" w:cs="Arial"/>
                <w:b/>
                <w:sz w:val="20"/>
                <w:szCs w:val="20"/>
              </w:rPr>
              <w:t>Rpts</w:t>
            </w:r>
            <w:proofErr w:type="spellEnd"/>
          </w:p>
        </w:tc>
        <w:tc>
          <w:tcPr>
            <w:tcW w:w="1831" w:type="dxa"/>
            <w:vAlign w:val="center"/>
          </w:tcPr>
          <w:p w14:paraId="023AE5A0"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334EBE3" w14:textId="77777777" w:rsidTr="007C3C42">
        <w:trPr>
          <w:cantSplit/>
          <w:trHeight w:val="20"/>
        </w:trPr>
        <w:tc>
          <w:tcPr>
            <w:tcW w:w="9016" w:type="dxa"/>
            <w:gridSpan w:val="7"/>
            <w:vAlign w:val="center"/>
          </w:tcPr>
          <w:p w14:paraId="00C6BC5D"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4CDAD4B4" w14:textId="77777777" w:rsidTr="007C3C42">
        <w:trPr>
          <w:cantSplit/>
          <w:trHeight w:val="20"/>
        </w:trPr>
        <w:tc>
          <w:tcPr>
            <w:tcW w:w="3939" w:type="dxa"/>
            <w:gridSpan w:val="2"/>
            <w:vAlign w:val="center"/>
          </w:tcPr>
          <w:p w14:paraId="004A54D6"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EA54DDD"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66A8F2FF"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A7F1572"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7866BD6F"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87E3174"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3C3BF8CC"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63C472CA"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02749092"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3E0266ED" w14:textId="77777777" w:rsidTr="007C3C42">
        <w:trPr>
          <w:cantSplit/>
          <w:trHeight w:val="20"/>
        </w:trPr>
        <w:tc>
          <w:tcPr>
            <w:tcW w:w="3939" w:type="dxa"/>
            <w:gridSpan w:val="2"/>
            <w:vAlign w:val="center"/>
          </w:tcPr>
          <w:p w14:paraId="021EE8EB"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76DA3C9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2D532FB2"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6B598B1D"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653AD45D"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CF1E54E"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06F69BEF"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3DC8D4F3"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5C9E3FCC" w14:textId="77777777" w:rsidR="00930BCC" w:rsidRPr="00600332" w:rsidRDefault="00930BCC" w:rsidP="007C3C42">
            <w:pPr>
              <w:keepNext/>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383F4DA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D336890" w14:textId="77777777" w:rsidR="00930BCC" w:rsidRPr="00600332" w:rsidRDefault="00930BCC" w:rsidP="007C3C42">
            <w:pPr>
              <w:rPr>
                <w:rFonts w:ascii="Arial Narrow" w:hAnsi="Arial Narrow" w:cs="Arial"/>
                <w:sz w:val="20"/>
                <w:szCs w:val="20"/>
                <w:lang w:val="es-ES"/>
              </w:rPr>
            </w:pPr>
          </w:p>
        </w:tc>
      </w:tr>
      <w:tr w:rsidR="00930BCC" w:rsidRPr="008C614A" w14:paraId="16EA9E09"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F93DF4E"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6536A319"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1BD8BEC"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ADAF9B" w14:textId="77777777" w:rsidR="00930BCC" w:rsidRPr="008C614A" w:rsidRDefault="00930BCC" w:rsidP="007C3C42">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w:t>
            </w:r>
            <w:proofErr w:type="spellStart"/>
            <w:r w:rsidRPr="008C614A">
              <w:rPr>
                <w:rFonts w:ascii="Arial Narrow" w:eastAsia="Calibri" w:hAnsi="Arial Narrow" w:cs="Arial"/>
                <w:sz w:val="20"/>
                <w:szCs w:val="20"/>
              </w:rPr>
              <w:t>General</w:t>
            </w:r>
            <w:proofErr w:type="spellEnd"/>
            <w:r w:rsidRPr="008C614A">
              <w:rPr>
                <w:rFonts w:ascii="Arial Narrow" w:eastAsia="Calibri" w:hAnsi="Arial Narrow" w:cs="Arial"/>
                <w:sz w:val="20"/>
                <w:szCs w:val="20"/>
              </w:rPr>
              <w:t xml:space="preserve"> Schedule (Code GE) </w:t>
            </w:r>
          </w:p>
        </w:tc>
      </w:tr>
      <w:tr w:rsidR="00930BCC" w:rsidRPr="008C614A" w14:paraId="5D0D4477"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C1BF575"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A4819D"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21A202D2"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10880AA"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E3CE821" w14:textId="77777777" w:rsidR="00930BCC" w:rsidRPr="008C614A" w:rsidRDefault="00930BCC" w:rsidP="007C3C42">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78E620B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52FB0B" w14:textId="77777777" w:rsidR="00930BCC" w:rsidRPr="008C614A" w:rsidRDefault="00930BCC" w:rsidP="007C3C42">
            <w:pPr>
              <w:keepLines/>
              <w:jc w:val="center"/>
              <w:rPr>
                <w:rFonts w:ascii="Arial Narrow" w:hAnsi="Arial Narrow" w:cs="Arial"/>
                <w:strike/>
                <w:sz w:val="20"/>
                <w:szCs w:val="20"/>
              </w:rPr>
            </w:pPr>
          </w:p>
        </w:tc>
        <w:tc>
          <w:tcPr>
            <w:tcW w:w="7745" w:type="dxa"/>
            <w:gridSpan w:val="6"/>
            <w:vAlign w:val="center"/>
          </w:tcPr>
          <w:p w14:paraId="0D75BD26"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4C0858A5"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F81D204" w14:textId="62CA311D" w:rsidR="00930BCC" w:rsidRPr="008C614A" w:rsidRDefault="00930BCC" w:rsidP="007C3C42">
            <w:pPr>
              <w:keepLines/>
              <w:jc w:val="center"/>
              <w:rPr>
                <w:rFonts w:ascii="Arial Narrow" w:hAnsi="Arial Narrow" w:cs="Arial"/>
                <w:sz w:val="20"/>
                <w:szCs w:val="20"/>
              </w:rPr>
            </w:pPr>
          </w:p>
          <w:p w14:paraId="2262AC83" w14:textId="77777777" w:rsidR="00930BCC" w:rsidRPr="008C614A" w:rsidRDefault="00930BCC" w:rsidP="007C3C42">
            <w:pPr>
              <w:keepLines/>
              <w:jc w:val="center"/>
              <w:rPr>
                <w:rFonts w:ascii="Arial Narrow" w:hAnsi="Arial Narrow" w:cs="Arial"/>
                <w:sz w:val="20"/>
                <w:szCs w:val="20"/>
              </w:rPr>
            </w:pPr>
          </w:p>
        </w:tc>
        <w:tc>
          <w:tcPr>
            <w:tcW w:w="7745" w:type="dxa"/>
            <w:gridSpan w:val="6"/>
            <w:vAlign w:val="center"/>
            <w:hideMark/>
          </w:tcPr>
          <w:p w14:paraId="3E80D4E3" w14:textId="77777777" w:rsidR="00930BCC" w:rsidRPr="008C614A" w:rsidRDefault="00930BCC" w:rsidP="007C3C42">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6F73E440" w14:textId="77777777" w:rsidR="00930BCC" w:rsidRPr="008C614A" w:rsidRDefault="00930BCC" w:rsidP="007C3C42">
            <w:pPr>
              <w:keepLines/>
              <w:rPr>
                <w:rFonts w:ascii="Arial Narrow" w:hAnsi="Arial Narrow" w:cs="Arial"/>
                <w:i/>
                <w:sz w:val="20"/>
                <w:szCs w:val="20"/>
              </w:rPr>
            </w:pPr>
          </w:p>
        </w:tc>
      </w:tr>
      <w:tr w:rsidR="00930BCC" w:rsidRPr="008C614A" w14:paraId="2B13521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3D9345" w14:textId="01CB1256" w:rsidR="00930BCC" w:rsidRPr="008C614A" w:rsidRDefault="00930BCC" w:rsidP="007C3C42">
            <w:pPr>
              <w:jc w:val="center"/>
              <w:rPr>
                <w:rFonts w:ascii="Arial Narrow" w:hAnsi="Arial Narrow" w:cs="Arial"/>
                <w:sz w:val="20"/>
                <w:szCs w:val="20"/>
              </w:rPr>
            </w:pPr>
          </w:p>
        </w:tc>
        <w:tc>
          <w:tcPr>
            <w:tcW w:w="7745" w:type="dxa"/>
            <w:gridSpan w:val="6"/>
            <w:vAlign w:val="center"/>
          </w:tcPr>
          <w:p w14:paraId="1047BC66"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C780037"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424A87" w14:textId="668B16D3" w:rsidR="00930BCC" w:rsidRPr="008C614A" w:rsidRDefault="00930BCC" w:rsidP="007C3C42">
            <w:pPr>
              <w:jc w:val="center"/>
              <w:rPr>
                <w:rFonts w:ascii="Arial Narrow" w:hAnsi="Arial Narrow" w:cs="Arial"/>
                <w:sz w:val="20"/>
                <w:szCs w:val="20"/>
              </w:rPr>
            </w:pPr>
          </w:p>
        </w:tc>
        <w:tc>
          <w:tcPr>
            <w:tcW w:w="7745" w:type="dxa"/>
            <w:gridSpan w:val="6"/>
            <w:vAlign w:val="center"/>
          </w:tcPr>
          <w:p w14:paraId="4D31D9A9"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24ABB173"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ACECF5"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6F0B6EEF"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5836C63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C34E89" w14:textId="00F79598" w:rsidR="00930BCC" w:rsidRPr="008C614A" w:rsidRDefault="00930BCC" w:rsidP="007C3C42">
            <w:pPr>
              <w:jc w:val="center"/>
              <w:rPr>
                <w:rFonts w:ascii="Arial Narrow" w:hAnsi="Arial Narrow" w:cs="Arial"/>
                <w:sz w:val="20"/>
                <w:szCs w:val="20"/>
              </w:rPr>
            </w:pPr>
          </w:p>
        </w:tc>
        <w:tc>
          <w:tcPr>
            <w:tcW w:w="7745" w:type="dxa"/>
            <w:gridSpan w:val="6"/>
            <w:vAlign w:val="center"/>
          </w:tcPr>
          <w:p w14:paraId="04A8BBBC"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E003E5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5FA258" w14:textId="353292C7" w:rsidR="00930BCC" w:rsidRPr="008C614A" w:rsidRDefault="00930BCC" w:rsidP="007C3C42">
            <w:pPr>
              <w:jc w:val="center"/>
              <w:rPr>
                <w:rFonts w:ascii="Arial Narrow" w:hAnsi="Arial Narrow" w:cs="Arial"/>
                <w:sz w:val="20"/>
                <w:szCs w:val="20"/>
              </w:rPr>
            </w:pPr>
          </w:p>
        </w:tc>
        <w:tc>
          <w:tcPr>
            <w:tcW w:w="7745" w:type="dxa"/>
            <w:gridSpan w:val="6"/>
            <w:vAlign w:val="center"/>
          </w:tcPr>
          <w:p w14:paraId="17E3ECCD"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6CE87F9"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64E049" w14:textId="7035BCB9" w:rsidR="00930BCC" w:rsidRPr="008C614A" w:rsidRDefault="00930BCC" w:rsidP="007C3C42">
            <w:pPr>
              <w:jc w:val="center"/>
              <w:rPr>
                <w:rFonts w:ascii="Arial Narrow" w:hAnsi="Arial Narrow" w:cs="Arial"/>
                <w:sz w:val="20"/>
                <w:szCs w:val="20"/>
              </w:rPr>
            </w:pPr>
          </w:p>
        </w:tc>
        <w:tc>
          <w:tcPr>
            <w:tcW w:w="7745" w:type="dxa"/>
            <w:gridSpan w:val="6"/>
            <w:vAlign w:val="center"/>
          </w:tcPr>
          <w:p w14:paraId="5AFCFEF9"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6C16695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433C6A" w14:textId="58960825" w:rsidR="00930BCC" w:rsidRPr="008C614A" w:rsidRDefault="00930BCC" w:rsidP="007C3C42">
            <w:pPr>
              <w:jc w:val="center"/>
              <w:rPr>
                <w:rFonts w:ascii="Arial Narrow" w:hAnsi="Arial Narrow" w:cs="Arial"/>
                <w:sz w:val="20"/>
                <w:szCs w:val="20"/>
              </w:rPr>
            </w:pPr>
          </w:p>
          <w:p w14:paraId="2A7189FF" w14:textId="77777777" w:rsidR="00930BCC" w:rsidRPr="008C614A" w:rsidRDefault="00930BCC" w:rsidP="007C3C42">
            <w:pPr>
              <w:rPr>
                <w:rFonts w:ascii="Arial Narrow" w:hAnsi="Arial Narrow" w:cs="Arial"/>
                <w:strike/>
                <w:sz w:val="20"/>
                <w:szCs w:val="20"/>
              </w:rPr>
            </w:pPr>
          </w:p>
        </w:tc>
        <w:tc>
          <w:tcPr>
            <w:tcW w:w="7745" w:type="dxa"/>
            <w:gridSpan w:val="6"/>
            <w:vAlign w:val="center"/>
            <w:hideMark/>
          </w:tcPr>
          <w:p w14:paraId="60C7CD28"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2D451CD" w14:textId="77777777" w:rsidR="00930BCC" w:rsidRPr="00665BD9" w:rsidRDefault="00930BCC" w:rsidP="00930BCC">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4B58E55D" w14:textId="77777777" w:rsidTr="007C3C42">
        <w:trPr>
          <w:cantSplit/>
          <w:trHeight w:val="20"/>
        </w:trPr>
        <w:tc>
          <w:tcPr>
            <w:tcW w:w="3939" w:type="dxa"/>
            <w:gridSpan w:val="2"/>
            <w:vAlign w:val="center"/>
          </w:tcPr>
          <w:p w14:paraId="1652F0A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06E60B16"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4244001E"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45C5506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3DAB0AB0"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65C5D867" w14:textId="77777777" w:rsidR="00930BCC" w:rsidRPr="008C614A" w:rsidRDefault="00930BCC" w:rsidP="007C3C42">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720BD8C8" w14:textId="77777777" w:rsidR="00930BCC" w:rsidRPr="008C614A" w:rsidRDefault="00930BCC" w:rsidP="007C3C42">
            <w:pPr>
              <w:keepLines/>
              <w:jc w:val="center"/>
              <w:rPr>
                <w:rFonts w:ascii="Arial Narrow" w:hAnsi="Arial Narrow" w:cs="Arial"/>
                <w:b/>
                <w:sz w:val="20"/>
                <w:szCs w:val="20"/>
              </w:rPr>
            </w:pPr>
            <w:proofErr w:type="spellStart"/>
            <w:r w:rsidRPr="008C614A">
              <w:rPr>
                <w:rFonts w:ascii="Arial Narrow" w:hAnsi="Arial Narrow" w:cs="Arial"/>
                <w:b/>
                <w:sz w:val="20"/>
                <w:szCs w:val="20"/>
              </w:rPr>
              <w:t>Rpts</w:t>
            </w:r>
            <w:proofErr w:type="spellEnd"/>
          </w:p>
        </w:tc>
        <w:tc>
          <w:tcPr>
            <w:tcW w:w="1831" w:type="dxa"/>
            <w:vAlign w:val="center"/>
          </w:tcPr>
          <w:p w14:paraId="4B886A0A"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1136CD73" w14:textId="77777777" w:rsidTr="007C3C42">
        <w:trPr>
          <w:cantSplit/>
          <w:trHeight w:val="20"/>
        </w:trPr>
        <w:tc>
          <w:tcPr>
            <w:tcW w:w="9016" w:type="dxa"/>
            <w:gridSpan w:val="7"/>
            <w:vAlign w:val="center"/>
          </w:tcPr>
          <w:p w14:paraId="2C63F18F"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1CE53741" w14:textId="77777777" w:rsidTr="007C3C42">
        <w:trPr>
          <w:cantSplit/>
          <w:trHeight w:val="20"/>
        </w:trPr>
        <w:tc>
          <w:tcPr>
            <w:tcW w:w="3939" w:type="dxa"/>
            <w:gridSpan w:val="2"/>
            <w:vAlign w:val="center"/>
          </w:tcPr>
          <w:p w14:paraId="7E7467BA"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eplerenone 25 mg tablet, 30</w:t>
            </w:r>
          </w:p>
          <w:p w14:paraId="52BC3831" w14:textId="77777777" w:rsidR="00930BCC" w:rsidRPr="008C614A" w:rsidRDefault="00930BCC" w:rsidP="007C3C42">
            <w:pPr>
              <w:keepLines/>
              <w:rPr>
                <w:rFonts w:ascii="Arial Narrow" w:hAnsi="Arial Narrow" w:cs="Arial"/>
                <w:sz w:val="20"/>
                <w:szCs w:val="20"/>
              </w:rPr>
            </w:pPr>
          </w:p>
        </w:tc>
        <w:tc>
          <w:tcPr>
            <w:tcW w:w="811" w:type="dxa"/>
            <w:vAlign w:val="center"/>
          </w:tcPr>
          <w:p w14:paraId="19C47FC0"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13590G</w:t>
            </w:r>
          </w:p>
        </w:tc>
        <w:tc>
          <w:tcPr>
            <w:tcW w:w="812" w:type="dxa"/>
            <w:vAlign w:val="center"/>
          </w:tcPr>
          <w:p w14:paraId="2265BB5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33D0191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515EB10A"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38BA9CE2"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6A21522E"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1B5AA4E0"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7F73EA01"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27075A5C" w14:textId="77777777" w:rsidTr="007C3C42">
        <w:trPr>
          <w:cantSplit/>
          <w:trHeight w:val="20"/>
        </w:trPr>
        <w:tc>
          <w:tcPr>
            <w:tcW w:w="3939" w:type="dxa"/>
            <w:gridSpan w:val="2"/>
            <w:vAlign w:val="center"/>
          </w:tcPr>
          <w:p w14:paraId="20857B14"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 mg tablet, 30</w:t>
            </w:r>
          </w:p>
        </w:tc>
        <w:tc>
          <w:tcPr>
            <w:tcW w:w="811" w:type="dxa"/>
            <w:vAlign w:val="center"/>
          </w:tcPr>
          <w:p w14:paraId="3BCF662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13379E</w:t>
            </w:r>
          </w:p>
        </w:tc>
        <w:tc>
          <w:tcPr>
            <w:tcW w:w="812" w:type="dxa"/>
            <w:vAlign w:val="center"/>
          </w:tcPr>
          <w:p w14:paraId="1E8F2011"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73CDF89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3FC7104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52C82FA9"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64D9454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7E42A6CD"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5E05FEA8" w14:textId="77777777" w:rsidR="00930BCC" w:rsidRPr="00600332" w:rsidRDefault="00930BCC" w:rsidP="007C3C42">
            <w:pPr>
              <w:keepNext/>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1D33FF49"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0224167" w14:textId="77777777" w:rsidR="00930BCC" w:rsidRPr="00600332" w:rsidRDefault="00930BCC" w:rsidP="007C3C42">
            <w:pPr>
              <w:rPr>
                <w:rFonts w:ascii="Arial Narrow" w:hAnsi="Arial Narrow" w:cs="Arial"/>
                <w:sz w:val="20"/>
                <w:szCs w:val="20"/>
                <w:lang w:val="es-ES"/>
              </w:rPr>
            </w:pPr>
          </w:p>
        </w:tc>
      </w:tr>
      <w:tr w:rsidR="00930BCC" w:rsidRPr="008C614A" w14:paraId="09AF382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ED55873"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16565 / Treatment of Concept: 14266</w:t>
            </w:r>
          </w:p>
        </w:tc>
      </w:tr>
      <w:tr w:rsidR="00930BCC" w:rsidRPr="008C614A" w14:paraId="2A0E4CC0"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20AEEB1"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73B5B3" w14:textId="77777777" w:rsidR="00930BCC" w:rsidRPr="008C614A" w:rsidRDefault="00930BCC" w:rsidP="007C3C42">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w:t>
            </w:r>
            <w:proofErr w:type="spellStart"/>
            <w:r w:rsidRPr="008C614A">
              <w:rPr>
                <w:rFonts w:ascii="Arial Narrow" w:eastAsia="Calibri" w:hAnsi="Arial Narrow" w:cs="Arial"/>
                <w:sz w:val="20"/>
                <w:szCs w:val="20"/>
              </w:rPr>
              <w:t>General</w:t>
            </w:r>
            <w:proofErr w:type="spellEnd"/>
            <w:r w:rsidRPr="008C614A">
              <w:rPr>
                <w:rFonts w:ascii="Arial Narrow" w:eastAsia="Calibri" w:hAnsi="Arial Narrow" w:cs="Arial"/>
                <w:sz w:val="20"/>
                <w:szCs w:val="20"/>
              </w:rPr>
              <w:t xml:space="preserve"> Schedule (Code GE) </w:t>
            </w:r>
          </w:p>
        </w:tc>
      </w:tr>
      <w:tr w:rsidR="00930BCC" w:rsidRPr="008C614A" w14:paraId="32825751"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1A3287D"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54E28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515E11D1"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D5C8562"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175DAF6" w14:textId="77777777" w:rsidR="00930BCC" w:rsidRPr="008C614A" w:rsidRDefault="00930BCC" w:rsidP="007C3C42">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67BB696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DE61E9" w14:textId="77777777" w:rsidR="00930BCC" w:rsidRPr="008C614A" w:rsidRDefault="00930BCC" w:rsidP="007C3C42">
            <w:pPr>
              <w:keepLines/>
              <w:rPr>
                <w:rFonts w:ascii="Arial Narrow" w:hAnsi="Arial Narrow" w:cs="Arial"/>
                <w:sz w:val="20"/>
                <w:szCs w:val="20"/>
              </w:rPr>
            </w:pPr>
          </w:p>
        </w:tc>
        <w:tc>
          <w:tcPr>
            <w:tcW w:w="7745" w:type="dxa"/>
            <w:gridSpan w:val="6"/>
            <w:vAlign w:val="center"/>
          </w:tcPr>
          <w:p w14:paraId="0E5ED91A"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350A5A1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1BC8502B" w14:textId="0EC34A23" w:rsidR="00930BCC" w:rsidRPr="008C614A" w:rsidRDefault="00930BCC" w:rsidP="007C3C42">
            <w:pPr>
              <w:keepLines/>
              <w:jc w:val="center"/>
              <w:rPr>
                <w:rFonts w:ascii="Arial Narrow" w:hAnsi="Arial Narrow" w:cs="Arial"/>
                <w:sz w:val="20"/>
                <w:szCs w:val="20"/>
              </w:rPr>
            </w:pPr>
          </w:p>
          <w:p w14:paraId="6EB845BA" w14:textId="77777777" w:rsidR="00930BCC" w:rsidRPr="008C614A" w:rsidRDefault="00930BCC" w:rsidP="007C3C42">
            <w:pPr>
              <w:keepLines/>
              <w:rPr>
                <w:rFonts w:ascii="Arial Narrow" w:hAnsi="Arial Narrow" w:cs="Arial"/>
                <w:sz w:val="20"/>
                <w:szCs w:val="20"/>
              </w:rPr>
            </w:pPr>
          </w:p>
        </w:tc>
        <w:tc>
          <w:tcPr>
            <w:tcW w:w="7745" w:type="dxa"/>
            <w:gridSpan w:val="6"/>
            <w:vAlign w:val="center"/>
            <w:hideMark/>
          </w:tcPr>
          <w:p w14:paraId="2E57F50C" w14:textId="77777777" w:rsidR="00930BCC" w:rsidRPr="008C614A" w:rsidRDefault="00930BCC" w:rsidP="007C3C42">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7F60863A" w14:textId="77777777" w:rsidR="00930BCC" w:rsidRPr="008C614A" w:rsidRDefault="00930BCC" w:rsidP="007C3C42">
            <w:pPr>
              <w:keepLines/>
              <w:rPr>
                <w:rFonts w:ascii="Arial Narrow" w:hAnsi="Arial Narrow" w:cs="Arial"/>
                <w:i/>
                <w:sz w:val="20"/>
                <w:szCs w:val="20"/>
              </w:rPr>
            </w:pPr>
          </w:p>
        </w:tc>
      </w:tr>
      <w:tr w:rsidR="00930BCC" w:rsidRPr="008C614A" w14:paraId="417CFDC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2F7B2C" w14:textId="74FFDA42" w:rsidR="00930BCC" w:rsidRPr="008C614A" w:rsidRDefault="00930BCC" w:rsidP="007C3C42">
            <w:pPr>
              <w:keepLines/>
              <w:jc w:val="center"/>
              <w:rPr>
                <w:rFonts w:ascii="Arial Narrow" w:hAnsi="Arial Narrow" w:cs="Arial"/>
                <w:sz w:val="20"/>
                <w:szCs w:val="20"/>
              </w:rPr>
            </w:pPr>
          </w:p>
        </w:tc>
        <w:tc>
          <w:tcPr>
            <w:tcW w:w="7745" w:type="dxa"/>
            <w:gridSpan w:val="6"/>
            <w:vAlign w:val="center"/>
          </w:tcPr>
          <w:p w14:paraId="5D953E1E"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Clinical criteria:</w:t>
            </w:r>
          </w:p>
        </w:tc>
      </w:tr>
      <w:tr w:rsidR="00930BCC" w:rsidRPr="008C614A" w14:paraId="72D1F14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1FD4CA" w14:textId="16650300" w:rsidR="00930BCC" w:rsidRPr="008C614A" w:rsidRDefault="00930BCC" w:rsidP="007C3C42">
            <w:pPr>
              <w:keepLines/>
              <w:jc w:val="center"/>
              <w:rPr>
                <w:rFonts w:ascii="Arial Narrow" w:hAnsi="Arial Narrow" w:cs="Arial"/>
                <w:sz w:val="20"/>
                <w:szCs w:val="20"/>
              </w:rPr>
            </w:pPr>
          </w:p>
        </w:tc>
        <w:tc>
          <w:tcPr>
            <w:tcW w:w="7745" w:type="dxa"/>
            <w:gridSpan w:val="6"/>
            <w:vAlign w:val="center"/>
          </w:tcPr>
          <w:p w14:paraId="2733370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The condition must be stable for the prescriber to consider the listed maximum quantity of this medicine suitable for this patient</w:t>
            </w:r>
          </w:p>
        </w:tc>
      </w:tr>
      <w:tr w:rsidR="00930BCC" w:rsidRPr="008C614A" w14:paraId="691028A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235CA1" w14:textId="3C30D591" w:rsidR="00930BCC" w:rsidRPr="008C614A" w:rsidRDefault="00930BCC" w:rsidP="007C3C42">
            <w:pPr>
              <w:jc w:val="center"/>
              <w:rPr>
                <w:rFonts w:ascii="Arial Narrow" w:hAnsi="Arial Narrow" w:cs="Arial"/>
                <w:sz w:val="20"/>
                <w:szCs w:val="20"/>
              </w:rPr>
            </w:pPr>
          </w:p>
        </w:tc>
        <w:tc>
          <w:tcPr>
            <w:tcW w:w="7745" w:type="dxa"/>
            <w:gridSpan w:val="6"/>
            <w:vAlign w:val="center"/>
          </w:tcPr>
          <w:p w14:paraId="16A5934A"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A4DBAE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F4F719" w14:textId="387DE8DA" w:rsidR="00930BCC" w:rsidRPr="008C614A" w:rsidRDefault="00930BCC" w:rsidP="007C3C42">
            <w:pPr>
              <w:jc w:val="center"/>
              <w:rPr>
                <w:rFonts w:ascii="Arial Narrow" w:hAnsi="Arial Narrow" w:cs="Arial"/>
                <w:sz w:val="20"/>
                <w:szCs w:val="20"/>
              </w:rPr>
            </w:pPr>
          </w:p>
        </w:tc>
        <w:tc>
          <w:tcPr>
            <w:tcW w:w="7745" w:type="dxa"/>
            <w:gridSpan w:val="6"/>
            <w:vAlign w:val="center"/>
          </w:tcPr>
          <w:p w14:paraId="6FB83ECA"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45E7885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070800"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1FCAE608"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78B0677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6542DF" w14:textId="515AD07B" w:rsidR="00930BCC" w:rsidRPr="008C614A" w:rsidRDefault="00930BCC" w:rsidP="007C3C42">
            <w:pPr>
              <w:jc w:val="center"/>
              <w:rPr>
                <w:rFonts w:ascii="Arial Narrow" w:hAnsi="Arial Narrow" w:cs="Arial"/>
                <w:sz w:val="20"/>
                <w:szCs w:val="20"/>
              </w:rPr>
            </w:pPr>
          </w:p>
        </w:tc>
        <w:tc>
          <w:tcPr>
            <w:tcW w:w="7745" w:type="dxa"/>
            <w:gridSpan w:val="6"/>
            <w:vAlign w:val="center"/>
          </w:tcPr>
          <w:p w14:paraId="6DC34EBC"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D06628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7D8903" w14:textId="23FCDDFF" w:rsidR="00930BCC" w:rsidRPr="008C614A" w:rsidRDefault="00930BCC" w:rsidP="007C3C42">
            <w:pPr>
              <w:jc w:val="center"/>
              <w:rPr>
                <w:rFonts w:ascii="Arial Narrow" w:hAnsi="Arial Narrow" w:cs="Arial"/>
                <w:sz w:val="20"/>
                <w:szCs w:val="20"/>
              </w:rPr>
            </w:pPr>
          </w:p>
        </w:tc>
        <w:tc>
          <w:tcPr>
            <w:tcW w:w="7745" w:type="dxa"/>
            <w:gridSpan w:val="6"/>
            <w:vAlign w:val="center"/>
          </w:tcPr>
          <w:p w14:paraId="44FDF0A9"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2C22C2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8FFAF49" w14:textId="36DD34E9" w:rsidR="00930BCC" w:rsidRPr="008C614A" w:rsidRDefault="00930BCC" w:rsidP="007C3C42">
            <w:pPr>
              <w:jc w:val="center"/>
              <w:rPr>
                <w:rFonts w:ascii="Arial Narrow" w:hAnsi="Arial Narrow" w:cs="Arial"/>
                <w:sz w:val="20"/>
                <w:szCs w:val="20"/>
              </w:rPr>
            </w:pPr>
          </w:p>
        </w:tc>
        <w:tc>
          <w:tcPr>
            <w:tcW w:w="7745" w:type="dxa"/>
            <w:gridSpan w:val="6"/>
            <w:vAlign w:val="center"/>
          </w:tcPr>
          <w:p w14:paraId="63F46B38"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7D944CD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254BE1" w14:textId="5F43AE1A" w:rsidR="00930BCC" w:rsidRPr="008C614A" w:rsidRDefault="00930BCC" w:rsidP="007C3C42">
            <w:pPr>
              <w:jc w:val="center"/>
              <w:rPr>
                <w:rFonts w:ascii="Arial Narrow" w:hAnsi="Arial Narrow" w:cs="Arial"/>
                <w:sz w:val="20"/>
                <w:szCs w:val="20"/>
              </w:rPr>
            </w:pPr>
          </w:p>
          <w:p w14:paraId="57DCE3E8" w14:textId="77777777" w:rsidR="00930BCC" w:rsidRPr="008C614A" w:rsidRDefault="00930BCC" w:rsidP="007C3C42">
            <w:pPr>
              <w:rPr>
                <w:rFonts w:ascii="Arial Narrow" w:hAnsi="Arial Narrow" w:cs="Arial"/>
                <w:sz w:val="20"/>
                <w:szCs w:val="20"/>
              </w:rPr>
            </w:pPr>
          </w:p>
        </w:tc>
        <w:tc>
          <w:tcPr>
            <w:tcW w:w="7745" w:type="dxa"/>
            <w:gridSpan w:val="6"/>
            <w:vAlign w:val="center"/>
            <w:hideMark/>
          </w:tcPr>
          <w:p w14:paraId="50202E12"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D55C2CE" w14:textId="77777777" w:rsidR="00930BCC" w:rsidRDefault="00930BCC" w:rsidP="00930BCC">
      <w:pPr>
        <w:pStyle w:val="3-BodyText"/>
      </w:pPr>
      <w:r w:rsidRPr="00AD04A9">
        <w:lastRenderedPageBreak/>
        <w:t xml:space="preserve">The following tables represent the sponsor’s proposed </w:t>
      </w:r>
      <w:r w:rsidRPr="00EE55EB">
        <w:t>listing</w:t>
      </w:r>
      <w:r>
        <w:t xml:space="preserve">. </w:t>
      </w:r>
      <w:r w:rsidRPr="00EE55EB">
        <w:t xml:space="preserve">Suggested additions from the Secretariat are in </w:t>
      </w:r>
      <w:r w:rsidRPr="00EE55EB">
        <w:rPr>
          <w:iCs/>
        </w:rPr>
        <w:t>italics</w:t>
      </w:r>
      <w:r w:rsidRPr="00EE55EB">
        <w:t xml:space="preserve"> and deletions are in strikethrough.</w:t>
      </w:r>
      <w:r w:rsidRPr="00AD04A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7ADB1013" w14:textId="77777777" w:rsidTr="007C3C42">
        <w:trPr>
          <w:cantSplit/>
          <w:trHeight w:val="20"/>
        </w:trPr>
        <w:tc>
          <w:tcPr>
            <w:tcW w:w="3939" w:type="dxa"/>
            <w:gridSpan w:val="2"/>
            <w:vAlign w:val="center"/>
          </w:tcPr>
          <w:p w14:paraId="1E1F30E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2DA2EBA0"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5E362254"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5DCFDC1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0A3C1815"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3E74A569" w14:textId="77777777" w:rsidR="00930BCC" w:rsidRPr="008C614A" w:rsidRDefault="00930BCC" w:rsidP="007C3C42">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1BFA8770" w14:textId="77777777" w:rsidR="00930BCC" w:rsidRPr="008C614A" w:rsidRDefault="00930BCC" w:rsidP="007C3C42">
            <w:pPr>
              <w:keepLines/>
              <w:jc w:val="center"/>
              <w:rPr>
                <w:rFonts w:ascii="Arial Narrow" w:hAnsi="Arial Narrow" w:cs="Arial"/>
                <w:b/>
                <w:sz w:val="20"/>
                <w:szCs w:val="20"/>
              </w:rPr>
            </w:pPr>
            <w:proofErr w:type="spellStart"/>
            <w:r w:rsidRPr="008C614A">
              <w:rPr>
                <w:rFonts w:ascii="Arial Narrow" w:hAnsi="Arial Narrow" w:cs="Arial"/>
                <w:b/>
                <w:sz w:val="20"/>
                <w:szCs w:val="20"/>
              </w:rPr>
              <w:t>Rpts</w:t>
            </w:r>
            <w:proofErr w:type="spellEnd"/>
          </w:p>
        </w:tc>
        <w:tc>
          <w:tcPr>
            <w:tcW w:w="1831" w:type="dxa"/>
            <w:vAlign w:val="center"/>
          </w:tcPr>
          <w:p w14:paraId="752A8271"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973D297" w14:textId="77777777" w:rsidTr="007C3C42">
        <w:trPr>
          <w:cantSplit/>
          <w:trHeight w:val="20"/>
        </w:trPr>
        <w:tc>
          <w:tcPr>
            <w:tcW w:w="9016" w:type="dxa"/>
            <w:gridSpan w:val="7"/>
            <w:vAlign w:val="center"/>
          </w:tcPr>
          <w:p w14:paraId="41049FD0"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75C98AEA" w14:textId="77777777" w:rsidTr="007C3C42">
        <w:trPr>
          <w:cantSplit/>
          <w:trHeight w:val="20"/>
        </w:trPr>
        <w:tc>
          <w:tcPr>
            <w:tcW w:w="3939" w:type="dxa"/>
            <w:gridSpan w:val="2"/>
            <w:vAlign w:val="center"/>
          </w:tcPr>
          <w:p w14:paraId="1B62D78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9F231E0"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1B703931"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3B4EC5F9"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580DABA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F7E5F5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4E1B4466"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71BC9B6"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5015F7A0"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2DD97CB0" w14:textId="77777777" w:rsidTr="007C3C42">
        <w:trPr>
          <w:cantSplit/>
          <w:trHeight w:val="20"/>
        </w:trPr>
        <w:tc>
          <w:tcPr>
            <w:tcW w:w="3939" w:type="dxa"/>
            <w:gridSpan w:val="2"/>
            <w:vAlign w:val="center"/>
          </w:tcPr>
          <w:p w14:paraId="4FE33263"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5A10D1B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524A1379"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ED9F96C"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0B4296B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49D2607"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6BC8A6D1"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BB49CAF"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2AEBA9B0" w14:textId="77777777" w:rsidR="00930BCC" w:rsidRPr="00600332" w:rsidRDefault="00930BCC" w:rsidP="007C3C42">
            <w:pPr>
              <w:keepNext/>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5A3DEDD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B9124D0" w14:textId="77777777" w:rsidR="00930BCC" w:rsidRPr="00600332" w:rsidRDefault="00930BCC" w:rsidP="007C3C42">
            <w:pPr>
              <w:rPr>
                <w:rFonts w:ascii="Arial Narrow" w:hAnsi="Arial Narrow" w:cs="Arial"/>
                <w:sz w:val="20"/>
                <w:szCs w:val="20"/>
                <w:lang w:val="es-ES"/>
              </w:rPr>
            </w:pPr>
          </w:p>
        </w:tc>
      </w:tr>
      <w:tr w:rsidR="00930BCC" w:rsidRPr="008C614A" w14:paraId="3A62374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4DB413B"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1E6D44B8"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EF2CCD"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96B367" w14:textId="77777777" w:rsidR="00930BCC" w:rsidRPr="008C614A" w:rsidRDefault="00930BCC" w:rsidP="007C3C42">
            <w:pPr>
              <w:keepLines/>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w:t>
            </w:r>
            <w:proofErr w:type="spellStart"/>
            <w:r w:rsidRPr="008C614A">
              <w:rPr>
                <w:rFonts w:ascii="Arial Narrow" w:eastAsia="Calibri" w:hAnsi="Arial Narrow" w:cs="Arial"/>
                <w:sz w:val="20"/>
                <w:szCs w:val="20"/>
              </w:rPr>
              <w:t>General</w:t>
            </w:r>
            <w:proofErr w:type="spellEnd"/>
            <w:r w:rsidRPr="008C614A">
              <w:rPr>
                <w:rFonts w:ascii="Arial Narrow" w:eastAsia="Calibri" w:hAnsi="Arial Narrow" w:cs="Arial"/>
                <w:sz w:val="20"/>
                <w:szCs w:val="20"/>
              </w:rPr>
              <w:t xml:space="preserve"> Schedule (Code GE) </w:t>
            </w:r>
          </w:p>
        </w:tc>
      </w:tr>
      <w:tr w:rsidR="00930BCC" w:rsidRPr="008C614A" w14:paraId="17811DAA"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F21990"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CB9788"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3583E6E8"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F5BD3C1"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0D77A84" w14:textId="77777777" w:rsidR="00930BCC" w:rsidRPr="008C614A" w:rsidRDefault="00930BCC" w:rsidP="007C3C42">
            <w:pPr>
              <w:keepLines/>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3542B3B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3E1AAA" w14:textId="77777777" w:rsidR="00930BCC" w:rsidRPr="008C614A" w:rsidRDefault="00930BCC" w:rsidP="007C3C42">
            <w:pPr>
              <w:keepLines/>
              <w:jc w:val="center"/>
              <w:rPr>
                <w:rFonts w:ascii="Arial Narrow" w:hAnsi="Arial Narrow" w:cs="Arial"/>
                <w:strike/>
                <w:sz w:val="20"/>
                <w:szCs w:val="20"/>
              </w:rPr>
            </w:pPr>
          </w:p>
        </w:tc>
        <w:tc>
          <w:tcPr>
            <w:tcW w:w="7745" w:type="dxa"/>
            <w:gridSpan w:val="6"/>
            <w:vAlign w:val="center"/>
          </w:tcPr>
          <w:p w14:paraId="0991B112"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6FF6A34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AF450F6" w14:textId="427B0505" w:rsidR="00930BCC" w:rsidRPr="008C614A" w:rsidRDefault="00930BCC" w:rsidP="007C3C42">
            <w:pPr>
              <w:keepLines/>
              <w:jc w:val="center"/>
              <w:rPr>
                <w:rFonts w:ascii="Arial Narrow" w:hAnsi="Arial Narrow" w:cs="Arial"/>
                <w:sz w:val="20"/>
                <w:szCs w:val="20"/>
              </w:rPr>
            </w:pPr>
          </w:p>
          <w:p w14:paraId="69D2C807" w14:textId="77777777" w:rsidR="00930BCC" w:rsidRPr="008C614A" w:rsidRDefault="00930BCC" w:rsidP="007C3C42">
            <w:pPr>
              <w:keepLines/>
              <w:rPr>
                <w:rFonts w:ascii="Arial Narrow" w:hAnsi="Arial Narrow" w:cs="Arial"/>
                <w:sz w:val="20"/>
                <w:szCs w:val="20"/>
              </w:rPr>
            </w:pPr>
          </w:p>
        </w:tc>
        <w:tc>
          <w:tcPr>
            <w:tcW w:w="7745" w:type="dxa"/>
            <w:gridSpan w:val="6"/>
            <w:vAlign w:val="center"/>
            <w:hideMark/>
          </w:tcPr>
          <w:p w14:paraId="5650AC8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Chronic Heart Failure</w:t>
            </w:r>
          </w:p>
        </w:tc>
      </w:tr>
      <w:tr w:rsidR="00930BCC" w:rsidRPr="008C614A" w14:paraId="17370CE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E2F9DD" w14:textId="047C6809"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1598851B"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6566D6" w14:paraId="12BA7BE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F73803" w14:textId="33AFE53B" w:rsidR="00930BCC" w:rsidRPr="006566D6" w:rsidRDefault="00930BCC" w:rsidP="007C3C42">
            <w:pPr>
              <w:jc w:val="center"/>
              <w:rPr>
                <w:rFonts w:ascii="Arial Narrow" w:hAnsi="Arial Narrow" w:cs="Arial"/>
                <w:sz w:val="20"/>
                <w:szCs w:val="20"/>
              </w:rPr>
            </w:pPr>
          </w:p>
        </w:tc>
        <w:tc>
          <w:tcPr>
            <w:tcW w:w="7745" w:type="dxa"/>
            <w:gridSpan w:val="6"/>
            <w:vAlign w:val="center"/>
          </w:tcPr>
          <w:p w14:paraId="682C9E1C" w14:textId="77777777" w:rsidR="00930BCC" w:rsidRPr="006566D6" w:rsidRDefault="00930BCC" w:rsidP="007C3C42">
            <w:pPr>
              <w:rPr>
                <w:rFonts w:ascii="Arial Narrow" w:hAnsi="Arial Narrow" w:cs="Arial"/>
                <w:bCs/>
                <w:iCs/>
                <w:sz w:val="20"/>
                <w:szCs w:val="20"/>
              </w:rPr>
            </w:pPr>
            <w:r w:rsidRPr="006566D6">
              <w:rPr>
                <w:rFonts w:ascii="Arial Narrow" w:hAnsi="Arial Narrow" w:cs="Arial"/>
                <w:bCs/>
                <w:iCs/>
                <w:sz w:val="20"/>
                <w:szCs w:val="20"/>
              </w:rPr>
              <w:t>Patient must be both: (</w:t>
            </w:r>
            <w:proofErr w:type="spellStart"/>
            <w:r w:rsidRPr="006566D6">
              <w:rPr>
                <w:rFonts w:ascii="Arial Narrow" w:hAnsi="Arial Narrow" w:cs="Arial"/>
                <w:bCs/>
                <w:iCs/>
                <w:sz w:val="20"/>
                <w:szCs w:val="20"/>
              </w:rPr>
              <w:t>i</w:t>
            </w:r>
            <w:proofErr w:type="spellEnd"/>
            <w:r w:rsidRPr="006566D6">
              <w:rPr>
                <w:rFonts w:ascii="Arial Narrow" w:hAnsi="Arial Narrow" w:cs="Arial"/>
                <w:bCs/>
                <w:iCs/>
                <w:sz w:val="20"/>
                <w:szCs w:val="20"/>
              </w:rPr>
              <w:t xml:space="preserve">) within 3 to 14 days following an acute myocardial infarction (ii) commenced treatment within 14 days of acute myocardial infarction; OR </w:t>
            </w:r>
          </w:p>
        </w:tc>
      </w:tr>
      <w:tr w:rsidR="00930BCC" w:rsidRPr="008C614A" w14:paraId="2CB6286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7301DB2" w14:textId="7DF9D89A"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2BEFE1CC" w14:textId="77777777" w:rsidR="00930BCC" w:rsidRPr="008C614A" w:rsidRDefault="00930BCC" w:rsidP="007C3C42">
            <w:pPr>
              <w:rPr>
                <w:rFonts w:ascii="Arial Narrow" w:hAnsi="Arial Narrow" w:cs="Arial"/>
                <w:sz w:val="20"/>
                <w:szCs w:val="20"/>
              </w:rPr>
            </w:pPr>
            <w:r w:rsidRPr="008C614A">
              <w:rPr>
                <w:rFonts w:ascii="Arial Narrow" w:hAnsi="Arial Narrow"/>
                <w:sz w:val="20"/>
                <w:szCs w:val="20"/>
              </w:rPr>
              <w:t xml:space="preserve">Patient must be symptomatic with NYHA classes II, </w:t>
            </w:r>
            <w:r w:rsidRPr="008C614A">
              <w:rPr>
                <w:rFonts w:ascii="Arial Narrow" w:hAnsi="Arial Narrow"/>
                <w:strike/>
                <w:sz w:val="20"/>
                <w:szCs w:val="20"/>
              </w:rPr>
              <w:t>III or IV</w:t>
            </w:r>
          </w:p>
        </w:tc>
      </w:tr>
      <w:tr w:rsidR="00930BCC" w:rsidRPr="008C614A" w14:paraId="12ECAEEE"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39A4DA" w14:textId="77777777"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3576356F"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AND</w:t>
            </w:r>
          </w:p>
        </w:tc>
      </w:tr>
      <w:tr w:rsidR="00930BCC" w:rsidRPr="008C614A" w14:paraId="179036E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FF9E81" w14:textId="74F799C8"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15707DA1"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8C614A" w14:paraId="440F040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96CBE1" w14:textId="59D38803"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3E1844AA" w14:textId="77777777" w:rsidR="00930BCC" w:rsidRPr="008C614A" w:rsidRDefault="00930BCC" w:rsidP="007C3C42">
            <w:pPr>
              <w:rPr>
                <w:rFonts w:ascii="Arial Narrow" w:hAnsi="Arial Narrow" w:cs="Arial"/>
                <w:strike/>
                <w:sz w:val="20"/>
                <w:szCs w:val="20"/>
              </w:rPr>
            </w:pPr>
            <w:r w:rsidRPr="008C614A">
              <w:rPr>
                <w:rFonts w:ascii="Arial Narrow" w:hAnsi="Arial Narrow"/>
                <w:sz w:val="20"/>
                <w:szCs w:val="20"/>
              </w:rPr>
              <w:t>Patient must have a documented left ventricular ejection fraction (LVEF) of less than or equal to 40%</w:t>
            </w:r>
          </w:p>
        </w:tc>
      </w:tr>
      <w:tr w:rsidR="00930BCC" w:rsidRPr="008C614A" w14:paraId="3933DFD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195077"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59309E40" w14:textId="77777777" w:rsidR="00930BCC" w:rsidRPr="008C614A" w:rsidRDefault="00930BCC" w:rsidP="007C3C42">
            <w:pPr>
              <w:rPr>
                <w:rFonts w:ascii="Arial Narrow" w:hAnsi="Arial Narrow" w:cs="Arial"/>
                <w:b/>
                <w:sz w:val="20"/>
                <w:szCs w:val="20"/>
              </w:rPr>
            </w:pPr>
            <w:r w:rsidRPr="008C614A">
              <w:rPr>
                <w:rFonts w:ascii="Arial Narrow" w:hAnsi="Arial Narrow" w:cs="Arial"/>
                <w:b/>
                <w:sz w:val="20"/>
                <w:szCs w:val="20"/>
              </w:rPr>
              <w:t>AND</w:t>
            </w:r>
          </w:p>
        </w:tc>
      </w:tr>
      <w:tr w:rsidR="00930BCC" w:rsidRPr="008C614A" w14:paraId="52100EC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1FAFE6" w14:textId="2315CCC2" w:rsidR="00930BCC" w:rsidRPr="008C614A" w:rsidRDefault="00930BCC" w:rsidP="007C3C42">
            <w:pPr>
              <w:jc w:val="center"/>
              <w:rPr>
                <w:rFonts w:ascii="Arial Narrow" w:hAnsi="Arial Narrow" w:cs="Arial"/>
                <w:sz w:val="20"/>
                <w:szCs w:val="20"/>
              </w:rPr>
            </w:pPr>
          </w:p>
        </w:tc>
        <w:tc>
          <w:tcPr>
            <w:tcW w:w="7745" w:type="dxa"/>
            <w:gridSpan w:val="6"/>
            <w:vAlign w:val="center"/>
          </w:tcPr>
          <w:p w14:paraId="58ABCE24"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33AF34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D1397A6" w14:textId="165CF703" w:rsidR="00930BCC" w:rsidRPr="008C614A" w:rsidRDefault="00930BCC" w:rsidP="007C3C42">
            <w:pPr>
              <w:jc w:val="center"/>
              <w:rPr>
                <w:rFonts w:ascii="Arial Narrow" w:hAnsi="Arial Narrow" w:cs="Arial"/>
                <w:sz w:val="20"/>
                <w:szCs w:val="20"/>
              </w:rPr>
            </w:pPr>
          </w:p>
        </w:tc>
        <w:tc>
          <w:tcPr>
            <w:tcW w:w="7745" w:type="dxa"/>
            <w:gridSpan w:val="6"/>
            <w:vAlign w:val="center"/>
            <w:hideMark/>
          </w:tcPr>
          <w:p w14:paraId="03AD8D5B"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8C614A">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8C614A">
              <w:rPr>
                <w:rFonts w:ascii="Arial Narrow" w:hAnsi="Arial Narrow" w:cs="Arial"/>
                <w:sz w:val="20"/>
                <w:szCs w:val="20"/>
              </w:rPr>
              <w:t>blocker: (</w:t>
            </w:r>
            <w:proofErr w:type="spellStart"/>
            <w:r w:rsidRPr="008C614A">
              <w:rPr>
                <w:rFonts w:ascii="Arial Narrow" w:hAnsi="Arial Narrow" w:cs="Arial"/>
                <w:sz w:val="20"/>
                <w:szCs w:val="20"/>
              </w:rPr>
              <w:t>i</w:t>
            </w:r>
            <w:proofErr w:type="spellEnd"/>
            <w:r w:rsidRPr="008C614A">
              <w:rPr>
                <w:rFonts w:ascii="Arial Narrow" w:hAnsi="Arial Narrow" w:cs="Arial"/>
                <w:sz w:val="20"/>
                <w:szCs w:val="20"/>
              </w:rPr>
              <w:t>)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8C614A">
              <w:rPr>
                <w:rFonts w:ascii="Arial Narrow" w:hAnsi="Arial Narrow" w:cs="Arial"/>
                <w:sz w:val="20"/>
                <w:szCs w:val="20"/>
              </w:rPr>
              <w:t>blocker</w:t>
            </w:r>
          </w:p>
          <w:p w14:paraId="34148B90" w14:textId="77777777" w:rsidR="00930BCC" w:rsidRPr="008C614A" w:rsidRDefault="00930BCC" w:rsidP="007C3C42">
            <w:pPr>
              <w:rPr>
                <w:rFonts w:ascii="Arial Narrow" w:hAnsi="Arial Narrow" w:cs="Arial"/>
                <w:sz w:val="20"/>
                <w:szCs w:val="20"/>
              </w:rPr>
            </w:pPr>
          </w:p>
        </w:tc>
      </w:tr>
      <w:tr w:rsidR="00930BCC" w:rsidRPr="008C614A" w14:paraId="193105FE"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94783C" w14:textId="77777777" w:rsidR="00930BCC" w:rsidRPr="008C614A" w:rsidRDefault="00930BCC" w:rsidP="007C3C42">
            <w:pPr>
              <w:jc w:val="center"/>
              <w:rPr>
                <w:rFonts w:ascii="Arial Narrow" w:hAnsi="Arial Narrow" w:cs="Arial"/>
                <w:sz w:val="20"/>
                <w:szCs w:val="20"/>
              </w:rPr>
            </w:pPr>
          </w:p>
        </w:tc>
        <w:tc>
          <w:tcPr>
            <w:tcW w:w="7745" w:type="dxa"/>
            <w:gridSpan w:val="6"/>
            <w:vAlign w:val="center"/>
            <w:hideMark/>
          </w:tcPr>
          <w:p w14:paraId="75D57687"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AND</w:t>
            </w:r>
          </w:p>
        </w:tc>
      </w:tr>
      <w:tr w:rsidR="00930BCC" w:rsidRPr="008C614A" w14:paraId="7FB9417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BF98F3" w14:textId="077CDAFA" w:rsidR="00930BCC" w:rsidRPr="008C614A" w:rsidRDefault="00930BCC" w:rsidP="007C3C42">
            <w:pPr>
              <w:jc w:val="center"/>
              <w:rPr>
                <w:rFonts w:ascii="Arial Narrow" w:hAnsi="Arial Narrow" w:cs="Arial"/>
                <w:sz w:val="20"/>
                <w:szCs w:val="20"/>
              </w:rPr>
            </w:pPr>
          </w:p>
        </w:tc>
        <w:tc>
          <w:tcPr>
            <w:tcW w:w="7745" w:type="dxa"/>
            <w:gridSpan w:val="6"/>
            <w:vAlign w:val="center"/>
          </w:tcPr>
          <w:p w14:paraId="395B542E"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8D44D84"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12AEB6" w14:textId="5BE954BA" w:rsidR="00930BCC" w:rsidRPr="008C614A" w:rsidRDefault="00930BCC" w:rsidP="007C3C42">
            <w:pPr>
              <w:jc w:val="center"/>
              <w:rPr>
                <w:rFonts w:ascii="Arial Narrow" w:hAnsi="Arial Narrow" w:cs="Arial"/>
                <w:sz w:val="20"/>
                <w:szCs w:val="20"/>
              </w:rPr>
            </w:pPr>
          </w:p>
        </w:tc>
        <w:tc>
          <w:tcPr>
            <w:tcW w:w="7745" w:type="dxa"/>
            <w:gridSpan w:val="6"/>
            <w:vAlign w:val="center"/>
          </w:tcPr>
          <w:p w14:paraId="44C51C1D"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 xml:space="preserve">approved Product Information or cannot be tolerated; OR </w:t>
            </w:r>
          </w:p>
        </w:tc>
      </w:tr>
      <w:tr w:rsidR="00930BCC" w:rsidRPr="008C614A" w14:paraId="4730DF2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AEA31B" w14:textId="21644E58" w:rsidR="00930BCC" w:rsidRPr="008C614A" w:rsidRDefault="00930BCC" w:rsidP="007C3C42">
            <w:pPr>
              <w:jc w:val="center"/>
              <w:rPr>
                <w:rFonts w:ascii="Arial Narrow" w:hAnsi="Arial Narrow" w:cs="Arial"/>
                <w:sz w:val="20"/>
                <w:szCs w:val="20"/>
              </w:rPr>
            </w:pPr>
          </w:p>
        </w:tc>
        <w:tc>
          <w:tcPr>
            <w:tcW w:w="7745" w:type="dxa"/>
            <w:gridSpan w:val="6"/>
            <w:vAlign w:val="center"/>
          </w:tcPr>
          <w:p w14:paraId="3DB44110"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approved Product Information or cannot be tolerated</w:t>
            </w:r>
          </w:p>
        </w:tc>
      </w:tr>
      <w:tr w:rsidR="00930BCC" w:rsidRPr="006566D6" w14:paraId="04FF598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ECA013"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68C5BD62" w14:textId="77777777" w:rsidR="00930BCC" w:rsidRPr="006566D6" w:rsidRDefault="00930BCC" w:rsidP="007C3C42">
            <w:pPr>
              <w:rPr>
                <w:rFonts w:ascii="Arial Narrow" w:hAnsi="Arial Narrow" w:cs="Arial"/>
                <w:b/>
                <w:bCs/>
                <w:iCs/>
                <w:sz w:val="20"/>
                <w:szCs w:val="20"/>
              </w:rPr>
            </w:pPr>
            <w:r w:rsidRPr="006566D6">
              <w:rPr>
                <w:rFonts w:ascii="Arial Narrow" w:hAnsi="Arial Narrow" w:cs="Arial"/>
                <w:b/>
                <w:bCs/>
                <w:iCs/>
                <w:sz w:val="20"/>
                <w:szCs w:val="20"/>
              </w:rPr>
              <w:t>AND</w:t>
            </w:r>
          </w:p>
        </w:tc>
      </w:tr>
      <w:tr w:rsidR="00930BCC" w:rsidRPr="006566D6" w14:paraId="675009A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1B6737" w14:textId="201E599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5D537F85" w14:textId="77777777" w:rsidR="00930BCC" w:rsidRPr="006566D6" w:rsidRDefault="00930BCC" w:rsidP="007C3C42">
            <w:pPr>
              <w:rPr>
                <w:rFonts w:ascii="Arial Narrow" w:hAnsi="Arial Narrow" w:cs="Arial"/>
                <w:b/>
                <w:bCs/>
                <w:iCs/>
                <w:sz w:val="20"/>
                <w:szCs w:val="20"/>
              </w:rPr>
            </w:pPr>
            <w:r w:rsidRPr="006566D6">
              <w:rPr>
                <w:rFonts w:ascii="Arial Narrow" w:hAnsi="Arial Narrow" w:cs="Arial"/>
                <w:b/>
                <w:bCs/>
                <w:iCs/>
                <w:sz w:val="20"/>
                <w:szCs w:val="20"/>
              </w:rPr>
              <w:t xml:space="preserve">Clinical criteria: </w:t>
            </w:r>
          </w:p>
        </w:tc>
      </w:tr>
      <w:tr w:rsidR="00930BCC" w:rsidRPr="006566D6" w14:paraId="3ABF95E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8F1A92" w14:textId="475FC49B"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00FB10C9" w14:textId="77777777" w:rsidR="00930BCC" w:rsidRPr="006566D6" w:rsidRDefault="00930BCC" w:rsidP="007C3C42">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566D6" w14:paraId="6D2ECA3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E6C989" w14:textId="4006447A"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4ACE736C" w14:textId="77777777" w:rsidR="00930BCC" w:rsidRPr="006566D6" w:rsidRDefault="00930BCC" w:rsidP="007C3C42">
            <w:pPr>
              <w:rPr>
                <w:rFonts w:ascii="Arial Narrow" w:hAnsi="Arial Narrow" w:cs="Arial"/>
                <w:iCs/>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566D6" w14:paraId="6822346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71104AA" w14:textId="4B7DD1D0" w:rsidR="00930BCC" w:rsidRPr="006566D6" w:rsidRDefault="00930BCC" w:rsidP="007C3C42">
            <w:pPr>
              <w:jc w:val="center"/>
              <w:rPr>
                <w:rFonts w:ascii="Arial Narrow" w:hAnsi="Arial Narrow" w:cs="Arial"/>
                <w:iCs/>
                <w:sz w:val="20"/>
                <w:szCs w:val="20"/>
              </w:rPr>
            </w:pPr>
          </w:p>
          <w:p w14:paraId="22ECAF52"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6D0EB427" w14:textId="77777777" w:rsidR="00930BCC" w:rsidRPr="006566D6" w:rsidRDefault="00930BCC" w:rsidP="007C3C42">
            <w:pPr>
              <w:rPr>
                <w:rFonts w:ascii="Arial Narrow" w:hAnsi="Arial Narrow" w:cs="Arial"/>
                <w:iCs/>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34227F9" w14:textId="77777777" w:rsidR="00930BCC" w:rsidRPr="006F65DE" w:rsidRDefault="00930BCC" w:rsidP="00930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6F65DE" w14:paraId="55DF9C0B" w14:textId="77777777" w:rsidTr="007C3C42">
        <w:trPr>
          <w:cantSplit/>
          <w:trHeight w:val="20"/>
        </w:trPr>
        <w:tc>
          <w:tcPr>
            <w:tcW w:w="3939" w:type="dxa"/>
            <w:gridSpan w:val="2"/>
            <w:vAlign w:val="center"/>
          </w:tcPr>
          <w:p w14:paraId="1C041DED"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MEDICINAL PRODUCT</w:t>
            </w:r>
          </w:p>
          <w:p w14:paraId="64FCD5DA"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medicinal product pack</w:t>
            </w:r>
          </w:p>
        </w:tc>
        <w:tc>
          <w:tcPr>
            <w:tcW w:w="811" w:type="dxa"/>
            <w:vAlign w:val="center"/>
          </w:tcPr>
          <w:p w14:paraId="52A50B59"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PBS item code</w:t>
            </w:r>
          </w:p>
        </w:tc>
        <w:tc>
          <w:tcPr>
            <w:tcW w:w="812" w:type="dxa"/>
            <w:vAlign w:val="center"/>
          </w:tcPr>
          <w:p w14:paraId="20B1388A"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Max. qty packs</w:t>
            </w:r>
          </w:p>
        </w:tc>
        <w:tc>
          <w:tcPr>
            <w:tcW w:w="811" w:type="dxa"/>
            <w:vAlign w:val="center"/>
          </w:tcPr>
          <w:p w14:paraId="49D2CC7D"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Max. qty units</w:t>
            </w:r>
          </w:p>
        </w:tc>
        <w:tc>
          <w:tcPr>
            <w:tcW w:w="812" w:type="dxa"/>
            <w:vAlign w:val="center"/>
          </w:tcPr>
          <w:p w14:paraId="36FBC6C1" w14:textId="77777777" w:rsidR="00930BCC" w:rsidRPr="006F65DE" w:rsidRDefault="00930BCC" w:rsidP="007C3C42">
            <w:pPr>
              <w:keepLines/>
              <w:jc w:val="center"/>
              <w:rPr>
                <w:rFonts w:ascii="Arial Narrow" w:hAnsi="Arial Narrow" w:cs="Arial"/>
                <w:b/>
                <w:sz w:val="20"/>
                <w:szCs w:val="20"/>
              </w:rPr>
            </w:pPr>
            <w:proofErr w:type="gramStart"/>
            <w:r w:rsidRPr="006F65DE">
              <w:rPr>
                <w:rFonts w:ascii="Arial Narrow" w:hAnsi="Arial Narrow" w:cs="Arial"/>
                <w:b/>
                <w:sz w:val="20"/>
                <w:szCs w:val="20"/>
              </w:rPr>
              <w:t>№.of</w:t>
            </w:r>
            <w:proofErr w:type="gramEnd"/>
          </w:p>
          <w:p w14:paraId="7404B0CD" w14:textId="77777777" w:rsidR="00930BCC" w:rsidRPr="006F65DE" w:rsidRDefault="00930BCC" w:rsidP="007C3C42">
            <w:pPr>
              <w:keepLines/>
              <w:jc w:val="center"/>
              <w:rPr>
                <w:rFonts w:ascii="Arial Narrow" w:hAnsi="Arial Narrow" w:cs="Arial"/>
                <w:b/>
                <w:sz w:val="20"/>
                <w:szCs w:val="20"/>
              </w:rPr>
            </w:pPr>
            <w:proofErr w:type="spellStart"/>
            <w:r w:rsidRPr="006F65DE">
              <w:rPr>
                <w:rFonts w:ascii="Arial Narrow" w:hAnsi="Arial Narrow" w:cs="Arial"/>
                <w:b/>
                <w:sz w:val="20"/>
                <w:szCs w:val="20"/>
              </w:rPr>
              <w:t>Rpts</w:t>
            </w:r>
            <w:proofErr w:type="spellEnd"/>
          </w:p>
        </w:tc>
        <w:tc>
          <w:tcPr>
            <w:tcW w:w="1831" w:type="dxa"/>
            <w:vAlign w:val="center"/>
          </w:tcPr>
          <w:p w14:paraId="72FFAEBE" w14:textId="77777777" w:rsidR="00930BCC" w:rsidRPr="006F65DE" w:rsidRDefault="00930BCC" w:rsidP="007C3C42">
            <w:pPr>
              <w:keepLines/>
              <w:rPr>
                <w:rFonts w:ascii="Arial Narrow" w:hAnsi="Arial Narrow" w:cs="Arial"/>
                <w:b/>
                <w:sz w:val="20"/>
                <w:szCs w:val="20"/>
                <w:lang w:val="fr-FR"/>
              </w:rPr>
            </w:pPr>
            <w:r w:rsidRPr="006F65DE">
              <w:rPr>
                <w:rFonts w:ascii="Arial Narrow" w:hAnsi="Arial Narrow" w:cs="Arial"/>
                <w:b/>
                <w:sz w:val="20"/>
                <w:szCs w:val="20"/>
              </w:rPr>
              <w:t>Available brands</w:t>
            </w:r>
          </w:p>
        </w:tc>
      </w:tr>
      <w:tr w:rsidR="00930BCC" w:rsidRPr="006F65DE" w14:paraId="7EB1EF45" w14:textId="77777777" w:rsidTr="007C3C42">
        <w:trPr>
          <w:cantSplit/>
          <w:trHeight w:val="20"/>
        </w:trPr>
        <w:tc>
          <w:tcPr>
            <w:tcW w:w="9016" w:type="dxa"/>
            <w:gridSpan w:val="7"/>
            <w:vAlign w:val="center"/>
          </w:tcPr>
          <w:p w14:paraId="7E7236EC" w14:textId="77777777" w:rsidR="00930BCC" w:rsidRPr="006F65DE" w:rsidRDefault="00930BCC" w:rsidP="007C3C42">
            <w:pPr>
              <w:keepLines/>
              <w:rPr>
                <w:rFonts w:ascii="Arial Narrow" w:hAnsi="Arial Narrow" w:cs="Arial"/>
                <w:sz w:val="20"/>
                <w:szCs w:val="20"/>
              </w:rPr>
            </w:pPr>
            <w:r w:rsidRPr="006F65DE">
              <w:rPr>
                <w:rFonts w:ascii="Arial Narrow" w:hAnsi="Arial Narrow" w:cs="Arial"/>
                <w:sz w:val="20"/>
                <w:szCs w:val="20"/>
              </w:rPr>
              <w:t xml:space="preserve">EPLERENONE </w:t>
            </w:r>
          </w:p>
        </w:tc>
      </w:tr>
      <w:tr w:rsidR="00930BCC" w:rsidRPr="00964460" w14:paraId="511D3CEF" w14:textId="77777777" w:rsidTr="007C3C42">
        <w:trPr>
          <w:cantSplit/>
          <w:trHeight w:val="20"/>
        </w:trPr>
        <w:tc>
          <w:tcPr>
            <w:tcW w:w="3939" w:type="dxa"/>
            <w:gridSpan w:val="2"/>
            <w:vAlign w:val="center"/>
          </w:tcPr>
          <w:p w14:paraId="0B352DDE" w14:textId="77777777" w:rsidR="00930BCC" w:rsidRPr="006F65DE" w:rsidRDefault="00930BCC" w:rsidP="007C3C42">
            <w:pPr>
              <w:keepLines/>
              <w:rPr>
                <w:rFonts w:ascii="Arial Narrow" w:hAnsi="Arial Narrow" w:cs="Arial"/>
                <w:sz w:val="20"/>
                <w:szCs w:val="20"/>
              </w:rPr>
            </w:pPr>
            <w:r w:rsidRPr="006F65DE">
              <w:rPr>
                <w:rFonts w:ascii="Arial Narrow" w:hAnsi="Arial Narrow" w:cs="Arial"/>
                <w:sz w:val="20"/>
                <w:szCs w:val="20"/>
              </w:rPr>
              <w:t>eplerenone 25 mg tablet, 30</w:t>
            </w:r>
          </w:p>
          <w:p w14:paraId="122D649C" w14:textId="77777777" w:rsidR="00930BCC" w:rsidRPr="006F65DE" w:rsidRDefault="00930BCC" w:rsidP="007C3C42">
            <w:pPr>
              <w:keepLines/>
              <w:rPr>
                <w:rFonts w:ascii="Arial Narrow" w:hAnsi="Arial Narrow" w:cs="Arial"/>
                <w:sz w:val="20"/>
                <w:szCs w:val="20"/>
              </w:rPr>
            </w:pPr>
          </w:p>
        </w:tc>
        <w:tc>
          <w:tcPr>
            <w:tcW w:w="811" w:type="dxa"/>
            <w:vAlign w:val="center"/>
          </w:tcPr>
          <w:p w14:paraId="727968AB"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13590G</w:t>
            </w:r>
          </w:p>
        </w:tc>
        <w:tc>
          <w:tcPr>
            <w:tcW w:w="812" w:type="dxa"/>
            <w:vAlign w:val="center"/>
          </w:tcPr>
          <w:p w14:paraId="36B16A92"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4F524605"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25505A2"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2C5ED32"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6E296CBB"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463D2C68"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33DD6FF8"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4F7F2ABB" w14:textId="77777777" w:rsidTr="007C3C42">
        <w:trPr>
          <w:cantSplit/>
          <w:trHeight w:val="20"/>
        </w:trPr>
        <w:tc>
          <w:tcPr>
            <w:tcW w:w="3939" w:type="dxa"/>
            <w:gridSpan w:val="2"/>
            <w:vAlign w:val="center"/>
          </w:tcPr>
          <w:p w14:paraId="69B76D5F" w14:textId="77777777" w:rsidR="00930BCC" w:rsidRPr="006F65DE" w:rsidRDefault="00930BCC" w:rsidP="007C3C42">
            <w:pPr>
              <w:keepNext/>
              <w:tabs>
                <w:tab w:val="left" w:pos="1077"/>
              </w:tabs>
              <w:rPr>
                <w:rFonts w:ascii="Arial Narrow" w:hAnsi="Arial Narrow" w:cs="Arial"/>
                <w:sz w:val="20"/>
                <w:szCs w:val="20"/>
              </w:rPr>
            </w:pPr>
            <w:r w:rsidRPr="006F65DE">
              <w:rPr>
                <w:rFonts w:ascii="Arial Narrow" w:hAnsi="Arial Narrow" w:cs="Arial"/>
                <w:sz w:val="20"/>
                <w:szCs w:val="20"/>
              </w:rPr>
              <w:t>eplerenone 50 mg tablet, 30</w:t>
            </w:r>
          </w:p>
        </w:tc>
        <w:tc>
          <w:tcPr>
            <w:tcW w:w="811" w:type="dxa"/>
            <w:vAlign w:val="center"/>
          </w:tcPr>
          <w:p w14:paraId="3CEBB977"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13379E</w:t>
            </w:r>
          </w:p>
        </w:tc>
        <w:tc>
          <w:tcPr>
            <w:tcW w:w="812" w:type="dxa"/>
            <w:vAlign w:val="center"/>
          </w:tcPr>
          <w:p w14:paraId="3A36EFE9"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689E83C6"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43243BC"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75D3FFD"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r>
            <w:proofErr w:type="spellStart"/>
            <w:r w:rsidRPr="00600332">
              <w:rPr>
                <w:rFonts w:ascii="Arial Narrow" w:hAnsi="Arial Narrow" w:cs="Arial"/>
                <w:sz w:val="20"/>
                <w:szCs w:val="20"/>
                <w:lang w:val="es-ES"/>
              </w:rPr>
              <w:t>Eplerenone</w:t>
            </w:r>
            <w:proofErr w:type="spellEnd"/>
          </w:p>
          <w:p w14:paraId="0F6CABB3"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57039CE3" w14:textId="77777777" w:rsidR="00930BCC" w:rsidRPr="00600332" w:rsidRDefault="00930BCC" w:rsidP="007C3C42">
            <w:pPr>
              <w:keepLines/>
              <w:rPr>
                <w:rFonts w:ascii="Arial Narrow" w:hAnsi="Arial Narrow" w:cs="Arial"/>
                <w:sz w:val="20"/>
                <w:szCs w:val="20"/>
                <w:lang w:val="es-ES"/>
              </w:rPr>
            </w:pPr>
            <w:proofErr w:type="spellStart"/>
            <w:r w:rsidRPr="00600332">
              <w:rPr>
                <w:rFonts w:ascii="Arial Narrow" w:hAnsi="Arial Narrow" w:cs="Arial"/>
                <w:sz w:val="20"/>
                <w:szCs w:val="20"/>
                <w:lang w:val="es-ES"/>
              </w:rPr>
              <w:t>Inpler</w:t>
            </w:r>
            <w:proofErr w:type="spellEnd"/>
          </w:p>
          <w:p w14:paraId="40A68668" w14:textId="77777777" w:rsidR="00930BCC" w:rsidRPr="00600332" w:rsidRDefault="00930BCC" w:rsidP="007C3C42">
            <w:pPr>
              <w:keepNext/>
              <w:rPr>
                <w:rFonts w:ascii="Arial Narrow" w:hAnsi="Arial Narrow" w:cs="Arial"/>
                <w:sz w:val="20"/>
                <w:szCs w:val="20"/>
                <w:lang w:val="es-ES"/>
              </w:rPr>
            </w:pPr>
            <w:proofErr w:type="spellStart"/>
            <w:r w:rsidRPr="00600332">
              <w:rPr>
                <w:rFonts w:ascii="Arial Narrow" w:hAnsi="Arial Narrow" w:cs="Arial"/>
                <w:sz w:val="20"/>
                <w:szCs w:val="20"/>
                <w:lang w:val="es-ES"/>
              </w:rPr>
              <w:t>Inspra</w:t>
            </w:r>
            <w:proofErr w:type="spellEnd"/>
          </w:p>
        </w:tc>
      </w:tr>
      <w:tr w:rsidR="00930BCC" w:rsidRPr="00964460" w14:paraId="3044949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C9737CD" w14:textId="77777777" w:rsidR="00930BCC" w:rsidRPr="00600332" w:rsidRDefault="00930BCC" w:rsidP="007C3C42">
            <w:pPr>
              <w:rPr>
                <w:rFonts w:ascii="Arial Narrow" w:hAnsi="Arial Narrow" w:cs="Arial"/>
                <w:sz w:val="20"/>
                <w:szCs w:val="20"/>
                <w:lang w:val="es-ES"/>
              </w:rPr>
            </w:pPr>
          </w:p>
        </w:tc>
      </w:tr>
      <w:tr w:rsidR="00930BCC" w:rsidRPr="006F65DE" w14:paraId="1F59B01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204DB30"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Restriction Summary: 16565 / Treatment of Concept: 14266</w:t>
            </w:r>
          </w:p>
        </w:tc>
      </w:tr>
      <w:tr w:rsidR="00930BCC" w:rsidRPr="006F65DE" w14:paraId="2FB8E1FE"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EC4E1D5" w14:textId="77777777" w:rsidR="00930BCC" w:rsidRPr="006F65DE" w:rsidRDefault="00930BCC" w:rsidP="007C3C42">
            <w:pPr>
              <w:jc w:val="center"/>
              <w:rPr>
                <w:rFonts w:ascii="Arial Narrow" w:hAnsi="Arial Narrow" w:cs="Arial"/>
                <w:b/>
                <w:sz w:val="20"/>
                <w:szCs w:val="20"/>
              </w:rPr>
            </w:pPr>
            <w:r w:rsidRPr="006F65DE">
              <w:rPr>
                <w:rFonts w:ascii="Arial Narrow" w:hAnsi="Arial Narrow" w:cs="Arial"/>
                <w:b/>
                <w:sz w:val="20"/>
                <w:szCs w:val="20"/>
              </w:rPr>
              <w:t xml:space="preserve">Concept ID </w:t>
            </w:r>
            <w:r w:rsidRPr="006F65DE">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1877CD" w14:textId="77777777" w:rsidR="00930BCC" w:rsidRPr="006F65DE" w:rsidRDefault="00930BCC" w:rsidP="007C3C42">
            <w:pPr>
              <w:keepLines/>
              <w:rPr>
                <w:rFonts w:ascii="Arial Narrow" w:hAnsi="Arial Narrow" w:cs="Arial"/>
                <w:sz w:val="20"/>
                <w:szCs w:val="20"/>
              </w:rPr>
            </w:pPr>
            <w:r w:rsidRPr="006F65DE">
              <w:rPr>
                <w:rFonts w:ascii="Arial Narrow" w:hAnsi="Arial Narrow" w:cs="Arial"/>
                <w:b/>
                <w:sz w:val="20"/>
                <w:szCs w:val="20"/>
              </w:rPr>
              <w:t>Category / Program:</w:t>
            </w:r>
            <w:r w:rsidRPr="006F65DE">
              <w:rPr>
                <w:rFonts w:ascii="Arial Narrow" w:hAnsi="Arial Narrow" w:cs="Arial"/>
                <w:sz w:val="20"/>
                <w:szCs w:val="20"/>
              </w:rPr>
              <w:t xml:space="preserve"> </w:t>
            </w:r>
            <w:r w:rsidRPr="006F65DE">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6F65DE">
              <w:rPr>
                <w:rFonts w:ascii="Arial Narrow" w:eastAsia="Calibri" w:hAnsi="Arial Narrow" w:cs="Arial"/>
                <w:sz w:val="20"/>
                <w:szCs w:val="20"/>
              </w:rPr>
              <w:t xml:space="preserve"> </w:t>
            </w:r>
            <w:proofErr w:type="spellStart"/>
            <w:r w:rsidRPr="006F65DE">
              <w:rPr>
                <w:rFonts w:ascii="Arial Narrow" w:eastAsia="Calibri" w:hAnsi="Arial Narrow" w:cs="Arial"/>
                <w:sz w:val="20"/>
                <w:szCs w:val="20"/>
              </w:rPr>
              <w:t>General</w:t>
            </w:r>
            <w:proofErr w:type="spellEnd"/>
            <w:r w:rsidRPr="006F65DE">
              <w:rPr>
                <w:rFonts w:ascii="Arial Narrow" w:eastAsia="Calibri" w:hAnsi="Arial Narrow" w:cs="Arial"/>
                <w:sz w:val="20"/>
                <w:szCs w:val="20"/>
              </w:rPr>
              <w:t xml:space="preserve"> Schedule (Code GE) </w:t>
            </w:r>
          </w:p>
        </w:tc>
      </w:tr>
      <w:tr w:rsidR="00930BCC" w:rsidRPr="006F65DE" w14:paraId="1AACA005"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2C2A41D" w14:textId="77777777" w:rsidR="00930BCC" w:rsidRPr="006F65DE"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1EDA61"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 xml:space="preserve">Prescriber type:  </w:t>
            </w:r>
            <w:r w:rsidRPr="006F65DE">
              <w:rPr>
                <w:rFonts w:ascii="Arial Narrow" w:hAnsi="Arial Narrow" w:cs="Arial"/>
                <w:sz w:val="20"/>
                <w:szCs w:val="20"/>
              </w:rPr>
              <w:fldChar w:fldCharType="begin">
                <w:ffData>
                  <w:name w:val=""/>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 xml:space="preserve">Medical Practitioners </w:t>
            </w:r>
            <w:r w:rsidRPr="006F65DE">
              <w:rPr>
                <w:rFonts w:ascii="Arial Narrow" w:hAnsi="Arial Narrow" w:cs="Arial"/>
                <w:sz w:val="20"/>
                <w:szCs w:val="20"/>
              </w:rPr>
              <w:fldChar w:fldCharType="begin">
                <w:ffData>
                  <w:name w:val="Check3"/>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Nurse practitioners</w:t>
            </w:r>
          </w:p>
        </w:tc>
      </w:tr>
      <w:tr w:rsidR="00930BCC" w:rsidRPr="006F65DE" w14:paraId="610582AB"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B839F0E" w14:textId="77777777" w:rsidR="00930BCC" w:rsidRPr="006F65DE"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379C19D" w14:textId="77777777" w:rsidR="00930BCC" w:rsidRPr="006F65DE" w:rsidRDefault="00930BCC" w:rsidP="007C3C42">
            <w:pPr>
              <w:keepLines/>
              <w:rPr>
                <w:rFonts w:ascii="Arial Narrow" w:eastAsia="Calibri" w:hAnsi="Arial Narrow" w:cs="Arial"/>
                <w:sz w:val="20"/>
                <w:szCs w:val="20"/>
              </w:rPr>
            </w:pPr>
            <w:r w:rsidRPr="006F65DE">
              <w:rPr>
                <w:rFonts w:ascii="Arial Narrow" w:hAnsi="Arial Narrow" w:cs="Arial"/>
                <w:b/>
                <w:sz w:val="20"/>
                <w:szCs w:val="20"/>
              </w:rPr>
              <w:t xml:space="preserve">Restriction type: </w:t>
            </w:r>
            <w:r w:rsidRPr="006F65DE">
              <w:rPr>
                <w:rFonts w:ascii="Arial Narrow" w:eastAsia="Calibri" w:hAnsi="Arial Narrow" w:cs="Arial"/>
                <w:sz w:val="20"/>
                <w:szCs w:val="20"/>
              </w:rPr>
              <w:fldChar w:fldCharType="begin">
                <w:ffData>
                  <w:name w:val=""/>
                  <w:enabled/>
                  <w:calcOnExit w:val="0"/>
                  <w:checkBox>
                    <w:sizeAuto/>
                    <w:default w:val="1"/>
                  </w:checkBox>
                </w:ffData>
              </w:fldChar>
            </w:r>
            <w:r w:rsidRPr="006F65DE">
              <w:rPr>
                <w:rFonts w:ascii="Arial Narrow" w:eastAsia="Calibri" w:hAnsi="Arial Narrow" w:cs="Arial"/>
                <w:sz w:val="20"/>
                <w:szCs w:val="20"/>
              </w:rPr>
              <w:instrText xml:space="preserve"> FORMCHECKBOX </w:instrText>
            </w:r>
            <w:r w:rsidRPr="006F65DE">
              <w:rPr>
                <w:rFonts w:ascii="Arial Narrow" w:eastAsia="Calibri" w:hAnsi="Arial Narrow" w:cs="Arial"/>
                <w:sz w:val="20"/>
                <w:szCs w:val="20"/>
              </w:rPr>
            </w:r>
            <w:r w:rsidRPr="006F65DE">
              <w:rPr>
                <w:rFonts w:ascii="Arial Narrow" w:eastAsia="Calibri" w:hAnsi="Arial Narrow" w:cs="Arial"/>
                <w:sz w:val="20"/>
                <w:szCs w:val="20"/>
              </w:rPr>
              <w:fldChar w:fldCharType="separate"/>
            </w:r>
            <w:r w:rsidRPr="006F65DE">
              <w:rPr>
                <w:rFonts w:ascii="Arial Narrow" w:eastAsia="Calibri" w:hAnsi="Arial Narrow" w:cs="Arial"/>
                <w:sz w:val="20"/>
                <w:szCs w:val="20"/>
              </w:rPr>
              <w:fldChar w:fldCharType="end"/>
            </w:r>
            <w:r w:rsidRPr="006F65DE">
              <w:rPr>
                <w:rFonts w:ascii="Arial Narrow" w:eastAsia="Calibri" w:hAnsi="Arial Narrow" w:cs="Arial"/>
                <w:sz w:val="20"/>
                <w:szCs w:val="20"/>
              </w:rPr>
              <w:t xml:space="preserve">Authority Required (Streamlined) </w:t>
            </w:r>
          </w:p>
        </w:tc>
      </w:tr>
      <w:tr w:rsidR="00930BCC" w:rsidRPr="006F65DE" w14:paraId="1853BDF4"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72C3C6" w14:textId="77777777" w:rsidR="00930BCC" w:rsidRPr="006F65DE" w:rsidRDefault="00930BCC" w:rsidP="007C3C42">
            <w:pPr>
              <w:keepLines/>
              <w:rPr>
                <w:rFonts w:ascii="Arial Narrow" w:hAnsi="Arial Narrow" w:cs="Arial"/>
                <w:sz w:val="20"/>
                <w:szCs w:val="20"/>
              </w:rPr>
            </w:pPr>
          </w:p>
        </w:tc>
        <w:tc>
          <w:tcPr>
            <w:tcW w:w="7745" w:type="dxa"/>
            <w:gridSpan w:val="6"/>
            <w:vAlign w:val="center"/>
          </w:tcPr>
          <w:p w14:paraId="6CCD3AC0"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Treatment Phase:</w:t>
            </w:r>
            <w:r w:rsidRPr="006F65DE">
              <w:rPr>
                <w:rFonts w:ascii="Arial Narrow" w:hAnsi="Arial Narrow" w:cs="Arial"/>
                <w:sz w:val="20"/>
                <w:szCs w:val="20"/>
              </w:rPr>
              <w:t xml:space="preserve"> Nil</w:t>
            </w:r>
          </w:p>
        </w:tc>
      </w:tr>
      <w:tr w:rsidR="00930BCC" w:rsidRPr="006F65DE" w14:paraId="1526DBDD" w14:textId="77777777" w:rsidTr="007C3C42">
        <w:tblPrEx>
          <w:tblCellMar>
            <w:top w:w="15" w:type="dxa"/>
            <w:bottom w:w="15" w:type="dxa"/>
          </w:tblCellMar>
          <w:tblLook w:val="04A0" w:firstRow="1" w:lastRow="0" w:firstColumn="1" w:lastColumn="0" w:noHBand="0" w:noVBand="1"/>
        </w:tblPrEx>
        <w:trPr>
          <w:cantSplit/>
          <w:trHeight w:val="310"/>
        </w:trPr>
        <w:tc>
          <w:tcPr>
            <w:tcW w:w="1271" w:type="dxa"/>
            <w:vAlign w:val="center"/>
            <w:hideMark/>
          </w:tcPr>
          <w:p w14:paraId="5FAB0A30" w14:textId="34E6FC11" w:rsidR="00930BCC" w:rsidRPr="006F65DE" w:rsidRDefault="00930BCC" w:rsidP="007C3C42">
            <w:pPr>
              <w:keepLines/>
              <w:jc w:val="center"/>
              <w:rPr>
                <w:rFonts w:ascii="Arial Narrow" w:hAnsi="Arial Narrow" w:cs="Arial"/>
                <w:sz w:val="20"/>
                <w:szCs w:val="20"/>
              </w:rPr>
            </w:pPr>
          </w:p>
          <w:p w14:paraId="3FB2B764" w14:textId="77777777" w:rsidR="00930BCC" w:rsidRPr="006F65DE" w:rsidRDefault="00930BCC" w:rsidP="007C3C42">
            <w:pPr>
              <w:keepLines/>
              <w:rPr>
                <w:rFonts w:ascii="Arial Narrow" w:hAnsi="Arial Narrow" w:cs="Arial"/>
                <w:sz w:val="20"/>
                <w:szCs w:val="20"/>
              </w:rPr>
            </w:pPr>
          </w:p>
        </w:tc>
        <w:tc>
          <w:tcPr>
            <w:tcW w:w="7745" w:type="dxa"/>
            <w:gridSpan w:val="6"/>
            <w:vAlign w:val="center"/>
            <w:hideMark/>
          </w:tcPr>
          <w:p w14:paraId="46325D01" w14:textId="77777777" w:rsidR="00930BCC" w:rsidRPr="006F65DE" w:rsidRDefault="00930BCC" w:rsidP="007C3C42">
            <w:pPr>
              <w:keepLines/>
              <w:rPr>
                <w:rFonts w:ascii="Arial Narrow" w:hAnsi="Arial Narrow" w:cs="Arial"/>
                <w:strike/>
                <w:sz w:val="20"/>
                <w:szCs w:val="20"/>
              </w:rPr>
            </w:pPr>
            <w:r w:rsidRPr="006F65DE">
              <w:rPr>
                <w:rFonts w:ascii="Arial Narrow" w:hAnsi="Arial Narrow" w:cs="Arial"/>
                <w:b/>
                <w:sz w:val="20"/>
                <w:szCs w:val="20"/>
              </w:rPr>
              <w:t>Indication:</w:t>
            </w:r>
            <w:r w:rsidRPr="006F65DE">
              <w:rPr>
                <w:rFonts w:ascii="Arial Narrow" w:hAnsi="Arial Narrow" w:cs="Arial"/>
                <w:sz w:val="20"/>
                <w:szCs w:val="20"/>
              </w:rPr>
              <w:t xml:space="preserve"> Chronic Heart Failure</w:t>
            </w:r>
          </w:p>
        </w:tc>
      </w:tr>
      <w:tr w:rsidR="00930BCC" w:rsidRPr="006F65DE" w14:paraId="0835CC1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ECD615D" w14:textId="1C60FA69"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781CE979"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5D903EA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E3F91C" w14:textId="4F7346A4"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4ED85DB8" w14:textId="77777777" w:rsidR="00930BCC" w:rsidRPr="006F65DE" w:rsidRDefault="00930BCC" w:rsidP="007C3C42">
            <w:pPr>
              <w:rPr>
                <w:rFonts w:ascii="Arial Narrow" w:hAnsi="Arial Narrow" w:cs="Arial"/>
                <w:b/>
                <w:sz w:val="20"/>
                <w:szCs w:val="20"/>
              </w:rPr>
            </w:pPr>
            <w:r w:rsidRPr="006566D6">
              <w:rPr>
                <w:rFonts w:ascii="Arial Narrow" w:hAnsi="Arial Narrow" w:cs="Arial"/>
                <w:bCs/>
                <w:iCs/>
                <w:sz w:val="20"/>
                <w:szCs w:val="20"/>
              </w:rPr>
              <w:t>Patient must be both: (</w:t>
            </w:r>
            <w:proofErr w:type="spellStart"/>
            <w:r w:rsidRPr="006566D6">
              <w:rPr>
                <w:rFonts w:ascii="Arial Narrow" w:hAnsi="Arial Narrow" w:cs="Arial"/>
                <w:bCs/>
                <w:iCs/>
                <w:sz w:val="20"/>
                <w:szCs w:val="20"/>
              </w:rPr>
              <w:t>i</w:t>
            </w:r>
            <w:proofErr w:type="spellEnd"/>
            <w:r w:rsidRPr="006566D6">
              <w:rPr>
                <w:rFonts w:ascii="Arial Narrow" w:hAnsi="Arial Narrow" w:cs="Arial"/>
                <w:bCs/>
                <w:iCs/>
                <w:sz w:val="20"/>
                <w:szCs w:val="20"/>
              </w:rPr>
              <w:t xml:space="preserve">) within 3 to 14 days following an acute myocardial infarction (ii) commenced treatment within 14 days of acute myocardial infarction; OR </w:t>
            </w:r>
          </w:p>
        </w:tc>
      </w:tr>
      <w:tr w:rsidR="00930BCC" w:rsidRPr="006F65DE" w14:paraId="52F1985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C13CBB" w14:textId="1469D9C6"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6D438927" w14:textId="77777777" w:rsidR="00930BCC" w:rsidRPr="006F65DE" w:rsidRDefault="00930BCC" w:rsidP="007C3C42">
            <w:pPr>
              <w:rPr>
                <w:rFonts w:ascii="Arial Narrow" w:hAnsi="Arial Narrow" w:cs="Arial"/>
                <w:sz w:val="20"/>
                <w:szCs w:val="20"/>
              </w:rPr>
            </w:pPr>
            <w:r w:rsidRPr="006F65DE">
              <w:rPr>
                <w:rFonts w:ascii="Arial Narrow" w:hAnsi="Arial Narrow"/>
                <w:sz w:val="20"/>
                <w:szCs w:val="20"/>
              </w:rPr>
              <w:t xml:space="preserve">Patient must be symptomatic with NYHA classes II, </w:t>
            </w:r>
            <w:r w:rsidRPr="006F65DE">
              <w:rPr>
                <w:rFonts w:ascii="Arial Narrow" w:hAnsi="Arial Narrow"/>
                <w:strike/>
                <w:sz w:val="20"/>
                <w:szCs w:val="20"/>
              </w:rPr>
              <w:t>III or IV</w:t>
            </w:r>
          </w:p>
        </w:tc>
      </w:tr>
      <w:tr w:rsidR="00930BCC" w:rsidRPr="006F65DE" w14:paraId="30E2EF3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6E96EE" w14:textId="77777777"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42A0E0F5"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AND</w:t>
            </w:r>
          </w:p>
        </w:tc>
      </w:tr>
      <w:tr w:rsidR="00930BCC" w:rsidRPr="006F65DE" w14:paraId="703DCB5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FF22FD" w14:textId="3BD42C64"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32EE04E0"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021E69D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AF54ED" w14:textId="55B7B94A"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1A59CD1C" w14:textId="77777777" w:rsidR="00930BCC" w:rsidRPr="006F65DE" w:rsidRDefault="00930BCC" w:rsidP="007C3C42">
            <w:pPr>
              <w:rPr>
                <w:rFonts w:ascii="Arial Narrow" w:hAnsi="Arial Narrow" w:cs="Arial"/>
                <w:strike/>
                <w:sz w:val="20"/>
                <w:szCs w:val="20"/>
              </w:rPr>
            </w:pPr>
            <w:r w:rsidRPr="006F65DE">
              <w:rPr>
                <w:rFonts w:ascii="Arial Narrow" w:hAnsi="Arial Narrow"/>
                <w:sz w:val="20"/>
                <w:szCs w:val="20"/>
              </w:rPr>
              <w:t>Patient must have a documented left ventricular ejection fraction (LVEF) of less than or equal to 40%</w:t>
            </w:r>
          </w:p>
        </w:tc>
      </w:tr>
      <w:tr w:rsidR="00930BCC" w:rsidRPr="006F65DE" w14:paraId="50F38A0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CE24B5" w14:textId="77777777" w:rsidR="00930BCC" w:rsidRPr="006F65DE" w:rsidRDefault="00930BCC" w:rsidP="007C3C42">
            <w:pPr>
              <w:jc w:val="center"/>
              <w:rPr>
                <w:rFonts w:ascii="Arial Narrow" w:hAnsi="Arial Narrow" w:cs="Arial"/>
                <w:sz w:val="20"/>
                <w:szCs w:val="20"/>
              </w:rPr>
            </w:pPr>
          </w:p>
        </w:tc>
        <w:tc>
          <w:tcPr>
            <w:tcW w:w="7745" w:type="dxa"/>
            <w:gridSpan w:val="6"/>
            <w:vAlign w:val="center"/>
          </w:tcPr>
          <w:p w14:paraId="76630CEB" w14:textId="77777777" w:rsidR="00930BCC" w:rsidRPr="006F65DE" w:rsidRDefault="00930BCC" w:rsidP="007C3C42">
            <w:pPr>
              <w:rPr>
                <w:rFonts w:ascii="Arial Narrow" w:hAnsi="Arial Narrow" w:cs="Arial"/>
                <w:b/>
                <w:sz w:val="20"/>
                <w:szCs w:val="20"/>
              </w:rPr>
            </w:pPr>
            <w:r w:rsidRPr="006F65DE">
              <w:rPr>
                <w:rFonts w:ascii="Arial Narrow" w:hAnsi="Arial Narrow" w:cs="Arial"/>
                <w:b/>
                <w:sz w:val="20"/>
                <w:szCs w:val="20"/>
              </w:rPr>
              <w:t>AND</w:t>
            </w:r>
          </w:p>
        </w:tc>
      </w:tr>
      <w:tr w:rsidR="00930BCC" w:rsidRPr="006F65DE" w14:paraId="19872BB9"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043080" w14:textId="044C383C" w:rsidR="00930BCC" w:rsidRPr="006F65DE" w:rsidRDefault="00930BCC" w:rsidP="007C3C42">
            <w:pPr>
              <w:jc w:val="center"/>
              <w:rPr>
                <w:rFonts w:ascii="Arial Narrow" w:hAnsi="Arial Narrow" w:cs="Arial"/>
                <w:sz w:val="20"/>
                <w:szCs w:val="20"/>
              </w:rPr>
            </w:pPr>
          </w:p>
        </w:tc>
        <w:tc>
          <w:tcPr>
            <w:tcW w:w="7745" w:type="dxa"/>
            <w:gridSpan w:val="6"/>
            <w:vAlign w:val="center"/>
          </w:tcPr>
          <w:p w14:paraId="7DC56A2D"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437B2C6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A516EB" w14:textId="7B15FBEF" w:rsidR="00930BCC" w:rsidRPr="006F65DE" w:rsidRDefault="00930BCC" w:rsidP="007C3C42">
            <w:pPr>
              <w:jc w:val="center"/>
              <w:rPr>
                <w:rFonts w:ascii="Arial Narrow" w:hAnsi="Arial Narrow" w:cs="Arial"/>
                <w:sz w:val="20"/>
                <w:szCs w:val="20"/>
              </w:rPr>
            </w:pPr>
          </w:p>
        </w:tc>
        <w:tc>
          <w:tcPr>
            <w:tcW w:w="7745" w:type="dxa"/>
            <w:gridSpan w:val="6"/>
            <w:vAlign w:val="center"/>
            <w:hideMark/>
          </w:tcPr>
          <w:p w14:paraId="656D36D8" w14:textId="77777777" w:rsidR="00930BCC" w:rsidRPr="006F65DE" w:rsidRDefault="00930BCC" w:rsidP="007C3C42">
            <w:pPr>
              <w:rPr>
                <w:rFonts w:ascii="Arial Narrow" w:hAnsi="Arial Narrow" w:cs="Arial"/>
                <w:sz w:val="20"/>
                <w:szCs w:val="20"/>
              </w:rPr>
            </w:pPr>
            <w:r w:rsidRPr="006F65DE">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6F65DE">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6F65DE">
              <w:rPr>
                <w:rFonts w:ascii="Arial Narrow" w:hAnsi="Arial Narrow" w:cs="Arial"/>
                <w:sz w:val="20"/>
                <w:szCs w:val="20"/>
              </w:rPr>
              <w:t>blocker: (</w:t>
            </w:r>
            <w:proofErr w:type="spellStart"/>
            <w:r w:rsidRPr="006F65DE">
              <w:rPr>
                <w:rFonts w:ascii="Arial Narrow" w:hAnsi="Arial Narrow" w:cs="Arial"/>
                <w:sz w:val="20"/>
                <w:szCs w:val="20"/>
              </w:rPr>
              <w:t>i</w:t>
            </w:r>
            <w:proofErr w:type="spellEnd"/>
            <w:r w:rsidRPr="006F65DE">
              <w:rPr>
                <w:rFonts w:ascii="Arial Narrow" w:hAnsi="Arial Narrow" w:cs="Arial"/>
                <w:sz w:val="20"/>
                <w:szCs w:val="20"/>
              </w:rPr>
              <w:t>)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6F65DE">
              <w:rPr>
                <w:rFonts w:ascii="Arial Narrow" w:hAnsi="Arial Narrow" w:cs="Arial"/>
                <w:sz w:val="20"/>
                <w:szCs w:val="20"/>
              </w:rPr>
              <w:t>blocker AND</w:t>
            </w:r>
          </w:p>
          <w:p w14:paraId="29DDF7E1" w14:textId="77777777" w:rsidR="00930BCC" w:rsidRPr="006F65DE" w:rsidRDefault="00930BCC" w:rsidP="007C3C42">
            <w:pPr>
              <w:rPr>
                <w:rFonts w:ascii="Arial Narrow" w:hAnsi="Arial Narrow" w:cs="Arial"/>
                <w:sz w:val="20"/>
                <w:szCs w:val="20"/>
              </w:rPr>
            </w:pPr>
          </w:p>
        </w:tc>
      </w:tr>
      <w:tr w:rsidR="00930BCC" w:rsidRPr="006F65DE" w14:paraId="0282F38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6472EB" w14:textId="77777777" w:rsidR="00930BCC" w:rsidRPr="006F65DE" w:rsidRDefault="00930BCC" w:rsidP="007C3C42">
            <w:pPr>
              <w:jc w:val="center"/>
              <w:rPr>
                <w:rFonts w:ascii="Arial Narrow" w:hAnsi="Arial Narrow" w:cs="Arial"/>
                <w:sz w:val="20"/>
                <w:szCs w:val="20"/>
              </w:rPr>
            </w:pPr>
          </w:p>
        </w:tc>
        <w:tc>
          <w:tcPr>
            <w:tcW w:w="7745" w:type="dxa"/>
            <w:gridSpan w:val="6"/>
            <w:vAlign w:val="center"/>
            <w:hideMark/>
          </w:tcPr>
          <w:p w14:paraId="13997DFC"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AND</w:t>
            </w:r>
          </w:p>
        </w:tc>
      </w:tr>
      <w:tr w:rsidR="00930BCC" w:rsidRPr="006F65DE" w14:paraId="6833D77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C47639" w14:textId="156EEB20" w:rsidR="00930BCC" w:rsidRPr="006F65DE" w:rsidRDefault="00930BCC" w:rsidP="007C3C42">
            <w:pPr>
              <w:jc w:val="center"/>
              <w:rPr>
                <w:rFonts w:ascii="Arial Narrow" w:hAnsi="Arial Narrow" w:cs="Arial"/>
                <w:sz w:val="20"/>
                <w:szCs w:val="20"/>
              </w:rPr>
            </w:pPr>
          </w:p>
        </w:tc>
        <w:tc>
          <w:tcPr>
            <w:tcW w:w="7745" w:type="dxa"/>
            <w:gridSpan w:val="6"/>
            <w:vAlign w:val="center"/>
          </w:tcPr>
          <w:p w14:paraId="2FF86B29"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61551F3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DCD1D5" w14:textId="5B3EE24C" w:rsidR="00930BCC" w:rsidRPr="006F65DE" w:rsidRDefault="00930BCC" w:rsidP="007C3C42">
            <w:pPr>
              <w:jc w:val="center"/>
              <w:rPr>
                <w:rFonts w:ascii="Arial Narrow" w:hAnsi="Arial Narrow" w:cs="Arial"/>
                <w:sz w:val="20"/>
                <w:szCs w:val="20"/>
              </w:rPr>
            </w:pPr>
          </w:p>
        </w:tc>
        <w:tc>
          <w:tcPr>
            <w:tcW w:w="7745" w:type="dxa"/>
            <w:gridSpan w:val="6"/>
            <w:vAlign w:val="center"/>
          </w:tcPr>
          <w:p w14:paraId="5D6AB2AB" w14:textId="77777777" w:rsidR="00930BCC" w:rsidRPr="006F65DE" w:rsidRDefault="00930BCC" w:rsidP="007C3C42">
            <w:pPr>
              <w:rPr>
                <w:rFonts w:ascii="Arial Narrow" w:hAnsi="Arial Narrow" w:cs="Arial"/>
                <w:sz w:val="20"/>
                <w:szCs w:val="20"/>
              </w:rPr>
            </w:pPr>
            <w:r w:rsidRPr="006F65DE">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6F65DE">
              <w:rPr>
                <w:rFonts w:ascii="Arial Narrow" w:hAnsi="Arial Narrow" w:cs="Arial"/>
                <w:sz w:val="20"/>
                <w:szCs w:val="20"/>
              </w:rPr>
              <w:t xml:space="preserve">approved Product Information or cannot be tolerated; OR </w:t>
            </w:r>
          </w:p>
        </w:tc>
      </w:tr>
      <w:tr w:rsidR="00930BCC" w:rsidRPr="006F65DE" w14:paraId="1CE962A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9C4E30" w14:textId="167C55E1" w:rsidR="00930BCC" w:rsidRPr="00374914" w:rsidRDefault="00930BCC" w:rsidP="007C3C42">
            <w:pPr>
              <w:jc w:val="center"/>
              <w:rPr>
                <w:rFonts w:ascii="Arial Narrow" w:hAnsi="Arial Narrow" w:cs="Arial"/>
                <w:sz w:val="20"/>
                <w:szCs w:val="20"/>
              </w:rPr>
            </w:pPr>
          </w:p>
        </w:tc>
        <w:tc>
          <w:tcPr>
            <w:tcW w:w="7745" w:type="dxa"/>
            <w:gridSpan w:val="6"/>
            <w:vAlign w:val="center"/>
          </w:tcPr>
          <w:p w14:paraId="1C7057EA" w14:textId="77777777" w:rsidR="00930BCC" w:rsidRPr="00374914" w:rsidRDefault="00930BCC" w:rsidP="007C3C42">
            <w:pPr>
              <w:rPr>
                <w:rFonts w:ascii="Arial Narrow" w:hAnsi="Arial Narrow" w:cs="Arial"/>
                <w:sz w:val="20"/>
                <w:szCs w:val="20"/>
              </w:rPr>
            </w:pPr>
            <w:r w:rsidRPr="00374914">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374914">
              <w:rPr>
                <w:rFonts w:ascii="Arial Narrow" w:hAnsi="Arial Narrow" w:cs="Arial"/>
                <w:sz w:val="20"/>
                <w:szCs w:val="20"/>
              </w:rPr>
              <w:t>approved Product Information or cannot be tolerated</w:t>
            </w:r>
          </w:p>
        </w:tc>
      </w:tr>
      <w:tr w:rsidR="00930BCC" w:rsidRPr="006566D6" w14:paraId="470E218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79A44A"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15A070A5" w14:textId="77777777" w:rsidR="00930BCC" w:rsidRPr="006566D6" w:rsidRDefault="00930BCC" w:rsidP="007C3C42">
            <w:pPr>
              <w:rPr>
                <w:rFonts w:ascii="Arial Narrow" w:hAnsi="Arial Narrow" w:cs="Arial"/>
                <w:iCs/>
                <w:sz w:val="20"/>
                <w:szCs w:val="20"/>
              </w:rPr>
            </w:pPr>
            <w:r w:rsidRPr="006566D6">
              <w:rPr>
                <w:rFonts w:ascii="Arial Narrow" w:hAnsi="Arial Narrow" w:cs="Arial"/>
                <w:b/>
                <w:bCs/>
                <w:iCs/>
                <w:sz w:val="20"/>
                <w:szCs w:val="20"/>
              </w:rPr>
              <w:t>AND</w:t>
            </w:r>
          </w:p>
        </w:tc>
      </w:tr>
      <w:tr w:rsidR="00930BCC" w:rsidRPr="006566D6" w14:paraId="3905A1D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297C6F" w14:textId="3AF74B2A"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469764DF" w14:textId="77777777" w:rsidR="00930BCC" w:rsidRPr="006566D6" w:rsidRDefault="00930BCC" w:rsidP="007C3C42">
            <w:pPr>
              <w:rPr>
                <w:rFonts w:ascii="Arial Narrow" w:hAnsi="Arial Narrow" w:cs="Arial"/>
                <w:iCs/>
                <w:sz w:val="20"/>
                <w:szCs w:val="20"/>
              </w:rPr>
            </w:pPr>
            <w:r w:rsidRPr="006566D6">
              <w:rPr>
                <w:rFonts w:ascii="Arial Narrow" w:hAnsi="Arial Narrow" w:cs="Arial"/>
                <w:b/>
                <w:bCs/>
                <w:iCs/>
                <w:sz w:val="20"/>
                <w:szCs w:val="20"/>
              </w:rPr>
              <w:t xml:space="preserve">Clinical criteria: </w:t>
            </w:r>
          </w:p>
        </w:tc>
      </w:tr>
      <w:tr w:rsidR="00930BCC" w:rsidRPr="006566D6" w14:paraId="1227203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1EA55A" w14:textId="3C0B6D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3ABA24EB" w14:textId="77777777" w:rsidR="00930BCC" w:rsidRPr="006566D6" w:rsidRDefault="00930BCC" w:rsidP="007C3C42">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F65DE" w14:paraId="1C8C2813"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0AC2F5" w14:textId="1D733497" w:rsidR="00930BCC" w:rsidRPr="006F65DE" w:rsidRDefault="00930BCC" w:rsidP="007C3C42">
            <w:pPr>
              <w:jc w:val="center"/>
              <w:rPr>
                <w:rFonts w:ascii="Arial Narrow" w:hAnsi="Arial Narrow" w:cs="Arial"/>
                <w:sz w:val="20"/>
                <w:szCs w:val="20"/>
              </w:rPr>
            </w:pPr>
          </w:p>
        </w:tc>
        <w:tc>
          <w:tcPr>
            <w:tcW w:w="7745" w:type="dxa"/>
            <w:gridSpan w:val="6"/>
            <w:vAlign w:val="center"/>
          </w:tcPr>
          <w:p w14:paraId="71E5EB98" w14:textId="77777777" w:rsidR="00930BCC" w:rsidRPr="006F65DE" w:rsidRDefault="00930BCC" w:rsidP="007C3C42">
            <w:pPr>
              <w:rPr>
                <w:rFonts w:ascii="Arial Narrow" w:hAnsi="Arial Narrow" w:cs="Arial"/>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F65DE" w14:paraId="7C0BD14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7EA2310" w14:textId="67B54DD5" w:rsidR="00930BCC" w:rsidRPr="006566D6" w:rsidRDefault="00930BCC" w:rsidP="007C3C42">
            <w:pPr>
              <w:jc w:val="center"/>
              <w:rPr>
                <w:rFonts w:ascii="Arial Narrow" w:hAnsi="Arial Narrow" w:cs="Arial"/>
                <w:iCs/>
                <w:sz w:val="20"/>
                <w:szCs w:val="20"/>
              </w:rPr>
            </w:pPr>
          </w:p>
          <w:p w14:paraId="7C50058F" w14:textId="77777777" w:rsidR="00930BCC" w:rsidRPr="006F65DE" w:rsidRDefault="00930BCC" w:rsidP="007C3C42">
            <w:pPr>
              <w:jc w:val="center"/>
              <w:rPr>
                <w:rFonts w:ascii="Arial Narrow" w:hAnsi="Arial Narrow" w:cs="Arial"/>
                <w:sz w:val="20"/>
                <w:szCs w:val="20"/>
              </w:rPr>
            </w:pPr>
          </w:p>
        </w:tc>
        <w:tc>
          <w:tcPr>
            <w:tcW w:w="7745" w:type="dxa"/>
            <w:gridSpan w:val="6"/>
            <w:vAlign w:val="center"/>
          </w:tcPr>
          <w:p w14:paraId="24F23C9B" w14:textId="77777777" w:rsidR="00930BCC" w:rsidRPr="006F65DE" w:rsidRDefault="00930BCC" w:rsidP="007C3C42">
            <w:pPr>
              <w:rPr>
                <w:rFonts w:ascii="Arial Narrow" w:hAnsi="Arial Narrow" w:cs="Arial"/>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BE4F20A" w14:textId="77777777" w:rsidR="00930BCC" w:rsidRPr="00930BCC" w:rsidRDefault="00930BCC" w:rsidP="00930BCC">
      <w:pPr>
        <w:pStyle w:val="3-BodyText"/>
        <w:numPr>
          <w:ilvl w:val="0"/>
          <w:numId w:val="0"/>
        </w:numPr>
        <w:rPr>
          <w:rFonts w:cstheme="minorHAnsi"/>
        </w:rPr>
      </w:pPr>
    </w:p>
    <w:p w14:paraId="354E620D" w14:textId="3AFEEC3C" w:rsidR="00773E00" w:rsidRPr="008B6D03" w:rsidRDefault="00FD21AD" w:rsidP="008B6D03">
      <w:pPr>
        <w:pStyle w:val="3-BodyText"/>
        <w:rPr>
          <w:rStyle w:val="cf01"/>
          <w:rFonts w:asciiTheme="minorHAnsi" w:hAnsiTheme="minorHAnsi" w:cstheme="minorBidi"/>
          <w:sz w:val="24"/>
          <w:szCs w:val="24"/>
        </w:rPr>
      </w:pPr>
      <w:r w:rsidRPr="006566D6">
        <w:rPr>
          <w:iCs/>
        </w:rPr>
        <w:t xml:space="preserve">The Secretariat noted that </w:t>
      </w:r>
      <w:r w:rsidR="00465AEA" w:rsidRPr="006566D6">
        <w:rPr>
          <w:iCs/>
        </w:rPr>
        <w:t>the proposed restriction</w:t>
      </w:r>
      <w:r w:rsidRPr="006566D6">
        <w:rPr>
          <w:iCs/>
        </w:rPr>
        <w:t xml:space="preserve"> mirrors the </w:t>
      </w:r>
      <w:r w:rsidR="00465AEA" w:rsidRPr="006566D6">
        <w:rPr>
          <w:iCs/>
        </w:rPr>
        <w:t xml:space="preserve">current </w:t>
      </w:r>
      <w:r w:rsidRPr="006566D6">
        <w:rPr>
          <w:iCs/>
        </w:rPr>
        <w:t>listing for sacubitril + valsartan (Entresto</w:t>
      </w:r>
      <w:r w:rsidRPr="006566D6">
        <w:rPr>
          <w:iCs/>
          <w:vertAlign w:val="superscript"/>
        </w:rPr>
        <w:t>®</w:t>
      </w:r>
      <w:r w:rsidRPr="006566D6">
        <w:rPr>
          <w:iCs/>
        </w:rPr>
        <w:t>).</w:t>
      </w:r>
      <w:r w:rsidR="0041631E" w:rsidRPr="006566D6">
        <w:rPr>
          <w:iCs/>
        </w:rPr>
        <w:t xml:space="preserve"> The Secretariat also noted </w:t>
      </w:r>
      <w:r w:rsidR="00D51694" w:rsidRPr="006566D6">
        <w:rPr>
          <w:iCs/>
        </w:rPr>
        <w:t>that dapagliflozin was most recently PBS</w:t>
      </w:r>
      <w:r w:rsidR="0004446C">
        <w:rPr>
          <w:iCs/>
        </w:rPr>
        <w:noBreakHyphen/>
      </w:r>
      <w:r w:rsidR="00D51694" w:rsidRPr="006566D6">
        <w:rPr>
          <w:iCs/>
        </w:rPr>
        <w:t>listed for chronic heart failure (</w:t>
      </w:r>
      <w:r w:rsidR="00480CCC" w:rsidRPr="006566D6">
        <w:rPr>
          <w:iCs/>
        </w:rPr>
        <w:t xml:space="preserve">1 March 2024). </w:t>
      </w:r>
      <w:r w:rsidR="00773E00">
        <w:rPr>
          <w:iCs/>
        </w:rPr>
        <w:t>The pre</w:t>
      </w:r>
      <w:r w:rsidR="0004446C">
        <w:rPr>
          <w:iCs/>
        </w:rPr>
        <w:noBreakHyphen/>
      </w:r>
      <w:r w:rsidR="00773E00">
        <w:rPr>
          <w:iCs/>
        </w:rPr>
        <w:t>PBAC response</w:t>
      </w:r>
      <w:r w:rsidR="00D1271E">
        <w:rPr>
          <w:iCs/>
        </w:rPr>
        <w:t xml:space="preserve"> </w:t>
      </w:r>
      <w:r w:rsidR="00513BCA">
        <w:rPr>
          <w:iCs/>
        </w:rPr>
        <w:t>agreed that the restriction criteria for dapa</w:t>
      </w:r>
      <w:r w:rsidR="008B6D03">
        <w:rPr>
          <w:iCs/>
        </w:rPr>
        <w:t xml:space="preserve">gliflozin may </w:t>
      </w:r>
      <w:r w:rsidR="00D72A55">
        <w:rPr>
          <w:iCs/>
        </w:rPr>
        <w:t xml:space="preserve">be a </w:t>
      </w:r>
      <w:r w:rsidR="008B6D03">
        <w:rPr>
          <w:iCs/>
        </w:rPr>
        <w:t xml:space="preserve">clearer reflection of current clinical practice and may offer a more suitable framework for defining the restriction for eplerenone. </w:t>
      </w:r>
    </w:p>
    <w:p w14:paraId="4A2EA030" w14:textId="21EEA6EB" w:rsidR="00345322" w:rsidRPr="00345322" w:rsidRDefault="00BE4AA2" w:rsidP="00345322">
      <w:pPr>
        <w:pStyle w:val="3-BodyText"/>
        <w:rPr>
          <w:rStyle w:val="cf01"/>
          <w:rFonts w:asciiTheme="minorHAnsi" w:hAnsiTheme="minorHAnsi" w:cstheme="minorHAnsi"/>
          <w:sz w:val="24"/>
          <w:szCs w:val="24"/>
        </w:rPr>
      </w:pPr>
      <w:r w:rsidRPr="00345322">
        <w:rPr>
          <w:rStyle w:val="cf01"/>
          <w:rFonts w:asciiTheme="minorHAnsi" w:hAnsiTheme="minorHAnsi" w:cstheme="minorHAnsi"/>
          <w:sz w:val="24"/>
          <w:szCs w:val="24"/>
        </w:rPr>
        <w:t>As discussed in Section 2, the TGA P</w:t>
      </w:r>
      <w:r w:rsidR="00E94334" w:rsidRPr="00345322">
        <w:rPr>
          <w:rStyle w:val="cf01"/>
          <w:rFonts w:asciiTheme="minorHAnsi" w:hAnsiTheme="minorHAnsi" w:cstheme="minorHAnsi"/>
          <w:sz w:val="24"/>
          <w:szCs w:val="24"/>
        </w:rPr>
        <w:t>roduct Information</w:t>
      </w:r>
      <w:r w:rsidR="00A41906" w:rsidRPr="00345322">
        <w:rPr>
          <w:rStyle w:val="cf01"/>
          <w:rFonts w:asciiTheme="minorHAnsi" w:hAnsiTheme="minorHAnsi" w:cstheme="minorHAnsi"/>
          <w:sz w:val="24"/>
          <w:szCs w:val="24"/>
        </w:rPr>
        <w:t xml:space="preserve"> (PI) </w:t>
      </w:r>
      <w:r w:rsidR="00345322" w:rsidRPr="00345322">
        <w:rPr>
          <w:rStyle w:val="cf01"/>
          <w:rFonts w:asciiTheme="minorHAnsi" w:hAnsiTheme="minorHAnsi" w:cstheme="minorHAnsi"/>
          <w:sz w:val="24"/>
          <w:szCs w:val="24"/>
        </w:rPr>
        <w:t xml:space="preserve">states that eplerenone is indicated to reduce the risk of: </w:t>
      </w:r>
    </w:p>
    <w:p w14:paraId="4928E254" w14:textId="237C5BA9" w:rsidR="00345322" w:rsidRPr="00345322" w:rsidRDefault="00345322" w:rsidP="00345322">
      <w:pPr>
        <w:pStyle w:val="3-BodyText"/>
        <w:numPr>
          <w:ilvl w:val="0"/>
          <w:numId w:val="12"/>
        </w:numPr>
        <w:rPr>
          <w:rStyle w:val="cf11"/>
          <w:rFonts w:asciiTheme="minorHAnsi" w:hAnsiTheme="minorHAnsi" w:cstheme="minorHAnsi"/>
          <w:color w:val="auto"/>
          <w:sz w:val="24"/>
          <w:szCs w:val="24"/>
        </w:rPr>
      </w:pPr>
      <w:r w:rsidRPr="00345322">
        <w:rPr>
          <w:rStyle w:val="cf01"/>
          <w:rFonts w:asciiTheme="minorHAnsi" w:hAnsiTheme="minorHAnsi" w:cstheme="minorHAnsi"/>
          <w:sz w:val="24"/>
          <w:szCs w:val="24"/>
          <w:lang w:val="en"/>
        </w:rPr>
        <w:t xml:space="preserve">cardiovascular death in combination with standard therapy in patients who have evidence of heart failure and left ventricular impairment within 3–14 days of an acute myocardial infarction </w:t>
      </w:r>
      <w:r w:rsidRPr="00345322">
        <w:rPr>
          <w:rStyle w:val="cf11"/>
          <w:rFonts w:asciiTheme="minorHAnsi" w:hAnsiTheme="minorHAnsi" w:cstheme="minorHAnsi"/>
          <w:color w:val="auto"/>
          <w:sz w:val="24"/>
          <w:szCs w:val="24"/>
          <w:lang w:val="en"/>
        </w:rPr>
        <w:t xml:space="preserve">(i.e. what is currently listed on PBS); and </w:t>
      </w:r>
    </w:p>
    <w:p w14:paraId="32555AD5" w14:textId="0116EF2A" w:rsidR="00A4149E" w:rsidRPr="00D35FC4" w:rsidRDefault="00345322" w:rsidP="00D35FC4">
      <w:pPr>
        <w:pStyle w:val="3-BodyText"/>
        <w:numPr>
          <w:ilvl w:val="0"/>
          <w:numId w:val="12"/>
        </w:numPr>
        <w:rPr>
          <w:rStyle w:val="cf01"/>
          <w:rFonts w:asciiTheme="minorHAnsi" w:hAnsiTheme="minorHAnsi" w:cstheme="minorHAnsi"/>
          <w:sz w:val="24"/>
          <w:szCs w:val="24"/>
        </w:rPr>
      </w:pPr>
      <w:r w:rsidRPr="00345322">
        <w:rPr>
          <w:rStyle w:val="cf01"/>
          <w:rFonts w:asciiTheme="minorHAnsi" w:hAnsiTheme="minorHAnsi" w:cstheme="minorHAnsi"/>
          <w:sz w:val="24"/>
          <w:szCs w:val="24"/>
          <w:lang w:val="en"/>
        </w:rPr>
        <w:t>cardiovascular mortality and morbidity in adult patients with NYHA Class II (chronic) heart failure and left ventricular systolic dysfunction (LVEF ≤ 30% or LVEF ≤ 35% in addition to QRS duration of &gt; 130 msec), in addition to standard optimal therapy (</w:t>
      </w:r>
      <w:r w:rsidR="00676CC0">
        <w:rPr>
          <w:rStyle w:val="cf01"/>
          <w:rFonts w:asciiTheme="minorHAnsi" w:hAnsiTheme="minorHAnsi" w:cstheme="minorHAnsi"/>
          <w:sz w:val="24"/>
          <w:szCs w:val="24"/>
          <w:lang w:val="en"/>
        </w:rPr>
        <w:t xml:space="preserve">i.e. as per the current submission, </w:t>
      </w:r>
      <w:r w:rsidR="0016084C">
        <w:rPr>
          <w:rStyle w:val="cf01"/>
          <w:rFonts w:asciiTheme="minorHAnsi" w:hAnsiTheme="minorHAnsi" w:cstheme="minorHAnsi"/>
          <w:sz w:val="24"/>
          <w:szCs w:val="24"/>
          <w:lang w:val="en"/>
        </w:rPr>
        <w:t xml:space="preserve">though </w:t>
      </w:r>
      <w:r w:rsidR="0016084C">
        <w:rPr>
          <w:rStyle w:val="cf11"/>
          <w:rFonts w:asciiTheme="minorHAnsi" w:hAnsiTheme="minorHAnsi" w:cstheme="minorHAnsi"/>
          <w:color w:val="auto"/>
          <w:sz w:val="24"/>
          <w:szCs w:val="24"/>
          <w:lang w:val="en"/>
        </w:rPr>
        <w:t>the sponsor is proposing NYHA Classes II, III and IV</w:t>
      </w:r>
      <w:r w:rsidRPr="00345322">
        <w:rPr>
          <w:rStyle w:val="cf11"/>
          <w:rFonts w:asciiTheme="minorHAnsi" w:hAnsiTheme="minorHAnsi" w:cstheme="minorHAnsi"/>
          <w:color w:val="auto"/>
          <w:sz w:val="24"/>
          <w:szCs w:val="24"/>
          <w:lang w:val="en"/>
        </w:rPr>
        <w:t>).</w:t>
      </w:r>
    </w:p>
    <w:p w14:paraId="70ADA7DF" w14:textId="3DAF01DB" w:rsidR="00304273" w:rsidRPr="006566D6" w:rsidRDefault="00304273" w:rsidP="00A451A5">
      <w:pPr>
        <w:pStyle w:val="3-BodyText"/>
        <w:rPr>
          <w:rStyle w:val="cf01"/>
          <w:rFonts w:asciiTheme="minorHAnsi" w:hAnsiTheme="minorHAnsi" w:cstheme="minorHAnsi"/>
          <w:iCs/>
          <w:sz w:val="24"/>
          <w:szCs w:val="24"/>
        </w:rPr>
      </w:pPr>
      <w:r w:rsidRPr="006566D6">
        <w:rPr>
          <w:rStyle w:val="cf01"/>
          <w:rFonts w:asciiTheme="minorHAnsi" w:hAnsiTheme="minorHAnsi" w:cstheme="minorHAnsi"/>
          <w:iCs/>
          <w:sz w:val="24"/>
          <w:szCs w:val="24"/>
        </w:rPr>
        <w:t>As such, the Secretariat has proposed the following</w:t>
      </w:r>
      <w:r w:rsidR="001F5711" w:rsidRPr="006566D6">
        <w:rPr>
          <w:rStyle w:val="cf01"/>
          <w:rFonts w:asciiTheme="minorHAnsi" w:hAnsiTheme="minorHAnsi" w:cstheme="minorHAnsi"/>
          <w:iCs/>
          <w:sz w:val="24"/>
          <w:szCs w:val="24"/>
        </w:rPr>
        <w:t xml:space="preserve"> clinical criteria: </w:t>
      </w:r>
    </w:p>
    <w:tbl>
      <w:tblPr>
        <w:tblW w:w="3535"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374"/>
      </w:tblGrid>
      <w:tr w:rsidR="00304273" w:rsidRPr="006566D6" w14:paraId="1E8D3026" w14:textId="77777777" w:rsidTr="00153594">
        <w:trPr>
          <w:cantSplit/>
          <w:trHeight w:val="20"/>
        </w:trPr>
        <w:tc>
          <w:tcPr>
            <w:tcW w:w="6374" w:type="dxa"/>
            <w:vAlign w:val="center"/>
          </w:tcPr>
          <w:p w14:paraId="42BB17CF" w14:textId="77777777" w:rsidR="00304273" w:rsidRPr="006566D6" w:rsidRDefault="00304273">
            <w:pPr>
              <w:rPr>
                <w:rFonts w:ascii="Arial Narrow" w:hAnsi="Arial Narrow" w:cs="Arial"/>
                <w:b/>
                <w:iCs/>
                <w:sz w:val="20"/>
                <w:szCs w:val="20"/>
              </w:rPr>
            </w:pPr>
            <w:r w:rsidRPr="006566D6">
              <w:rPr>
                <w:rFonts w:ascii="Arial Narrow" w:hAnsi="Arial Narrow" w:cs="Arial"/>
                <w:bCs/>
                <w:iCs/>
                <w:sz w:val="20"/>
                <w:szCs w:val="20"/>
              </w:rPr>
              <w:t>Patient must be both: (</w:t>
            </w:r>
            <w:proofErr w:type="spellStart"/>
            <w:r w:rsidRPr="006566D6">
              <w:rPr>
                <w:rFonts w:ascii="Arial Narrow" w:hAnsi="Arial Narrow" w:cs="Arial"/>
                <w:bCs/>
                <w:iCs/>
                <w:sz w:val="20"/>
                <w:szCs w:val="20"/>
              </w:rPr>
              <w:t>i</w:t>
            </w:r>
            <w:proofErr w:type="spellEnd"/>
            <w:r w:rsidRPr="006566D6">
              <w:rPr>
                <w:rFonts w:ascii="Arial Narrow" w:hAnsi="Arial Narrow" w:cs="Arial"/>
                <w:bCs/>
                <w:iCs/>
                <w:sz w:val="20"/>
                <w:szCs w:val="20"/>
              </w:rPr>
              <w:t xml:space="preserve">) within 3 to 14 days following an acute myocardial infarction (ii) commenced treatment within 14 days of acute myocardial infarction; OR </w:t>
            </w:r>
          </w:p>
        </w:tc>
      </w:tr>
      <w:tr w:rsidR="00304273" w:rsidRPr="006566D6" w14:paraId="39B7E729" w14:textId="77777777" w:rsidTr="00153594">
        <w:trPr>
          <w:cantSplit/>
          <w:trHeight w:val="20"/>
        </w:trPr>
        <w:tc>
          <w:tcPr>
            <w:tcW w:w="6374" w:type="dxa"/>
            <w:vAlign w:val="center"/>
          </w:tcPr>
          <w:p w14:paraId="297CF461" w14:textId="11AEAED2" w:rsidR="00304273" w:rsidRPr="006566D6" w:rsidRDefault="00304273">
            <w:pPr>
              <w:rPr>
                <w:rFonts w:ascii="Arial Narrow" w:hAnsi="Arial Narrow" w:cs="Arial"/>
                <w:iCs/>
                <w:sz w:val="20"/>
                <w:szCs w:val="20"/>
              </w:rPr>
            </w:pPr>
            <w:r w:rsidRPr="006566D6">
              <w:rPr>
                <w:rFonts w:ascii="Arial Narrow" w:hAnsi="Arial Narrow"/>
                <w:iCs/>
                <w:sz w:val="20"/>
                <w:szCs w:val="20"/>
              </w:rPr>
              <w:t>Patient must be symptomatic with NYHA classes II</w:t>
            </w:r>
          </w:p>
        </w:tc>
      </w:tr>
    </w:tbl>
    <w:p w14:paraId="7C880106" w14:textId="4B365C51" w:rsidR="00223C71" w:rsidRPr="00C85E8E" w:rsidRDefault="00F50294" w:rsidP="00223C71">
      <w:pPr>
        <w:pStyle w:val="3-BodyText"/>
        <w:numPr>
          <w:ilvl w:val="0"/>
          <w:numId w:val="0"/>
        </w:numPr>
        <w:ind w:left="720"/>
        <w:rPr>
          <w:rStyle w:val="cf01"/>
          <w:rFonts w:asciiTheme="minorHAnsi" w:hAnsiTheme="minorHAnsi" w:cstheme="minorBidi"/>
          <w:sz w:val="24"/>
          <w:szCs w:val="24"/>
        </w:rPr>
      </w:pPr>
      <w:r>
        <w:t>The pre</w:t>
      </w:r>
      <w:r w:rsidR="0004446C">
        <w:noBreakHyphen/>
      </w:r>
      <w:r>
        <w:t xml:space="preserve">PBAC response proposed removing </w:t>
      </w:r>
      <w:r w:rsidR="00104EC2">
        <w:t xml:space="preserve">the reference to NYHA classes or using the following wording: </w:t>
      </w:r>
      <w:r w:rsidR="00104EC2" w:rsidRPr="00DE0824">
        <w:rPr>
          <w:i/>
          <w:iCs/>
        </w:rPr>
        <w:t>“Patient must be sym</w:t>
      </w:r>
      <w:r w:rsidR="00565A32" w:rsidRPr="00DE0824">
        <w:rPr>
          <w:i/>
          <w:iCs/>
        </w:rPr>
        <w:t>ptomatic with Heart Failure (NYHA class II or above)</w:t>
      </w:r>
      <w:r w:rsidR="004E34D2">
        <w:rPr>
          <w:i/>
          <w:iCs/>
        </w:rPr>
        <w:t>”.</w:t>
      </w:r>
    </w:p>
    <w:p w14:paraId="51629FAA" w14:textId="7C8CA4C9" w:rsidR="00B3631E" w:rsidRPr="00223C71" w:rsidRDefault="00F64FE4" w:rsidP="00223C71">
      <w:pPr>
        <w:pStyle w:val="3-BodyText"/>
        <w:rPr>
          <w:rFonts w:cstheme="minorHAnsi"/>
          <w:iCs/>
          <w:szCs w:val="24"/>
        </w:rPr>
      </w:pPr>
      <w:r w:rsidRPr="006566D6">
        <w:rPr>
          <w:rStyle w:val="cf01"/>
          <w:rFonts w:asciiTheme="minorHAnsi" w:hAnsiTheme="minorHAnsi" w:cstheme="minorHAnsi"/>
          <w:iCs/>
          <w:sz w:val="24"/>
          <w:szCs w:val="24"/>
        </w:rPr>
        <w:t xml:space="preserve">The Secretariat </w:t>
      </w:r>
      <w:r w:rsidR="008078CC" w:rsidRPr="006566D6">
        <w:rPr>
          <w:rStyle w:val="cf01"/>
          <w:rFonts w:asciiTheme="minorHAnsi" w:hAnsiTheme="minorHAnsi" w:cstheme="minorHAnsi"/>
          <w:iCs/>
          <w:sz w:val="24"/>
          <w:szCs w:val="24"/>
        </w:rPr>
        <w:t xml:space="preserve">has suggested the inclusion of </w:t>
      </w:r>
      <w:r w:rsidR="008C093C" w:rsidRPr="006566D6">
        <w:rPr>
          <w:rStyle w:val="cf01"/>
          <w:rFonts w:asciiTheme="minorHAnsi" w:hAnsiTheme="minorHAnsi" w:cstheme="minorHAnsi"/>
          <w:iCs/>
          <w:sz w:val="24"/>
          <w:szCs w:val="24"/>
        </w:rPr>
        <w:t>the following clinical criterion: “</w:t>
      </w:r>
      <w:r w:rsidR="008C093C" w:rsidRPr="006566D6">
        <w:rPr>
          <w:rFonts w:cstheme="minorHAnsi"/>
          <w:iCs/>
          <w:szCs w:val="24"/>
        </w:rPr>
        <w:t>The treatment must not be co</w:t>
      </w:r>
      <w:r w:rsidR="0004446C">
        <w:rPr>
          <w:rFonts w:cstheme="minorHAnsi"/>
          <w:iCs/>
          <w:szCs w:val="24"/>
        </w:rPr>
        <w:noBreakHyphen/>
      </w:r>
      <w:r w:rsidR="008C093C" w:rsidRPr="006566D6">
        <w:rPr>
          <w:rFonts w:cstheme="minorHAnsi"/>
          <w:iCs/>
          <w:szCs w:val="24"/>
        </w:rPr>
        <w:t>administered with an ACE inhibitor or an angiotensin II antagonist”.</w:t>
      </w:r>
      <w:r w:rsidR="00B930B6" w:rsidRPr="006566D6">
        <w:rPr>
          <w:rFonts w:cstheme="minorHAnsi"/>
          <w:iCs/>
          <w:szCs w:val="24"/>
        </w:rPr>
        <w:t xml:space="preserve"> This criterion appears in the current PBS listing for Entresto</w:t>
      </w:r>
      <w:r w:rsidR="00CD4963" w:rsidRPr="006566D6">
        <w:rPr>
          <w:rFonts w:cstheme="minorHAnsi"/>
          <w:iCs/>
          <w:szCs w:val="24"/>
        </w:rPr>
        <w:t xml:space="preserve">, but it is also worth noting that the </w:t>
      </w:r>
      <w:r w:rsidR="00374943" w:rsidRPr="006566D6">
        <w:rPr>
          <w:rFonts w:cstheme="minorHAnsi"/>
          <w:iCs/>
          <w:szCs w:val="24"/>
        </w:rPr>
        <w:t>TGA PI for eplerenone states</w:t>
      </w:r>
      <w:r w:rsidR="00447BE5" w:rsidRPr="006566D6">
        <w:rPr>
          <w:rFonts w:cstheme="minorHAnsi"/>
          <w:iCs/>
          <w:szCs w:val="24"/>
        </w:rPr>
        <w:t xml:space="preserve"> that</w:t>
      </w:r>
      <w:r w:rsidR="00A74E3F" w:rsidRPr="006566D6">
        <w:rPr>
          <w:rFonts w:cstheme="minorHAnsi"/>
          <w:iCs/>
          <w:szCs w:val="24"/>
        </w:rPr>
        <w:t xml:space="preserve"> </w:t>
      </w:r>
      <w:r w:rsidR="00D70543" w:rsidRPr="006566D6">
        <w:rPr>
          <w:rFonts w:cstheme="minorHAnsi"/>
          <w:iCs/>
          <w:szCs w:val="24"/>
        </w:rPr>
        <w:t>“</w:t>
      </w:r>
      <w:r w:rsidR="00A74E3F" w:rsidRPr="006566D6">
        <w:rPr>
          <w:rFonts w:cstheme="minorHAnsi"/>
          <w:iCs/>
          <w:szCs w:val="24"/>
        </w:rPr>
        <w:t>t</w:t>
      </w:r>
      <w:r w:rsidR="00374943" w:rsidRPr="006566D6">
        <w:rPr>
          <w:rStyle w:val="cf01"/>
          <w:rFonts w:asciiTheme="minorHAnsi" w:hAnsiTheme="minorHAnsi" w:cstheme="minorHAnsi"/>
          <w:iCs/>
          <w:sz w:val="24"/>
          <w:szCs w:val="24"/>
        </w:rPr>
        <w:t>he risk of hyperkalaemia may increase when eplerenone is used in combination with an ACE inhibitor and an angiotensin receptor blocker (ARB) and therefore this combination is not recommended</w:t>
      </w:r>
      <w:r w:rsidR="00D70543" w:rsidRPr="006566D6">
        <w:rPr>
          <w:rStyle w:val="cf01"/>
          <w:rFonts w:asciiTheme="minorHAnsi" w:hAnsiTheme="minorHAnsi" w:cstheme="minorHAnsi"/>
          <w:iCs/>
          <w:sz w:val="24"/>
          <w:szCs w:val="24"/>
        </w:rPr>
        <w:t>”.</w:t>
      </w:r>
    </w:p>
    <w:p w14:paraId="29A96004" w14:textId="61268CD1" w:rsidR="00C27C1C" w:rsidRPr="00050C3F" w:rsidRDefault="00C27C1C" w:rsidP="00303CFE">
      <w:pPr>
        <w:pStyle w:val="2-SectionHeading"/>
      </w:pPr>
      <w:r w:rsidRPr="00050C3F">
        <w:t xml:space="preserve">Comparator </w:t>
      </w:r>
    </w:p>
    <w:p w14:paraId="5A35AD53" w14:textId="353ECC58" w:rsidR="00C27C1C" w:rsidRPr="007E0B50" w:rsidRDefault="00C27C1C" w:rsidP="006D7235">
      <w:pPr>
        <w:pStyle w:val="3-BodyText"/>
      </w:pPr>
      <w:r w:rsidRPr="00050C3F">
        <w:t xml:space="preserve">The previous submission considered by the PBAC in </w:t>
      </w:r>
      <w:r w:rsidR="008C22E6" w:rsidRPr="00050C3F">
        <w:t>July 2005</w:t>
      </w:r>
      <w:r w:rsidRPr="00050C3F">
        <w:t xml:space="preserve"> nominated </w:t>
      </w:r>
      <w:r w:rsidR="00252F48">
        <w:t>p</w:t>
      </w:r>
      <w:r w:rsidR="00F201E9" w:rsidRPr="00050C3F">
        <w:t xml:space="preserve">lacebo </w:t>
      </w:r>
      <w:r w:rsidR="00AB7D15" w:rsidRPr="00050C3F">
        <w:t>/</w:t>
      </w:r>
      <w:r w:rsidR="00F201E9" w:rsidRPr="00050C3F">
        <w:t>standard of care</w:t>
      </w:r>
      <w:r w:rsidR="00EF1E02">
        <w:t xml:space="preserve">. </w:t>
      </w:r>
      <w:r w:rsidR="00740820">
        <w:t xml:space="preserve">The nominated comparator </w:t>
      </w:r>
      <w:r w:rsidR="00B1725F" w:rsidRPr="00050C3F">
        <w:t>remain</w:t>
      </w:r>
      <w:r w:rsidR="00740820">
        <w:t>ed</w:t>
      </w:r>
      <w:r w:rsidRPr="00050C3F">
        <w:t xml:space="preserve"> unchanged</w:t>
      </w:r>
      <w:r w:rsidR="00252F48">
        <w:t xml:space="preserve"> in the current </w:t>
      </w:r>
      <w:r w:rsidR="00252F48">
        <w:lastRenderedPageBreak/>
        <w:t>submission.</w:t>
      </w:r>
      <w:r w:rsidR="006D7235" w:rsidRPr="00050C3F">
        <w:t xml:space="preserve"> T</w:t>
      </w:r>
      <w:r w:rsidR="00EA64C2" w:rsidRPr="00050C3F">
        <w:rPr>
          <w:iCs/>
        </w:rPr>
        <w:t xml:space="preserve">he PBAC previously considered the nominated comparator </w:t>
      </w:r>
      <w:r w:rsidR="006D7235" w:rsidRPr="00050C3F">
        <w:rPr>
          <w:iCs/>
        </w:rPr>
        <w:t>to be</w:t>
      </w:r>
      <w:r w:rsidR="00EA64C2" w:rsidRPr="00050C3F">
        <w:rPr>
          <w:iCs/>
        </w:rPr>
        <w:t xml:space="preserve"> appropriate</w:t>
      </w:r>
      <w:r w:rsidR="00AC1266" w:rsidRPr="00050C3F">
        <w:rPr>
          <w:iCs/>
        </w:rPr>
        <w:t>.</w:t>
      </w:r>
      <w:r w:rsidR="00197C70" w:rsidRPr="00050C3F">
        <w:rPr>
          <w:iCs/>
        </w:rPr>
        <w:t xml:space="preserve"> </w:t>
      </w:r>
    </w:p>
    <w:p w14:paraId="0A8659A9" w14:textId="5CD2A08D" w:rsidR="00EA7791" w:rsidRDefault="00DC6457" w:rsidP="00036F34">
      <w:pPr>
        <w:pStyle w:val="3-BodyText"/>
        <w:rPr>
          <w:iCs/>
        </w:rPr>
      </w:pPr>
      <w:r w:rsidRPr="006566D6">
        <w:rPr>
          <w:iCs/>
        </w:rPr>
        <w:t xml:space="preserve">At the time of previous consideration, spironolactone was a restricted benefit for treatment of hyperaldosteronism, including refractory cardiac failure, and female hirsutism (PBS Schedule, April 2005). Spironolactone was subsequently unrestricted from 1 April 2006. As noted in the submission, current Australian guidelines for heart failure recommend an MRA in all patients with </w:t>
      </w:r>
      <w:proofErr w:type="spellStart"/>
      <w:r w:rsidRPr="006566D6">
        <w:rPr>
          <w:iCs/>
        </w:rPr>
        <w:t>HFrEF</w:t>
      </w:r>
      <w:proofErr w:type="spellEnd"/>
      <w:r w:rsidRPr="006566D6">
        <w:rPr>
          <w:iCs/>
        </w:rPr>
        <w:t xml:space="preserve"> associated with a moderate or severe reduction in left ventricular ejection fraction (LVEF less than or equal to 40%) unless contraindicated or not tolerated, to decrease mortality and decrease hospitalisation for heart failure (Atherton et al., 2018). </w:t>
      </w:r>
    </w:p>
    <w:p w14:paraId="17662687" w14:textId="77777777" w:rsidR="00EA7791" w:rsidRDefault="00EA7791">
      <w:pPr>
        <w:jc w:val="left"/>
        <w:rPr>
          <w:rFonts w:asciiTheme="minorHAnsi" w:eastAsiaTheme="minorHAnsi" w:hAnsiTheme="minorHAnsi" w:cstheme="minorBidi"/>
          <w:iCs/>
          <w:szCs w:val="22"/>
        </w:rPr>
      </w:pPr>
      <w:r>
        <w:rPr>
          <w:iCs/>
        </w:rPr>
        <w:br w:type="page"/>
      </w:r>
    </w:p>
    <w:p w14:paraId="0436B7D8" w14:textId="77777777" w:rsidR="00C27C1C" w:rsidRDefault="00C27C1C" w:rsidP="0079250E">
      <w:pPr>
        <w:pStyle w:val="Heading1"/>
        <w:keepLines/>
        <w:numPr>
          <w:ilvl w:val="0"/>
          <w:numId w:val="2"/>
        </w:numPr>
        <w:spacing w:before="240"/>
        <w:ind w:left="709" w:hanging="709"/>
        <w:rPr>
          <w:sz w:val="32"/>
          <w:szCs w:val="32"/>
        </w:rPr>
      </w:pPr>
      <w:r w:rsidRPr="00050C3F">
        <w:rPr>
          <w:sz w:val="32"/>
          <w:szCs w:val="32"/>
        </w:rPr>
        <w:lastRenderedPageBreak/>
        <w:t>Consideration of the evidence</w:t>
      </w:r>
    </w:p>
    <w:p w14:paraId="4CB2DABE" w14:textId="77777777" w:rsidR="000B57DD" w:rsidRPr="006E1229" w:rsidRDefault="000B57DD" w:rsidP="000B57DD">
      <w:pPr>
        <w:pStyle w:val="4-SubsectionHeading"/>
        <w:keepNext w:val="0"/>
        <w:rPr>
          <w:lang w:eastAsia="en-US"/>
        </w:rPr>
      </w:pPr>
      <w:r w:rsidRPr="006E1229">
        <w:rPr>
          <w:lang w:eastAsia="en-US"/>
        </w:rPr>
        <w:t>Sponsor hearing</w:t>
      </w:r>
    </w:p>
    <w:p w14:paraId="65B29B29" w14:textId="19043F5D" w:rsidR="00BE3119" w:rsidRDefault="00A2362F" w:rsidP="13C95913">
      <w:pPr>
        <w:pStyle w:val="3-BodyText"/>
        <w:rPr>
          <w:lang w:eastAsia="en-US"/>
        </w:rPr>
      </w:pPr>
      <w:r>
        <w:rPr>
          <w:lang w:eastAsia="en-US"/>
        </w:rPr>
        <w:t xml:space="preserve">There was no hearing for this item. </w:t>
      </w:r>
    </w:p>
    <w:p w14:paraId="5EAC9D83" w14:textId="10D73524" w:rsidR="00031F38" w:rsidRPr="00036F34" w:rsidRDefault="00031F38" w:rsidP="00036F34">
      <w:pPr>
        <w:pStyle w:val="4-SubsectionHeading"/>
        <w:keepNext w:val="0"/>
        <w:rPr>
          <w:lang w:eastAsia="en-US"/>
        </w:rPr>
      </w:pPr>
      <w:r w:rsidRPr="00036F34">
        <w:rPr>
          <w:lang w:eastAsia="en-US"/>
        </w:rPr>
        <w:t>Consumer comments</w:t>
      </w:r>
    </w:p>
    <w:p w14:paraId="79735F55" w14:textId="248832C2" w:rsidR="00DE3B21" w:rsidRDefault="00A2362F" w:rsidP="13C95913">
      <w:pPr>
        <w:pStyle w:val="3-BodyText"/>
        <w:rPr>
          <w:lang w:eastAsia="en-US"/>
        </w:rPr>
      </w:pPr>
      <w:r>
        <w:rPr>
          <w:lang w:eastAsia="en-US"/>
        </w:rPr>
        <w:t xml:space="preserve">The </w:t>
      </w:r>
      <w:r w:rsidRPr="00455CE3">
        <w:rPr>
          <w:lang w:eastAsia="en-US"/>
        </w:rPr>
        <w:t>PBAC noted and welcomed the input from health care professionals (9), individuals who had used this medicine for their own health condition (1), and consumer groups (1) via the Consumer Comments facility on the PBS website. The comments noted that MRA treatment reduces death and hospitalisation outcomes by approximately 30%, and that spironolactone was the preferred MRA due to the current PBS restrictions for eplerenone. The hearts4heart provided input in support of expanding eplerenone’s reimbursement criteria, highlighting eplerenone’s better tolerability and better efficacy compared to spironolactone.</w:t>
      </w:r>
    </w:p>
    <w:p w14:paraId="1EDAD911" w14:textId="77777777" w:rsidR="00A2362F" w:rsidRPr="00455CE3" w:rsidRDefault="00A2362F" w:rsidP="00A2362F">
      <w:pPr>
        <w:pStyle w:val="3-BodyText"/>
        <w:numPr>
          <w:ilvl w:val="0"/>
          <w:numId w:val="0"/>
        </w:numPr>
        <w:ind w:left="720"/>
        <w:rPr>
          <w:lang w:eastAsia="en-US"/>
        </w:rPr>
      </w:pPr>
    </w:p>
    <w:p w14:paraId="3F679FE9" w14:textId="77777777" w:rsidR="00C27C1C" w:rsidRPr="00036F34" w:rsidRDefault="00C27C1C" w:rsidP="00036F34">
      <w:pPr>
        <w:pStyle w:val="4-SubsectionHeading"/>
        <w:keepNext w:val="0"/>
        <w:rPr>
          <w:lang w:eastAsia="en-US"/>
        </w:rPr>
      </w:pPr>
      <w:r w:rsidRPr="00036F34">
        <w:rPr>
          <w:lang w:eastAsia="en-US"/>
        </w:rPr>
        <w:t xml:space="preserve">Clinical trials </w:t>
      </w:r>
    </w:p>
    <w:p w14:paraId="543BAEAD" w14:textId="2CEA7E98" w:rsidR="00DB59D9" w:rsidRDefault="00C27C1C" w:rsidP="00C746EA">
      <w:pPr>
        <w:pStyle w:val="3-BodyText"/>
      </w:pPr>
      <w:bookmarkStart w:id="0" w:name="_Hlk86163265"/>
      <w:r>
        <w:t>The submission was based on</w:t>
      </w:r>
      <w:r w:rsidR="00F034E8">
        <w:t xml:space="preserve"> </w:t>
      </w:r>
      <w:r w:rsidR="00CC0D9D">
        <w:t xml:space="preserve">the </w:t>
      </w:r>
      <w:r w:rsidR="00F034E8">
        <w:t>EPHESUS and EMPHASIS</w:t>
      </w:r>
      <w:r w:rsidR="0004446C">
        <w:noBreakHyphen/>
      </w:r>
      <w:r w:rsidR="00F034E8">
        <w:t xml:space="preserve">HF </w:t>
      </w:r>
      <w:r w:rsidR="00254517">
        <w:t>clinical trials</w:t>
      </w:r>
      <w:r w:rsidR="00F034E8">
        <w:t>. These were large Phase 3</w:t>
      </w:r>
      <w:r w:rsidR="0011120A">
        <w:t>, multi</w:t>
      </w:r>
      <w:r w:rsidR="0004446C">
        <w:noBreakHyphen/>
      </w:r>
      <w:r w:rsidR="0011120A">
        <w:t>centre, randomised, double</w:t>
      </w:r>
      <w:r w:rsidR="0004446C">
        <w:noBreakHyphen/>
      </w:r>
      <w:r w:rsidR="0011120A">
        <w:t>blind, placebo</w:t>
      </w:r>
      <w:r w:rsidR="0004446C">
        <w:noBreakHyphen/>
      </w:r>
      <w:r w:rsidR="0011120A">
        <w:t xml:space="preserve">controlled </w:t>
      </w:r>
      <w:r w:rsidR="00F034E8">
        <w:t>studies examin</w:t>
      </w:r>
      <w:r w:rsidR="00151627">
        <w:t>ing</w:t>
      </w:r>
      <w:r w:rsidR="00F034E8">
        <w:t xml:space="preserve"> the efficacy and safety of Inspra</w:t>
      </w:r>
      <w:r w:rsidR="26EB25E2" w:rsidRPr="4630B983">
        <w:rPr>
          <w:vertAlign w:val="superscript"/>
        </w:rPr>
        <w:t>®</w:t>
      </w:r>
      <w:r w:rsidR="00F034E8">
        <w:t>.</w:t>
      </w:r>
      <w:r w:rsidR="00C631AC">
        <w:t xml:space="preserve"> </w:t>
      </w:r>
    </w:p>
    <w:p w14:paraId="4048A2B6" w14:textId="2DB5C8C7" w:rsidR="00DB59D9" w:rsidRDefault="00193324" w:rsidP="00C746EA">
      <w:pPr>
        <w:pStyle w:val="3-BodyText"/>
      </w:pPr>
      <w:r w:rsidRPr="00050C3F">
        <w:t xml:space="preserve">The EPHESUS trial </w:t>
      </w:r>
      <w:r w:rsidR="00427815" w:rsidRPr="00050C3F">
        <w:t xml:space="preserve">recruited patients who </w:t>
      </w:r>
      <w:r w:rsidR="00DF3A2B" w:rsidRPr="00050C3F">
        <w:t xml:space="preserve">had a presumptive </w:t>
      </w:r>
      <w:r w:rsidR="00D53666" w:rsidRPr="00050C3F">
        <w:t>diagnosis of Acute Myocardial Infarction with Heart Failure</w:t>
      </w:r>
      <w:r w:rsidR="0037561C">
        <w:t xml:space="preserve"> </w:t>
      </w:r>
      <w:r w:rsidR="0004471B" w:rsidRPr="00050C3F">
        <w:t>(HF)</w:t>
      </w:r>
      <w:r w:rsidR="00D53666" w:rsidRPr="00050C3F">
        <w:t xml:space="preserve">, from the onset of the condition to </w:t>
      </w:r>
      <w:r w:rsidR="0004446C">
        <w:br/>
      </w:r>
      <w:r w:rsidR="00D53666" w:rsidRPr="00050C3F">
        <w:t xml:space="preserve">14 days following the onset. </w:t>
      </w:r>
      <w:r w:rsidR="00381445" w:rsidRPr="00050C3F">
        <w:t>This study formed the basis for</w:t>
      </w:r>
      <w:r w:rsidR="00CC0D9D">
        <w:t xml:space="preserve"> the</w:t>
      </w:r>
      <w:r w:rsidR="00381445" w:rsidRPr="00050C3F">
        <w:t xml:space="preserve"> PBAC’s decision </w:t>
      </w:r>
      <w:r w:rsidR="00A76C37" w:rsidRPr="00050C3F">
        <w:t xml:space="preserve">in June 2005. </w:t>
      </w:r>
    </w:p>
    <w:p w14:paraId="1AB7117D" w14:textId="2157F22E" w:rsidR="00D12027" w:rsidRDefault="00A76C37" w:rsidP="00C746EA">
      <w:pPr>
        <w:pStyle w:val="3-BodyText"/>
      </w:pPr>
      <w:r w:rsidRPr="00050C3F">
        <w:t>The EMPHASIS</w:t>
      </w:r>
      <w:r w:rsidR="0004446C">
        <w:noBreakHyphen/>
      </w:r>
      <w:r w:rsidRPr="00050C3F">
        <w:t xml:space="preserve">HF study </w:t>
      </w:r>
      <w:r w:rsidR="001564B3">
        <w:t xml:space="preserve">(completed in 2011) </w:t>
      </w:r>
      <w:r w:rsidR="009606CF" w:rsidRPr="00050C3F">
        <w:t>recruited patients who had a duration of</w:t>
      </w:r>
      <w:r w:rsidR="0004471B" w:rsidRPr="00050C3F">
        <w:t xml:space="preserve"> HF lasting more than 4 weeks</w:t>
      </w:r>
      <w:r w:rsidR="00146922" w:rsidRPr="00050C3F">
        <w:t xml:space="preserve">, providing </w:t>
      </w:r>
      <w:r w:rsidR="006B3D56" w:rsidRPr="00050C3F">
        <w:t>evidence for the submission’s request to increase the scope of the clinical criteria.</w:t>
      </w:r>
    </w:p>
    <w:p w14:paraId="13177966" w14:textId="14AA6461" w:rsidR="00B6533B" w:rsidRPr="00050C3F" w:rsidRDefault="00B6533B" w:rsidP="00B6533B">
      <w:pPr>
        <w:pStyle w:val="TableFigureHeading"/>
        <w:rPr>
          <w:rStyle w:val="CommentReference"/>
          <w:b w:val="0"/>
          <w:sz w:val="20"/>
          <w:szCs w:val="20"/>
        </w:rPr>
      </w:pPr>
      <w:bookmarkStart w:id="1" w:name="_Ref104803956"/>
      <w:bookmarkStart w:id="2" w:name="_Hlk201213474"/>
      <w:r w:rsidRPr="00050C3F">
        <w:rPr>
          <w:szCs w:val="20"/>
        </w:rPr>
        <w:lastRenderedPageBreak/>
        <w:t xml:space="preserve">Table </w:t>
      </w:r>
      <w:bookmarkEnd w:id="1"/>
      <w:r w:rsidR="00F034E8" w:rsidRPr="00050C3F">
        <w:rPr>
          <w:szCs w:val="20"/>
        </w:rPr>
        <w:t>1</w:t>
      </w:r>
      <w:r w:rsidRPr="00050C3F">
        <w:rPr>
          <w:szCs w:val="20"/>
        </w:rPr>
        <w:t>:</w:t>
      </w:r>
      <w:r w:rsidRPr="00050C3F">
        <w:rPr>
          <w:rStyle w:val="CommentReference"/>
          <w:sz w:val="20"/>
          <w:szCs w:val="20"/>
        </w:rPr>
        <w:t xml:space="preserve">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presented in the submission"/>
      </w:tblPr>
      <w:tblGrid>
        <w:gridCol w:w="1434"/>
        <w:gridCol w:w="5054"/>
        <w:gridCol w:w="2528"/>
      </w:tblGrid>
      <w:tr w:rsidR="00050C3F" w:rsidRPr="00050C3F" w14:paraId="77468B9B" w14:textId="77777777" w:rsidTr="00711102">
        <w:trPr>
          <w:cantSplit/>
          <w:tblHeader/>
        </w:trPr>
        <w:tc>
          <w:tcPr>
            <w:tcW w:w="795" w:type="pct"/>
            <w:vAlign w:val="center"/>
          </w:tcPr>
          <w:bookmarkEnd w:id="2"/>
          <w:p w14:paraId="06990072" w14:textId="77777777" w:rsidR="00B6533B" w:rsidRPr="00050C3F" w:rsidRDefault="00B6533B">
            <w:pPr>
              <w:pStyle w:val="In-tableHeading"/>
              <w:jc w:val="center"/>
              <w:rPr>
                <w:lang w:val="en-AU"/>
              </w:rPr>
            </w:pPr>
            <w:r w:rsidRPr="00050C3F">
              <w:rPr>
                <w:lang w:val="en-AU"/>
              </w:rPr>
              <w:t>Trial ID</w:t>
            </w:r>
          </w:p>
        </w:tc>
        <w:tc>
          <w:tcPr>
            <w:tcW w:w="2803" w:type="pct"/>
            <w:vAlign w:val="center"/>
          </w:tcPr>
          <w:p w14:paraId="36B2C658" w14:textId="77777777" w:rsidR="00B6533B" w:rsidRPr="00050C3F" w:rsidRDefault="00B6533B">
            <w:pPr>
              <w:pStyle w:val="In-tableHeading"/>
              <w:rPr>
                <w:lang w:val="en-AU"/>
              </w:rPr>
            </w:pPr>
            <w:r w:rsidRPr="00050C3F">
              <w:rPr>
                <w:lang w:val="en-AU"/>
              </w:rPr>
              <w:t>Protocol title/ Publication title</w:t>
            </w:r>
          </w:p>
        </w:tc>
        <w:tc>
          <w:tcPr>
            <w:tcW w:w="1402" w:type="pct"/>
            <w:vAlign w:val="center"/>
          </w:tcPr>
          <w:p w14:paraId="036FE8E7" w14:textId="77777777" w:rsidR="00B6533B" w:rsidRPr="00050C3F" w:rsidRDefault="00B6533B">
            <w:pPr>
              <w:pStyle w:val="In-tableHeading"/>
              <w:rPr>
                <w:lang w:val="en-AU"/>
              </w:rPr>
            </w:pPr>
            <w:r w:rsidRPr="00050C3F">
              <w:rPr>
                <w:lang w:val="en-AU"/>
              </w:rPr>
              <w:t>Publication citation</w:t>
            </w:r>
          </w:p>
        </w:tc>
      </w:tr>
      <w:tr w:rsidR="00050C3F" w:rsidRPr="00050C3F" w14:paraId="071CAD22" w14:textId="77777777">
        <w:trPr>
          <w:cantSplit/>
        </w:trPr>
        <w:tc>
          <w:tcPr>
            <w:tcW w:w="795" w:type="pct"/>
            <w:vMerge w:val="restart"/>
            <w:vAlign w:val="center"/>
          </w:tcPr>
          <w:p w14:paraId="44417271" w14:textId="61DB7ACA" w:rsidR="00AD1BE5" w:rsidRPr="00050C3F" w:rsidRDefault="00AD1BE5">
            <w:pPr>
              <w:pStyle w:val="TableText0"/>
              <w:jc w:val="center"/>
              <w:rPr>
                <w:szCs w:val="20"/>
              </w:rPr>
            </w:pPr>
            <w:r w:rsidRPr="00050C3F">
              <w:rPr>
                <w:rFonts w:eastAsia="Times New Roman" w:cs="Arial"/>
                <w:bCs w:val="0"/>
                <w:szCs w:val="20"/>
              </w:rPr>
              <w:t>PMID: 1266869</w:t>
            </w:r>
          </w:p>
        </w:tc>
        <w:tc>
          <w:tcPr>
            <w:tcW w:w="2803" w:type="pct"/>
            <w:vMerge w:val="restart"/>
            <w:vAlign w:val="center"/>
          </w:tcPr>
          <w:p w14:paraId="55925FAA" w14:textId="5940E8C7" w:rsidR="001D5157" w:rsidRPr="00050C3F" w:rsidRDefault="001D5157" w:rsidP="001D5157">
            <w:pPr>
              <w:pStyle w:val="TableText0"/>
            </w:pPr>
            <w:r w:rsidRPr="00050C3F">
              <w:t>Phase 3</w:t>
            </w:r>
            <w:bookmarkStart w:id="3" w:name="_Hlk201142124"/>
            <w:r w:rsidRPr="00050C3F">
              <w:t>, multi</w:t>
            </w:r>
            <w:r w:rsidR="0004446C">
              <w:noBreakHyphen/>
            </w:r>
            <w:r w:rsidRPr="00050C3F">
              <w:t>centre, randomised, double</w:t>
            </w:r>
            <w:r w:rsidR="0004446C">
              <w:noBreakHyphen/>
            </w:r>
            <w:r w:rsidRPr="00050C3F">
              <w:t>blind, placebo</w:t>
            </w:r>
            <w:r w:rsidR="0004446C">
              <w:noBreakHyphen/>
            </w:r>
            <w:r w:rsidRPr="00050C3F">
              <w:t xml:space="preserve">controlled </w:t>
            </w:r>
            <w:bookmarkEnd w:id="3"/>
            <w:r w:rsidRPr="00050C3F">
              <w:t>(standard of care) study</w:t>
            </w:r>
            <w:r w:rsidR="00B52691" w:rsidRPr="00050C3F">
              <w:t xml:space="preserve"> conducted to </w:t>
            </w:r>
            <w:r w:rsidR="00093F67" w:rsidRPr="00050C3F">
              <w:t>investigate</w:t>
            </w:r>
            <w:r w:rsidRPr="00050C3F">
              <w:t xml:space="preserve"> the effect of eplerenone </w:t>
            </w:r>
            <w:r w:rsidR="00BB6A90" w:rsidRPr="00050C3F">
              <w:t xml:space="preserve">as adjunctive treatment to </w:t>
            </w:r>
            <w:r w:rsidRPr="00050C3F">
              <w:t xml:space="preserve">standard therapy </w:t>
            </w:r>
            <w:r w:rsidR="00BB6A90" w:rsidRPr="00050C3F">
              <w:t>on</w:t>
            </w:r>
          </w:p>
          <w:p w14:paraId="6B6CD7DE" w14:textId="0B6731FF" w:rsidR="001D5157" w:rsidRPr="00050C3F" w:rsidRDefault="001D5157" w:rsidP="001D5157">
            <w:pPr>
              <w:pStyle w:val="TableText0"/>
            </w:pPr>
            <w:r w:rsidRPr="00050C3F">
              <w:t>cardiovascular (CV) mortality/morbidity, in patients with HF after an acute myocardial infarction</w:t>
            </w:r>
            <w:r w:rsidR="003F27AF" w:rsidRPr="00050C3F">
              <w:t>.</w:t>
            </w:r>
          </w:p>
          <w:p w14:paraId="1DD03D02" w14:textId="6C97F747" w:rsidR="00AD1BE5" w:rsidRPr="00050C3F" w:rsidRDefault="00AD1BE5">
            <w:pPr>
              <w:pStyle w:val="TableText0"/>
            </w:pPr>
          </w:p>
        </w:tc>
        <w:tc>
          <w:tcPr>
            <w:tcW w:w="1402" w:type="pct"/>
            <w:tcBorders>
              <w:bottom w:val="nil"/>
            </w:tcBorders>
            <w:vAlign w:val="center"/>
          </w:tcPr>
          <w:p w14:paraId="58C1350A" w14:textId="0D581186" w:rsidR="00AD1BE5" w:rsidRPr="00050C3F" w:rsidRDefault="009B23D7">
            <w:pPr>
              <w:pStyle w:val="TableText0"/>
              <w:rPr>
                <w:rFonts w:ascii="Times" w:hAnsi="Times"/>
              </w:rPr>
            </w:pPr>
            <w:r w:rsidRPr="00050C3F">
              <w:t>31</w:t>
            </w:r>
            <w:r w:rsidR="003F27AF" w:rsidRPr="00050C3F">
              <w:t xml:space="preserve"> Ma</w:t>
            </w:r>
            <w:r w:rsidRPr="00050C3F">
              <w:t>r</w:t>
            </w:r>
            <w:r w:rsidR="003F27AF" w:rsidRPr="00050C3F">
              <w:t xml:space="preserve"> 2003</w:t>
            </w:r>
          </w:p>
        </w:tc>
      </w:tr>
      <w:tr w:rsidR="00050C3F" w:rsidRPr="00050C3F" w14:paraId="46EC551B" w14:textId="77777777" w:rsidTr="00545DF0">
        <w:trPr>
          <w:cantSplit/>
          <w:trHeight w:val="230"/>
        </w:trPr>
        <w:tc>
          <w:tcPr>
            <w:tcW w:w="795" w:type="pct"/>
            <w:vMerge/>
            <w:vAlign w:val="center"/>
          </w:tcPr>
          <w:p w14:paraId="722AA56D" w14:textId="77777777" w:rsidR="00AD1BE5" w:rsidRPr="00050C3F" w:rsidRDefault="00AD1BE5">
            <w:pPr>
              <w:pStyle w:val="TableText0"/>
              <w:jc w:val="center"/>
            </w:pPr>
          </w:p>
        </w:tc>
        <w:tc>
          <w:tcPr>
            <w:tcW w:w="2803" w:type="pct"/>
            <w:vMerge/>
            <w:tcBorders>
              <w:bottom w:val="nil"/>
            </w:tcBorders>
            <w:vAlign w:val="center"/>
          </w:tcPr>
          <w:p w14:paraId="691929A7" w14:textId="48547F27" w:rsidR="00AD1BE5" w:rsidRPr="00050C3F" w:rsidRDefault="00AD1BE5">
            <w:pPr>
              <w:pStyle w:val="TableText0"/>
            </w:pPr>
          </w:p>
        </w:tc>
        <w:tc>
          <w:tcPr>
            <w:tcW w:w="1402" w:type="pct"/>
            <w:vMerge w:val="restart"/>
            <w:tcBorders>
              <w:top w:val="nil"/>
            </w:tcBorders>
            <w:vAlign w:val="center"/>
          </w:tcPr>
          <w:p w14:paraId="055FCA9B" w14:textId="6995D8DB" w:rsidR="00AD1BE5" w:rsidRPr="00050C3F" w:rsidRDefault="00AD1BE5" w:rsidP="00545DF0">
            <w:pPr>
              <w:pStyle w:val="TableText0"/>
            </w:pPr>
            <w:r w:rsidRPr="006566D6">
              <w:t>N Engl J Med. 2003;348(22):2271</w:t>
            </w:r>
          </w:p>
        </w:tc>
      </w:tr>
      <w:tr w:rsidR="00050C3F" w:rsidRPr="006566D6" w14:paraId="27970BFF" w14:textId="77777777" w:rsidTr="00711102">
        <w:trPr>
          <w:cantSplit/>
        </w:trPr>
        <w:tc>
          <w:tcPr>
            <w:tcW w:w="795" w:type="pct"/>
            <w:vMerge/>
            <w:tcBorders>
              <w:bottom w:val="nil"/>
            </w:tcBorders>
            <w:vAlign w:val="center"/>
          </w:tcPr>
          <w:p w14:paraId="7389BA82" w14:textId="77777777" w:rsidR="00711102" w:rsidRPr="006566D6" w:rsidRDefault="00711102">
            <w:pPr>
              <w:pStyle w:val="TableText0"/>
              <w:jc w:val="center"/>
            </w:pPr>
          </w:p>
        </w:tc>
        <w:tc>
          <w:tcPr>
            <w:tcW w:w="2803" w:type="pct"/>
            <w:tcBorders>
              <w:top w:val="nil"/>
              <w:bottom w:val="nil"/>
            </w:tcBorders>
            <w:vAlign w:val="center"/>
          </w:tcPr>
          <w:p w14:paraId="05C4F4EE" w14:textId="68F37005" w:rsidR="00711102" w:rsidRPr="006566D6" w:rsidRDefault="00711102">
            <w:pPr>
              <w:pStyle w:val="TableText0"/>
            </w:pPr>
            <w:r w:rsidRPr="006566D6">
              <w:t>Pitt B et al; Eplerenone Post</w:t>
            </w:r>
            <w:r w:rsidR="0004446C">
              <w:noBreakHyphen/>
            </w:r>
            <w:r w:rsidRPr="006566D6">
              <w:t>Acute Myocardial Infarction Heart Failure Efficacy and Survival Study Investigators (EPHESUS study).</w:t>
            </w:r>
          </w:p>
        </w:tc>
        <w:tc>
          <w:tcPr>
            <w:tcW w:w="1402" w:type="pct"/>
            <w:vMerge/>
            <w:tcBorders>
              <w:bottom w:val="nil"/>
            </w:tcBorders>
            <w:vAlign w:val="center"/>
          </w:tcPr>
          <w:p w14:paraId="6FF510EB" w14:textId="066F9C29" w:rsidR="00711102" w:rsidRPr="006566D6" w:rsidRDefault="00711102">
            <w:pPr>
              <w:pStyle w:val="TableText0"/>
            </w:pPr>
          </w:p>
        </w:tc>
      </w:tr>
      <w:tr w:rsidR="00050C3F" w:rsidRPr="00050C3F" w14:paraId="4837E5E3" w14:textId="77777777" w:rsidTr="000F06DF">
        <w:trPr>
          <w:cantSplit/>
        </w:trPr>
        <w:tc>
          <w:tcPr>
            <w:tcW w:w="795" w:type="pct"/>
            <w:vMerge w:val="restart"/>
            <w:vAlign w:val="center"/>
          </w:tcPr>
          <w:p w14:paraId="68B3FC97" w14:textId="60B45F45" w:rsidR="00B6533B" w:rsidRPr="00050C3F" w:rsidRDefault="00E239B5">
            <w:pPr>
              <w:pStyle w:val="TableText0"/>
              <w:jc w:val="center"/>
              <w:rPr>
                <w:rFonts w:ascii="Times" w:hAnsi="Times"/>
              </w:rPr>
            </w:pPr>
            <w:r w:rsidRPr="00050C3F">
              <w:t>NCT00232180</w:t>
            </w:r>
          </w:p>
        </w:tc>
        <w:tc>
          <w:tcPr>
            <w:tcW w:w="2803" w:type="pct"/>
            <w:tcBorders>
              <w:bottom w:val="nil"/>
            </w:tcBorders>
            <w:vAlign w:val="center"/>
          </w:tcPr>
          <w:p w14:paraId="5BEE2D95" w14:textId="50270792" w:rsidR="00B6533B" w:rsidRPr="00050C3F" w:rsidRDefault="00FC6A7B">
            <w:pPr>
              <w:pStyle w:val="TableText0"/>
              <w:rPr>
                <w:rFonts w:ascii="Times" w:hAnsi="Times"/>
              </w:rPr>
            </w:pPr>
            <w:proofErr w:type="spellStart"/>
            <w:r w:rsidRPr="00050C3F">
              <w:t>Multicentered</w:t>
            </w:r>
            <w:proofErr w:type="spellEnd"/>
            <w:r w:rsidRPr="00050C3F">
              <w:t>, randomized, double</w:t>
            </w:r>
            <w:r w:rsidR="0004446C">
              <w:noBreakHyphen/>
            </w:r>
            <w:r w:rsidRPr="00050C3F">
              <w:t>blind, placebo</w:t>
            </w:r>
            <w:r w:rsidR="0004446C">
              <w:noBreakHyphen/>
            </w:r>
            <w:r w:rsidRPr="00050C3F">
              <w:t>controlled study</w:t>
            </w:r>
            <w:r w:rsidR="00E31B6D" w:rsidRPr="00050C3F">
              <w:t xml:space="preserve"> conducted</w:t>
            </w:r>
            <w:r w:rsidRPr="00050C3F">
              <w:t xml:space="preserve"> to investigate the effects of eplerenone vs. placebo added to fully optimized therapy including an ACE</w:t>
            </w:r>
            <w:r w:rsidR="0004446C">
              <w:noBreakHyphen/>
            </w:r>
            <w:r w:rsidRPr="00050C3F">
              <w:t>I (or/and an ARB) and b</w:t>
            </w:r>
            <w:r w:rsidR="0004446C">
              <w:noBreakHyphen/>
            </w:r>
            <w:r w:rsidRPr="00050C3F">
              <w:t>blocker in patients with mild (NYHA functional class II) chronic HF with low EF. The primary objective of this trial is to evaluate the efficacy and safety of eplerenone plus standard HF therapy vs. placebo plus standard HF therapy on the cumulative incidence of the composite endpoint of CV death or HF hospitalization, defined as the first occurrence of either HF hospitalization or CV deat</w:t>
            </w:r>
            <w:r w:rsidR="000F06DF" w:rsidRPr="00050C3F">
              <w:t>h</w:t>
            </w:r>
          </w:p>
        </w:tc>
        <w:tc>
          <w:tcPr>
            <w:tcW w:w="1402" w:type="pct"/>
            <w:tcBorders>
              <w:bottom w:val="nil"/>
            </w:tcBorders>
          </w:tcPr>
          <w:p w14:paraId="5B578937" w14:textId="763AE3B8" w:rsidR="00B6533B" w:rsidRPr="00050C3F" w:rsidRDefault="000F06DF" w:rsidP="000F06DF">
            <w:pPr>
              <w:pStyle w:val="TableText0"/>
            </w:pPr>
            <w:r w:rsidRPr="00050C3F">
              <w:t>11 Nov 2010</w:t>
            </w:r>
          </w:p>
        </w:tc>
      </w:tr>
      <w:tr w:rsidR="00050C3F" w:rsidRPr="006566D6" w14:paraId="650DDFCA" w14:textId="77777777" w:rsidTr="00711102">
        <w:trPr>
          <w:cantSplit/>
        </w:trPr>
        <w:tc>
          <w:tcPr>
            <w:tcW w:w="795" w:type="pct"/>
            <w:vMerge/>
            <w:vAlign w:val="center"/>
          </w:tcPr>
          <w:p w14:paraId="237B0651" w14:textId="77777777" w:rsidR="00B6533B" w:rsidRPr="006566D6" w:rsidRDefault="00B6533B">
            <w:pPr>
              <w:pStyle w:val="TableText0"/>
              <w:jc w:val="center"/>
            </w:pPr>
          </w:p>
        </w:tc>
        <w:tc>
          <w:tcPr>
            <w:tcW w:w="2803" w:type="pct"/>
            <w:tcBorders>
              <w:top w:val="nil"/>
              <w:bottom w:val="nil"/>
            </w:tcBorders>
            <w:vAlign w:val="center"/>
          </w:tcPr>
          <w:p w14:paraId="41AE0487" w14:textId="49157B20" w:rsidR="00B6533B" w:rsidRPr="006566D6" w:rsidRDefault="00B6533B">
            <w:pPr>
              <w:pStyle w:val="TableText0"/>
            </w:pPr>
          </w:p>
        </w:tc>
        <w:tc>
          <w:tcPr>
            <w:tcW w:w="1402" w:type="pct"/>
            <w:tcBorders>
              <w:top w:val="nil"/>
              <w:bottom w:val="nil"/>
            </w:tcBorders>
            <w:vAlign w:val="center"/>
          </w:tcPr>
          <w:p w14:paraId="4BF0843C" w14:textId="5308105B" w:rsidR="00B6533B" w:rsidRPr="006566D6" w:rsidRDefault="00B6533B">
            <w:pPr>
              <w:pStyle w:val="TableText0"/>
            </w:pPr>
          </w:p>
        </w:tc>
      </w:tr>
      <w:tr w:rsidR="00050C3F" w:rsidRPr="00050C3F" w14:paraId="32687208" w14:textId="77777777" w:rsidTr="00907D51">
        <w:trPr>
          <w:cantSplit/>
        </w:trPr>
        <w:tc>
          <w:tcPr>
            <w:tcW w:w="795" w:type="pct"/>
            <w:vMerge/>
            <w:tcBorders>
              <w:bottom w:val="single" w:sz="4" w:space="0" w:color="auto"/>
            </w:tcBorders>
            <w:vAlign w:val="center"/>
          </w:tcPr>
          <w:p w14:paraId="604F3B19" w14:textId="77777777" w:rsidR="00B6533B" w:rsidRPr="00050C3F" w:rsidRDefault="00B6533B">
            <w:pPr>
              <w:pStyle w:val="TableText0"/>
              <w:jc w:val="center"/>
            </w:pPr>
          </w:p>
        </w:tc>
        <w:tc>
          <w:tcPr>
            <w:tcW w:w="2803" w:type="pct"/>
            <w:tcBorders>
              <w:top w:val="nil"/>
              <w:bottom w:val="single" w:sz="4" w:space="0" w:color="auto"/>
            </w:tcBorders>
            <w:vAlign w:val="center"/>
          </w:tcPr>
          <w:p w14:paraId="5A9B0B71" w14:textId="52C9097E" w:rsidR="00B6533B" w:rsidRPr="00050C3F" w:rsidRDefault="00A629A3">
            <w:pPr>
              <w:pStyle w:val="TableText0"/>
            </w:pPr>
            <w:proofErr w:type="spellStart"/>
            <w:r w:rsidRPr="00050C3F">
              <w:t>Zannad</w:t>
            </w:r>
            <w:proofErr w:type="spellEnd"/>
            <w:r w:rsidRPr="00050C3F">
              <w:t xml:space="preserve"> </w:t>
            </w:r>
            <w:proofErr w:type="spellStart"/>
            <w:r w:rsidRPr="00050C3F">
              <w:t>Fet</w:t>
            </w:r>
            <w:proofErr w:type="spellEnd"/>
            <w:r w:rsidRPr="00050C3F">
              <w:t xml:space="preserve"> al; EMPHASIS</w:t>
            </w:r>
            <w:r w:rsidR="0004446C">
              <w:noBreakHyphen/>
            </w:r>
            <w:r w:rsidRPr="00050C3F">
              <w:t>HF Study Group. Eplerenone in patients with systolic heart failure and mild symptoms.</w:t>
            </w:r>
          </w:p>
        </w:tc>
        <w:tc>
          <w:tcPr>
            <w:tcW w:w="1402" w:type="pct"/>
            <w:tcBorders>
              <w:top w:val="nil"/>
              <w:bottom w:val="single" w:sz="4" w:space="0" w:color="auto"/>
            </w:tcBorders>
            <w:vAlign w:val="center"/>
          </w:tcPr>
          <w:p w14:paraId="0912D455" w14:textId="4FDE8234" w:rsidR="00B6533B" w:rsidRPr="00050C3F" w:rsidRDefault="003B347C">
            <w:pPr>
              <w:pStyle w:val="TableText0"/>
              <w:rPr>
                <w:rFonts w:ascii="Times" w:hAnsi="Times"/>
              </w:rPr>
            </w:pPr>
            <w:r w:rsidRPr="006566D6">
              <w:t>N Engl J Med. 2011 Jan 6;364(1):11</w:t>
            </w:r>
            <w:r w:rsidR="0004446C">
              <w:noBreakHyphen/>
            </w:r>
            <w:r w:rsidRPr="006566D6">
              <w:t>21</w:t>
            </w:r>
          </w:p>
        </w:tc>
      </w:tr>
    </w:tbl>
    <w:p w14:paraId="0D78E536" w14:textId="240EB9A4" w:rsidR="00B6533B" w:rsidRPr="00050C3F" w:rsidRDefault="00B6533B" w:rsidP="00B6533B">
      <w:pPr>
        <w:pStyle w:val="FooterTableFigure"/>
        <w:rPr>
          <w:sz w:val="20"/>
        </w:rPr>
      </w:pPr>
      <w:r w:rsidRPr="00050C3F">
        <w:t>Source: Table</w:t>
      </w:r>
      <w:r w:rsidR="00516EE6" w:rsidRPr="00050C3F">
        <w:t xml:space="preserve"> 2.2</w:t>
      </w:r>
      <w:r w:rsidRPr="00050C3F">
        <w:t xml:space="preserve">, </w:t>
      </w:r>
      <w:r w:rsidR="00FC6A7B" w:rsidRPr="00050C3F">
        <w:t>p</w:t>
      </w:r>
      <w:r w:rsidR="00516EE6" w:rsidRPr="00050C3F">
        <w:t>24</w:t>
      </w:r>
      <w:r w:rsidR="003043AB">
        <w:t xml:space="preserve"> </w:t>
      </w:r>
      <w:r w:rsidR="0068103B" w:rsidRPr="00050C3F">
        <w:t>Main Body</w:t>
      </w:r>
      <w:r w:rsidRPr="00050C3F">
        <w:t xml:space="preserve"> of the submission.</w:t>
      </w:r>
    </w:p>
    <w:bookmarkEnd w:id="0"/>
    <w:p w14:paraId="7265A2FB" w14:textId="7A19385B" w:rsidR="00C27C1C" w:rsidRPr="00050C3F" w:rsidRDefault="00535133">
      <w:pPr>
        <w:pStyle w:val="3-BodyText"/>
      </w:pPr>
      <w:r w:rsidRPr="00050C3F">
        <w:t>T</w:t>
      </w:r>
      <w:r w:rsidR="00C27C1C" w:rsidRPr="00050C3F">
        <w:t>he submission</w:t>
      </w:r>
      <w:r w:rsidR="00952D32" w:rsidRPr="00050C3F">
        <w:t xml:space="preserve"> did not provide any other evide</w:t>
      </w:r>
      <w:r w:rsidR="0033742F" w:rsidRPr="00050C3F">
        <w:t>nce in support of the proposed amendments to the current restriction criteria</w:t>
      </w:r>
      <w:r w:rsidR="00673164" w:rsidRPr="00050C3F">
        <w:t xml:space="preserve">. </w:t>
      </w:r>
    </w:p>
    <w:p w14:paraId="402A7776" w14:textId="77777777" w:rsidR="00C27C1C" w:rsidRPr="00036F34" w:rsidRDefault="00C27C1C" w:rsidP="00036F34">
      <w:pPr>
        <w:pStyle w:val="4-SubsectionHeading"/>
        <w:keepNext w:val="0"/>
        <w:rPr>
          <w:lang w:eastAsia="en-US"/>
        </w:rPr>
      </w:pPr>
      <w:r w:rsidRPr="00036F34">
        <w:rPr>
          <w:lang w:eastAsia="en-US"/>
        </w:rPr>
        <w:t>Comparative effectiveness</w:t>
      </w:r>
    </w:p>
    <w:p w14:paraId="4C689625" w14:textId="77777777" w:rsidR="00F51013" w:rsidRDefault="00A25627" w:rsidP="007871BA">
      <w:pPr>
        <w:pStyle w:val="3-BodyText"/>
        <w:rPr>
          <w:lang w:eastAsia="en-US"/>
        </w:rPr>
      </w:pPr>
      <w:r w:rsidRPr="00050C3F">
        <w:rPr>
          <w:lang w:eastAsia="en-US"/>
        </w:rPr>
        <w:t xml:space="preserve">In the </w:t>
      </w:r>
      <w:r w:rsidR="007E084A" w:rsidRPr="00050C3F">
        <w:rPr>
          <w:lang w:eastAsia="en-US"/>
        </w:rPr>
        <w:t>EPHESUS study</w:t>
      </w:r>
      <w:r w:rsidR="00F51013">
        <w:rPr>
          <w:lang w:eastAsia="en-US"/>
        </w:rPr>
        <w:t>:</w:t>
      </w:r>
    </w:p>
    <w:p w14:paraId="3B9BF160" w14:textId="15E49FCC" w:rsidR="00F51013" w:rsidRDefault="006750FA" w:rsidP="00D33623">
      <w:pPr>
        <w:pStyle w:val="3-BodyText"/>
        <w:numPr>
          <w:ilvl w:val="0"/>
          <w:numId w:val="13"/>
        </w:numPr>
        <w:rPr>
          <w:lang w:eastAsia="en-US"/>
        </w:rPr>
      </w:pPr>
      <w:r w:rsidRPr="00050C3F">
        <w:rPr>
          <w:lang w:eastAsia="en-US"/>
        </w:rPr>
        <w:t>Kaplan</w:t>
      </w:r>
      <w:r w:rsidR="0004446C">
        <w:rPr>
          <w:lang w:eastAsia="en-US"/>
        </w:rPr>
        <w:noBreakHyphen/>
      </w:r>
      <w:r w:rsidRPr="00050C3F">
        <w:rPr>
          <w:lang w:eastAsia="en-US"/>
        </w:rPr>
        <w:t xml:space="preserve">Meier estimates of mortality at one year were 11.8% in the eplerenone group and 13.6% in the placebo group. </w:t>
      </w:r>
    </w:p>
    <w:p w14:paraId="58C4A5B1" w14:textId="77777777" w:rsidR="00F51013" w:rsidRDefault="006750FA" w:rsidP="00D33623">
      <w:pPr>
        <w:pStyle w:val="3-BodyText"/>
        <w:numPr>
          <w:ilvl w:val="0"/>
          <w:numId w:val="13"/>
        </w:numPr>
        <w:rPr>
          <w:lang w:eastAsia="en-US"/>
        </w:rPr>
      </w:pPr>
      <w:r w:rsidRPr="00050C3F">
        <w:rPr>
          <w:lang w:eastAsia="en-US"/>
        </w:rPr>
        <w:t>Reduction in cardiovascular mortality was similar for most common causes, with risk of sudden death being statistically significant (relative risk, 0.79; P=0.03).</w:t>
      </w:r>
    </w:p>
    <w:p w14:paraId="4BC56487" w14:textId="77777777" w:rsidR="00F51013" w:rsidRDefault="006750FA" w:rsidP="00D33623">
      <w:pPr>
        <w:pStyle w:val="3-BodyText"/>
        <w:numPr>
          <w:ilvl w:val="0"/>
          <w:numId w:val="13"/>
        </w:numPr>
        <w:rPr>
          <w:lang w:eastAsia="en-US"/>
        </w:rPr>
      </w:pPr>
      <w:r w:rsidRPr="00050C3F">
        <w:rPr>
          <w:lang w:eastAsia="en-US"/>
        </w:rPr>
        <w:t xml:space="preserve">There was a relative reduction of 15 percent in the risk of hospitalization for heart failure with eplerenone (relative risk, 0.85; P=0.03), and there were 23 percent fewer episodes of hospitalization for heart failure in the eplerenone group than in the placebo group (relative risk, 0.77; P=0.002). </w:t>
      </w:r>
    </w:p>
    <w:p w14:paraId="07C01D03" w14:textId="6EAE5ACB" w:rsidR="006750FA" w:rsidRPr="00050C3F" w:rsidRDefault="006750FA" w:rsidP="00D33623">
      <w:pPr>
        <w:pStyle w:val="3-BodyText"/>
        <w:numPr>
          <w:ilvl w:val="0"/>
          <w:numId w:val="13"/>
        </w:numPr>
        <w:rPr>
          <w:lang w:eastAsia="en-US"/>
        </w:rPr>
      </w:pPr>
      <w:r w:rsidRPr="00050C3F">
        <w:rPr>
          <w:lang w:eastAsia="en-US"/>
        </w:rPr>
        <w:t xml:space="preserve">The rate of death from any cause or any hospitalization was 8 percent lower in the eplerenone group than in the placebo group (relative risk, </w:t>
      </w:r>
      <w:r w:rsidR="00700DF4" w:rsidRPr="00050C3F">
        <w:rPr>
          <w:lang w:eastAsia="en-US"/>
        </w:rPr>
        <w:t>0.92; P</w:t>
      </w:r>
      <w:r w:rsidRPr="00050C3F">
        <w:rPr>
          <w:lang w:eastAsia="en-US"/>
        </w:rPr>
        <w:t>=0.02</w:t>
      </w:r>
      <w:r w:rsidR="007871BA" w:rsidRPr="00050C3F">
        <w:rPr>
          <w:lang w:eastAsia="en-US"/>
        </w:rPr>
        <w:t>)</w:t>
      </w:r>
      <w:r w:rsidR="00F51013">
        <w:rPr>
          <w:lang w:eastAsia="en-US"/>
        </w:rPr>
        <w:t>.</w:t>
      </w:r>
    </w:p>
    <w:p w14:paraId="152F0AAE" w14:textId="0486AB6E" w:rsidR="006C7F79" w:rsidRDefault="00A25627">
      <w:pPr>
        <w:pStyle w:val="3-BodyText"/>
        <w:rPr>
          <w:lang w:eastAsia="en-US"/>
        </w:rPr>
      </w:pPr>
      <w:r w:rsidRPr="00050C3F">
        <w:rPr>
          <w:lang w:eastAsia="en-US"/>
        </w:rPr>
        <w:t xml:space="preserve">In the </w:t>
      </w:r>
      <w:r w:rsidR="006750FA" w:rsidRPr="00050C3F">
        <w:rPr>
          <w:lang w:eastAsia="en-US"/>
        </w:rPr>
        <w:t>EMPHASIS</w:t>
      </w:r>
      <w:r w:rsidR="0004446C">
        <w:rPr>
          <w:lang w:eastAsia="en-US"/>
        </w:rPr>
        <w:noBreakHyphen/>
      </w:r>
      <w:r w:rsidR="006750FA" w:rsidRPr="00050C3F">
        <w:rPr>
          <w:lang w:eastAsia="en-US"/>
        </w:rPr>
        <w:t>HF Trial</w:t>
      </w:r>
      <w:r w:rsidR="006C7F79">
        <w:rPr>
          <w:lang w:eastAsia="en-US"/>
        </w:rPr>
        <w:t>:</w:t>
      </w:r>
    </w:p>
    <w:p w14:paraId="39AF7966" w14:textId="77777777" w:rsidR="006C7F79" w:rsidRDefault="006C7F79" w:rsidP="00D33623">
      <w:pPr>
        <w:pStyle w:val="3-BodyText"/>
        <w:numPr>
          <w:ilvl w:val="0"/>
          <w:numId w:val="14"/>
        </w:numPr>
        <w:rPr>
          <w:lang w:eastAsia="en-US"/>
        </w:rPr>
      </w:pPr>
      <w:r>
        <w:rPr>
          <w:lang w:eastAsia="en-US"/>
        </w:rPr>
        <w:t>T</w:t>
      </w:r>
      <w:r w:rsidR="006750FA" w:rsidRPr="00050C3F">
        <w:rPr>
          <w:lang w:eastAsia="en-US"/>
        </w:rPr>
        <w:t xml:space="preserve">he hazard ratio for the primary outcome in the eplerenone group, as compared with the placebo group, was 0.63 (95% confidence interval [CI], 0.54 to 0.74; P&lt;0.001). </w:t>
      </w:r>
    </w:p>
    <w:p w14:paraId="3F971D7A" w14:textId="77777777" w:rsidR="006C7F79" w:rsidRDefault="006750FA" w:rsidP="00D33623">
      <w:pPr>
        <w:pStyle w:val="3-BodyText"/>
        <w:numPr>
          <w:ilvl w:val="0"/>
          <w:numId w:val="14"/>
        </w:numPr>
        <w:rPr>
          <w:lang w:eastAsia="en-US"/>
        </w:rPr>
      </w:pPr>
      <w:r w:rsidRPr="00050C3F">
        <w:rPr>
          <w:lang w:eastAsia="en-US"/>
        </w:rPr>
        <w:t xml:space="preserve">A total of 171 patients (12.5%) in the eplerenone group and 213 patients (15.5%) in the placebo group died (hazard ratio, 0.76; 95% CI, 0.62 to 0.93; P = 0.008). In the eplerenone group, 408 patients (29.9%) were hospitalized for any reason, as </w:t>
      </w:r>
      <w:r w:rsidRPr="00050C3F">
        <w:rPr>
          <w:lang w:eastAsia="en-US"/>
        </w:rPr>
        <w:lastRenderedPageBreak/>
        <w:t xml:space="preserve">compared with 491 (35.8%) patients in the placebo group (hazard ratio, 0.77; 95% CI, 0.67 to 0.88; P&lt;0.001). </w:t>
      </w:r>
    </w:p>
    <w:p w14:paraId="26C3FF76" w14:textId="77777777" w:rsidR="006933A8" w:rsidRDefault="006750FA" w:rsidP="00D33623">
      <w:pPr>
        <w:pStyle w:val="3-BodyText"/>
        <w:numPr>
          <w:ilvl w:val="0"/>
          <w:numId w:val="14"/>
        </w:numPr>
        <w:rPr>
          <w:lang w:eastAsia="en-US"/>
        </w:rPr>
      </w:pPr>
      <w:r w:rsidRPr="00050C3F">
        <w:rPr>
          <w:lang w:eastAsia="en-US"/>
        </w:rPr>
        <w:t xml:space="preserve">Of the patients receiving eplerenone, 164 (12.0%) were hospitalized for heart failure, as compared with 253 patients (18.4%) receiving placebo (hazard ratio, 0.58; 95% CI, 0.47 to 0.70; P&lt;0.001). </w:t>
      </w:r>
    </w:p>
    <w:p w14:paraId="4FD9E135" w14:textId="6B9DFB71" w:rsidR="006750FA" w:rsidRDefault="006750FA" w:rsidP="00D33623">
      <w:pPr>
        <w:pStyle w:val="3-BodyText"/>
        <w:numPr>
          <w:ilvl w:val="0"/>
          <w:numId w:val="14"/>
        </w:numPr>
        <w:rPr>
          <w:lang w:eastAsia="en-US"/>
        </w:rPr>
      </w:pPr>
      <w:r w:rsidRPr="00050C3F">
        <w:rPr>
          <w:lang w:eastAsia="en-US"/>
        </w:rPr>
        <w:t>The total number of hospitalizations (including second and subsequent hospitalizations) was also lower in the eplerenone group (750, vs. 961 in the placebo group, for a 24% reduction; P&lt;0.001), as were the total numbers of hospitalizations for cardiovascular reasons (509 vs. 699, for a 29% reduction; P&lt;0.001) and hospitalizations for heart failure (273 vs. 429, for a 38% reduction; P&lt;0.001)</w:t>
      </w:r>
      <w:r w:rsidR="003154F8">
        <w:rPr>
          <w:lang w:eastAsia="en-US"/>
        </w:rPr>
        <w:t>.</w:t>
      </w:r>
    </w:p>
    <w:p w14:paraId="058972E5" w14:textId="77777777" w:rsidR="00C27C1C" w:rsidRPr="00036F34" w:rsidRDefault="00C27C1C" w:rsidP="00036F34">
      <w:pPr>
        <w:pStyle w:val="4-SubsectionHeading"/>
        <w:keepNext w:val="0"/>
        <w:rPr>
          <w:lang w:eastAsia="en-US"/>
        </w:rPr>
      </w:pPr>
      <w:r w:rsidRPr="00036F34">
        <w:rPr>
          <w:lang w:eastAsia="en-US"/>
        </w:rPr>
        <w:t>Comparative harms</w:t>
      </w:r>
    </w:p>
    <w:p w14:paraId="44A91FF2" w14:textId="482C0A70" w:rsidR="00F113E0" w:rsidRPr="006933A8" w:rsidRDefault="001230AF" w:rsidP="00A25627">
      <w:pPr>
        <w:pStyle w:val="3-BodyText"/>
        <w:rPr>
          <w:lang w:eastAsia="en-US"/>
        </w:rPr>
      </w:pPr>
      <w:r w:rsidRPr="006933A8">
        <w:rPr>
          <w:lang w:eastAsia="en-US"/>
        </w:rPr>
        <w:t xml:space="preserve">The </w:t>
      </w:r>
      <w:r w:rsidR="006F207E" w:rsidRPr="006933A8">
        <w:rPr>
          <w:lang w:eastAsia="en-US"/>
        </w:rPr>
        <w:t>submission noted that in both studies</w:t>
      </w:r>
      <w:r w:rsidR="006933A8" w:rsidRPr="006933A8">
        <w:rPr>
          <w:lang w:eastAsia="en-US"/>
        </w:rPr>
        <w:t>,</w:t>
      </w:r>
      <w:r w:rsidR="006F207E" w:rsidRPr="006933A8">
        <w:rPr>
          <w:lang w:eastAsia="en-US"/>
        </w:rPr>
        <w:t xml:space="preserve"> </w:t>
      </w:r>
      <w:r w:rsidR="00F32ADD" w:rsidRPr="006933A8">
        <w:rPr>
          <w:lang w:eastAsia="en-US"/>
        </w:rPr>
        <w:t xml:space="preserve">patients on </w:t>
      </w:r>
      <w:r w:rsidR="006F207E" w:rsidRPr="006933A8">
        <w:rPr>
          <w:lang w:eastAsia="en-US"/>
        </w:rPr>
        <w:t>eplerenone</w:t>
      </w:r>
      <w:r w:rsidR="00F32ADD" w:rsidRPr="006933A8">
        <w:rPr>
          <w:lang w:eastAsia="en-US"/>
        </w:rPr>
        <w:t xml:space="preserve"> reported slightly higher potassium levels and higher occurrences of </w:t>
      </w:r>
      <w:r w:rsidR="00700DF4" w:rsidRPr="006933A8">
        <w:rPr>
          <w:lang w:eastAsia="en-US"/>
        </w:rPr>
        <w:t>hyperkalaemia</w:t>
      </w:r>
      <w:r w:rsidR="00F32ADD" w:rsidRPr="006933A8">
        <w:rPr>
          <w:lang w:eastAsia="en-US"/>
        </w:rPr>
        <w:t xml:space="preserve">. </w:t>
      </w:r>
    </w:p>
    <w:p w14:paraId="2CDF3682" w14:textId="77777777" w:rsidR="00C27C1C" w:rsidRPr="00036F34" w:rsidRDefault="00C27C1C" w:rsidP="00036F34">
      <w:pPr>
        <w:pStyle w:val="4-SubsectionHeading"/>
        <w:keepNext w:val="0"/>
        <w:rPr>
          <w:lang w:eastAsia="en-US"/>
        </w:rPr>
      </w:pPr>
      <w:r w:rsidRPr="00036F34">
        <w:rPr>
          <w:lang w:eastAsia="en-US"/>
        </w:rPr>
        <w:t>Clinical claim</w:t>
      </w:r>
    </w:p>
    <w:p w14:paraId="0436CFE0" w14:textId="330F2741" w:rsidR="00C27C1C" w:rsidRPr="006933A8" w:rsidRDefault="00C27C1C">
      <w:pPr>
        <w:pStyle w:val="3-BodyText"/>
      </w:pPr>
      <w:r w:rsidRPr="00050C3F">
        <w:t xml:space="preserve">The submission claimed superior comparative effectiveness and inferior comparative safety of </w:t>
      </w:r>
      <w:r w:rsidR="001954E0">
        <w:t>e</w:t>
      </w:r>
      <w:r w:rsidR="000470E4" w:rsidRPr="00050C3F">
        <w:t>plerenone</w:t>
      </w:r>
      <w:r w:rsidRPr="00050C3F">
        <w:t xml:space="preserve"> compared with </w:t>
      </w:r>
      <w:r w:rsidR="001954E0">
        <w:t>p</w:t>
      </w:r>
      <w:r w:rsidR="000470E4" w:rsidRPr="00050C3F">
        <w:t>lacebo/</w:t>
      </w:r>
      <w:r w:rsidR="001954E0">
        <w:t>s</w:t>
      </w:r>
      <w:r w:rsidR="000470E4" w:rsidRPr="00050C3F">
        <w:t>tandard of care</w:t>
      </w:r>
      <w:r w:rsidRPr="006566D6">
        <w:t xml:space="preserve">. </w:t>
      </w:r>
    </w:p>
    <w:p w14:paraId="37034D1D" w14:textId="31E438C9" w:rsidR="006933A8" w:rsidRPr="006566D6" w:rsidRDefault="006933A8" w:rsidP="006933A8">
      <w:pPr>
        <w:pStyle w:val="3-BodyText"/>
        <w:rPr>
          <w:iCs/>
        </w:rPr>
      </w:pPr>
      <w:r w:rsidRPr="006566D6">
        <w:rPr>
          <w:iCs/>
          <w:lang w:eastAsia="en-US"/>
        </w:rPr>
        <w:t>As a Category 3 submission, no evaluation of the clinical evidence was undertaken</w:t>
      </w:r>
      <w:r w:rsidRPr="006566D6">
        <w:rPr>
          <w:iCs/>
        </w:rPr>
        <w:t>.</w:t>
      </w:r>
      <w:r w:rsidR="0004446C">
        <w:rPr>
          <w:iCs/>
        </w:rPr>
        <w:br/>
      </w:r>
    </w:p>
    <w:p w14:paraId="45D181E4" w14:textId="77777777" w:rsidR="00C27C1C" w:rsidRPr="00036F34" w:rsidRDefault="00C27C1C" w:rsidP="00036F34">
      <w:pPr>
        <w:pStyle w:val="4-SubsectionHeading"/>
        <w:keepNext w:val="0"/>
        <w:rPr>
          <w:lang w:eastAsia="en-US"/>
        </w:rPr>
      </w:pPr>
      <w:r w:rsidRPr="00036F34">
        <w:rPr>
          <w:lang w:eastAsia="en-US"/>
        </w:rPr>
        <w:t xml:space="preserve">Economic analysis </w:t>
      </w:r>
    </w:p>
    <w:p w14:paraId="49F7B604" w14:textId="755BBBE0" w:rsidR="00C016A5" w:rsidRPr="00C016A5" w:rsidRDefault="00C016A5" w:rsidP="00C016A5">
      <w:pPr>
        <w:pStyle w:val="3-BodyText"/>
      </w:pPr>
      <w:r w:rsidRPr="000C3666">
        <w:t xml:space="preserve">The requested price is based on the current AEMP of eplerenone. </w:t>
      </w:r>
    </w:p>
    <w:p w14:paraId="53726095" w14:textId="04631534" w:rsidR="002568E8" w:rsidRPr="002568E8" w:rsidRDefault="002568E8">
      <w:pPr>
        <w:pStyle w:val="3-BodyText"/>
        <w:rPr>
          <w:rFonts w:cstheme="minorHAnsi"/>
          <w:szCs w:val="24"/>
        </w:rPr>
      </w:pPr>
      <w:r w:rsidRPr="002568E8">
        <w:rPr>
          <w:rFonts w:eastAsia="Sabon Next LT" w:cstheme="minorHAnsi"/>
        </w:rPr>
        <w:t>The submission stated that the price of eplerenone in 2006</w:t>
      </w:r>
      <w:r w:rsidR="00866A98">
        <w:rPr>
          <w:rFonts w:eastAsia="Sabon Next LT" w:cstheme="minorHAnsi"/>
        </w:rPr>
        <w:t xml:space="preserve"> (DPMQ $114</w:t>
      </w:r>
      <w:r w:rsidR="00486550">
        <w:rPr>
          <w:rFonts w:eastAsia="Sabon Next LT" w:cstheme="minorHAnsi"/>
        </w:rPr>
        <w:t>.84)</w:t>
      </w:r>
      <w:r w:rsidRPr="002568E8">
        <w:rPr>
          <w:rFonts w:eastAsia="Sabon Next LT" w:cstheme="minorHAnsi"/>
        </w:rPr>
        <w:t>, when it was listed on the PBS, is used to examine the cost effectiveness at the time, and then how that has changed in 2025</w:t>
      </w:r>
      <w:r w:rsidR="006421C1">
        <w:rPr>
          <w:rFonts w:eastAsia="Sabon Next LT" w:cstheme="minorHAnsi"/>
        </w:rPr>
        <w:t xml:space="preserve"> (DPMQ $54.09)</w:t>
      </w:r>
      <w:r w:rsidRPr="002568E8">
        <w:rPr>
          <w:rFonts w:eastAsia="Sabon Next LT" w:cstheme="minorHAnsi"/>
        </w:rPr>
        <w:t>.</w:t>
      </w:r>
    </w:p>
    <w:p w14:paraId="379EA405" w14:textId="598D2645" w:rsidR="003C631F" w:rsidRDefault="0043569A" w:rsidP="003C631F">
      <w:pPr>
        <w:pStyle w:val="3-BodyText"/>
        <w:rPr>
          <w:rFonts w:cstheme="minorHAnsi"/>
          <w:szCs w:val="24"/>
        </w:rPr>
      </w:pPr>
      <w:r w:rsidRPr="002568E8">
        <w:rPr>
          <w:rFonts w:cstheme="minorHAnsi"/>
        </w:rPr>
        <w:t xml:space="preserve">The submission presented </w:t>
      </w:r>
      <w:r w:rsidR="00826030" w:rsidRPr="002568E8">
        <w:rPr>
          <w:rFonts w:cstheme="minorHAnsi"/>
        </w:rPr>
        <w:t>an economic analysis where t</w:t>
      </w:r>
      <w:r w:rsidR="00645E60" w:rsidRPr="002568E8">
        <w:rPr>
          <w:rFonts w:cstheme="minorHAnsi"/>
        </w:rPr>
        <w:t xml:space="preserve">he </w:t>
      </w:r>
      <w:r w:rsidR="00551BEB" w:rsidRPr="002568E8">
        <w:rPr>
          <w:rFonts w:cstheme="minorHAnsi"/>
        </w:rPr>
        <w:t>incremental cost</w:t>
      </w:r>
      <w:r w:rsidR="0004446C">
        <w:rPr>
          <w:rFonts w:cstheme="minorHAnsi"/>
        </w:rPr>
        <w:noBreakHyphen/>
      </w:r>
      <w:r w:rsidR="00551BEB" w:rsidRPr="002568E8">
        <w:rPr>
          <w:rFonts w:cstheme="minorHAnsi"/>
        </w:rPr>
        <w:t xml:space="preserve">effectiveness ratio (ICER) was </w:t>
      </w:r>
      <w:r w:rsidR="00292EC9" w:rsidRPr="002568E8">
        <w:rPr>
          <w:rFonts w:cstheme="minorHAnsi"/>
        </w:rPr>
        <w:t>expressed in terms of cost per death avoided or cost per cardiovascular death avoided</w:t>
      </w:r>
      <w:r w:rsidR="000558DA" w:rsidRPr="002568E8">
        <w:rPr>
          <w:rFonts w:cstheme="minorHAnsi"/>
        </w:rPr>
        <w:t>.</w:t>
      </w:r>
    </w:p>
    <w:p w14:paraId="0341952F" w14:textId="4B5C83E0" w:rsidR="00783795" w:rsidRDefault="00783795" w:rsidP="00783795">
      <w:pPr>
        <w:pStyle w:val="TableFigureHeading"/>
        <w:rPr>
          <w:rFonts w:cstheme="minorHAnsi"/>
        </w:rPr>
      </w:pPr>
      <w:r w:rsidRPr="00050C3F">
        <w:rPr>
          <w:szCs w:val="20"/>
        </w:rPr>
        <w:t>Table 2:</w:t>
      </w:r>
      <w:r w:rsidRPr="00050C3F">
        <w:rPr>
          <w:rStyle w:val="CommentReference"/>
          <w:sz w:val="20"/>
          <w:szCs w:val="20"/>
        </w:rPr>
        <w:t xml:space="preserve"> </w:t>
      </w:r>
      <w:r>
        <w:rPr>
          <w:rFonts w:cstheme="minorHAnsi"/>
        </w:rPr>
        <w:t>Variables used in the base case analysis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Variables used in the base case analysis"/>
      </w:tblPr>
      <w:tblGrid>
        <w:gridCol w:w="939"/>
        <w:gridCol w:w="2394"/>
        <w:gridCol w:w="1345"/>
        <w:gridCol w:w="1551"/>
        <w:gridCol w:w="1513"/>
        <w:gridCol w:w="1189"/>
      </w:tblGrid>
      <w:tr w:rsidR="0030103D" w:rsidRPr="0030103D" w14:paraId="2F701FC4" w14:textId="77777777" w:rsidTr="00F06346">
        <w:trPr>
          <w:tblHeader/>
        </w:trPr>
        <w:tc>
          <w:tcPr>
            <w:tcW w:w="939" w:type="dxa"/>
          </w:tcPr>
          <w:p w14:paraId="1012B217" w14:textId="77777777" w:rsidR="0030103D" w:rsidRPr="0030103D" w:rsidRDefault="0030103D" w:rsidP="0030103D">
            <w:pPr>
              <w:pStyle w:val="TableFigureHeading"/>
              <w:rPr>
                <w:szCs w:val="20"/>
              </w:rPr>
            </w:pPr>
            <w:r w:rsidRPr="0030103D">
              <w:rPr>
                <w:szCs w:val="20"/>
              </w:rPr>
              <w:t>Trial</w:t>
            </w:r>
          </w:p>
        </w:tc>
        <w:tc>
          <w:tcPr>
            <w:tcW w:w="2394" w:type="dxa"/>
          </w:tcPr>
          <w:p w14:paraId="3846E51D" w14:textId="77777777" w:rsidR="0030103D" w:rsidRPr="0030103D" w:rsidRDefault="0030103D" w:rsidP="0030103D">
            <w:pPr>
              <w:pStyle w:val="TableFigureHeading"/>
              <w:rPr>
                <w:szCs w:val="20"/>
              </w:rPr>
            </w:pPr>
            <w:r w:rsidRPr="0030103D">
              <w:rPr>
                <w:szCs w:val="20"/>
              </w:rPr>
              <w:t>Safety outcome</w:t>
            </w:r>
          </w:p>
        </w:tc>
        <w:tc>
          <w:tcPr>
            <w:tcW w:w="1345" w:type="dxa"/>
          </w:tcPr>
          <w:p w14:paraId="12D06254" w14:textId="77777777" w:rsidR="0030103D" w:rsidRPr="0030103D" w:rsidRDefault="0030103D" w:rsidP="0030103D">
            <w:pPr>
              <w:pStyle w:val="TableFigureHeading"/>
              <w:rPr>
                <w:szCs w:val="20"/>
              </w:rPr>
            </w:pPr>
            <w:r w:rsidRPr="0030103D">
              <w:rPr>
                <w:szCs w:val="20"/>
              </w:rPr>
              <w:t xml:space="preserve">Eplerenone </w:t>
            </w:r>
          </w:p>
          <w:p w14:paraId="5F58ED5B" w14:textId="77777777" w:rsidR="0030103D" w:rsidRPr="0030103D" w:rsidRDefault="0030103D" w:rsidP="0030103D">
            <w:pPr>
              <w:pStyle w:val="TableFigureHeading"/>
              <w:rPr>
                <w:szCs w:val="20"/>
              </w:rPr>
            </w:pPr>
            <w:r w:rsidRPr="0030103D">
              <w:rPr>
                <w:szCs w:val="20"/>
              </w:rPr>
              <w:t>n (%)</w:t>
            </w:r>
          </w:p>
        </w:tc>
        <w:tc>
          <w:tcPr>
            <w:tcW w:w="1551" w:type="dxa"/>
          </w:tcPr>
          <w:p w14:paraId="7196A8C7" w14:textId="77777777" w:rsidR="0030103D" w:rsidRPr="0030103D" w:rsidRDefault="0030103D" w:rsidP="0030103D">
            <w:pPr>
              <w:pStyle w:val="TableFigureHeading"/>
              <w:rPr>
                <w:szCs w:val="20"/>
              </w:rPr>
            </w:pPr>
            <w:r w:rsidRPr="0030103D">
              <w:rPr>
                <w:szCs w:val="20"/>
              </w:rPr>
              <w:t>Placebo</w:t>
            </w:r>
          </w:p>
          <w:p w14:paraId="3BD5C9A3" w14:textId="77777777" w:rsidR="0030103D" w:rsidRPr="0030103D" w:rsidRDefault="0030103D" w:rsidP="0030103D">
            <w:pPr>
              <w:pStyle w:val="TableFigureHeading"/>
              <w:rPr>
                <w:szCs w:val="20"/>
              </w:rPr>
            </w:pPr>
            <w:r w:rsidRPr="0030103D">
              <w:rPr>
                <w:szCs w:val="20"/>
              </w:rPr>
              <w:t>n (%)</w:t>
            </w:r>
          </w:p>
        </w:tc>
        <w:tc>
          <w:tcPr>
            <w:tcW w:w="1513" w:type="dxa"/>
          </w:tcPr>
          <w:p w14:paraId="13A5490F" w14:textId="77777777" w:rsidR="0030103D" w:rsidRPr="0030103D" w:rsidRDefault="0030103D" w:rsidP="0030103D">
            <w:pPr>
              <w:pStyle w:val="TableFigureHeading"/>
              <w:rPr>
                <w:szCs w:val="20"/>
              </w:rPr>
            </w:pPr>
            <w:r w:rsidRPr="0030103D">
              <w:rPr>
                <w:szCs w:val="20"/>
              </w:rPr>
              <w:t>Absolute Risk difference</w:t>
            </w:r>
          </w:p>
          <w:p w14:paraId="46F08BEE" w14:textId="77777777" w:rsidR="0030103D" w:rsidRPr="0030103D" w:rsidRDefault="0030103D" w:rsidP="0030103D">
            <w:pPr>
              <w:pStyle w:val="TableFigureHeading"/>
              <w:rPr>
                <w:szCs w:val="20"/>
              </w:rPr>
            </w:pPr>
            <w:r w:rsidRPr="0030103D">
              <w:rPr>
                <w:szCs w:val="20"/>
              </w:rPr>
              <w:t>(%)</w:t>
            </w:r>
          </w:p>
        </w:tc>
        <w:tc>
          <w:tcPr>
            <w:tcW w:w="1189" w:type="dxa"/>
          </w:tcPr>
          <w:p w14:paraId="15350E3E" w14:textId="77777777" w:rsidR="0030103D" w:rsidRPr="0030103D" w:rsidRDefault="0030103D" w:rsidP="0030103D">
            <w:pPr>
              <w:pStyle w:val="TableFigureHeading"/>
              <w:rPr>
                <w:szCs w:val="20"/>
              </w:rPr>
            </w:pPr>
            <w:r w:rsidRPr="0030103D">
              <w:rPr>
                <w:szCs w:val="20"/>
              </w:rPr>
              <w:t>Events avoided/100 patients annualised</w:t>
            </w:r>
          </w:p>
        </w:tc>
      </w:tr>
      <w:tr w:rsidR="0030103D" w:rsidRPr="0030103D" w14:paraId="445774E7" w14:textId="77777777" w:rsidTr="00F06346">
        <w:tc>
          <w:tcPr>
            <w:tcW w:w="3333" w:type="dxa"/>
            <w:gridSpan w:val="2"/>
          </w:tcPr>
          <w:p w14:paraId="7B7F615D" w14:textId="77777777" w:rsidR="0030103D" w:rsidRPr="0030103D" w:rsidRDefault="0030103D" w:rsidP="0030103D">
            <w:pPr>
              <w:pStyle w:val="TableFigureHeading"/>
              <w:rPr>
                <w:szCs w:val="20"/>
              </w:rPr>
            </w:pPr>
            <w:r w:rsidRPr="0030103D">
              <w:rPr>
                <w:szCs w:val="20"/>
              </w:rPr>
              <w:t>EPHESUS study</w:t>
            </w:r>
          </w:p>
        </w:tc>
        <w:tc>
          <w:tcPr>
            <w:tcW w:w="1345" w:type="dxa"/>
          </w:tcPr>
          <w:p w14:paraId="60C731B5" w14:textId="77777777" w:rsidR="0030103D" w:rsidRPr="00F06346" w:rsidRDefault="0030103D" w:rsidP="00F06346">
            <w:pPr>
              <w:pStyle w:val="TableFigureHeading"/>
              <w:jc w:val="right"/>
              <w:rPr>
                <w:b w:val="0"/>
                <w:bCs w:val="0"/>
                <w:szCs w:val="20"/>
              </w:rPr>
            </w:pPr>
            <w:r w:rsidRPr="00F06346">
              <w:rPr>
                <w:b w:val="0"/>
                <w:bCs w:val="0"/>
                <w:szCs w:val="20"/>
              </w:rPr>
              <w:t>3319</w:t>
            </w:r>
          </w:p>
        </w:tc>
        <w:tc>
          <w:tcPr>
            <w:tcW w:w="1551" w:type="dxa"/>
          </w:tcPr>
          <w:p w14:paraId="54CACF95" w14:textId="77777777" w:rsidR="0030103D" w:rsidRPr="00F06346" w:rsidRDefault="0030103D" w:rsidP="00F06346">
            <w:pPr>
              <w:pStyle w:val="TableFigureHeading"/>
              <w:jc w:val="right"/>
              <w:rPr>
                <w:b w:val="0"/>
                <w:bCs w:val="0"/>
                <w:szCs w:val="20"/>
              </w:rPr>
            </w:pPr>
            <w:r w:rsidRPr="00F06346">
              <w:rPr>
                <w:b w:val="0"/>
                <w:bCs w:val="0"/>
                <w:szCs w:val="20"/>
              </w:rPr>
              <w:t>3313</w:t>
            </w:r>
          </w:p>
        </w:tc>
        <w:tc>
          <w:tcPr>
            <w:tcW w:w="1513" w:type="dxa"/>
          </w:tcPr>
          <w:p w14:paraId="038A7760" w14:textId="77777777" w:rsidR="0030103D" w:rsidRPr="00F06346" w:rsidRDefault="0030103D" w:rsidP="00F06346">
            <w:pPr>
              <w:pStyle w:val="TableFigureHeading"/>
              <w:jc w:val="right"/>
              <w:rPr>
                <w:b w:val="0"/>
                <w:bCs w:val="0"/>
                <w:szCs w:val="20"/>
              </w:rPr>
            </w:pPr>
          </w:p>
        </w:tc>
        <w:tc>
          <w:tcPr>
            <w:tcW w:w="1189" w:type="dxa"/>
          </w:tcPr>
          <w:p w14:paraId="72125518" w14:textId="77777777" w:rsidR="0030103D" w:rsidRPr="00F06346" w:rsidRDefault="0030103D" w:rsidP="00F06346">
            <w:pPr>
              <w:pStyle w:val="TableFigureHeading"/>
              <w:jc w:val="right"/>
              <w:rPr>
                <w:b w:val="0"/>
                <w:bCs w:val="0"/>
                <w:szCs w:val="20"/>
              </w:rPr>
            </w:pPr>
          </w:p>
        </w:tc>
      </w:tr>
      <w:tr w:rsidR="0030103D" w:rsidRPr="0030103D" w14:paraId="10A2BFEC" w14:textId="77777777" w:rsidTr="00F06346">
        <w:tc>
          <w:tcPr>
            <w:tcW w:w="939" w:type="dxa"/>
          </w:tcPr>
          <w:p w14:paraId="6A2C8D12" w14:textId="77777777" w:rsidR="0030103D" w:rsidRPr="0030103D" w:rsidRDefault="0030103D" w:rsidP="0030103D">
            <w:pPr>
              <w:pStyle w:val="TableFigureHeading"/>
              <w:rPr>
                <w:szCs w:val="20"/>
              </w:rPr>
            </w:pPr>
          </w:p>
        </w:tc>
        <w:tc>
          <w:tcPr>
            <w:tcW w:w="2394" w:type="dxa"/>
          </w:tcPr>
          <w:p w14:paraId="4A2CCC7F"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33ADFFA0" w14:textId="77777777" w:rsidR="0030103D" w:rsidRPr="00F06346" w:rsidRDefault="0030103D" w:rsidP="00F06346">
            <w:pPr>
              <w:pStyle w:val="TableFigureHeading"/>
              <w:jc w:val="right"/>
              <w:rPr>
                <w:b w:val="0"/>
                <w:bCs w:val="0"/>
                <w:szCs w:val="20"/>
              </w:rPr>
            </w:pPr>
            <w:r w:rsidRPr="00F06346">
              <w:rPr>
                <w:b w:val="0"/>
                <w:bCs w:val="0"/>
                <w:szCs w:val="20"/>
              </w:rPr>
              <w:t>478 (14.4%)</w:t>
            </w:r>
          </w:p>
        </w:tc>
        <w:tc>
          <w:tcPr>
            <w:tcW w:w="1551" w:type="dxa"/>
          </w:tcPr>
          <w:p w14:paraId="35346EA6" w14:textId="77777777" w:rsidR="0030103D" w:rsidRPr="00F06346" w:rsidRDefault="0030103D" w:rsidP="00F06346">
            <w:pPr>
              <w:pStyle w:val="TableFigureHeading"/>
              <w:jc w:val="right"/>
              <w:rPr>
                <w:b w:val="0"/>
                <w:bCs w:val="0"/>
                <w:szCs w:val="20"/>
              </w:rPr>
            </w:pPr>
            <w:r w:rsidRPr="00F06346">
              <w:rPr>
                <w:b w:val="0"/>
                <w:bCs w:val="0"/>
                <w:szCs w:val="20"/>
              </w:rPr>
              <w:t>554 (16.8%)</w:t>
            </w:r>
          </w:p>
        </w:tc>
        <w:tc>
          <w:tcPr>
            <w:tcW w:w="1513" w:type="dxa"/>
          </w:tcPr>
          <w:p w14:paraId="3785A1C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c>
          <w:tcPr>
            <w:tcW w:w="1189" w:type="dxa"/>
          </w:tcPr>
          <w:p w14:paraId="1C9B65F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r>
      <w:tr w:rsidR="001A0EDF" w:rsidRPr="0030103D" w14:paraId="02FB9ECB" w14:textId="77777777" w:rsidTr="00F06346">
        <w:trPr>
          <w:trHeight w:val="209"/>
        </w:trPr>
        <w:tc>
          <w:tcPr>
            <w:tcW w:w="939" w:type="dxa"/>
          </w:tcPr>
          <w:p w14:paraId="4EA96D64" w14:textId="77777777" w:rsidR="0030103D" w:rsidRPr="0030103D" w:rsidRDefault="0030103D" w:rsidP="0030103D">
            <w:pPr>
              <w:pStyle w:val="TableFigureHeading"/>
              <w:rPr>
                <w:szCs w:val="20"/>
              </w:rPr>
            </w:pPr>
          </w:p>
        </w:tc>
        <w:tc>
          <w:tcPr>
            <w:tcW w:w="2394" w:type="dxa"/>
          </w:tcPr>
          <w:p w14:paraId="54D6790F" w14:textId="77777777" w:rsidR="0030103D" w:rsidRPr="00F06346" w:rsidRDefault="0030103D" w:rsidP="0030103D">
            <w:pPr>
              <w:pStyle w:val="TableFigureHeading"/>
              <w:rPr>
                <w:b w:val="0"/>
                <w:bCs w:val="0"/>
                <w:szCs w:val="20"/>
              </w:rPr>
            </w:pPr>
            <w:r w:rsidRPr="00F06346">
              <w:rPr>
                <w:b w:val="0"/>
                <w:bCs w:val="0"/>
                <w:szCs w:val="20"/>
              </w:rPr>
              <w:t>cardiovascular death</w:t>
            </w:r>
          </w:p>
        </w:tc>
        <w:tc>
          <w:tcPr>
            <w:tcW w:w="1345" w:type="dxa"/>
          </w:tcPr>
          <w:p w14:paraId="42EF0539" w14:textId="77777777" w:rsidR="0030103D" w:rsidRPr="00F06346" w:rsidRDefault="0030103D" w:rsidP="00F06346">
            <w:pPr>
              <w:pStyle w:val="TableFigureHeading"/>
              <w:jc w:val="right"/>
              <w:rPr>
                <w:b w:val="0"/>
                <w:bCs w:val="0"/>
                <w:szCs w:val="20"/>
              </w:rPr>
            </w:pPr>
            <w:r w:rsidRPr="00F06346">
              <w:rPr>
                <w:b w:val="0"/>
                <w:bCs w:val="0"/>
                <w:szCs w:val="20"/>
              </w:rPr>
              <w:t>407 (12.3%)</w:t>
            </w:r>
          </w:p>
        </w:tc>
        <w:tc>
          <w:tcPr>
            <w:tcW w:w="1551" w:type="dxa"/>
          </w:tcPr>
          <w:p w14:paraId="66A82E33" w14:textId="77777777" w:rsidR="0030103D" w:rsidRPr="00F06346" w:rsidRDefault="0030103D" w:rsidP="00F06346">
            <w:pPr>
              <w:pStyle w:val="TableFigureHeading"/>
              <w:jc w:val="right"/>
              <w:rPr>
                <w:b w:val="0"/>
                <w:bCs w:val="0"/>
                <w:szCs w:val="20"/>
              </w:rPr>
            </w:pPr>
            <w:r w:rsidRPr="00F06346">
              <w:rPr>
                <w:b w:val="0"/>
                <w:bCs w:val="0"/>
                <w:szCs w:val="20"/>
              </w:rPr>
              <w:t>483 (14.6%)</w:t>
            </w:r>
          </w:p>
        </w:tc>
        <w:tc>
          <w:tcPr>
            <w:tcW w:w="1513" w:type="dxa"/>
          </w:tcPr>
          <w:p w14:paraId="5D015A34" w14:textId="77777777" w:rsidR="0030103D" w:rsidRPr="00F06346" w:rsidRDefault="0030103D" w:rsidP="00F06346">
            <w:pPr>
              <w:pStyle w:val="TableFigureHeading"/>
              <w:jc w:val="right"/>
              <w:rPr>
                <w:b w:val="0"/>
                <w:bCs w:val="0"/>
                <w:szCs w:val="20"/>
              </w:rPr>
            </w:pPr>
            <w:r w:rsidRPr="00F06346">
              <w:rPr>
                <w:b w:val="0"/>
                <w:bCs w:val="0"/>
                <w:szCs w:val="20"/>
              </w:rPr>
              <w:t xml:space="preserve">         2.36</w:t>
            </w:r>
          </w:p>
        </w:tc>
        <w:tc>
          <w:tcPr>
            <w:tcW w:w="1189" w:type="dxa"/>
          </w:tcPr>
          <w:p w14:paraId="3078F377" w14:textId="5ECB1CE1" w:rsidR="0030103D" w:rsidRPr="00F06346" w:rsidRDefault="0030103D" w:rsidP="00F06346">
            <w:pPr>
              <w:pStyle w:val="TableFigureHeading"/>
              <w:jc w:val="right"/>
              <w:rPr>
                <w:b w:val="0"/>
                <w:bCs w:val="0"/>
                <w:szCs w:val="20"/>
              </w:rPr>
            </w:pPr>
            <w:r w:rsidRPr="00F06346">
              <w:rPr>
                <w:b w:val="0"/>
                <w:bCs w:val="0"/>
                <w:szCs w:val="20"/>
              </w:rPr>
              <w:t xml:space="preserve">         2.36</w:t>
            </w:r>
          </w:p>
        </w:tc>
      </w:tr>
      <w:tr w:rsidR="0030103D" w:rsidRPr="0030103D" w14:paraId="7FED12A7" w14:textId="77777777" w:rsidTr="00F06346">
        <w:trPr>
          <w:trHeight w:val="333"/>
        </w:trPr>
        <w:tc>
          <w:tcPr>
            <w:tcW w:w="3333" w:type="dxa"/>
            <w:gridSpan w:val="2"/>
          </w:tcPr>
          <w:p w14:paraId="286ABAC9" w14:textId="461DB39A" w:rsidR="0030103D" w:rsidRPr="0030103D" w:rsidRDefault="0030103D" w:rsidP="0030103D">
            <w:pPr>
              <w:pStyle w:val="TableFigureHeading"/>
              <w:rPr>
                <w:szCs w:val="20"/>
              </w:rPr>
            </w:pPr>
            <w:r w:rsidRPr="0030103D">
              <w:rPr>
                <w:szCs w:val="20"/>
              </w:rPr>
              <w:t>EMPHASIS</w:t>
            </w:r>
            <w:r w:rsidR="0004446C">
              <w:rPr>
                <w:szCs w:val="20"/>
              </w:rPr>
              <w:noBreakHyphen/>
            </w:r>
            <w:r w:rsidRPr="0030103D">
              <w:rPr>
                <w:szCs w:val="20"/>
              </w:rPr>
              <w:t>HF Trial</w:t>
            </w:r>
          </w:p>
        </w:tc>
        <w:tc>
          <w:tcPr>
            <w:tcW w:w="1345" w:type="dxa"/>
          </w:tcPr>
          <w:p w14:paraId="218C73C8" w14:textId="77777777" w:rsidR="0030103D" w:rsidRPr="00F06346" w:rsidRDefault="0030103D" w:rsidP="00F06346">
            <w:pPr>
              <w:pStyle w:val="TableFigureHeading"/>
              <w:jc w:val="right"/>
              <w:rPr>
                <w:b w:val="0"/>
                <w:bCs w:val="0"/>
                <w:szCs w:val="20"/>
              </w:rPr>
            </w:pPr>
            <w:r w:rsidRPr="00F06346">
              <w:rPr>
                <w:b w:val="0"/>
                <w:bCs w:val="0"/>
                <w:szCs w:val="20"/>
              </w:rPr>
              <w:t xml:space="preserve">    1364</w:t>
            </w:r>
          </w:p>
        </w:tc>
        <w:tc>
          <w:tcPr>
            <w:tcW w:w="1551" w:type="dxa"/>
          </w:tcPr>
          <w:p w14:paraId="2442936E" w14:textId="77777777" w:rsidR="0030103D" w:rsidRPr="00F06346" w:rsidRDefault="0030103D" w:rsidP="00F06346">
            <w:pPr>
              <w:pStyle w:val="TableFigureHeading"/>
              <w:jc w:val="right"/>
              <w:rPr>
                <w:b w:val="0"/>
                <w:bCs w:val="0"/>
                <w:szCs w:val="20"/>
              </w:rPr>
            </w:pPr>
            <w:r w:rsidRPr="00F06346">
              <w:rPr>
                <w:b w:val="0"/>
                <w:bCs w:val="0"/>
                <w:szCs w:val="20"/>
              </w:rPr>
              <w:t xml:space="preserve">         1373</w:t>
            </w:r>
          </w:p>
        </w:tc>
        <w:tc>
          <w:tcPr>
            <w:tcW w:w="1513" w:type="dxa"/>
          </w:tcPr>
          <w:p w14:paraId="291E9949" w14:textId="77777777" w:rsidR="0030103D" w:rsidRPr="00F06346" w:rsidRDefault="0030103D" w:rsidP="00F06346">
            <w:pPr>
              <w:pStyle w:val="TableFigureHeading"/>
              <w:jc w:val="right"/>
              <w:rPr>
                <w:b w:val="0"/>
                <w:bCs w:val="0"/>
                <w:szCs w:val="20"/>
              </w:rPr>
            </w:pPr>
          </w:p>
        </w:tc>
        <w:tc>
          <w:tcPr>
            <w:tcW w:w="1189" w:type="dxa"/>
          </w:tcPr>
          <w:p w14:paraId="15EB5373" w14:textId="77777777" w:rsidR="0030103D" w:rsidRPr="00F06346" w:rsidRDefault="0030103D" w:rsidP="00F06346">
            <w:pPr>
              <w:pStyle w:val="TableFigureHeading"/>
              <w:jc w:val="right"/>
              <w:rPr>
                <w:b w:val="0"/>
                <w:bCs w:val="0"/>
                <w:szCs w:val="20"/>
              </w:rPr>
            </w:pPr>
          </w:p>
        </w:tc>
      </w:tr>
      <w:tr w:rsidR="0030103D" w:rsidRPr="0030103D" w14:paraId="480E25D3" w14:textId="77777777" w:rsidTr="00F06346">
        <w:tc>
          <w:tcPr>
            <w:tcW w:w="939" w:type="dxa"/>
          </w:tcPr>
          <w:p w14:paraId="44F1937E" w14:textId="77777777" w:rsidR="0030103D" w:rsidRPr="0030103D" w:rsidRDefault="0030103D" w:rsidP="0030103D">
            <w:pPr>
              <w:pStyle w:val="TableFigureHeading"/>
              <w:rPr>
                <w:szCs w:val="20"/>
              </w:rPr>
            </w:pPr>
          </w:p>
        </w:tc>
        <w:tc>
          <w:tcPr>
            <w:tcW w:w="2394" w:type="dxa"/>
          </w:tcPr>
          <w:p w14:paraId="02B42850"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547B28E1" w14:textId="77777777" w:rsidR="0030103D" w:rsidRPr="00F06346" w:rsidRDefault="0030103D" w:rsidP="00F06346">
            <w:pPr>
              <w:pStyle w:val="TableFigureHeading"/>
              <w:jc w:val="right"/>
              <w:rPr>
                <w:b w:val="0"/>
                <w:bCs w:val="0"/>
                <w:szCs w:val="20"/>
              </w:rPr>
            </w:pPr>
            <w:r w:rsidRPr="00F06346">
              <w:rPr>
                <w:b w:val="0"/>
                <w:bCs w:val="0"/>
                <w:szCs w:val="20"/>
              </w:rPr>
              <w:t>171 (12.5%)</w:t>
            </w:r>
          </w:p>
        </w:tc>
        <w:tc>
          <w:tcPr>
            <w:tcW w:w="1551" w:type="dxa"/>
          </w:tcPr>
          <w:p w14:paraId="13DC12D7" w14:textId="77777777" w:rsidR="0030103D" w:rsidRPr="00F06346" w:rsidRDefault="0030103D" w:rsidP="00F06346">
            <w:pPr>
              <w:pStyle w:val="TableFigureHeading"/>
              <w:jc w:val="right"/>
              <w:rPr>
                <w:b w:val="0"/>
                <w:bCs w:val="0"/>
                <w:szCs w:val="20"/>
              </w:rPr>
            </w:pPr>
            <w:r w:rsidRPr="00F06346">
              <w:rPr>
                <w:b w:val="0"/>
                <w:bCs w:val="0"/>
                <w:szCs w:val="20"/>
              </w:rPr>
              <w:t>213 (15.5%)</w:t>
            </w:r>
          </w:p>
        </w:tc>
        <w:tc>
          <w:tcPr>
            <w:tcW w:w="1513" w:type="dxa"/>
          </w:tcPr>
          <w:p w14:paraId="7CCB7714"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c>
          <w:tcPr>
            <w:tcW w:w="1189" w:type="dxa"/>
          </w:tcPr>
          <w:p w14:paraId="24A42437"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r>
      <w:tr w:rsidR="00C64104" w:rsidRPr="0030103D" w14:paraId="38B989DC" w14:textId="77777777" w:rsidTr="00E7391C">
        <w:trPr>
          <w:trHeight w:val="70"/>
        </w:trPr>
        <w:tc>
          <w:tcPr>
            <w:tcW w:w="939" w:type="dxa"/>
          </w:tcPr>
          <w:p w14:paraId="61CDF34E" w14:textId="77777777" w:rsidR="0030103D" w:rsidRPr="0030103D" w:rsidRDefault="0030103D" w:rsidP="0030103D">
            <w:pPr>
              <w:pStyle w:val="TableFigureHeading"/>
              <w:rPr>
                <w:szCs w:val="20"/>
              </w:rPr>
            </w:pPr>
          </w:p>
        </w:tc>
        <w:tc>
          <w:tcPr>
            <w:tcW w:w="2394" w:type="dxa"/>
          </w:tcPr>
          <w:p w14:paraId="34FBE781" w14:textId="77777777" w:rsidR="0030103D" w:rsidRPr="00F06346" w:rsidRDefault="0030103D" w:rsidP="0030103D">
            <w:pPr>
              <w:pStyle w:val="TableFigureHeading"/>
              <w:rPr>
                <w:b w:val="0"/>
                <w:bCs w:val="0"/>
                <w:szCs w:val="20"/>
              </w:rPr>
            </w:pPr>
            <w:r w:rsidRPr="00F06346">
              <w:rPr>
                <w:b w:val="0"/>
                <w:bCs w:val="0"/>
                <w:szCs w:val="20"/>
              </w:rPr>
              <w:t>deaths from any cause</w:t>
            </w:r>
          </w:p>
        </w:tc>
        <w:tc>
          <w:tcPr>
            <w:tcW w:w="1345" w:type="dxa"/>
          </w:tcPr>
          <w:p w14:paraId="3EED167B" w14:textId="77777777" w:rsidR="0030103D" w:rsidRPr="00F06346" w:rsidRDefault="0030103D" w:rsidP="00F06346">
            <w:pPr>
              <w:pStyle w:val="TableFigureHeading"/>
              <w:jc w:val="right"/>
              <w:rPr>
                <w:b w:val="0"/>
                <w:bCs w:val="0"/>
                <w:szCs w:val="20"/>
              </w:rPr>
            </w:pPr>
            <w:r w:rsidRPr="00F06346">
              <w:rPr>
                <w:b w:val="0"/>
                <w:bCs w:val="0"/>
                <w:szCs w:val="20"/>
              </w:rPr>
              <w:t>147 (10.8%)</w:t>
            </w:r>
          </w:p>
        </w:tc>
        <w:tc>
          <w:tcPr>
            <w:tcW w:w="1551" w:type="dxa"/>
          </w:tcPr>
          <w:p w14:paraId="288445A0" w14:textId="77777777" w:rsidR="0030103D" w:rsidRPr="00F06346" w:rsidRDefault="0030103D" w:rsidP="00F06346">
            <w:pPr>
              <w:pStyle w:val="TableFigureHeading"/>
              <w:jc w:val="right"/>
              <w:rPr>
                <w:b w:val="0"/>
                <w:bCs w:val="0"/>
                <w:szCs w:val="20"/>
              </w:rPr>
            </w:pPr>
            <w:r w:rsidRPr="00F06346">
              <w:rPr>
                <w:b w:val="0"/>
                <w:bCs w:val="0"/>
                <w:szCs w:val="20"/>
              </w:rPr>
              <w:t>185 (13.5%)</w:t>
            </w:r>
          </w:p>
        </w:tc>
        <w:tc>
          <w:tcPr>
            <w:tcW w:w="1513" w:type="dxa"/>
          </w:tcPr>
          <w:p w14:paraId="756FD5E7"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c>
          <w:tcPr>
            <w:tcW w:w="1189" w:type="dxa"/>
          </w:tcPr>
          <w:p w14:paraId="5E6DE365"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r>
    </w:tbl>
    <w:p w14:paraId="3D6A64EC" w14:textId="33720B65" w:rsidR="00C64104" w:rsidRPr="001954E0" w:rsidRDefault="00C64104" w:rsidP="00C64104">
      <w:pPr>
        <w:pStyle w:val="FooterTableFigure"/>
        <w:rPr>
          <w:sz w:val="20"/>
        </w:rPr>
      </w:pPr>
      <w:r w:rsidRPr="00050C3F">
        <w:t>Source: Table 3.</w:t>
      </w:r>
      <w:r>
        <w:t>4</w:t>
      </w:r>
      <w:r w:rsidRPr="003043AB">
        <w:t xml:space="preserve">, </w:t>
      </w:r>
      <w:r w:rsidRPr="00050C3F">
        <w:t>p 56</w:t>
      </w:r>
      <w:r w:rsidR="003043AB" w:rsidRPr="003043AB">
        <w:t xml:space="preserve"> </w:t>
      </w:r>
      <w:r w:rsidRPr="00050C3F">
        <w:t>Main Body of the submission</w:t>
      </w:r>
    </w:p>
    <w:p w14:paraId="6C2E0030" w14:textId="70832AA8" w:rsidR="00427F21" w:rsidRDefault="00D4599D" w:rsidP="008B5C15">
      <w:pPr>
        <w:pStyle w:val="3-BodyText"/>
        <w:rPr>
          <w:rFonts w:cstheme="minorHAnsi"/>
          <w:szCs w:val="24"/>
        </w:rPr>
      </w:pPr>
      <w:r w:rsidRPr="00050C3F">
        <w:rPr>
          <w:rFonts w:cstheme="minorHAnsi"/>
          <w:szCs w:val="24"/>
        </w:rPr>
        <w:lastRenderedPageBreak/>
        <w:t>The submission noted that the cost per death avoided and the cost per cardiovascular death avoided are both lower in the proposed expanded population than the original</w:t>
      </w:r>
      <w:r w:rsidR="00640C72">
        <w:rPr>
          <w:rFonts w:cstheme="minorHAnsi"/>
          <w:szCs w:val="24"/>
        </w:rPr>
        <w:t xml:space="preserve"> approved </w:t>
      </w:r>
      <w:r w:rsidRPr="00050C3F">
        <w:rPr>
          <w:rFonts w:cstheme="minorHAnsi"/>
          <w:szCs w:val="24"/>
        </w:rPr>
        <w:t>population approved, based on the simple cost per responder analysis</w:t>
      </w:r>
      <w:r w:rsidR="006933A8">
        <w:rPr>
          <w:rFonts w:cstheme="minorHAnsi"/>
          <w:szCs w:val="24"/>
        </w:rPr>
        <w:t>.</w:t>
      </w:r>
    </w:p>
    <w:p w14:paraId="7E668012" w14:textId="3DDA6FFA" w:rsidR="008B5C15" w:rsidRPr="006566D6" w:rsidRDefault="006933A8" w:rsidP="006933A8">
      <w:pPr>
        <w:pStyle w:val="3-BodyText"/>
        <w:rPr>
          <w:rFonts w:cstheme="minorHAnsi"/>
          <w:szCs w:val="24"/>
        </w:rPr>
      </w:pPr>
      <w:r w:rsidRPr="006566D6">
        <w:t>As a Category 3 submission, the economic analysis has not been independently evaluated</w:t>
      </w:r>
      <w:r w:rsidRPr="006566D6">
        <w:rPr>
          <w:rFonts w:cstheme="minorHAnsi"/>
          <w:szCs w:val="24"/>
        </w:rPr>
        <w:t>.</w:t>
      </w:r>
    </w:p>
    <w:p w14:paraId="23F77C6C" w14:textId="453B64FE" w:rsidR="00F85206" w:rsidRPr="00036F34" w:rsidRDefault="00F85206" w:rsidP="00036F34">
      <w:pPr>
        <w:pStyle w:val="4-SubsectionHeading"/>
        <w:keepNext w:val="0"/>
        <w:rPr>
          <w:lang w:eastAsia="en-US"/>
        </w:rPr>
      </w:pPr>
      <w:r w:rsidRPr="00036F34">
        <w:rPr>
          <w:lang w:eastAsia="en-US"/>
        </w:rPr>
        <w:t>Drug cost/patient/year: $</w:t>
      </w:r>
      <w:r w:rsidR="006343F2" w:rsidRPr="00036F34">
        <w:rPr>
          <w:lang w:eastAsia="en-US"/>
        </w:rPr>
        <w:t>649.08</w:t>
      </w:r>
    </w:p>
    <w:p w14:paraId="2F496996" w14:textId="56963565" w:rsidR="00BC552F" w:rsidRPr="00050C3F" w:rsidRDefault="00F85206" w:rsidP="00BC552F">
      <w:pPr>
        <w:pStyle w:val="3-BodyText"/>
        <w:rPr>
          <w:rFonts w:cs="Calibri"/>
        </w:rPr>
      </w:pPr>
      <w:r w:rsidRPr="00050C3F">
        <w:t xml:space="preserve">The estimated drug cost/patient per year would be </w:t>
      </w:r>
      <w:r w:rsidR="00624AC7" w:rsidRPr="00050C3F">
        <w:t>$</w:t>
      </w:r>
      <w:r w:rsidR="00B245B2" w:rsidRPr="00050C3F">
        <w:t>649.08</w:t>
      </w:r>
      <w:r w:rsidRPr="00050C3F">
        <w:t xml:space="preserve"> based on a </w:t>
      </w:r>
      <w:r w:rsidR="006343F2" w:rsidRPr="00050C3F">
        <w:t>12</w:t>
      </w:r>
      <w:r w:rsidR="0004446C">
        <w:noBreakHyphen/>
      </w:r>
      <w:r w:rsidR="006343F2" w:rsidRPr="00050C3F">
        <w:t>month</w:t>
      </w:r>
      <w:r w:rsidR="00B365CB" w:rsidRPr="00050C3F">
        <w:t xml:space="preserve"> duration</w:t>
      </w:r>
      <w:r w:rsidR="00523215" w:rsidRPr="00050C3F">
        <w:rPr>
          <w:rFonts w:cs="Calibri"/>
        </w:rPr>
        <w:t>, with treatment ongoing</w:t>
      </w:r>
      <w:r w:rsidR="00CA3E9C" w:rsidRPr="00050C3F">
        <w:rPr>
          <w:rFonts w:cs="Calibri"/>
        </w:rPr>
        <w:t>.</w:t>
      </w:r>
    </w:p>
    <w:p w14:paraId="4B39D2CE" w14:textId="0CB394D6" w:rsidR="002F6F0F" w:rsidRPr="00050C3F" w:rsidRDefault="009B2B5A" w:rsidP="00D33623">
      <w:pPr>
        <w:pStyle w:val="3-BodyText"/>
        <w:numPr>
          <w:ilvl w:val="2"/>
          <w:numId w:val="11"/>
        </w:numPr>
        <w:rPr>
          <w:rFonts w:cs="Calibri"/>
        </w:rPr>
      </w:pPr>
      <w:r w:rsidRPr="00050C3F">
        <w:rPr>
          <w:rFonts w:cs="Calibri"/>
        </w:rPr>
        <w:t xml:space="preserve">The price when eplerenone was listed in 2006 was $114.84 </w:t>
      </w:r>
      <w:r w:rsidR="001954E0">
        <w:rPr>
          <w:rFonts w:cs="Calibri"/>
        </w:rPr>
        <w:t>(</w:t>
      </w:r>
      <w:r w:rsidRPr="00050C3F">
        <w:rPr>
          <w:rFonts w:cs="Calibri"/>
        </w:rPr>
        <w:t>DPMQ</w:t>
      </w:r>
      <w:r w:rsidR="001954E0">
        <w:rPr>
          <w:rFonts w:cs="Calibri"/>
        </w:rPr>
        <w:t>)</w:t>
      </w:r>
      <w:r w:rsidRPr="00050C3F">
        <w:rPr>
          <w:rFonts w:cs="Calibri"/>
        </w:rPr>
        <w:t xml:space="preserve"> for one month’s treatment. This equates to a 12 monthly cost of $1378.08. This is used as the base case for comparative purposes in this submission. The current </w:t>
      </w:r>
      <w:r w:rsidR="004573EF">
        <w:rPr>
          <w:rFonts w:cs="Calibri"/>
        </w:rPr>
        <w:t>DPMQ</w:t>
      </w:r>
      <w:r w:rsidRPr="00050C3F">
        <w:rPr>
          <w:rFonts w:cs="Calibri"/>
        </w:rPr>
        <w:t xml:space="preserve"> for eplerenone on the PBS is $54.09, which results in a 12 monthly cost of $</w:t>
      </w:r>
      <w:r w:rsidR="00476E08" w:rsidRPr="00050C3F">
        <w:rPr>
          <w:rFonts w:cs="Calibri"/>
        </w:rPr>
        <w:t>649.08.</w:t>
      </w:r>
      <w:r w:rsidR="00D70349" w:rsidRPr="006566D6">
        <w:rPr>
          <w:rFonts w:cstheme="minorHAnsi"/>
        </w:rPr>
        <w:t xml:space="preserve"> </w:t>
      </w:r>
    </w:p>
    <w:p w14:paraId="5EB16602" w14:textId="26A67E45" w:rsidR="00D70349" w:rsidRPr="00036F34" w:rsidRDefault="00D70349" w:rsidP="00036F34">
      <w:pPr>
        <w:pStyle w:val="4-SubsectionHeading"/>
        <w:keepNext w:val="0"/>
        <w:rPr>
          <w:lang w:eastAsia="en-US"/>
        </w:rPr>
      </w:pPr>
      <w:r w:rsidRPr="00036F34">
        <w:rPr>
          <w:lang w:eastAsia="en-US"/>
        </w:rPr>
        <w:t xml:space="preserve">Estimated PBS </w:t>
      </w:r>
      <w:r w:rsidR="00276BE3" w:rsidRPr="00036F34">
        <w:rPr>
          <w:lang w:eastAsia="en-US"/>
        </w:rPr>
        <w:t>usage</w:t>
      </w:r>
      <w:r w:rsidRPr="00036F34">
        <w:rPr>
          <w:lang w:eastAsia="en-US"/>
        </w:rPr>
        <w:t xml:space="preserve"> and financial implications</w:t>
      </w:r>
    </w:p>
    <w:p w14:paraId="15031E7F" w14:textId="30708475" w:rsidR="00151FC3" w:rsidRPr="003F69B8" w:rsidRDefault="00151FC3" w:rsidP="0079250E">
      <w:pPr>
        <w:pStyle w:val="3-BodyText"/>
      </w:pPr>
      <w:r>
        <w:t xml:space="preserve">The submission used a market share approach </w:t>
      </w:r>
      <w:r w:rsidR="00265900">
        <w:t xml:space="preserve">to estimate </w:t>
      </w:r>
      <w:r w:rsidR="00795607">
        <w:t>us</w:t>
      </w:r>
      <w:r w:rsidR="00AD6C06">
        <w:t xml:space="preserve">age and financial implications. </w:t>
      </w:r>
      <w:r w:rsidR="00304B9B">
        <w:t xml:space="preserve">The submission </w:t>
      </w:r>
      <w:r w:rsidR="00A755B0">
        <w:t>did</w:t>
      </w:r>
      <w:r w:rsidR="00304B9B">
        <w:t xml:space="preserve"> not </w:t>
      </w:r>
      <w:r w:rsidR="00FA28FC">
        <w:t xml:space="preserve">estimate the size of the </w:t>
      </w:r>
      <w:r w:rsidR="00D103DD">
        <w:t xml:space="preserve">population </w:t>
      </w:r>
      <w:r w:rsidR="00104082">
        <w:t>of heart failure patients</w:t>
      </w:r>
      <w:r w:rsidR="00D103DD">
        <w:t xml:space="preserve"> </w:t>
      </w:r>
      <w:r w:rsidR="0073082D">
        <w:t xml:space="preserve">that </w:t>
      </w:r>
      <w:r w:rsidR="00774190">
        <w:t>is not currently eligible for PBS subsidy</w:t>
      </w:r>
      <w:r w:rsidR="00275DD5">
        <w:t xml:space="preserve"> and </w:t>
      </w:r>
      <w:r w:rsidR="003D190D">
        <w:t xml:space="preserve">would </w:t>
      </w:r>
      <w:r w:rsidR="00275DD5">
        <w:t xml:space="preserve">be </w:t>
      </w:r>
      <w:r w:rsidR="008D5880">
        <w:t>if the</w:t>
      </w:r>
      <w:r w:rsidR="003F3CB5">
        <w:t xml:space="preserve"> proposed changes were implemented</w:t>
      </w:r>
      <w:r w:rsidR="00450E0D">
        <w:t xml:space="preserve">. </w:t>
      </w:r>
      <w:r w:rsidR="008979FD">
        <w:t xml:space="preserve">The submission instead </w:t>
      </w:r>
      <w:r w:rsidR="008979FD" w:rsidRPr="003F69B8">
        <w:t>use</w:t>
      </w:r>
      <w:r w:rsidR="00A4798C" w:rsidRPr="003F69B8">
        <w:t>d</w:t>
      </w:r>
      <w:r w:rsidR="008979FD" w:rsidRPr="003F69B8">
        <w:t xml:space="preserve"> the </w:t>
      </w:r>
      <w:r w:rsidR="0090083E" w:rsidRPr="003F69B8">
        <w:t xml:space="preserve">growth </w:t>
      </w:r>
      <w:r w:rsidR="00B64679" w:rsidRPr="003F69B8">
        <w:t>rate</w:t>
      </w:r>
      <w:r w:rsidR="0090083E" w:rsidRPr="003F69B8">
        <w:t xml:space="preserve"> o</w:t>
      </w:r>
      <w:r w:rsidR="008540F4" w:rsidRPr="003F69B8">
        <w:t>f</w:t>
      </w:r>
      <w:r w:rsidR="00CA5FAF" w:rsidRPr="003F69B8">
        <w:t xml:space="preserve"> </w:t>
      </w:r>
      <w:r w:rsidR="00B64679" w:rsidRPr="003F69B8">
        <w:t>Entresto</w:t>
      </w:r>
      <w:r w:rsidR="00A60170" w:rsidRPr="003F69B8">
        <w:t>.</w:t>
      </w:r>
    </w:p>
    <w:p w14:paraId="1C4BA51A" w14:textId="07B8DC99" w:rsidR="00DE5D2F" w:rsidRPr="002F6D09" w:rsidRDefault="004F4839" w:rsidP="009876C4">
      <w:pPr>
        <w:pStyle w:val="3-BodyText"/>
      </w:pPr>
      <w:r>
        <w:t>The pre</w:t>
      </w:r>
      <w:r w:rsidR="0004446C">
        <w:noBreakHyphen/>
      </w:r>
      <w:r>
        <w:t>PBAC respon</w:t>
      </w:r>
      <w:r w:rsidR="00C96A42">
        <w:t xml:space="preserve">se argued </w:t>
      </w:r>
      <w:r w:rsidR="00065086">
        <w:t>against using an epidemiological approach and stated that the market share approach</w:t>
      </w:r>
      <w:r w:rsidR="009876C4">
        <w:t xml:space="preserve"> was chosen for the following reasons:</w:t>
      </w:r>
      <w:r w:rsidR="00DE5D2F" w:rsidRPr="002F6D09">
        <w:t xml:space="preserve"> </w:t>
      </w:r>
    </w:p>
    <w:p w14:paraId="37876A4B" w14:textId="508D2C1F" w:rsidR="00D62A95" w:rsidRPr="002F6D09" w:rsidRDefault="00D62A95" w:rsidP="13C95913">
      <w:pPr>
        <w:pStyle w:val="3-BodyText"/>
      </w:pPr>
      <w:r>
        <w:t xml:space="preserve">The </w:t>
      </w:r>
      <w:r w:rsidRPr="002F6D09">
        <w:t>requested PBS listing aligned with the current PBS listings of sacubitril/valsartan and should be a reasonable estimate of the patient population as requested for eplerenone</w:t>
      </w:r>
      <w:r w:rsidR="001922FA">
        <w:t>.</w:t>
      </w:r>
    </w:p>
    <w:p w14:paraId="6105A140" w14:textId="71DE6E71" w:rsidR="00D62A95" w:rsidRPr="002F6D09" w:rsidRDefault="00D62A95" w:rsidP="13C95913">
      <w:pPr>
        <w:pStyle w:val="3-BodyText"/>
      </w:pPr>
      <w:r w:rsidRPr="002F6D09">
        <w:t>Sacubitril/valsartan has the highest number of services and fastest uptake, providing a</w:t>
      </w:r>
      <w:r>
        <w:t>n</w:t>
      </w:r>
      <w:r w:rsidRPr="002F6D09">
        <w:t xml:space="preserve"> upper bound for eplerenone. Eplerenone is unlikely to reach this upper bound, as it is already a well</w:t>
      </w:r>
      <w:r w:rsidR="0004446C">
        <w:noBreakHyphen/>
      </w:r>
      <w:r w:rsidRPr="002F6D09">
        <w:t>established MRA, and so is unlikely to replicate or exceed Entresto’s uptake curve</w:t>
      </w:r>
      <w:r>
        <w:t>; and</w:t>
      </w:r>
    </w:p>
    <w:p w14:paraId="1472DB15" w14:textId="060A9614" w:rsidR="00D62A95" w:rsidRPr="002F6D09" w:rsidRDefault="00D62A95" w:rsidP="13C95913">
      <w:pPr>
        <w:pStyle w:val="3-BodyText"/>
      </w:pPr>
      <w:r w:rsidRPr="002F6D09">
        <w:t>Spironolactone, the other available MRA on the PBS, is unrestricted and used for multiple indications, preventing a comparison of its isolated use for the HF population.</w:t>
      </w:r>
    </w:p>
    <w:p w14:paraId="69F0C81D" w14:textId="3642E44F" w:rsidR="00F26D80" w:rsidRPr="000C3666" w:rsidRDefault="00D70349" w:rsidP="0079250E">
      <w:pPr>
        <w:pStyle w:val="3-BodyText"/>
      </w:pPr>
      <w:r w:rsidRPr="000C3666">
        <w:t xml:space="preserve">The submission estimated that </w:t>
      </w:r>
      <w:r w:rsidR="0099767F" w:rsidRPr="0099767F">
        <w:t>1,000,000 to &lt; 2,000,000</w:t>
      </w:r>
      <w:r w:rsidRPr="000C3666">
        <w:t xml:space="preserve"> </w:t>
      </w:r>
      <w:r w:rsidR="00EB0EB5" w:rsidRPr="000C3666">
        <w:t>scripts</w:t>
      </w:r>
      <w:r w:rsidRPr="000C3666">
        <w:t xml:space="preserve"> would be supplied </w:t>
      </w:r>
      <w:r w:rsidR="006F5073" w:rsidRPr="000C3666">
        <w:t xml:space="preserve">for </w:t>
      </w:r>
      <w:r w:rsidR="008E0894" w:rsidRPr="000C3666">
        <w:t>eplerenone</w:t>
      </w:r>
      <w:r w:rsidRPr="000C3666">
        <w:t xml:space="preserve"> over the first six years of listing (</w:t>
      </w:r>
      <w:r w:rsidR="0091289E" w:rsidRPr="0091289E">
        <w:t>100,000 to &lt; 200,000</w:t>
      </w:r>
      <w:r w:rsidR="00EE6203" w:rsidRPr="000C3666">
        <w:t xml:space="preserve"> in Year 1</w:t>
      </w:r>
      <w:r w:rsidRPr="000C3666">
        <w:t xml:space="preserve"> to </w:t>
      </w:r>
      <w:r w:rsidR="00562105" w:rsidRPr="00562105">
        <w:t>200,000 to &lt; 300,000</w:t>
      </w:r>
      <w:r w:rsidR="00562105">
        <w:t xml:space="preserve"> </w:t>
      </w:r>
      <w:r w:rsidR="00EE6203" w:rsidRPr="000C3666">
        <w:t>in Year 6</w:t>
      </w:r>
      <w:r w:rsidRPr="000C3666">
        <w:t xml:space="preserve">). </w:t>
      </w:r>
      <w:r w:rsidR="00DF5AD2">
        <w:t xml:space="preserve"> </w:t>
      </w:r>
    </w:p>
    <w:p w14:paraId="1EEA59E2" w14:textId="1278DD77" w:rsidR="13C95913" w:rsidRDefault="000A02F8" w:rsidP="13C95913">
      <w:pPr>
        <w:pStyle w:val="ListParagraph"/>
      </w:pPr>
      <w:r w:rsidRPr="000C3666">
        <w:t>The submission stated that t</w:t>
      </w:r>
      <w:r w:rsidR="00D70349" w:rsidRPr="000C3666">
        <w:t>he estimated net financial impact to the PBS/RPBS for the</w:t>
      </w:r>
      <w:r w:rsidR="00640C72" w:rsidRPr="000C3666">
        <w:t xml:space="preserve"> proposed</w:t>
      </w:r>
      <w:r w:rsidR="00D70349" w:rsidRPr="000C3666">
        <w:t xml:space="preserve"> listing of</w:t>
      </w:r>
      <w:r w:rsidR="00231405" w:rsidRPr="000C3666">
        <w:t xml:space="preserve"> </w:t>
      </w:r>
      <w:r w:rsidR="008E0894" w:rsidRPr="000C3666">
        <w:t>eplerenone</w:t>
      </w:r>
      <w:r w:rsidR="00D70349" w:rsidRPr="000C3666">
        <w:t xml:space="preserve"> </w:t>
      </w:r>
      <w:r w:rsidR="00640C72" w:rsidRPr="000C3666">
        <w:t>would be</w:t>
      </w:r>
      <w:r w:rsidR="00D70349" w:rsidRPr="000C3666">
        <w:t xml:space="preserve"> $</w:t>
      </w:r>
      <w:r w:rsidR="00DA5F61">
        <w:t>10 million to &lt; $20 million</w:t>
      </w:r>
      <w:r w:rsidR="00D70349" w:rsidRPr="000C3666">
        <w:t xml:space="preserve"> over six years (Year 1 $</w:t>
      </w:r>
      <w:r w:rsidR="00DA5F61">
        <w:t>0 to &lt; $10 million</w:t>
      </w:r>
      <w:r w:rsidR="00D70349" w:rsidRPr="000C3666">
        <w:t xml:space="preserve"> to Year 6 $</w:t>
      </w:r>
      <w:r w:rsidR="00DA5F61">
        <w:t>0 to &lt; 10 million</w:t>
      </w:r>
      <w:r w:rsidR="00D70349" w:rsidRPr="000C3666">
        <w:t xml:space="preserve">). </w:t>
      </w:r>
      <w:r w:rsidR="00C60A0A" w:rsidRPr="000C3666">
        <w:t xml:space="preserve"> </w:t>
      </w:r>
    </w:p>
    <w:p w14:paraId="5776D7DB" w14:textId="7AB531BD" w:rsidR="00272DE5" w:rsidRPr="00050C3F" w:rsidRDefault="00D70349" w:rsidP="001661F3">
      <w:pPr>
        <w:pStyle w:val="Tabletitles"/>
        <w:keepNext/>
        <w:keepLines/>
        <w:spacing w:after="0"/>
        <w:rPr>
          <w:rFonts w:asciiTheme="minorHAnsi" w:hAnsiTheme="minorHAnsi" w:cstheme="minorHAnsi"/>
          <w:sz w:val="24"/>
          <w:szCs w:val="24"/>
        </w:rPr>
      </w:pPr>
      <w:r w:rsidRPr="00050C3F">
        <w:rPr>
          <w:rStyle w:val="CommentReference"/>
          <w:sz w:val="20"/>
          <w:szCs w:val="22"/>
        </w:rPr>
        <w:lastRenderedPageBreak/>
        <w:t>Table</w:t>
      </w:r>
      <w:r w:rsidRPr="00050C3F">
        <w:rPr>
          <w:rFonts w:eastAsiaTheme="majorEastAsia"/>
        </w:rPr>
        <w:t xml:space="preserve"> </w:t>
      </w:r>
      <w:bookmarkStart w:id="4" w:name="_Hlk121755068"/>
      <w:r w:rsidR="00A63F71" w:rsidRPr="00050C3F">
        <w:rPr>
          <w:rFonts w:eastAsiaTheme="majorEastAsia"/>
        </w:rPr>
        <w:t>3</w:t>
      </w:r>
      <w:r w:rsidRPr="00050C3F">
        <w:rPr>
          <w:rFonts w:eastAsiaTheme="majorEastAsia"/>
        </w:rPr>
        <w:t>:</w:t>
      </w:r>
      <w:bookmarkEnd w:id="4"/>
      <w:r w:rsidRPr="00050C3F">
        <w:rPr>
          <w:rFonts w:eastAsiaTheme="majorEastAsia"/>
        </w:rPr>
        <w:t xml:space="preserve"> </w:t>
      </w:r>
      <w:r w:rsidRPr="00050C3F">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050C3F" w:rsidRPr="00050C3F" w14:paraId="50517F09" w14:textId="77777777" w:rsidTr="00762862">
        <w:trPr>
          <w:cantSplit/>
          <w:tblHeader/>
          <w:jc w:val="center"/>
        </w:trPr>
        <w:tc>
          <w:tcPr>
            <w:tcW w:w="1118" w:type="pct"/>
            <w:vAlign w:val="center"/>
          </w:tcPr>
          <w:p w14:paraId="146FDDC6" w14:textId="77777777" w:rsidR="00D70349" w:rsidRPr="00050C3F" w:rsidRDefault="00D70349" w:rsidP="00222680">
            <w:pPr>
              <w:pStyle w:val="TableText0"/>
              <w:keepLines/>
            </w:pPr>
          </w:p>
        </w:tc>
        <w:tc>
          <w:tcPr>
            <w:tcW w:w="647" w:type="pct"/>
            <w:vAlign w:val="center"/>
          </w:tcPr>
          <w:p w14:paraId="229BAAA8" w14:textId="77777777" w:rsidR="00D70349" w:rsidRPr="00050C3F" w:rsidRDefault="00D70349" w:rsidP="00222680">
            <w:pPr>
              <w:pStyle w:val="TableText0"/>
              <w:keepLines/>
              <w:rPr>
                <w:b/>
              </w:rPr>
            </w:pPr>
            <w:r w:rsidRPr="00050C3F">
              <w:rPr>
                <w:b/>
              </w:rPr>
              <w:t>Year 1</w:t>
            </w:r>
          </w:p>
        </w:tc>
        <w:tc>
          <w:tcPr>
            <w:tcW w:w="647" w:type="pct"/>
            <w:vAlign w:val="center"/>
          </w:tcPr>
          <w:p w14:paraId="48EEAB93" w14:textId="77777777" w:rsidR="00D70349" w:rsidRPr="00050C3F" w:rsidRDefault="00D70349" w:rsidP="00222680">
            <w:pPr>
              <w:pStyle w:val="TableText0"/>
              <w:keepLines/>
              <w:rPr>
                <w:b/>
              </w:rPr>
            </w:pPr>
            <w:r w:rsidRPr="00050C3F">
              <w:rPr>
                <w:b/>
              </w:rPr>
              <w:t>Year 2</w:t>
            </w:r>
          </w:p>
        </w:tc>
        <w:tc>
          <w:tcPr>
            <w:tcW w:w="647" w:type="pct"/>
            <w:vAlign w:val="center"/>
          </w:tcPr>
          <w:p w14:paraId="0738F741" w14:textId="77777777" w:rsidR="00D70349" w:rsidRPr="00050C3F" w:rsidRDefault="00D70349" w:rsidP="00222680">
            <w:pPr>
              <w:pStyle w:val="TableText0"/>
              <w:keepLines/>
              <w:rPr>
                <w:b/>
              </w:rPr>
            </w:pPr>
            <w:r w:rsidRPr="00050C3F">
              <w:rPr>
                <w:b/>
              </w:rPr>
              <w:t>Year 3</w:t>
            </w:r>
          </w:p>
        </w:tc>
        <w:tc>
          <w:tcPr>
            <w:tcW w:w="647" w:type="pct"/>
            <w:vAlign w:val="center"/>
          </w:tcPr>
          <w:p w14:paraId="2F722BB7" w14:textId="77777777" w:rsidR="00D70349" w:rsidRPr="00050C3F" w:rsidRDefault="00D70349" w:rsidP="00222680">
            <w:pPr>
              <w:pStyle w:val="TableText0"/>
              <w:keepLines/>
              <w:rPr>
                <w:b/>
              </w:rPr>
            </w:pPr>
            <w:r w:rsidRPr="00050C3F">
              <w:rPr>
                <w:b/>
              </w:rPr>
              <w:t>Year 4</w:t>
            </w:r>
          </w:p>
        </w:tc>
        <w:tc>
          <w:tcPr>
            <w:tcW w:w="647" w:type="pct"/>
            <w:vAlign w:val="center"/>
          </w:tcPr>
          <w:p w14:paraId="4A03E0AC" w14:textId="77777777" w:rsidR="00D70349" w:rsidRPr="00050C3F" w:rsidRDefault="00D70349" w:rsidP="00222680">
            <w:pPr>
              <w:pStyle w:val="TableText0"/>
              <w:keepLines/>
              <w:rPr>
                <w:b/>
              </w:rPr>
            </w:pPr>
            <w:r w:rsidRPr="00050C3F">
              <w:rPr>
                <w:b/>
              </w:rPr>
              <w:t>Year 5</w:t>
            </w:r>
          </w:p>
        </w:tc>
        <w:tc>
          <w:tcPr>
            <w:tcW w:w="647" w:type="pct"/>
          </w:tcPr>
          <w:p w14:paraId="11CF147B" w14:textId="77777777" w:rsidR="00D70349" w:rsidRPr="00050C3F" w:rsidRDefault="00D70349" w:rsidP="00222680">
            <w:pPr>
              <w:pStyle w:val="TableText0"/>
              <w:keepLines/>
              <w:rPr>
                <w:b/>
              </w:rPr>
            </w:pPr>
            <w:r w:rsidRPr="00050C3F">
              <w:rPr>
                <w:b/>
              </w:rPr>
              <w:t>Year 6</w:t>
            </w:r>
          </w:p>
        </w:tc>
      </w:tr>
      <w:tr w:rsidR="00050C3F" w:rsidRPr="00050C3F" w14:paraId="07125BC5" w14:textId="77777777" w:rsidTr="00762862">
        <w:trPr>
          <w:cantSplit/>
          <w:jc w:val="center"/>
        </w:trPr>
        <w:tc>
          <w:tcPr>
            <w:tcW w:w="5000" w:type="pct"/>
            <w:gridSpan w:val="7"/>
            <w:vAlign w:val="center"/>
          </w:tcPr>
          <w:p w14:paraId="618359A1" w14:textId="77777777" w:rsidR="00D70349" w:rsidRPr="00050C3F" w:rsidRDefault="00D70349" w:rsidP="00222680">
            <w:pPr>
              <w:pStyle w:val="TableText0"/>
              <w:keepLines/>
              <w:rPr>
                <w:b/>
              </w:rPr>
            </w:pPr>
            <w:r w:rsidRPr="00050C3F">
              <w:rPr>
                <w:b/>
              </w:rPr>
              <w:t>Estimated extent of use</w:t>
            </w:r>
          </w:p>
        </w:tc>
      </w:tr>
      <w:tr w:rsidR="00050C3F" w:rsidRPr="00050C3F" w14:paraId="5D5D440C" w14:textId="77777777" w:rsidTr="003D2B53">
        <w:trPr>
          <w:cantSplit/>
          <w:jc w:val="center"/>
        </w:trPr>
        <w:tc>
          <w:tcPr>
            <w:tcW w:w="1118" w:type="pct"/>
            <w:vAlign w:val="center"/>
          </w:tcPr>
          <w:p w14:paraId="359E474F" w14:textId="77777777" w:rsidR="00D70349" w:rsidRPr="00050C3F" w:rsidRDefault="00D70349" w:rsidP="00222680">
            <w:pPr>
              <w:pStyle w:val="TableText0"/>
              <w:keepLines/>
              <w:rPr>
                <w:vertAlign w:val="superscript"/>
              </w:rPr>
            </w:pPr>
            <w:r w:rsidRPr="00050C3F">
              <w:t xml:space="preserve">Number of scripts </w:t>
            </w:r>
            <w:proofErr w:type="spellStart"/>
            <w:r w:rsidRPr="00050C3F">
              <w:t>dispensed</w:t>
            </w:r>
            <w:r w:rsidRPr="00050C3F">
              <w:rPr>
                <w:vertAlign w:val="superscript"/>
              </w:rPr>
              <w:t>a</w:t>
            </w:r>
            <w:proofErr w:type="spellEnd"/>
          </w:p>
        </w:tc>
        <w:tc>
          <w:tcPr>
            <w:tcW w:w="647" w:type="pct"/>
            <w:vAlign w:val="center"/>
          </w:tcPr>
          <w:p w14:paraId="14228129" w14:textId="1A8C72B8" w:rsidR="00D70349" w:rsidRPr="00AB50F4" w:rsidRDefault="00DD6600" w:rsidP="000C1AFF">
            <w:pPr>
              <w:pStyle w:val="TableText0"/>
              <w:keepLines/>
              <w:jc w:val="right"/>
              <w:rPr>
                <w:vertAlign w:val="superscript"/>
              </w:rPr>
            </w:pPr>
            <w:r w:rsidRPr="00327069">
              <w:rPr>
                <w:color w:val="000000"/>
                <w:spacing w:val="48"/>
                <w:shd w:val="solid" w:color="000000" w:fill="000000"/>
                <w:fitText w:val="315" w:id="-628906752"/>
                <w14:textFill>
                  <w14:solidFill>
                    <w14:srgbClr w14:val="000000">
                      <w14:alpha w14:val="100000"/>
                    </w14:srgbClr>
                  </w14:solidFill>
                </w14:textFill>
              </w:rPr>
              <w:t>|||</w:t>
            </w:r>
            <w:r w:rsidRPr="00327069">
              <w:rPr>
                <w:color w:val="000000"/>
                <w:spacing w:val="1"/>
                <w:shd w:val="solid" w:color="000000" w:fill="000000"/>
                <w:fitText w:val="315" w:id="-628906752"/>
                <w14:textFill>
                  <w14:solidFill>
                    <w14:srgbClr w14:val="000000">
                      <w14:alpha w14:val="100000"/>
                    </w14:srgbClr>
                  </w14:solidFill>
                </w14:textFill>
              </w:rPr>
              <w:t>|</w:t>
            </w:r>
            <w:r w:rsidR="00546818">
              <w:rPr>
                <w:vertAlign w:val="superscript"/>
              </w:rPr>
              <w:t>1</w:t>
            </w:r>
          </w:p>
        </w:tc>
        <w:tc>
          <w:tcPr>
            <w:tcW w:w="647" w:type="pct"/>
            <w:vAlign w:val="center"/>
          </w:tcPr>
          <w:p w14:paraId="0AC1C51C" w14:textId="29AC7CDB" w:rsidR="00D70349" w:rsidRPr="00050C3F" w:rsidRDefault="00DD6600" w:rsidP="000C1AFF">
            <w:pPr>
              <w:pStyle w:val="TableText0"/>
              <w:keepLines/>
              <w:jc w:val="right"/>
            </w:pPr>
            <w:r w:rsidRPr="00327069">
              <w:rPr>
                <w:color w:val="000000"/>
                <w:spacing w:val="48"/>
                <w:shd w:val="solid" w:color="000000" w:fill="000000"/>
                <w:fitText w:val="315" w:id="-628906751"/>
                <w14:textFill>
                  <w14:solidFill>
                    <w14:srgbClr w14:val="000000">
                      <w14:alpha w14:val="100000"/>
                    </w14:srgbClr>
                  </w14:solidFill>
                </w14:textFill>
              </w:rPr>
              <w:t>|||</w:t>
            </w:r>
            <w:r w:rsidRPr="00327069">
              <w:rPr>
                <w:color w:val="000000"/>
                <w:spacing w:val="1"/>
                <w:shd w:val="solid" w:color="000000" w:fill="000000"/>
                <w:fitText w:val="315" w:id="-628906751"/>
                <w14:textFill>
                  <w14:solidFill>
                    <w14:srgbClr w14:val="000000">
                      <w14:alpha w14:val="100000"/>
                    </w14:srgbClr>
                  </w14:solidFill>
                </w14:textFill>
              </w:rPr>
              <w:t>|</w:t>
            </w:r>
            <w:r w:rsidR="00546818">
              <w:rPr>
                <w:vertAlign w:val="superscript"/>
              </w:rPr>
              <w:t>1</w:t>
            </w:r>
          </w:p>
        </w:tc>
        <w:tc>
          <w:tcPr>
            <w:tcW w:w="647" w:type="pct"/>
            <w:vAlign w:val="center"/>
          </w:tcPr>
          <w:p w14:paraId="46B37406" w14:textId="0C86AF4F" w:rsidR="00D70349" w:rsidRPr="00050C3F" w:rsidRDefault="00DD6600" w:rsidP="000C1AFF">
            <w:pPr>
              <w:pStyle w:val="TableText0"/>
              <w:keepLines/>
              <w:jc w:val="right"/>
            </w:pPr>
            <w:r w:rsidRPr="00327069">
              <w:rPr>
                <w:color w:val="000000"/>
                <w:spacing w:val="48"/>
                <w:shd w:val="solid" w:color="000000" w:fill="000000"/>
                <w:fitText w:val="315" w:id="-628906750"/>
                <w14:textFill>
                  <w14:solidFill>
                    <w14:srgbClr w14:val="000000">
                      <w14:alpha w14:val="100000"/>
                    </w14:srgbClr>
                  </w14:solidFill>
                </w14:textFill>
              </w:rPr>
              <w:t>|||</w:t>
            </w:r>
            <w:r w:rsidRPr="00327069">
              <w:rPr>
                <w:color w:val="000000"/>
                <w:spacing w:val="1"/>
                <w:shd w:val="solid" w:color="000000" w:fill="000000"/>
                <w:fitText w:val="315" w:id="-628906750"/>
                <w14:textFill>
                  <w14:solidFill>
                    <w14:srgbClr w14:val="000000">
                      <w14:alpha w14:val="100000"/>
                    </w14:srgbClr>
                  </w14:solidFill>
                </w14:textFill>
              </w:rPr>
              <w:t>|</w:t>
            </w:r>
            <w:r w:rsidR="00546818">
              <w:rPr>
                <w:vertAlign w:val="superscript"/>
              </w:rPr>
              <w:t>1</w:t>
            </w:r>
          </w:p>
        </w:tc>
        <w:tc>
          <w:tcPr>
            <w:tcW w:w="647" w:type="pct"/>
            <w:vAlign w:val="center"/>
          </w:tcPr>
          <w:p w14:paraId="6D76F480" w14:textId="3A4B9BD3" w:rsidR="00D70349" w:rsidRPr="00AB50F4" w:rsidRDefault="00DD6600" w:rsidP="000C1AFF">
            <w:pPr>
              <w:pStyle w:val="TableText0"/>
              <w:keepLines/>
              <w:jc w:val="right"/>
              <w:rPr>
                <w:vertAlign w:val="superscript"/>
              </w:rPr>
            </w:pPr>
            <w:r w:rsidRPr="00327069">
              <w:rPr>
                <w:color w:val="000000"/>
                <w:spacing w:val="48"/>
                <w:shd w:val="solid" w:color="000000" w:fill="000000"/>
                <w:fitText w:val="315" w:id="-628906749"/>
                <w14:textFill>
                  <w14:solidFill>
                    <w14:srgbClr w14:val="000000">
                      <w14:alpha w14:val="100000"/>
                    </w14:srgbClr>
                  </w14:solidFill>
                </w14:textFill>
              </w:rPr>
              <w:t>|||</w:t>
            </w:r>
            <w:r w:rsidRPr="00327069">
              <w:rPr>
                <w:color w:val="000000"/>
                <w:spacing w:val="1"/>
                <w:shd w:val="solid" w:color="000000" w:fill="000000"/>
                <w:fitText w:val="315" w:id="-628906749"/>
                <w14:textFill>
                  <w14:solidFill>
                    <w14:srgbClr w14:val="000000">
                      <w14:alpha w14:val="100000"/>
                    </w14:srgbClr>
                  </w14:solidFill>
                </w14:textFill>
              </w:rPr>
              <w:t>|</w:t>
            </w:r>
            <w:r w:rsidR="00546818">
              <w:rPr>
                <w:vertAlign w:val="superscript"/>
              </w:rPr>
              <w:t>2</w:t>
            </w:r>
          </w:p>
        </w:tc>
        <w:tc>
          <w:tcPr>
            <w:tcW w:w="647" w:type="pct"/>
            <w:vAlign w:val="center"/>
          </w:tcPr>
          <w:p w14:paraId="078EC90A" w14:textId="6F95C9EB" w:rsidR="00D70349" w:rsidRPr="00050C3F" w:rsidRDefault="00DD6600" w:rsidP="000C1AFF">
            <w:pPr>
              <w:pStyle w:val="TableText0"/>
              <w:keepLines/>
              <w:jc w:val="right"/>
            </w:pPr>
            <w:r w:rsidRPr="00327069">
              <w:rPr>
                <w:color w:val="000000"/>
                <w:spacing w:val="48"/>
                <w:shd w:val="solid" w:color="000000" w:fill="000000"/>
                <w:fitText w:val="315" w:id="-628906748"/>
                <w14:textFill>
                  <w14:solidFill>
                    <w14:srgbClr w14:val="000000">
                      <w14:alpha w14:val="100000"/>
                    </w14:srgbClr>
                  </w14:solidFill>
                </w14:textFill>
              </w:rPr>
              <w:t>|||</w:t>
            </w:r>
            <w:r w:rsidRPr="00327069">
              <w:rPr>
                <w:color w:val="000000"/>
                <w:spacing w:val="1"/>
                <w:shd w:val="solid" w:color="000000" w:fill="000000"/>
                <w:fitText w:val="315" w:id="-628906748"/>
                <w14:textFill>
                  <w14:solidFill>
                    <w14:srgbClr w14:val="000000">
                      <w14:alpha w14:val="100000"/>
                    </w14:srgbClr>
                  </w14:solidFill>
                </w14:textFill>
              </w:rPr>
              <w:t>|</w:t>
            </w:r>
            <w:r w:rsidR="00546818">
              <w:rPr>
                <w:vertAlign w:val="superscript"/>
              </w:rPr>
              <w:t>2</w:t>
            </w:r>
          </w:p>
        </w:tc>
        <w:tc>
          <w:tcPr>
            <w:tcW w:w="647" w:type="pct"/>
            <w:vAlign w:val="center"/>
          </w:tcPr>
          <w:p w14:paraId="0BC345E6" w14:textId="65960C27" w:rsidR="00D70349" w:rsidRPr="00050C3F" w:rsidRDefault="00DD6600" w:rsidP="003D2B53">
            <w:pPr>
              <w:pStyle w:val="TableText0"/>
              <w:keepLines/>
              <w:jc w:val="right"/>
            </w:pPr>
            <w:r w:rsidRPr="00327069">
              <w:rPr>
                <w:color w:val="000000"/>
                <w:spacing w:val="48"/>
                <w:shd w:val="solid" w:color="000000" w:fill="000000"/>
                <w:fitText w:val="315" w:id="-628906747"/>
                <w14:textFill>
                  <w14:solidFill>
                    <w14:srgbClr w14:val="000000">
                      <w14:alpha w14:val="100000"/>
                    </w14:srgbClr>
                  </w14:solidFill>
                </w14:textFill>
              </w:rPr>
              <w:t>|||</w:t>
            </w:r>
            <w:r w:rsidRPr="00327069">
              <w:rPr>
                <w:color w:val="000000"/>
                <w:spacing w:val="1"/>
                <w:shd w:val="solid" w:color="000000" w:fill="000000"/>
                <w:fitText w:val="315" w:id="-628906747"/>
                <w14:textFill>
                  <w14:solidFill>
                    <w14:srgbClr w14:val="000000">
                      <w14:alpha w14:val="100000"/>
                    </w14:srgbClr>
                  </w14:solidFill>
                </w14:textFill>
              </w:rPr>
              <w:t>|</w:t>
            </w:r>
            <w:r w:rsidR="00546818">
              <w:rPr>
                <w:vertAlign w:val="superscript"/>
              </w:rPr>
              <w:t>2</w:t>
            </w:r>
          </w:p>
        </w:tc>
      </w:tr>
      <w:tr w:rsidR="00050C3F" w:rsidRPr="00050C3F" w14:paraId="046AEB1E" w14:textId="77777777" w:rsidTr="001C20E1">
        <w:trPr>
          <w:cantSplit/>
          <w:jc w:val="center"/>
        </w:trPr>
        <w:tc>
          <w:tcPr>
            <w:tcW w:w="5000" w:type="pct"/>
            <w:gridSpan w:val="7"/>
            <w:vAlign w:val="center"/>
          </w:tcPr>
          <w:p w14:paraId="750CBAE5" w14:textId="4E84EC98" w:rsidR="000C1AFF" w:rsidRPr="00050C3F" w:rsidRDefault="000C1AFF" w:rsidP="001C20E1">
            <w:pPr>
              <w:pStyle w:val="TableText0"/>
              <w:keepLines/>
              <w:rPr>
                <w:b/>
              </w:rPr>
            </w:pPr>
            <w:r w:rsidRPr="00050C3F">
              <w:rPr>
                <w:b/>
              </w:rPr>
              <w:t xml:space="preserve">Estimated financial implications of </w:t>
            </w:r>
            <w:r w:rsidR="00852240" w:rsidRPr="00050C3F">
              <w:rPr>
                <w:b/>
              </w:rPr>
              <w:t>eplerenone</w:t>
            </w:r>
          </w:p>
        </w:tc>
      </w:tr>
      <w:tr w:rsidR="00050C3F" w:rsidRPr="00050C3F" w14:paraId="3993658E" w14:textId="77777777" w:rsidTr="004572A9">
        <w:trPr>
          <w:cantSplit/>
          <w:jc w:val="center"/>
        </w:trPr>
        <w:tc>
          <w:tcPr>
            <w:tcW w:w="1118" w:type="pct"/>
            <w:vAlign w:val="center"/>
          </w:tcPr>
          <w:p w14:paraId="375802A8" w14:textId="174AC05D" w:rsidR="000C1AFF" w:rsidRPr="00050C3F" w:rsidRDefault="000C1AFF" w:rsidP="001C20E1">
            <w:pPr>
              <w:pStyle w:val="TableText0"/>
              <w:keepLines/>
            </w:pPr>
            <w:r w:rsidRPr="00050C3F">
              <w:t>Cost to PBS/RPBS less co</w:t>
            </w:r>
            <w:r w:rsidR="0004446C">
              <w:noBreakHyphen/>
            </w:r>
            <w:r w:rsidRPr="00050C3F">
              <w:t>payment</w:t>
            </w:r>
          </w:p>
        </w:tc>
        <w:tc>
          <w:tcPr>
            <w:tcW w:w="647" w:type="pct"/>
            <w:vAlign w:val="center"/>
          </w:tcPr>
          <w:p w14:paraId="466AAD3D" w14:textId="5A4C5038" w:rsidR="000C1AFF" w:rsidRPr="00AB50F4" w:rsidRDefault="00B47735" w:rsidP="000C1AFF">
            <w:pPr>
              <w:pStyle w:val="TableText0"/>
              <w:keepLines/>
              <w:jc w:val="right"/>
              <w:rPr>
                <w:vertAlign w:val="superscript"/>
              </w:rPr>
            </w:pPr>
            <w:r w:rsidRPr="00050C3F">
              <w:t>$</w:t>
            </w:r>
            <w:r w:rsidR="00DD6600" w:rsidRPr="00327069">
              <w:rPr>
                <w:color w:val="000000"/>
                <w:spacing w:val="48"/>
                <w:shd w:val="solid" w:color="000000" w:fill="000000"/>
                <w:fitText w:val="315" w:id="-628906746"/>
                <w14:textFill>
                  <w14:solidFill>
                    <w14:srgbClr w14:val="000000">
                      <w14:alpha w14:val="100000"/>
                    </w14:srgbClr>
                  </w14:solidFill>
                </w14:textFill>
              </w:rPr>
              <w:t>|||</w:t>
            </w:r>
            <w:r w:rsidR="00DD6600" w:rsidRPr="00327069">
              <w:rPr>
                <w:color w:val="000000"/>
                <w:spacing w:val="1"/>
                <w:shd w:val="solid" w:color="000000" w:fill="000000"/>
                <w:fitText w:val="315" w:id="-628906746"/>
                <w14:textFill>
                  <w14:solidFill>
                    <w14:srgbClr w14:val="000000">
                      <w14:alpha w14:val="100000"/>
                    </w14:srgbClr>
                  </w14:solidFill>
                </w14:textFill>
              </w:rPr>
              <w:t>|</w:t>
            </w:r>
            <w:r w:rsidR="00251714">
              <w:rPr>
                <w:vertAlign w:val="superscript"/>
              </w:rPr>
              <w:t>3</w:t>
            </w:r>
          </w:p>
        </w:tc>
        <w:tc>
          <w:tcPr>
            <w:tcW w:w="647" w:type="pct"/>
            <w:vAlign w:val="center"/>
          </w:tcPr>
          <w:p w14:paraId="0584DE92" w14:textId="72A15751" w:rsidR="000C1AFF" w:rsidRPr="00AB50F4" w:rsidRDefault="00B47735" w:rsidP="000C1AFF">
            <w:pPr>
              <w:pStyle w:val="TableText0"/>
              <w:keepLines/>
              <w:jc w:val="right"/>
              <w:rPr>
                <w:vertAlign w:val="superscript"/>
              </w:rPr>
            </w:pPr>
            <w:r w:rsidRPr="00050C3F">
              <w:t>$</w:t>
            </w:r>
            <w:r w:rsidR="00DD6600" w:rsidRPr="00327069">
              <w:rPr>
                <w:color w:val="000000"/>
                <w:spacing w:val="48"/>
                <w:shd w:val="solid" w:color="000000" w:fill="000000"/>
                <w:fitText w:val="315" w:id="-628906745"/>
                <w14:textFill>
                  <w14:solidFill>
                    <w14:srgbClr w14:val="000000">
                      <w14:alpha w14:val="100000"/>
                    </w14:srgbClr>
                  </w14:solidFill>
                </w14:textFill>
              </w:rPr>
              <w:t>|||</w:t>
            </w:r>
            <w:r w:rsidR="00DD6600" w:rsidRPr="00327069">
              <w:rPr>
                <w:color w:val="000000"/>
                <w:spacing w:val="1"/>
                <w:shd w:val="solid" w:color="000000" w:fill="000000"/>
                <w:fitText w:val="315" w:id="-628906745"/>
                <w14:textFill>
                  <w14:solidFill>
                    <w14:srgbClr w14:val="000000">
                      <w14:alpha w14:val="100000"/>
                    </w14:srgbClr>
                  </w14:solidFill>
                </w14:textFill>
              </w:rPr>
              <w:t>|</w:t>
            </w:r>
            <w:r w:rsidR="00496FF7">
              <w:rPr>
                <w:vertAlign w:val="superscript"/>
              </w:rPr>
              <w:t>3</w:t>
            </w:r>
          </w:p>
        </w:tc>
        <w:tc>
          <w:tcPr>
            <w:tcW w:w="647" w:type="pct"/>
            <w:vAlign w:val="center"/>
          </w:tcPr>
          <w:p w14:paraId="555B3F9C" w14:textId="7DDD3B76" w:rsidR="000C1AFF" w:rsidRPr="00AB50F4" w:rsidRDefault="00B47735" w:rsidP="000C1AFF">
            <w:pPr>
              <w:pStyle w:val="TableText0"/>
              <w:keepLines/>
              <w:jc w:val="right"/>
              <w:rPr>
                <w:vertAlign w:val="superscript"/>
              </w:rPr>
            </w:pPr>
            <w:r w:rsidRPr="00050C3F">
              <w:t>$</w:t>
            </w:r>
            <w:r w:rsidR="00DD6600" w:rsidRPr="00327069">
              <w:rPr>
                <w:color w:val="000000"/>
                <w:spacing w:val="48"/>
                <w:shd w:val="solid" w:color="000000" w:fill="000000"/>
                <w:fitText w:val="315" w:id="-628906744"/>
                <w14:textFill>
                  <w14:solidFill>
                    <w14:srgbClr w14:val="000000">
                      <w14:alpha w14:val="100000"/>
                    </w14:srgbClr>
                  </w14:solidFill>
                </w14:textFill>
              </w:rPr>
              <w:t>|||</w:t>
            </w:r>
            <w:r w:rsidR="00DD6600" w:rsidRPr="00327069">
              <w:rPr>
                <w:color w:val="000000"/>
                <w:spacing w:val="1"/>
                <w:shd w:val="solid" w:color="000000" w:fill="000000"/>
                <w:fitText w:val="315" w:id="-628906744"/>
                <w14:textFill>
                  <w14:solidFill>
                    <w14:srgbClr w14:val="000000">
                      <w14:alpha w14:val="100000"/>
                    </w14:srgbClr>
                  </w14:solidFill>
                </w14:textFill>
              </w:rPr>
              <w:t>|</w:t>
            </w:r>
            <w:r w:rsidR="00496FF7">
              <w:rPr>
                <w:vertAlign w:val="superscript"/>
              </w:rPr>
              <w:t>3</w:t>
            </w:r>
          </w:p>
        </w:tc>
        <w:tc>
          <w:tcPr>
            <w:tcW w:w="647" w:type="pct"/>
            <w:vAlign w:val="center"/>
          </w:tcPr>
          <w:p w14:paraId="28A422D5" w14:textId="383472A4" w:rsidR="000C1AFF" w:rsidRPr="00AB50F4" w:rsidRDefault="00B47735" w:rsidP="000C1AFF">
            <w:pPr>
              <w:pStyle w:val="TableText0"/>
              <w:keepLines/>
              <w:jc w:val="right"/>
              <w:rPr>
                <w:vertAlign w:val="superscript"/>
              </w:rPr>
            </w:pPr>
            <w:r w:rsidRPr="00050C3F">
              <w:t>$</w:t>
            </w:r>
            <w:r w:rsidR="00DD6600" w:rsidRPr="00327069">
              <w:rPr>
                <w:color w:val="000000"/>
                <w:spacing w:val="48"/>
                <w:shd w:val="solid" w:color="000000" w:fill="000000"/>
                <w:fitText w:val="315" w:id="-628906743"/>
                <w14:textFill>
                  <w14:solidFill>
                    <w14:srgbClr w14:val="000000">
                      <w14:alpha w14:val="100000"/>
                    </w14:srgbClr>
                  </w14:solidFill>
                </w14:textFill>
              </w:rPr>
              <w:t>|||</w:t>
            </w:r>
            <w:r w:rsidR="00DD6600" w:rsidRPr="00327069">
              <w:rPr>
                <w:color w:val="000000"/>
                <w:spacing w:val="1"/>
                <w:shd w:val="solid" w:color="000000" w:fill="000000"/>
                <w:fitText w:val="315" w:id="-628906743"/>
                <w14:textFill>
                  <w14:solidFill>
                    <w14:srgbClr w14:val="000000">
                      <w14:alpha w14:val="100000"/>
                    </w14:srgbClr>
                  </w14:solidFill>
                </w14:textFill>
              </w:rPr>
              <w:t>|</w:t>
            </w:r>
            <w:r w:rsidR="00496FF7">
              <w:rPr>
                <w:vertAlign w:val="superscript"/>
              </w:rPr>
              <w:t>3</w:t>
            </w:r>
          </w:p>
        </w:tc>
        <w:tc>
          <w:tcPr>
            <w:tcW w:w="647" w:type="pct"/>
            <w:vAlign w:val="center"/>
          </w:tcPr>
          <w:p w14:paraId="3BD91315" w14:textId="3D596E9F" w:rsidR="000C1AFF" w:rsidRPr="00AB50F4" w:rsidRDefault="00B47735" w:rsidP="000C1AFF">
            <w:pPr>
              <w:pStyle w:val="TableText0"/>
              <w:keepLines/>
              <w:jc w:val="right"/>
              <w:rPr>
                <w:vertAlign w:val="superscript"/>
              </w:rPr>
            </w:pPr>
            <w:r w:rsidRPr="00050C3F">
              <w:t>$</w:t>
            </w:r>
            <w:r w:rsidR="00DD6600" w:rsidRPr="00327069">
              <w:rPr>
                <w:color w:val="000000"/>
                <w:spacing w:val="48"/>
                <w:shd w:val="solid" w:color="000000" w:fill="000000"/>
                <w:fitText w:val="315" w:id="-628906742"/>
                <w14:textFill>
                  <w14:solidFill>
                    <w14:srgbClr w14:val="000000">
                      <w14:alpha w14:val="100000"/>
                    </w14:srgbClr>
                  </w14:solidFill>
                </w14:textFill>
              </w:rPr>
              <w:t>|||</w:t>
            </w:r>
            <w:r w:rsidR="00DD6600" w:rsidRPr="00327069">
              <w:rPr>
                <w:color w:val="000000"/>
                <w:spacing w:val="1"/>
                <w:shd w:val="solid" w:color="000000" w:fill="000000"/>
                <w:fitText w:val="315" w:id="-628906742"/>
                <w14:textFill>
                  <w14:solidFill>
                    <w14:srgbClr w14:val="000000">
                      <w14:alpha w14:val="100000"/>
                    </w14:srgbClr>
                  </w14:solidFill>
                </w14:textFill>
              </w:rPr>
              <w:t>|</w:t>
            </w:r>
            <w:r w:rsidR="00496FF7">
              <w:rPr>
                <w:vertAlign w:val="superscript"/>
              </w:rPr>
              <w:t>3</w:t>
            </w:r>
          </w:p>
        </w:tc>
        <w:tc>
          <w:tcPr>
            <w:tcW w:w="647" w:type="pct"/>
            <w:vAlign w:val="center"/>
          </w:tcPr>
          <w:p w14:paraId="11BDCDF8" w14:textId="7EDB02FF" w:rsidR="000C1AFF" w:rsidRPr="00AB50F4" w:rsidRDefault="00B47735" w:rsidP="004572A9">
            <w:pPr>
              <w:pStyle w:val="TableText0"/>
              <w:keepLines/>
              <w:jc w:val="right"/>
              <w:rPr>
                <w:vertAlign w:val="superscript"/>
              </w:rPr>
            </w:pPr>
            <w:r w:rsidRPr="00050C3F">
              <w:t>$</w:t>
            </w:r>
            <w:r w:rsidR="00DD6600" w:rsidRPr="00327069">
              <w:rPr>
                <w:color w:val="000000"/>
                <w:spacing w:val="48"/>
                <w:shd w:val="solid" w:color="000000" w:fill="000000"/>
                <w:fitText w:val="315" w:id="-628906741"/>
                <w14:textFill>
                  <w14:solidFill>
                    <w14:srgbClr w14:val="000000">
                      <w14:alpha w14:val="100000"/>
                    </w14:srgbClr>
                  </w14:solidFill>
                </w14:textFill>
              </w:rPr>
              <w:t>|||</w:t>
            </w:r>
            <w:r w:rsidR="00DD6600" w:rsidRPr="00327069">
              <w:rPr>
                <w:color w:val="000000"/>
                <w:spacing w:val="1"/>
                <w:shd w:val="solid" w:color="000000" w:fill="000000"/>
                <w:fitText w:val="315" w:id="-628906741"/>
                <w14:textFill>
                  <w14:solidFill>
                    <w14:srgbClr w14:val="000000">
                      <w14:alpha w14:val="100000"/>
                    </w14:srgbClr>
                  </w14:solidFill>
                </w14:textFill>
              </w:rPr>
              <w:t>|</w:t>
            </w:r>
            <w:r w:rsidR="00496FF7">
              <w:rPr>
                <w:vertAlign w:val="superscript"/>
              </w:rPr>
              <w:t>4</w:t>
            </w:r>
          </w:p>
        </w:tc>
      </w:tr>
      <w:tr w:rsidR="00050C3F" w:rsidRPr="00050C3F" w14:paraId="39B4F20E" w14:textId="77777777" w:rsidTr="00762862">
        <w:trPr>
          <w:cantSplit/>
          <w:jc w:val="center"/>
        </w:trPr>
        <w:tc>
          <w:tcPr>
            <w:tcW w:w="5000" w:type="pct"/>
            <w:gridSpan w:val="7"/>
            <w:vAlign w:val="center"/>
          </w:tcPr>
          <w:p w14:paraId="726221BB" w14:textId="0C84A884" w:rsidR="00D70349" w:rsidRPr="00050C3F" w:rsidRDefault="000C1AFF" w:rsidP="00222680">
            <w:pPr>
              <w:pStyle w:val="TableText0"/>
              <w:keepLines/>
              <w:rPr>
                <w:b/>
              </w:rPr>
            </w:pPr>
            <w:bookmarkStart w:id="5" w:name="_Hlk88815214"/>
            <w:r w:rsidRPr="00050C3F">
              <w:rPr>
                <w:b/>
              </w:rPr>
              <w:t xml:space="preserve">Estimated financial implications of </w:t>
            </w:r>
            <w:r w:rsidR="00AA104F" w:rsidRPr="00050C3F">
              <w:rPr>
                <w:b/>
              </w:rPr>
              <w:t>no change to listing of eplerenone</w:t>
            </w:r>
          </w:p>
        </w:tc>
      </w:tr>
      <w:tr w:rsidR="00050C3F" w:rsidRPr="00050C3F" w14:paraId="5F183828" w14:textId="77777777" w:rsidTr="00111999">
        <w:trPr>
          <w:cantSplit/>
          <w:jc w:val="center"/>
        </w:trPr>
        <w:tc>
          <w:tcPr>
            <w:tcW w:w="1118" w:type="pct"/>
            <w:vAlign w:val="center"/>
          </w:tcPr>
          <w:p w14:paraId="6DB6C4F2" w14:textId="2263C7A2" w:rsidR="00D70349" w:rsidRPr="00050C3F" w:rsidRDefault="000C1AFF" w:rsidP="00222680">
            <w:pPr>
              <w:pStyle w:val="TableText0"/>
              <w:keepLines/>
            </w:pPr>
            <w:r w:rsidRPr="00050C3F">
              <w:t>Cost to PBS/RPBS less co</w:t>
            </w:r>
            <w:r w:rsidR="0004446C">
              <w:noBreakHyphen/>
            </w:r>
            <w:r w:rsidRPr="00050C3F">
              <w:t>payment</w:t>
            </w:r>
          </w:p>
        </w:tc>
        <w:tc>
          <w:tcPr>
            <w:tcW w:w="647" w:type="pct"/>
            <w:vAlign w:val="center"/>
          </w:tcPr>
          <w:p w14:paraId="17AE6B28" w14:textId="5911C79F" w:rsidR="00D70349" w:rsidRPr="00AB50F4" w:rsidRDefault="003E3A0C" w:rsidP="00E7391C">
            <w:pPr>
              <w:pStyle w:val="TableText0"/>
              <w:keepLines/>
              <w:jc w:val="right"/>
              <w:rPr>
                <w:vertAlign w:val="superscript"/>
              </w:rPr>
            </w:pPr>
            <w:r w:rsidRPr="00050C3F">
              <w:t>$</w:t>
            </w:r>
            <w:r w:rsidR="0004446C">
              <w:noBreakHyphen/>
            </w:r>
            <w:r w:rsidR="00DD6600" w:rsidRPr="00327069">
              <w:rPr>
                <w:color w:val="000000"/>
                <w:spacing w:val="48"/>
                <w:shd w:val="solid" w:color="000000" w:fill="000000"/>
                <w:fitText w:val="315" w:id="-628906740"/>
                <w14:textFill>
                  <w14:solidFill>
                    <w14:srgbClr w14:val="000000">
                      <w14:alpha w14:val="100000"/>
                    </w14:srgbClr>
                  </w14:solidFill>
                </w14:textFill>
              </w:rPr>
              <w:t>|||</w:t>
            </w:r>
            <w:r w:rsidR="00DD6600" w:rsidRPr="00327069">
              <w:rPr>
                <w:color w:val="000000"/>
                <w:spacing w:val="1"/>
                <w:shd w:val="solid" w:color="000000" w:fill="000000"/>
                <w:fitText w:val="315" w:id="-628906740"/>
                <w14:textFill>
                  <w14:solidFill>
                    <w14:srgbClr w14:val="000000">
                      <w14:alpha w14:val="100000"/>
                    </w14:srgbClr>
                  </w14:solidFill>
                </w14:textFill>
              </w:rPr>
              <w:t>|</w:t>
            </w:r>
            <w:r w:rsidR="00AB50F4">
              <w:rPr>
                <w:vertAlign w:val="superscript"/>
              </w:rPr>
              <w:t>3</w:t>
            </w:r>
          </w:p>
        </w:tc>
        <w:tc>
          <w:tcPr>
            <w:tcW w:w="647" w:type="pct"/>
            <w:vAlign w:val="center"/>
          </w:tcPr>
          <w:p w14:paraId="19519F19" w14:textId="528B403A" w:rsidR="00D70349" w:rsidRPr="00050C3F" w:rsidRDefault="0004446C" w:rsidP="00E7391C">
            <w:pPr>
              <w:pStyle w:val="TableText0"/>
              <w:keepLines/>
              <w:jc w:val="right"/>
            </w:pPr>
            <w:r>
              <w:noBreakHyphen/>
            </w:r>
            <w:r w:rsidR="003E3A0C" w:rsidRPr="00050C3F">
              <w:t>$</w:t>
            </w:r>
            <w:r w:rsidR="00DD6600" w:rsidRPr="00327069">
              <w:rPr>
                <w:color w:val="000000"/>
                <w:spacing w:val="48"/>
                <w:shd w:val="solid" w:color="000000" w:fill="000000"/>
                <w:fitText w:val="315" w:id="-628906739"/>
                <w14:textFill>
                  <w14:solidFill>
                    <w14:srgbClr w14:val="000000">
                      <w14:alpha w14:val="100000"/>
                    </w14:srgbClr>
                  </w14:solidFill>
                </w14:textFill>
              </w:rPr>
              <w:t>|||</w:t>
            </w:r>
            <w:r w:rsidR="00DD6600" w:rsidRPr="00327069">
              <w:rPr>
                <w:color w:val="000000"/>
                <w:spacing w:val="1"/>
                <w:shd w:val="solid" w:color="000000" w:fill="000000"/>
                <w:fitText w:val="315" w:id="-628906739"/>
                <w14:textFill>
                  <w14:solidFill>
                    <w14:srgbClr w14:val="000000">
                      <w14:alpha w14:val="100000"/>
                    </w14:srgbClr>
                  </w14:solidFill>
                </w14:textFill>
              </w:rPr>
              <w:t>|</w:t>
            </w:r>
            <w:r w:rsidR="00AB50F4">
              <w:rPr>
                <w:vertAlign w:val="superscript"/>
              </w:rPr>
              <w:t>3</w:t>
            </w:r>
          </w:p>
        </w:tc>
        <w:tc>
          <w:tcPr>
            <w:tcW w:w="647" w:type="pct"/>
            <w:vAlign w:val="center"/>
          </w:tcPr>
          <w:p w14:paraId="6B513315" w14:textId="54380B63" w:rsidR="00D70349" w:rsidRPr="00050C3F" w:rsidRDefault="0004446C" w:rsidP="00E7391C">
            <w:pPr>
              <w:pStyle w:val="TableText0"/>
              <w:keepLines/>
              <w:jc w:val="right"/>
            </w:pPr>
            <w:r>
              <w:noBreakHyphen/>
            </w:r>
            <w:r w:rsidR="003E3A0C" w:rsidRPr="00050C3F">
              <w:t>$</w:t>
            </w:r>
            <w:r w:rsidR="00DD6600" w:rsidRPr="00327069">
              <w:rPr>
                <w:color w:val="000000"/>
                <w:spacing w:val="48"/>
                <w:shd w:val="solid" w:color="000000" w:fill="000000"/>
                <w:fitText w:val="315" w:id="-628906738"/>
                <w14:textFill>
                  <w14:solidFill>
                    <w14:srgbClr w14:val="000000">
                      <w14:alpha w14:val="100000"/>
                    </w14:srgbClr>
                  </w14:solidFill>
                </w14:textFill>
              </w:rPr>
              <w:t>|||</w:t>
            </w:r>
            <w:r w:rsidR="00DD6600" w:rsidRPr="00327069">
              <w:rPr>
                <w:color w:val="000000"/>
                <w:spacing w:val="1"/>
                <w:shd w:val="solid" w:color="000000" w:fill="000000"/>
                <w:fitText w:val="315" w:id="-628906738"/>
                <w14:textFill>
                  <w14:solidFill>
                    <w14:srgbClr w14:val="000000">
                      <w14:alpha w14:val="100000"/>
                    </w14:srgbClr>
                  </w14:solidFill>
                </w14:textFill>
              </w:rPr>
              <w:t>|</w:t>
            </w:r>
            <w:r w:rsidR="00AB50F4">
              <w:rPr>
                <w:vertAlign w:val="superscript"/>
              </w:rPr>
              <w:t>3</w:t>
            </w:r>
          </w:p>
        </w:tc>
        <w:tc>
          <w:tcPr>
            <w:tcW w:w="647" w:type="pct"/>
            <w:vAlign w:val="center"/>
          </w:tcPr>
          <w:p w14:paraId="2521A4E4" w14:textId="148A3A86" w:rsidR="00D70349" w:rsidRPr="00050C3F" w:rsidRDefault="0004446C" w:rsidP="00E7391C">
            <w:pPr>
              <w:pStyle w:val="TableText0"/>
              <w:keepLines/>
              <w:jc w:val="right"/>
            </w:pPr>
            <w:r>
              <w:noBreakHyphen/>
            </w:r>
            <w:r w:rsidR="003E3A0C" w:rsidRPr="00050C3F">
              <w:t>$</w:t>
            </w:r>
            <w:r w:rsidR="00DD6600" w:rsidRPr="00327069">
              <w:rPr>
                <w:color w:val="000000"/>
                <w:spacing w:val="48"/>
                <w:shd w:val="solid" w:color="000000" w:fill="000000"/>
                <w:fitText w:val="315" w:id="-628906737"/>
                <w14:textFill>
                  <w14:solidFill>
                    <w14:srgbClr w14:val="000000">
                      <w14:alpha w14:val="100000"/>
                    </w14:srgbClr>
                  </w14:solidFill>
                </w14:textFill>
              </w:rPr>
              <w:t>|||</w:t>
            </w:r>
            <w:r w:rsidR="00DD6600" w:rsidRPr="00327069">
              <w:rPr>
                <w:color w:val="000000"/>
                <w:spacing w:val="1"/>
                <w:shd w:val="solid" w:color="000000" w:fill="000000"/>
                <w:fitText w:val="315" w:id="-628906737"/>
                <w14:textFill>
                  <w14:solidFill>
                    <w14:srgbClr w14:val="000000">
                      <w14:alpha w14:val="100000"/>
                    </w14:srgbClr>
                  </w14:solidFill>
                </w14:textFill>
              </w:rPr>
              <w:t>|</w:t>
            </w:r>
            <w:r w:rsidR="00AB50F4">
              <w:rPr>
                <w:vertAlign w:val="superscript"/>
              </w:rPr>
              <w:t>3</w:t>
            </w:r>
          </w:p>
        </w:tc>
        <w:tc>
          <w:tcPr>
            <w:tcW w:w="647" w:type="pct"/>
            <w:vAlign w:val="center"/>
          </w:tcPr>
          <w:p w14:paraId="16BF86D6" w14:textId="4682799B" w:rsidR="00D70349" w:rsidRPr="00050C3F" w:rsidRDefault="0004446C" w:rsidP="00E7391C">
            <w:pPr>
              <w:pStyle w:val="TableText0"/>
              <w:keepLines/>
              <w:jc w:val="right"/>
            </w:pPr>
            <w:r>
              <w:noBreakHyphen/>
            </w:r>
            <w:r w:rsidR="003E3A0C" w:rsidRPr="00050C3F">
              <w:t>$</w:t>
            </w:r>
            <w:r w:rsidR="00DD6600" w:rsidRPr="00327069">
              <w:rPr>
                <w:color w:val="000000"/>
                <w:spacing w:val="48"/>
                <w:shd w:val="solid" w:color="000000" w:fill="000000"/>
                <w:fitText w:val="315" w:id="-628906736"/>
                <w14:textFill>
                  <w14:solidFill>
                    <w14:srgbClr w14:val="000000">
                      <w14:alpha w14:val="100000"/>
                    </w14:srgbClr>
                  </w14:solidFill>
                </w14:textFill>
              </w:rPr>
              <w:t>|||</w:t>
            </w:r>
            <w:r w:rsidR="00DD6600" w:rsidRPr="00327069">
              <w:rPr>
                <w:color w:val="000000"/>
                <w:spacing w:val="1"/>
                <w:shd w:val="solid" w:color="000000" w:fill="000000"/>
                <w:fitText w:val="315" w:id="-628906736"/>
                <w14:textFill>
                  <w14:solidFill>
                    <w14:srgbClr w14:val="000000">
                      <w14:alpha w14:val="100000"/>
                    </w14:srgbClr>
                  </w14:solidFill>
                </w14:textFill>
              </w:rPr>
              <w:t>|</w:t>
            </w:r>
            <w:r w:rsidR="00AB50F4">
              <w:rPr>
                <w:vertAlign w:val="superscript"/>
              </w:rPr>
              <w:t>3</w:t>
            </w:r>
          </w:p>
        </w:tc>
        <w:tc>
          <w:tcPr>
            <w:tcW w:w="647" w:type="pct"/>
            <w:vAlign w:val="center"/>
          </w:tcPr>
          <w:p w14:paraId="4CA48892" w14:textId="2598B7E3" w:rsidR="00D70349" w:rsidRPr="00050C3F" w:rsidRDefault="0004446C" w:rsidP="00E7391C">
            <w:pPr>
              <w:pStyle w:val="TableText0"/>
              <w:keepLines/>
              <w:jc w:val="right"/>
            </w:pPr>
            <w:r>
              <w:noBreakHyphen/>
            </w:r>
            <w:r w:rsidR="003E3A0C" w:rsidRPr="00050C3F">
              <w:t>$</w:t>
            </w:r>
            <w:r w:rsidR="00DD6600" w:rsidRPr="00327069">
              <w:rPr>
                <w:color w:val="000000"/>
                <w:spacing w:val="48"/>
                <w:shd w:val="solid" w:color="000000" w:fill="000000"/>
                <w:fitText w:val="315" w:id="-628906752"/>
                <w14:textFill>
                  <w14:solidFill>
                    <w14:srgbClr w14:val="000000">
                      <w14:alpha w14:val="100000"/>
                    </w14:srgbClr>
                  </w14:solidFill>
                </w14:textFill>
              </w:rPr>
              <w:t>|||</w:t>
            </w:r>
            <w:r w:rsidR="00DD6600" w:rsidRPr="00327069">
              <w:rPr>
                <w:color w:val="000000"/>
                <w:spacing w:val="1"/>
                <w:shd w:val="solid" w:color="000000" w:fill="000000"/>
                <w:fitText w:val="315" w:id="-628906752"/>
                <w14:textFill>
                  <w14:solidFill>
                    <w14:srgbClr w14:val="000000">
                      <w14:alpha w14:val="100000"/>
                    </w14:srgbClr>
                  </w14:solidFill>
                </w14:textFill>
              </w:rPr>
              <w:t>|</w:t>
            </w:r>
            <w:r w:rsidR="00AB50F4">
              <w:rPr>
                <w:vertAlign w:val="superscript"/>
              </w:rPr>
              <w:t>3</w:t>
            </w:r>
          </w:p>
        </w:tc>
      </w:tr>
      <w:bookmarkEnd w:id="5"/>
      <w:tr w:rsidR="00050C3F" w:rsidRPr="00050C3F" w14:paraId="3CD835A0" w14:textId="77777777" w:rsidTr="000C1AFF">
        <w:trPr>
          <w:cantSplit/>
          <w:jc w:val="center"/>
        </w:trPr>
        <w:tc>
          <w:tcPr>
            <w:tcW w:w="5000" w:type="pct"/>
            <w:gridSpan w:val="7"/>
            <w:vAlign w:val="center"/>
          </w:tcPr>
          <w:p w14:paraId="0717F32A" w14:textId="599CB1D7" w:rsidR="000C1AFF" w:rsidRPr="00050C3F" w:rsidRDefault="000C1AFF" w:rsidP="00222680">
            <w:pPr>
              <w:pStyle w:val="TableText0"/>
              <w:keepLines/>
              <w:rPr>
                <w:b/>
                <w:bCs w:val="0"/>
              </w:rPr>
            </w:pPr>
            <w:r w:rsidRPr="00050C3F">
              <w:rPr>
                <w:b/>
                <w:bCs w:val="0"/>
              </w:rPr>
              <w:t>Net financial implications</w:t>
            </w:r>
          </w:p>
        </w:tc>
      </w:tr>
      <w:tr w:rsidR="00050C3F" w:rsidRPr="00050C3F" w14:paraId="6DC7AAF7" w14:textId="77777777" w:rsidTr="00F269F2">
        <w:trPr>
          <w:cantSplit/>
          <w:jc w:val="center"/>
        </w:trPr>
        <w:tc>
          <w:tcPr>
            <w:tcW w:w="1118" w:type="pct"/>
            <w:vAlign w:val="center"/>
          </w:tcPr>
          <w:p w14:paraId="41FA959D" w14:textId="6A62CDCD" w:rsidR="00111999" w:rsidRPr="00050C3F" w:rsidRDefault="00111999" w:rsidP="00111999">
            <w:pPr>
              <w:pStyle w:val="TableText0"/>
              <w:keepLines/>
            </w:pPr>
            <w:r w:rsidRPr="00050C3F">
              <w:t>Net cost to PBS/RPBS</w:t>
            </w:r>
          </w:p>
        </w:tc>
        <w:tc>
          <w:tcPr>
            <w:tcW w:w="647" w:type="pct"/>
          </w:tcPr>
          <w:p w14:paraId="454A7C1B" w14:textId="7E8FF961"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51"/>
                <w14:textFill>
                  <w14:solidFill>
                    <w14:srgbClr w14:val="000000">
                      <w14:alpha w14:val="100000"/>
                    </w14:srgbClr>
                  </w14:solidFill>
                </w14:textFill>
              </w:rPr>
              <w:t>|||</w:t>
            </w:r>
            <w:r w:rsidR="00DD6600" w:rsidRPr="00327069">
              <w:rPr>
                <w:color w:val="000000"/>
                <w:spacing w:val="1"/>
                <w:shd w:val="solid" w:color="000000" w:fill="000000"/>
                <w:fitText w:val="315" w:id="-628906751"/>
                <w14:textFill>
                  <w14:solidFill>
                    <w14:srgbClr w14:val="000000">
                      <w14:alpha w14:val="100000"/>
                    </w14:srgbClr>
                  </w14:solidFill>
                </w14:textFill>
              </w:rPr>
              <w:t>|</w:t>
            </w:r>
            <w:r w:rsidR="00AB50F4">
              <w:rPr>
                <w:vertAlign w:val="superscript"/>
              </w:rPr>
              <w:t>3</w:t>
            </w:r>
          </w:p>
        </w:tc>
        <w:tc>
          <w:tcPr>
            <w:tcW w:w="647" w:type="pct"/>
          </w:tcPr>
          <w:p w14:paraId="5587EA01" w14:textId="0AEFA63F"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50"/>
                <w14:textFill>
                  <w14:solidFill>
                    <w14:srgbClr w14:val="000000">
                      <w14:alpha w14:val="100000"/>
                    </w14:srgbClr>
                  </w14:solidFill>
                </w14:textFill>
              </w:rPr>
              <w:t>|||</w:t>
            </w:r>
            <w:r w:rsidR="00DD6600" w:rsidRPr="00327069">
              <w:rPr>
                <w:color w:val="000000"/>
                <w:spacing w:val="1"/>
                <w:shd w:val="solid" w:color="000000" w:fill="000000"/>
                <w:fitText w:val="315" w:id="-628906750"/>
                <w14:textFill>
                  <w14:solidFill>
                    <w14:srgbClr w14:val="000000">
                      <w14:alpha w14:val="100000"/>
                    </w14:srgbClr>
                  </w14:solidFill>
                </w14:textFill>
              </w:rPr>
              <w:t>|</w:t>
            </w:r>
            <w:r w:rsidR="00AB50F4">
              <w:rPr>
                <w:vertAlign w:val="superscript"/>
              </w:rPr>
              <w:t>3</w:t>
            </w:r>
          </w:p>
        </w:tc>
        <w:tc>
          <w:tcPr>
            <w:tcW w:w="647" w:type="pct"/>
          </w:tcPr>
          <w:p w14:paraId="5A290C2B" w14:textId="4806E3E4"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49"/>
                <w14:textFill>
                  <w14:solidFill>
                    <w14:srgbClr w14:val="000000">
                      <w14:alpha w14:val="100000"/>
                    </w14:srgbClr>
                  </w14:solidFill>
                </w14:textFill>
              </w:rPr>
              <w:t>|||</w:t>
            </w:r>
            <w:r w:rsidR="00DD6600" w:rsidRPr="00327069">
              <w:rPr>
                <w:color w:val="000000"/>
                <w:spacing w:val="1"/>
                <w:shd w:val="solid" w:color="000000" w:fill="000000"/>
                <w:fitText w:val="315" w:id="-628906749"/>
                <w14:textFill>
                  <w14:solidFill>
                    <w14:srgbClr w14:val="000000">
                      <w14:alpha w14:val="100000"/>
                    </w14:srgbClr>
                  </w14:solidFill>
                </w14:textFill>
              </w:rPr>
              <w:t>|</w:t>
            </w:r>
            <w:r w:rsidR="00AB50F4">
              <w:rPr>
                <w:vertAlign w:val="superscript"/>
              </w:rPr>
              <w:t>3</w:t>
            </w:r>
          </w:p>
        </w:tc>
        <w:tc>
          <w:tcPr>
            <w:tcW w:w="647" w:type="pct"/>
          </w:tcPr>
          <w:p w14:paraId="73C4A55C" w14:textId="5C8BFD38"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48"/>
                <w14:textFill>
                  <w14:solidFill>
                    <w14:srgbClr w14:val="000000">
                      <w14:alpha w14:val="100000"/>
                    </w14:srgbClr>
                  </w14:solidFill>
                </w14:textFill>
              </w:rPr>
              <w:t>|||</w:t>
            </w:r>
            <w:r w:rsidR="00DD6600" w:rsidRPr="00327069">
              <w:rPr>
                <w:color w:val="000000"/>
                <w:spacing w:val="1"/>
                <w:shd w:val="solid" w:color="000000" w:fill="000000"/>
                <w:fitText w:val="315" w:id="-628906748"/>
                <w14:textFill>
                  <w14:solidFill>
                    <w14:srgbClr w14:val="000000">
                      <w14:alpha w14:val="100000"/>
                    </w14:srgbClr>
                  </w14:solidFill>
                </w14:textFill>
              </w:rPr>
              <w:t>|</w:t>
            </w:r>
            <w:r w:rsidR="00AB50F4">
              <w:rPr>
                <w:vertAlign w:val="superscript"/>
              </w:rPr>
              <w:t>3</w:t>
            </w:r>
          </w:p>
        </w:tc>
        <w:tc>
          <w:tcPr>
            <w:tcW w:w="647" w:type="pct"/>
          </w:tcPr>
          <w:p w14:paraId="5A08AF29" w14:textId="42EF2E83"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47"/>
                <w14:textFill>
                  <w14:solidFill>
                    <w14:srgbClr w14:val="000000">
                      <w14:alpha w14:val="100000"/>
                    </w14:srgbClr>
                  </w14:solidFill>
                </w14:textFill>
              </w:rPr>
              <w:t>|||</w:t>
            </w:r>
            <w:r w:rsidR="00DD6600" w:rsidRPr="00327069">
              <w:rPr>
                <w:color w:val="000000"/>
                <w:spacing w:val="1"/>
                <w:shd w:val="solid" w:color="000000" w:fill="000000"/>
                <w:fitText w:val="315" w:id="-628906747"/>
                <w14:textFill>
                  <w14:solidFill>
                    <w14:srgbClr w14:val="000000">
                      <w14:alpha w14:val="100000"/>
                    </w14:srgbClr>
                  </w14:solidFill>
                </w14:textFill>
              </w:rPr>
              <w:t>|</w:t>
            </w:r>
            <w:r w:rsidR="00AB50F4">
              <w:rPr>
                <w:vertAlign w:val="superscript"/>
              </w:rPr>
              <w:t>3</w:t>
            </w:r>
          </w:p>
        </w:tc>
        <w:tc>
          <w:tcPr>
            <w:tcW w:w="647" w:type="pct"/>
          </w:tcPr>
          <w:p w14:paraId="1A3491BC" w14:textId="6BAA3F50" w:rsidR="00111999" w:rsidRPr="00050C3F" w:rsidRDefault="00111999" w:rsidP="00111999">
            <w:pPr>
              <w:pStyle w:val="TableText0"/>
              <w:keepLines/>
              <w:jc w:val="right"/>
            </w:pPr>
            <w:r w:rsidRPr="00050C3F">
              <w:t>$</w:t>
            </w:r>
            <w:r w:rsidR="00DD6600" w:rsidRPr="00327069">
              <w:rPr>
                <w:color w:val="000000"/>
                <w:spacing w:val="48"/>
                <w:shd w:val="solid" w:color="000000" w:fill="000000"/>
                <w:fitText w:val="315" w:id="-628906746"/>
                <w14:textFill>
                  <w14:solidFill>
                    <w14:srgbClr w14:val="000000">
                      <w14:alpha w14:val="100000"/>
                    </w14:srgbClr>
                  </w14:solidFill>
                </w14:textFill>
              </w:rPr>
              <w:t>|||</w:t>
            </w:r>
            <w:r w:rsidR="00DD6600" w:rsidRPr="00327069">
              <w:rPr>
                <w:color w:val="000000"/>
                <w:spacing w:val="1"/>
                <w:shd w:val="solid" w:color="000000" w:fill="000000"/>
                <w:fitText w:val="315" w:id="-628906746"/>
                <w14:textFill>
                  <w14:solidFill>
                    <w14:srgbClr w14:val="000000">
                      <w14:alpha w14:val="100000"/>
                    </w14:srgbClr>
                  </w14:solidFill>
                </w14:textFill>
              </w:rPr>
              <w:t>|</w:t>
            </w:r>
            <w:r w:rsidR="00AB50F4">
              <w:rPr>
                <w:vertAlign w:val="superscript"/>
              </w:rPr>
              <w:t>3</w:t>
            </w:r>
          </w:p>
        </w:tc>
      </w:tr>
    </w:tbl>
    <w:p w14:paraId="0C566A53" w14:textId="136E6341" w:rsidR="000F7C27" w:rsidRPr="00050C3F" w:rsidRDefault="00D70349" w:rsidP="00D70349">
      <w:pPr>
        <w:pStyle w:val="TableFigureFooter"/>
        <w:keepNext/>
        <w:jc w:val="left"/>
      </w:pPr>
      <w:proofErr w:type="gramStart"/>
      <w:r w:rsidRPr="00050C3F">
        <w:rPr>
          <w:vertAlign w:val="superscript"/>
        </w:rPr>
        <w:t>a</w:t>
      </w:r>
      <w:proofErr w:type="gramEnd"/>
      <w:r w:rsidRPr="00050C3F">
        <w:t xml:space="preserve"> Assuming </w:t>
      </w:r>
      <w:r w:rsidR="003F2E69" w:rsidRPr="00050C3F">
        <w:t xml:space="preserve">12 scripts </w:t>
      </w:r>
      <w:r w:rsidRPr="00050C3F">
        <w:t>per patient per year as estimated by the submission.</w:t>
      </w:r>
      <w:r w:rsidR="00AB4684" w:rsidRPr="00050C3F">
        <w:t xml:space="preserve"> </w:t>
      </w:r>
    </w:p>
    <w:p w14:paraId="42320224" w14:textId="489B63F4" w:rsidR="00D70349" w:rsidRPr="00050C3F" w:rsidRDefault="00AB4684" w:rsidP="00D70349">
      <w:pPr>
        <w:pStyle w:val="TableFigureFooter"/>
        <w:keepNext/>
        <w:jc w:val="left"/>
      </w:pPr>
      <w:r w:rsidRPr="00050C3F">
        <w:t>Abbreviations: MBS = Medical Benefits Scheme; PBS = Pharmaceutical Benefits Scheme; RPBS = Repatriation Pharmaceutical Benefits Scheme.</w:t>
      </w:r>
    </w:p>
    <w:p w14:paraId="12CFFFF9" w14:textId="3B6C921A" w:rsidR="00E7391C" w:rsidRPr="00AB50F4" w:rsidRDefault="00D70349" w:rsidP="00AB50F4">
      <w:pPr>
        <w:pStyle w:val="TableFigureFooter"/>
        <w:keepNext/>
        <w:jc w:val="left"/>
        <w:rPr>
          <w:i/>
          <w:iCs/>
        </w:rPr>
      </w:pPr>
      <w:r w:rsidRPr="00050C3F">
        <w:t>Source: Table</w:t>
      </w:r>
      <w:r w:rsidR="004F25D2" w:rsidRPr="00050C3F">
        <w:t xml:space="preserve"> 1</w:t>
      </w:r>
      <w:r w:rsidR="0004446C">
        <w:noBreakHyphen/>
      </w:r>
      <w:r w:rsidR="004F25D2" w:rsidRPr="00050C3F">
        <w:t>5</w:t>
      </w:r>
      <w:r w:rsidR="00E061EA" w:rsidRPr="00050C3F">
        <w:t xml:space="preserve"> </w:t>
      </w:r>
      <w:r w:rsidRPr="00050C3F">
        <w:t>of the</w:t>
      </w:r>
      <w:r w:rsidR="00E061EA" w:rsidRPr="00050C3F">
        <w:t xml:space="preserve"> Utilisation and Cost Model Workbook of the</w:t>
      </w:r>
      <w:r w:rsidRPr="00050C3F">
        <w:t xml:space="preserve"> submission</w:t>
      </w:r>
      <w:r w:rsidR="007C1A44">
        <w:br/>
      </w:r>
      <w:r w:rsidR="007C1A44">
        <w:rPr>
          <w:i/>
          <w:iCs/>
        </w:rPr>
        <w:t xml:space="preserve">The redacted </w:t>
      </w:r>
      <w:r w:rsidR="00BF3336">
        <w:rPr>
          <w:i/>
          <w:iCs/>
        </w:rPr>
        <w:t>values correspond to the following ranges:</w:t>
      </w:r>
      <w:r w:rsidR="00546818">
        <w:rPr>
          <w:i/>
          <w:iCs/>
        </w:rPr>
        <w:br/>
      </w:r>
      <w:r w:rsidR="00546818">
        <w:rPr>
          <w:i/>
          <w:iCs/>
          <w:vertAlign w:val="superscript"/>
        </w:rPr>
        <w:t xml:space="preserve">1 </w:t>
      </w:r>
      <w:r w:rsidR="00546818">
        <w:rPr>
          <w:i/>
          <w:iCs/>
        </w:rPr>
        <w:t>100,000 to &lt; 200,000</w:t>
      </w:r>
      <w:r w:rsidR="00546818">
        <w:rPr>
          <w:i/>
          <w:iCs/>
        </w:rPr>
        <w:br/>
      </w:r>
      <w:r w:rsidR="00546818" w:rsidRPr="00EB7910">
        <w:rPr>
          <w:i/>
          <w:iCs/>
          <w:vertAlign w:val="superscript"/>
        </w:rPr>
        <w:t>2</w:t>
      </w:r>
      <w:r w:rsidR="00546818">
        <w:rPr>
          <w:i/>
          <w:iCs/>
        </w:rPr>
        <w:t xml:space="preserve"> 200,000 to &lt; 300,000</w:t>
      </w:r>
      <w:r w:rsidR="00251714">
        <w:rPr>
          <w:i/>
          <w:iCs/>
        </w:rPr>
        <w:br/>
      </w:r>
      <w:r w:rsidR="00251714">
        <w:rPr>
          <w:i/>
          <w:iCs/>
          <w:vertAlign w:val="superscript"/>
        </w:rPr>
        <w:t>3</w:t>
      </w:r>
      <w:r w:rsidR="00251714">
        <w:rPr>
          <w:i/>
          <w:iCs/>
        </w:rPr>
        <w:t xml:space="preserve"> </w:t>
      </w:r>
      <w:r w:rsidR="00496FF7">
        <w:rPr>
          <w:i/>
          <w:iCs/>
        </w:rPr>
        <w:t>$0 to &lt; $10 million</w:t>
      </w:r>
      <w:r w:rsidR="00496FF7">
        <w:rPr>
          <w:i/>
          <w:iCs/>
        </w:rPr>
        <w:br/>
      </w:r>
      <w:r w:rsidR="00496FF7">
        <w:rPr>
          <w:i/>
          <w:iCs/>
          <w:vertAlign w:val="superscript"/>
        </w:rPr>
        <w:t>4</w:t>
      </w:r>
      <w:r w:rsidR="00496FF7">
        <w:rPr>
          <w:i/>
          <w:iCs/>
        </w:rPr>
        <w:t xml:space="preserve"> $10 million to &lt; $20 million</w:t>
      </w:r>
    </w:p>
    <w:p w14:paraId="5BADE602" w14:textId="68DB54DF" w:rsidR="00C12349" w:rsidRDefault="00335675" w:rsidP="00335675">
      <w:pPr>
        <w:pStyle w:val="2-SectionHeading"/>
      </w:pPr>
      <w:r>
        <w:t xml:space="preserve">PBAC </w:t>
      </w:r>
      <w:r w:rsidR="00F42BC1">
        <w:t>O</w:t>
      </w:r>
      <w:r>
        <w:t>utcome</w:t>
      </w:r>
    </w:p>
    <w:p w14:paraId="091716A9" w14:textId="39599B43" w:rsidR="00933CD5" w:rsidRDefault="000B2BFA" w:rsidP="00933CD5">
      <w:pPr>
        <w:pStyle w:val="3-BodyText"/>
      </w:pPr>
      <w:r>
        <w:t>The PBAC deferred making a recommendation</w:t>
      </w:r>
      <w:r w:rsidR="00933CD5">
        <w:t xml:space="preserve"> </w:t>
      </w:r>
      <w:r w:rsidR="009727EB">
        <w:t>for</w:t>
      </w:r>
      <w:r>
        <w:t xml:space="preserve"> </w:t>
      </w:r>
      <w:r w:rsidR="003C565E">
        <w:t xml:space="preserve">the </w:t>
      </w:r>
      <w:r w:rsidR="00933CD5" w:rsidRPr="005F7161">
        <w:rPr>
          <w:rFonts w:cstheme="minorHAnsi"/>
        </w:rPr>
        <w:t>requested amendments to the current PBS restriction for eplerenone (Inspra</w:t>
      </w:r>
      <w:r w:rsidR="00933CD5" w:rsidRPr="000A25C8">
        <w:rPr>
          <w:rFonts w:cstheme="minorHAnsi"/>
          <w:vertAlign w:val="superscript"/>
        </w:rPr>
        <w:t>®</w:t>
      </w:r>
      <w:r w:rsidR="00933CD5" w:rsidRPr="005F7161">
        <w:rPr>
          <w:rFonts w:cstheme="minorHAnsi"/>
        </w:rPr>
        <w:t>) to align with clinical guidelines for the management of heart failure.</w:t>
      </w:r>
    </w:p>
    <w:p w14:paraId="59C200AC" w14:textId="1716A002" w:rsidR="008F31F2" w:rsidRDefault="00EE4536" w:rsidP="008F31F2">
      <w:pPr>
        <w:pStyle w:val="3-BodyText"/>
      </w:pPr>
      <w:r>
        <w:t xml:space="preserve">The PBAC noted the lack of </w:t>
      </w:r>
      <w:r w:rsidR="001B6750" w:rsidRPr="008E6BE1">
        <w:t>mineralocorticoid receptor antagonist</w:t>
      </w:r>
      <w:r w:rsidR="001B6750" w:rsidRPr="008E6BE1">
        <w:rPr>
          <w:rFonts w:cstheme="minorHAnsi"/>
          <w:iCs/>
        </w:rPr>
        <w:t xml:space="preserve"> (MRA)</w:t>
      </w:r>
      <w:r w:rsidR="00B70921">
        <w:t xml:space="preserve"> medication </w:t>
      </w:r>
      <w:r>
        <w:t>options</w:t>
      </w:r>
      <w:r w:rsidR="00FB3842">
        <w:t xml:space="preserve"> on the PBS</w:t>
      </w:r>
      <w:r w:rsidR="00B70921">
        <w:t>,</w:t>
      </w:r>
      <w:r w:rsidR="00FB3842">
        <w:t xml:space="preserve"> and the barriers to </w:t>
      </w:r>
      <w:r w:rsidR="008F31F2">
        <w:t xml:space="preserve">subsidised </w:t>
      </w:r>
      <w:r w:rsidR="00FB3842">
        <w:t>access of eplerenone</w:t>
      </w:r>
      <w:r w:rsidR="00395E58">
        <w:t xml:space="preserve"> due to the current PBS restriction. </w:t>
      </w:r>
    </w:p>
    <w:p w14:paraId="700CFF4A" w14:textId="5059B6C8" w:rsidR="00C34C86" w:rsidRDefault="00C34C86" w:rsidP="00335675">
      <w:pPr>
        <w:pStyle w:val="3-BodyText"/>
      </w:pPr>
      <w:r>
        <w:t>The PBAC considered that any updated restriction fo</w:t>
      </w:r>
      <w:r w:rsidR="00E031B6">
        <w:t xml:space="preserve">r eplerenone should align with the TGA approved indication. </w:t>
      </w:r>
    </w:p>
    <w:p w14:paraId="774F86FF" w14:textId="22878CB2" w:rsidR="00577EB2" w:rsidRDefault="00167575" w:rsidP="00335675">
      <w:pPr>
        <w:pStyle w:val="3-BodyText"/>
      </w:pPr>
      <w:r>
        <w:t xml:space="preserve">The PBAC noted </w:t>
      </w:r>
      <w:r w:rsidR="00740067">
        <w:t xml:space="preserve">that the submission had nominated </w:t>
      </w:r>
      <w:r w:rsidR="001C25F1">
        <w:t>placebo/standard of care</w:t>
      </w:r>
      <w:r w:rsidR="00740067">
        <w:t xml:space="preserve"> as the </w:t>
      </w:r>
      <w:r w:rsidR="00085A57">
        <w:t>main comparator</w:t>
      </w:r>
      <w:r w:rsidR="3C8E93B4">
        <w:t xml:space="preserve"> </w:t>
      </w:r>
      <w:r w:rsidR="00B655ED">
        <w:t>but considered that spironolactone was a more appropriate comparator a</w:t>
      </w:r>
      <w:r w:rsidR="005E165F">
        <w:t>s</w:t>
      </w:r>
      <w:r w:rsidR="00B778B9">
        <w:t xml:space="preserve"> it</w:t>
      </w:r>
      <w:r w:rsidR="00B655ED">
        <w:t xml:space="preserve"> is the </w:t>
      </w:r>
      <w:r w:rsidR="002F0C66">
        <w:t xml:space="preserve">main MRA medication that eplerenone would likely replace in therapy. </w:t>
      </w:r>
    </w:p>
    <w:p w14:paraId="55B1E961" w14:textId="0B7679ED" w:rsidR="00106580" w:rsidRDefault="006F514A" w:rsidP="006F514A">
      <w:pPr>
        <w:pStyle w:val="3-BodyText"/>
      </w:pPr>
      <w:r>
        <w:t xml:space="preserve">The PBAC noted the significant price </w:t>
      </w:r>
      <w:r w:rsidR="002C26D5">
        <w:t>difference between spironolactone and eplerenone</w:t>
      </w:r>
      <w:r w:rsidR="00933972">
        <w:t xml:space="preserve"> (i.e. ep</w:t>
      </w:r>
      <w:r w:rsidR="003D63DC">
        <w:t>lerenone being more costly)</w:t>
      </w:r>
      <w:r>
        <w:t xml:space="preserve">, and considered </w:t>
      </w:r>
      <w:r w:rsidR="000C0717">
        <w:t>it was unclear if</w:t>
      </w:r>
      <w:r w:rsidR="00026707">
        <w:t xml:space="preserve"> </w:t>
      </w:r>
      <w:r w:rsidR="003E6CE8">
        <w:t>eplerenone</w:t>
      </w:r>
      <w:r w:rsidR="000C0717">
        <w:t xml:space="preserve"> </w:t>
      </w:r>
      <w:r w:rsidR="008E4F4E">
        <w:t>would be</w:t>
      </w:r>
      <w:r w:rsidR="003E6CE8">
        <w:t xml:space="preserve"> cost</w:t>
      </w:r>
      <w:r w:rsidR="0004446C">
        <w:noBreakHyphen/>
      </w:r>
      <w:r w:rsidR="003E6CE8">
        <w:t xml:space="preserve">effective against </w:t>
      </w:r>
      <w:r w:rsidR="00AA05A9">
        <w:t>spironolactone.</w:t>
      </w:r>
      <w:r w:rsidR="00222A38">
        <w:t xml:space="preserve"> </w:t>
      </w:r>
    </w:p>
    <w:p w14:paraId="56453F1E" w14:textId="502AB161" w:rsidR="0039210A" w:rsidRDefault="006B0156" w:rsidP="00335675">
      <w:pPr>
        <w:pStyle w:val="3-BodyText"/>
      </w:pPr>
      <w:r>
        <w:t xml:space="preserve">The PBAC discussed </w:t>
      </w:r>
      <w:r w:rsidR="00527863">
        <w:t>the</w:t>
      </w:r>
      <w:r w:rsidRPr="00E85C1E">
        <w:t xml:space="preserve"> need for a cost minimisation </w:t>
      </w:r>
      <w:r w:rsidR="00E37E18">
        <w:t>approach</w:t>
      </w:r>
      <w:r w:rsidR="00E37E18" w:rsidRPr="00E85C1E">
        <w:t xml:space="preserve"> </w:t>
      </w:r>
      <w:r w:rsidRPr="00E85C1E">
        <w:t>for an expand</w:t>
      </w:r>
      <w:r w:rsidR="00B21F35">
        <w:t>ed</w:t>
      </w:r>
      <w:r w:rsidRPr="00E85C1E">
        <w:t xml:space="preserve"> population comparing eplerenone to spironolactone, or for eplerenone </w:t>
      </w:r>
      <w:r w:rsidR="00C03672">
        <w:t xml:space="preserve">as a second line therapy to spironolactone </w:t>
      </w:r>
      <w:r w:rsidR="00531519">
        <w:t xml:space="preserve">to be explored. </w:t>
      </w:r>
    </w:p>
    <w:p w14:paraId="26FA4B8F" w14:textId="688524DB" w:rsidR="08B6EDF2" w:rsidRDefault="08B6EDF2" w:rsidP="7756AFD5">
      <w:pPr>
        <w:pStyle w:val="3-BodyText"/>
        <w:rPr>
          <w:rFonts w:ascii="Calibri" w:eastAsia="Calibri" w:hAnsi="Calibri" w:cs="Calibri"/>
          <w:i/>
          <w:iCs/>
          <w:szCs w:val="24"/>
        </w:rPr>
      </w:pPr>
      <w:r>
        <w:t xml:space="preserve">The PBAC considered that an epidemiological approach </w:t>
      </w:r>
      <w:r w:rsidR="0B710FDA">
        <w:t xml:space="preserve">with assumptions based on relevant clinical advice </w:t>
      </w:r>
      <w:r>
        <w:t xml:space="preserve">would be appropriate to estimate the utilisation </w:t>
      </w:r>
      <w:r w:rsidR="493FCDB2">
        <w:t xml:space="preserve">and financial impact </w:t>
      </w:r>
      <w:r>
        <w:t xml:space="preserve">of </w:t>
      </w:r>
      <w:r w:rsidRPr="001922FA">
        <w:rPr>
          <w:rFonts w:ascii="Calibri" w:eastAsia="Calibri" w:hAnsi="Calibri" w:cs="Calibri"/>
          <w:szCs w:val="24"/>
        </w:rPr>
        <w:t xml:space="preserve">eplerenone for the new population proposed under the restriction. </w:t>
      </w:r>
    </w:p>
    <w:p w14:paraId="2DA0CEF5" w14:textId="20890E69" w:rsidR="4A9634EA" w:rsidRPr="00356990" w:rsidRDefault="006E6DF9" w:rsidP="00356990">
      <w:pPr>
        <w:pStyle w:val="3-BodyText"/>
      </w:pPr>
      <w:r>
        <w:lastRenderedPageBreak/>
        <w:t xml:space="preserve">The PBAC </w:t>
      </w:r>
      <w:r w:rsidR="002F071B">
        <w:t>considered that further discussions</w:t>
      </w:r>
      <w:r w:rsidR="00DF7D32">
        <w:t xml:space="preserve"> with the sponsor to explore </w:t>
      </w:r>
      <w:r w:rsidR="00DB78ED">
        <w:t xml:space="preserve">the cost effectiveness of eplerenone with respect to </w:t>
      </w:r>
      <w:r w:rsidR="00E4541A">
        <w:t xml:space="preserve">spironolactone </w:t>
      </w:r>
      <w:r w:rsidR="77118548">
        <w:t xml:space="preserve">and the appropriate approach to present the utilisation and </w:t>
      </w:r>
      <w:r w:rsidR="6011B0AE">
        <w:t>financial estimates</w:t>
      </w:r>
      <w:r w:rsidR="77118548">
        <w:t xml:space="preserve"> </w:t>
      </w:r>
      <w:r w:rsidR="00940DD4">
        <w:t>would be pragmatic</w:t>
      </w:r>
      <w:r w:rsidR="00E10841">
        <w:t xml:space="preserve"> and therefore deferred making a recommendation for the submission at this time. </w:t>
      </w:r>
    </w:p>
    <w:p w14:paraId="7005A70E" w14:textId="77777777" w:rsidR="002108EC" w:rsidRPr="00525B39" w:rsidRDefault="002108EC" w:rsidP="002108E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3E6A8CB" w14:textId="77777777" w:rsidR="002108EC" w:rsidRDefault="002108EC" w:rsidP="002108EC">
      <w:pPr>
        <w:rPr>
          <w:rFonts w:asciiTheme="minorHAnsi" w:hAnsiTheme="minorHAnsi"/>
          <w:bCs/>
          <w:snapToGrid w:val="0"/>
          <w:lang w:val="en-GB"/>
        </w:rPr>
      </w:pPr>
      <w:r w:rsidRPr="00525B39">
        <w:rPr>
          <w:rFonts w:asciiTheme="minorHAnsi" w:hAnsiTheme="minorHAnsi"/>
          <w:bCs/>
          <w:snapToGrid w:val="0"/>
          <w:lang w:val="en-GB"/>
        </w:rPr>
        <w:t>Deferred</w:t>
      </w:r>
    </w:p>
    <w:p w14:paraId="7AAE6932" w14:textId="77777777" w:rsidR="00B75EC4" w:rsidRDefault="00B75EC4" w:rsidP="002108EC">
      <w:pPr>
        <w:rPr>
          <w:rFonts w:asciiTheme="minorHAnsi" w:hAnsiTheme="minorHAnsi"/>
          <w:bCs/>
          <w:snapToGrid w:val="0"/>
          <w:lang w:val="en-GB"/>
        </w:rPr>
      </w:pPr>
    </w:p>
    <w:p w14:paraId="73CA0B51" w14:textId="6F1B6F7F" w:rsidR="00B75EC4" w:rsidRDefault="001A7E24" w:rsidP="001A7E24">
      <w:pPr>
        <w:pStyle w:val="2-SectionHeading"/>
        <w:rPr>
          <w:lang w:val="en-GB"/>
        </w:rPr>
      </w:pPr>
      <w:r>
        <w:rPr>
          <w:lang w:val="en-GB"/>
        </w:rPr>
        <w:t>Context for Decision</w:t>
      </w:r>
    </w:p>
    <w:p w14:paraId="16A093D8" w14:textId="23B42849" w:rsidR="00A01A28" w:rsidRDefault="00A01A28" w:rsidP="00A01A28">
      <w:pPr>
        <w:pStyle w:val="3-BodyText"/>
        <w:numPr>
          <w:ilvl w:val="0"/>
          <w:numId w:val="0"/>
        </w:numPr>
        <w:ind w:left="709"/>
        <w:rPr>
          <w:lang w:val="en-GB"/>
        </w:rPr>
      </w:pPr>
      <w:r w:rsidRPr="00A01A28">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C7DB7F" w14:textId="6456F6B3" w:rsidR="00A01A28" w:rsidRDefault="00A01A28" w:rsidP="00A01A28">
      <w:pPr>
        <w:pStyle w:val="2-SectionHeading"/>
        <w:rPr>
          <w:lang w:val="en-GB"/>
        </w:rPr>
      </w:pPr>
      <w:r>
        <w:rPr>
          <w:lang w:val="en-GB"/>
        </w:rPr>
        <w:t>Sponsor’s Comment</w:t>
      </w:r>
    </w:p>
    <w:p w14:paraId="6AF54923" w14:textId="102B99F7" w:rsidR="00A01A28" w:rsidRPr="00A01A28" w:rsidRDefault="005B610E" w:rsidP="002A5EE1">
      <w:pPr>
        <w:pStyle w:val="3-BodyText"/>
        <w:numPr>
          <w:ilvl w:val="0"/>
          <w:numId w:val="0"/>
        </w:numPr>
        <w:ind w:left="720"/>
      </w:pPr>
      <w:r w:rsidRPr="00600332">
        <w:t xml:space="preserve">Viatris notes the PBAC’s continued acknowledgment of subsidised access barriers and limited MRA options for heart failure </w:t>
      </w:r>
      <w:proofErr w:type="gramStart"/>
      <w:r w:rsidRPr="00600332">
        <w:t>patients, and</w:t>
      </w:r>
      <w:proofErr w:type="gramEnd"/>
      <w:r w:rsidRPr="00600332">
        <w:t xml:space="preserve"> looks forward to collaborating on resolving the remaining cost-effectiveness concerns regarding eplerenone</w:t>
      </w:r>
      <w:r w:rsidR="00600332">
        <w:t>.</w:t>
      </w:r>
    </w:p>
    <w:p w14:paraId="4A640B14" w14:textId="3A6921A0" w:rsidR="00645F06" w:rsidRPr="00645F06" w:rsidRDefault="00645F06" w:rsidP="00645F06">
      <w:pPr>
        <w:keepNext/>
        <w:spacing w:before="240" w:after="120"/>
        <w:ind w:left="720" w:hanging="720"/>
        <w:jc w:val="left"/>
        <w:outlineLvl w:val="0"/>
        <w:rPr>
          <w:rFonts w:asciiTheme="minorHAnsi" w:hAnsiTheme="minorHAnsi" w:cs="Arial"/>
          <w:b/>
          <w:snapToGrid w:val="0"/>
          <w:color w:val="FF0000"/>
          <w:sz w:val="28"/>
          <w:szCs w:val="28"/>
        </w:rPr>
      </w:pPr>
      <w:r w:rsidRPr="00645F06">
        <w:rPr>
          <w:rFonts w:asciiTheme="minorHAnsi" w:hAnsiTheme="minorHAnsi" w:cs="Arial"/>
          <w:b/>
          <w:snapToGrid w:val="0"/>
          <w:color w:val="FF0000"/>
          <w:sz w:val="28"/>
          <w:szCs w:val="28"/>
        </w:rPr>
        <w:t xml:space="preserve">Addendum to the July 2025 PBAC </w:t>
      </w:r>
      <w:r w:rsidR="002413E1" w:rsidRPr="002413E1">
        <w:rPr>
          <w:rFonts w:asciiTheme="minorHAnsi" w:hAnsiTheme="minorHAnsi" w:cs="Arial"/>
          <w:b/>
          <w:snapToGrid w:val="0"/>
          <w:color w:val="FF0000"/>
          <w:sz w:val="28"/>
          <w:szCs w:val="28"/>
        </w:rPr>
        <w:t>Public Summary Document</w:t>
      </w:r>
      <w:r w:rsidRPr="00645F06">
        <w:rPr>
          <w:rFonts w:asciiTheme="minorHAnsi" w:hAnsiTheme="minorHAnsi" w:cs="Arial"/>
          <w:b/>
          <w:snapToGrid w:val="0"/>
          <w:color w:val="FF0000"/>
          <w:sz w:val="28"/>
          <w:szCs w:val="28"/>
        </w:rPr>
        <w:t>:</w:t>
      </w:r>
    </w:p>
    <w:p w14:paraId="39BDAEEB" w14:textId="77777777" w:rsidR="00645F06" w:rsidRPr="00645F06" w:rsidRDefault="00645F06" w:rsidP="00645F06">
      <w:pPr>
        <w:spacing w:before="120" w:after="160"/>
        <w:ind w:left="720" w:hanging="720"/>
        <w:contextualSpacing/>
        <w:outlineLvl w:val="0"/>
        <w:rPr>
          <w:rFonts w:asciiTheme="minorHAnsi" w:eastAsiaTheme="majorEastAsia" w:hAnsiTheme="minorHAnsi" w:cstheme="majorBidi"/>
          <w:b/>
          <w:spacing w:val="5"/>
          <w:kern w:val="28"/>
          <w:sz w:val="36"/>
          <w:szCs w:val="36"/>
        </w:rPr>
      </w:pPr>
      <w:r w:rsidRPr="00645F06">
        <w:rPr>
          <w:rFonts w:asciiTheme="minorHAnsi" w:eastAsiaTheme="majorEastAsia" w:hAnsiTheme="minorHAnsi" w:cstheme="majorBidi"/>
          <w:b/>
          <w:spacing w:val="5"/>
          <w:kern w:val="28"/>
          <w:sz w:val="36"/>
          <w:szCs w:val="36"/>
        </w:rPr>
        <w:t>4.05 EPLERENONE,</w:t>
      </w:r>
    </w:p>
    <w:p w14:paraId="3CEC5034" w14:textId="77777777" w:rsidR="00645F06" w:rsidRPr="00645F06" w:rsidRDefault="00645F06" w:rsidP="00645F06">
      <w:pPr>
        <w:spacing w:before="120" w:after="160"/>
        <w:ind w:left="720"/>
        <w:contextualSpacing/>
        <w:outlineLvl w:val="0"/>
        <w:rPr>
          <w:rFonts w:asciiTheme="minorHAnsi" w:eastAsiaTheme="majorEastAsia" w:hAnsiTheme="minorHAnsi" w:cstheme="majorBidi"/>
          <w:b/>
          <w:spacing w:val="5"/>
          <w:kern w:val="28"/>
          <w:sz w:val="36"/>
          <w:szCs w:val="36"/>
        </w:rPr>
      </w:pPr>
      <w:r w:rsidRPr="00645F06">
        <w:rPr>
          <w:rFonts w:asciiTheme="minorHAnsi" w:eastAsiaTheme="majorEastAsia" w:hAnsiTheme="minorHAnsi" w:cstheme="majorBidi"/>
          <w:b/>
          <w:spacing w:val="5"/>
          <w:kern w:val="28"/>
          <w:sz w:val="36"/>
          <w:szCs w:val="36"/>
        </w:rPr>
        <w:t>Tablet 25 mg,</w:t>
      </w:r>
    </w:p>
    <w:p w14:paraId="50CDA4C5" w14:textId="77777777" w:rsidR="00645F06" w:rsidRPr="00645F06" w:rsidRDefault="00645F06" w:rsidP="00645F06">
      <w:pPr>
        <w:spacing w:before="120" w:after="160"/>
        <w:ind w:left="720"/>
        <w:contextualSpacing/>
        <w:outlineLvl w:val="0"/>
        <w:rPr>
          <w:rFonts w:asciiTheme="minorHAnsi" w:eastAsiaTheme="majorEastAsia" w:hAnsiTheme="minorHAnsi" w:cstheme="majorBidi"/>
          <w:b/>
          <w:spacing w:val="5"/>
          <w:kern w:val="28"/>
          <w:sz w:val="36"/>
          <w:szCs w:val="36"/>
        </w:rPr>
      </w:pPr>
      <w:r w:rsidRPr="00645F06">
        <w:rPr>
          <w:rFonts w:asciiTheme="minorHAnsi" w:eastAsiaTheme="majorEastAsia" w:hAnsiTheme="minorHAnsi" w:cstheme="majorBidi"/>
          <w:b/>
          <w:spacing w:val="5"/>
          <w:kern w:val="28"/>
          <w:sz w:val="36"/>
          <w:szCs w:val="36"/>
        </w:rPr>
        <w:t>Tablet 50 mg,</w:t>
      </w:r>
    </w:p>
    <w:p w14:paraId="7C36F726" w14:textId="77777777" w:rsidR="00645F06" w:rsidRPr="00645F06" w:rsidRDefault="00645F06" w:rsidP="00645F06">
      <w:pPr>
        <w:spacing w:before="120" w:after="160"/>
        <w:ind w:left="720"/>
        <w:contextualSpacing/>
        <w:outlineLvl w:val="0"/>
        <w:rPr>
          <w:rFonts w:asciiTheme="minorHAnsi" w:eastAsiaTheme="majorEastAsia" w:hAnsiTheme="minorHAnsi" w:cstheme="majorBidi"/>
          <w:b/>
          <w:spacing w:val="5"/>
          <w:kern w:val="28"/>
          <w:sz w:val="36"/>
          <w:szCs w:val="36"/>
        </w:rPr>
      </w:pPr>
      <w:r w:rsidRPr="00645F06">
        <w:rPr>
          <w:rFonts w:asciiTheme="minorHAnsi" w:eastAsiaTheme="majorEastAsia" w:hAnsiTheme="minorHAnsi" w:cstheme="majorBidi"/>
          <w:b/>
          <w:spacing w:val="5"/>
          <w:kern w:val="28"/>
          <w:sz w:val="36"/>
          <w:szCs w:val="36"/>
        </w:rPr>
        <w:t xml:space="preserve">Inspra® </w:t>
      </w:r>
    </w:p>
    <w:p w14:paraId="63B467FC" w14:textId="77777777" w:rsidR="00645F06" w:rsidRPr="00645F06" w:rsidRDefault="00645F06" w:rsidP="00645F06">
      <w:pPr>
        <w:spacing w:before="120" w:after="160"/>
        <w:ind w:left="720"/>
        <w:contextualSpacing/>
        <w:outlineLvl w:val="0"/>
        <w:rPr>
          <w:rFonts w:asciiTheme="minorHAnsi" w:eastAsiaTheme="majorEastAsia" w:hAnsiTheme="minorHAnsi" w:cstheme="majorBidi"/>
          <w:b/>
          <w:spacing w:val="5"/>
          <w:kern w:val="28"/>
          <w:sz w:val="36"/>
          <w:szCs w:val="36"/>
        </w:rPr>
      </w:pPr>
      <w:r w:rsidRPr="00645F06">
        <w:rPr>
          <w:rFonts w:asciiTheme="minorHAnsi" w:eastAsiaTheme="majorEastAsia" w:hAnsiTheme="minorHAnsi" w:cstheme="majorBidi"/>
          <w:b/>
          <w:spacing w:val="5"/>
          <w:kern w:val="28"/>
          <w:sz w:val="36"/>
          <w:szCs w:val="36"/>
        </w:rPr>
        <w:t>Viatris Pty Ltd</w:t>
      </w:r>
    </w:p>
    <w:p w14:paraId="1B062011" w14:textId="77777777" w:rsidR="00645F06" w:rsidRPr="00645F06" w:rsidRDefault="00645F06" w:rsidP="00645F06">
      <w:pPr>
        <w:keepNext/>
        <w:numPr>
          <w:ilvl w:val="0"/>
          <w:numId w:val="2"/>
        </w:numPr>
        <w:spacing w:before="240" w:after="120"/>
        <w:jc w:val="left"/>
        <w:outlineLvl w:val="0"/>
        <w:rPr>
          <w:rFonts w:asciiTheme="minorHAnsi" w:hAnsiTheme="minorHAnsi" w:cs="Arial"/>
          <w:b/>
          <w:bCs/>
          <w:snapToGrid w:val="0"/>
          <w:sz w:val="32"/>
          <w:szCs w:val="32"/>
        </w:rPr>
      </w:pPr>
      <w:r w:rsidRPr="00645F06">
        <w:rPr>
          <w:rFonts w:asciiTheme="minorHAnsi" w:hAnsiTheme="minorHAnsi" w:cs="Arial"/>
          <w:b/>
          <w:bCs/>
          <w:snapToGrid w:val="0"/>
          <w:sz w:val="32"/>
          <w:szCs w:val="32"/>
        </w:rPr>
        <w:t>Purpose of submission </w:t>
      </w:r>
    </w:p>
    <w:p w14:paraId="5508E6C5" w14:textId="77777777" w:rsidR="00645F06" w:rsidRPr="00645F06" w:rsidRDefault="00645F06" w:rsidP="00A40D00">
      <w:pPr>
        <w:pStyle w:val="3-BodyText"/>
      </w:pPr>
      <w:r w:rsidRPr="00645F06">
        <w:t>To request the PBAC consider an amendment to the clinical criteria for eplerenone to align with clinical guidelines for the management of heart failure. This item was deferred at the July 2025 PBAC meeting.</w:t>
      </w:r>
    </w:p>
    <w:p w14:paraId="5189EF0E"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rPr>
      </w:pPr>
      <w:r w:rsidRPr="00645F06">
        <w:rPr>
          <w:rFonts w:asciiTheme="minorHAnsi" w:hAnsiTheme="minorHAnsi" w:cs="Arial"/>
          <w:b/>
          <w:snapToGrid w:val="0"/>
          <w:sz w:val="32"/>
          <w:szCs w:val="32"/>
        </w:rPr>
        <w:t>Background</w:t>
      </w:r>
    </w:p>
    <w:p w14:paraId="33A4BD9C" w14:textId="77777777" w:rsidR="00645F06" w:rsidRPr="00645F06" w:rsidRDefault="00645F06" w:rsidP="00A40D00">
      <w:pPr>
        <w:pStyle w:val="3-BodyText"/>
        <w:rPr>
          <w:snapToGrid w:val="0"/>
          <w:lang w:val="en-GB"/>
        </w:rPr>
      </w:pPr>
      <w:r w:rsidRPr="00645F06">
        <w:rPr>
          <w:snapToGrid w:val="0"/>
          <w:lang w:val="en-GB"/>
        </w:rPr>
        <w:t xml:space="preserve">At its July 2025 meeting, the PBAC deferred making a recommendation for the requested amendments to the current PBS restriction for eplerenone (Inspra®) to align </w:t>
      </w:r>
      <w:r w:rsidRPr="00645F06">
        <w:rPr>
          <w:snapToGrid w:val="0"/>
          <w:lang w:val="en-GB"/>
        </w:rPr>
        <w:lastRenderedPageBreak/>
        <w:t xml:space="preserve">with clinical guidelines for the management of heart failure. The PBAC considered that spironolactone was a more appropriate comparator as it is the main MRA medication that eplerenone would replace in therapy. The PBAC discussed the need for a cost minimisation approach for an expanded population comparing eplerenone to spironolactone, or for eplerenone as a second line therapy to spironolactone to be explored. The PBAC considered that an epidemiological approach with assumptions based on relevant clinical advice would be appropriate to estimate the utilisation and </w:t>
      </w:r>
      <w:bookmarkStart w:id="6" w:name="_Int_XspHysm5"/>
      <w:r w:rsidRPr="00645F06">
        <w:rPr>
          <w:snapToGrid w:val="0"/>
          <w:lang w:val="en-GB"/>
        </w:rPr>
        <w:t>financial impact</w:t>
      </w:r>
      <w:bookmarkEnd w:id="6"/>
      <w:r w:rsidRPr="00645F06">
        <w:rPr>
          <w:snapToGrid w:val="0"/>
          <w:lang w:val="en-GB"/>
        </w:rPr>
        <w:t xml:space="preserve"> of eplerenone for the new population proposed under the restriction.</w:t>
      </w:r>
    </w:p>
    <w:p w14:paraId="520AD520" w14:textId="77777777" w:rsidR="00645F06" w:rsidRPr="00645F06" w:rsidRDefault="00645F06" w:rsidP="00A40D00">
      <w:pPr>
        <w:pStyle w:val="3-BodyText"/>
        <w:rPr>
          <w:snapToGrid w:val="0"/>
          <w:lang w:val="en-GB"/>
        </w:rPr>
      </w:pPr>
      <w:r w:rsidRPr="00645F06">
        <w:rPr>
          <w:snapToGrid w:val="0"/>
          <w:lang w:val="en-GB"/>
        </w:rPr>
        <w:t xml:space="preserve">The PBAC </w:t>
      </w:r>
      <w:r w:rsidRPr="00645F06">
        <w:t>considered that any updated restriction for eplerenone should align with the TGA approved indication.</w:t>
      </w:r>
    </w:p>
    <w:p w14:paraId="049F0319" w14:textId="77777777" w:rsidR="00645F06" w:rsidRPr="00645F06" w:rsidRDefault="00645F06" w:rsidP="00A40D00">
      <w:pPr>
        <w:pStyle w:val="3-BodyText"/>
        <w:rPr>
          <w:snapToGrid w:val="0"/>
          <w:lang w:val="en-GB"/>
        </w:rPr>
      </w:pPr>
      <w:r w:rsidRPr="00645F06">
        <w:rPr>
          <w:snapToGrid w:val="0"/>
          <w:lang w:val="en-GB"/>
        </w:rPr>
        <w:t>The sponsor was amenable to align the listing with the TGA-approved indication but did not agree with the inclusion of the criteria “the treatment must not be co-administered with an ACE inhibitor or an angiotensin II antagonist” due to hyperkalaemia. The sponsor considered that this conflicted with guideline-directed medical therapy for HF, where an ACE inhibitor or angiotensin II antagonist or ARNI is used along with an MRA, beta blocker and SGLT2 inhibitor. The sponsor further noted that, while hyperkalaemia is a specific contraindication for spironolactone, it is not a contraindication for eplerenone.</w:t>
      </w:r>
    </w:p>
    <w:p w14:paraId="63467AB8" w14:textId="77777777" w:rsidR="00645F06" w:rsidRPr="00645F06" w:rsidRDefault="00645F06" w:rsidP="00A40D00">
      <w:pPr>
        <w:pStyle w:val="3-BodyText"/>
        <w:rPr>
          <w:snapToGrid w:val="0"/>
          <w:lang w:val="en-GB"/>
        </w:rPr>
      </w:pPr>
      <w:r w:rsidRPr="00645F06">
        <w:rPr>
          <w:snapToGrid w:val="0"/>
          <w:lang w:val="en-GB"/>
        </w:rPr>
        <w:t>The sponsor acknowledged that the PBAC identified spironolactone as the appropriate comparator, however noted that spironolactone lacked direct evidence against eplerenone in the population being considered for PBS listing. Thus, the sponsor claimed that a cost-minimisation approach would not accurately reflect therapeutic equivalence in the reimbursed population.</w:t>
      </w:r>
    </w:p>
    <w:p w14:paraId="21DEDE3B" w14:textId="77777777" w:rsidR="00645F06" w:rsidRPr="00645F06" w:rsidRDefault="00645F06" w:rsidP="00A40D00">
      <w:pPr>
        <w:pStyle w:val="3-BodyText"/>
        <w:rPr>
          <w:snapToGrid w:val="0"/>
          <w:lang w:val="en-GB"/>
        </w:rPr>
      </w:pPr>
      <w:r w:rsidRPr="00645F06">
        <w:rPr>
          <w:snapToGrid w:val="0"/>
          <w:lang w:val="en-GB"/>
        </w:rPr>
        <w:t>The sponsor acknowledged the need for a revised financial model and requested advice from the PBAC on how these estimates should be further refined.</w:t>
      </w:r>
    </w:p>
    <w:p w14:paraId="7E003ACC" w14:textId="77777777" w:rsidR="00645F06" w:rsidRPr="00645F06" w:rsidRDefault="00645F06" w:rsidP="00A40D00">
      <w:pPr>
        <w:pStyle w:val="3-BodyText"/>
        <w:rPr>
          <w:snapToGrid w:val="0"/>
          <w:lang w:val="en-GB"/>
        </w:rPr>
      </w:pPr>
      <w:r w:rsidRPr="00645F06">
        <w:rPr>
          <w:snapToGrid w:val="0"/>
          <w:lang w:val="en-GB"/>
        </w:rPr>
        <w:t xml:space="preserve">The sponsor was amenable to the positioning of eplerenone as </w:t>
      </w:r>
      <w:proofErr w:type="gramStart"/>
      <w:r w:rsidRPr="00645F06">
        <w:rPr>
          <w:snapToGrid w:val="0"/>
          <w:lang w:val="en-GB"/>
        </w:rPr>
        <w:t>second-line</w:t>
      </w:r>
      <w:proofErr w:type="gramEnd"/>
      <w:r w:rsidRPr="00645F06">
        <w:rPr>
          <w:snapToGrid w:val="0"/>
          <w:lang w:val="en-GB"/>
        </w:rPr>
        <w:t xml:space="preserve"> to spironolactone.</w:t>
      </w:r>
    </w:p>
    <w:p w14:paraId="69DC9B3E"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Requested listing</w:t>
      </w:r>
    </w:p>
    <w:p w14:paraId="4F3C9288" w14:textId="77777777" w:rsidR="00645F06" w:rsidRPr="00645F06" w:rsidRDefault="00645F06" w:rsidP="00645F06">
      <w:pPr>
        <w:numPr>
          <w:ilvl w:val="1"/>
          <w:numId w:val="2"/>
        </w:numPr>
        <w:spacing w:before="120" w:after="120"/>
        <w:rPr>
          <w:rFonts w:asciiTheme="minorHAnsi" w:eastAsiaTheme="minorHAnsi" w:hAnsiTheme="minorHAnsi" w:cstheme="minorHAnsi"/>
          <w:szCs w:val="22"/>
        </w:rPr>
      </w:pPr>
      <w:r w:rsidRPr="00645F06">
        <w:rPr>
          <w:rFonts w:asciiTheme="minorHAnsi" w:eastAsiaTheme="minorHAnsi" w:hAnsiTheme="minorHAnsi" w:cstheme="minorBidi"/>
          <w:szCs w:val="22"/>
        </w:rPr>
        <w:t xml:space="preserve">The submission requested several amendments to the existing listing. </w:t>
      </w:r>
    </w:p>
    <w:p w14:paraId="61CE52A8" w14:textId="77777777" w:rsidR="00645F06" w:rsidRPr="00645F06" w:rsidRDefault="00645F06" w:rsidP="00645F06">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The following tables represent the current PBS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6B988589" w14:textId="77777777" w:rsidTr="00FA26BE">
        <w:trPr>
          <w:cantSplit/>
          <w:trHeight w:val="20"/>
        </w:trPr>
        <w:tc>
          <w:tcPr>
            <w:tcW w:w="3939" w:type="dxa"/>
            <w:gridSpan w:val="2"/>
            <w:vAlign w:val="center"/>
          </w:tcPr>
          <w:p w14:paraId="4345DC69"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6A2578C4"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3A96E220"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496DC72E"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137F1C96"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E78570D" w14:textId="77777777" w:rsidR="00645F06" w:rsidRPr="00645F06" w:rsidRDefault="00645F06" w:rsidP="00645F06">
            <w:pPr>
              <w:keepNext/>
              <w:keepLines/>
              <w:jc w:val="center"/>
              <w:rPr>
                <w:rFonts w:ascii="Arial Narrow" w:hAnsi="Arial Narrow" w:cs="Arial"/>
                <w:b/>
                <w:bCs/>
                <w:sz w:val="20"/>
                <w:szCs w:val="20"/>
              </w:rPr>
            </w:pPr>
            <w:bookmarkStart w:id="7" w:name="_Int_1GzGoHiT"/>
            <w:proofErr w:type="gramStart"/>
            <w:r w:rsidRPr="00645F06">
              <w:rPr>
                <w:rFonts w:ascii="Arial Narrow" w:hAnsi="Arial Narrow" w:cs="Arial"/>
                <w:b/>
                <w:bCs/>
                <w:sz w:val="20"/>
                <w:szCs w:val="20"/>
              </w:rPr>
              <w:t>№.of</w:t>
            </w:r>
            <w:bookmarkEnd w:id="7"/>
            <w:proofErr w:type="gramEnd"/>
          </w:p>
          <w:p w14:paraId="39B035CF" w14:textId="77777777" w:rsidR="00645F06" w:rsidRPr="00645F06" w:rsidRDefault="00645F06" w:rsidP="00645F06">
            <w:pPr>
              <w:keepNext/>
              <w:keepLines/>
              <w:jc w:val="center"/>
              <w:rPr>
                <w:rFonts w:ascii="Arial Narrow" w:hAnsi="Arial Narrow" w:cs="Arial"/>
                <w:b/>
                <w:sz w:val="20"/>
                <w:szCs w:val="20"/>
              </w:rPr>
            </w:pPr>
            <w:proofErr w:type="spellStart"/>
            <w:r w:rsidRPr="00645F06">
              <w:rPr>
                <w:rFonts w:ascii="Arial Narrow" w:hAnsi="Arial Narrow" w:cs="Arial"/>
                <w:b/>
                <w:sz w:val="20"/>
                <w:szCs w:val="20"/>
              </w:rPr>
              <w:t>Rpts</w:t>
            </w:r>
            <w:proofErr w:type="spellEnd"/>
          </w:p>
        </w:tc>
        <w:tc>
          <w:tcPr>
            <w:tcW w:w="1831" w:type="dxa"/>
            <w:vAlign w:val="center"/>
          </w:tcPr>
          <w:p w14:paraId="380D26DC"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3BD52E3F" w14:textId="77777777" w:rsidTr="00FA26BE">
        <w:trPr>
          <w:cantSplit/>
          <w:trHeight w:val="20"/>
        </w:trPr>
        <w:tc>
          <w:tcPr>
            <w:tcW w:w="9016" w:type="dxa"/>
            <w:gridSpan w:val="7"/>
            <w:vAlign w:val="center"/>
          </w:tcPr>
          <w:p w14:paraId="5547BAC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52E5A46D" w14:textId="77777777" w:rsidTr="00FA26BE">
        <w:trPr>
          <w:cantSplit/>
          <w:trHeight w:val="20"/>
        </w:trPr>
        <w:tc>
          <w:tcPr>
            <w:tcW w:w="3939" w:type="dxa"/>
            <w:gridSpan w:val="2"/>
            <w:vAlign w:val="center"/>
          </w:tcPr>
          <w:p w14:paraId="7C5C0B7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25 mg tablet, 30 </w:t>
            </w:r>
          </w:p>
        </w:tc>
        <w:tc>
          <w:tcPr>
            <w:tcW w:w="811" w:type="dxa"/>
            <w:vAlign w:val="center"/>
          </w:tcPr>
          <w:p w14:paraId="722FBEBF"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8879H</w:t>
            </w:r>
          </w:p>
        </w:tc>
        <w:tc>
          <w:tcPr>
            <w:tcW w:w="812" w:type="dxa"/>
            <w:vAlign w:val="center"/>
          </w:tcPr>
          <w:p w14:paraId="2CB5975B"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4D7C3C2C"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321D5414"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A2F52E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748CB811"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557E54F1"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6A8D89A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1E59AF2A" w14:textId="77777777" w:rsidTr="00FA26BE">
        <w:trPr>
          <w:cantSplit/>
          <w:trHeight w:val="20"/>
        </w:trPr>
        <w:tc>
          <w:tcPr>
            <w:tcW w:w="3939" w:type="dxa"/>
            <w:gridSpan w:val="2"/>
            <w:vAlign w:val="center"/>
          </w:tcPr>
          <w:p w14:paraId="4EE1D99D"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50mg tablet, 30</w:t>
            </w:r>
          </w:p>
        </w:tc>
        <w:tc>
          <w:tcPr>
            <w:tcW w:w="811" w:type="dxa"/>
            <w:vAlign w:val="center"/>
          </w:tcPr>
          <w:p w14:paraId="49664B1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8880J</w:t>
            </w:r>
          </w:p>
        </w:tc>
        <w:tc>
          <w:tcPr>
            <w:tcW w:w="812" w:type="dxa"/>
            <w:vAlign w:val="center"/>
          </w:tcPr>
          <w:p w14:paraId="745B1F72"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66D248CE"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2C3FF25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C41800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67D84BE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6FE4B6D4"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3446E20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DBCD257"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1A18D76" w14:textId="77777777" w:rsidR="00645F06" w:rsidRPr="00645F06" w:rsidRDefault="00645F06" w:rsidP="00645F06">
            <w:pPr>
              <w:keepNext/>
              <w:rPr>
                <w:rFonts w:ascii="Arial Narrow" w:hAnsi="Arial Narrow" w:cs="Arial"/>
                <w:sz w:val="20"/>
                <w:szCs w:val="20"/>
              </w:rPr>
            </w:pPr>
          </w:p>
        </w:tc>
      </w:tr>
      <w:tr w:rsidR="00645F06" w:rsidRPr="00645F06" w14:paraId="7A28F895"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FDE31CB"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16564 / Treatment of Concept: 4937</w:t>
            </w:r>
          </w:p>
        </w:tc>
      </w:tr>
      <w:tr w:rsidR="00645F06" w:rsidRPr="00645F06" w14:paraId="30B3F20B"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0D5630B"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455AA9" w14:textId="77777777" w:rsidR="00645F06" w:rsidRPr="00645F06" w:rsidRDefault="00645F06" w:rsidP="00645F06">
            <w:pPr>
              <w:keepNext/>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w:t>
            </w:r>
            <w:r w:rsidRPr="00645F06">
              <w:rPr>
                <w:rFonts w:ascii="Arial Narrow" w:eastAsia="Calibri" w:hAnsi="Arial Narrow" w:cs="Arial"/>
                <w:sz w:val="20"/>
                <w:szCs w:val="20"/>
              </w:rPr>
              <w:noBreakHyphen/>
              <w:t xml:space="preserve"> </w:t>
            </w:r>
            <w:bookmarkStart w:id="8" w:name="_Int_GfnrVWAl"/>
            <w:proofErr w:type="spellStart"/>
            <w:r w:rsidRPr="00645F06">
              <w:rPr>
                <w:rFonts w:ascii="Arial Narrow" w:eastAsia="Calibri" w:hAnsi="Arial Narrow" w:cs="Arial"/>
                <w:sz w:val="20"/>
                <w:szCs w:val="20"/>
              </w:rPr>
              <w:t>General</w:t>
            </w:r>
            <w:bookmarkEnd w:id="8"/>
            <w:proofErr w:type="spellEnd"/>
            <w:r w:rsidRPr="00645F06">
              <w:rPr>
                <w:rFonts w:ascii="Arial Narrow" w:eastAsia="Calibri" w:hAnsi="Arial Narrow" w:cs="Arial"/>
                <w:sz w:val="20"/>
                <w:szCs w:val="20"/>
              </w:rPr>
              <w:t xml:space="preserve"> Schedule (Code GE) </w:t>
            </w:r>
          </w:p>
        </w:tc>
      </w:tr>
      <w:tr w:rsidR="00645F06" w:rsidRPr="00645F06" w14:paraId="5A5E1AAB"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02595203"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ABF18A"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48B9F84F"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6731F34D"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024FC15F" w14:textId="77777777" w:rsidR="00645F06" w:rsidRPr="00645F06" w:rsidRDefault="00645F06" w:rsidP="00645F06">
            <w:pPr>
              <w:keepNext/>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21A824E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77BB48" w14:textId="77777777" w:rsidR="00645F06" w:rsidRPr="00645F06" w:rsidRDefault="00645F06" w:rsidP="00645F06">
            <w:pPr>
              <w:keepNext/>
              <w:keepLines/>
              <w:jc w:val="center"/>
              <w:rPr>
                <w:rFonts w:ascii="Arial Narrow" w:hAnsi="Arial Narrow" w:cs="Arial"/>
                <w:strike/>
                <w:sz w:val="20"/>
                <w:szCs w:val="20"/>
              </w:rPr>
            </w:pPr>
          </w:p>
        </w:tc>
        <w:tc>
          <w:tcPr>
            <w:tcW w:w="7745" w:type="dxa"/>
            <w:gridSpan w:val="6"/>
            <w:vAlign w:val="center"/>
          </w:tcPr>
          <w:p w14:paraId="095875B4"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0C7FF89C" w14:textId="77777777" w:rsidTr="00A40D00">
        <w:tblPrEx>
          <w:tblCellMar>
            <w:top w:w="15" w:type="dxa"/>
            <w:bottom w:w="15" w:type="dxa"/>
          </w:tblCellMar>
        </w:tblPrEx>
        <w:trPr>
          <w:cantSplit/>
          <w:trHeight w:val="20"/>
        </w:trPr>
        <w:tc>
          <w:tcPr>
            <w:tcW w:w="1271" w:type="dxa"/>
            <w:vAlign w:val="center"/>
          </w:tcPr>
          <w:p w14:paraId="4A9B7ED7" w14:textId="758B4B75" w:rsidR="00645F06" w:rsidRPr="00645F06" w:rsidRDefault="00645F06" w:rsidP="00645F06">
            <w:pPr>
              <w:keepNext/>
              <w:keepLines/>
              <w:jc w:val="center"/>
              <w:rPr>
                <w:rFonts w:ascii="Arial Narrow" w:hAnsi="Arial Narrow" w:cs="Arial"/>
                <w:sz w:val="20"/>
                <w:szCs w:val="20"/>
              </w:rPr>
            </w:pPr>
          </w:p>
        </w:tc>
        <w:tc>
          <w:tcPr>
            <w:tcW w:w="7745" w:type="dxa"/>
            <w:gridSpan w:val="6"/>
            <w:vAlign w:val="center"/>
            <w:hideMark/>
          </w:tcPr>
          <w:p w14:paraId="4A5DD34C" w14:textId="77777777" w:rsidR="00645F06" w:rsidRPr="00645F06" w:rsidRDefault="00645F06" w:rsidP="00645F06">
            <w:pPr>
              <w:keepNext/>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Heart failure with a left ventricular ejection fraction of 40% or less</w:t>
            </w:r>
            <w:r w:rsidRPr="00645F06">
              <w:rPr>
                <w:rFonts w:ascii="Arial Narrow" w:hAnsi="Arial Narrow" w:cs="Arial"/>
                <w:strike/>
                <w:sz w:val="20"/>
                <w:szCs w:val="20"/>
              </w:rPr>
              <w:t xml:space="preserve"> </w:t>
            </w:r>
          </w:p>
        </w:tc>
      </w:tr>
      <w:tr w:rsidR="00645F06" w:rsidRPr="00645F06" w14:paraId="251FD06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4711EAA" w14:textId="7BDAB91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22B216C2"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67AB106"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8A63D8" w14:textId="10FBB5A6"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825354D"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condition must occur within 3 to 14 days following an acute myocardial infarction,</w:t>
            </w:r>
          </w:p>
        </w:tc>
      </w:tr>
      <w:tr w:rsidR="00645F06" w:rsidRPr="00645F06" w14:paraId="285EE496"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E61C27"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25D2F071"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b/>
                <w:sz w:val="20"/>
                <w:szCs w:val="20"/>
              </w:rPr>
              <w:t>AND</w:t>
            </w:r>
          </w:p>
        </w:tc>
      </w:tr>
      <w:tr w:rsidR="00645F06" w:rsidRPr="00645F06" w14:paraId="289D511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74178C" w14:textId="23745263"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FB83386"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ACF2CA6"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3D3FD7" w14:textId="4089527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6C6FC6F"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treatment must be commenced within 14 days of an acute myocardial infarction</w:t>
            </w:r>
          </w:p>
        </w:tc>
      </w:tr>
      <w:tr w:rsidR="00645F06" w:rsidRPr="00645F06" w14:paraId="7366A71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8F0E5F2" w14:textId="6F2D896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4CB268AE"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3949DED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AD5D6A" w14:textId="77777777" w:rsidR="00645F06" w:rsidRPr="00645F06" w:rsidRDefault="00645F06" w:rsidP="00645F06">
            <w:pPr>
              <w:keepNext/>
              <w:rPr>
                <w:rFonts w:ascii="Arial Narrow" w:hAnsi="Arial Narrow" w:cs="Arial"/>
                <w:strike/>
                <w:sz w:val="20"/>
                <w:szCs w:val="20"/>
              </w:rPr>
            </w:pPr>
          </w:p>
        </w:tc>
        <w:tc>
          <w:tcPr>
            <w:tcW w:w="7745" w:type="dxa"/>
            <w:gridSpan w:val="6"/>
            <w:vAlign w:val="center"/>
            <w:hideMark/>
          </w:tcPr>
          <w:p w14:paraId="44E5A724"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bCs/>
                <w:sz w:val="20"/>
                <w:szCs w:val="20"/>
              </w:rPr>
              <w:t xml:space="preserve">Prescribing Instructions: </w:t>
            </w:r>
            <w:r w:rsidRPr="00645F06">
              <w:rPr>
                <w:rFonts w:ascii="Arial Narrow" w:hAnsi="Arial Narrow" w:cs="Arial"/>
                <w:sz w:val="20"/>
                <w:szCs w:val="20"/>
              </w:rPr>
              <w:t>The date of the acute myocardial infarction and the date of initiation of treatment with this drug must be documented in the patient's medical records when PBS subsidised</w:t>
            </w:r>
            <w:r w:rsidRPr="00645F06">
              <w:rPr>
                <w:rFonts w:ascii="Arial Narrow" w:hAnsi="Arial Narrow" w:cs="Arial"/>
                <w:sz w:val="20"/>
                <w:szCs w:val="20"/>
              </w:rPr>
              <w:noBreakHyphen/>
              <w:t xml:space="preserve"> treatment is initiated</w:t>
            </w:r>
          </w:p>
        </w:tc>
      </w:tr>
    </w:tbl>
    <w:p w14:paraId="61F6412E" w14:textId="77777777" w:rsidR="00645F06" w:rsidRPr="00645F06" w:rsidRDefault="00645F06" w:rsidP="00645F06">
      <w:pPr>
        <w:spacing w:before="120" w:after="120"/>
        <w:rPr>
          <w:rFonts w:asciiTheme="minorHAnsi" w:eastAsiaTheme="minorHAnsi" w:hAnsiTheme="minorHAnsi" w:cstheme="min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2D699269" w14:textId="77777777" w:rsidTr="00FA26BE">
        <w:trPr>
          <w:cantSplit/>
          <w:trHeight w:val="20"/>
        </w:trPr>
        <w:tc>
          <w:tcPr>
            <w:tcW w:w="3939" w:type="dxa"/>
            <w:gridSpan w:val="2"/>
            <w:vAlign w:val="center"/>
          </w:tcPr>
          <w:p w14:paraId="3F2F7D91"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1BF1072F"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08AD51F2"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7C2D6968"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7531B955"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F9FEA24" w14:textId="77777777" w:rsidR="00645F06" w:rsidRPr="00645F06" w:rsidRDefault="00645F06" w:rsidP="00645F06">
            <w:pPr>
              <w:keepNext/>
              <w:keepLines/>
              <w:jc w:val="center"/>
              <w:rPr>
                <w:rFonts w:ascii="Arial Narrow" w:hAnsi="Arial Narrow" w:cs="Arial"/>
                <w:b/>
                <w:bCs/>
                <w:sz w:val="20"/>
                <w:szCs w:val="20"/>
              </w:rPr>
            </w:pPr>
            <w:bookmarkStart w:id="9" w:name="_Int_QONWL3ZO"/>
            <w:proofErr w:type="gramStart"/>
            <w:r w:rsidRPr="00645F06">
              <w:rPr>
                <w:rFonts w:ascii="Arial Narrow" w:hAnsi="Arial Narrow" w:cs="Arial"/>
                <w:b/>
                <w:bCs/>
                <w:sz w:val="20"/>
                <w:szCs w:val="20"/>
              </w:rPr>
              <w:t>№.of</w:t>
            </w:r>
            <w:bookmarkEnd w:id="9"/>
            <w:proofErr w:type="gramEnd"/>
          </w:p>
          <w:p w14:paraId="04E62F17" w14:textId="77777777" w:rsidR="00645F06" w:rsidRPr="00645F06" w:rsidRDefault="00645F06" w:rsidP="00645F06">
            <w:pPr>
              <w:keepNext/>
              <w:keepLines/>
              <w:jc w:val="center"/>
              <w:rPr>
                <w:rFonts w:ascii="Arial Narrow" w:hAnsi="Arial Narrow" w:cs="Arial"/>
                <w:b/>
                <w:sz w:val="20"/>
                <w:szCs w:val="20"/>
              </w:rPr>
            </w:pPr>
            <w:proofErr w:type="spellStart"/>
            <w:r w:rsidRPr="00645F06">
              <w:rPr>
                <w:rFonts w:ascii="Arial Narrow" w:hAnsi="Arial Narrow" w:cs="Arial"/>
                <w:b/>
                <w:sz w:val="20"/>
                <w:szCs w:val="20"/>
              </w:rPr>
              <w:t>Rpts</w:t>
            </w:r>
            <w:proofErr w:type="spellEnd"/>
          </w:p>
        </w:tc>
        <w:tc>
          <w:tcPr>
            <w:tcW w:w="1831" w:type="dxa"/>
            <w:vAlign w:val="center"/>
          </w:tcPr>
          <w:p w14:paraId="0DA927D3"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35C5A1BC" w14:textId="77777777" w:rsidTr="00FA26BE">
        <w:trPr>
          <w:cantSplit/>
          <w:trHeight w:val="20"/>
        </w:trPr>
        <w:tc>
          <w:tcPr>
            <w:tcW w:w="9016" w:type="dxa"/>
            <w:gridSpan w:val="7"/>
            <w:vAlign w:val="center"/>
          </w:tcPr>
          <w:p w14:paraId="462287EE"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3C86FA53" w14:textId="77777777" w:rsidTr="00FA26BE">
        <w:trPr>
          <w:cantSplit/>
          <w:trHeight w:val="20"/>
        </w:trPr>
        <w:tc>
          <w:tcPr>
            <w:tcW w:w="3939" w:type="dxa"/>
            <w:gridSpan w:val="2"/>
            <w:vAlign w:val="center"/>
          </w:tcPr>
          <w:p w14:paraId="79DA6ED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eplerenone 25 mg tablet, 30</w:t>
            </w:r>
          </w:p>
          <w:p w14:paraId="4BDAAA6F" w14:textId="77777777" w:rsidR="00645F06" w:rsidRPr="00645F06" w:rsidRDefault="00645F06" w:rsidP="00645F06">
            <w:pPr>
              <w:keepNext/>
              <w:keepLines/>
              <w:rPr>
                <w:rFonts w:ascii="Arial Narrow" w:hAnsi="Arial Narrow" w:cs="Arial"/>
                <w:sz w:val="20"/>
                <w:szCs w:val="20"/>
              </w:rPr>
            </w:pPr>
          </w:p>
        </w:tc>
        <w:tc>
          <w:tcPr>
            <w:tcW w:w="811" w:type="dxa"/>
            <w:vAlign w:val="center"/>
          </w:tcPr>
          <w:p w14:paraId="1EC94210"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29F81C35"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2E5EE02B"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8CA8CF8"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D8EB42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6A2F10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74054260"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08D05CD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4FFECF4A" w14:textId="77777777" w:rsidTr="00FA26BE">
        <w:trPr>
          <w:cantSplit/>
          <w:trHeight w:val="20"/>
        </w:trPr>
        <w:tc>
          <w:tcPr>
            <w:tcW w:w="3939" w:type="dxa"/>
            <w:gridSpan w:val="2"/>
            <w:vAlign w:val="center"/>
          </w:tcPr>
          <w:p w14:paraId="213E27E8"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688DBC61"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2080D1E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090207CE"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2DF21EB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3C91F547"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67B7C9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0A684205"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5CB9690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60021A81"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D6327FD" w14:textId="77777777" w:rsidR="00645F06" w:rsidRPr="00645F06" w:rsidRDefault="00645F06" w:rsidP="00645F06">
            <w:pPr>
              <w:keepNext/>
              <w:rPr>
                <w:rFonts w:ascii="Arial Narrow" w:hAnsi="Arial Narrow" w:cs="Arial"/>
                <w:sz w:val="20"/>
                <w:szCs w:val="20"/>
              </w:rPr>
            </w:pPr>
          </w:p>
        </w:tc>
      </w:tr>
      <w:tr w:rsidR="00645F06" w:rsidRPr="00645F06" w14:paraId="168131A5"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BBFC1F8"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60E4757C"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55A45A7"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2F1925" w14:textId="77777777" w:rsidR="00645F06" w:rsidRPr="00645F06" w:rsidRDefault="00645F06" w:rsidP="00645F06">
            <w:pPr>
              <w:keepNext/>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w:t>
            </w:r>
            <w:r w:rsidRPr="00645F06">
              <w:rPr>
                <w:rFonts w:ascii="Arial Narrow" w:eastAsia="Calibri" w:hAnsi="Arial Narrow" w:cs="Arial"/>
                <w:sz w:val="20"/>
                <w:szCs w:val="20"/>
              </w:rPr>
              <w:noBreakHyphen/>
              <w:t xml:space="preserve"> </w:t>
            </w:r>
            <w:bookmarkStart w:id="10" w:name="_Int_aqvuP7jE"/>
            <w:proofErr w:type="spellStart"/>
            <w:r w:rsidRPr="00645F06">
              <w:rPr>
                <w:rFonts w:ascii="Arial Narrow" w:eastAsia="Calibri" w:hAnsi="Arial Narrow" w:cs="Arial"/>
                <w:sz w:val="20"/>
                <w:szCs w:val="20"/>
              </w:rPr>
              <w:t>General</w:t>
            </w:r>
            <w:bookmarkEnd w:id="10"/>
            <w:proofErr w:type="spellEnd"/>
            <w:r w:rsidRPr="00645F06">
              <w:rPr>
                <w:rFonts w:ascii="Arial Narrow" w:eastAsia="Calibri" w:hAnsi="Arial Narrow" w:cs="Arial"/>
                <w:sz w:val="20"/>
                <w:szCs w:val="20"/>
              </w:rPr>
              <w:t xml:space="preserve"> Schedule (Code GE) </w:t>
            </w:r>
          </w:p>
        </w:tc>
      </w:tr>
      <w:tr w:rsidR="00645F06" w:rsidRPr="00645F06" w14:paraId="106FD208"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377BF61B"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9D3E68"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67B56F64"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2CD943DD"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260D4FA7" w14:textId="77777777" w:rsidR="00645F06" w:rsidRPr="00645F06" w:rsidRDefault="00645F06" w:rsidP="00645F06">
            <w:pPr>
              <w:keepNext/>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2E6DAB68"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7F323C" w14:textId="77777777" w:rsidR="00645F06" w:rsidRPr="00645F06" w:rsidRDefault="00645F06" w:rsidP="00645F06">
            <w:pPr>
              <w:keepNext/>
              <w:keepLines/>
              <w:rPr>
                <w:rFonts w:ascii="Arial Narrow" w:hAnsi="Arial Narrow" w:cs="Arial"/>
                <w:sz w:val="20"/>
                <w:szCs w:val="20"/>
              </w:rPr>
            </w:pPr>
          </w:p>
        </w:tc>
        <w:tc>
          <w:tcPr>
            <w:tcW w:w="7745" w:type="dxa"/>
            <w:gridSpan w:val="6"/>
            <w:vAlign w:val="center"/>
          </w:tcPr>
          <w:p w14:paraId="48B6F8A5"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51E0457E" w14:textId="77777777" w:rsidTr="00A40D00">
        <w:tblPrEx>
          <w:tblCellMar>
            <w:top w:w="15" w:type="dxa"/>
            <w:bottom w:w="15" w:type="dxa"/>
          </w:tblCellMar>
        </w:tblPrEx>
        <w:trPr>
          <w:cantSplit/>
          <w:trHeight w:val="20"/>
        </w:trPr>
        <w:tc>
          <w:tcPr>
            <w:tcW w:w="1271" w:type="dxa"/>
            <w:vAlign w:val="center"/>
          </w:tcPr>
          <w:p w14:paraId="405589FA" w14:textId="3061CAD6" w:rsidR="00645F06" w:rsidRPr="00645F06" w:rsidRDefault="00645F06" w:rsidP="00645F06">
            <w:pPr>
              <w:keepNext/>
              <w:keepLines/>
              <w:jc w:val="center"/>
              <w:rPr>
                <w:rFonts w:ascii="Arial Narrow" w:hAnsi="Arial Narrow" w:cs="Arial"/>
                <w:sz w:val="20"/>
                <w:szCs w:val="20"/>
              </w:rPr>
            </w:pPr>
          </w:p>
        </w:tc>
        <w:tc>
          <w:tcPr>
            <w:tcW w:w="7745" w:type="dxa"/>
            <w:gridSpan w:val="6"/>
            <w:vAlign w:val="center"/>
            <w:hideMark/>
          </w:tcPr>
          <w:p w14:paraId="2C9B0374" w14:textId="77777777" w:rsidR="00645F06" w:rsidRPr="00645F06" w:rsidRDefault="00645F06" w:rsidP="00645F06">
            <w:pPr>
              <w:keepNext/>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Heart failure with a left ventricular ejection fraction of 40% or less</w:t>
            </w:r>
            <w:r w:rsidRPr="00645F06">
              <w:rPr>
                <w:rFonts w:ascii="Arial Narrow" w:hAnsi="Arial Narrow" w:cs="Arial"/>
                <w:strike/>
                <w:sz w:val="20"/>
                <w:szCs w:val="20"/>
              </w:rPr>
              <w:t xml:space="preserve"> </w:t>
            </w:r>
          </w:p>
        </w:tc>
      </w:tr>
      <w:tr w:rsidR="00645F06" w:rsidRPr="00645F06" w14:paraId="079B8E0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D6D023" w14:textId="32AF3C59" w:rsidR="00645F06" w:rsidRPr="00645F06" w:rsidRDefault="00645F06" w:rsidP="00645F06">
            <w:pPr>
              <w:keepNext/>
              <w:keepLines/>
              <w:jc w:val="center"/>
              <w:rPr>
                <w:rFonts w:ascii="Arial Narrow" w:hAnsi="Arial Narrow" w:cs="Arial"/>
                <w:sz w:val="20"/>
                <w:szCs w:val="20"/>
              </w:rPr>
            </w:pPr>
          </w:p>
        </w:tc>
        <w:tc>
          <w:tcPr>
            <w:tcW w:w="7745" w:type="dxa"/>
            <w:gridSpan w:val="6"/>
            <w:vAlign w:val="center"/>
          </w:tcPr>
          <w:p w14:paraId="02FB8EA2"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Clinical criteria:</w:t>
            </w:r>
          </w:p>
        </w:tc>
      </w:tr>
      <w:tr w:rsidR="00645F06" w:rsidRPr="00645F06" w14:paraId="0769135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5A39C32" w14:textId="07AAFC8D" w:rsidR="00645F06" w:rsidRPr="00645F06" w:rsidRDefault="00645F06" w:rsidP="00645F06">
            <w:pPr>
              <w:keepNext/>
              <w:keepLines/>
              <w:jc w:val="center"/>
              <w:rPr>
                <w:rFonts w:ascii="Arial Narrow" w:hAnsi="Arial Narrow" w:cs="Arial"/>
                <w:sz w:val="20"/>
                <w:szCs w:val="20"/>
              </w:rPr>
            </w:pPr>
          </w:p>
        </w:tc>
        <w:tc>
          <w:tcPr>
            <w:tcW w:w="7745" w:type="dxa"/>
            <w:gridSpan w:val="6"/>
            <w:vAlign w:val="center"/>
          </w:tcPr>
          <w:p w14:paraId="20AC273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The condition must be stable for the prescriber to consider the listed maximum quantity of this medicine suitable for this patient</w:t>
            </w:r>
          </w:p>
        </w:tc>
      </w:tr>
      <w:tr w:rsidR="00645F06" w:rsidRPr="00645F06" w14:paraId="7786F925"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16D5F4" w14:textId="45A75502"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81ACF14"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291E2CB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010FA34" w14:textId="3F7518E0"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765B56CF"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condition must occur within 3 to 14 days following an acute myocardial infarction,</w:t>
            </w:r>
          </w:p>
        </w:tc>
      </w:tr>
      <w:tr w:rsidR="00645F06" w:rsidRPr="00645F06" w14:paraId="42FF172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5A59F48"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DDC2EE0"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b/>
                <w:sz w:val="20"/>
                <w:szCs w:val="20"/>
              </w:rPr>
              <w:t>AND</w:t>
            </w:r>
          </w:p>
        </w:tc>
      </w:tr>
      <w:tr w:rsidR="00645F06" w:rsidRPr="00645F06" w14:paraId="317EDE8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28DDFB" w14:textId="0A48197A"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DD8CEB5"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06FD35D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2AD24D" w14:textId="0B06177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4D2D333"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treatment must be commenced within 14 days of an acute myocardial infarction</w:t>
            </w:r>
          </w:p>
        </w:tc>
      </w:tr>
      <w:tr w:rsidR="00645F06" w:rsidRPr="00645F06" w14:paraId="485F530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07BC5F" w14:textId="03BF0846"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2D249A0"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49B4DB3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EE1472" w14:textId="77777777" w:rsidR="00645F06" w:rsidRPr="00645F06" w:rsidRDefault="00645F06" w:rsidP="00645F06">
            <w:pPr>
              <w:rPr>
                <w:rFonts w:ascii="Arial Narrow" w:hAnsi="Arial Narrow" w:cs="Arial"/>
                <w:sz w:val="20"/>
                <w:szCs w:val="20"/>
              </w:rPr>
            </w:pPr>
          </w:p>
        </w:tc>
        <w:tc>
          <w:tcPr>
            <w:tcW w:w="7745" w:type="dxa"/>
            <w:gridSpan w:val="6"/>
            <w:vAlign w:val="center"/>
            <w:hideMark/>
          </w:tcPr>
          <w:p w14:paraId="20933068" w14:textId="77777777" w:rsidR="00645F06" w:rsidRPr="00645F06" w:rsidRDefault="00645F06" w:rsidP="00645F06">
            <w:pPr>
              <w:rPr>
                <w:rFonts w:ascii="Arial Narrow" w:hAnsi="Arial Narrow" w:cs="Arial"/>
                <w:sz w:val="20"/>
                <w:szCs w:val="20"/>
              </w:rPr>
            </w:pPr>
            <w:r w:rsidRPr="00645F06">
              <w:rPr>
                <w:rFonts w:ascii="Arial Narrow" w:hAnsi="Arial Narrow" w:cs="Arial"/>
                <w:b/>
                <w:bCs/>
                <w:sz w:val="20"/>
                <w:szCs w:val="20"/>
              </w:rPr>
              <w:t xml:space="preserve">Prescribing Instructions: </w:t>
            </w:r>
            <w:r w:rsidRPr="00645F06">
              <w:rPr>
                <w:rFonts w:ascii="Arial Narrow" w:hAnsi="Arial Narrow" w:cs="Arial"/>
                <w:sz w:val="20"/>
                <w:szCs w:val="20"/>
              </w:rPr>
              <w:t>The date of the acute myocardial infarction and the date of initiation of treatment with this drug must be documented in the patient's medical records when PBS subsidised</w:t>
            </w:r>
            <w:r w:rsidRPr="00645F06">
              <w:rPr>
                <w:rFonts w:ascii="Arial Narrow" w:hAnsi="Arial Narrow" w:cs="Arial"/>
                <w:sz w:val="20"/>
                <w:szCs w:val="20"/>
              </w:rPr>
              <w:noBreakHyphen/>
              <w:t xml:space="preserve"> treatment is initiated</w:t>
            </w:r>
          </w:p>
        </w:tc>
      </w:tr>
    </w:tbl>
    <w:p w14:paraId="3A4A1011" w14:textId="77777777" w:rsidR="00645F06" w:rsidRPr="00645F06" w:rsidRDefault="00645F06" w:rsidP="00645F06">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following tables represent the sponsor’s proposed listing. Suggested additions from the Secretariat are in </w:t>
      </w:r>
      <w:r w:rsidRPr="00645F06">
        <w:rPr>
          <w:rFonts w:asciiTheme="minorHAnsi" w:eastAsiaTheme="minorHAnsi" w:hAnsiTheme="minorHAnsi" w:cstheme="minorBidi"/>
          <w:iCs/>
          <w:szCs w:val="22"/>
        </w:rPr>
        <w:t>italics</w:t>
      </w:r>
      <w:r w:rsidRPr="00645F06">
        <w:rPr>
          <w:rFonts w:asciiTheme="minorHAnsi" w:eastAsiaTheme="minorHAnsi" w:hAnsiTheme="minorHAnsi" w:cstheme="minorBidi"/>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2EA96CB1" w14:textId="77777777" w:rsidTr="00FA26BE">
        <w:trPr>
          <w:cantSplit/>
          <w:trHeight w:val="20"/>
        </w:trPr>
        <w:tc>
          <w:tcPr>
            <w:tcW w:w="3939" w:type="dxa"/>
            <w:gridSpan w:val="2"/>
            <w:vAlign w:val="center"/>
          </w:tcPr>
          <w:p w14:paraId="46571C2A"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16E055BF"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374635BD"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1B8853BA"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5800C5A9"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30ABBBFD" w14:textId="77777777" w:rsidR="00645F06" w:rsidRPr="00645F06" w:rsidRDefault="00645F06" w:rsidP="00645F06">
            <w:pPr>
              <w:keepNext/>
              <w:keepLines/>
              <w:jc w:val="center"/>
              <w:rPr>
                <w:rFonts w:ascii="Arial Narrow" w:hAnsi="Arial Narrow" w:cs="Arial"/>
                <w:b/>
                <w:bCs/>
                <w:sz w:val="20"/>
                <w:szCs w:val="20"/>
              </w:rPr>
            </w:pPr>
            <w:bookmarkStart w:id="11" w:name="_Int_GTzjp9Oc"/>
            <w:proofErr w:type="gramStart"/>
            <w:r w:rsidRPr="00645F06">
              <w:rPr>
                <w:rFonts w:ascii="Arial Narrow" w:hAnsi="Arial Narrow" w:cs="Arial"/>
                <w:b/>
                <w:bCs/>
                <w:sz w:val="20"/>
                <w:szCs w:val="20"/>
              </w:rPr>
              <w:t>№.of</w:t>
            </w:r>
            <w:bookmarkEnd w:id="11"/>
            <w:proofErr w:type="gramEnd"/>
          </w:p>
          <w:p w14:paraId="47579959" w14:textId="77777777" w:rsidR="00645F06" w:rsidRPr="00645F06" w:rsidRDefault="00645F06" w:rsidP="00645F06">
            <w:pPr>
              <w:keepNext/>
              <w:keepLines/>
              <w:jc w:val="center"/>
              <w:rPr>
                <w:rFonts w:ascii="Arial Narrow" w:hAnsi="Arial Narrow" w:cs="Arial"/>
                <w:b/>
                <w:sz w:val="20"/>
                <w:szCs w:val="20"/>
              </w:rPr>
            </w:pPr>
            <w:proofErr w:type="spellStart"/>
            <w:r w:rsidRPr="00645F06">
              <w:rPr>
                <w:rFonts w:ascii="Arial Narrow" w:hAnsi="Arial Narrow" w:cs="Arial"/>
                <w:b/>
                <w:sz w:val="20"/>
                <w:szCs w:val="20"/>
              </w:rPr>
              <w:t>Rpts</w:t>
            </w:r>
            <w:proofErr w:type="spellEnd"/>
          </w:p>
        </w:tc>
        <w:tc>
          <w:tcPr>
            <w:tcW w:w="1831" w:type="dxa"/>
            <w:vAlign w:val="center"/>
          </w:tcPr>
          <w:p w14:paraId="06A2CD44"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18DB4B5C" w14:textId="77777777" w:rsidTr="00FA26BE">
        <w:trPr>
          <w:cantSplit/>
          <w:trHeight w:val="20"/>
        </w:trPr>
        <w:tc>
          <w:tcPr>
            <w:tcW w:w="9016" w:type="dxa"/>
            <w:gridSpan w:val="7"/>
            <w:vAlign w:val="center"/>
          </w:tcPr>
          <w:p w14:paraId="34BB849D"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59516A4D" w14:textId="77777777" w:rsidTr="00FA26BE">
        <w:trPr>
          <w:cantSplit/>
          <w:trHeight w:val="20"/>
        </w:trPr>
        <w:tc>
          <w:tcPr>
            <w:tcW w:w="3939" w:type="dxa"/>
            <w:gridSpan w:val="2"/>
            <w:vAlign w:val="center"/>
          </w:tcPr>
          <w:p w14:paraId="2FE6D779"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25 mg tablet, 30 </w:t>
            </w:r>
          </w:p>
        </w:tc>
        <w:tc>
          <w:tcPr>
            <w:tcW w:w="811" w:type="dxa"/>
            <w:vAlign w:val="center"/>
          </w:tcPr>
          <w:p w14:paraId="45E508A2"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8879H</w:t>
            </w:r>
          </w:p>
        </w:tc>
        <w:tc>
          <w:tcPr>
            <w:tcW w:w="812" w:type="dxa"/>
            <w:vAlign w:val="center"/>
          </w:tcPr>
          <w:p w14:paraId="7E891A38"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6CBFE1B5"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1842D744"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748FE9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APO-Eplerenone</w:t>
            </w:r>
          </w:p>
          <w:p w14:paraId="265B5A6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19A88EDE"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727DA5E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3F645365" w14:textId="77777777" w:rsidTr="00FA26BE">
        <w:trPr>
          <w:cantSplit/>
          <w:trHeight w:val="20"/>
        </w:trPr>
        <w:tc>
          <w:tcPr>
            <w:tcW w:w="3939" w:type="dxa"/>
            <w:gridSpan w:val="2"/>
            <w:vAlign w:val="center"/>
          </w:tcPr>
          <w:p w14:paraId="2367E36B"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50mg tablet, 30</w:t>
            </w:r>
          </w:p>
        </w:tc>
        <w:tc>
          <w:tcPr>
            <w:tcW w:w="811" w:type="dxa"/>
            <w:vAlign w:val="center"/>
          </w:tcPr>
          <w:p w14:paraId="638C325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8880J</w:t>
            </w:r>
          </w:p>
        </w:tc>
        <w:tc>
          <w:tcPr>
            <w:tcW w:w="812" w:type="dxa"/>
            <w:vAlign w:val="center"/>
          </w:tcPr>
          <w:p w14:paraId="147550B0"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73A5322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2382B1B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67E819A2"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APO-Eplerenone</w:t>
            </w:r>
          </w:p>
          <w:p w14:paraId="4E2C547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15B203D3" w14:textId="77777777" w:rsidR="00645F06" w:rsidRPr="00645F06" w:rsidRDefault="00645F06" w:rsidP="00645F06">
            <w:pPr>
              <w:keepNext/>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694962E8"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F33106A"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6E01FDD" w14:textId="77777777" w:rsidR="00645F06" w:rsidRPr="00645F06" w:rsidRDefault="00645F06" w:rsidP="00645F06">
            <w:pPr>
              <w:keepNext/>
              <w:rPr>
                <w:rFonts w:ascii="Arial Narrow" w:hAnsi="Arial Narrow" w:cs="Arial"/>
                <w:sz w:val="20"/>
                <w:szCs w:val="20"/>
              </w:rPr>
            </w:pPr>
          </w:p>
        </w:tc>
      </w:tr>
      <w:tr w:rsidR="00645F06" w:rsidRPr="00645F06" w14:paraId="1BCCD353"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5099603"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16564 / Treatment of Concept: 4937</w:t>
            </w:r>
          </w:p>
        </w:tc>
      </w:tr>
      <w:tr w:rsidR="00645F06" w:rsidRPr="00645F06" w14:paraId="3B4438F6"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BD3CFA7"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D1EB7F"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b/>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 General Schedule (Code GE) </w:t>
            </w:r>
          </w:p>
        </w:tc>
      </w:tr>
      <w:tr w:rsidR="00645F06" w:rsidRPr="00645F06" w14:paraId="366E4ACA"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4349F655"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7BE0DE"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727E3021"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4037EC51"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C71BD76" w14:textId="77777777" w:rsidR="00645F06" w:rsidRPr="00645F06" w:rsidRDefault="00645F06" w:rsidP="00645F06">
            <w:pPr>
              <w:keepNext/>
              <w:keepLines/>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5868E7D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E096124" w14:textId="77777777" w:rsidR="00645F06" w:rsidRPr="00645F06" w:rsidRDefault="00645F06" w:rsidP="00645F06">
            <w:pPr>
              <w:keepNext/>
              <w:keepLines/>
              <w:jc w:val="center"/>
              <w:rPr>
                <w:rFonts w:ascii="Arial Narrow" w:hAnsi="Arial Narrow" w:cs="Arial"/>
                <w:strike/>
                <w:sz w:val="20"/>
                <w:szCs w:val="20"/>
              </w:rPr>
            </w:pPr>
          </w:p>
        </w:tc>
        <w:tc>
          <w:tcPr>
            <w:tcW w:w="7745" w:type="dxa"/>
            <w:gridSpan w:val="6"/>
            <w:vAlign w:val="center"/>
          </w:tcPr>
          <w:p w14:paraId="78E0855B"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312B5759" w14:textId="77777777" w:rsidTr="00A40D00">
        <w:tblPrEx>
          <w:tblCellMar>
            <w:top w:w="15" w:type="dxa"/>
            <w:bottom w:w="15" w:type="dxa"/>
          </w:tblCellMar>
        </w:tblPrEx>
        <w:trPr>
          <w:cantSplit/>
          <w:trHeight w:val="20"/>
        </w:trPr>
        <w:tc>
          <w:tcPr>
            <w:tcW w:w="1271" w:type="dxa"/>
            <w:vAlign w:val="center"/>
          </w:tcPr>
          <w:p w14:paraId="47E90280" w14:textId="77777777" w:rsidR="00645F06" w:rsidRPr="00645F06" w:rsidRDefault="00645F06" w:rsidP="00645F06">
            <w:pPr>
              <w:keepNext/>
              <w:keepLines/>
              <w:rPr>
                <w:rFonts w:ascii="Arial Narrow" w:hAnsi="Arial Narrow" w:cs="Arial"/>
                <w:sz w:val="20"/>
                <w:szCs w:val="20"/>
              </w:rPr>
            </w:pPr>
          </w:p>
        </w:tc>
        <w:tc>
          <w:tcPr>
            <w:tcW w:w="7745" w:type="dxa"/>
            <w:gridSpan w:val="6"/>
            <w:vAlign w:val="center"/>
            <w:hideMark/>
          </w:tcPr>
          <w:p w14:paraId="5111C12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Chronic Heart Failure</w:t>
            </w:r>
          </w:p>
        </w:tc>
      </w:tr>
      <w:tr w:rsidR="00645F06" w:rsidRPr="00645F06" w14:paraId="295782D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C2BFEE" w14:textId="6C85C29E"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5849FC0E"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64E328C5"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42950C" w14:textId="62880ECC"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1E5CB046" w14:textId="77777777" w:rsidR="00645F06" w:rsidRPr="00645F06" w:rsidRDefault="00645F06" w:rsidP="00645F06">
            <w:pPr>
              <w:keepNext/>
              <w:rPr>
                <w:rFonts w:ascii="Arial Narrow" w:hAnsi="Arial Narrow" w:cs="Arial"/>
                <w:bCs/>
                <w:i/>
                <w:iCs/>
                <w:sz w:val="20"/>
                <w:szCs w:val="20"/>
              </w:rPr>
            </w:pPr>
            <w:r w:rsidRPr="00645F06">
              <w:rPr>
                <w:rFonts w:ascii="Arial Narrow" w:hAnsi="Arial Narrow" w:cs="Arial"/>
                <w:i/>
                <w:iCs/>
                <w:sz w:val="20"/>
                <w:szCs w:val="20"/>
              </w:rPr>
              <w:t>Patient must be both: (</w:t>
            </w:r>
            <w:proofErr w:type="spellStart"/>
            <w:r w:rsidRPr="00645F06">
              <w:rPr>
                <w:rFonts w:ascii="Arial Narrow" w:hAnsi="Arial Narrow" w:cs="Arial"/>
                <w:i/>
                <w:iCs/>
                <w:sz w:val="20"/>
                <w:szCs w:val="20"/>
              </w:rPr>
              <w:t>i</w:t>
            </w:r>
            <w:proofErr w:type="spellEnd"/>
            <w:r w:rsidRPr="00645F06">
              <w:rPr>
                <w:rFonts w:ascii="Arial Narrow" w:hAnsi="Arial Narrow" w:cs="Arial"/>
                <w:i/>
                <w:iCs/>
                <w:sz w:val="20"/>
                <w:szCs w:val="20"/>
              </w:rPr>
              <w:t xml:space="preserve">) within 3 to 14 days following an acute myocardial infarction (ii) commenced treatment within 14 days of acute myocardial infarction; OR </w:t>
            </w:r>
          </w:p>
        </w:tc>
      </w:tr>
      <w:tr w:rsidR="00645F06" w:rsidRPr="00645F06" w14:paraId="19D7059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A0085F" w14:textId="18AC9B6D"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0B6E198E" w14:textId="77777777" w:rsidR="00645F06" w:rsidRPr="00645F06" w:rsidRDefault="00645F06" w:rsidP="00645F06">
            <w:pPr>
              <w:keepNext/>
              <w:rPr>
                <w:rFonts w:ascii="Arial Narrow" w:hAnsi="Arial Narrow" w:cs="Arial"/>
                <w:sz w:val="20"/>
                <w:szCs w:val="20"/>
              </w:rPr>
            </w:pPr>
            <w:r w:rsidRPr="00645F06">
              <w:rPr>
                <w:rFonts w:ascii="Arial Narrow" w:hAnsi="Arial Narrow"/>
                <w:sz w:val="20"/>
                <w:szCs w:val="20"/>
              </w:rPr>
              <w:t>Patient must be symptomatic with NYHA classes II, III or IV</w:t>
            </w:r>
          </w:p>
        </w:tc>
      </w:tr>
      <w:tr w:rsidR="00645F06" w:rsidRPr="00645F06" w14:paraId="0B612F8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FD9996" w14:textId="77777777"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63FA10BE"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AND</w:t>
            </w:r>
          </w:p>
        </w:tc>
      </w:tr>
      <w:tr w:rsidR="00645F06" w:rsidRPr="00645F06" w14:paraId="37D7842F"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69141A" w14:textId="30D36CFB"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1C34FCEB"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2E26D9EF"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1F6DD7B" w14:textId="3A089E7E"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569BB2CA" w14:textId="77777777" w:rsidR="00645F06" w:rsidRPr="00645F06" w:rsidRDefault="00645F06" w:rsidP="00645F06">
            <w:pPr>
              <w:keepNext/>
              <w:rPr>
                <w:rFonts w:ascii="Arial Narrow" w:hAnsi="Arial Narrow" w:cs="Arial"/>
                <w:strike/>
                <w:sz w:val="20"/>
                <w:szCs w:val="20"/>
              </w:rPr>
            </w:pPr>
            <w:r w:rsidRPr="00645F06">
              <w:rPr>
                <w:rFonts w:ascii="Arial Narrow" w:hAnsi="Arial Narrow"/>
                <w:sz w:val="20"/>
                <w:szCs w:val="20"/>
              </w:rPr>
              <w:t>Patient must have a documented left ventricular ejection fraction (LVEF) of less than or equal to 40%</w:t>
            </w:r>
          </w:p>
        </w:tc>
      </w:tr>
      <w:tr w:rsidR="00645F06" w:rsidRPr="00645F06" w14:paraId="6F988EEE"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83648B"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2B4DD40" w14:textId="77777777" w:rsidR="00645F06" w:rsidRPr="00645F06" w:rsidRDefault="00645F06" w:rsidP="00645F06">
            <w:pPr>
              <w:keepNext/>
              <w:rPr>
                <w:rFonts w:ascii="Arial Narrow" w:hAnsi="Arial Narrow" w:cs="Arial"/>
                <w:b/>
                <w:sz w:val="20"/>
                <w:szCs w:val="20"/>
              </w:rPr>
            </w:pPr>
            <w:r w:rsidRPr="00645F06">
              <w:rPr>
                <w:rFonts w:ascii="Arial Narrow" w:hAnsi="Arial Narrow" w:cs="Arial"/>
                <w:b/>
                <w:sz w:val="20"/>
                <w:szCs w:val="20"/>
              </w:rPr>
              <w:t>AND</w:t>
            </w:r>
          </w:p>
        </w:tc>
      </w:tr>
      <w:tr w:rsidR="00645F06" w:rsidRPr="00645F06" w14:paraId="6240B96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B02085" w14:textId="77B52249"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1DC79FD"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1527F5C6"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164E41" w14:textId="7AF1348A" w:rsidR="00645F06" w:rsidRPr="00645F06" w:rsidRDefault="00645F06" w:rsidP="00645F06">
            <w:pPr>
              <w:keepNext/>
              <w:jc w:val="center"/>
              <w:rPr>
                <w:rFonts w:ascii="Arial Narrow" w:hAnsi="Arial Narrow" w:cs="Arial"/>
                <w:sz w:val="20"/>
                <w:szCs w:val="20"/>
              </w:rPr>
            </w:pPr>
          </w:p>
        </w:tc>
        <w:tc>
          <w:tcPr>
            <w:tcW w:w="7745" w:type="dxa"/>
            <w:gridSpan w:val="6"/>
            <w:vAlign w:val="center"/>
            <w:hideMark/>
          </w:tcPr>
          <w:p w14:paraId="3AC514A4"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Patient must receive concomitant optimal standard chronic heart failure treatment, which must include a beta-blocker, unless at least one of the following is present in relation to the beta-blocker: (</w:t>
            </w:r>
            <w:proofErr w:type="spellStart"/>
            <w:r w:rsidRPr="00645F06">
              <w:rPr>
                <w:rFonts w:ascii="Arial Narrow" w:hAnsi="Arial Narrow" w:cs="Arial"/>
                <w:sz w:val="20"/>
                <w:szCs w:val="20"/>
              </w:rPr>
              <w:t>i</w:t>
            </w:r>
            <w:proofErr w:type="spellEnd"/>
            <w:r w:rsidRPr="00645F06">
              <w:rPr>
                <w:rFonts w:ascii="Arial Narrow" w:hAnsi="Arial Narrow" w:cs="Arial"/>
                <w:sz w:val="20"/>
                <w:szCs w:val="20"/>
              </w:rPr>
              <w:t>) a contraindication listed in the Product Information, (ii) an existing/expected intolerance, (iii) local treatment guidelines recommend initiation of this drug product prior to a beta-blocker</w:t>
            </w:r>
          </w:p>
          <w:p w14:paraId="35B5A92D" w14:textId="77777777" w:rsidR="00645F06" w:rsidRPr="00645F06" w:rsidRDefault="00645F06" w:rsidP="00645F06">
            <w:pPr>
              <w:keepNext/>
              <w:rPr>
                <w:rFonts w:ascii="Arial Narrow" w:hAnsi="Arial Narrow" w:cs="Arial"/>
                <w:sz w:val="20"/>
                <w:szCs w:val="20"/>
              </w:rPr>
            </w:pPr>
          </w:p>
        </w:tc>
      </w:tr>
      <w:tr w:rsidR="00645F06" w:rsidRPr="00645F06" w14:paraId="25CFA97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0C58EA"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hideMark/>
          </w:tcPr>
          <w:p w14:paraId="29BBD463"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AND</w:t>
            </w:r>
          </w:p>
        </w:tc>
      </w:tr>
      <w:tr w:rsidR="00645F06" w:rsidRPr="00645F06" w14:paraId="6B5B72A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A5095B" w14:textId="1279933D"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1864BAB5"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580C41E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49E2F5" w14:textId="5D123D70"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394A1B3"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1BCA0E0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49B1CE" w14:textId="1FCBC6F5"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4B37191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2462708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88DC64" w14:textId="679C739A" w:rsidR="00645F06" w:rsidRPr="00645F06" w:rsidRDefault="00645F06" w:rsidP="00645F06">
            <w:pPr>
              <w:keepNext/>
              <w:jc w:val="center"/>
              <w:rPr>
                <w:rFonts w:ascii="Arial Narrow" w:hAnsi="Arial Narrow" w:cs="Arial"/>
                <w:i/>
                <w:iCs/>
                <w:sz w:val="20"/>
                <w:szCs w:val="20"/>
              </w:rPr>
            </w:pPr>
          </w:p>
        </w:tc>
        <w:tc>
          <w:tcPr>
            <w:tcW w:w="7745" w:type="dxa"/>
            <w:gridSpan w:val="6"/>
            <w:vAlign w:val="center"/>
          </w:tcPr>
          <w:p w14:paraId="6A7BA47E" w14:textId="77777777" w:rsidR="00645F06" w:rsidRPr="00645F06" w:rsidRDefault="00645F06" w:rsidP="00645F06">
            <w:pPr>
              <w:keepNext/>
              <w:rPr>
                <w:rFonts w:ascii="Arial Narrow" w:hAnsi="Arial Narrow" w:cs="Arial"/>
                <w:i/>
                <w:iCs/>
                <w:sz w:val="20"/>
                <w:szCs w:val="20"/>
              </w:rPr>
            </w:pPr>
            <w:r w:rsidRPr="00645F06">
              <w:rPr>
                <w:rFonts w:ascii="Arial Narrow" w:hAnsi="Arial Narrow" w:cs="Arial"/>
                <w:b/>
                <w:i/>
                <w:iCs/>
                <w:sz w:val="20"/>
                <w:szCs w:val="20"/>
              </w:rPr>
              <w:t>Caution:</w:t>
            </w:r>
            <w:r w:rsidRPr="00645F06">
              <w:rPr>
                <w:rFonts w:ascii="Arial Narrow" w:hAnsi="Arial Narrow" w:cs="Arial"/>
                <w:i/>
                <w:iCs/>
                <w:sz w:val="20"/>
                <w:szCs w:val="20"/>
              </w:rPr>
              <w:t xml:space="preserve"> Serum electrolytes should be checked regularly</w:t>
            </w:r>
          </w:p>
        </w:tc>
      </w:tr>
      <w:tr w:rsidR="00645F06" w:rsidRPr="00645F06" w14:paraId="3A90CBD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AE8E26" w14:textId="77777777" w:rsidR="00645F06" w:rsidRPr="00645F06" w:rsidRDefault="00645F06" w:rsidP="00645F06">
            <w:pPr>
              <w:jc w:val="center"/>
              <w:rPr>
                <w:rFonts w:ascii="Arial Narrow" w:hAnsi="Arial Narrow" w:cs="Arial"/>
                <w:i/>
                <w:iCs/>
                <w:sz w:val="20"/>
                <w:szCs w:val="20"/>
              </w:rPr>
            </w:pPr>
          </w:p>
        </w:tc>
        <w:tc>
          <w:tcPr>
            <w:tcW w:w="7745" w:type="dxa"/>
            <w:gridSpan w:val="6"/>
            <w:vAlign w:val="center"/>
          </w:tcPr>
          <w:p w14:paraId="7C8FFAAD" w14:textId="77777777" w:rsidR="00645F06" w:rsidRPr="00645F06" w:rsidRDefault="00645F06" w:rsidP="00645F06">
            <w:pPr>
              <w:rPr>
                <w:rFonts w:ascii="Arial Narrow" w:hAnsi="Arial Narrow" w:cs="Arial"/>
                <w:i/>
                <w:iCs/>
                <w:sz w:val="20"/>
                <w:szCs w:val="20"/>
              </w:rPr>
            </w:pPr>
            <w:r w:rsidRPr="00645F06">
              <w:rPr>
                <w:rFonts w:ascii="Arial Narrow" w:hAnsi="Arial Narrow" w:cs="Arial"/>
                <w:b/>
                <w:bCs/>
                <w:i/>
                <w:iCs/>
                <w:sz w:val="20"/>
                <w:szCs w:val="20"/>
              </w:rPr>
              <w:t xml:space="preserve">Prescribing Instructions: </w:t>
            </w:r>
            <w:r w:rsidRPr="00645F06">
              <w:rPr>
                <w:rFonts w:ascii="Arial Narrow" w:hAnsi="Arial Narrow" w:cs="Arial"/>
                <w:i/>
                <w:iCs/>
                <w:sz w:val="20"/>
                <w:szCs w:val="20"/>
              </w:rPr>
              <w:t>The date of the acute myocardial infarction and the date of initiation of treatment with this drug must be documented in the patient's medical records when PBS-subsidised treatment is initiated</w:t>
            </w:r>
          </w:p>
        </w:tc>
      </w:tr>
    </w:tbl>
    <w:p w14:paraId="5FE9B16E" w14:textId="77777777" w:rsidR="00645F06" w:rsidRPr="00645F06" w:rsidRDefault="00645F06" w:rsidP="00645F0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7FAFAB92" w14:textId="77777777" w:rsidTr="00FA26BE">
        <w:trPr>
          <w:cantSplit/>
          <w:trHeight w:val="20"/>
        </w:trPr>
        <w:tc>
          <w:tcPr>
            <w:tcW w:w="3939" w:type="dxa"/>
            <w:gridSpan w:val="2"/>
            <w:vAlign w:val="center"/>
          </w:tcPr>
          <w:p w14:paraId="2348A221"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w:t>
            </w:r>
          </w:p>
          <w:p w14:paraId="3480854F"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4186FFD1"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7310BFC7"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649A20BD"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7E6DEC9" w14:textId="77777777" w:rsidR="00645F06" w:rsidRPr="00645F06" w:rsidRDefault="00645F06" w:rsidP="00645F06">
            <w:pPr>
              <w:keepLines/>
              <w:jc w:val="center"/>
              <w:rPr>
                <w:rFonts w:ascii="Arial Narrow" w:hAnsi="Arial Narrow" w:cs="Arial"/>
                <w:b/>
                <w:bCs/>
                <w:sz w:val="20"/>
                <w:szCs w:val="20"/>
              </w:rPr>
            </w:pPr>
            <w:bookmarkStart w:id="12" w:name="_Int_W11BEjjL"/>
            <w:proofErr w:type="gramStart"/>
            <w:r w:rsidRPr="00645F06">
              <w:rPr>
                <w:rFonts w:ascii="Arial Narrow" w:hAnsi="Arial Narrow" w:cs="Arial"/>
                <w:b/>
                <w:bCs/>
                <w:sz w:val="20"/>
                <w:szCs w:val="20"/>
              </w:rPr>
              <w:t>№.of</w:t>
            </w:r>
            <w:bookmarkEnd w:id="12"/>
            <w:proofErr w:type="gramEnd"/>
          </w:p>
          <w:p w14:paraId="3EFD7C9E" w14:textId="77777777" w:rsidR="00645F06" w:rsidRPr="00645F06" w:rsidRDefault="00645F06" w:rsidP="00645F06">
            <w:pPr>
              <w:keepLines/>
              <w:jc w:val="center"/>
              <w:rPr>
                <w:rFonts w:ascii="Arial Narrow" w:hAnsi="Arial Narrow" w:cs="Arial"/>
                <w:b/>
                <w:sz w:val="20"/>
                <w:szCs w:val="20"/>
              </w:rPr>
            </w:pPr>
            <w:proofErr w:type="spellStart"/>
            <w:r w:rsidRPr="00645F06">
              <w:rPr>
                <w:rFonts w:ascii="Arial Narrow" w:hAnsi="Arial Narrow" w:cs="Arial"/>
                <w:b/>
                <w:sz w:val="20"/>
                <w:szCs w:val="20"/>
              </w:rPr>
              <w:t>Rpts</w:t>
            </w:r>
            <w:proofErr w:type="spellEnd"/>
          </w:p>
        </w:tc>
        <w:tc>
          <w:tcPr>
            <w:tcW w:w="1831" w:type="dxa"/>
            <w:vAlign w:val="center"/>
          </w:tcPr>
          <w:p w14:paraId="1DA28AB3" w14:textId="77777777" w:rsidR="00645F06" w:rsidRPr="00645F06" w:rsidRDefault="00645F06" w:rsidP="00645F06">
            <w:pPr>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2CAD0CC1" w14:textId="77777777" w:rsidTr="00FA26BE">
        <w:trPr>
          <w:cantSplit/>
          <w:trHeight w:val="20"/>
        </w:trPr>
        <w:tc>
          <w:tcPr>
            <w:tcW w:w="9016" w:type="dxa"/>
            <w:gridSpan w:val="7"/>
            <w:vAlign w:val="center"/>
          </w:tcPr>
          <w:p w14:paraId="1156093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332A8BB6" w14:textId="77777777" w:rsidTr="00FA26BE">
        <w:trPr>
          <w:cantSplit/>
          <w:trHeight w:val="20"/>
        </w:trPr>
        <w:tc>
          <w:tcPr>
            <w:tcW w:w="3939" w:type="dxa"/>
            <w:gridSpan w:val="2"/>
            <w:vAlign w:val="center"/>
          </w:tcPr>
          <w:p w14:paraId="05CF064F"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lastRenderedPageBreak/>
              <w:t>eplerenone 25 mg tablet, 30</w:t>
            </w:r>
          </w:p>
          <w:p w14:paraId="7231AF08" w14:textId="77777777" w:rsidR="00645F06" w:rsidRPr="00645F06" w:rsidRDefault="00645F06" w:rsidP="00645F06">
            <w:pPr>
              <w:keepLines/>
              <w:rPr>
                <w:rFonts w:ascii="Arial Narrow" w:hAnsi="Arial Narrow" w:cs="Arial"/>
                <w:sz w:val="20"/>
                <w:szCs w:val="20"/>
              </w:rPr>
            </w:pPr>
          </w:p>
        </w:tc>
        <w:tc>
          <w:tcPr>
            <w:tcW w:w="811" w:type="dxa"/>
            <w:vAlign w:val="center"/>
          </w:tcPr>
          <w:p w14:paraId="7714B7CB"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70DBEA8B"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3FC1C3D1"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782035E"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1C7E9D8"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APO-Eplerenone</w:t>
            </w:r>
          </w:p>
          <w:p w14:paraId="0D62BBE5"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1FCEEB0D" w14:textId="77777777" w:rsidR="00645F06" w:rsidRPr="00645F06" w:rsidRDefault="00645F06" w:rsidP="00645F06">
            <w:pPr>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601C27AA"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1F10BA16" w14:textId="77777777" w:rsidTr="00FA26BE">
        <w:trPr>
          <w:cantSplit/>
          <w:trHeight w:val="20"/>
        </w:trPr>
        <w:tc>
          <w:tcPr>
            <w:tcW w:w="3939" w:type="dxa"/>
            <w:gridSpan w:val="2"/>
            <w:vAlign w:val="center"/>
          </w:tcPr>
          <w:p w14:paraId="023E8EA0"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34F24AD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4E2F1013"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7E88892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5703B992"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44F30CA7"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APO-Eplerenone</w:t>
            </w:r>
          </w:p>
          <w:p w14:paraId="3B392AC0"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1B29D78D" w14:textId="77777777" w:rsidR="00645F06" w:rsidRPr="00645F06" w:rsidRDefault="00645F06" w:rsidP="00645F06">
            <w:pPr>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2F3F00DC"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5788087"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FBFA061" w14:textId="77777777" w:rsidR="00645F06" w:rsidRPr="00645F06" w:rsidRDefault="00645F06" w:rsidP="00645F06">
            <w:pPr>
              <w:rPr>
                <w:rFonts w:ascii="Arial Narrow" w:hAnsi="Arial Narrow" w:cs="Arial"/>
                <w:sz w:val="20"/>
                <w:szCs w:val="20"/>
              </w:rPr>
            </w:pPr>
          </w:p>
        </w:tc>
      </w:tr>
      <w:tr w:rsidR="00645F06" w:rsidRPr="00645F06" w14:paraId="74CB2B4B"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AE7AC57"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0C38DB72"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148C419" w14:textId="77777777" w:rsidR="00645F06" w:rsidRPr="00645F06" w:rsidRDefault="00645F06" w:rsidP="00645F06">
            <w:pPr>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97C3A1" w14:textId="77777777" w:rsidR="00645F06" w:rsidRPr="00645F06" w:rsidRDefault="00645F06" w:rsidP="00645F06">
            <w:pPr>
              <w:keepLines/>
              <w:rPr>
                <w:rFonts w:ascii="Arial Narrow" w:hAnsi="Arial Narrow" w:cs="Arial"/>
                <w:sz w:val="20"/>
                <w:szCs w:val="20"/>
              </w:rPr>
            </w:pPr>
            <w:r w:rsidRPr="00645F06">
              <w:rPr>
                <w:rFonts w:ascii="Arial Narrow" w:hAnsi="Arial Narrow" w:cs="Arial"/>
                <w:b/>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 General Schedule (Code GE) </w:t>
            </w:r>
          </w:p>
        </w:tc>
      </w:tr>
      <w:tr w:rsidR="00645F06" w:rsidRPr="00645F06" w14:paraId="2C4D3D9E"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7C4763BA"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C9C311"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20090E4D"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2A419318"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0B4B824" w14:textId="77777777" w:rsidR="00645F06" w:rsidRPr="00645F06" w:rsidRDefault="00645F06" w:rsidP="00645F06">
            <w:pPr>
              <w:keepLines/>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7CAB3EDE"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7675EB" w14:textId="77777777" w:rsidR="00645F06" w:rsidRPr="00645F06" w:rsidRDefault="00645F06" w:rsidP="00645F06">
            <w:pPr>
              <w:keepLines/>
              <w:rPr>
                <w:rFonts w:ascii="Arial Narrow" w:hAnsi="Arial Narrow" w:cs="Arial"/>
                <w:sz w:val="20"/>
                <w:szCs w:val="20"/>
              </w:rPr>
            </w:pPr>
          </w:p>
        </w:tc>
        <w:tc>
          <w:tcPr>
            <w:tcW w:w="7745" w:type="dxa"/>
            <w:gridSpan w:val="6"/>
            <w:vAlign w:val="center"/>
          </w:tcPr>
          <w:p w14:paraId="599678F5"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2936E5AE" w14:textId="77777777" w:rsidTr="00A40D00">
        <w:tblPrEx>
          <w:tblCellMar>
            <w:top w:w="15" w:type="dxa"/>
            <w:bottom w:w="15" w:type="dxa"/>
          </w:tblCellMar>
        </w:tblPrEx>
        <w:trPr>
          <w:cantSplit/>
          <w:trHeight w:val="310"/>
        </w:trPr>
        <w:tc>
          <w:tcPr>
            <w:tcW w:w="1271" w:type="dxa"/>
            <w:vAlign w:val="center"/>
          </w:tcPr>
          <w:p w14:paraId="6B64B252" w14:textId="77777777" w:rsidR="00645F06" w:rsidRPr="00645F06" w:rsidRDefault="00645F06" w:rsidP="00645F06">
            <w:pPr>
              <w:keepLines/>
              <w:rPr>
                <w:rFonts w:ascii="Arial Narrow" w:hAnsi="Arial Narrow" w:cs="Arial"/>
                <w:sz w:val="20"/>
                <w:szCs w:val="20"/>
              </w:rPr>
            </w:pPr>
          </w:p>
        </w:tc>
        <w:tc>
          <w:tcPr>
            <w:tcW w:w="7745" w:type="dxa"/>
            <w:gridSpan w:val="6"/>
            <w:vAlign w:val="center"/>
            <w:hideMark/>
          </w:tcPr>
          <w:p w14:paraId="1119E36F"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Chronic Heart Failure</w:t>
            </w:r>
          </w:p>
        </w:tc>
      </w:tr>
      <w:tr w:rsidR="00645F06" w:rsidRPr="00645F06" w14:paraId="242E66E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A15FB36" w14:textId="37A9123B"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78530687"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19FDCB8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2F4B92" w14:textId="6C2D3EDE"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6872DFBA" w14:textId="77777777" w:rsidR="00645F06" w:rsidRPr="00645F06" w:rsidRDefault="00645F06" w:rsidP="00645F06">
            <w:pPr>
              <w:rPr>
                <w:rFonts w:ascii="Arial Narrow" w:hAnsi="Arial Narrow" w:cs="Arial"/>
                <w:b/>
                <w:sz w:val="20"/>
                <w:szCs w:val="20"/>
              </w:rPr>
            </w:pPr>
            <w:r w:rsidRPr="00645F06">
              <w:rPr>
                <w:rFonts w:ascii="Arial Narrow" w:hAnsi="Arial Narrow" w:cs="Arial"/>
                <w:i/>
                <w:iCs/>
                <w:sz w:val="20"/>
                <w:szCs w:val="20"/>
              </w:rPr>
              <w:t>Patient must be both: (</w:t>
            </w:r>
            <w:proofErr w:type="spellStart"/>
            <w:r w:rsidRPr="00645F06">
              <w:rPr>
                <w:rFonts w:ascii="Arial Narrow" w:hAnsi="Arial Narrow" w:cs="Arial"/>
                <w:i/>
                <w:iCs/>
                <w:sz w:val="20"/>
                <w:szCs w:val="20"/>
              </w:rPr>
              <w:t>i</w:t>
            </w:r>
            <w:proofErr w:type="spellEnd"/>
            <w:r w:rsidRPr="00645F06">
              <w:rPr>
                <w:rFonts w:ascii="Arial Narrow" w:hAnsi="Arial Narrow" w:cs="Arial"/>
                <w:i/>
                <w:iCs/>
                <w:sz w:val="20"/>
                <w:szCs w:val="20"/>
              </w:rPr>
              <w:t xml:space="preserve">) within 3 to 14 days following an acute myocardial infarction (ii) commenced treatment within 14 days of acute myocardial infarction; OR </w:t>
            </w:r>
          </w:p>
        </w:tc>
      </w:tr>
      <w:tr w:rsidR="00645F06" w:rsidRPr="00645F06" w14:paraId="64163A9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767FB1" w14:textId="1ED1B7E5"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350D8E3B" w14:textId="77777777" w:rsidR="00645F06" w:rsidRPr="00645F06" w:rsidRDefault="00645F06" w:rsidP="00645F06">
            <w:pPr>
              <w:rPr>
                <w:rFonts w:ascii="Arial Narrow" w:hAnsi="Arial Narrow" w:cs="Arial"/>
                <w:sz w:val="20"/>
                <w:szCs w:val="20"/>
              </w:rPr>
            </w:pPr>
            <w:r w:rsidRPr="00645F06">
              <w:rPr>
                <w:rFonts w:ascii="Arial Narrow" w:hAnsi="Arial Narrow"/>
                <w:sz w:val="20"/>
                <w:szCs w:val="20"/>
              </w:rPr>
              <w:t>Patient must be symptomatic with NYHA classes II, III or IV</w:t>
            </w:r>
          </w:p>
        </w:tc>
      </w:tr>
      <w:tr w:rsidR="00645F06" w:rsidRPr="00645F06" w14:paraId="0B9C5DB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43D34FF5" w14:textId="77777777"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1CAF4951"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AND</w:t>
            </w:r>
          </w:p>
        </w:tc>
      </w:tr>
      <w:tr w:rsidR="00645F06" w:rsidRPr="00645F06" w14:paraId="1A9403F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C37B7D" w14:textId="6E889FBC"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4E652D9F"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35B8B58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697825" w14:textId="0A64DD72"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5832F39D" w14:textId="77777777" w:rsidR="00645F06" w:rsidRPr="00645F06" w:rsidRDefault="00645F06" w:rsidP="00645F06">
            <w:pPr>
              <w:rPr>
                <w:rFonts w:ascii="Arial Narrow" w:hAnsi="Arial Narrow" w:cs="Arial"/>
                <w:strike/>
                <w:sz w:val="20"/>
                <w:szCs w:val="20"/>
              </w:rPr>
            </w:pPr>
            <w:r w:rsidRPr="00645F06">
              <w:rPr>
                <w:rFonts w:ascii="Arial Narrow" w:hAnsi="Arial Narrow"/>
                <w:sz w:val="20"/>
                <w:szCs w:val="20"/>
              </w:rPr>
              <w:t>Patient must have a documented left ventricular ejection fraction (LVEF) of less than or equal to 40%</w:t>
            </w:r>
          </w:p>
        </w:tc>
      </w:tr>
      <w:tr w:rsidR="00645F06" w:rsidRPr="00645F06" w14:paraId="5BD087E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183683" w14:textId="77777777" w:rsidR="00645F06" w:rsidRPr="00645F06" w:rsidRDefault="00645F06" w:rsidP="00645F06">
            <w:pPr>
              <w:jc w:val="center"/>
              <w:rPr>
                <w:rFonts w:ascii="Arial Narrow" w:hAnsi="Arial Narrow" w:cs="Arial"/>
                <w:sz w:val="20"/>
                <w:szCs w:val="20"/>
              </w:rPr>
            </w:pPr>
          </w:p>
        </w:tc>
        <w:tc>
          <w:tcPr>
            <w:tcW w:w="7745" w:type="dxa"/>
            <w:gridSpan w:val="6"/>
            <w:vAlign w:val="center"/>
          </w:tcPr>
          <w:p w14:paraId="5DF003D9" w14:textId="77777777" w:rsidR="00645F06" w:rsidRPr="00645F06" w:rsidRDefault="00645F06" w:rsidP="00645F06">
            <w:pPr>
              <w:rPr>
                <w:rFonts w:ascii="Arial Narrow" w:hAnsi="Arial Narrow" w:cs="Arial"/>
                <w:b/>
                <w:sz w:val="20"/>
                <w:szCs w:val="20"/>
              </w:rPr>
            </w:pPr>
            <w:r w:rsidRPr="00645F06">
              <w:rPr>
                <w:rFonts w:ascii="Arial Narrow" w:hAnsi="Arial Narrow" w:cs="Arial"/>
                <w:b/>
                <w:sz w:val="20"/>
                <w:szCs w:val="20"/>
              </w:rPr>
              <w:t>AND</w:t>
            </w:r>
          </w:p>
        </w:tc>
      </w:tr>
      <w:tr w:rsidR="00645F06" w:rsidRPr="00645F06" w14:paraId="2B62093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F999BA" w14:textId="5A90127D" w:rsidR="00645F06" w:rsidRPr="00645F06" w:rsidRDefault="00645F06" w:rsidP="00645F06">
            <w:pPr>
              <w:jc w:val="center"/>
              <w:rPr>
                <w:rFonts w:ascii="Arial Narrow" w:hAnsi="Arial Narrow" w:cs="Arial"/>
                <w:sz w:val="20"/>
                <w:szCs w:val="20"/>
              </w:rPr>
            </w:pPr>
          </w:p>
        </w:tc>
        <w:tc>
          <w:tcPr>
            <w:tcW w:w="7745" w:type="dxa"/>
            <w:gridSpan w:val="6"/>
            <w:vAlign w:val="center"/>
          </w:tcPr>
          <w:p w14:paraId="278B705B"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583DECB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0902C9" w14:textId="64222877" w:rsidR="00645F06" w:rsidRPr="00645F06" w:rsidRDefault="00645F06" w:rsidP="00645F06">
            <w:pPr>
              <w:jc w:val="center"/>
              <w:rPr>
                <w:rFonts w:ascii="Arial Narrow" w:hAnsi="Arial Narrow" w:cs="Arial"/>
                <w:sz w:val="20"/>
                <w:szCs w:val="20"/>
              </w:rPr>
            </w:pPr>
          </w:p>
        </w:tc>
        <w:tc>
          <w:tcPr>
            <w:tcW w:w="7745" w:type="dxa"/>
            <w:gridSpan w:val="6"/>
            <w:vAlign w:val="center"/>
            <w:hideMark/>
          </w:tcPr>
          <w:p w14:paraId="53BCB781"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Patient must receive concomitant optimal standard chronic heart failure treatment, which must include a beta-blocker, unless at least one of the following is present in relation to the beta-blocker: (</w:t>
            </w:r>
            <w:proofErr w:type="spellStart"/>
            <w:r w:rsidRPr="00645F06">
              <w:rPr>
                <w:rFonts w:ascii="Arial Narrow" w:hAnsi="Arial Narrow" w:cs="Arial"/>
                <w:sz w:val="20"/>
                <w:szCs w:val="20"/>
              </w:rPr>
              <w:t>i</w:t>
            </w:r>
            <w:proofErr w:type="spellEnd"/>
            <w:r w:rsidRPr="00645F06">
              <w:rPr>
                <w:rFonts w:ascii="Arial Narrow" w:hAnsi="Arial Narrow" w:cs="Arial"/>
                <w:sz w:val="20"/>
                <w:szCs w:val="20"/>
              </w:rPr>
              <w:t xml:space="preserve">) a contraindication listed in the Product Information, (ii) an existing/expected intolerance, (iii) local treatment guidelines recommend initiation of this drug product prior to a beta-blocker </w:t>
            </w:r>
          </w:p>
          <w:p w14:paraId="09D8ABA7" w14:textId="77777777" w:rsidR="00645F06" w:rsidRPr="00645F06" w:rsidRDefault="00645F06" w:rsidP="00645F06">
            <w:pPr>
              <w:rPr>
                <w:rFonts w:ascii="Arial Narrow" w:hAnsi="Arial Narrow" w:cs="Arial"/>
                <w:sz w:val="20"/>
                <w:szCs w:val="20"/>
              </w:rPr>
            </w:pPr>
          </w:p>
        </w:tc>
      </w:tr>
      <w:tr w:rsidR="00645F06" w:rsidRPr="00645F06" w14:paraId="7354263E"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AE705C" w14:textId="77777777" w:rsidR="00645F06" w:rsidRPr="00645F06" w:rsidRDefault="00645F06" w:rsidP="00645F06">
            <w:pPr>
              <w:jc w:val="center"/>
              <w:rPr>
                <w:rFonts w:ascii="Arial Narrow" w:hAnsi="Arial Narrow" w:cs="Arial"/>
                <w:sz w:val="20"/>
                <w:szCs w:val="20"/>
              </w:rPr>
            </w:pPr>
          </w:p>
        </w:tc>
        <w:tc>
          <w:tcPr>
            <w:tcW w:w="7745" w:type="dxa"/>
            <w:gridSpan w:val="6"/>
            <w:vAlign w:val="center"/>
            <w:hideMark/>
          </w:tcPr>
          <w:p w14:paraId="71195163"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AND</w:t>
            </w:r>
          </w:p>
        </w:tc>
      </w:tr>
      <w:tr w:rsidR="00645F06" w:rsidRPr="00645F06" w14:paraId="40F57F0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4C0C49" w14:textId="0D773C05" w:rsidR="00645F06" w:rsidRPr="00645F06" w:rsidRDefault="00645F06" w:rsidP="00645F06">
            <w:pPr>
              <w:jc w:val="center"/>
              <w:rPr>
                <w:rFonts w:ascii="Arial Narrow" w:hAnsi="Arial Narrow" w:cs="Arial"/>
                <w:sz w:val="20"/>
                <w:szCs w:val="20"/>
              </w:rPr>
            </w:pPr>
          </w:p>
        </w:tc>
        <w:tc>
          <w:tcPr>
            <w:tcW w:w="7745" w:type="dxa"/>
            <w:gridSpan w:val="6"/>
            <w:vAlign w:val="center"/>
          </w:tcPr>
          <w:p w14:paraId="46803EC9"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4C01364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164F56" w14:textId="324636AD" w:rsidR="00645F06" w:rsidRPr="00645F06" w:rsidRDefault="00645F06" w:rsidP="00645F06">
            <w:pPr>
              <w:jc w:val="center"/>
              <w:rPr>
                <w:rFonts w:ascii="Arial Narrow" w:hAnsi="Arial Narrow" w:cs="Arial"/>
                <w:sz w:val="20"/>
                <w:szCs w:val="20"/>
              </w:rPr>
            </w:pPr>
          </w:p>
        </w:tc>
        <w:tc>
          <w:tcPr>
            <w:tcW w:w="7745" w:type="dxa"/>
            <w:gridSpan w:val="6"/>
            <w:vAlign w:val="center"/>
          </w:tcPr>
          <w:p w14:paraId="63EE6763"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2954AC0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8D130B" w14:textId="4AAC60CA" w:rsidR="00645F06" w:rsidRPr="00645F06" w:rsidRDefault="00645F06" w:rsidP="00645F06">
            <w:pPr>
              <w:jc w:val="center"/>
              <w:rPr>
                <w:rFonts w:ascii="Arial Narrow" w:hAnsi="Arial Narrow" w:cs="Arial"/>
                <w:sz w:val="20"/>
                <w:szCs w:val="20"/>
              </w:rPr>
            </w:pPr>
          </w:p>
        </w:tc>
        <w:tc>
          <w:tcPr>
            <w:tcW w:w="7745" w:type="dxa"/>
            <w:gridSpan w:val="6"/>
            <w:vAlign w:val="center"/>
          </w:tcPr>
          <w:p w14:paraId="70207C7D"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3C1E8F0"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058D360" w14:textId="520A0C55" w:rsidR="00645F06" w:rsidRPr="00645F06" w:rsidRDefault="00645F06" w:rsidP="00645F06">
            <w:pPr>
              <w:jc w:val="center"/>
              <w:rPr>
                <w:rFonts w:ascii="Arial Narrow" w:hAnsi="Arial Narrow" w:cs="Arial"/>
                <w:sz w:val="20"/>
                <w:szCs w:val="20"/>
              </w:rPr>
            </w:pPr>
          </w:p>
        </w:tc>
        <w:tc>
          <w:tcPr>
            <w:tcW w:w="7745" w:type="dxa"/>
            <w:gridSpan w:val="6"/>
            <w:vAlign w:val="center"/>
          </w:tcPr>
          <w:p w14:paraId="5AB1D840" w14:textId="77777777" w:rsidR="00645F06" w:rsidRPr="00645F06" w:rsidRDefault="00645F06" w:rsidP="00645F06">
            <w:pPr>
              <w:rPr>
                <w:rFonts w:ascii="Arial Narrow" w:hAnsi="Arial Narrow" w:cs="Arial"/>
                <w:sz w:val="20"/>
                <w:szCs w:val="20"/>
              </w:rPr>
            </w:pPr>
            <w:r w:rsidRPr="00645F06">
              <w:rPr>
                <w:rFonts w:ascii="Arial Narrow" w:hAnsi="Arial Narrow" w:cs="Arial"/>
                <w:b/>
                <w:i/>
                <w:iCs/>
                <w:sz w:val="20"/>
                <w:szCs w:val="20"/>
              </w:rPr>
              <w:t>Caution:</w:t>
            </w:r>
            <w:r w:rsidRPr="00645F06">
              <w:rPr>
                <w:rFonts w:ascii="Arial Narrow" w:hAnsi="Arial Narrow" w:cs="Arial"/>
                <w:i/>
                <w:iCs/>
                <w:sz w:val="20"/>
                <w:szCs w:val="20"/>
              </w:rPr>
              <w:t xml:space="preserve"> Serum electrolytes should be checked regularly</w:t>
            </w:r>
          </w:p>
        </w:tc>
      </w:tr>
      <w:tr w:rsidR="00645F06" w:rsidRPr="00645F06" w14:paraId="6F8D0C9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0C6B726" w14:textId="77777777" w:rsidR="00645F06" w:rsidRPr="00645F06" w:rsidRDefault="00645F06" w:rsidP="00645F06">
            <w:pPr>
              <w:jc w:val="center"/>
              <w:rPr>
                <w:rFonts w:ascii="Arial Narrow" w:hAnsi="Arial Narrow" w:cs="Arial"/>
                <w:sz w:val="20"/>
                <w:szCs w:val="20"/>
              </w:rPr>
            </w:pPr>
          </w:p>
        </w:tc>
        <w:tc>
          <w:tcPr>
            <w:tcW w:w="7745" w:type="dxa"/>
            <w:gridSpan w:val="6"/>
            <w:vAlign w:val="center"/>
          </w:tcPr>
          <w:p w14:paraId="426D20B8" w14:textId="77777777" w:rsidR="00645F06" w:rsidRPr="00645F06" w:rsidRDefault="00645F06" w:rsidP="00645F06">
            <w:pPr>
              <w:rPr>
                <w:rFonts w:ascii="Arial Narrow" w:hAnsi="Arial Narrow" w:cs="Arial"/>
                <w:sz w:val="20"/>
                <w:szCs w:val="20"/>
              </w:rPr>
            </w:pPr>
            <w:r w:rsidRPr="00645F06">
              <w:rPr>
                <w:rFonts w:ascii="Arial Narrow" w:hAnsi="Arial Narrow" w:cs="Arial"/>
                <w:b/>
                <w:bCs/>
                <w:i/>
                <w:iCs/>
                <w:sz w:val="20"/>
                <w:szCs w:val="20"/>
              </w:rPr>
              <w:t xml:space="preserve">Prescribing Instructions: </w:t>
            </w:r>
            <w:r w:rsidRPr="00645F06">
              <w:rPr>
                <w:rFonts w:ascii="Arial Narrow" w:hAnsi="Arial Narrow" w:cs="Arial"/>
                <w:i/>
                <w:iCs/>
                <w:sz w:val="20"/>
                <w:szCs w:val="20"/>
              </w:rPr>
              <w:t>The date of the acute myocardial infarction and the date of initiation of treatment with this drug must be documented in the patient's medical records when PBS-subsidised treatment is initiated</w:t>
            </w:r>
          </w:p>
        </w:tc>
      </w:tr>
    </w:tbl>
    <w:p w14:paraId="11298761" w14:textId="77777777" w:rsidR="00645F06" w:rsidRPr="00645F06" w:rsidRDefault="00645F06" w:rsidP="00A40D00">
      <w:pPr>
        <w:pStyle w:val="3-BodyText"/>
        <w:rPr>
          <w:i/>
        </w:rPr>
      </w:pPr>
      <w:r w:rsidRPr="00645F06">
        <w:t xml:space="preserve">Concomitant use of eplerenone with an ACEI/ARB/ARNI is associated with a higher risk of hyperkalaemia, but they are not contraindicated. This clinical criterion has therefore been removed. </w:t>
      </w:r>
      <w:r w:rsidRPr="00645F06">
        <w:rPr>
          <w:rFonts w:ascii="Segoe UI" w:hAnsi="Segoe UI" w:cs="Segoe UI"/>
          <w:sz w:val="18"/>
        </w:rPr>
        <w:t>The Australian Heart Foundation Guidelines 2018 recommend that “</w:t>
      </w:r>
      <w:r w:rsidRPr="00645F06">
        <w:t xml:space="preserve">An MRA is recommended in all patients with </w:t>
      </w:r>
      <w:proofErr w:type="spellStart"/>
      <w:r w:rsidRPr="00645F06">
        <w:t>HFrEF</w:t>
      </w:r>
      <w:proofErr w:type="spellEnd"/>
      <w:r w:rsidRPr="00645F06">
        <w:t xml:space="preserve"> associated with a moderate or severe reduction in LVEF (LVEF less than or equal to 40%) unless contraindicated or not tolerated, to decrease mortality and decrease hospitalisation for heart failure,” </w:t>
      </w:r>
      <w:r w:rsidRPr="00645F06">
        <w:lastRenderedPageBreak/>
        <w:t>without mention of NYHA classes. These and other international guidelines provided a more contemporary clinical view of MRA use.</w:t>
      </w:r>
    </w:p>
    <w:p w14:paraId="013B4B77"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Consideration of evidence</w:t>
      </w:r>
    </w:p>
    <w:p w14:paraId="5ACAC2AF" w14:textId="77777777" w:rsidR="00645F06" w:rsidRPr="00645F06" w:rsidRDefault="00645F06" w:rsidP="00645F06">
      <w:pPr>
        <w:keepNext/>
        <w:spacing w:before="120" w:after="120"/>
        <w:outlineLvl w:val="1"/>
        <w:rPr>
          <w:rFonts w:asciiTheme="minorHAnsi" w:eastAsiaTheme="majorEastAsia" w:hAnsiTheme="minorHAnsi" w:cstheme="majorBidi"/>
          <w:b/>
          <w:i/>
          <w:spacing w:val="5"/>
          <w:kern w:val="28"/>
          <w:sz w:val="28"/>
          <w:szCs w:val="36"/>
          <w:lang w:val="en-GB"/>
        </w:rPr>
      </w:pPr>
      <w:r w:rsidRPr="00645F06">
        <w:rPr>
          <w:rFonts w:asciiTheme="minorHAnsi" w:eastAsiaTheme="majorEastAsia" w:hAnsiTheme="minorHAnsi" w:cstheme="majorBidi"/>
          <w:b/>
          <w:i/>
          <w:spacing w:val="5"/>
          <w:kern w:val="28"/>
          <w:sz w:val="28"/>
          <w:szCs w:val="36"/>
          <w:lang w:val="en-GB"/>
        </w:rPr>
        <w:t>Clinical Claim</w:t>
      </w:r>
    </w:p>
    <w:p w14:paraId="2F9BA518" w14:textId="77777777" w:rsidR="00645F06" w:rsidRPr="00645F06" w:rsidRDefault="00645F06" w:rsidP="00A40D00">
      <w:pPr>
        <w:pStyle w:val="3-BodyText"/>
        <w:rPr>
          <w:snapToGrid w:val="0"/>
          <w:lang w:val="en-GB"/>
        </w:rPr>
      </w:pPr>
      <w:r w:rsidRPr="00645F06">
        <w:rPr>
          <w:snapToGrid w:val="0"/>
          <w:lang w:val="en-GB"/>
        </w:rPr>
        <w:t xml:space="preserve">Recent studies suggest that eplerenone is superior to spironolactone in reducing all-cause mortality and cardiovascular mortality, and that eplerenone exhibited lower treatment withdrawal due to adverse effects </w:t>
      </w:r>
      <w:r w:rsidRPr="00645F06">
        <w:rPr>
          <w:snapToGrid w:val="0"/>
          <w:vertAlign w:val="superscript"/>
          <w:lang w:val="en-GB"/>
        </w:rPr>
        <w:footnoteReference w:id="2"/>
      </w:r>
      <w:r w:rsidRPr="00645F06">
        <w:rPr>
          <w:snapToGrid w:val="0"/>
          <w:lang w:val="en-GB"/>
        </w:rPr>
        <w:t>.</w:t>
      </w:r>
    </w:p>
    <w:p w14:paraId="01194FC8" w14:textId="77777777" w:rsidR="00645F06" w:rsidRPr="00645F06" w:rsidRDefault="00645F06" w:rsidP="00645F06">
      <w:pPr>
        <w:keepNext/>
        <w:spacing w:before="120" w:after="120"/>
        <w:outlineLvl w:val="1"/>
        <w:rPr>
          <w:rFonts w:asciiTheme="minorHAnsi" w:eastAsiaTheme="majorEastAsia" w:hAnsiTheme="minorHAnsi" w:cstheme="majorBidi"/>
          <w:b/>
          <w:i/>
          <w:snapToGrid w:val="0"/>
          <w:spacing w:val="5"/>
          <w:kern w:val="28"/>
          <w:sz w:val="28"/>
          <w:szCs w:val="36"/>
          <w:lang w:val="en-GB"/>
        </w:rPr>
      </w:pPr>
      <w:r w:rsidRPr="00645F06">
        <w:rPr>
          <w:rFonts w:asciiTheme="minorHAnsi" w:eastAsiaTheme="majorEastAsia" w:hAnsiTheme="minorHAnsi" w:cstheme="majorBidi"/>
          <w:b/>
          <w:i/>
          <w:snapToGrid w:val="0"/>
          <w:spacing w:val="5"/>
          <w:kern w:val="28"/>
          <w:sz w:val="28"/>
          <w:szCs w:val="36"/>
          <w:lang w:val="en-GB"/>
        </w:rPr>
        <w:t>Drug cost/patient/year</w:t>
      </w:r>
    </w:p>
    <w:p w14:paraId="431658C3"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The price of eplerenone when listed (1 April 2006) was $114.84 DPMQ. It currently sits at $54.42 DPMQ, which equates to 47% of the initial price. For reference, on 1 April 2006 the DPMQ for spironolactone was at $12.95 for the 25mg tablet and $36.43 for the 100mg tablet. It is currently priced at $17.55 for the 25mg tablet and $28.60 for the 100mg tablet.</w:t>
      </w:r>
    </w:p>
    <w:p w14:paraId="4B581804" w14:textId="77777777" w:rsidR="00645F06" w:rsidRPr="00645F06" w:rsidRDefault="00645F06" w:rsidP="00645F06">
      <w:pPr>
        <w:keepNext/>
        <w:spacing w:before="120" w:after="120"/>
        <w:outlineLvl w:val="1"/>
        <w:rPr>
          <w:rFonts w:asciiTheme="minorHAnsi" w:eastAsiaTheme="majorEastAsia" w:hAnsiTheme="minorHAnsi" w:cstheme="majorBidi"/>
          <w:b/>
          <w:i/>
          <w:spacing w:val="5"/>
          <w:kern w:val="28"/>
          <w:sz w:val="28"/>
          <w:szCs w:val="36"/>
          <w:lang w:val="en-GB"/>
        </w:rPr>
      </w:pPr>
      <w:r w:rsidRPr="00645F06">
        <w:rPr>
          <w:rFonts w:asciiTheme="minorHAnsi" w:eastAsiaTheme="majorEastAsia" w:hAnsiTheme="minorHAnsi" w:cstheme="majorBidi"/>
          <w:b/>
          <w:i/>
          <w:spacing w:val="5"/>
          <w:kern w:val="28"/>
          <w:sz w:val="28"/>
          <w:szCs w:val="36"/>
          <w:lang w:val="en-GB"/>
        </w:rPr>
        <w:t>Estimated PBS usage and financial implications</w:t>
      </w:r>
    </w:p>
    <w:p w14:paraId="0D9E3B55" w14:textId="77777777" w:rsidR="00645F06" w:rsidRPr="00645F06" w:rsidRDefault="00645F06" w:rsidP="00A40D00">
      <w:pPr>
        <w:numPr>
          <w:ilvl w:val="1"/>
          <w:numId w:val="2"/>
        </w:numPr>
        <w:spacing w:before="120" w:after="120"/>
        <w:rPr>
          <w:rFonts w:asciiTheme="minorHAnsi" w:eastAsiaTheme="minorHAnsi" w:hAnsiTheme="minorHAnsi" w:cstheme="minorBidi"/>
          <w:i/>
          <w:iCs/>
          <w:szCs w:val="22"/>
        </w:rPr>
      </w:pPr>
      <w:r w:rsidRPr="00645F06">
        <w:rPr>
          <w:rFonts w:asciiTheme="minorHAnsi" w:eastAsiaTheme="minorHAnsi" w:hAnsiTheme="minorHAnsi" w:cstheme="minorBidi"/>
          <w:szCs w:val="22"/>
        </w:rPr>
        <w:t>A revised utilisation cost model was prepared by the Secretariat via the following steps</w:t>
      </w:r>
      <w:r w:rsidRPr="00645F06">
        <w:rPr>
          <w:rFonts w:asciiTheme="minorHAnsi" w:eastAsiaTheme="minorHAnsi" w:hAnsiTheme="minorHAnsi" w:cstheme="minorBidi"/>
          <w:i/>
          <w:iCs/>
          <w:szCs w:val="22"/>
        </w:rPr>
        <w:t>:</w:t>
      </w:r>
    </w:p>
    <w:p w14:paraId="0A56D23F" w14:textId="77777777" w:rsidR="00645F06" w:rsidRPr="00645F06" w:rsidRDefault="00645F06" w:rsidP="00645F06">
      <w:pPr>
        <w:spacing w:before="120" w:after="120"/>
        <w:ind w:left="720"/>
        <w:rPr>
          <w:rFonts w:asciiTheme="minorHAnsi" w:eastAsiaTheme="minorHAnsi" w:hAnsiTheme="minorHAnsi" w:cstheme="minorBidi"/>
          <w:szCs w:val="22"/>
        </w:rPr>
      </w:pPr>
      <w:r w:rsidRPr="00645F06">
        <w:rPr>
          <w:rFonts w:asciiTheme="minorHAnsi" w:eastAsiaTheme="minorHAnsi" w:hAnsiTheme="minorHAnsi" w:cstheme="minorBidi"/>
          <w:szCs w:val="22"/>
        </w:rPr>
        <w:t>Using a prevalence-based epidemiological approach to estimate the number of Australians with HF (Heart failure prevalence, (Eplerenone_UCM_v8)</w:t>
      </w:r>
      <w:r w:rsidRPr="00645F06">
        <w:rPr>
          <w:rFonts w:asciiTheme="minorHAnsi" w:eastAsiaTheme="minorHAnsi" w:hAnsiTheme="minorHAnsi" w:cstheme="minorBidi"/>
          <w:szCs w:val="22"/>
          <w:vertAlign w:val="superscript"/>
        </w:rPr>
        <w:footnoteReference w:id="3"/>
      </w:r>
    </w:p>
    <w:p w14:paraId="3FCC6E5D"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Assumed 95% of patients with HF are within the NYHA class II-IV population</w:t>
      </w:r>
      <w:r w:rsidRPr="00645F06">
        <w:rPr>
          <w:rFonts w:asciiTheme="minorHAnsi" w:eastAsiaTheme="minorHAnsi" w:hAnsiTheme="minorHAnsi" w:cstheme="minorBidi"/>
          <w:szCs w:val="22"/>
          <w:vertAlign w:val="superscript"/>
        </w:rPr>
        <w:footnoteReference w:id="4"/>
      </w:r>
    </w:p>
    <w:p w14:paraId="20B2B776" w14:textId="77777777" w:rsidR="00645F06" w:rsidRPr="00E050C5" w:rsidRDefault="00645F06" w:rsidP="00A40D00">
      <w:pPr>
        <w:numPr>
          <w:ilvl w:val="1"/>
          <w:numId w:val="2"/>
        </w:numPr>
        <w:spacing w:before="120" w:after="120"/>
        <w:rPr>
          <w:rFonts w:asciiTheme="minorHAnsi" w:eastAsiaTheme="minorHAnsi" w:hAnsiTheme="minorHAnsi" w:cstheme="minorBidi"/>
          <w:szCs w:val="22"/>
        </w:rPr>
      </w:pPr>
      <w:r w:rsidRPr="00E050C5">
        <w:rPr>
          <w:rFonts w:asciiTheme="minorHAnsi" w:eastAsiaTheme="minorHAnsi" w:hAnsiTheme="minorHAnsi" w:cstheme="minorBidi"/>
          <w:szCs w:val="22"/>
        </w:rPr>
        <w:t>Assumed the proportion of LVEF ≤ 40% or less is 50%</w:t>
      </w:r>
      <w:r w:rsidRPr="00E050C5">
        <w:rPr>
          <w:rFonts w:asciiTheme="minorHAnsi" w:eastAsiaTheme="minorHAnsi" w:hAnsiTheme="minorHAnsi" w:cstheme="minorBidi"/>
          <w:szCs w:val="22"/>
          <w:vertAlign w:val="superscript"/>
        </w:rPr>
        <w:footnoteReference w:id="5"/>
      </w:r>
    </w:p>
    <w:p w14:paraId="0334DCE6" w14:textId="77777777" w:rsidR="00645F06" w:rsidRPr="00E050C5" w:rsidRDefault="00645F06" w:rsidP="00A40D00">
      <w:pPr>
        <w:numPr>
          <w:ilvl w:val="1"/>
          <w:numId w:val="2"/>
        </w:numPr>
        <w:spacing w:before="120" w:after="120"/>
        <w:rPr>
          <w:rFonts w:asciiTheme="minorHAnsi" w:eastAsiaTheme="minorHAnsi" w:hAnsiTheme="minorHAnsi" w:cstheme="minorBidi"/>
          <w:szCs w:val="22"/>
        </w:rPr>
      </w:pPr>
      <w:r w:rsidRPr="00E050C5">
        <w:rPr>
          <w:rFonts w:asciiTheme="minorHAnsi" w:eastAsiaTheme="minorHAnsi" w:hAnsiTheme="minorHAnsi" w:cstheme="minorBidi"/>
          <w:szCs w:val="22"/>
        </w:rPr>
        <w:t>Assumed uptake of eplerenone from this population would be 25% in the first year, increasing by 5% per year to 50% in Year 6</w:t>
      </w:r>
    </w:p>
    <w:p w14:paraId="1E0B0B6B"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Assumed use of eplerenone as first line treatment</w:t>
      </w:r>
    </w:p>
    <w:p w14:paraId="28C1D3A1"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Assumed current eplerenone DPMQ</w:t>
      </w:r>
    </w:p>
    <w:p w14:paraId="2EE0841B" w14:textId="77777777" w:rsidR="00645F06" w:rsidRPr="00645F06" w:rsidRDefault="00645F06" w:rsidP="00645F06">
      <w:pPr>
        <w:keepNext/>
        <w:keepLines/>
        <w:rPr>
          <w:rFonts w:asciiTheme="minorHAnsi" w:hAnsiTheme="minorHAnsi" w:cstheme="minorBidi"/>
          <w:b/>
        </w:rPr>
      </w:pPr>
      <w:bookmarkStart w:id="13" w:name="_Hlk216862944"/>
      <w:r w:rsidRPr="00645F06">
        <w:rPr>
          <w:rFonts w:ascii="Arial Narrow" w:hAnsi="Arial Narrow"/>
          <w:b/>
          <w:sz w:val="20"/>
          <w:szCs w:val="20"/>
        </w:rPr>
        <w:lastRenderedPageBreak/>
        <w:t>Table</w:t>
      </w:r>
      <w:r w:rsidRPr="00645F06">
        <w:rPr>
          <w:rFonts w:ascii="Arial Narrow" w:eastAsiaTheme="majorEastAsia" w:hAnsi="Arial Narrow"/>
          <w:b/>
          <w:sz w:val="22"/>
          <w:szCs w:val="22"/>
        </w:rPr>
        <w:t xml:space="preserve"> 4: </w:t>
      </w:r>
      <w:r w:rsidRPr="00645F06">
        <w:rPr>
          <w:rFonts w:ascii="Arial Narrow" w:hAnsi="Arial Narrow"/>
          <w:b/>
          <w:sz w:val="20"/>
          <w:szCs w:val="20"/>
        </w:rPr>
        <w:t xml:space="preserve">Estimated use and financial implications - revised </w:t>
      </w:r>
    </w:p>
    <w:tbl>
      <w:tblPr>
        <w:tblW w:w="0" w:type="auto"/>
        <w:tblLook w:val="04A0" w:firstRow="1" w:lastRow="0" w:firstColumn="1" w:lastColumn="0" w:noHBand="0" w:noVBand="1"/>
      </w:tblPr>
      <w:tblGrid>
        <w:gridCol w:w="1963"/>
        <w:gridCol w:w="1129"/>
        <w:gridCol w:w="1129"/>
        <w:gridCol w:w="1129"/>
        <w:gridCol w:w="1129"/>
        <w:gridCol w:w="1129"/>
        <w:gridCol w:w="1398"/>
      </w:tblGrid>
      <w:tr w:rsidR="00645F06" w:rsidRPr="00645F06" w14:paraId="65241F5F" w14:textId="77777777" w:rsidTr="00FA26BE">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38D79F" w14:textId="77777777" w:rsidR="00645F06" w:rsidRPr="00645F06" w:rsidRDefault="00645F06" w:rsidP="00645F06">
            <w:pPr>
              <w:rPr>
                <w:rFonts w:ascii="Arial Narrow" w:eastAsia="Arial Narrow" w:hAnsi="Arial Narrow" w:cs="Arial Narrow"/>
                <w:sz w:val="20"/>
                <w:szCs w:val="20"/>
              </w:rPr>
            </w:pP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DB4EA77"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1</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2093D33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2</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21B9650"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3</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7625C05"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4</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371074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5</w:t>
            </w:r>
          </w:p>
        </w:tc>
        <w:tc>
          <w:tcPr>
            <w:tcW w:w="1399" w:type="dxa"/>
            <w:tcBorders>
              <w:top w:val="single" w:sz="8" w:space="0" w:color="auto"/>
              <w:left w:val="single" w:sz="8" w:space="0" w:color="auto"/>
              <w:bottom w:val="single" w:sz="8" w:space="0" w:color="auto"/>
              <w:right w:val="single" w:sz="8" w:space="0" w:color="auto"/>
            </w:tcBorders>
            <w:tcMar>
              <w:left w:w="28" w:type="dxa"/>
              <w:right w:w="28" w:type="dxa"/>
            </w:tcMar>
          </w:tcPr>
          <w:p w14:paraId="52320CDB"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6</w:t>
            </w:r>
          </w:p>
        </w:tc>
      </w:tr>
      <w:tr w:rsidR="00645F06" w:rsidRPr="00645F06" w14:paraId="33B306F9" w14:textId="77777777" w:rsidTr="00FA26BE">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35D47C58"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extent of use</w:t>
            </w:r>
          </w:p>
        </w:tc>
      </w:tr>
      <w:tr w:rsidR="00645F06" w:rsidRPr="00645F06" w14:paraId="2295AA8C" w14:textId="77777777" w:rsidTr="00FA26BE">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1F5179" w14:textId="77777777" w:rsidR="00645F06" w:rsidRPr="00645F06" w:rsidRDefault="00645F06" w:rsidP="00645F06">
            <w:pPr>
              <w:rPr>
                <w:rFonts w:ascii="Arial Narrow" w:eastAsia="Arial Narrow" w:hAnsi="Arial Narrow" w:cs="Arial Narrow"/>
                <w:sz w:val="20"/>
                <w:szCs w:val="20"/>
                <w:vertAlign w:val="superscript"/>
              </w:rPr>
            </w:pPr>
            <w:r w:rsidRPr="00645F06">
              <w:rPr>
                <w:rFonts w:ascii="Arial Narrow" w:eastAsia="Arial Narrow" w:hAnsi="Arial Narrow" w:cs="Arial Narrow"/>
                <w:sz w:val="20"/>
                <w:szCs w:val="20"/>
              </w:rPr>
              <w:t xml:space="preserve">Number of scripts </w:t>
            </w:r>
            <w:proofErr w:type="spellStart"/>
            <w:r w:rsidRPr="00645F06">
              <w:rPr>
                <w:rFonts w:ascii="Arial Narrow" w:eastAsia="Arial Narrow" w:hAnsi="Arial Narrow" w:cs="Arial Narrow"/>
                <w:sz w:val="20"/>
                <w:szCs w:val="20"/>
              </w:rPr>
              <w:t>dispensed</w:t>
            </w:r>
            <w:r w:rsidRPr="00645F06">
              <w:rPr>
                <w:rFonts w:ascii="Arial Narrow" w:eastAsia="Arial Narrow" w:hAnsi="Arial Narrow" w:cs="Arial Narrow"/>
                <w:sz w:val="20"/>
                <w:szCs w:val="20"/>
                <w:vertAlign w:val="superscript"/>
              </w:rPr>
              <w:t>a</w:t>
            </w:r>
            <w:proofErr w:type="spellEnd"/>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2A85990D" w14:textId="620E7C21"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D2EE9" w:rsidRPr="00A40D00">
              <w:rPr>
                <w:rFonts w:ascii="Arial Narrow" w:eastAsia="Arial Narrow" w:hAnsi="Arial Narrow" w:cs="Arial Narrow"/>
                <w:color w:val="000000" w:themeColor="text1"/>
                <w:sz w:val="20"/>
                <w:szCs w:val="20"/>
                <w:vertAlign w:val="superscript"/>
              </w:rPr>
              <w:t>1</w:t>
            </w:r>
            <w:r w:rsidRPr="00A40D00">
              <w:rPr>
                <w:rFonts w:ascii="Arial Narrow" w:eastAsia="Arial Narrow" w:hAnsi="Arial Narrow" w:cs="Arial Narrow"/>
                <w:color w:val="000000" w:themeColor="text1"/>
                <w:sz w:val="4"/>
                <w:szCs w:val="20"/>
                <w:highlight w:val="black"/>
              </w:rPr>
              <w:t>&amp;&amp;&amp;&amp;</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624D5892" w14:textId="4B42C890"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D2EE9" w:rsidRPr="00FA26BE">
              <w:rPr>
                <w:rFonts w:ascii="Arial Narrow" w:eastAsia="Arial Narrow" w:hAnsi="Arial Narrow" w:cs="Arial Narrow"/>
                <w:color w:val="000000" w:themeColor="text1"/>
                <w:sz w:val="20"/>
                <w:szCs w:val="20"/>
                <w:vertAlign w:val="superscript"/>
              </w:rPr>
              <w:t>1</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4C4BB281" w14:textId="2F02B339"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D04F1A" w:rsidRPr="00A40D00">
              <w:rPr>
                <w:rFonts w:ascii="Arial Narrow" w:eastAsia="Arial Narrow" w:hAnsi="Arial Narrow" w:cs="Arial Narrow"/>
                <w:color w:val="000000" w:themeColor="text1"/>
                <w:sz w:val="20"/>
                <w:szCs w:val="20"/>
                <w:vertAlign w:val="superscript"/>
              </w:rPr>
              <w:t>2</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0F0BD40F" w14:textId="0FCE9086"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FA26BE">
              <w:rPr>
                <w:rFonts w:ascii="Arial Narrow" w:eastAsia="Arial Narrow" w:hAnsi="Arial Narrow" w:cs="Arial Narrow"/>
                <w:color w:val="000000" w:themeColor="text1"/>
                <w:sz w:val="20"/>
                <w:szCs w:val="20"/>
                <w:vertAlign w:val="superscript"/>
              </w:rPr>
              <w:t>2</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53D30B14" w14:textId="2B811B58"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A40D00">
              <w:rPr>
                <w:rFonts w:ascii="Arial Narrow" w:eastAsia="Arial Narrow" w:hAnsi="Arial Narrow" w:cs="Arial Narrow"/>
                <w:color w:val="000000" w:themeColor="text1"/>
                <w:sz w:val="20"/>
                <w:szCs w:val="20"/>
                <w:vertAlign w:val="superscript"/>
              </w:rPr>
              <w:t>3</w:t>
            </w:r>
          </w:p>
        </w:tc>
        <w:tc>
          <w:tcPr>
            <w:tcW w:w="1399" w:type="dxa"/>
            <w:tcBorders>
              <w:top w:val="nil"/>
              <w:left w:val="single" w:sz="8" w:space="0" w:color="auto"/>
              <w:bottom w:val="single" w:sz="8" w:space="0" w:color="auto"/>
              <w:right w:val="single" w:sz="8" w:space="0" w:color="auto"/>
            </w:tcBorders>
            <w:tcMar>
              <w:left w:w="28" w:type="dxa"/>
              <w:right w:w="28" w:type="dxa"/>
            </w:tcMar>
            <w:vAlign w:val="center"/>
          </w:tcPr>
          <w:p w14:paraId="625CF0FB" w14:textId="6E9DAD5F"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FA26BE">
              <w:rPr>
                <w:rFonts w:ascii="Arial Narrow" w:eastAsia="Arial Narrow" w:hAnsi="Arial Narrow" w:cs="Arial Narrow"/>
                <w:color w:val="000000" w:themeColor="text1"/>
                <w:sz w:val="20"/>
                <w:szCs w:val="20"/>
                <w:vertAlign w:val="superscript"/>
              </w:rPr>
              <w:t>3</w:t>
            </w:r>
          </w:p>
        </w:tc>
      </w:tr>
      <w:tr w:rsidR="00645F06" w:rsidRPr="00645F06" w14:paraId="740B8F71" w14:textId="77777777" w:rsidTr="00FA26BE">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2BC7CC5"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eplerenone</w:t>
            </w:r>
          </w:p>
        </w:tc>
      </w:tr>
      <w:tr w:rsidR="00645F06" w:rsidRPr="00645F06" w14:paraId="0507D8A7" w14:textId="77777777" w:rsidTr="00FA26BE">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A8AE83E" w14:textId="60B75EFC"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9F0B49">
              <w:rPr>
                <w:rFonts w:ascii="Arial Narrow" w:eastAsia="Arial Narrow" w:hAnsi="Arial Narrow" w:cs="Arial Narrow"/>
                <w:sz w:val="20"/>
                <w:szCs w:val="20"/>
              </w:rPr>
              <w:t xml:space="preserve"> ($)</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DFC9F04" w14:textId="5461007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B639DE" w:rsidRPr="00A40D00">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F6D261C" w14:textId="622CA22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95BC8DA" w14:textId="7E2AC80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1353461" w14:textId="3826DA9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41273745" w14:textId="0704062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414B5D" w:rsidRPr="00A40D00">
              <w:rPr>
                <w:rFonts w:ascii="Arial Narrow" w:eastAsia="Arial Narrow" w:hAnsi="Arial Narrow" w:cs="Arial Narrow"/>
                <w:color w:val="000000" w:themeColor="text1"/>
                <w:sz w:val="20"/>
                <w:szCs w:val="20"/>
                <w:vertAlign w:val="superscript"/>
              </w:rPr>
              <w:t>5</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1880173A" w14:textId="0A5060B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414B5D" w:rsidRPr="00FA26BE">
              <w:rPr>
                <w:rFonts w:ascii="Arial Narrow" w:eastAsia="Arial Narrow" w:hAnsi="Arial Narrow" w:cs="Arial Narrow"/>
                <w:color w:val="000000" w:themeColor="text1"/>
                <w:sz w:val="20"/>
                <w:szCs w:val="20"/>
                <w:vertAlign w:val="superscript"/>
              </w:rPr>
              <w:t>5</w:t>
            </w:r>
          </w:p>
        </w:tc>
      </w:tr>
      <w:tr w:rsidR="00645F06" w:rsidRPr="00645F06" w14:paraId="74ECDF2A" w14:textId="77777777" w:rsidTr="00FA26BE">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90F2436"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no change to listing of eplerenone</w:t>
            </w:r>
          </w:p>
        </w:tc>
      </w:tr>
      <w:tr w:rsidR="00645F06" w:rsidRPr="00645F06" w14:paraId="5E08F878" w14:textId="77777777" w:rsidTr="00FA26BE">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3E3A4D43" w14:textId="5C9EB76A"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9F0B49">
              <w:rPr>
                <w:rFonts w:ascii="Arial Narrow" w:eastAsia="Arial Narrow" w:hAnsi="Arial Narrow" w:cs="Arial Narrow"/>
                <w:sz w:val="20"/>
                <w:szCs w:val="20"/>
              </w:rPr>
              <w:t xml:space="preserve"> (</w:t>
            </w:r>
            <w:r w:rsidR="005916DF">
              <w:rPr>
                <w:rFonts w:ascii="Arial Narrow" w:eastAsia="Arial Narrow" w:hAnsi="Arial Narrow" w:cs="Arial Narrow"/>
                <w:sz w:val="20"/>
                <w:szCs w:val="20"/>
              </w:rPr>
              <w:t>-</w:t>
            </w:r>
            <w:r w:rsidR="009F0B49">
              <w:rPr>
                <w:rFonts w:ascii="Arial Narrow" w:eastAsia="Arial Narrow" w:hAnsi="Arial Narrow" w:cs="Arial Narrow"/>
                <w:sz w:val="20"/>
                <w:szCs w:val="20"/>
              </w:rPr>
              <w:t>$)</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5DB2D8AF" w14:textId="65895DF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A40D00">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12F8725" w14:textId="78D6255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07605A8E" w14:textId="3F18826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67EB156" w14:textId="52D0E96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565E91E" w14:textId="233E59B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01ACD235" w14:textId="73AC372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r>
      <w:tr w:rsidR="00645F06" w:rsidRPr="00645F06" w14:paraId="075EE97E" w14:textId="77777777" w:rsidTr="00FA26BE">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930FCCC"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Net financial implications</w:t>
            </w:r>
          </w:p>
        </w:tc>
      </w:tr>
      <w:tr w:rsidR="00645F06" w:rsidRPr="00645F06" w14:paraId="7B041DAB" w14:textId="77777777" w:rsidTr="00FA26BE">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F302FE8" w14:textId="70AA5DFE" w:rsidR="00645F06" w:rsidRPr="00645F06" w:rsidRDefault="00645F06" w:rsidP="00645F06">
            <w:pPr>
              <w:rPr>
                <w:rFonts w:ascii="Arial Narrow" w:eastAsia="Arial Narrow" w:hAnsi="Arial Narrow" w:cs="Arial Narrow"/>
                <w:color w:val="000000" w:themeColor="text1"/>
                <w:sz w:val="20"/>
                <w:szCs w:val="20"/>
              </w:rPr>
            </w:pPr>
            <w:r w:rsidRPr="00645F06">
              <w:rPr>
                <w:rFonts w:ascii="Arial Narrow" w:eastAsia="Arial Narrow" w:hAnsi="Arial Narrow" w:cs="Arial Narrow"/>
                <w:color w:val="000000" w:themeColor="text1"/>
                <w:sz w:val="20"/>
                <w:szCs w:val="20"/>
              </w:rPr>
              <w:t>Net cost to PBS/RPBS</w:t>
            </w:r>
            <w:r w:rsidR="009F0B49">
              <w:rPr>
                <w:rFonts w:ascii="Arial Narrow" w:eastAsia="Arial Narrow" w:hAnsi="Arial Narrow" w:cs="Arial Narrow"/>
                <w:color w:val="000000" w:themeColor="text1"/>
                <w:sz w:val="20"/>
                <w:szCs w:val="20"/>
              </w:rPr>
              <w:t xml:space="preserve"> ($)</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56AACCC5" w14:textId="2A1DECC5"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3C5459" w:rsidRPr="00A40D00">
              <w:rPr>
                <w:rFonts w:ascii="Arial Narrow" w:eastAsia="Arial Narrow" w:hAnsi="Arial Narrow" w:cs="Arial Narrow"/>
                <w:color w:val="000000" w:themeColor="text1"/>
                <w:sz w:val="20"/>
                <w:szCs w:val="20"/>
                <w:vertAlign w:val="superscript"/>
              </w:rPr>
              <w:t>7</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717E7436" w14:textId="00AE527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B3D22DF" w14:textId="4DE1BAE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36F842E" w14:textId="311C9A9A"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82E90E8" w14:textId="5B4E649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6D79F6F6" w14:textId="53F235E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r>
    </w:tbl>
    <w:p w14:paraId="78511234" w14:textId="77777777" w:rsidR="00645F06" w:rsidRPr="00645F06" w:rsidRDefault="00645F06" w:rsidP="00FF5955">
      <w:pPr>
        <w:keepNext/>
        <w:contextualSpacing/>
        <w:jc w:val="left"/>
        <w:rPr>
          <w:rFonts w:ascii="Arial Narrow" w:hAnsi="Arial Narrow" w:cs="Arial"/>
          <w:snapToGrid w:val="0"/>
          <w:color w:val="000000" w:themeColor="text1"/>
          <w:sz w:val="18"/>
          <w:szCs w:val="22"/>
        </w:rPr>
      </w:pPr>
      <w:bookmarkStart w:id="14" w:name="_Int_tfchSgc8"/>
      <w:bookmarkEnd w:id="13"/>
      <w:proofErr w:type="gramStart"/>
      <w:r w:rsidRPr="00645F06">
        <w:rPr>
          <w:rFonts w:ascii="Arial Narrow" w:hAnsi="Arial Narrow" w:cs="Arial"/>
          <w:snapToGrid w:val="0"/>
          <w:color w:val="000000" w:themeColor="text1"/>
          <w:sz w:val="18"/>
          <w:szCs w:val="22"/>
          <w:vertAlign w:val="superscript"/>
        </w:rPr>
        <w:t>a</w:t>
      </w:r>
      <w:bookmarkEnd w:id="14"/>
      <w:proofErr w:type="gramEnd"/>
      <w:r w:rsidRPr="00645F06">
        <w:rPr>
          <w:rFonts w:ascii="Arial Narrow" w:hAnsi="Arial Narrow" w:cs="Arial"/>
          <w:snapToGrid w:val="0"/>
          <w:color w:val="000000" w:themeColor="text1"/>
          <w:sz w:val="18"/>
          <w:szCs w:val="22"/>
        </w:rPr>
        <w:t xml:space="preserve"> Assuming 12 scripts per patient per year as estimated by the submission. </w:t>
      </w:r>
    </w:p>
    <w:p w14:paraId="5934546B" w14:textId="77777777" w:rsidR="00645F06" w:rsidRPr="00645F06" w:rsidRDefault="00645F06" w:rsidP="00FF5955">
      <w:pPr>
        <w:keepNext/>
        <w:contextualSpacing/>
        <w:jc w:val="left"/>
        <w:rPr>
          <w:rFonts w:ascii="Arial Narrow" w:hAnsi="Arial Narrow" w:cs="Arial"/>
          <w:snapToGrid w:val="0"/>
          <w:color w:val="000000" w:themeColor="text1"/>
          <w:sz w:val="18"/>
          <w:szCs w:val="22"/>
        </w:rPr>
      </w:pPr>
      <w:r w:rsidRPr="00645F06">
        <w:rPr>
          <w:rFonts w:ascii="Arial Narrow" w:hAnsi="Arial Narrow" w:cs="Arial"/>
          <w:snapToGrid w:val="0"/>
          <w:color w:val="000000" w:themeColor="text1"/>
          <w:sz w:val="18"/>
          <w:szCs w:val="22"/>
        </w:rPr>
        <w:t>Abbreviations: MBS = Medical Benefits Scheme; PBS = Pharmaceutical Benefits Scheme; RPBS = Repatriation Pharmaceutical Benefits Scheme.</w:t>
      </w:r>
    </w:p>
    <w:p w14:paraId="47976CB4" w14:textId="77777777" w:rsidR="00645F06" w:rsidRDefault="00645F06" w:rsidP="00FF5955">
      <w:pPr>
        <w:keepNext/>
        <w:contextualSpacing/>
        <w:rPr>
          <w:rFonts w:ascii="Arial Narrow" w:hAnsi="Arial Narrow" w:cs="Arial"/>
          <w:snapToGrid w:val="0"/>
          <w:color w:val="000000" w:themeColor="text1"/>
          <w:sz w:val="18"/>
          <w:szCs w:val="22"/>
        </w:rPr>
      </w:pPr>
      <w:r w:rsidRPr="00645F06">
        <w:rPr>
          <w:rFonts w:ascii="Arial Narrow" w:hAnsi="Arial Narrow" w:cs="Arial"/>
          <w:snapToGrid w:val="0"/>
          <w:color w:val="000000" w:themeColor="text1"/>
          <w:sz w:val="18"/>
          <w:szCs w:val="22"/>
        </w:rPr>
        <w:t>Source: [Table 1- Sheet 5 of the Eplerenone_UCM_v8 provided by the secretariat].</w:t>
      </w:r>
    </w:p>
    <w:p w14:paraId="532E3A52" w14:textId="77777777" w:rsidR="00DF42D1" w:rsidRPr="00DF42D1" w:rsidRDefault="00DF42D1" w:rsidP="00FF5955">
      <w:pPr>
        <w:keepNext/>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rPr>
        <w:t>The redacted values correspond to the following ranges:</w:t>
      </w:r>
    </w:p>
    <w:p w14:paraId="410CDE8C" w14:textId="6351011C" w:rsidR="002D2EE9" w:rsidRPr="002D2EE9" w:rsidRDefault="00DF42D1" w:rsidP="00FF5955">
      <w:pPr>
        <w:keepNext/>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vertAlign w:val="superscript"/>
        </w:rPr>
        <w:t>1</w:t>
      </w:r>
      <w:r w:rsidRPr="00DF42D1">
        <w:rPr>
          <w:rFonts w:ascii="Arial Narrow" w:hAnsi="Arial Narrow" w:cs="Arial"/>
          <w:i/>
          <w:iCs/>
          <w:snapToGrid w:val="0"/>
          <w:color w:val="000000" w:themeColor="text1"/>
          <w:sz w:val="18"/>
          <w:szCs w:val="22"/>
        </w:rPr>
        <w:t xml:space="preserve"> </w:t>
      </w:r>
      <w:bookmarkStart w:id="15" w:name="_Hlk113629243"/>
      <w:r w:rsidR="002D2EE9" w:rsidRPr="002D2EE9">
        <w:rPr>
          <w:rFonts w:ascii="Arial Narrow" w:hAnsi="Arial Narrow" w:cs="Arial"/>
          <w:i/>
          <w:iCs/>
          <w:snapToGrid w:val="0"/>
          <w:color w:val="000000" w:themeColor="text1"/>
          <w:sz w:val="18"/>
          <w:szCs w:val="22"/>
        </w:rPr>
        <w:t>100,000 to &lt; 200,000</w:t>
      </w:r>
    </w:p>
    <w:bookmarkEnd w:id="15"/>
    <w:p w14:paraId="36D9B1C1" w14:textId="6EE62986" w:rsidR="00AD3EF4" w:rsidRPr="00AD3EF4" w:rsidRDefault="00AD3EF4" w:rsidP="00FF5955">
      <w:pPr>
        <w:keepNext/>
        <w:contextualSpacing/>
        <w:rPr>
          <w:rFonts w:ascii="Arial Narrow" w:hAnsi="Arial Narrow" w:cs="Arial"/>
          <w:i/>
          <w:iCs/>
          <w:snapToGrid w:val="0"/>
          <w:color w:val="000000" w:themeColor="text1"/>
          <w:sz w:val="18"/>
          <w:szCs w:val="22"/>
        </w:rPr>
      </w:pPr>
      <w:r>
        <w:rPr>
          <w:rFonts w:ascii="Arial Narrow" w:hAnsi="Arial Narrow" w:cs="Arial"/>
          <w:i/>
          <w:iCs/>
          <w:snapToGrid w:val="0"/>
          <w:color w:val="000000" w:themeColor="text1"/>
          <w:sz w:val="18"/>
          <w:szCs w:val="22"/>
        </w:rPr>
        <w:t xml:space="preserve">2 </w:t>
      </w:r>
      <w:r w:rsidRPr="00AD3EF4">
        <w:rPr>
          <w:rFonts w:ascii="Arial Narrow" w:hAnsi="Arial Narrow" w:cs="Arial"/>
          <w:i/>
          <w:iCs/>
          <w:snapToGrid w:val="0"/>
          <w:color w:val="000000" w:themeColor="text1"/>
          <w:sz w:val="18"/>
          <w:szCs w:val="22"/>
        </w:rPr>
        <w:t>200,000 to &lt; 300,000</w:t>
      </w:r>
    </w:p>
    <w:p w14:paraId="58850025" w14:textId="2CB8F258" w:rsidR="00AD3EF4" w:rsidRPr="00AD3EF4" w:rsidRDefault="00AD3EF4"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3</w:t>
      </w:r>
      <w:r>
        <w:rPr>
          <w:rFonts w:ascii="Arial Narrow" w:hAnsi="Arial Narrow" w:cs="Arial"/>
          <w:i/>
          <w:iCs/>
          <w:snapToGrid w:val="0"/>
          <w:color w:val="000000" w:themeColor="text1"/>
          <w:sz w:val="18"/>
          <w:szCs w:val="22"/>
        </w:rPr>
        <w:t xml:space="preserve"> </w:t>
      </w:r>
      <w:r w:rsidRPr="00AD3EF4">
        <w:rPr>
          <w:rFonts w:ascii="Arial Narrow" w:hAnsi="Arial Narrow" w:cs="Arial"/>
          <w:i/>
          <w:iCs/>
          <w:snapToGrid w:val="0"/>
          <w:color w:val="000000" w:themeColor="text1"/>
          <w:sz w:val="18"/>
          <w:szCs w:val="22"/>
        </w:rPr>
        <w:t>300,000 to &lt; 400,000</w:t>
      </w:r>
    </w:p>
    <w:p w14:paraId="41C39913" w14:textId="5B49806E" w:rsidR="00240165" w:rsidRPr="00240165" w:rsidRDefault="00240165"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4</w:t>
      </w:r>
      <w:r>
        <w:rPr>
          <w:rFonts w:ascii="Arial Narrow" w:hAnsi="Arial Narrow" w:cs="Arial"/>
          <w:i/>
          <w:iCs/>
          <w:snapToGrid w:val="0"/>
          <w:color w:val="000000" w:themeColor="text1"/>
          <w:sz w:val="18"/>
          <w:szCs w:val="22"/>
        </w:rPr>
        <w:t xml:space="preserve"> </w:t>
      </w:r>
      <w:r w:rsidRPr="00240165">
        <w:rPr>
          <w:rFonts w:ascii="Arial Narrow" w:hAnsi="Arial Narrow" w:cs="Arial"/>
          <w:i/>
          <w:iCs/>
          <w:snapToGrid w:val="0"/>
          <w:color w:val="000000" w:themeColor="text1"/>
          <w:sz w:val="18"/>
          <w:szCs w:val="22"/>
        </w:rPr>
        <w:t>$10 million to &lt; $20 million</w:t>
      </w:r>
    </w:p>
    <w:p w14:paraId="7C7C6A6F" w14:textId="77777777" w:rsidR="00ED1178" w:rsidRPr="00ED1178" w:rsidRDefault="00ED1178"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5</w:t>
      </w:r>
      <w:r>
        <w:rPr>
          <w:rFonts w:ascii="Arial Narrow" w:hAnsi="Arial Narrow" w:cs="Arial"/>
          <w:i/>
          <w:iCs/>
          <w:snapToGrid w:val="0"/>
          <w:color w:val="000000" w:themeColor="text1"/>
          <w:sz w:val="18"/>
          <w:szCs w:val="22"/>
        </w:rPr>
        <w:t xml:space="preserve"> </w:t>
      </w:r>
      <w:r w:rsidRPr="00ED1178">
        <w:rPr>
          <w:rFonts w:ascii="Arial Narrow" w:hAnsi="Arial Narrow" w:cs="Arial"/>
          <w:i/>
          <w:iCs/>
          <w:snapToGrid w:val="0"/>
          <w:color w:val="000000" w:themeColor="text1"/>
          <w:sz w:val="18"/>
          <w:szCs w:val="22"/>
        </w:rPr>
        <w:t>$20 million to &lt; $30 million</w:t>
      </w:r>
    </w:p>
    <w:p w14:paraId="07371D03" w14:textId="5FCC0464" w:rsidR="009104FD" w:rsidRPr="009104FD" w:rsidRDefault="009104FD"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6</w:t>
      </w:r>
      <w:bookmarkStart w:id="16" w:name="_Hlk113629082"/>
      <w:r w:rsidRPr="009104FD">
        <w:rPr>
          <w:rFonts w:ascii="Arial" w:hAnsi="Arial" w:cs="Arial"/>
          <w:color w:val="333333"/>
          <w:sz w:val="21"/>
          <w:szCs w:val="21"/>
        </w:rPr>
        <w:t xml:space="preserve"> </w:t>
      </w:r>
      <w:r w:rsidRPr="009104FD">
        <w:rPr>
          <w:rFonts w:ascii="Arial Narrow" w:hAnsi="Arial Narrow" w:cs="Arial"/>
          <w:i/>
          <w:iCs/>
          <w:snapToGrid w:val="0"/>
          <w:color w:val="000000" w:themeColor="text1"/>
          <w:sz w:val="18"/>
          <w:szCs w:val="22"/>
        </w:rPr>
        <w:t>net cost saving</w:t>
      </w:r>
    </w:p>
    <w:bookmarkEnd w:id="16"/>
    <w:p w14:paraId="661761D4" w14:textId="796C16DA" w:rsidR="00DF42D1" w:rsidRPr="00DF42D1" w:rsidRDefault="007C2FB7"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7</w:t>
      </w:r>
      <w:r w:rsidR="00DF42D1" w:rsidRPr="00DF42D1">
        <w:rPr>
          <w:rFonts w:ascii="Arial Narrow" w:hAnsi="Arial Narrow" w:cs="Arial"/>
          <w:i/>
          <w:iCs/>
          <w:snapToGrid w:val="0"/>
          <w:color w:val="000000" w:themeColor="text1"/>
          <w:sz w:val="18"/>
          <w:szCs w:val="22"/>
        </w:rPr>
        <w:t xml:space="preserve"> $0 to &lt; $10 million</w:t>
      </w:r>
    </w:p>
    <w:p w14:paraId="480C5877" w14:textId="77777777" w:rsidR="00DF42D1" w:rsidRPr="00645F06" w:rsidRDefault="00DF42D1" w:rsidP="00645F06">
      <w:pPr>
        <w:keepNext/>
        <w:spacing w:after="120"/>
        <w:contextualSpacing/>
        <w:rPr>
          <w:rFonts w:ascii="Arial Narrow" w:hAnsi="Arial Narrow" w:cs="Arial"/>
          <w:snapToGrid w:val="0"/>
          <w:color w:val="000000" w:themeColor="text1"/>
          <w:sz w:val="18"/>
          <w:szCs w:val="22"/>
        </w:rPr>
      </w:pPr>
    </w:p>
    <w:p w14:paraId="17321B72" w14:textId="0E92C204"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Secretariat noted that this approach resulted in a net financial impact to the PBS/RPBS for the proposed listing of eplerenone of </w:t>
      </w:r>
      <w:r w:rsidR="00321296" w:rsidRPr="00321296">
        <w:rPr>
          <w:rFonts w:asciiTheme="minorHAnsi" w:eastAsiaTheme="minorHAnsi" w:hAnsiTheme="minorHAnsi" w:cstheme="minorBidi"/>
          <w:szCs w:val="22"/>
        </w:rPr>
        <w:t>$80 million to &lt; $90 million</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over six years (</w:t>
      </w:r>
      <w:r w:rsidR="00321296" w:rsidRPr="00321296">
        <w:rPr>
          <w:rFonts w:asciiTheme="minorHAnsi" w:eastAsiaTheme="minorHAnsi" w:hAnsiTheme="minorHAnsi" w:cstheme="minorBidi"/>
          <w:szCs w:val="22"/>
        </w:rPr>
        <w:t>$0 to &lt; $10 million</w:t>
      </w:r>
      <w:r w:rsidR="00321296" w:rsidRPr="00321296" w:rsidDel="00321296">
        <w:rPr>
          <w:rFonts w:asciiTheme="minorHAnsi" w:eastAsiaTheme="minorHAnsi" w:hAnsiTheme="minorHAnsi" w:cstheme="minorBidi"/>
          <w:szCs w:val="22"/>
        </w:rPr>
        <w:t xml:space="preserve"> </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254FEF" w:rsidRPr="00254FEF">
        <w:rPr>
          <w:rFonts w:asciiTheme="minorHAnsi" w:eastAsiaTheme="minorHAnsi" w:hAnsiTheme="minorHAnsi" w:cstheme="minorBidi"/>
          <w:szCs w:val="22"/>
        </w:rPr>
        <w:t>$10 million to &lt; $20 million</w:t>
      </w:r>
      <w:r w:rsidRPr="00645F06">
        <w:rPr>
          <w:rFonts w:asciiTheme="minorHAnsi" w:eastAsiaTheme="minorHAnsi" w:hAnsiTheme="minorHAnsi" w:cstheme="minorBidi"/>
          <w:szCs w:val="22"/>
        </w:rPr>
        <w:t xml:space="preserve"> in Year 6), compared to the sponsor’s proposed approach which estimated the net financial impact to the PBS/RPBS for the proposed listing of eplerenone to be </w:t>
      </w:r>
      <w:r w:rsidR="00254FEF" w:rsidRPr="00254FEF">
        <w:rPr>
          <w:rFonts w:asciiTheme="minorHAnsi" w:eastAsiaTheme="minorHAnsi" w:hAnsiTheme="minorHAnsi" w:cstheme="minorBidi"/>
          <w:szCs w:val="22"/>
        </w:rPr>
        <w:t>$10 million to &lt; $20 million</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E0753F" w:rsidRPr="00E0753F">
        <w:rPr>
          <w:rFonts w:asciiTheme="minorHAnsi" w:eastAsiaTheme="minorHAnsi" w:hAnsiTheme="minorHAnsi" w:cstheme="minorBidi"/>
          <w:szCs w:val="22"/>
        </w:rPr>
        <w:t>$0 to &lt; $10 million</w:t>
      </w:r>
      <w:r w:rsidRPr="00645F06">
        <w:rPr>
          <w:rFonts w:asciiTheme="minorHAnsi" w:eastAsiaTheme="minorHAnsi" w:hAnsiTheme="minorHAnsi" w:cstheme="minorBidi"/>
          <w:szCs w:val="22"/>
        </w:rPr>
        <w:t xml:space="preserve"> in Year 6). This approach also assumed that no eligible MRA treatment naïve patients would commence spironolactone.</w:t>
      </w:r>
    </w:p>
    <w:p w14:paraId="7853A706"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PBAC Outcome</w:t>
      </w:r>
    </w:p>
    <w:p w14:paraId="3C3B7D60"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Calibri" w:hAnsiTheme="minorHAnsi" w:cstheme="minorBidi"/>
          <w:szCs w:val="22"/>
          <w:lang w:val="en-GB" w:eastAsia="en-US"/>
        </w:rPr>
        <w:t xml:space="preserve">The PBAC recommended amendments to the current PBS restriction for eplerenone (Inspra®) to align with contemporary clinical guidelines for the management of heart failure (HF). </w:t>
      </w:r>
      <w:r w:rsidRPr="00645F06">
        <w:rPr>
          <w:rFonts w:asciiTheme="minorHAnsi" w:eastAsiaTheme="minorHAnsi" w:hAnsiTheme="minorHAnsi" w:cstheme="minorBidi"/>
          <w:szCs w:val="22"/>
          <w:lang w:val="en-GB"/>
        </w:rPr>
        <w:t>The amendments were to include patients with LVEF less than or equal to 40%, and patients classified in NYHA Class II-IV.</w:t>
      </w:r>
      <w:r w:rsidRPr="00645F06">
        <w:rPr>
          <w:rFonts w:asciiTheme="minorHAnsi" w:eastAsiaTheme="minorHAnsi" w:hAnsiTheme="minorHAnsi" w:cstheme="minorBidi"/>
          <w:szCs w:val="22"/>
        </w:rPr>
        <w:t xml:space="preserve"> </w:t>
      </w:r>
      <w:r w:rsidRPr="00645F06">
        <w:rPr>
          <w:rFonts w:asciiTheme="minorHAnsi" w:eastAsia="Calibri" w:hAnsiTheme="minorHAnsi" w:cstheme="minorBidi"/>
          <w:szCs w:val="22"/>
          <w:lang w:val="en-GB" w:eastAsia="en-US"/>
        </w:rPr>
        <w:t xml:space="preserve">The PBAC's recommendation was </w:t>
      </w:r>
      <w:bookmarkStart w:id="17" w:name="_Int_RIXz1oZG"/>
      <w:proofErr w:type="gramStart"/>
      <w:r w:rsidRPr="00645F06">
        <w:rPr>
          <w:rFonts w:asciiTheme="minorHAnsi" w:eastAsia="Calibri" w:hAnsiTheme="minorHAnsi" w:cstheme="minorBidi"/>
          <w:szCs w:val="22"/>
          <w:lang w:val="en-GB" w:eastAsia="en-US"/>
        </w:rPr>
        <w:t>on the basis of</w:t>
      </w:r>
      <w:bookmarkEnd w:id="17"/>
      <w:proofErr w:type="gramEnd"/>
      <w:r w:rsidRPr="00645F06">
        <w:rPr>
          <w:rFonts w:asciiTheme="minorHAnsi" w:eastAsia="Calibri" w:hAnsiTheme="minorHAnsi" w:cstheme="minorBidi"/>
          <w:szCs w:val="22"/>
          <w:lang w:val="en-GB" w:eastAsia="en-US"/>
        </w:rPr>
        <w:t xml:space="preserve"> eplerenone’s cost-effectiveness as compared to spironolactone. The PBAC noted the considerable price reduction of eplerenone (Inspra®) since its first listing in 2006 and accepted that it was cost-effective at the current price. </w:t>
      </w:r>
    </w:p>
    <w:p w14:paraId="5145B0CD"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Calibri" w:hAnsiTheme="minorHAnsi" w:cstheme="minorBidi"/>
          <w:szCs w:val="22"/>
          <w:lang w:val="en-GB" w:eastAsia="en-US"/>
        </w:rPr>
        <w:t xml:space="preserve">The PBAC noted recent literature highlighting eplerenone's improved efficacy and safety profile over spironolactone in the HF population. </w:t>
      </w:r>
      <w:r w:rsidRPr="00645F06">
        <w:rPr>
          <w:rFonts w:asciiTheme="minorHAnsi" w:eastAsiaTheme="minorHAnsi" w:hAnsiTheme="minorHAnsi" w:cstheme="minorBidi"/>
          <w:szCs w:val="22"/>
        </w:rPr>
        <w:t xml:space="preserve">The PBAC considered eplerenone’s place in therapy to be first line, providing an alternative to spironolactone, </w:t>
      </w:r>
      <w:r w:rsidRPr="00645F06">
        <w:rPr>
          <w:rFonts w:asciiTheme="minorHAnsi" w:eastAsia="Calibri" w:hAnsiTheme="minorHAnsi" w:cstheme="minorBidi"/>
          <w:szCs w:val="22"/>
          <w:lang w:val="en-GB" w:eastAsia="en-US"/>
        </w:rPr>
        <w:t xml:space="preserve">the main mineralocorticoid receptor agonist (MRA) used for HF on the PBS. </w:t>
      </w:r>
    </w:p>
    <w:p w14:paraId="799C9C02"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lastRenderedPageBreak/>
        <w:t>The PBAC noted that the historic comparative evidence that was presented at the time of eplerenone’s initial submission in 2005 does not directly compare eplerenone with spironolactone, and that no further indirect treatment comparison was presented by the sponsor. However, the PBAC advised that more recent studies, such as Naser et al (2023)</w:t>
      </w:r>
      <w:r w:rsidRPr="00645F06">
        <w:rPr>
          <w:rFonts w:asciiTheme="minorHAnsi" w:eastAsiaTheme="minorHAnsi" w:hAnsiTheme="minorHAnsi" w:cstheme="minorBidi"/>
          <w:szCs w:val="22"/>
          <w:vertAlign w:val="superscript"/>
        </w:rPr>
        <w:footnoteReference w:id="6"/>
      </w:r>
      <w:r w:rsidRPr="00645F06">
        <w:rPr>
          <w:rFonts w:asciiTheme="minorHAnsi" w:eastAsiaTheme="minorHAnsi" w:hAnsiTheme="minorHAnsi" w:cstheme="minorBidi"/>
          <w:szCs w:val="22"/>
        </w:rPr>
        <w:t xml:space="preserve"> and Martinez et al (2022)</w:t>
      </w:r>
      <w:r w:rsidRPr="00645F06">
        <w:rPr>
          <w:rFonts w:asciiTheme="minorHAnsi" w:eastAsiaTheme="minorHAnsi" w:hAnsiTheme="minorHAnsi" w:cstheme="minorBidi"/>
          <w:szCs w:val="22"/>
          <w:vertAlign w:val="superscript"/>
        </w:rPr>
        <w:footnoteReference w:id="7"/>
      </w:r>
      <w:r w:rsidRPr="00645F06">
        <w:rPr>
          <w:rFonts w:asciiTheme="minorHAnsi" w:eastAsiaTheme="minorHAnsi" w:hAnsiTheme="minorHAnsi" w:cstheme="minorBidi"/>
          <w:szCs w:val="22"/>
        </w:rPr>
        <w:t xml:space="preserve"> conducted as a single blind randomised controlled trial and a single centre propensity-score matched study respectively, include direct comparisons of eplerenone to spironolactone. These studies</w:t>
      </w:r>
      <w:r w:rsidRPr="00645F06">
        <w:rPr>
          <w:rFonts w:asciiTheme="minorHAnsi" w:eastAsiaTheme="minorHAnsi" w:hAnsiTheme="minorHAnsi" w:cstheme="minorBidi"/>
          <w:szCs w:val="22"/>
          <w:lang w:val="en-GB"/>
        </w:rPr>
        <w:t xml:space="preserve"> indicate that eplerenone is superior to spironolactone in reducing all-cause mortality and cardiovascular mortality. </w:t>
      </w:r>
      <w:r w:rsidRPr="00645F06">
        <w:rPr>
          <w:rFonts w:asciiTheme="minorHAnsi" w:eastAsiaTheme="minorHAnsi" w:hAnsiTheme="minorHAnsi" w:cstheme="minorBidi"/>
          <w:szCs w:val="22"/>
          <w:lang w:val="en-US"/>
        </w:rPr>
        <w:t>The meta-analysis referenced above (</w:t>
      </w:r>
      <w:proofErr w:type="spellStart"/>
      <w:r w:rsidRPr="00645F06">
        <w:rPr>
          <w:rFonts w:asciiTheme="minorHAnsi" w:eastAsiaTheme="minorHAnsi" w:hAnsiTheme="minorHAnsi" w:cstheme="minorBidi"/>
          <w:szCs w:val="22"/>
          <w:lang w:val="en-US"/>
        </w:rPr>
        <w:t>Elshahat</w:t>
      </w:r>
      <w:proofErr w:type="spellEnd"/>
      <w:r w:rsidRPr="00645F06">
        <w:rPr>
          <w:rFonts w:asciiTheme="minorHAnsi" w:eastAsiaTheme="minorHAnsi" w:hAnsiTheme="minorHAnsi" w:cstheme="minorBidi"/>
          <w:szCs w:val="22"/>
          <w:lang w:val="en-US"/>
        </w:rPr>
        <w:t xml:space="preserve"> et al), which was heavily influenced by Martinez et al (2022) and Naser et al (2023), showed no difference in </w:t>
      </w:r>
      <w:proofErr w:type="spellStart"/>
      <w:r w:rsidRPr="00645F06">
        <w:rPr>
          <w:rFonts w:asciiTheme="minorHAnsi" w:eastAsiaTheme="minorHAnsi" w:hAnsiTheme="minorHAnsi" w:cstheme="minorBidi"/>
          <w:szCs w:val="22"/>
          <w:lang w:val="en-US"/>
        </w:rPr>
        <w:t>hospitalisation</w:t>
      </w:r>
      <w:proofErr w:type="spellEnd"/>
      <w:r w:rsidRPr="00645F06">
        <w:rPr>
          <w:rFonts w:asciiTheme="minorHAnsi" w:eastAsiaTheme="minorHAnsi" w:hAnsiTheme="minorHAnsi" w:cstheme="minorBidi"/>
          <w:szCs w:val="22"/>
          <w:lang w:val="en-US"/>
        </w:rPr>
        <w:t xml:space="preserve"> rates between eplerenone and spironolactone, but did demonstrate a reduction in cardiovascular and all-cause mortality for eplerenone.</w:t>
      </w:r>
    </w:p>
    <w:p w14:paraId="0819FC61" w14:textId="77777777" w:rsidR="00645F06" w:rsidRPr="00645F06" w:rsidRDefault="00645F06" w:rsidP="00A40D00">
      <w:pPr>
        <w:numPr>
          <w:ilvl w:val="1"/>
          <w:numId w:val="2"/>
        </w:numPr>
        <w:spacing w:before="120" w:after="120"/>
        <w:rPr>
          <w:rFonts w:asciiTheme="minorHAnsi" w:eastAsia="Segoe UI" w:hAnsiTheme="minorHAnsi" w:cstheme="minorBidi"/>
          <w:color w:val="242424"/>
          <w:szCs w:val="22"/>
          <w:lang w:val="en-GB"/>
        </w:rPr>
      </w:pPr>
      <w:r w:rsidRPr="00645F06">
        <w:rPr>
          <w:rFonts w:asciiTheme="minorHAnsi" w:eastAsiaTheme="minorHAnsi" w:hAnsiTheme="minorHAnsi" w:cstheme="minorBidi"/>
          <w:szCs w:val="22"/>
          <w:lang w:val="en-GB"/>
        </w:rPr>
        <w:t xml:space="preserve">The PBAC recommended the removal of the requirement for local treatment guidelines initiated prior to a beta-blocker, citing that this requirement </w:t>
      </w:r>
      <w:bookmarkStart w:id="18" w:name="_Int_bShvCr7L"/>
      <w:r w:rsidRPr="00645F06">
        <w:rPr>
          <w:rFonts w:asciiTheme="minorHAnsi" w:eastAsiaTheme="minorHAnsi" w:hAnsiTheme="minorHAnsi" w:cstheme="minorBidi"/>
          <w:szCs w:val="22"/>
          <w:lang w:val="en-GB"/>
        </w:rPr>
        <w:t>generally applies</w:t>
      </w:r>
      <w:bookmarkEnd w:id="18"/>
      <w:r w:rsidRPr="00645F06">
        <w:rPr>
          <w:rFonts w:asciiTheme="minorHAnsi" w:eastAsiaTheme="minorHAnsi" w:hAnsiTheme="minorHAnsi" w:cstheme="minorBidi"/>
          <w:szCs w:val="22"/>
          <w:lang w:val="en-GB"/>
        </w:rPr>
        <w:t xml:space="preserve"> to patients who are </w:t>
      </w:r>
      <w:r w:rsidRPr="00645F06">
        <w:rPr>
          <w:rFonts w:asciiTheme="minorHAnsi" w:eastAsia="Segoe UI" w:hAnsiTheme="minorHAnsi" w:cstheme="minorBidi"/>
          <w:color w:val="242424"/>
          <w:szCs w:val="22"/>
          <w:lang w:val="en-GB"/>
        </w:rPr>
        <w:t xml:space="preserve">clinically volume overloaded until they have been satisfactorily </w:t>
      </w:r>
      <w:proofErr w:type="spellStart"/>
      <w:r w:rsidRPr="00645F06">
        <w:rPr>
          <w:rFonts w:asciiTheme="minorHAnsi" w:eastAsia="Segoe UI" w:hAnsiTheme="minorHAnsi" w:cstheme="minorBidi"/>
          <w:color w:val="242424"/>
          <w:szCs w:val="22"/>
          <w:lang w:val="en-GB"/>
        </w:rPr>
        <w:t>diuresed</w:t>
      </w:r>
      <w:proofErr w:type="spellEnd"/>
      <w:r w:rsidRPr="00645F06">
        <w:rPr>
          <w:rFonts w:asciiTheme="minorHAnsi" w:eastAsia="Segoe UI" w:hAnsiTheme="minorHAnsi" w:cstheme="minorBidi"/>
          <w:color w:val="242424"/>
          <w:szCs w:val="22"/>
          <w:lang w:val="en-GB"/>
        </w:rPr>
        <w:t>. The PBAC considered that this may have a flow-on effect to sacubitril + valsartan with the same criterion. With this amendment for eplerenone, the</w:t>
      </w:r>
      <w:r w:rsidRPr="00645F06">
        <w:rPr>
          <w:rFonts w:asciiTheme="minorHAnsi" w:eastAsiaTheme="minorHAnsi" w:hAnsiTheme="minorHAnsi" w:cstheme="minorBidi"/>
          <w:szCs w:val="22"/>
          <w:lang w:val="en-GB"/>
        </w:rPr>
        <w:t xml:space="preserve"> PBAC noted that the current restriction population will be absorbed into the amended listing. The PBAC noted that these updated restrictions align with international guidelines on HF prescribing and are more reflective of contemporary practice. </w:t>
      </w:r>
    </w:p>
    <w:p w14:paraId="67F3CE42"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PBAC accepted the cost-effectiveness of eplerenone, noting the </w:t>
      </w:r>
      <w:r w:rsidRPr="00EE0B87">
        <w:rPr>
          <w:rFonts w:asciiTheme="minorHAnsi" w:eastAsiaTheme="minorHAnsi" w:hAnsiTheme="minorHAnsi" w:cstheme="minorBidi"/>
          <w:szCs w:val="22"/>
        </w:rPr>
        <w:t>47</w:t>
      </w:r>
      <w:r w:rsidRPr="00645F06">
        <w:rPr>
          <w:rFonts w:asciiTheme="minorHAnsi" w:eastAsiaTheme="minorHAnsi" w:hAnsiTheme="minorHAnsi" w:cstheme="minorBidi"/>
          <w:szCs w:val="22"/>
        </w:rPr>
        <w:t xml:space="preserve">% reduction in price since it was approved in 2006. </w:t>
      </w:r>
    </w:p>
    <w:p w14:paraId="0F3C9C96"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 xml:space="preserve">The PBAC considered the utilisation and financial estimates of eplerenone to be highly uncertain. The PBAC further noted the difficulty in obtaining an accurate </w:t>
      </w:r>
      <w:bookmarkStart w:id="19" w:name="_Int_EgK1PmKp"/>
      <w:r w:rsidRPr="00645F06">
        <w:rPr>
          <w:rFonts w:asciiTheme="minorHAnsi" w:eastAsiaTheme="minorHAnsi" w:hAnsiTheme="minorHAnsi" w:cstheme="minorBidi"/>
          <w:szCs w:val="22"/>
          <w:lang w:val="en-GB"/>
        </w:rPr>
        <w:t>financial impact</w:t>
      </w:r>
      <w:bookmarkEnd w:id="19"/>
      <w:r w:rsidRPr="00645F06">
        <w:rPr>
          <w:rFonts w:asciiTheme="minorHAnsi" w:eastAsiaTheme="minorHAnsi" w:hAnsiTheme="minorHAnsi" w:cstheme="minorBidi"/>
          <w:szCs w:val="22"/>
          <w:lang w:val="en-GB"/>
        </w:rPr>
        <w:t xml:space="preserve">, citing lack of contemporary data and uncertain usage of spironolactone in the HF population. </w:t>
      </w:r>
    </w:p>
    <w:p w14:paraId="234FDB78"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 xml:space="preserve">The PBAC considered the factors increasing uptake to be eplerenone’s comparative efficacy and increased tolerability compared to spironolactone, and factors decreasing uptake to be the stability of eplerenone’s utilisation, low levels of MRA uptake, availability of other newer therapies for HF, prescriber/patient fatigue, and the need for regular pathology. Due to this, the PBAC considered the Department’s uptake assumption of 25% to 50% over 6 years to be overestimated and recommended a </w:t>
      </w:r>
      <w:r w:rsidRPr="00645F06">
        <w:rPr>
          <w:rFonts w:asciiTheme="minorHAnsi" w:eastAsiaTheme="minorHAnsi" w:hAnsiTheme="minorHAnsi" w:cstheme="minorBidi"/>
          <w:szCs w:val="22"/>
          <w:lang w:val="en-GB"/>
        </w:rPr>
        <w:lastRenderedPageBreak/>
        <w:t>revised utilisation rate of 10% to 25% over 6 years. This revised assumption resulted in the following financial estimates:</w:t>
      </w:r>
    </w:p>
    <w:p w14:paraId="49A34E2E" w14:textId="77777777" w:rsidR="00645F06" w:rsidRPr="00645F06" w:rsidRDefault="00645F06" w:rsidP="00645F06">
      <w:pPr>
        <w:keepNext/>
        <w:keepLines/>
        <w:rPr>
          <w:rFonts w:asciiTheme="minorHAnsi" w:hAnsiTheme="minorHAnsi" w:cstheme="minorBidi"/>
          <w:b/>
        </w:rPr>
      </w:pPr>
      <w:r w:rsidRPr="00645F06">
        <w:rPr>
          <w:rFonts w:ascii="Arial Narrow" w:hAnsi="Arial Narrow"/>
          <w:b/>
          <w:sz w:val="20"/>
          <w:szCs w:val="20"/>
        </w:rPr>
        <w:t>Table</w:t>
      </w:r>
      <w:r w:rsidRPr="00645F06">
        <w:rPr>
          <w:rFonts w:ascii="Arial Narrow" w:eastAsiaTheme="majorEastAsia" w:hAnsi="Arial Narrow"/>
          <w:b/>
          <w:sz w:val="22"/>
          <w:szCs w:val="22"/>
        </w:rPr>
        <w:t xml:space="preserve"> 5: </w:t>
      </w:r>
      <w:r w:rsidRPr="00645F06">
        <w:rPr>
          <w:rFonts w:ascii="Arial Narrow" w:hAnsi="Arial Narrow"/>
          <w:b/>
          <w:sz w:val="20"/>
          <w:szCs w:val="20"/>
        </w:rPr>
        <w:t xml:space="preserve">Estimated use and financial implications – revised using PBAC assumed uptake of 10% to 25% </w:t>
      </w:r>
    </w:p>
    <w:tbl>
      <w:tblPr>
        <w:tblW w:w="0" w:type="auto"/>
        <w:tblLook w:val="04A0" w:firstRow="1" w:lastRow="0" w:firstColumn="1" w:lastColumn="0" w:noHBand="0" w:noVBand="1"/>
      </w:tblPr>
      <w:tblGrid>
        <w:gridCol w:w="1873"/>
        <w:gridCol w:w="1124"/>
        <w:gridCol w:w="1123"/>
        <w:gridCol w:w="1169"/>
        <w:gridCol w:w="1169"/>
        <w:gridCol w:w="1169"/>
        <w:gridCol w:w="1379"/>
      </w:tblGrid>
      <w:tr w:rsidR="00645F06" w:rsidRPr="00645F06" w14:paraId="158B874D" w14:textId="77777777" w:rsidTr="00FA26BE">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8FB0E69" w14:textId="77777777" w:rsidR="00645F06" w:rsidRPr="00645F06" w:rsidRDefault="00645F06" w:rsidP="00645F06">
            <w:pPr>
              <w:rPr>
                <w:rFonts w:ascii="Arial Narrow" w:eastAsia="Arial Narrow" w:hAnsi="Arial Narrow" w:cs="Arial Narrow"/>
                <w:sz w:val="20"/>
                <w:szCs w:val="20"/>
              </w:rPr>
            </w:pPr>
          </w:p>
        </w:tc>
        <w:tc>
          <w:tcPr>
            <w:tcW w:w="1124"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264817F"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1</w:t>
            </w:r>
          </w:p>
        </w:tc>
        <w:tc>
          <w:tcPr>
            <w:tcW w:w="112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4C8DD8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2</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8E819C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3</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B32B46C"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4</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3408340"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5</w:t>
            </w:r>
          </w:p>
        </w:tc>
        <w:tc>
          <w:tcPr>
            <w:tcW w:w="1379" w:type="dxa"/>
            <w:tcBorders>
              <w:top w:val="single" w:sz="8" w:space="0" w:color="auto"/>
              <w:left w:val="single" w:sz="8" w:space="0" w:color="auto"/>
              <w:bottom w:val="single" w:sz="8" w:space="0" w:color="auto"/>
              <w:right w:val="single" w:sz="8" w:space="0" w:color="auto"/>
            </w:tcBorders>
            <w:tcMar>
              <w:left w:w="28" w:type="dxa"/>
              <w:right w:w="28" w:type="dxa"/>
            </w:tcMar>
          </w:tcPr>
          <w:p w14:paraId="3CF81D5F"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6</w:t>
            </w:r>
          </w:p>
        </w:tc>
      </w:tr>
      <w:tr w:rsidR="00645F06" w:rsidRPr="00645F06" w14:paraId="34F555A3" w14:textId="77777777" w:rsidTr="00FA26BE">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24D25AE2"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extent of use</w:t>
            </w:r>
          </w:p>
        </w:tc>
      </w:tr>
      <w:tr w:rsidR="00645F06" w:rsidRPr="00645F06" w14:paraId="073779C8" w14:textId="77777777" w:rsidTr="00FA26BE">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42E31745" w14:textId="77777777" w:rsidR="00645F06" w:rsidRPr="00645F06" w:rsidRDefault="00645F06" w:rsidP="00645F06">
            <w:pPr>
              <w:rPr>
                <w:rFonts w:ascii="Arial Narrow" w:eastAsia="Arial Narrow" w:hAnsi="Arial Narrow" w:cs="Arial Narrow"/>
                <w:sz w:val="20"/>
                <w:szCs w:val="20"/>
                <w:vertAlign w:val="superscript"/>
              </w:rPr>
            </w:pPr>
            <w:r w:rsidRPr="00645F06">
              <w:rPr>
                <w:rFonts w:ascii="Arial Narrow" w:eastAsia="Arial Narrow" w:hAnsi="Arial Narrow" w:cs="Arial Narrow"/>
                <w:sz w:val="20"/>
                <w:szCs w:val="20"/>
              </w:rPr>
              <w:t xml:space="preserve">Number of scripts </w:t>
            </w:r>
            <w:proofErr w:type="spellStart"/>
            <w:r w:rsidRPr="00645F06">
              <w:rPr>
                <w:rFonts w:ascii="Arial Narrow" w:eastAsia="Arial Narrow" w:hAnsi="Arial Narrow" w:cs="Arial Narrow"/>
                <w:sz w:val="20"/>
                <w:szCs w:val="20"/>
              </w:rPr>
              <w:t>dispensed</w:t>
            </w:r>
            <w:r w:rsidRPr="00645F06">
              <w:rPr>
                <w:rFonts w:ascii="Arial Narrow" w:eastAsia="Arial Narrow" w:hAnsi="Arial Narrow" w:cs="Arial Narrow"/>
                <w:sz w:val="20"/>
                <w:szCs w:val="20"/>
                <w:vertAlign w:val="superscript"/>
              </w:rPr>
              <w:t>a</w:t>
            </w:r>
            <w:proofErr w:type="spellEnd"/>
          </w:p>
        </w:tc>
        <w:tc>
          <w:tcPr>
            <w:tcW w:w="1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08FBB" w14:textId="3FDE579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1</w:t>
            </w:r>
          </w:p>
        </w:tc>
        <w:tc>
          <w:tcPr>
            <w:tcW w:w="1123" w:type="dxa"/>
            <w:tcBorders>
              <w:top w:val="single" w:sz="4" w:space="0" w:color="auto"/>
              <w:left w:val="nil"/>
              <w:bottom w:val="single" w:sz="4" w:space="0" w:color="auto"/>
              <w:right w:val="single" w:sz="4" w:space="0" w:color="auto"/>
            </w:tcBorders>
            <w:tcMar>
              <w:left w:w="28" w:type="dxa"/>
              <w:right w:w="28" w:type="dxa"/>
            </w:tcMar>
            <w:vAlign w:val="center"/>
          </w:tcPr>
          <w:p w14:paraId="3996AE5C" w14:textId="5C92BE8D"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64ABC674" w14:textId="4B70FA1A"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2CE93179" w14:textId="173AAA4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091BC6ED" w14:textId="514301B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379" w:type="dxa"/>
            <w:tcBorders>
              <w:top w:val="single" w:sz="4" w:space="0" w:color="auto"/>
              <w:left w:val="nil"/>
              <w:bottom w:val="single" w:sz="4" w:space="0" w:color="auto"/>
              <w:right w:val="single" w:sz="4" w:space="0" w:color="auto"/>
            </w:tcBorders>
            <w:tcMar>
              <w:left w:w="28" w:type="dxa"/>
              <w:right w:w="28" w:type="dxa"/>
            </w:tcMar>
            <w:vAlign w:val="center"/>
          </w:tcPr>
          <w:p w14:paraId="09AB2F05" w14:textId="0F4B000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3</w:t>
            </w:r>
          </w:p>
        </w:tc>
      </w:tr>
      <w:tr w:rsidR="00645F06" w:rsidRPr="00645F06" w14:paraId="37984905" w14:textId="77777777" w:rsidTr="00FA26BE">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47B283"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eplerenone</w:t>
            </w:r>
          </w:p>
        </w:tc>
      </w:tr>
      <w:tr w:rsidR="00645F06" w:rsidRPr="00645F06" w14:paraId="6AABB1C9" w14:textId="77777777" w:rsidTr="00FA26BE">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836215A" w14:textId="774658AF"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133445">
              <w:rPr>
                <w:rFonts w:ascii="Arial Narrow" w:eastAsia="Arial Narrow" w:hAnsi="Arial Narrow" w:cs="Arial Narrow"/>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vAlign w:val="center"/>
          </w:tcPr>
          <w:p w14:paraId="7FAA600B" w14:textId="66284A7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404EDA" w:rsidRPr="00A40D00">
              <w:rPr>
                <w:rFonts w:ascii="Arial Narrow" w:hAnsi="Arial Narrow" w:cs="Arial"/>
                <w:color w:val="000000"/>
                <w:sz w:val="20"/>
                <w:szCs w:val="20"/>
                <w:vertAlign w:val="superscript"/>
              </w:rPr>
              <w:t>4</w:t>
            </w:r>
          </w:p>
        </w:tc>
        <w:tc>
          <w:tcPr>
            <w:tcW w:w="1123" w:type="dxa"/>
            <w:tcBorders>
              <w:top w:val="nil"/>
              <w:left w:val="single" w:sz="8" w:space="0" w:color="auto"/>
              <w:bottom w:val="single" w:sz="8" w:space="0" w:color="auto"/>
              <w:right w:val="single" w:sz="8" w:space="0" w:color="auto"/>
            </w:tcBorders>
            <w:tcMar>
              <w:left w:w="28" w:type="dxa"/>
              <w:right w:w="28" w:type="dxa"/>
            </w:tcMar>
            <w:vAlign w:val="center"/>
          </w:tcPr>
          <w:p w14:paraId="46338AD8" w14:textId="3806F76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42625C42" w14:textId="79DC3FF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A40D00">
              <w:rPr>
                <w:rFonts w:ascii="Arial Narrow" w:hAnsi="Arial Narrow" w:cs="Arial"/>
                <w:color w:val="000000"/>
                <w:sz w:val="20"/>
                <w:szCs w:val="20"/>
                <w:vertAlign w:val="superscript"/>
              </w:rPr>
              <w:t>5</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527A1702" w14:textId="21F06C5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0D1890F" w14:textId="16CEF9BF"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c>
          <w:tcPr>
            <w:tcW w:w="1379" w:type="dxa"/>
            <w:tcBorders>
              <w:top w:val="nil"/>
              <w:left w:val="single" w:sz="8" w:space="0" w:color="auto"/>
              <w:bottom w:val="single" w:sz="8" w:space="0" w:color="auto"/>
              <w:right w:val="single" w:sz="8" w:space="0" w:color="auto"/>
            </w:tcBorders>
            <w:tcMar>
              <w:left w:w="28" w:type="dxa"/>
              <w:right w:w="28" w:type="dxa"/>
            </w:tcMar>
            <w:vAlign w:val="center"/>
          </w:tcPr>
          <w:p w14:paraId="7183DC6A" w14:textId="184E9F7C"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r>
      <w:tr w:rsidR="00645F06" w:rsidRPr="00645F06" w14:paraId="6FF76DD8" w14:textId="77777777" w:rsidTr="00FA26BE">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7D05FC8"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no change to listing of eplerenone</w:t>
            </w:r>
          </w:p>
        </w:tc>
      </w:tr>
      <w:tr w:rsidR="00645F06" w:rsidRPr="00645F06" w14:paraId="7ECE33C4" w14:textId="77777777" w:rsidTr="00FA26BE">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023DF0C8" w14:textId="53D58A04"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133445">
              <w:rPr>
                <w:rFonts w:ascii="Arial Narrow" w:eastAsia="Arial Narrow" w:hAnsi="Arial Narrow" w:cs="Arial Narrow"/>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vAlign w:val="center"/>
          </w:tcPr>
          <w:p w14:paraId="1D4ADF22" w14:textId="6098D3D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A40D00">
              <w:rPr>
                <w:rFonts w:ascii="Arial Narrow" w:hAnsi="Arial Narrow" w:cs="Arial"/>
                <w:sz w:val="20"/>
                <w:szCs w:val="20"/>
                <w:vertAlign w:val="superscript"/>
              </w:rPr>
              <w:t>6</w:t>
            </w:r>
          </w:p>
        </w:tc>
        <w:tc>
          <w:tcPr>
            <w:tcW w:w="1123" w:type="dxa"/>
            <w:tcBorders>
              <w:top w:val="nil"/>
              <w:left w:val="single" w:sz="8" w:space="0" w:color="auto"/>
              <w:bottom w:val="single" w:sz="8" w:space="0" w:color="auto"/>
              <w:right w:val="single" w:sz="8" w:space="0" w:color="auto"/>
            </w:tcBorders>
            <w:tcMar>
              <w:left w:w="28" w:type="dxa"/>
              <w:right w:w="28" w:type="dxa"/>
            </w:tcMar>
            <w:vAlign w:val="center"/>
          </w:tcPr>
          <w:p w14:paraId="5C5ED0DA" w14:textId="263922E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C7F2033" w14:textId="7084213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740318AB" w14:textId="26F30EE5"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5D657A6" w14:textId="704C294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379" w:type="dxa"/>
            <w:tcBorders>
              <w:top w:val="nil"/>
              <w:left w:val="single" w:sz="8" w:space="0" w:color="auto"/>
              <w:bottom w:val="single" w:sz="8" w:space="0" w:color="auto"/>
              <w:right w:val="single" w:sz="8" w:space="0" w:color="auto"/>
            </w:tcBorders>
            <w:tcMar>
              <w:left w:w="28" w:type="dxa"/>
              <w:right w:w="28" w:type="dxa"/>
            </w:tcMar>
            <w:vAlign w:val="center"/>
          </w:tcPr>
          <w:p w14:paraId="7AED5B22" w14:textId="71DB92A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r>
      <w:tr w:rsidR="00645F06" w:rsidRPr="00645F06" w14:paraId="18B29D5D" w14:textId="77777777" w:rsidTr="00FA26BE">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47A4CF54"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Net financial implications</w:t>
            </w:r>
          </w:p>
        </w:tc>
      </w:tr>
      <w:tr w:rsidR="00645F06" w:rsidRPr="00645F06" w14:paraId="62D658B3" w14:textId="77777777" w:rsidTr="00FA26BE">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74BB614" w14:textId="26C6BDAC" w:rsidR="00645F06" w:rsidRPr="00645F06" w:rsidRDefault="00645F06" w:rsidP="00645F06">
            <w:pPr>
              <w:rPr>
                <w:rFonts w:ascii="Arial Narrow" w:eastAsia="Arial Narrow" w:hAnsi="Arial Narrow" w:cs="Arial Narrow"/>
                <w:color w:val="000000" w:themeColor="text1"/>
                <w:sz w:val="20"/>
                <w:szCs w:val="20"/>
              </w:rPr>
            </w:pPr>
            <w:r w:rsidRPr="00645F06">
              <w:rPr>
                <w:rFonts w:ascii="Arial Narrow" w:eastAsia="Arial Narrow" w:hAnsi="Arial Narrow" w:cs="Arial Narrow"/>
                <w:color w:val="000000" w:themeColor="text1"/>
                <w:sz w:val="20"/>
                <w:szCs w:val="20"/>
              </w:rPr>
              <w:t>Net cost to PBS/RPBS</w:t>
            </w:r>
            <w:r w:rsidR="00133445">
              <w:rPr>
                <w:rFonts w:ascii="Arial Narrow" w:eastAsia="Arial Narrow" w:hAnsi="Arial Narrow" w:cs="Arial Narrow"/>
                <w:color w:val="000000" w:themeColor="text1"/>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tcPr>
          <w:p w14:paraId="4E94E712" w14:textId="0C17A11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23" w:type="dxa"/>
            <w:tcBorders>
              <w:top w:val="nil"/>
              <w:left w:val="single" w:sz="8" w:space="0" w:color="auto"/>
              <w:bottom w:val="single" w:sz="8" w:space="0" w:color="auto"/>
              <w:right w:val="single" w:sz="8" w:space="0" w:color="auto"/>
            </w:tcBorders>
            <w:tcMar>
              <w:left w:w="28" w:type="dxa"/>
              <w:right w:w="28" w:type="dxa"/>
            </w:tcMar>
          </w:tcPr>
          <w:p w14:paraId="41717428" w14:textId="45C41E3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3881FB79" w14:textId="5FDADA2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6D991BBC" w14:textId="23C5A24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25C9DFC7" w14:textId="523A2BE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379" w:type="dxa"/>
            <w:tcBorders>
              <w:top w:val="nil"/>
              <w:left w:val="single" w:sz="8" w:space="0" w:color="auto"/>
              <w:bottom w:val="single" w:sz="8" w:space="0" w:color="auto"/>
              <w:right w:val="single" w:sz="8" w:space="0" w:color="auto"/>
            </w:tcBorders>
            <w:tcMar>
              <w:left w:w="28" w:type="dxa"/>
              <w:right w:w="28" w:type="dxa"/>
            </w:tcMar>
          </w:tcPr>
          <w:p w14:paraId="4C9A9F19" w14:textId="77FC121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013B72" w:rsidRPr="008C466E">
              <w:rPr>
                <w:rFonts w:ascii="Arial Narrow" w:hAnsi="Arial Narrow" w:cs="Arial"/>
                <w:color w:val="000000"/>
                <w:sz w:val="20"/>
                <w:szCs w:val="20"/>
                <w:vertAlign w:val="superscript"/>
              </w:rPr>
              <w:t>5</w:t>
            </w:r>
          </w:p>
        </w:tc>
      </w:tr>
    </w:tbl>
    <w:p w14:paraId="63B94CDE" w14:textId="77777777" w:rsidR="009D5B7A" w:rsidRPr="00DF42D1" w:rsidRDefault="009D5B7A" w:rsidP="009D5B7A">
      <w:pPr>
        <w:keepNext/>
        <w:spacing w:after="120"/>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rPr>
        <w:t>The redacted values correspond to the following ranges:</w:t>
      </w:r>
    </w:p>
    <w:p w14:paraId="75A8DBCB" w14:textId="77777777" w:rsidR="00D763E4" w:rsidRPr="00D763E4" w:rsidRDefault="009D5B7A" w:rsidP="00D763E4">
      <w:pPr>
        <w:keepNext/>
        <w:spacing w:after="120"/>
        <w:contextualSpacing/>
        <w:rPr>
          <w:rFonts w:ascii="Arial Narrow" w:hAnsi="Arial Narrow" w:cs="Arial"/>
          <w:i/>
          <w:iCs/>
          <w:snapToGrid w:val="0"/>
          <w:color w:val="000000" w:themeColor="text1"/>
          <w:sz w:val="18"/>
          <w:szCs w:val="22"/>
        </w:rPr>
      </w:pPr>
      <w:proofErr w:type="gramStart"/>
      <w:r w:rsidRPr="00DF42D1">
        <w:rPr>
          <w:rFonts w:ascii="Arial Narrow" w:hAnsi="Arial Narrow" w:cs="Arial"/>
          <w:i/>
          <w:iCs/>
          <w:snapToGrid w:val="0"/>
          <w:color w:val="000000" w:themeColor="text1"/>
          <w:sz w:val="18"/>
          <w:szCs w:val="22"/>
          <w:vertAlign w:val="superscript"/>
        </w:rPr>
        <w:t>1</w:t>
      </w:r>
      <w:r w:rsidR="00D763E4">
        <w:rPr>
          <w:rFonts w:ascii="Arial Narrow" w:hAnsi="Arial Narrow" w:cs="Arial"/>
          <w:i/>
          <w:iCs/>
          <w:snapToGrid w:val="0"/>
          <w:color w:val="000000" w:themeColor="text1"/>
          <w:sz w:val="18"/>
          <w:szCs w:val="22"/>
          <w:vertAlign w:val="superscript"/>
        </w:rPr>
        <w:t xml:space="preserve"> </w:t>
      </w:r>
      <w:r w:rsidR="00D763E4">
        <w:rPr>
          <w:rFonts w:ascii="Arial Narrow" w:hAnsi="Arial Narrow" w:cs="Arial"/>
          <w:i/>
          <w:iCs/>
          <w:snapToGrid w:val="0"/>
          <w:color w:val="000000" w:themeColor="text1"/>
          <w:sz w:val="18"/>
          <w:szCs w:val="22"/>
        </w:rPr>
        <w:t xml:space="preserve"> </w:t>
      </w:r>
      <w:bookmarkStart w:id="20" w:name="_Hlk113629218"/>
      <w:r w:rsidR="00D763E4" w:rsidRPr="00D763E4">
        <w:rPr>
          <w:rFonts w:ascii="Arial Narrow" w:hAnsi="Arial Narrow" w:cs="Arial"/>
          <w:i/>
          <w:iCs/>
          <w:snapToGrid w:val="0"/>
          <w:color w:val="000000" w:themeColor="text1"/>
          <w:sz w:val="18"/>
          <w:szCs w:val="22"/>
        </w:rPr>
        <w:t>90,000</w:t>
      </w:r>
      <w:proofErr w:type="gramEnd"/>
      <w:r w:rsidR="00D763E4" w:rsidRPr="00D763E4">
        <w:rPr>
          <w:rFonts w:ascii="Arial Narrow" w:hAnsi="Arial Narrow" w:cs="Arial"/>
          <w:i/>
          <w:iCs/>
          <w:snapToGrid w:val="0"/>
          <w:color w:val="000000" w:themeColor="text1"/>
          <w:sz w:val="18"/>
          <w:szCs w:val="22"/>
        </w:rPr>
        <w:t> to &lt; 100,000</w:t>
      </w:r>
    </w:p>
    <w:bookmarkEnd w:id="20"/>
    <w:p w14:paraId="56C6DB3B" w14:textId="70E70B0B" w:rsidR="009D5B7A" w:rsidRPr="002D2EE9" w:rsidRDefault="00D763E4"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2</w:t>
      </w:r>
      <w:r w:rsidR="009D5B7A" w:rsidRPr="00A40D00">
        <w:rPr>
          <w:rFonts w:ascii="Arial Narrow" w:hAnsi="Arial Narrow" w:cs="Arial"/>
          <w:i/>
          <w:iCs/>
          <w:snapToGrid w:val="0"/>
          <w:color w:val="000000" w:themeColor="text1"/>
          <w:sz w:val="18"/>
          <w:szCs w:val="22"/>
          <w:vertAlign w:val="superscript"/>
        </w:rPr>
        <w:t xml:space="preserve"> </w:t>
      </w:r>
      <w:r w:rsidR="009D5B7A" w:rsidRPr="002D2EE9">
        <w:rPr>
          <w:rFonts w:ascii="Arial Narrow" w:hAnsi="Arial Narrow" w:cs="Arial"/>
          <w:i/>
          <w:iCs/>
          <w:snapToGrid w:val="0"/>
          <w:color w:val="000000" w:themeColor="text1"/>
          <w:sz w:val="18"/>
          <w:szCs w:val="22"/>
        </w:rPr>
        <w:t>100,000 to &lt; 200,000</w:t>
      </w:r>
    </w:p>
    <w:p w14:paraId="25D54692" w14:textId="12EA95AD" w:rsidR="009D5B7A" w:rsidRDefault="00D763E4"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3</w:t>
      </w:r>
      <w:r w:rsidR="00553AED" w:rsidRPr="00A40D00">
        <w:rPr>
          <w:rFonts w:ascii="Arial Narrow" w:hAnsi="Arial Narrow" w:cs="Arial"/>
          <w:i/>
          <w:iCs/>
          <w:snapToGrid w:val="0"/>
          <w:color w:val="000000" w:themeColor="text1"/>
          <w:sz w:val="18"/>
          <w:szCs w:val="22"/>
          <w:vertAlign w:val="superscript"/>
        </w:rPr>
        <w:t xml:space="preserve"> </w:t>
      </w:r>
      <w:r w:rsidR="009D5B7A" w:rsidRPr="00AD3EF4">
        <w:rPr>
          <w:rFonts w:ascii="Arial Narrow" w:hAnsi="Arial Narrow" w:cs="Arial"/>
          <w:i/>
          <w:iCs/>
          <w:snapToGrid w:val="0"/>
          <w:color w:val="000000" w:themeColor="text1"/>
          <w:sz w:val="18"/>
          <w:szCs w:val="22"/>
        </w:rPr>
        <w:t>200,000 to &lt; 300,000</w:t>
      </w:r>
    </w:p>
    <w:p w14:paraId="027A001D" w14:textId="0E056075" w:rsidR="00404EDA" w:rsidRPr="00AD3EF4" w:rsidRDefault="00404EDA"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4</w:t>
      </w:r>
      <w:r>
        <w:rPr>
          <w:rFonts w:ascii="Arial Narrow" w:hAnsi="Arial Narrow" w:cs="Arial"/>
          <w:i/>
          <w:iCs/>
          <w:snapToGrid w:val="0"/>
          <w:color w:val="000000" w:themeColor="text1"/>
          <w:sz w:val="18"/>
          <w:szCs w:val="22"/>
        </w:rPr>
        <w:t xml:space="preserve"> </w:t>
      </w:r>
      <w:r w:rsidR="00013B72" w:rsidRPr="00013B72">
        <w:rPr>
          <w:rFonts w:ascii="Arial Narrow" w:hAnsi="Arial Narrow" w:cs="Arial"/>
          <w:i/>
          <w:iCs/>
          <w:snapToGrid w:val="0"/>
          <w:color w:val="000000" w:themeColor="text1"/>
          <w:sz w:val="18"/>
          <w:szCs w:val="22"/>
        </w:rPr>
        <w:t>$0 to &lt; $10 million</w:t>
      </w:r>
    </w:p>
    <w:p w14:paraId="7C0C70A6" w14:textId="40DD4A14" w:rsidR="009D5B7A" w:rsidRPr="00240165" w:rsidRDefault="00013B72" w:rsidP="009D5B7A">
      <w:pPr>
        <w:keepNext/>
        <w:spacing w:after="120"/>
        <w:contextualSpacing/>
        <w:rPr>
          <w:rFonts w:ascii="Arial Narrow" w:hAnsi="Arial Narrow" w:cs="Arial"/>
          <w:i/>
          <w:iCs/>
          <w:snapToGrid w:val="0"/>
          <w:color w:val="000000" w:themeColor="text1"/>
          <w:sz w:val="18"/>
          <w:szCs w:val="22"/>
        </w:rPr>
      </w:pPr>
      <w:r>
        <w:rPr>
          <w:rFonts w:ascii="Arial Narrow" w:hAnsi="Arial Narrow" w:cs="Arial"/>
          <w:i/>
          <w:iCs/>
          <w:snapToGrid w:val="0"/>
          <w:color w:val="000000" w:themeColor="text1"/>
          <w:sz w:val="18"/>
          <w:szCs w:val="22"/>
          <w:vertAlign w:val="superscript"/>
        </w:rPr>
        <w:t>5</w:t>
      </w:r>
      <w:r w:rsidR="00404EDA" w:rsidRPr="00404EDA">
        <w:rPr>
          <w:rFonts w:ascii="Arial Narrow" w:hAnsi="Arial Narrow" w:cs="Arial"/>
          <w:i/>
          <w:iCs/>
          <w:snapToGrid w:val="0"/>
          <w:color w:val="000000" w:themeColor="text1"/>
          <w:sz w:val="18"/>
          <w:szCs w:val="22"/>
        </w:rPr>
        <w:t> $10 </w:t>
      </w:r>
      <w:proofErr w:type="gramStart"/>
      <w:r w:rsidR="00404EDA" w:rsidRPr="00404EDA">
        <w:rPr>
          <w:rFonts w:ascii="Arial Narrow" w:hAnsi="Arial Narrow" w:cs="Arial"/>
          <w:i/>
          <w:iCs/>
          <w:snapToGrid w:val="0"/>
          <w:color w:val="000000" w:themeColor="text1"/>
          <w:sz w:val="18"/>
          <w:szCs w:val="22"/>
        </w:rPr>
        <w:t>million</w:t>
      </w:r>
      <w:r w:rsidR="009D5B7A" w:rsidRPr="00240165">
        <w:rPr>
          <w:rFonts w:ascii="Arial Narrow" w:hAnsi="Arial Narrow" w:cs="Arial"/>
          <w:i/>
          <w:iCs/>
          <w:snapToGrid w:val="0"/>
          <w:color w:val="000000" w:themeColor="text1"/>
          <w:sz w:val="18"/>
          <w:szCs w:val="22"/>
        </w:rPr>
        <w:t>  to</w:t>
      </w:r>
      <w:proofErr w:type="gramEnd"/>
      <w:r w:rsidR="009D5B7A" w:rsidRPr="00240165">
        <w:rPr>
          <w:rFonts w:ascii="Arial Narrow" w:hAnsi="Arial Narrow" w:cs="Arial"/>
          <w:i/>
          <w:iCs/>
          <w:snapToGrid w:val="0"/>
          <w:color w:val="000000" w:themeColor="text1"/>
          <w:sz w:val="18"/>
          <w:szCs w:val="22"/>
        </w:rPr>
        <w:t> &lt; $20 million</w:t>
      </w:r>
    </w:p>
    <w:p w14:paraId="38D0B3EC" w14:textId="77777777" w:rsidR="009D5B7A" w:rsidRPr="009104FD" w:rsidRDefault="009D5B7A" w:rsidP="009D5B7A">
      <w:pPr>
        <w:keepNext/>
        <w:spacing w:after="120"/>
        <w:contextualSpacing/>
        <w:rPr>
          <w:rFonts w:ascii="Arial Narrow" w:hAnsi="Arial Narrow" w:cs="Arial"/>
          <w:i/>
          <w:iCs/>
          <w:snapToGrid w:val="0"/>
          <w:color w:val="000000" w:themeColor="text1"/>
          <w:sz w:val="18"/>
          <w:szCs w:val="22"/>
        </w:rPr>
      </w:pPr>
      <w:r w:rsidRPr="008C466E">
        <w:rPr>
          <w:rFonts w:ascii="Arial Narrow" w:hAnsi="Arial Narrow" w:cs="Arial"/>
          <w:i/>
          <w:iCs/>
          <w:snapToGrid w:val="0"/>
          <w:color w:val="000000" w:themeColor="text1"/>
          <w:sz w:val="18"/>
          <w:szCs w:val="22"/>
          <w:vertAlign w:val="superscript"/>
        </w:rPr>
        <w:t>6</w:t>
      </w:r>
      <w:r w:rsidRPr="009104FD">
        <w:rPr>
          <w:rFonts w:ascii="Arial" w:hAnsi="Arial" w:cs="Arial"/>
          <w:color w:val="333333"/>
          <w:sz w:val="21"/>
          <w:szCs w:val="21"/>
        </w:rPr>
        <w:t xml:space="preserve"> </w:t>
      </w:r>
      <w:r w:rsidRPr="009104FD">
        <w:rPr>
          <w:rFonts w:ascii="Arial Narrow" w:hAnsi="Arial Narrow" w:cs="Arial"/>
          <w:i/>
          <w:iCs/>
          <w:snapToGrid w:val="0"/>
          <w:color w:val="000000" w:themeColor="text1"/>
          <w:sz w:val="18"/>
          <w:szCs w:val="22"/>
        </w:rPr>
        <w:t>net cost saving</w:t>
      </w:r>
    </w:p>
    <w:p w14:paraId="5415A3F7" w14:textId="4825F4FD"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rPr>
        <w:t xml:space="preserve">With this approach, the net </w:t>
      </w:r>
      <w:bookmarkStart w:id="21" w:name="_Int_QAyaIJg6"/>
      <w:r w:rsidRPr="00645F06">
        <w:rPr>
          <w:rFonts w:asciiTheme="minorHAnsi" w:eastAsiaTheme="minorHAnsi" w:hAnsiTheme="minorHAnsi" w:cstheme="minorBidi"/>
          <w:szCs w:val="22"/>
        </w:rPr>
        <w:t>financial impact</w:t>
      </w:r>
      <w:bookmarkEnd w:id="21"/>
      <w:r w:rsidRPr="00645F06">
        <w:rPr>
          <w:rFonts w:asciiTheme="minorHAnsi" w:eastAsiaTheme="minorHAnsi" w:hAnsiTheme="minorHAnsi" w:cstheme="minorBidi"/>
          <w:szCs w:val="22"/>
        </w:rPr>
        <w:t xml:space="preserve"> to the PBS/RPBS for the proposed listing of eplerenone was </w:t>
      </w:r>
      <w:r w:rsidR="00C2686C" w:rsidRPr="00C2686C">
        <w:rPr>
          <w:rFonts w:asciiTheme="minorHAnsi" w:eastAsiaTheme="minorHAnsi" w:hAnsiTheme="minorHAnsi" w:cstheme="minorBidi"/>
          <w:szCs w:val="22"/>
        </w:rPr>
        <w:t>$40 million to &lt; $50 million</w:t>
      </w:r>
      <w:r w:rsidR="00133445">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over six years </w:t>
      </w:r>
      <w:r w:rsidRPr="003723B1">
        <w:rPr>
          <w:rFonts w:asciiTheme="minorHAnsi" w:eastAsiaTheme="minorHAnsi" w:hAnsiTheme="minorHAnsi" w:cstheme="minorBidi"/>
          <w:szCs w:val="22"/>
        </w:rPr>
        <w:t>(</w:t>
      </w:r>
      <w:r w:rsidR="003723B1" w:rsidRPr="00A40D00">
        <w:rPr>
          <w:rFonts w:asciiTheme="minorHAnsi" w:eastAsiaTheme="minorHAnsi" w:hAnsiTheme="minorHAnsi" w:cstheme="minorBidi"/>
          <w:szCs w:val="22"/>
        </w:rPr>
        <w:t>$0 to &lt; $10 million</w:t>
      </w:r>
      <w:r w:rsidR="003723B1" w:rsidRPr="003723B1" w:rsidDel="003723B1">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3723B1" w:rsidRPr="003723B1">
        <w:rPr>
          <w:rFonts w:asciiTheme="minorHAnsi" w:eastAsiaTheme="minorHAnsi" w:hAnsiTheme="minorHAnsi" w:cstheme="minorBidi"/>
          <w:i/>
          <w:iCs/>
          <w:szCs w:val="22"/>
        </w:rPr>
        <w:t>$</w:t>
      </w:r>
      <w:r w:rsidR="003723B1" w:rsidRPr="00A40D00">
        <w:rPr>
          <w:rFonts w:asciiTheme="minorHAnsi" w:eastAsiaTheme="minorHAnsi" w:hAnsiTheme="minorHAnsi" w:cstheme="minorBidi"/>
          <w:szCs w:val="22"/>
        </w:rPr>
        <w:t>10 </w:t>
      </w:r>
      <w:proofErr w:type="gramStart"/>
      <w:r w:rsidR="003723B1" w:rsidRPr="00A40D00">
        <w:rPr>
          <w:rFonts w:asciiTheme="minorHAnsi" w:eastAsiaTheme="minorHAnsi" w:hAnsiTheme="minorHAnsi" w:cstheme="minorBidi"/>
          <w:szCs w:val="22"/>
        </w:rPr>
        <w:t>million  to</w:t>
      </w:r>
      <w:proofErr w:type="gramEnd"/>
      <w:r w:rsidR="003723B1" w:rsidRPr="00A40D00">
        <w:rPr>
          <w:rFonts w:asciiTheme="minorHAnsi" w:eastAsiaTheme="minorHAnsi" w:hAnsiTheme="minorHAnsi" w:cstheme="minorBidi"/>
          <w:szCs w:val="22"/>
        </w:rPr>
        <w:t> &lt; $20 million</w:t>
      </w:r>
      <w:r w:rsidR="003723B1" w:rsidRPr="003723B1" w:rsidDel="003723B1">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in Year 6)</w:t>
      </w:r>
      <w:r w:rsidRPr="00645F06">
        <w:rPr>
          <w:rFonts w:asciiTheme="minorHAnsi" w:eastAsiaTheme="minorHAnsi" w:hAnsiTheme="minorHAnsi" w:cstheme="minorBidi"/>
          <w:szCs w:val="22"/>
          <w:lang w:val="en-GB"/>
        </w:rPr>
        <w:t>.</w:t>
      </w:r>
    </w:p>
    <w:p w14:paraId="5D402BDF"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rPr>
        <w:t>The PBAC considered the existing restriction to prescribing by medical practitioners and cardiac nurse prescribers to be appropriate.</w:t>
      </w:r>
    </w:p>
    <w:p w14:paraId="01DFEE7F"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 xml:space="preserve">The PBAC found that the criteria prescribed by the </w:t>
      </w:r>
      <w:r w:rsidRPr="00645F06">
        <w:rPr>
          <w:rFonts w:asciiTheme="minorHAnsi" w:eastAsiaTheme="minorHAnsi" w:hAnsiTheme="minorHAnsi" w:cstheme="minorBidi"/>
          <w:i/>
          <w:szCs w:val="22"/>
          <w:lang w:val="en-GB"/>
        </w:rPr>
        <w:t>National Health (Pharmaceuticals and Vaccines – Cost Recovery) Regulations 2022</w:t>
      </w:r>
      <w:r w:rsidRPr="00645F06">
        <w:rPr>
          <w:rFonts w:asciiTheme="minorHAnsi" w:eastAsiaTheme="minorHAnsi" w:hAnsiTheme="minorHAnsi" w:cstheme="minorBidi"/>
          <w:szCs w:val="22"/>
          <w:lang w:val="en-GB"/>
        </w:rPr>
        <w:t xml:space="preserve"> for Pricing Pathway A were not met. Specifically, the PBAC found that in the circumstances of its recommendation:</w:t>
      </w:r>
    </w:p>
    <w:p w14:paraId="06CD2182" w14:textId="77777777" w:rsidR="00645F06" w:rsidRPr="00645F06" w:rsidRDefault="00645F06" w:rsidP="00645F06">
      <w:pPr>
        <w:widowControl w:val="0"/>
        <w:numPr>
          <w:ilvl w:val="1"/>
          <w:numId w:val="47"/>
        </w:numPr>
        <w:spacing w:after="120"/>
        <w:rPr>
          <w:rFonts w:cstheme="minorBidi"/>
          <w:lang w:val="en-GB"/>
        </w:rPr>
      </w:pPr>
      <w:r w:rsidRPr="00645F06">
        <w:rPr>
          <w:rFonts w:cstheme="minorBidi"/>
          <w:lang w:val="en-GB"/>
        </w:rPr>
        <w:t xml:space="preserve">The treatment is not expected to provide a substantial and clinically relevant improvement in efficacy, or reduction of toxicity over alternative therapies. </w:t>
      </w:r>
    </w:p>
    <w:p w14:paraId="068B2185" w14:textId="77777777" w:rsidR="00645F06" w:rsidRPr="00645F06" w:rsidRDefault="00645F06" w:rsidP="00645F06">
      <w:pPr>
        <w:widowControl w:val="0"/>
        <w:numPr>
          <w:ilvl w:val="1"/>
          <w:numId w:val="47"/>
        </w:numPr>
        <w:spacing w:after="120"/>
        <w:rPr>
          <w:rFonts w:cstheme="minorBidi"/>
          <w:lang w:val="en-GB"/>
        </w:rPr>
      </w:pPr>
      <w:r w:rsidRPr="00645F06">
        <w:rPr>
          <w:rFonts w:cstheme="minorBidi"/>
          <w:lang w:val="en-GB"/>
        </w:rPr>
        <w:t>The treatment is not expected to address a high and urgent unmet clinical need as other treatments for heart failure are available.</w:t>
      </w:r>
    </w:p>
    <w:p w14:paraId="229192A6" w14:textId="77777777" w:rsidR="00645F06" w:rsidRPr="00645F06" w:rsidRDefault="00645F06" w:rsidP="00645F06">
      <w:pPr>
        <w:widowControl w:val="0"/>
        <w:numPr>
          <w:ilvl w:val="1"/>
          <w:numId w:val="47"/>
        </w:numPr>
        <w:spacing w:after="120"/>
        <w:rPr>
          <w:snapToGrid w:val="0"/>
          <w:lang w:val="en-GB"/>
        </w:rPr>
      </w:pPr>
      <w:r w:rsidRPr="00645F06">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45B39C63"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The PBAC noted that this submission is not eligible for an Independent Review as it received a positive recommendation.</w:t>
      </w:r>
    </w:p>
    <w:p w14:paraId="168349C0" w14:textId="0B62C4F0" w:rsidR="00645F06" w:rsidRPr="00645F06" w:rsidRDefault="00645F06" w:rsidP="00645F06">
      <w:pPr>
        <w:spacing w:before="240"/>
        <w:rPr>
          <w:rFonts w:eastAsia="Calibri" w:cs="Arial"/>
          <w:b/>
          <w:bCs/>
          <w:snapToGrid w:val="0"/>
          <w:szCs w:val="22"/>
          <w:lang w:val="en-GB" w:eastAsia="en-US"/>
        </w:rPr>
      </w:pPr>
      <w:r w:rsidRPr="00645F06">
        <w:rPr>
          <w:rFonts w:eastAsia="Calibri" w:cs="Arial"/>
          <w:b/>
          <w:bCs/>
          <w:snapToGrid w:val="0"/>
          <w:szCs w:val="22"/>
          <w:lang w:val="en-GB" w:eastAsia="en-US"/>
        </w:rPr>
        <w:t>Outcome</w:t>
      </w:r>
      <w:r w:rsidR="005916DF">
        <w:rPr>
          <w:rFonts w:eastAsia="Calibri" w:cs="Arial"/>
          <w:b/>
          <w:bCs/>
          <w:snapToGrid w:val="0"/>
          <w:szCs w:val="22"/>
          <w:lang w:val="en-GB" w:eastAsia="en-US"/>
        </w:rPr>
        <w:t>:</w:t>
      </w:r>
    </w:p>
    <w:p w14:paraId="45B0FEAD" w14:textId="77777777" w:rsidR="00645F06" w:rsidRPr="00645F06" w:rsidRDefault="00645F06" w:rsidP="00A40D00">
      <w:pPr>
        <w:spacing w:after="120"/>
        <w:rPr>
          <w:rFonts w:eastAsia="Calibri" w:cs="Arial"/>
          <w:snapToGrid w:val="0"/>
          <w:lang w:val="en-GB" w:eastAsia="en-US"/>
        </w:rPr>
      </w:pPr>
      <w:r w:rsidRPr="00645F06">
        <w:rPr>
          <w:rFonts w:eastAsia="Calibri" w:cs="Arial"/>
          <w:snapToGrid w:val="0"/>
          <w:lang w:val="en-GB" w:eastAsia="en-US"/>
        </w:rPr>
        <w:t>Recommended</w:t>
      </w:r>
    </w:p>
    <w:p w14:paraId="322707F8"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rPr>
      </w:pPr>
      <w:r w:rsidRPr="00645F06">
        <w:rPr>
          <w:rFonts w:asciiTheme="minorHAnsi" w:hAnsiTheme="minorHAnsi" w:cs="Arial"/>
          <w:b/>
          <w:snapToGrid w:val="0"/>
          <w:sz w:val="32"/>
          <w:szCs w:val="32"/>
        </w:rPr>
        <w:lastRenderedPageBreak/>
        <w:t>Recommended listing</w:t>
      </w:r>
    </w:p>
    <w:p w14:paraId="1E6975C2" w14:textId="77777777" w:rsidR="00645F06" w:rsidRPr="00645F06" w:rsidRDefault="00645F06" w:rsidP="00A40D00">
      <w:pPr>
        <w:numPr>
          <w:ilvl w:val="1"/>
          <w:numId w:val="2"/>
        </w:numPr>
        <w:spacing w:before="120" w:after="120"/>
        <w:rPr>
          <w:rFonts w:asciiTheme="minorHAnsi" w:eastAsia="Calibri" w:hAnsiTheme="minorHAnsi" w:cstheme="minorBidi"/>
          <w:b/>
          <w:i/>
          <w:szCs w:val="22"/>
          <w:lang w:val="en-GB" w:eastAsia="en-US"/>
        </w:rPr>
      </w:pPr>
      <w:r w:rsidRPr="00645F06">
        <w:rPr>
          <w:rFonts w:asciiTheme="minorHAnsi" w:eastAsiaTheme="minorHAnsi" w:hAnsiTheme="minorHAnsi" w:cstheme="minorBidi"/>
          <w:szCs w:val="22"/>
        </w:rPr>
        <w:t xml:space="preserve">Amend current listings: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3928480B" w14:textId="77777777" w:rsidTr="00FA26BE">
        <w:trPr>
          <w:cantSplit/>
          <w:trHeight w:val="20"/>
        </w:trPr>
        <w:tc>
          <w:tcPr>
            <w:tcW w:w="3939" w:type="dxa"/>
            <w:gridSpan w:val="2"/>
            <w:vAlign w:val="center"/>
          </w:tcPr>
          <w:p w14:paraId="4ED763F3"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lastRenderedPageBreak/>
              <w:t>MEDICINAL PRODUCT</w:t>
            </w:r>
          </w:p>
          <w:p w14:paraId="38223E44"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medicinal product pack</w:t>
            </w:r>
          </w:p>
        </w:tc>
        <w:tc>
          <w:tcPr>
            <w:tcW w:w="811" w:type="dxa"/>
            <w:vAlign w:val="center"/>
          </w:tcPr>
          <w:p w14:paraId="14BB7A24"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PBS item code</w:t>
            </w:r>
          </w:p>
        </w:tc>
        <w:tc>
          <w:tcPr>
            <w:tcW w:w="812" w:type="dxa"/>
            <w:vAlign w:val="center"/>
          </w:tcPr>
          <w:p w14:paraId="77497CD5"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Max. qty packs</w:t>
            </w:r>
          </w:p>
        </w:tc>
        <w:tc>
          <w:tcPr>
            <w:tcW w:w="811" w:type="dxa"/>
            <w:vAlign w:val="center"/>
          </w:tcPr>
          <w:p w14:paraId="5946FBB3"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Max. qty units</w:t>
            </w:r>
          </w:p>
        </w:tc>
        <w:tc>
          <w:tcPr>
            <w:tcW w:w="812" w:type="dxa"/>
            <w:vAlign w:val="center"/>
          </w:tcPr>
          <w:p w14:paraId="1332F9D7" w14:textId="77777777" w:rsidR="00645F06" w:rsidRPr="00645F06" w:rsidRDefault="00645F06" w:rsidP="00645F06">
            <w:pPr>
              <w:keepLines/>
              <w:jc w:val="center"/>
              <w:rPr>
                <w:rFonts w:ascii="Arial Narrow" w:hAnsi="Arial Narrow" w:cs="Arial"/>
                <w:b/>
                <w:bCs/>
                <w:color w:val="000000" w:themeColor="text1"/>
                <w:sz w:val="20"/>
                <w:szCs w:val="20"/>
              </w:rPr>
            </w:pPr>
            <w:bookmarkStart w:id="22" w:name="_Int_vGizb4Sn"/>
            <w:proofErr w:type="gramStart"/>
            <w:r w:rsidRPr="00645F06">
              <w:rPr>
                <w:rFonts w:ascii="Arial Narrow" w:hAnsi="Arial Narrow" w:cs="Arial"/>
                <w:b/>
                <w:bCs/>
                <w:color w:val="000000" w:themeColor="text1"/>
                <w:sz w:val="20"/>
                <w:szCs w:val="20"/>
              </w:rPr>
              <w:t>№.of</w:t>
            </w:r>
            <w:bookmarkEnd w:id="22"/>
            <w:proofErr w:type="gramEnd"/>
          </w:p>
          <w:p w14:paraId="25A77198" w14:textId="77777777" w:rsidR="00645F06" w:rsidRPr="00645F06" w:rsidRDefault="00645F06" w:rsidP="00645F06">
            <w:pPr>
              <w:keepLines/>
              <w:jc w:val="center"/>
              <w:rPr>
                <w:rFonts w:ascii="Arial Narrow" w:hAnsi="Arial Narrow" w:cs="Arial"/>
                <w:b/>
                <w:color w:val="000000" w:themeColor="text1"/>
                <w:sz w:val="20"/>
                <w:szCs w:val="20"/>
              </w:rPr>
            </w:pPr>
            <w:proofErr w:type="spellStart"/>
            <w:r w:rsidRPr="00645F06">
              <w:rPr>
                <w:rFonts w:ascii="Arial Narrow" w:hAnsi="Arial Narrow" w:cs="Arial"/>
                <w:b/>
                <w:color w:val="000000" w:themeColor="text1"/>
                <w:sz w:val="20"/>
                <w:szCs w:val="20"/>
              </w:rPr>
              <w:t>Rpts</w:t>
            </w:r>
            <w:proofErr w:type="spellEnd"/>
          </w:p>
        </w:tc>
        <w:tc>
          <w:tcPr>
            <w:tcW w:w="1831" w:type="dxa"/>
            <w:vAlign w:val="center"/>
          </w:tcPr>
          <w:p w14:paraId="23BD8872" w14:textId="77777777" w:rsidR="00645F06" w:rsidRPr="00645F06" w:rsidRDefault="00645F06" w:rsidP="00645F06">
            <w:pPr>
              <w:keepLines/>
              <w:rPr>
                <w:rFonts w:ascii="Arial Narrow" w:hAnsi="Arial Narrow" w:cs="Arial"/>
                <w:b/>
                <w:color w:val="000000" w:themeColor="text1"/>
                <w:sz w:val="20"/>
                <w:szCs w:val="20"/>
                <w:lang w:val="fr-FR"/>
              </w:rPr>
            </w:pPr>
            <w:r w:rsidRPr="00645F06">
              <w:rPr>
                <w:rFonts w:ascii="Arial Narrow" w:hAnsi="Arial Narrow" w:cs="Arial"/>
                <w:b/>
                <w:color w:val="000000" w:themeColor="text1"/>
                <w:sz w:val="20"/>
                <w:szCs w:val="20"/>
              </w:rPr>
              <w:t>Available brands</w:t>
            </w:r>
          </w:p>
        </w:tc>
      </w:tr>
      <w:tr w:rsidR="00645F06" w:rsidRPr="00645F06" w14:paraId="6B95141A" w14:textId="77777777" w:rsidTr="00FA26BE">
        <w:trPr>
          <w:cantSplit/>
          <w:trHeight w:val="20"/>
        </w:trPr>
        <w:tc>
          <w:tcPr>
            <w:tcW w:w="9016" w:type="dxa"/>
            <w:gridSpan w:val="7"/>
            <w:vAlign w:val="center"/>
          </w:tcPr>
          <w:p w14:paraId="5960A489" w14:textId="77777777" w:rsidR="00645F06" w:rsidRPr="00645F06" w:rsidRDefault="00645F06" w:rsidP="00645F06">
            <w:pPr>
              <w:keepNext/>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 xml:space="preserve">EPLERENONE </w:t>
            </w:r>
          </w:p>
        </w:tc>
      </w:tr>
      <w:tr w:rsidR="00645F06" w:rsidRPr="00645F06" w14:paraId="32C031DC" w14:textId="77777777" w:rsidTr="00FA26BE">
        <w:trPr>
          <w:cantSplit/>
          <w:trHeight w:val="20"/>
        </w:trPr>
        <w:tc>
          <w:tcPr>
            <w:tcW w:w="3939" w:type="dxa"/>
            <w:gridSpan w:val="2"/>
            <w:vAlign w:val="center"/>
          </w:tcPr>
          <w:p w14:paraId="51311EB5" w14:textId="77777777" w:rsidR="00645F06" w:rsidRPr="00645F06" w:rsidRDefault="00645F06" w:rsidP="00645F06">
            <w:pPr>
              <w:keepNext/>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 xml:space="preserve">eplerenone 25 mg tablet, 30 </w:t>
            </w:r>
          </w:p>
        </w:tc>
        <w:tc>
          <w:tcPr>
            <w:tcW w:w="811" w:type="dxa"/>
            <w:vAlign w:val="center"/>
          </w:tcPr>
          <w:p w14:paraId="6473E9EE"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8879H</w:t>
            </w:r>
          </w:p>
        </w:tc>
        <w:tc>
          <w:tcPr>
            <w:tcW w:w="812" w:type="dxa"/>
            <w:vAlign w:val="center"/>
          </w:tcPr>
          <w:p w14:paraId="4DE24A0B"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1</w:t>
            </w:r>
          </w:p>
        </w:tc>
        <w:tc>
          <w:tcPr>
            <w:tcW w:w="811" w:type="dxa"/>
            <w:vAlign w:val="center"/>
          </w:tcPr>
          <w:p w14:paraId="7D3F6820"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30</w:t>
            </w:r>
          </w:p>
        </w:tc>
        <w:tc>
          <w:tcPr>
            <w:tcW w:w="812" w:type="dxa"/>
            <w:vAlign w:val="center"/>
          </w:tcPr>
          <w:p w14:paraId="048A958E"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5</w:t>
            </w:r>
          </w:p>
        </w:tc>
        <w:tc>
          <w:tcPr>
            <w:tcW w:w="1831" w:type="dxa"/>
            <w:vAlign w:val="center"/>
          </w:tcPr>
          <w:p w14:paraId="53981ADD"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APO</w:t>
            </w:r>
            <w:r w:rsidRPr="00645F06">
              <w:rPr>
                <w:rFonts w:ascii="Arial Narrow" w:hAnsi="Arial Narrow" w:cs="Arial"/>
                <w:color w:val="000000" w:themeColor="text1"/>
                <w:sz w:val="20"/>
                <w:szCs w:val="20"/>
              </w:rPr>
              <w:noBreakHyphen/>
              <w:t>Eplerenone</w:t>
            </w:r>
          </w:p>
          <w:p w14:paraId="0D4B658F"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ESPLER</w:t>
            </w:r>
          </w:p>
          <w:p w14:paraId="2083C730" w14:textId="77777777" w:rsidR="00645F06" w:rsidRPr="00645F06" w:rsidRDefault="00645F06" w:rsidP="00645F06">
            <w:pPr>
              <w:keepLines/>
              <w:rPr>
                <w:rFonts w:ascii="Arial Narrow" w:hAnsi="Arial Narrow" w:cs="Arial"/>
                <w:color w:val="000000" w:themeColor="text1"/>
                <w:sz w:val="20"/>
                <w:szCs w:val="20"/>
              </w:rPr>
            </w:pPr>
            <w:proofErr w:type="spellStart"/>
            <w:r w:rsidRPr="00645F06">
              <w:rPr>
                <w:rFonts w:ascii="Arial Narrow" w:hAnsi="Arial Narrow" w:cs="Arial"/>
                <w:color w:val="000000" w:themeColor="text1"/>
                <w:sz w:val="20"/>
                <w:szCs w:val="20"/>
              </w:rPr>
              <w:t>Inpler</w:t>
            </w:r>
            <w:proofErr w:type="spellEnd"/>
          </w:p>
          <w:p w14:paraId="7A7D44AA"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Inspra</w:t>
            </w:r>
          </w:p>
        </w:tc>
      </w:tr>
      <w:tr w:rsidR="00645F06" w:rsidRPr="00645F06" w14:paraId="45B9D14B" w14:textId="77777777" w:rsidTr="00FA26BE">
        <w:trPr>
          <w:cantSplit/>
          <w:trHeight w:val="20"/>
        </w:trPr>
        <w:tc>
          <w:tcPr>
            <w:tcW w:w="3939" w:type="dxa"/>
            <w:gridSpan w:val="2"/>
            <w:vAlign w:val="center"/>
          </w:tcPr>
          <w:p w14:paraId="12458164" w14:textId="77777777" w:rsidR="00645F06" w:rsidRPr="00645F06" w:rsidRDefault="00645F06" w:rsidP="00645F06">
            <w:pPr>
              <w:keepNext/>
              <w:tabs>
                <w:tab w:val="left" w:pos="1077"/>
              </w:tabs>
              <w:rPr>
                <w:rFonts w:ascii="Arial Narrow" w:hAnsi="Arial Narrow" w:cs="Arial"/>
                <w:color w:val="000000" w:themeColor="text1"/>
                <w:sz w:val="20"/>
                <w:szCs w:val="20"/>
              </w:rPr>
            </w:pPr>
            <w:r w:rsidRPr="00645F06">
              <w:rPr>
                <w:rFonts w:ascii="Arial Narrow" w:hAnsi="Arial Narrow" w:cs="Arial"/>
                <w:color w:val="000000" w:themeColor="text1"/>
                <w:sz w:val="20"/>
                <w:szCs w:val="20"/>
              </w:rPr>
              <w:t>eplerenone 50mg tablet, 30</w:t>
            </w:r>
          </w:p>
        </w:tc>
        <w:tc>
          <w:tcPr>
            <w:tcW w:w="811" w:type="dxa"/>
            <w:vAlign w:val="center"/>
          </w:tcPr>
          <w:p w14:paraId="0F81A336"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8880J</w:t>
            </w:r>
          </w:p>
        </w:tc>
        <w:tc>
          <w:tcPr>
            <w:tcW w:w="812" w:type="dxa"/>
            <w:vAlign w:val="center"/>
          </w:tcPr>
          <w:p w14:paraId="7B5F05D6"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1</w:t>
            </w:r>
          </w:p>
        </w:tc>
        <w:tc>
          <w:tcPr>
            <w:tcW w:w="811" w:type="dxa"/>
            <w:vAlign w:val="center"/>
          </w:tcPr>
          <w:p w14:paraId="076FDDEE"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30</w:t>
            </w:r>
          </w:p>
        </w:tc>
        <w:tc>
          <w:tcPr>
            <w:tcW w:w="812" w:type="dxa"/>
            <w:vAlign w:val="center"/>
          </w:tcPr>
          <w:p w14:paraId="69A19840"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5</w:t>
            </w:r>
          </w:p>
        </w:tc>
        <w:tc>
          <w:tcPr>
            <w:tcW w:w="1831" w:type="dxa"/>
            <w:vAlign w:val="center"/>
          </w:tcPr>
          <w:p w14:paraId="775AB034"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APO</w:t>
            </w:r>
            <w:r w:rsidRPr="00645F06">
              <w:rPr>
                <w:rFonts w:ascii="Arial Narrow" w:hAnsi="Arial Narrow" w:cs="Arial"/>
                <w:color w:val="000000" w:themeColor="text1"/>
                <w:sz w:val="20"/>
                <w:szCs w:val="20"/>
              </w:rPr>
              <w:noBreakHyphen/>
              <w:t>Eplerenone</w:t>
            </w:r>
          </w:p>
          <w:p w14:paraId="6D26BCBD"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ESPLER</w:t>
            </w:r>
          </w:p>
          <w:p w14:paraId="022396A0" w14:textId="77777777" w:rsidR="00645F06" w:rsidRPr="00645F06" w:rsidRDefault="00645F06" w:rsidP="00645F06">
            <w:pPr>
              <w:keepLines/>
              <w:rPr>
                <w:rFonts w:ascii="Arial Narrow" w:hAnsi="Arial Narrow" w:cs="Arial"/>
                <w:color w:val="000000" w:themeColor="text1"/>
                <w:sz w:val="20"/>
                <w:szCs w:val="20"/>
              </w:rPr>
            </w:pPr>
            <w:proofErr w:type="spellStart"/>
            <w:r w:rsidRPr="00645F06">
              <w:rPr>
                <w:rFonts w:ascii="Arial Narrow" w:hAnsi="Arial Narrow" w:cs="Arial"/>
                <w:color w:val="000000" w:themeColor="text1"/>
                <w:sz w:val="20"/>
                <w:szCs w:val="20"/>
              </w:rPr>
              <w:t>Inpler</w:t>
            </w:r>
            <w:proofErr w:type="spellEnd"/>
          </w:p>
          <w:p w14:paraId="2A562442" w14:textId="77777777" w:rsidR="00645F06" w:rsidRPr="00645F06" w:rsidRDefault="00645F06" w:rsidP="00645F06">
            <w:pPr>
              <w:keepNext/>
              <w:rPr>
                <w:rFonts w:ascii="Arial Narrow" w:hAnsi="Arial Narrow" w:cs="Arial"/>
                <w:color w:val="000000" w:themeColor="text1"/>
                <w:sz w:val="20"/>
                <w:szCs w:val="20"/>
              </w:rPr>
            </w:pPr>
            <w:r w:rsidRPr="00645F06">
              <w:rPr>
                <w:rFonts w:ascii="Arial Narrow" w:hAnsi="Arial Narrow" w:cs="Arial"/>
                <w:color w:val="000000" w:themeColor="text1"/>
                <w:sz w:val="20"/>
                <w:szCs w:val="20"/>
              </w:rPr>
              <w:t>Inspra</w:t>
            </w:r>
          </w:p>
        </w:tc>
      </w:tr>
      <w:tr w:rsidR="00645F06" w:rsidRPr="00645F06" w14:paraId="64162A08"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49F0883" w14:textId="77777777" w:rsidR="00645F06" w:rsidRPr="00645F06" w:rsidRDefault="00645F06" w:rsidP="00645F06">
            <w:pPr>
              <w:keepNext/>
              <w:rPr>
                <w:rFonts w:ascii="Arial Narrow" w:hAnsi="Arial Narrow" w:cs="Arial"/>
                <w:color w:val="000000" w:themeColor="text1"/>
                <w:sz w:val="20"/>
                <w:szCs w:val="20"/>
              </w:rPr>
            </w:pPr>
          </w:p>
        </w:tc>
      </w:tr>
      <w:tr w:rsidR="00645F06" w:rsidRPr="00645F06" w14:paraId="5131FBFE"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15767B2"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Restriction Summary: 16564 / Treatment of Concept: 4937</w:t>
            </w:r>
          </w:p>
        </w:tc>
      </w:tr>
      <w:tr w:rsidR="00645F06" w:rsidRPr="00645F06" w14:paraId="57E29781"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59D216F" w14:textId="77777777" w:rsidR="00645F06" w:rsidRPr="00645F06" w:rsidRDefault="00645F06" w:rsidP="00645F06">
            <w:pPr>
              <w:keepNext/>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 xml:space="preserve">Concept ID </w:t>
            </w:r>
            <w:r w:rsidRPr="00645F06">
              <w:rPr>
                <w:rFonts w:ascii="Arial Narrow" w:hAnsi="Arial Narrow" w:cs="Arial"/>
                <w:color w:val="000000" w:themeColor="text1"/>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1850D9" w14:textId="77777777" w:rsidR="00645F06" w:rsidRPr="00645F06" w:rsidRDefault="00645F06" w:rsidP="00645F06">
            <w:pPr>
              <w:keepLines/>
              <w:jc w:val="left"/>
              <w:rPr>
                <w:rFonts w:ascii="Arial Narrow" w:hAnsi="Arial Narrow" w:cs="Arial"/>
                <w:color w:val="000000" w:themeColor="text1"/>
                <w:sz w:val="20"/>
                <w:szCs w:val="20"/>
              </w:rPr>
            </w:pPr>
            <w:r w:rsidRPr="00645F06">
              <w:rPr>
                <w:rFonts w:ascii="Arial Narrow" w:hAnsi="Arial Narrow" w:cs="Arial"/>
                <w:b/>
                <w:bCs/>
                <w:color w:val="000000" w:themeColor="text1"/>
                <w:sz w:val="20"/>
                <w:szCs w:val="20"/>
              </w:rPr>
              <w:t>Category / Program:</w:t>
            </w:r>
            <w:r w:rsidRPr="00645F06">
              <w:rPr>
                <w:rFonts w:ascii="Arial Narrow" w:hAnsi="Arial Narrow" w:cs="Arial"/>
                <w:color w:val="000000" w:themeColor="text1"/>
                <w:sz w:val="20"/>
                <w:szCs w:val="20"/>
              </w:rPr>
              <w:t xml:space="preserve"> </w:t>
            </w:r>
            <w:proofErr w:type="gramStart"/>
            <w:r w:rsidRPr="00645F06">
              <w:rPr>
                <w:rFonts w:ascii="Arial Narrow" w:eastAsia="Calibri" w:hAnsi="Arial Narrow" w:cs="Arial"/>
                <w:color w:val="000000" w:themeColor="text1"/>
                <w:sz w:val="20"/>
                <w:szCs w:val="20"/>
              </w:rPr>
              <w:t xml:space="preserve">GENERAL  </w:t>
            </w:r>
            <w:bookmarkStart w:id="23" w:name="_Int_O7hz8Qv9"/>
            <w:proofErr w:type="spellStart"/>
            <w:r w:rsidRPr="00645F06">
              <w:rPr>
                <w:rFonts w:ascii="Arial Narrow" w:eastAsia="Calibri" w:hAnsi="Arial Narrow" w:cs="Arial"/>
                <w:color w:val="000000" w:themeColor="text1"/>
                <w:sz w:val="20"/>
                <w:szCs w:val="20"/>
              </w:rPr>
              <w:t>General</w:t>
            </w:r>
            <w:bookmarkEnd w:id="23"/>
            <w:proofErr w:type="spellEnd"/>
            <w:proofErr w:type="gramEnd"/>
            <w:r w:rsidRPr="00645F06">
              <w:rPr>
                <w:rFonts w:ascii="Arial Narrow" w:eastAsia="Calibri" w:hAnsi="Arial Narrow" w:cs="Arial"/>
                <w:color w:val="000000" w:themeColor="text1"/>
                <w:sz w:val="20"/>
                <w:szCs w:val="20"/>
              </w:rPr>
              <w:t xml:space="preserve"> Schedule (Code GE) </w:t>
            </w:r>
          </w:p>
        </w:tc>
      </w:tr>
      <w:tr w:rsidR="00645F06" w:rsidRPr="00645F06" w14:paraId="414A8378"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2ADB27AD" w14:textId="77777777" w:rsidR="00645F06" w:rsidRPr="00645F06" w:rsidRDefault="00645F06" w:rsidP="00645F06">
            <w:pPr>
              <w:keepNext/>
              <w:rPr>
                <w:rFonts w:ascii="Arial Narrow" w:hAnsi="Arial Narrow" w:cs="Arial"/>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8DDC55" w14:textId="77777777" w:rsidR="00645F06" w:rsidRPr="00645F06" w:rsidRDefault="00645F06" w:rsidP="00645F06">
            <w:pPr>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 xml:space="preserve">Prescriber type:  </w:t>
            </w:r>
            <w:r w:rsidRPr="00645F06">
              <w:rPr>
                <w:rFonts w:ascii="Arial Narrow" w:hAnsi="Arial Narrow" w:cs="Arial"/>
                <w:color w:val="000000" w:themeColor="text1"/>
                <w:sz w:val="20"/>
                <w:szCs w:val="20"/>
              </w:rPr>
              <w:fldChar w:fldCharType="begin">
                <w:ffData>
                  <w:name w:val=""/>
                  <w:enabled/>
                  <w:calcOnExit w:val="0"/>
                  <w:checkBox>
                    <w:sizeAuto/>
                    <w:default w:val="1"/>
                  </w:checkBox>
                </w:ffData>
              </w:fldChar>
            </w:r>
            <w:r w:rsidRPr="00645F06">
              <w:rPr>
                <w:rFonts w:ascii="Arial Narrow" w:hAnsi="Arial Narrow" w:cs="Arial"/>
                <w:color w:val="000000" w:themeColor="text1"/>
                <w:sz w:val="20"/>
                <w:szCs w:val="20"/>
              </w:rPr>
              <w:instrText xml:space="preserve"> FORMCHECKBOX </w:instrText>
            </w:r>
            <w:r w:rsidRPr="00645F06">
              <w:rPr>
                <w:rFonts w:ascii="Arial Narrow" w:hAnsi="Arial Narrow" w:cs="Arial"/>
                <w:color w:val="000000" w:themeColor="text1"/>
                <w:sz w:val="20"/>
                <w:szCs w:val="20"/>
              </w:rPr>
            </w:r>
            <w:r w:rsidRPr="00645F06">
              <w:rPr>
                <w:rFonts w:ascii="Arial Narrow" w:hAnsi="Arial Narrow" w:cs="Arial"/>
                <w:color w:val="000000" w:themeColor="text1"/>
                <w:sz w:val="20"/>
                <w:szCs w:val="20"/>
              </w:rPr>
              <w:fldChar w:fldCharType="separate"/>
            </w:r>
            <w:r w:rsidRPr="00645F06">
              <w:rPr>
                <w:rFonts w:ascii="Arial Narrow" w:hAnsi="Arial Narrow" w:cs="Arial"/>
                <w:color w:val="000000" w:themeColor="text1"/>
                <w:sz w:val="20"/>
                <w:szCs w:val="20"/>
              </w:rPr>
              <w:fldChar w:fldCharType="end"/>
            </w:r>
            <w:r w:rsidRPr="00645F06">
              <w:rPr>
                <w:rFonts w:ascii="Arial Narrow" w:hAnsi="Arial Narrow" w:cs="Arial"/>
                <w:color w:val="000000" w:themeColor="text1"/>
                <w:sz w:val="20"/>
                <w:szCs w:val="20"/>
              </w:rPr>
              <w:t xml:space="preserve">Medical Practitioners </w:t>
            </w:r>
            <w:r w:rsidRPr="00645F06">
              <w:rPr>
                <w:rFonts w:ascii="Arial Narrow" w:hAnsi="Arial Narrow" w:cs="Arial"/>
                <w:color w:val="000000" w:themeColor="text1"/>
                <w:sz w:val="20"/>
                <w:szCs w:val="20"/>
              </w:rPr>
              <w:fldChar w:fldCharType="begin">
                <w:ffData>
                  <w:name w:val="Check3"/>
                  <w:enabled/>
                  <w:calcOnExit w:val="0"/>
                  <w:checkBox>
                    <w:sizeAuto/>
                    <w:default w:val="1"/>
                  </w:checkBox>
                </w:ffData>
              </w:fldChar>
            </w:r>
            <w:r w:rsidRPr="00645F06">
              <w:rPr>
                <w:rFonts w:ascii="Arial Narrow" w:hAnsi="Arial Narrow" w:cs="Arial"/>
                <w:color w:val="000000" w:themeColor="text1"/>
                <w:sz w:val="20"/>
                <w:szCs w:val="20"/>
              </w:rPr>
              <w:instrText xml:space="preserve"> FORMCHECKBOX </w:instrText>
            </w:r>
            <w:r w:rsidRPr="00645F06">
              <w:rPr>
                <w:rFonts w:ascii="Arial Narrow" w:hAnsi="Arial Narrow" w:cs="Arial"/>
                <w:color w:val="000000" w:themeColor="text1"/>
                <w:sz w:val="20"/>
                <w:szCs w:val="20"/>
              </w:rPr>
            </w:r>
            <w:r w:rsidRPr="00645F06">
              <w:rPr>
                <w:rFonts w:ascii="Arial Narrow" w:hAnsi="Arial Narrow" w:cs="Arial"/>
                <w:color w:val="000000" w:themeColor="text1"/>
                <w:sz w:val="20"/>
                <w:szCs w:val="20"/>
              </w:rPr>
              <w:fldChar w:fldCharType="separate"/>
            </w:r>
            <w:r w:rsidRPr="00645F06">
              <w:rPr>
                <w:rFonts w:ascii="Arial Narrow" w:hAnsi="Arial Narrow" w:cs="Arial"/>
                <w:color w:val="000000" w:themeColor="text1"/>
                <w:sz w:val="20"/>
                <w:szCs w:val="20"/>
              </w:rPr>
              <w:fldChar w:fldCharType="end"/>
            </w:r>
            <w:r w:rsidRPr="00645F06">
              <w:rPr>
                <w:rFonts w:ascii="Arial Narrow" w:hAnsi="Arial Narrow" w:cs="Arial"/>
                <w:color w:val="000000" w:themeColor="text1"/>
                <w:sz w:val="20"/>
                <w:szCs w:val="20"/>
              </w:rPr>
              <w:t>Nurse practitioners</w:t>
            </w:r>
          </w:p>
        </w:tc>
      </w:tr>
      <w:tr w:rsidR="00645F06" w:rsidRPr="00645F06" w14:paraId="5164AB39"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62A25D38" w14:textId="77777777" w:rsidR="00645F06" w:rsidRPr="00645F06" w:rsidRDefault="00645F06" w:rsidP="00645F06">
            <w:pPr>
              <w:keepNext/>
              <w:rPr>
                <w:rFonts w:ascii="Arial Narrow" w:hAnsi="Arial Narrow" w:cs="Arial"/>
                <w:color w:val="000000" w:themeColor="text1"/>
                <w:sz w:val="20"/>
                <w:szCs w:val="20"/>
              </w:rPr>
            </w:pPr>
          </w:p>
        </w:tc>
        <w:tc>
          <w:tcPr>
            <w:tcW w:w="7745" w:type="dxa"/>
            <w:gridSpan w:val="6"/>
            <w:tcBorders>
              <w:top w:val="single" w:sz="4" w:space="0" w:color="auto"/>
              <w:left w:val="single" w:sz="4" w:space="0" w:color="auto"/>
              <w:right w:val="single" w:sz="4" w:space="0" w:color="auto"/>
            </w:tcBorders>
            <w:vAlign w:val="center"/>
          </w:tcPr>
          <w:p w14:paraId="09DF2A41" w14:textId="77777777" w:rsidR="00645F06" w:rsidRPr="00645F06" w:rsidRDefault="00645F06" w:rsidP="00645F06">
            <w:pPr>
              <w:keepLines/>
              <w:jc w:val="left"/>
              <w:rPr>
                <w:rFonts w:ascii="Arial Narrow" w:eastAsia="Calibri" w:hAnsi="Arial Narrow" w:cs="Arial"/>
                <w:color w:val="000000" w:themeColor="text1"/>
                <w:sz w:val="20"/>
                <w:szCs w:val="20"/>
              </w:rPr>
            </w:pPr>
            <w:r w:rsidRPr="00645F06">
              <w:rPr>
                <w:rFonts w:ascii="Arial Narrow" w:hAnsi="Arial Narrow" w:cs="Arial"/>
                <w:b/>
                <w:color w:val="000000" w:themeColor="text1"/>
                <w:sz w:val="20"/>
                <w:szCs w:val="20"/>
              </w:rPr>
              <w:t xml:space="preserve">Restriction type: </w:t>
            </w:r>
            <w:r w:rsidRPr="00645F06">
              <w:rPr>
                <w:rFonts w:ascii="Arial Narrow" w:eastAsia="Calibri" w:hAnsi="Arial Narrow" w:cs="Arial"/>
                <w:color w:val="000000" w:themeColor="text1"/>
                <w:sz w:val="20"/>
                <w:szCs w:val="20"/>
              </w:rPr>
              <w:fldChar w:fldCharType="begin">
                <w:ffData>
                  <w:name w:val=""/>
                  <w:enabled/>
                  <w:calcOnExit w:val="0"/>
                  <w:checkBox>
                    <w:sizeAuto/>
                    <w:default w:val="1"/>
                  </w:checkBox>
                </w:ffData>
              </w:fldChar>
            </w:r>
            <w:r w:rsidRPr="00645F06">
              <w:rPr>
                <w:rFonts w:ascii="Arial Narrow" w:eastAsia="Calibri" w:hAnsi="Arial Narrow" w:cs="Arial"/>
                <w:color w:val="000000" w:themeColor="text1"/>
                <w:sz w:val="20"/>
                <w:szCs w:val="20"/>
              </w:rPr>
              <w:instrText xml:space="preserve"> FORMCHECKBOX </w:instrText>
            </w:r>
            <w:r w:rsidRPr="00645F06">
              <w:rPr>
                <w:rFonts w:ascii="Arial Narrow" w:eastAsia="Calibri" w:hAnsi="Arial Narrow" w:cs="Arial"/>
                <w:color w:val="000000" w:themeColor="text1"/>
                <w:sz w:val="20"/>
                <w:szCs w:val="20"/>
              </w:rPr>
            </w:r>
            <w:r w:rsidRPr="00645F06">
              <w:rPr>
                <w:rFonts w:ascii="Arial Narrow" w:eastAsia="Calibri" w:hAnsi="Arial Narrow" w:cs="Arial"/>
                <w:color w:val="000000" w:themeColor="text1"/>
                <w:sz w:val="20"/>
                <w:szCs w:val="20"/>
              </w:rPr>
              <w:fldChar w:fldCharType="separate"/>
            </w:r>
            <w:r w:rsidRPr="00645F06">
              <w:rPr>
                <w:rFonts w:ascii="Arial Narrow" w:eastAsia="Calibri" w:hAnsi="Arial Narrow" w:cs="Arial"/>
                <w:color w:val="000000" w:themeColor="text1"/>
                <w:sz w:val="20"/>
                <w:szCs w:val="20"/>
              </w:rPr>
              <w:fldChar w:fldCharType="end"/>
            </w:r>
            <w:r w:rsidRPr="00645F06">
              <w:rPr>
                <w:rFonts w:ascii="Arial Narrow" w:eastAsia="Calibri" w:hAnsi="Arial Narrow" w:cs="Arial"/>
                <w:color w:val="000000" w:themeColor="text1"/>
                <w:sz w:val="20"/>
                <w:szCs w:val="20"/>
              </w:rPr>
              <w:t xml:space="preserve">Authority Required (Streamlined) </w:t>
            </w:r>
          </w:p>
        </w:tc>
      </w:tr>
      <w:tr w:rsidR="00645F06" w:rsidRPr="00645F06" w14:paraId="6EB6CDC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09789C" w14:textId="77777777" w:rsidR="00645F06" w:rsidRPr="00645F06" w:rsidRDefault="00645F06" w:rsidP="00645F06">
            <w:pPr>
              <w:keepNext/>
              <w:keepLines/>
              <w:jc w:val="center"/>
              <w:rPr>
                <w:rFonts w:ascii="Arial Narrow" w:hAnsi="Arial Narrow" w:cs="Arial"/>
                <w:strike/>
                <w:color w:val="000000" w:themeColor="text1"/>
                <w:sz w:val="20"/>
                <w:szCs w:val="20"/>
              </w:rPr>
            </w:pPr>
          </w:p>
        </w:tc>
        <w:tc>
          <w:tcPr>
            <w:tcW w:w="7745" w:type="dxa"/>
            <w:gridSpan w:val="6"/>
            <w:vAlign w:val="center"/>
          </w:tcPr>
          <w:p w14:paraId="6C64B669" w14:textId="77777777" w:rsidR="00645F06" w:rsidRPr="00645F06" w:rsidRDefault="00645F06" w:rsidP="00645F06">
            <w:pPr>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Treatment Phase:</w:t>
            </w:r>
            <w:r w:rsidRPr="00645F06">
              <w:rPr>
                <w:rFonts w:ascii="Arial Narrow" w:hAnsi="Arial Narrow" w:cs="Arial"/>
                <w:color w:val="000000" w:themeColor="text1"/>
                <w:sz w:val="20"/>
                <w:szCs w:val="20"/>
              </w:rPr>
              <w:t xml:space="preserve"> Nil</w:t>
            </w:r>
          </w:p>
        </w:tc>
      </w:tr>
      <w:tr w:rsidR="00645F06" w:rsidRPr="00645F06" w14:paraId="41E4AF1C" w14:textId="77777777" w:rsidTr="00A40D00">
        <w:tblPrEx>
          <w:tblCellMar>
            <w:top w:w="15" w:type="dxa"/>
            <w:bottom w:w="15" w:type="dxa"/>
          </w:tblCellMar>
        </w:tblPrEx>
        <w:trPr>
          <w:cantSplit/>
          <w:trHeight w:val="20"/>
        </w:trPr>
        <w:tc>
          <w:tcPr>
            <w:tcW w:w="1271" w:type="dxa"/>
            <w:vAlign w:val="center"/>
          </w:tcPr>
          <w:p w14:paraId="76006FCD" w14:textId="7334577D" w:rsidR="00645F06" w:rsidRPr="00645F06" w:rsidRDefault="00645F06" w:rsidP="00645F06">
            <w:pPr>
              <w:keepNext/>
              <w:keepLines/>
              <w:jc w:val="center"/>
              <w:rPr>
                <w:rFonts w:ascii="Arial Narrow" w:hAnsi="Arial Narrow" w:cs="Arial"/>
                <w:strike/>
                <w:color w:val="000000" w:themeColor="text1"/>
                <w:sz w:val="20"/>
                <w:szCs w:val="20"/>
              </w:rPr>
            </w:pPr>
          </w:p>
        </w:tc>
        <w:tc>
          <w:tcPr>
            <w:tcW w:w="7745" w:type="dxa"/>
            <w:gridSpan w:val="6"/>
            <w:vAlign w:val="center"/>
            <w:hideMark/>
          </w:tcPr>
          <w:p w14:paraId="09CE1412" w14:textId="77777777" w:rsidR="00645F06" w:rsidRPr="00645F06" w:rsidRDefault="00645F06" w:rsidP="00645F06">
            <w:pPr>
              <w:keepLines/>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Indication:</w:t>
            </w:r>
            <w:r w:rsidRPr="00645F06">
              <w:rPr>
                <w:rFonts w:ascii="Arial Narrow" w:hAnsi="Arial Narrow" w:cs="Arial"/>
                <w:strike/>
                <w:color w:val="000000" w:themeColor="text1"/>
                <w:sz w:val="20"/>
                <w:szCs w:val="20"/>
              </w:rPr>
              <w:t xml:space="preserve"> Heart failure with a left ventricular ejection fraction of 40% or less </w:t>
            </w:r>
          </w:p>
        </w:tc>
      </w:tr>
      <w:tr w:rsidR="00645F06" w:rsidRPr="00645F06" w14:paraId="7608FB8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1EA454" w14:textId="3A0D3E7C" w:rsidR="00645F06" w:rsidRPr="00645F06" w:rsidRDefault="00645F06" w:rsidP="00645F06">
            <w:pPr>
              <w:keepNext/>
              <w:keepLines/>
              <w:jc w:val="center"/>
              <w:rPr>
                <w:rFonts w:ascii="Arial Narrow" w:hAnsi="Arial Narrow" w:cs="Arial"/>
                <w:i/>
                <w:iCs/>
                <w:strike/>
                <w:color w:val="000000" w:themeColor="text1"/>
                <w:sz w:val="20"/>
                <w:szCs w:val="20"/>
              </w:rPr>
            </w:pPr>
          </w:p>
        </w:tc>
        <w:tc>
          <w:tcPr>
            <w:tcW w:w="7745" w:type="dxa"/>
            <w:gridSpan w:val="6"/>
            <w:vAlign w:val="center"/>
          </w:tcPr>
          <w:p w14:paraId="1B931E95" w14:textId="77777777" w:rsidR="00645F06" w:rsidRPr="00645F06" w:rsidRDefault="00645F06" w:rsidP="00645F06">
            <w:pPr>
              <w:keepLines/>
              <w:rPr>
                <w:rFonts w:ascii="Arial Narrow" w:hAnsi="Arial Narrow" w:cs="Arial"/>
                <w:b/>
                <w:i/>
                <w:iCs/>
                <w:strike/>
                <w:color w:val="000000" w:themeColor="text1"/>
                <w:sz w:val="20"/>
                <w:szCs w:val="20"/>
              </w:rPr>
            </w:pPr>
            <w:r w:rsidRPr="00645F06">
              <w:rPr>
                <w:rFonts w:ascii="Arial Narrow" w:hAnsi="Arial Narrow" w:cs="Arial"/>
                <w:b/>
                <w:i/>
                <w:iCs/>
                <w:color w:val="000000" w:themeColor="text1"/>
                <w:sz w:val="20"/>
                <w:szCs w:val="20"/>
              </w:rPr>
              <w:t>Indication:</w:t>
            </w:r>
            <w:r w:rsidRPr="00645F06">
              <w:rPr>
                <w:rFonts w:ascii="Arial Narrow" w:hAnsi="Arial Narrow" w:cs="Arial"/>
                <w:i/>
                <w:iCs/>
                <w:color w:val="000000" w:themeColor="text1"/>
                <w:sz w:val="20"/>
                <w:szCs w:val="20"/>
              </w:rPr>
              <w:t xml:space="preserve"> Chronic Heart Failure</w:t>
            </w:r>
          </w:p>
        </w:tc>
      </w:tr>
      <w:tr w:rsidR="00645F06" w:rsidRPr="00645F06" w14:paraId="1E2E3D58"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1A6CCED" w14:textId="2923006D"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07107A3D" w14:textId="77777777" w:rsidR="00645F06" w:rsidRPr="00645F06" w:rsidRDefault="00645F06" w:rsidP="00645F06">
            <w:pPr>
              <w:jc w:val="left"/>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Clinical criteria:</w:t>
            </w:r>
          </w:p>
        </w:tc>
      </w:tr>
      <w:tr w:rsidR="00645F06" w:rsidRPr="00645F06" w14:paraId="565AC91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EF421DF" w14:textId="3ED42639"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26C45E1A"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strike/>
                <w:color w:val="000000" w:themeColor="text1"/>
                <w:sz w:val="20"/>
                <w:szCs w:val="20"/>
              </w:rPr>
              <w:t>The condition must occur within 3 to 14 days following an acute myocardial infarction,</w:t>
            </w:r>
          </w:p>
        </w:tc>
      </w:tr>
      <w:tr w:rsidR="00645F06" w:rsidRPr="00645F06" w14:paraId="1829F1D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E223D1" w14:textId="77777777"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4584F14D"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b/>
                <w:strike/>
                <w:color w:val="000000" w:themeColor="text1"/>
                <w:sz w:val="20"/>
                <w:szCs w:val="20"/>
              </w:rPr>
              <w:t>AND</w:t>
            </w:r>
          </w:p>
        </w:tc>
      </w:tr>
      <w:tr w:rsidR="00645F06" w:rsidRPr="00645F06" w14:paraId="7CBDD27F"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306B6D" w14:textId="6BCB1D44"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0895FAA9" w14:textId="77777777" w:rsidR="00645F06" w:rsidRPr="00645F06" w:rsidRDefault="00645F06" w:rsidP="00645F06">
            <w:pPr>
              <w:jc w:val="left"/>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Clinical criteria:</w:t>
            </w:r>
          </w:p>
        </w:tc>
      </w:tr>
      <w:tr w:rsidR="00645F06" w:rsidRPr="00645F06" w14:paraId="32C9EE98"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415FAE" w14:textId="6A2E9B42"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7C004E54"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strike/>
                <w:color w:val="000000" w:themeColor="text1"/>
                <w:sz w:val="20"/>
                <w:szCs w:val="20"/>
              </w:rPr>
              <w:t>The treatment must be commenced within 14 days of an acute myocardial infarction</w:t>
            </w:r>
          </w:p>
        </w:tc>
      </w:tr>
      <w:tr w:rsidR="00645F06" w:rsidRPr="00645F06" w14:paraId="232A704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7D2FD49" w14:textId="19072000"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444B989C"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527F6A1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21A125" w14:textId="41635E7E"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5B2FC402"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i/>
                <w:iCs/>
                <w:color w:val="000000" w:themeColor="text1"/>
                <w:sz w:val="20"/>
                <w:szCs w:val="20"/>
              </w:rPr>
              <w:t>Patient must be symptomatic with NYHA classes II, III or IV</w:t>
            </w:r>
          </w:p>
        </w:tc>
      </w:tr>
      <w:tr w:rsidR="00645F06" w:rsidRPr="00645F06" w14:paraId="0DA32269"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154393"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33CE5517"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52F5106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466BBB75" w14:textId="1C2CCDFC"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2E0362E1"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2CC8FBE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822D63" w14:textId="7DE6F796"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0313E1C5"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i/>
                <w:iCs/>
                <w:color w:val="000000" w:themeColor="text1"/>
                <w:sz w:val="20"/>
                <w:szCs w:val="20"/>
              </w:rPr>
              <w:t>Patient must have a documented left ventricular ejection fraction (LVEF) of less than or equal to 40%</w:t>
            </w:r>
          </w:p>
        </w:tc>
      </w:tr>
      <w:tr w:rsidR="00645F06" w:rsidRPr="00645F06" w14:paraId="0A1689EE"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740B95"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3FED34FC"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5E47D1A6"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B635E5" w14:textId="20B53ACB"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723E6223"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395F804E" w14:textId="77777777" w:rsidTr="00FA26BE">
        <w:tblPrEx>
          <w:tblCellMar>
            <w:top w:w="15" w:type="dxa"/>
            <w:bottom w:w="15" w:type="dxa"/>
          </w:tblCellMar>
        </w:tblPrEx>
        <w:trPr>
          <w:cantSplit/>
          <w:trHeight w:val="705"/>
        </w:trPr>
        <w:tc>
          <w:tcPr>
            <w:tcW w:w="1271" w:type="dxa"/>
            <w:tcBorders>
              <w:top w:val="single" w:sz="4" w:space="0" w:color="auto"/>
              <w:left w:val="single" w:sz="4" w:space="0" w:color="auto"/>
              <w:bottom w:val="single" w:sz="4" w:space="0" w:color="auto"/>
              <w:right w:val="single" w:sz="4" w:space="0" w:color="auto"/>
            </w:tcBorders>
            <w:vAlign w:val="center"/>
          </w:tcPr>
          <w:p w14:paraId="0442ADBE" w14:textId="639D369D"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0FFCBC" w14:textId="77777777" w:rsidR="00645F06" w:rsidRPr="00645F06" w:rsidRDefault="00645F06" w:rsidP="00645F06">
            <w:pPr>
              <w:rPr>
                <w:rFonts w:ascii="Arial Narrow" w:hAnsi="Arial Narrow" w:cs="Arial"/>
                <w:i/>
                <w:iCs/>
                <w:color w:val="000000" w:themeColor="text1"/>
                <w:sz w:val="20"/>
                <w:szCs w:val="20"/>
              </w:rPr>
            </w:pPr>
            <w:r w:rsidRPr="00645F06">
              <w:rPr>
                <w:rFonts w:ascii="Arial Narrow" w:hAnsi="Arial Narrow" w:cs="Arial"/>
                <w:i/>
                <w:iCs/>
                <w:color w:val="000000" w:themeColor="text1"/>
                <w:sz w:val="20"/>
                <w:szCs w:val="20"/>
              </w:rPr>
              <w:t>Patient must receive concomitant optimal standard chronic heart failure treatment, which must include a beta-blocker, unless at least one of the following is present in relation to the beta-blocker: (</w:t>
            </w:r>
            <w:proofErr w:type="spellStart"/>
            <w:r w:rsidRPr="00645F06">
              <w:rPr>
                <w:rFonts w:ascii="Arial Narrow" w:hAnsi="Arial Narrow" w:cs="Arial"/>
                <w:i/>
                <w:iCs/>
                <w:color w:val="000000" w:themeColor="text1"/>
                <w:sz w:val="20"/>
                <w:szCs w:val="20"/>
              </w:rPr>
              <w:t>i</w:t>
            </w:r>
            <w:proofErr w:type="spellEnd"/>
            <w:r w:rsidRPr="00645F06">
              <w:rPr>
                <w:rFonts w:ascii="Arial Narrow" w:hAnsi="Arial Narrow" w:cs="Arial"/>
                <w:i/>
                <w:iCs/>
                <w:color w:val="000000" w:themeColor="text1"/>
                <w:sz w:val="20"/>
                <w:szCs w:val="20"/>
              </w:rPr>
              <w:t>) a contraindication listed in the Product Information, (ii) an existing/expected intolerance</w:t>
            </w:r>
            <w:r w:rsidRPr="00645F06">
              <w:rPr>
                <w:rFonts w:ascii="Arial Narrow" w:hAnsi="Arial Narrow" w:cs="Arial"/>
                <w:i/>
                <w:strike/>
                <w:color w:val="000000" w:themeColor="text1"/>
                <w:sz w:val="20"/>
                <w:szCs w:val="20"/>
              </w:rPr>
              <w:t>, (iii) local treatment guidelines recommend initiation of this drug product prior to a beta-blocker</w:t>
            </w:r>
          </w:p>
        </w:tc>
      </w:tr>
      <w:tr w:rsidR="00645F06" w:rsidRPr="00645F06" w14:paraId="251CDE0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C9F92B"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2268AF61"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4FC918E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7E7873" w14:textId="21452012"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11DFBFAD"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46F65EB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0CD3393" w14:textId="73EC0FC1" w:rsidR="00645F06" w:rsidRPr="00645F06" w:rsidRDefault="00645F06" w:rsidP="00645F06">
            <w:pPr>
              <w:keepNext/>
              <w:jc w:val="center"/>
              <w:rPr>
                <w:rFonts w:ascii="Arial Narrow" w:hAnsi="Arial Narrow" w:cs="Arial"/>
                <w:i/>
                <w:iCs/>
                <w:strike/>
                <w:sz w:val="20"/>
                <w:szCs w:val="20"/>
              </w:rPr>
            </w:pPr>
          </w:p>
        </w:tc>
        <w:tc>
          <w:tcPr>
            <w:tcW w:w="7745" w:type="dxa"/>
            <w:gridSpan w:val="6"/>
            <w:vAlign w:val="center"/>
          </w:tcPr>
          <w:p w14:paraId="0B40908E"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21EB481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9B9499" w14:textId="42254850" w:rsidR="00645F06" w:rsidRPr="00645F06" w:rsidRDefault="00645F06" w:rsidP="00645F06">
            <w:pPr>
              <w:keepNext/>
              <w:jc w:val="center"/>
              <w:rPr>
                <w:rFonts w:ascii="Arial Narrow" w:hAnsi="Arial Narrow" w:cs="Arial"/>
                <w:i/>
                <w:iCs/>
                <w:strike/>
                <w:sz w:val="20"/>
                <w:szCs w:val="20"/>
              </w:rPr>
            </w:pPr>
          </w:p>
        </w:tc>
        <w:tc>
          <w:tcPr>
            <w:tcW w:w="7745" w:type="dxa"/>
            <w:gridSpan w:val="6"/>
            <w:vAlign w:val="center"/>
          </w:tcPr>
          <w:p w14:paraId="0FA0ABCB"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0B6557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3A514E" w14:textId="2B53FFCD"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A4E1633" w14:textId="77777777" w:rsidR="00645F06" w:rsidRPr="00645F06" w:rsidRDefault="00645F06" w:rsidP="00645F06">
            <w:pPr>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1A4B72D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4EEB80" w14:textId="77777777" w:rsidR="00645F06" w:rsidRPr="00645F06" w:rsidRDefault="00645F06" w:rsidP="00645F06">
            <w:pPr>
              <w:keepNext/>
              <w:rPr>
                <w:rFonts w:ascii="Arial Narrow" w:hAnsi="Arial Narrow" w:cs="Arial"/>
                <w:strike/>
                <w:sz w:val="20"/>
                <w:szCs w:val="20"/>
              </w:rPr>
            </w:pPr>
          </w:p>
        </w:tc>
        <w:tc>
          <w:tcPr>
            <w:tcW w:w="7745" w:type="dxa"/>
            <w:gridSpan w:val="6"/>
            <w:vAlign w:val="center"/>
            <w:hideMark/>
          </w:tcPr>
          <w:p w14:paraId="54AD6012" w14:textId="77777777" w:rsidR="00645F06" w:rsidRPr="00645F06" w:rsidRDefault="00645F06" w:rsidP="00645F06">
            <w:pPr>
              <w:rPr>
                <w:rFonts w:ascii="Arial Narrow" w:hAnsi="Arial Narrow" w:cs="Arial"/>
                <w:strike/>
                <w:sz w:val="20"/>
                <w:szCs w:val="20"/>
              </w:rPr>
            </w:pPr>
            <w:r w:rsidRPr="00645F06">
              <w:rPr>
                <w:rFonts w:ascii="Arial Narrow" w:hAnsi="Arial Narrow" w:cs="Arial"/>
                <w:b/>
                <w:bCs/>
                <w:strike/>
                <w:sz w:val="20"/>
                <w:szCs w:val="20"/>
              </w:rPr>
              <w:t xml:space="preserve">Prescribing Instructions: </w:t>
            </w:r>
            <w:r w:rsidRPr="00645F06">
              <w:rPr>
                <w:rFonts w:ascii="Arial Narrow" w:hAnsi="Arial Narrow" w:cs="Arial"/>
                <w:strike/>
                <w:sz w:val="20"/>
                <w:szCs w:val="20"/>
              </w:rPr>
              <w:t>The date of the acute myocardial infarction and the date of initiation of treatment with this drug must be documented in the patient's medical records when PBS subsidised treatment is initiated</w:t>
            </w:r>
          </w:p>
        </w:tc>
      </w:tr>
    </w:tbl>
    <w:p w14:paraId="5B80CBC9" w14:textId="77777777" w:rsidR="00645F06" w:rsidRPr="00645F06" w:rsidRDefault="00645F06" w:rsidP="00645F06">
      <w:pPr>
        <w:spacing w:before="120" w:after="120"/>
        <w:rPr>
          <w:rFonts w:ascii="Aptos" w:eastAsia="Aptos" w:hAnsi="Apto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1CB5E733" w14:textId="77777777" w:rsidTr="00FA26BE">
        <w:trPr>
          <w:cantSplit/>
          <w:trHeight w:val="20"/>
        </w:trPr>
        <w:tc>
          <w:tcPr>
            <w:tcW w:w="3939" w:type="dxa"/>
            <w:gridSpan w:val="2"/>
            <w:vAlign w:val="center"/>
          </w:tcPr>
          <w:p w14:paraId="7716D4A1"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w:t>
            </w:r>
          </w:p>
          <w:p w14:paraId="41E812EF"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7F2B2AC5"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3614C080"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5529CEEF"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3FF477E6" w14:textId="77777777" w:rsidR="00645F06" w:rsidRPr="00645F06" w:rsidRDefault="00645F06" w:rsidP="00645F06">
            <w:pPr>
              <w:keepLines/>
              <w:jc w:val="center"/>
              <w:rPr>
                <w:rFonts w:ascii="Arial Narrow" w:hAnsi="Arial Narrow" w:cs="Arial"/>
                <w:b/>
                <w:bCs/>
                <w:sz w:val="20"/>
                <w:szCs w:val="20"/>
              </w:rPr>
            </w:pPr>
            <w:bookmarkStart w:id="24" w:name="_Int_gabjbrVf"/>
            <w:proofErr w:type="gramStart"/>
            <w:r w:rsidRPr="00645F06">
              <w:rPr>
                <w:rFonts w:ascii="Arial Narrow" w:hAnsi="Arial Narrow" w:cs="Arial"/>
                <w:b/>
                <w:bCs/>
                <w:sz w:val="20"/>
                <w:szCs w:val="20"/>
              </w:rPr>
              <w:t>№.of</w:t>
            </w:r>
            <w:bookmarkEnd w:id="24"/>
            <w:proofErr w:type="gramEnd"/>
          </w:p>
          <w:p w14:paraId="20A87A90" w14:textId="77777777" w:rsidR="00645F06" w:rsidRPr="00645F06" w:rsidRDefault="00645F06" w:rsidP="00645F06">
            <w:pPr>
              <w:keepLines/>
              <w:jc w:val="center"/>
              <w:rPr>
                <w:rFonts w:ascii="Arial Narrow" w:hAnsi="Arial Narrow" w:cs="Arial"/>
                <w:b/>
                <w:sz w:val="20"/>
                <w:szCs w:val="20"/>
              </w:rPr>
            </w:pPr>
            <w:proofErr w:type="spellStart"/>
            <w:r w:rsidRPr="00645F06">
              <w:rPr>
                <w:rFonts w:ascii="Arial Narrow" w:hAnsi="Arial Narrow" w:cs="Arial"/>
                <w:b/>
                <w:sz w:val="20"/>
                <w:szCs w:val="20"/>
              </w:rPr>
              <w:t>Rpts</w:t>
            </w:r>
            <w:proofErr w:type="spellEnd"/>
          </w:p>
        </w:tc>
        <w:tc>
          <w:tcPr>
            <w:tcW w:w="1831" w:type="dxa"/>
            <w:vAlign w:val="center"/>
          </w:tcPr>
          <w:p w14:paraId="7A72AF24" w14:textId="77777777" w:rsidR="00645F06" w:rsidRPr="00645F06" w:rsidRDefault="00645F06" w:rsidP="00645F06">
            <w:pPr>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28063635" w14:textId="77777777" w:rsidTr="00FA26BE">
        <w:trPr>
          <w:cantSplit/>
          <w:trHeight w:val="20"/>
        </w:trPr>
        <w:tc>
          <w:tcPr>
            <w:tcW w:w="9016" w:type="dxa"/>
            <w:gridSpan w:val="7"/>
            <w:vAlign w:val="center"/>
          </w:tcPr>
          <w:p w14:paraId="09735165"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6F59B58C" w14:textId="77777777" w:rsidTr="00FA26BE">
        <w:trPr>
          <w:cantSplit/>
          <w:trHeight w:val="20"/>
        </w:trPr>
        <w:tc>
          <w:tcPr>
            <w:tcW w:w="3939" w:type="dxa"/>
            <w:gridSpan w:val="2"/>
            <w:vAlign w:val="center"/>
          </w:tcPr>
          <w:p w14:paraId="115A50AB"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eplerenone 25 mg tablet, 30</w:t>
            </w:r>
          </w:p>
          <w:p w14:paraId="50D5798D" w14:textId="77777777" w:rsidR="00645F06" w:rsidRPr="00645F06" w:rsidRDefault="00645F06" w:rsidP="00645F06">
            <w:pPr>
              <w:keepLines/>
              <w:rPr>
                <w:rFonts w:ascii="Arial Narrow" w:hAnsi="Arial Narrow" w:cs="Arial"/>
                <w:sz w:val="20"/>
                <w:szCs w:val="20"/>
              </w:rPr>
            </w:pPr>
          </w:p>
        </w:tc>
        <w:tc>
          <w:tcPr>
            <w:tcW w:w="811" w:type="dxa"/>
            <w:vAlign w:val="center"/>
          </w:tcPr>
          <w:p w14:paraId="28A4F05D"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5AA5E6F7"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299A8100"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2753ACBA"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016193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7AD2FF71"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0B9E7A6E" w14:textId="77777777" w:rsidR="00645F06" w:rsidRPr="00645F06" w:rsidRDefault="00645F06" w:rsidP="00645F06">
            <w:pPr>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59CB827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28C3B0C8" w14:textId="77777777" w:rsidTr="00FA26BE">
        <w:trPr>
          <w:cantSplit/>
          <w:trHeight w:val="20"/>
        </w:trPr>
        <w:tc>
          <w:tcPr>
            <w:tcW w:w="3939" w:type="dxa"/>
            <w:gridSpan w:val="2"/>
            <w:vAlign w:val="center"/>
          </w:tcPr>
          <w:p w14:paraId="5F96A847"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31C2A5B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135BB22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3FCF1C46"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77C7E8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4E0FA7E3"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9A87FF0"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6040F72C" w14:textId="77777777" w:rsidR="00645F06" w:rsidRPr="00645F06" w:rsidRDefault="00645F06" w:rsidP="00645F06">
            <w:pPr>
              <w:keepLines/>
              <w:rPr>
                <w:rFonts w:ascii="Arial Narrow" w:hAnsi="Arial Narrow" w:cs="Arial"/>
                <w:sz w:val="20"/>
                <w:szCs w:val="20"/>
              </w:rPr>
            </w:pPr>
            <w:proofErr w:type="spellStart"/>
            <w:r w:rsidRPr="00645F06">
              <w:rPr>
                <w:rFonts w:ascii="Arial Narrow" w:hAnsi="Arial Narrow" w:cs="Arial"/>
                <w:sz w:val="20"/>
                <w:szCs w:val="20"/>
              </w:rPr>
              <w:t>Inpler</w:t>
            </w:r>
            <w:proofErr w:type="spellEnd"/>
          </w:p>
          <w:p w14:paraId="37573CC9"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1A4DAEEA"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661A040" w14:textId="77777777" w:rsidR="00645F06" w:rsidRPr="00645F06" w:rsidRDefault="00645F06" w:rsidP="00645F06">
            <w:pPr>
              <w:rPr>
                <w:rFonts w:ascii="Arial Narrow" w:hAnsi="Arial Narrow" w:cs="Arial"/>
                <w:sz w:val="20"/>
                <w:szCs w:val="20"/>
              </w:rPr>
            </w:pPr>
          </w:p>
        </w:tc>
      </w:tr>
      <w:tr w:rsidR="00645F06" w:rsidRPr="00645F06" w14:paraId="657DF349" w14:textId="77777777" w:rsidTr="00FA26BE">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13BFDA2"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37F7076E" w14:textId="77777777" w:rsidTr="00FA26B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BEB23A5" w14:textId="77777777" w:rsidR="00645F06" w:rsidRPr="00645F06" w:rsidRDefault="00645F06" w:rsidP="00645F06">
            <w:pPr>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C32889" w14:textId="77777777" w:rsidR="00645F06" w:rsidRPr="00645F06" w:rsidRDefault="00645F06" w:rsidP="00645F06">
            <w:pPr>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proofErr w:type="gramStart"/>
            <w:r w:rsidRPr="00645F06">
              <w:rPr>
                <w:rFonts w:ascii="Arial Narrow" w:eastAsia="Calibri" w:hAnsi="Arial Narrow" w:cs="Arial"/>
                <w:sz w:val="20"/>
                <w:szCs w:val="20"/>
              </w:rPr>
              <w:t xml:space="preserve">GENERAL  </w:t>
            </w:r>
            <w:bookmarkStart w:id="25" w:name="_Int_sPjPlIPw"/>
            <w:proofErr w:type="spellStart"/>
            <w:r w:rsidRPr="00645F06">
              <w:rPr>
                <w:rFonts w:ascii="Arial Narrow" w:eastAsia="Calibri" w:hAnsi="Arial Narrow" w:cs="Arial"/>
                <w:sz w:val="20"/>
                <w:szCs w:val="20"/>
              </w:rPr>
              <w:t>General</w:t>
            </w:r>
            <w:bookmarkEnd w:id="25"/>
            <w:proofErr w:type="spellEnd"/>
            <w:proofErr w:type="gramEnd"/>
            <w:r w:rsidRPr="00645F06">
              <w:rPr>
                <w:rFonts w:ascii="Arial Narrow" w:eastAsia="Calibri" w:hAnsi="Arial Narrow" w:cs="Arial"/>
                <w:sz w:val="20"/>
                <w:szCs w:val="20"/>
              </w:rPr>
              <w:t xml:space="preserve"> Schedule (Code GE) </w:t>
            </w:r>
          </w:p>
        </w:tc>
      </w:tr>
      <w:tr w:rsidR="00645F06" w:rsidRPr="00645F06" w14:paraId="3F00C63D" w14:textId="77777777" w:rsidTr="00FA26BE">
        <w:tblPrEx>
          <w:tblCellMar>
            <w:top w:w="15" w:type="dxa"/>
            <w:bottom w:w="15" w:type="dxa"/>
          </w:tblCellMar>
          <w:tblLook w:val="04A0" w:firstRow="1" w:lastRow="0" w:firstColumn="1" w:lastColumn="0" w:noHBand="0" w:noVBand="1"/>
        </w:tblPrEx>
        <w:trPr>
          <w:trHeight w:val="20"/>
        </w:trPr>
        <w:tc>
          <w:tcPr>
            <w:tcW w:w="1271" w:type="dxa"/>
            <w:vMerge/>
          </w:tcPr>
          <w:p w14:paraId="1AE4E3F3"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09A4B6"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117398DD" w14:textId="77777777" w:rsidTr="00FA26BE">
        <w:tblPrEx>
          <w:tblCellMar>
            <w:top w:w="15" w:type="dxa"/>
            <w:bottom w:w="15" w:type="dxa"/>
          </w:tblCellMar>
          <w:tblLook w:val="04A0" w:firstRow="1" w:lastRow="0" w:firstColumn="1" w:lastColumn="0" w:noHBand="0" w:noVBand="1"/>
        </w:tblPrEx>
        <w:trPr>
          <w:trHeight w:val="535"/>
        </w:trPr>
        <w:tc>
          <w:tcPr>
            <w:tcW w:w="1271" w:type="dxa"/>
            <w:vMerge/>
          </w:tcPr>
          <w:p w14:paraId="1BC1F01F"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A25A68E" w14:textId="77777777" w:rsidR="00645F06" w:rsidRPr="00645F06" w:rsidRDefault="00645F06" w:rsidP="00645F06">
            <w:pPr>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6F2BD0D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ABC12C1" w14:textId="77777777" w:rsidR="00645F06" w:rsidRPr="00645F06" w:rsidRDefault="00645F06" w:rsidP="00645F06">
            <w:pPr>
              <w:keepLines/>
              <w:rPr>
                <w:rFonts w:ascii="Arial Narrow" w:hAnsi="Arial Narrow" w:cs="Arial"/>
                <w:sz w:val="20"/>
                <w:szCs w:val="20"/>
              </w:rPr>
            </w:pPr>
          </w:p>
        </w:tc>
        <w:tc>
          <w:tcPr>
            <w:tcW w:w="7745" w:type="dxa"/>
            <w:gridSpan w:val="6"/>
            <w:vAlign w:val="center"/>
          </w:tcPr>
          <w:p w14:paraId="3C283FFE"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4A158F61" w14:textId="77777777" w:rsidTr="00A40D00">
        <w:tblPrEx>
          <w:tblCellMar>
            <w:top w:w="15" w:type="dxa"/>
            <w:bottom w:w="15" w:type="dxa"/>
          </w:tblCellMar>
        </w:tblPrEx>
        <w:trPr>
          <w:cantSplit/>
          <w:trHeight w:val="20"/>
        </w:trPr>
        <w:tc>
          <w:tcPr>
            <w:tcW w:w="1271" w:type="dxa"/>
            <w:vAlign w:val="center"/>
          </w:tcPr>
          <w:p w14:paraId="7EF85CBD" w14:textId="136072B8" w:rsidR="00645F06" w:rsidRPr="00645F06" w:rsidRDefault="00645F06" w:rsidP="00645F06">
            <w:pPr>
              <w:keepLines/>
              <w:jc w:val="center"/>
              <w:rPr>
                <w:rFonts w:ascii="Arial Narrow" w:hAnsi="Arial Narrow" w:cs="Arial"/>
                <w:strike/>
                <w:sz w:val="20"/>
                <w:szCs w:val="20"/>
              </w:rPr>
            </w:pPr>
          </w:p>
        </w:tc>
        <w:tc>
          <w:tcPr>
            <w:tcW w:w="7745" w:type="dxa"/>
            <w:gridSpan w:val="6"/>
            <w:vAlign w:val="center"/>
            <w:hideMark/>
          </w:tcPr>
          <w:p w14:paraId="190AB02E"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b/>
                <w:strike/>
                <w:sz w:val="20"/>
                <w:szCs w:val="20"/>
              </w:rPr>
              <w:t>Indication:</w:t>
            </w:r>
            <w:r w:rsidRPr="00645F06">
              <w:rPr>
                <w:rFonts w:ascii="Arial Narrow" w:hAnsi="Arial Narrow" w:cs="Arial"/>
                <w:strike/>
                <w:sz w:val="20"/>
                <w:szCs w:val="20"/>
              </w:rPr>
              <w:t xml:space="preserve"> Heart failure with a left ventricular ejection fraction of 40% or less </w:t>
            </w:r>
          </w:p>
        </w:tc>
      </w:tr>
      <w:tr w:rsidR="00645F06" w:rsidRPr="00645F06" w14:paraId="572C780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2A5EB2" w14:textId="761DB7BC"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4C7FA011" w14:textId="77777777" w:rsidR="00645F06" w:rsidRPr="00645F06" w:rsidRDefault="00645F06" w:rsidP="00645F06">
            <w:pPr>
              <w:keepLines/>
              <w:rPr>
                <w:rFonts w:ascii="Arial Narrow" w:hAnsi="Arial Narrow" w:cs="Arial"/>
                <w:b/>
                <w:strike/>
                <w:sz w:val="20"/>
                <w:szCs w:val="20"/>
              </w:rPr>
            </w:pPr>
            <w:r w:rsidRPr="00645F06">
              <w:rPr>
                <w:rFonts w:ascii="Arial Narrow" w:hAnsi="Arial Narrow" w:cs="Arial"/>
                <w:b/>
                <w:i/>
                <w:iCs/>
                <w:sz w:val="20"/>
                <w:szCs w:val="20"/>
              </w:rPr>
              <w:t>Indication:</w:t>
            </w:r>
            <w:r w:rsidRPr="00645F06">
              <w:rPr>
                <w:rFonts w:ascii="Arial Narrow" w:hAnsi="Arial Narrow" w:cs="Arial"/>
                <w:i/>
                <w:iCs/>
                <w:sz w:val="20"/>
                <w:szCs w:val="20"/>
              </w:rPr>
              <w:t xml:space="preserve"> Chronic Heart Failure</w:t>
            </w:r>
          </w:p>
        </w:tc>
      </w:tr>
      <w:tr w:rsidR="00645F06" w:rsidRPr="00645F06" w14:paraId="0F4C63C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004914F" w14:textId="6D1E9EA8"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2A476076" w14:textId="77777777" w:rsidR="00645F06" w:rsidRPr="00645F06" w:rsidRDefault="00645F06" w:rsidP="00645F06">
            <w:pPr>
              <w:keepLines/>
              <w:rPr>
                <w:rFonts w:ascii="Arial Narrow" w:hAnsi="Arial Narrow" w:cs="Arial"/>
                <w:b/>
                <w:strike/>
                <w:sz w:val="20"/>
                <w:szCs w:val="20"/>
              </w:rPr>
            </w:pPr>
            <w:r w:rsidRPr="00645F06">
              <w:rPr>
                <w:rFonts w:ascii="Arial Narrow" w:hAnsi="Arial Narrow" w:cs="Arial"/>
                <w:b/>
                <w:strike/>
                <w:sz w:val="20"/>
                <w:szCs w:val="20"/>
              </w:rPr>
              <w:t>Clinical criteria:</w:t>
            </w:r>
          </w:p>
        </w:tc>
      </w:tr>
      <w:tr w:rsidR="00645F06" w:rsidRPr="00645F06" w14:paraId="43FB01C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09C01F7" w14:textId="4AB97A82"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7C041733"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strike/>
                <w:sz w:val="20"/>
                <w:szCs w:val="20"/>
              </w:rPr>
              <w:t>The condition must be stable for the prescriber to consider the listed maximum quantity of this medicine suitable for this patient</w:t>
            </w:r>
          </w:p>
        </w:tc>
      </w:tr>
      <w:tr w:rsidR="00645F06" w:rsidRPr="00645F06" w14:paraId="7C677AE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7F22A8" w14:textId="489DA139"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1B613CD5" w14:textId="77777777" w:rsidR="00645F06" w:rsidRPr="00645F06" w:rsidRDefault="00645F06" w:rsidP="00645F06">
            <w:pPr>
              <w:jc w:val="left"/>
              <w:rPr>
                <w:rFonts w:ascii="Arial Narrow" w:hAnsi="Arial Narrow" w:cs="Arial"/>
                <w:strike/>
                <w:sz w:val="20"/>
                <w:szCs w:val="20"/>
              </w:rPr>
            </w:pPr>
            <w:r w:rsidRPr="00645F06">
              <w:rPr>
                <w:rFonts w:ascii="Arial Narrow" w:hAnsi="Arial Narrow" w:cs="Arial"/>
                <w:b/>
                <w:strike/>
                <w:sz w:val="20"/>
                <w:szCs w:val="20"/>
              </w:rPr>
              <w:t>Clinical criteria:</w:t>
            </w:r>
          </w:p>
        </w:tc>
      </w:tr>
      <w:tr w:rsidR="00645F06" w:rsidRPr="00645F06" w14:paraId="27F97545"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E2498E" w14:textId="623ED2EF"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0C2CA66E"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strike/>
                <w:sz w:val="20"/>
                <w:szCs w:val="20"/>
              </w:rPr>
              <w:t>The condition must occur within 3 to 14 days following an acute myocardial infarction,</w:t>
            </w:r>
          </w:p>
        </w:tc>
      </w:tr>
      <w:tr w:rsidR="00645F06" w:rsidRPr="00645F06" w14:paraId="43DE08B0"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14B175" w14:textId="77777777"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3CE8A3BB"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b/>
                <w:strike/>
                <w:sz w:val="20"/>
                <w:szCs w:val="20"/>
              </w:rPr>
              <w:t>AND</w:t>
            </w:r>
          </w:p>
        </w:tc>
      </w:tr>
      <w:tr w:rsidR="00645F06" w:rsidRPr="00645F06" w14:paraId="4C757759"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0013EA" w14:textId="1F2F02C1"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7608D8E3" w14:textId="77777777" w:rsidR="00645F06" w:rsidRPr="00645F06" w:rsidRDefault="00645F06" w:rsidP="00645F06">
            <w:pPr>
              <w:jc w:val="left"/>
              <w:rPr>
                <w:rFonts w:ascii="Arial Narrow" w:hAnsi="Arial Narrow" w:cs="Arial"/>
                <w:strike/>
                <w:sz w:val="20"/>
                <w:szCs w:val="20"/>
              </w:rPr>
            </w:pPr>
            <w:r w:rsidRPr="00645F06">
              <w:rPr>
                <w:rFonts w:ascii="Arial Narrow" w:hAnsi="Arial Narrow" w:cs="Arial"/>
                <w:b/>
                <w:strike/>
                <w:sz w:val="20"/>
                <w:szCs w:val="20"/>
              </w:rPr>
              <w:t>Clinical criteria:</w:t>
            </w:r>
          </w:p>
        </w:tc>
      </w:tr>
      <w:tr w:rsidR="00645F06" w:rsidRPr="00645F06" w14:paraId="78A5048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17066F9" w14:textId="6989571D"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602B4FE6"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strike/>
                <w:sz w:val="20"/>
                <w:szCs w:val="20"/>
              </w:rPr>
              <w:t>The treatment must be commenced within 14 days of an acute myocardial infarction</w:t>
            </w:r>
          </w:p>
        </w:tc>
      </w:tr>
      <w:tr w:rsidR="00645F06" w:rsidRPr="00645F06" w14:paraId="7EACDA0D"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AC281A" w14:textId="54DFEBCB"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08B64F6"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472C02B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3616C4" w14:textId="2D65B90B"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5E142DC0"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i/>
                <w:iCs/>
                <w:sz w:val="20"/>
                <w:szCs w:val="20"/>
              </w:rPr>
              <w:t>Patient must be symptomatic with NYHA classes II, III or IV</w:t>
            </w:r>
          </w:p>
        </w:tc>
      </w:tr>
      <w:tr w:rsidR="00645F06" w:rsidRPr="00645F06" w14:paraId="49F259EC"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709911"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40AD0DAC"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3B7D53EB"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7095C9" w14:textId="32789CDC"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72F452C"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352282C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2093B48" w14:textId="582670CC"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47341BFD"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i/>
                <w:iCs/>
                <w:sz w:val="20"/>
                <w:szCs w:val="20"/>
              </w:rPr>
              <w:t>Patient must have a documented left ventricular ejection fraction (LVEF) of less than or equal to 40%</w:t>
            </w:r>
          </w:p>
        </w:tc>
      </w:tr>
      <w:tr w:rsidR="00645F06" w:rsidRPr="00645F06" w14:paraId="18415E2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005CF9"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10FB6AEA"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48EB7C19"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C62BDB" w14:textId="55C229E2"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338D25AF"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3D64AD47"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0FDC3E" w14:textId="7B88E50F"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6F80DB29" w14:textId="77777777" w:rsidR="00645F06" w:rsidRPr="00645F06" w:rsidRDefault="00645F06" w:rsidP="00645F06">
            <w:pPr>
              <w:rPr>
                <w:rFonts w:ascii="Arial Narrow" w:hAnsi="Arial Narrow" w:cs="Arial"/>
                <w:i/>
                <w:iCs/>
                <w:sz w:val="20"/>
                <w:szCs w:val="20"/>
              </w:rPr>
            </w:pPr>
            <w:r w:rsidRPr="00645F06">
              <w:rPr>
                <w:rFonts w:ascii="Arial Narrow" w:hAnsi="Arial Narrow" w:cs="Arial"/>
                <w:i/>
                <w:iCs/>
                <w:sz w:val="20"/>
                <w:szCs w:val="20"/>
              </w:rPr>
              <w:t>Patient must receive concomitant optimal standard chronic heart failure treatment, which must include a beta-blocker, unless at least one of the following is present in relation to the beta-blocker: (</w:t>
            </w:r>
            <w:proofErr w:type="spellStart"/>
            <w:r w:rsidRPr="00645F06">
              <w:rPr>
                <w:rFonts w:ascii="Arial Narrow" w:hAnsi="Arial Narrow" w:cs="Arial"/>
                <w:i/>
                <w:iCs/>
                <w:sz w:val="20"/>
                <w:szCs w:val="20"/>
              </w:rPr>
              <w:t>i</w:t>
            </w:r>
            <w:proofErr w:type="spellEnd"/>
            <w:r w:rsidRPr="00645F06">
              <w:rPr>
                <w:rFonts w:ascii="Arial Narrow" w:hAnsi="Arial Narrow" w:cs="Arial"/>
                <w:i/>
                <w:iCs/>
                <w:sz w:val="20"/>
                <w:szCs w:val="20"/>
              </w:rPr>
              <w:t>) a contraindication listed in the Product Information, (ii) an existing/expected intolerance</w:t>
            </w:r>
            <w:r w:rsidRPr="00645F06">
              <w:rPr>
                <w:rFonts w:ascii="Arial Narrow" w:hAnsi="Arial Narrow" w:cs="Arial"/>
                <w:i/>
                <w:strike/>
                <w:sz w:val="20"/>
                <w:szCs w:val="20"/>
              </w:rPr>
              <w:t>, (iii) local treatment guidelines recommend initiation of this drug product prior to a beta-blocker AND</w:t>
            </w:r>
          </w:p>
        </w:tc>
      </w:tr>
      <w:tr w:rsidR="00645F06" w:rsidRPr="00645F06" w14:paraId="2652C5A3"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586085"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B7BC575"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3999A0A2"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74D787" w14:textId="4DC85FB8"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2D7D43AA"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14EA6DA0"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B43274" w14:textId="1B0CE5A5"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7D00708B"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306C968A"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007C409C" w14:textId="58D2AF93"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39C75DF7"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30ECA54"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D7E7DA" w14:textId="25A682EE" w:rsidR="00645F06" w:rsidRPr="00645F06" w:rsidRDefault="00645F06" w:rsidP="00645F06">
            <w:pPr>
              <w:jc w:val="center"/>
              <w:rPr>
                <w:rFonts w:ascii="Arial Narrow" w:hAnsi="Arial Narrow" w:cs="Arial"/>
                <w:sz w:val="20"/>
                <w:szCs w:val="20"/>
              </w:rPr>
            </w:pPr>
          </w:p>
        </w:tc>
        <w:tc>
          <w:tcPr>
            <w:tcW w:w="7745" w:type="dxa"/>
            <w:gridSpan w:val="6"/>
            <w:vAlign w:val="center"/>
          </w:tcPr>
          <w:p w14:paraId="05E6671F" w14:textId="77777777" w:rsidR="00645F06" w:rsidRPr="00645F06" w:rsidRDefault="00645F06" w:rsidP="00645F06">
            <w:pPr>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321A0341" w14:textId="77777777" w:rsidTr="00FA26BE">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262BCC" w14:textId="77777777" w:rsidR="00645F06" w:rsidRPr="00645F06" w:rsidRDefault="00645F06" w:rsidP="00645F06">
            <w:pPr>
              <w:rPr>
                <w:rFonts w:ascii="Arial Narrow" w:hAnsi="Arial Narrow" w:cs="Arial"/>
                <w:strike/>
                <w:sz w:val="20"/>
                <w:szCs w:val="20"/>
              </w:rPr>
            </w:pPr>
          </w:p>
        </w:tc>
        <w:tc>
          <w:tcPr>
            <w:tcW w:w="7745" w:type="dxa"/>
            <w:gridSpan w:val="6"/>
            <w:vAlign w:val="center"/>
            <w:hideMark/>
          </w:tcPr>
          <w:p w14:paraId="716B07E0" w14:textId="77777777" w:rsidR="00645F06" w:rsidRPr="00645F06" w:rsidRDefault="00645F06" w:rsidP="00645F06">
            <w:pPr>
              <w:rPr>
                <w:rFonts w:ascii="Arial Narrow" w:hAnsi="Arial Narrow" w:cs="Arial"/>
                <w:strike/>
                <w:sz w:val="20"/>
                <w:szCs w:val="20"/>
              </w:rPr>
            </w:pPr>
            <w:r w:rsidRPr="00645F06">
              <w:rPr>
                <w:rFonts w:ascii="Arial Narrow" w:hAnsi="Arial Narrow" w:cs="Arial"/>
                <w:b/>
                <w:bCs/>
                <w:strike/>
                <w:sz w:val="20"/>
                <w:szCs w:val="20"/>
              </w:rPr>
              <w:t xml:space="preserve">Prescribing Instructions: </w:t>
            </w:r>
            <w:r w:rsidRPr="00645F06">
              <w:rPr>
                <w:rFonts w:ascii="Arial Narrow" w:hAnsi="Arial Narrow" w:cs="Arial"/>
                <w:strike/>
                <w:sz w:val="20"/>
                <w:szCs w:val="20"/>
              </w:rPr>
              <w:t>The date of the acute myocardial infarction and the date of initiation of treatment with this drug must be documented in the patient's medical records when PBS subsidised treatment is initiated</w:t>
            </w:r>
          </w:p>
        </w:tc>
      </w:tr>
    </w:tbl>
    <w:p w14:paraId="2AFB973A" w14:textId="77777777" w:rsidR="00645F06" w:rsidRPr="00645F06" w:rsidRDefault="00645F06" w:rsidP="00645F06"/>
    <w:p w14:paraId="10E551E8" w14:textId="77777777" w:rsidR="00645F06" w:rsidRPr="00645F06" w:rsidRDefault="00645F06" w:rsidP="00645F06">
      <w:pPr>
        <w:numPr>
          <w:ilvl w:val="1"/>
          <w:numId w:val="0"/>
        </w:numPr>
        <w:spacing w:before="120" w:after="120"/>
        <w:ind w:left="720" w:hanging="720"/>
        <w:rPr>
          <w:rFonts w:asciiTheme="minorHAnsi" w:eastAsia="Calibri" w:hAnsiTheme="minorHAnsi" w:cstheme="minorBidi"/>
          <w:b/>
          <w:i/>
          <w:szCs w:val="22"/>
          <w:lang w:val="en-GB" w:eastAsia="en-US"/>
        </w:rPr>
      </w:pPr>
      <w:r w:rsidRPr="00645F06">
        <w:rPr>
          <w:rFonts w:asciiTheme="minorHAnsi" w:eastAsiaTheme="minorHAnsi" w:hAnsiTheme="minorHAnsi" w:cstheme="minorBidi"/>
          <w:szCs w:val="22"/>
        </w:rPr>
        <w:t xml:space="preserve">Flow-on changes to sacubitril + valsartan (items: 11122J, 11123K, 11131W, 13445P, 13511D, 13570F). Amend the criteria in the current listings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645F06" w:rsidRPr="00645F06" w14:paraId="5CB99B03" w14:textId="77777777" w:rsidTr="00FA26BE">
        <w:trPr>
          <w:cantSplit/>
          <w:trHeight w:val="20"/>
        </w:trPr>
        <w:tc>
          <w:tcPr>
            <w:tcW w:w="1271" w:type="dxa"/>
            <w:vAlign w:val="center"/>
          </w:tcPr>
          <w:p w14:paraId="4883EFD9" w14:textId="5FE5EB82" w:rsidR="00645F06" w:rsidRPr="00645F06" w:rsidRDefault="00645F06" w:rsidP="00645F06">
            <w:pPr>
              <w:jc w:val="center"/>
              <w:rPr>
                <w:rFonts w:ascii="Arial Narrow" w:hAnsi="Arial Narrow" w:cs="Arial"/>
                <w:sz w:val="20"/>
                <w:szCs w:val="20"/>
              </w:rPr>
            </w:pPr>
          </w:p>
        </w:tc>
        <w:tc>
          <w:tcPr>
            <w:tcW w:w="7745" w:type="dxa"/>
            <w:vAlign w:val="center"/>
          </w:tcPr>
          <w:p w14:paraId="08952503"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46FE2C2" w14:textId="77777777" w:rsidTr="00FA26BE">
        <w:trPr>
          <w:cantSplit/>
          <w:trHeight w:val="20"/>
        </w:trPr>
        <w:tc>
          <w:tcPr>
            <w:tcW w:w="1271" w:type="dxa"/>
            <w:vAlign w:val="center"/>
          </w:tcPr>
          <w:p w14:paraId="577CA166" w14:textId="1288BDF6" w:rsidR="00645F06" w:rsidRPr="00645F06" w:rsidRDefault="00645F06" w:rsidP="00645F06">
            <w:pPr>
              <w:jc w:val="center"/>
              <w:rPr>
                <w:rFonts w:ascii="Arial Narrow" w:hAnsi="Arial Narrow" w:cs="Arial"/>
                <w:sz w:val="20"/>
                <w:szCs w:val="20"/>
              </w:rPr>
            </w:pPr>
          </w:p>
        </w:tc>
        <w:tc>
          <w:tcPr>
            <w:tcW w:w="7745" w:type="dxa"/>
            <w:vAlign w:val="center"/>
            <w:hideMark/>
          </w:tcPr>
          <w:p w14:paraId="6348A1B1"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Patient must receive concomitant optimal standard chronic heart failure treatment, which must include a beta-blocker, unless at least one of the following is present in relation to the beta-blocker: (</w:t>
            </w:r>
            <w:proofErr w:type="spellStart"/>
            <w:r w:rsidRPr="00645F06">
              <w:rPr>
                <w:rFonts w:ascii="Arial Narrow" w:hAnsi="Arial Narrow" w:cs="Arial"/>
                <w:sz w:val="20"/>
                <w:szCs w:val="20"/>
              </w:rPr>
              <w:t>i</w:t>
            </w:r>
            <w:proofErr w:type="spellEnd"/>
            <w:r w:rsidRPr="00645F06">
              <w:rPr>
                <w:rFonts w:ascii="Arial Narrow" w:hAnsi="Arial Narrow" w:cs="Arial"/>
                <w:sz w:val="20"/>
                <w:szCs w:val="20"/>
              </w:rPr>
              <w:t>) a contraindication listed in the Product Information, (ii) an existing/expected intolerance</w:t>
            </w:r>
            <w:r w:rsidRPr="00645F06">
              <w:rPr>
                <w:rFonts w:ascii="Arial Narrow" w:hAnsi="Arial Narrow" w:cs="Arial"/>
                <w:strike/>
                <w:sz w:val="20"/>
                <w:szCs w:val="20"/>
              </w:rPr>
              <w:t>, (iii) local treatment guidelines recommend initiation of this drug product prior to a beta-blocker</w:t>
            </w:r>
            <w:r w:rsidRPr="00645F06">
              <w:rPr>
                <w:rFonts w:ascii="Arial Narrow" w:hAnsi="Arial Narrow" w:cs="Arial"/>
                <w:sz w:val="20"/>
                <w:szCs w:val="20"/>
              </w:rPr>
              <w:t xml:space="preserve"> </w:t>
            </w:r>
          </w:p>
        </w:tc>
      </w:tr>
    </w:tbl>
    <w:p w14:paraId="5869C803" w14:textId="77777777" w:rsidR="00645F06" w:rsidRPr="00645F06" w:rsidRDefault="00645F06" w:rsidP="00645F06">
      <w:pPr>
        <w:jc w:val="left"/>
        <w:rPr>
          <w:iCs/>
          <w:sz w:val="28"/>
          <w:szCs w:val="28"/>
        </w:rPr>
      </w:pPr>
      <w:r w:rsidRPr="00645F06">
        <w:rPr>
          <w:rFonts w:eastAsia="Calibri"/>
          <w:b/>
          <w:bCs/>
          <w:i/>
          <w:iCs/>
          <w:lang w:val="en-GB" w:eastAsia="en-US"/>
        </w:rPr>
        <w:t>These restrictions may be subject to further review. Should there be any changes made to the restriction the sponsor will be informed.</w:t>
      </w:r>
    </w:p>
    <w:p w14:paraId="7B46F3C9" w14:textId="77777777" w:rsidR="00621217" w:rsidRPr="00621217" w:rsidRDefault="00621217" w:rsidP="00621217">
      <w:pPr>
        <w:keepNext/>
        <w:numPr>
          <w:ilvl w:val="0"/>
          <w:numId w:val="2"/>
        </w:numPr>
        <w:spacing w:before="240" w:after="120"/>
        <w:jc w:val="left"/>
        <w:outlineLvl w:val="0"/>
        <w:rPr>
          <w:rFonts w:asciiTheme="minorHAnsi" w:hAnsiTheme="minorHAnsi"/>
          <w:b/>
          <w:bCs/>
          <w:snapToGrid w:val="0"/>
          <w:sz w:val="32"/>
          <w:szCs w:val="32"/>
          <w:lang w:val="en-GB"/>
        </w:rPr>
      </w:pPr>
      <w:bookmarkStart w:id="26" w:name="_Hlk175730821"/>
      <w:r w:rsidRPr="00621217">
        <w:rPr>
          <w:rFonts w:asciiTheme="minorHAnsi" w:hAnsiTheme="minorHAnsi"/>
          <w:b/>
          <w:bCs/>
          <w:snapToGrid w:val="0"/>
          <w:sz w:val="32"/>
          <w:szCs w:val="32"/>
        </w:rPr>
        <w:t>Context for Decision</w:t>
      </w:r>
    </w:p>
    <w:p w14:paraId="6C036C24" w14:textId="77777777" w:rsidR="00621217" w:rsidRPr="00621217" w:rsidRDefault="00621217" w:rsidP="00621217">
      <w:pPr>
        <w:spacing w:after="120"/>
        <w:ind w:left="720"/>
        <w:jc w:val="left"/>
        <w:rPr>
          <w:rFonts w:asciiTheme="minorHAnsi" w:hAnsiTheme="minorHAnsi"/>
          <w:bCs/>
          <w:lang w:val="en-GB"/>
        </w:rPr>
      </w:pPr>
      <w:r w:rsidRPr="00621217">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588050" w14:textId="77777777" w:rsidR="00621217" w:rsidRPr="00621217" w:rsidRDefault="00621217" w:rsidP="00621217">
      <w:pPr>
        <w:keepNext/>
        <w:numPr>
          <w:ilvl w:val="0"/>
          <w:numId w:val="2"/>
        </w:numPr>
        <w:spacing w:before="240" w:after="120"/>
        <w:jc w:val="left"/>
        <w:outlineLvl w:val="0"/>
        <w:rPr>
          <w:rFonts w:asciiTheme="minorHAnsi" w:hAnsiTheme="minorHAnsi"/>
          <w:b/>
          <w:snapToGrid w:val="0"/>
          <w:sz w:val="32"/>
          <w:szCs w:val="32"/>
        </w:rPr>
      </w:pPr>
      <w:r w:rsidRPr="00621217">
        <w:rPr>
          <w:rFonts w:asciiTheme="minorHAnsi" w:hAnsiTheme="minorHAnsi"/>
          <w:b/>
          <w:snapToGrid w:val="0"/>
          <w:sz w:val="32"/>
          <w:szCs w:val="32"/>
        </w:rPr>
        <w:t>Sponsor’s Comment</w:t>
      </w:r>
    </w:p>
    <w:p w14:paraId="68323662" w14:textId="77777777" w:rsidR="00621217" w:rsidRPr="00621217" w:rsidRDefault="00621217" w:rsidP="00621217">
      <w:pPr>
        <w:spacing w:after="120" w:line="276" w:lineRule="auto"/>
        <w:ind w:left="720"/>
        <w:jc w:val="left"/>
        <w:rPr>
          <w:rFonts w:asciiTheme="minorHAnsi" w:eastAsiaTheme="minorHAnsi" w:hAnsiTheme="minorHAnsi"/>
          <w:bCs/>
          <w:szCs w:val="22"/>
          <w:lang w:eastAsia="en-US"/>
        </w:rPr>
      </w:pPr>
      <w:r w:rsidRPr="00621217">
        <w:rPr>
          <w:rFonts w:asciiTheme="minorHAnsi" w:eastAsiaTheme="minorHAnsi" w:hAnsiTheme="minorHAnsi"/>
          <w:bCs/>
          <w:szCs w:val="22"/>
          <w:lang w:eastAsia="en-US"/>
        </w:rPr>
        <w:t>The sponsor had no comment.</w:t>
      </w:r>
    </w:p>
    <w:bookmarkEnd w:id="26"/>
    <w:p w14:paraId="6D2B0C61" w14:textId="77777777" w:rsidR="00645F06" w:rsidRPr="00645F06" w:rsidRDefault="00645F06" w:rsidP="00645F06">
      <w:pPr>
        <w:jc w:val="left"/>
        <w:rPr>
          <w:iCs/>
          <w:sz w:val="28"/>
          <w:szCs w:val="28"/>
        </w:rPr>
      </w:pPr>
    </w:p>
    <w:p w14:paraId="2FB14A1B" w14:textId="77777777" w:rsidR="00356990" w:rsidRDefault="00356990">
      <w:pPr>
        <w:jc w:val="left"/>
        <w:rPr>
          <w:iCs/>
          <w:sz w:val="28"/>
          <w:szCs w:val="28"/>
        </w:rPr>
      </w:pPr>
    </w:p>
    <w:sectPr w:rsidR="00356990"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E0A2" w14:textId="77777777" w:rsidR="00255952" w:rsidRDefault="00255952">
      <w:r>
        <w:separator/>
      </w:r>
    </w:p>
    <w:p w14:paraId="13578198" w14:textId="77777777" w:rsidR="00255952" w:rsidRDefault="00255952"/>
  </w:endnote>
  <w:endnote w:type="continuationSeparator" w:id="0">
    <w:p w14:paraId="43E73B89" w14:textId="77777777" w:rsidR="00255952" w:rsidRDefault="00255952">
      <w:r>
        <w:continuationSeparator/>
      </w:r>
    </w:p>
    <w:p w14:paraId="18E3C97E" w14:textId="77777777" w:rsidR="00255952" w:rsidRDefault="00255952"/>
  </w:endnote>
  <w:endnote w:type="continuationNotice" w:id="1">
    <w:p w14:paraId="55F937BF" w14:textId="77777777" w:rsidR="00255952" w:rsidRDefault="00255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rsidRPr="006566D6" w14:paraId="4075D3FE" w14:textId="77777777" w:rsidTr="005A3173">
      <w:trPr>
        <w:trHeight w:val="151"/>
      </w:trPr>
      <w:tc>
        <w:tcPr>
          <w:tcW w:w="2250" w:type="pct"/>
          <w:tcBorders>
            <w:top w:val="nil"/>
            <w:left w:val="nil"/>
            <w:bottom w:val="single" w:sz="4" w:space="0" w:color="4F81BD"/>
            <w:right w:val="nil"/>
          </w:tcBorders>
        </w:tcPr>
        <w:p w14:paraId="096D0DDE" w14:textId="0CDF3BE6" w:rsidR="009C26AA" w:rsidRPr="006566D6" w:rsidRDefault="0008086D"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63365" behindDoc="0" locked="0" layoutInCell="1" allowOverlap="1" wp14:anchorId="6B098EB7" wp14:editId="3AA36257">
                    <wp:simplePos x="635" y="635"/>
                    <wp:positionH relativeFrom="page">
                      <wp:align>center</wp:align>
                    </wp:positionH>
                    <wp:positionV relativeFrom="page">
                      <wp:align>bottom</wp:align>
                    </wp:positionV>
                    <wp:extent cx="622300" cy="376555"/>
                    <wp:effectExtent l="0" t="0" r="6350" b="0"/>
                    <wp:wrapNone/>
                    <wp:docPr id="9625437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F2BEE" w14:textId="6F84FD29"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98EB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13F2BEE" w14:textId="6F84FD29"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6566D6" w:rsidRDefault="009C26AA" w:rsidP="005A3173">
          <w:pPr>
            <w:pStyle w:val="MediumGrid21"/>
            <w:spacing w:line="276" w:lineRule="auto"/>
            <w:rPr>
              <w:rFonts w:ascii="Calibri" w:hAnsi="Calibri"/>
              <w:color w:val="365F91"/>
            </w:rPr>
          </w:pPr>
          <w:r w:rsidRPr="006566D6">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6566D6" w:rsidRDefault="009C26AA" w:rsidP="005A3173">
          <w:pPr>
            <w:pStyle w:val="Header"/>
            <w:spacing w:line="276" w:lineRule="auto"/>
            <w:rPr>
              <w:rFonts w:eastAsia="MS Gothic"/>
              <w:b/>
              <w:bCs/>
              <w:i w:val="0"/>
              <w:color w:val="4F81BD"/>
            </w:rPr>
          </w:pPr>
        </w:p>
      </w:tc>
    </w:tr>
    <w:tr w:rsidR="009C26AA" w:rsidRPr="006566D6"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6566D6"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6566D6"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6566D6"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14324092" w:rsidR="009C26AA" w:rsidRPr="00D429EC" w:rsidRDefault="0008086D"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66E3D842" wp14:editId="2BF1EEB7">
              <wp:simplePos x="635" y="635"/>
              <wp:positionH relativeFrom="page">
                <wp:align>center</wp:align>
              </wp:positionH>
              <wp:positionV relativeFrom="page">
                <wp:align>bottom</wp:align>
              </wp:positionV>
              <wp:extent cx="622300" cy="376555"/>
              <wp:effectExtent l="0" t="0" r="6350" b="0"/>
              <wp:wrapNone/>
              <wp:docPr id="1490931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D88B0B" w14:textId="545B2C51"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3D84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ED88B0B" w14:textId="545B2C51"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724" w14:textId="5FF30EDA" w:rsidR="00092CCA" w:rsidRDefault="0008086D">
    <w:pPr>
      <w:pStyle w:val="Footer"/>
    </w:pPr>
    <w:r>
      <w:rPr>
        <w:noProof/>
      </w:rPr>
      <mc:AlternateContent>
        <mc:Choice Requires="wps">
          <w:drawing>
            <wp:anchor distT="0" distB="0" distL="0" distR="0" simplePos="0" relativeHeight="251662341" behindDoc="0" locked="0" layoutInCell="1" allowOverlap="1" wp14:anchorId="0A8DA66D" wp14:editId="68758B35">
              <wp:simplePos x="635" y="635"/>
              <wp:positionH relativeFrom="page">
                <wp:align>center</wp:align>
              </wp:positionH>
              <wp:positionV relativeFrom="page">
                <wp:align>bottom</wp:align>
              </wp:positionV>
              <wp:extent cx="622300" cy="376555"/>
              <wp:effectExtent l="0" t="0" r="6350" b="0"/>
              <wp:wrapNone/>
              <wp:docPr id="20924994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FECB51" w14:textId="55CAE9AC"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8DA66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CFECB51" w14:textId="55CAE9AC"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DEBA" w14:textId="77777777" w:rsidR="00255952" w:rsidRDefault="00255952">
      <w:r>
        <w:separator/>
      </w:r>
    </w:p>
    <w:p w14:paraId="3EB55AEA" w14:textId="77777777" w:rsidR="00255952" w:rsidRDefault="00255952"/>
  </w:footnote>
  <w:footnote w:type="continuationSeparator" w:id="0">
    <w:p w14:paraId="5D8329E0" w14:textId="77777777" w:rsidR="00255952" w:rsidRDefault="00255952">
      <w:r>
        <w:continuationSeparator/>
      </w:r>
    </w:p>
    <w:p w14:paraId="0BEA547D" w14:textId="77777777" w:rsidR="00255952" w:rsidRDefault="00255952"/>
  </w:footnote>
  <w:footnote w:type="continuationNotice" w:id="1">
    <w:p w14:paraId="27BCB6D4" w14:textId="77777777" w:rsidR="00255952" w:rsidRDefault="00255952"/>
  </w:footnote>
  <w:footnote w:id="2">
    <w:p w14:paraId="2786D7A8" w14:textId="77777777" w:rsidR="00645F06" w:rsidRDefault="00645F06" w:rsidP="00645F06">
      <w:pPr>
        <w:pStyle w:val="FootnoteText"/>
      </w:pPr>
      <w:r>
        <w:rPr>
          <w:rStyle w:val="FootnoteReference"/>
        </w:rPr>
        <w:footnoteRef/>
      </w:r>
      <w:r>
        <w:t xml:space="preserve"> </w:t>
      </w:r>
      <w:r w:rsidRPr="002E44FD">
        <w:t>Elshahat A, Mansour A, Ellabban M, Diaa A, Hassan A, Fawzy A, Saad OA, Abouelmagd M, Eid M, Elaraby A, Elkasaby MH, Abdelaziz A. Comparative effectiveness and safety of eplerenone and spironolactone in patients with heart failure: a systematic review and meta-analysis. BMC Cardiovasc Disord. 2024 Sep 13;24(1):489. doi: 10.1186/s12872-024-04103-7. PMID: 39271992; PMCID: PMC11395778.</w:t>
      </w:r>
    </w:p>
  </w:footnote>
  <w:footnote w:id="3">
    <w:p w14:paraId="7B0C0997" w14:textId="77777777" w:rsidR="00645F06" w:rsidRDefault="00645F06" w:rsidP="00645F06">
      <w:pPr>
        <w:pStyle w:val="FootnoteText"/>
      </w:pPr>
      <w:r>
        <w:rPr>
          <w:rStyle w:val="FootnoteReference"/>
        </w:rPr>
        <w:footnoteRef/>
      </w:r>
      <w:r>
        <w:t xml:space="preserve"> </w:t>
      </w:r>
      <w:r w:rsidRPr="0007770D">
        <w:t>Australian Institute of Health and Welfare (2025). Heart, stroke and vascular disease: Australian facts – Heart failure and cardiomyopathy</w:t>
      </w:r>
    </w:p>
  </w:footnote>
  <w:footnote w:id="4">
    <w:p w14:paraId="17D8E397" w14:textId="77777777" w:rsidR="00645F06" w:rsidRDefault="00645F06" w:rsidP="00645F06">
      <w:pPr>
        <w:pStyle w:val="FootnoteText"/>
      </w:pPr>
      <w:r>
        <w:rPr>
          <w:rStyle w:val="FootnoteReference"/>
        </w:rPr>
        <w:footnoteRef/>
      </w:r>
      <w:r>
        <w:t xml:space="preserve"> </w:t>
      </w:r>
      <w:r w:rsidRPr="00107CA8">
        <w:t>Rohde LE, Zimerman A, Vaduganathan M, et al. Associations Between New York Heart Association Classification, Objective Measures, and Long-term Prognosis in Mild Heart Failure: A Secondary Analysis of the PARADIGM-HF Trial. JAMA Cardiol. 2023;8(2):150–158. doi:10.1001/jamacardio.2022.4427</w:t>
      </w:r>
    </w:p>
  </w:footnote>
  <w:footnote w:id="5">
    <w:p w14:paraId="769FC389" w14:textId="77777777" w:rsidR="00645F06" w:rsidRDefault="00645F06" w:rsidP="00645F06">
      <w:pPr>
        <w:pStyle w:val="FootnoteText"/>
      </w:pPr>
      <w:r>
        <w:rPr>
          <w:rStyle w:val="FootnoteReference"/>
        </w:rPr>
        <w:footnoteRef/>
      </w:r>
      <w:r>
        <w:t xml:space="preserve"> </w:t>
      </w:r>
      <w:r w:rsidRPr="00CC2AEB">
        <w:t xml:space="preserve">Peter Moritz Becher, Lars H Lund, Andrew J S Coats, Gianluigi Savarese, An update on global epidemiology in heart failure, European Heart Journal, Volume 43, Issue 32, 21 August 2022, Pages 3005–3007, </w:t>
      </w:r>
      <w:hyperlink r:id="rId1" w:history="1">
        <w:r w:rsidRPr="00CC2AEB">
          <w:rPr>
            <w:rStyle w:val="Hyperlink"/>
          </w:rPr>
          <w:t>https://doi.org/10.1093/eurheartj/ehac248</w:t>
        </w:r>
      </w:hyperlink>
    </w:p>
  </w:footnote>
  <w:footnote w:id="6">
    <w:p w14:paraId="6A1D5B00" w14:textId="77777777" w:rsidR="00645F06" w:rsidRDefault="00645F06" w:rsidP="00645F06">
      <w:pPr>
        <w:pStyle w:val="FootnoteText"/>
      </w:pPr>
      <w:r>
        <w:rPr>
          <w:rStyle w:val="FootnoteReference"/>
        </w:rPr>
        <w:footnoteRef/>
      </w:r>
      <w:r>
        <w:t xml:space="preserve"> </w:t>
      </w:r>
      <w:r w:rsidRPr="00F73F26">
        <w:rPr>
          <w:u w:val="single"/>
        </w:rPr>
        <w:t>Naser N, Durak-Nalbantic A, Sabanovic-Bajramovic N, Karic A. The Effectiveness of Eplerenone vs Spironolactone on Left Ventricular Systolic Function, Hospitalization and Cardiovascular Death in Patients With Chronic Heart Failure-HFrEF. Med Arch. 2023 Apr;77(2):105-111. doi: 10.5455/medarh.2023.77.105-111. PMID: 37260796; PMCID: PMC10227849.</w:t>
      </w:r>
    </w:p>
  </w:footnote>
  <w:footnote w:id="7">
    <w:p w14:paraId="0338EF23" w14:textId="77777777" w:rsidR="00645F06" w:rsidRDefault="00645F06" w:rsidP="00645F06">
      <w:pPr>
        <w:pStyle w:val="FootnoteText"/>
      </w:pPr>
      <w:r>
        <w:rPr>
          <w:rStyle w:val="FootnoteReference"/>
        </w:rPr>
        <w:footnoteRef/>
      </w:r>
      <w:r>
        <w:t xml:space="preserve"> P</w:t>
      </w:r>
      <w:r w:rsidRPr="008E36CA">
        <w:rPr>
          <w:u w:val="single"/>
        </w:rPr>
        <w:t>ardo-Martínez P, Barge-Caballero E, Bouzas-Mosquera A, Barge-Caballero G, Couto-Mallón D, Paniagua-Martín MJ, Sagastagoitia-Fornie M, Prada-Delgado Ó, Muñiz J, Almenar-Bonet L, Vázquez-Rodríguez JM, Crespo-Leiro MG. Real world comparison of spironolactone and eplerenone in patients with heart failure. Eur J Intern Med. 2022 Mar;97:86-94. doi: 10.1016/j.ejim.2021.12.027. Epub 2022 Jan 6. PMID: 35000806.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6566D6" w14:paraId="263B07EE" w14:textId="77777777" w:rsidTr="00A06225">
      <w:trPr>
        <w:trHeight w:val="151"/>
      </w:trPr>
      <w:tc>
        <w:tcPr>
          <w:tcW w:w="2389" w:type="pct"/>
          <w:tcBorders>
            <w:top w:val="nil"/>
            <w:left w:val="nil"/>
            <w:bottom w:val="single" w:sz="4" w:space="0" w:color="4F81BD"/>
            <w:right w:val="nil"/>
          </w:tcBorders>
        </w:tcPr>
        <w:p w14:paraId="4C63CCAF" w14:textId="2A62F6B0" w:rsidR="009C26AA" w:rsidRPr="006566D6" w:rsidRDefault="0008086D">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60293" behindDoc="0" locked="0" layoutInCell="1" allowOverlap="1" wp14:anchorId="319E8CD7" wp14:editId="491EFB6F">
                    <wp:simplePos x="635" y="635"/>
                    <wp:positionH relativeFrom="page">
                      <wp:align>center</wp:align>
                    </wp:positionH>
                    <wp:positionV relativeFrom="page">
                      <wp:align>top</wp:align>
                    </wp:positionV>
                    <wp:extent cx="622300" cy="376555"/>
                    <wp:effectExtent l="0" t="0" r="6350" b="4445"/>
                    <wp:wrapNone/>
                    <wp:docPr id="16912150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B83F16" w14:textId="4058ECE2"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9E8CD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DB83F16" w14:textId="4058ECE2"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6566D6" w:rsidRDefault="009C26AA" w:rsidP="00A06225">
          <w:pPr>
            <w:pStyle w:val="MediumGrid21"/>
            <w:rPr>
              <w:rFonts w:ascii="Cambria" w:hAnsi="Cambria"/>
              <w:color w:val="4F81BD"/>
              <w:szCs w:val="20"/>
            </w:rPr>
          </w:pPr>
          <w:r w:rsidRPr="006566D6">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6566D6" w:rsidRDefault="009C26AA">
          <w:pPr>
            <w:pStyle w:val="Header"/>
            <w:spacing w:line="276" w:lineRule="auto"/>
            <w:rPr>
              <w:rFonts w:ascii="Cambria" w:eastAsia="MS Gothic" w:hAnsi="Cambria"/>
              <w:b/>
              <w:bCs/>
              <w:i w:val="0"/>
              <w:color w:val="4F81BD"/>
            </w:rPr>
          </w:pPr>
        </w:p>
      </w:tc>
    </w:tr>
    <w:tr w:rsidR="009C26AA" w:rsidRPr="006566D6"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6566D6"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6566D6"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6566D6" w:rsidRDefault="009C26AA">
          <w:pPr>
            <w:pStyle w:val="Header"/>
            <w:spacing w:line="276" w:lineRule="auto"/>
            <w:rPr>
              <w:rFonts w:ascii="Cambria" w:eastAsia="MS Gothic" w:hAnsi="Cambria"/>
              <w:b/>
              <w:bCs/>
              <w:i w:val="0"/>
              <w:color w:val="4F81BD"/>
            </w:rPr>
          </w:pPr>
        </w:p>
      </w:tc>
    </w:tr>
  </w:tbl>
  <w:p w14:paraId="7DCC695F" w14:textId="77777777" w:rsidR="009C26AA" w:rsidRPr="006566D6"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301" w14:textId="632F37CA" w:rsidR="003D5D78" w:rsidRPr="00056684" w:rsidRDefault="0008086D" w:rsidP="003D5D78">
    <w:pPr>
      <w:pStyle w:val="Header"/>
      <w:ind w:left="360"/>
      <w:rPr>
        <w:rFonts w:asciiTheme="minorHAnsi" w:hAnsiTheme="minorHAnsi" w:cs="Arial"/>
        <w:i w:val="0"/>
        <w:color w:val="808080"/>
      </w:rPr>
    </w:pPr>
    <w:bookmarkStart w:id="27" w:name="_Hlk76375146"/>
    <w:r>
      <w:rPr>
        <w:rFonts w:asciiTheme="minorHAnsi" w:hAnsiTheme="minorHAnsi" w:cs="Arial"/>
        <w:noProof/>
        <w:color w:val="808080"/>
      </w:rPr>
      <mc:AlternateContent>
        <mc:Choice Requires="wps">
          <w:drawing>
            <wp:anchor distT="0" distB="0" distL="0" distR="0" simplePos="0" relativeHeight="251661317" behindDoc="0" locked="0" layoutInCell="1" allowOverlap="1" wp14:anchorId="257C2F5B" wp14:editId="2E3C0FF2">
              <wp:simplePos x="635" y="635"/>
              <wp:positionH relativeFrom="page">
                <wp:align>center</wp:align>
              </wp:positionH>
              <wp:positionV relativeFrom="page">
                <wp:align>top</wp:align>
              </wp:positionV>
              <wp:extent cx="622300" cy="376555"/>
              <wp:effectExtent l="0" t="0" r="6350" b="4445"/>
              <wp:wrapNone/>
              <wp:docPr id="685041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B8DDCC" w14:textId="71219FE4"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C2F5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AB8DDCC" w14:textId="71219FE4"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r w:rsidR="005773E3">
      <w:rPr>
        <w:rFonts w:asciiTheme="minorHAnsi" w:hAnsiTheme="minorHAnsi" w:cs="Arial"/>
        <w:noProof/>
        <w:color w:val="808080"/>
      </w:rPr>
      <w:t>Public Summary Document</w:t>
    </w:r>
    <w:r w:rsidR="003D5D78" w:rsidRPr="00056684">
      <w:rPr>
        <w:rFonts w:asciiTheme="minorHAnsi" w:hAnsiTheme="minorHAnsi" w:cs="Arial"/>
        <w:color w:val="808080"/>
      </w:rPr>
      <w:t xml:space="preserve"> – </w:t>
    </w:r>
    <w:r w:rsidR="003D5D78">
      <w:rPr>
        <w:rFonts w:asciiTheme="minorHAnsi" w:hAnsiTheme="minorHAnsi" w:cs="Arial"/>
        <w:color w:val="808080"/>
      </w:rPr>
      <w:t>July 2025</w:t>
    </w:r>
    <w:r w:rsidR="003D5D78" w:rsidRPr="00056684">
      <w:rPr>
        <w:rFonts w:asciiTheme="minorHAnsi" w:hAnsiTheme="minorHAnsi" w:cs="Arial"/>
        <w:color w:val="808080"/>
      </w:rPr>
      <w:t xml:space="preserve"> PBAC Meeting</w:t>
    </w:r>
    <w:r w:rsidR="002E1B77">
      <w:rPr>
        <w:rFonts w:asciiTheme="minorHAnsi" w:hAnsiTheme="minorHAnsi" w:cs="Arial"/>
        <w:color w:val="808080"/>
      </w:rPr>
      <w:t xml:space="preserve"> </w:t>
    </w:r>
    <w:r w:rsidR="002E1B77" w:rsidRPr="087260B0">
      <w:rPr>
        <w:rFonts w:cs="Arial"/>
        <w:color w:val="808080" w:themeColor="background1" w:themeShade="80"/>
      </w:rPr>
      <w:t xml:space="preserve">with December 2025 </w:t>
    </w:r>
    <w:r w:rsidR="00FB542F">
      <w:rPr>
        <w:rFonts w:cs="Arial"/>
        <w:color w:val="808080" w:themeColor="background1" w:themeShade="80"/>
      </w:rPr>
      <w:t>A</w:t>
    </w:r>
    <w:r w:rsidR="002E1B77" w:rsidRPr="087260B0">
      <w:rPr>
        <w:rFonts w:cs="Arial"/>
        <w:color w:val="808080" w:themeColor="background1" w:themeShade="80"/>
      </w:rPr>
      <w:t>ddendum</w:t>
    </w:r>
  </w:p>
  <w:bookmarkEnd w:id="27"/>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05BD" w14:textId="73A77A83" w:rsidR="00092CCA" w:rsidRDefault="0008086D">
    <w:pPr>
      <w:pStyle w:val="Header"/>
    </w:pPr>
    <w:r>
      <w:rPr>
        <w:noProof/>
      </w:rPr>
      <mc:AlternateContent>
        <mc:Choice Requires="wps">
          <w:drawing>
            <wp:anchor distT="0" distB="0" distL="0" distR="0" simplePos="0" relativeHeight="251659269" behindDoc="0" locked="0" layoutInCell="1" allowOverlap="1" wp14:anchorId="7B13D884" wp14:editId="0B7BBC79">
              <wp:simplePos x="635" y="635"/>
              <wp:positionH relativeFrom="page">
                <wp:align>center</wp:align>
              </wp:positionH>
              <wp:positionV relativeFrom="page">
                <wp:align>top</wp:align>
              </wp:positionV>
              <wp:extent cx="622300" cy="376555"/>
              <wp:effectExtent l="0" t="0" r="6350" b="4445"/>
              <wp:wrapNone/>
              <wp:docPr id="938789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D52601" w14:textId="061FD686"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3D88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2D52601" w14:textId="061FD686"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0F65"/>
    <w:multiLevelType w:val="hybridMultilevel"/>
    <w:tmpl w:val="768E8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6A0956"/>
    <w:multiLevelType w:val="hybridMultilevel"/>
    <w:tmpl w:val="A4ACE0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407D1F"/>
    <w:multiLevelType w:val="hybridMultilevel"/>
    <w:tmpl w:val="A17CC3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1D0834"/>
    <w:multiLevelType w:val="hybridMultilevel"/>
    <w:tmpl w:val="DF9C079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6FCE25"/>
    <w:multiLevelType w:val="hybridMultilevel"/>
    <w:tmpl w:val="923A2470"/>
    <w:lvl w:ilvl="0" w:tplc="242CFE1E">
      <w:start w:val="1"/>
      <w:numFmt w:val="bullet"/>
      <w:lvlText w:val=""/>
      <w:lvlJc w:val="left"/>
      <w:pPr>
        <w:ind w:left="720" w:hanging="360"/>
      </w:pPr>
      <w:rPr>
        <w:rFonts w:ascii="Symbol" w:hAnsi="Symbol" w:hint="default"/>
      </w:rPr>
    </w:lvl>
    <w:lvl w:ilvl="1" w:tplc="8C30AB24">
      <w:start w:val="1"/>
      <w:numFmt w:val="bullet"/>
      <w:lvlText w:val="o"/>
      <w:lvlJc w:val="left"/>
      <w:pPr>
        <w:ind w:left="1440" w:hanging="360"/>
      </w:pPr>
      <w:rPr>
        <w:rFonts w:ascii="Courier New" w:hAnsi="Courier New" w:hint="default"/>
      </w:rPr>
    </w:lvl>
    <w:lvl w:ilvl="2" w:tplc="247AA942">
      <w:start w:val="1"/>
      <w:numFmt w:val="bullet"/>
      <w:lvlText w:val=""/>
      <w:lvlJc w:val="left"/>
      <w:pPr>
        <w:ind w:left="2160" w:hanging="360"/>
      </w:pPr>
      <w:rPr>
        <w:rFonts w:ascii="Wingdings" w:hAnsi="Wingdings" w:hint="default"/>
      </w:rPr>
    </w:lvl>
    <w:lvl w:ilvl="3" w:tplc="E53E232E">
      <w:start w:val="1"/>
      <w:numFmt w:val="bullet"/>
      <w:lvlText w:val=""/>
      <w:lvlJc w:val="left"/>
      <w:pPr>
        <w:ind w:left="2880" w:hanging="360"/>
      </w:pPr>
      <w:rPr>
        <w:rFonts w:ascii="Symbol" w:hAnsi="Symbol" w:hint="default"/>
      </w:rPr>
    </w:lvl>
    <w:lvl w:ilvl="4" w:tplc="25A20B8A">
      <w:start w:val="1"/>
      <w:numFmt w:val="bullet"/>
      <w:lvlText w:val="o"/>
      <w:lvlJc w:val="left"/>
      <w:pPr>
        <w:ind w:left="3600" w:hanging="360"/>
      </w:pPr>
      <w:rPr>
        <w:rFonts w:ascii="Courier New" w:hAnsi="Courier New" w:hint="default"/>
      </w:rPr>
    </w:lvl>
    <w:lvl w:ilvl="5" w:tplc="F5EA92C6">
      <w:start w:val="1"/>
      <w:numFmt w:val="bullet"/>
      <w:lvlText w:val=""/>
      <w:lvlJc w:val="left"/>
      <w:pPr>
        <w:ind w:left="4320" w:hanging="360"/>
      </w:pPr>
      <w:rPr>
        <w:rFonts w:ascii="Wingdings" w:hAnsi="Wingdings" w:hint="default"/>
      </w:rPr>
    </w:lvl>
    <w:lvl w:ilvl="6" w:tplc="51F0DC1E">
      <w:start w:val="1"/>
      <w:numFmt w:val="bullet"/>
      <w:lvlText w:val=""/>
      <w:lvlJc w:val="left"/>
      <w:pPr>
        <w:ind w:left="5040" w:hanging="360"/>
      </w:pPr>
      <w:rPr>
        <w:rFonts w:ascii="Symbol" w:hAnsi="Symbol" w:hint="default"/>
      </w:rPr>
    </w:lvl>
    <w:lvl w:ilvl="7" w:tplc="00D2EF44">
      <w:start w:val="1"/>
      <w:numFmt w:val="bullet"/>
      <w:lvlText w:val="o"/>
      <w:lvlJc w:val="left"/>
      <w:pPr>
        <w:ind w:left="5760" w:hanging="360"/>
      </w:pPr>
      <w:rPr>
        <w:rFonts w:ascii="Courier New" w:hAnsi="Courier New" w:hint="default"/>
      </w:rPr>
    </w:lvl>
    <w:lvl w:ilvl="8" w:tplc="B254E8A6">
      <w:start w:val="1"/>
      <w:numFmt w:val="bullet"/>
      <w:lvlText w:val=""/>
      <w:lvlJc w:val="left"/>
      <w:pPr>
        <w:ind w:left="6480" w:hanging="360"/>
      </w:pPr>
      <w:rPr>
        <w:rFonts w:ascii="Wingdings" w:hAnsi="Wingdings" w:hint="default"/>
      </w:rPr>
    </w:lvl>
  </w:abstractNum>
  <w:abstractNum w:abstractNumId="6" w15:restartNumberingAfterBreak="0">
    <w:nsid w:val="0DE71957"/>
    <w:multiLevelType w:val="hybridMultilevel"/>
    <w:tmpl w:val="508A3CEE"/>
    <w:lvl w:ilvl="0" w:tplc="C3D0A7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AB2422"/>
    <w:multiLevelType w:val="hybridMultilevel"/>
    <w:tmpl w:val="B2EC8B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EA16EC"/>
    <w:multiLevelType w:val="multilevel"/>
    <w:tmpl w:val="0E0417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F117E0"/>
    <w:multiLevelType w:val="hybridMultilevel"/>
    <w:tmpl w:val="5B8A2DD0"/>
    <w:lvl w:ilvl="0" w:tplc="E4DC4720">
      <w:start w:val="1"/>
      <w:numFmt w:val="bullet"/>
      <w:lvlText w:val=""/>
      <w:lvlJc w:val="left"/>
      <w:pPr>
        <w:tabs>
          <w:tab w:val="num" w:pos="720"/>
        </w:tabs>
        <w:ind w:left="720" w:hanging="360"/>
      </w:pPr>
      <w:rPr>
        <w:rFonts w:ascii="Wingdings" w:hAnsi="Wingdings" w:hint="default"/>
      </w:rPr>
    </w:lvl>
    <w:lvl w:ilvl="1" w:tplc="E63E63D2">
      <w:start w:val="1"/>
      <w:numFmt w:val="bullet"/>
      <w:lvlText w:val=""/>
      <w:lvlJc w:val="left"/>
      <w:pPr>
        <w:tabs>
          <w:tab w:val="num" w:pos="1440"/>
        </w:tabs>
        <w:ind w:left="1440" w:hanging="360"/>
      </w:pPr>
      <w:rPr>
        <w:rFonts w:ascii="Wingdings" w:hAnsi="Wingdings" w:hint="default"/>
      </w:rPr>
    </w:lvl>
    <w:lvl w:ilvl="2" w:tplc="D3143ADC" w:tentative="1">
      <w:start w:val="1"/>
      <w:numFmt w:val="bullet"/>
      <w:lvlText w:val=""/>
      <w:lvlJc w:val="left"/>
      <w:pPr>
        <w:tabs>
          <w:tab w:val="num" w:pos="2160"/>
        </w:tabs>
        <w:ind w:left="2160" w:hanging="360"/>
      </w:pPr>
      <w:rPr>
        <w:rFonts w:ascii="Wingdings" w:hAnsi="Wingdings" w:hint="default"/>
      </w:rPr>
    </w:lvl>
    <w:lvl w:ilvl="3" w:tplc="5C24629E" w:tentative="1">
      <w:start w:val="1"/>
      <w:numFmt w:val="bullet"/>
      <w:lvlText w:val=""/>
      <w:lvlJc w:val="left"/>
      <w:pPr>
        <w:tabs>
          <w:tab w:val="num" w:pos="2880"/>
        </w:tabs>
        <w:ind w:left="2880" w:hanging="360"/>
      </w:pPr>
      <w:rPr>
        <w:rFonts w:ascii="Wingdings" w:hAnsi="Wingdings" w:hint="default"/>
      </w:rPr>
    </w:lvl>
    <w:lvl w:ilvl="4" w:tplc="C6482BBC" w:tentative="1">
      <w:start w:val="1"/>
      <w:numFmt w:val="bullet"/>
      <w:lvlText w:val=""/>
      <w:lvlJc w:val="left"/>
      <w:pPr>
        <w:tabs>
          <w:tab w:val="num" w:pos="3600"/>
        </w:tabs>
        <w:ind w:left="3600" w:hanging="360"/>
      </w:pPr>
      <w:rPr>
        <w:rFonts w:ascii="Wingdings" w:hAnsi="Wingdings" w:hint="default"/>
      </w:rPr>
    </w:lvl>
    <w:lvl w:ilvl="5" w:tplc="432EB6EC" w:tentative="1">
      <w:start w:val="1"/>
      <w:numFmt w:val="bullet"/>
      <w:lvlText w:val=""/>
      <w:lvlJc w:val="left"/>
      <w:pPr>
        <w:tabs>
          <w:tab w:val="num" w:pos="4320"/>
        </w:tabs>
        <w:ind w:left="4320" w:hanging="360"/>
      </w:pPr>
      <w:rPr>
        <w:rFonts w:ascii="Wingdings" w:hAnsi="Wingdings" w:hint="default"/>
      </w:rPr>
    </w:lvl>
    <w:lvl w:ilvl="6" w:tplc="F8FEBCEC" w:tentative="1">
      <w:start w:val="1"/>
      <w:numFmt w:val="bullet"/>
      <w:lvlText w:val=""/>
      <w:lvlJc w:val="left"/>
      <w:pPr>
        <w:tabs>
          <w:tab w:val="num" w:pos="5040"/>
        </w:tabs>
        <w:ind w:left="5040" w:hanging="360"/>
      </w:pPr>
      <w:rPr>
        <w:rFonts w:ascii="Wingdings" w:hAnsi="Wingdings" w:hint="default"/>
      </w:rPr>
    </w:lvl>
    <w:lvl w:ilvl="7" w:tplc="5C28E93C" w:tentative="1">
      <w:start w:val="1"/>
      <w:numFmt w:val="bullet"/>
      <w:lvlText w:val=""/>
      <w:lvlJc w:val="left"/>
      <w:pPr>
        <w:tabs>
          <w:tab w:val="num" w:pos="5760"/>
        </w:tabs>
        <w:ind w:left="5760" w:hanging="360"/>
      </w:pPr>
      <w:rPr>
        <w:rFonts w:ascii="Wingdings" w:hAnsi="Wingdings" w:hint="default"/>
      </w:rPr>
    </w:lvl>
    <w:lvl w:ilvl="8" w:tplc="363275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759E7"/>
    <w:multiLevelType w:val="hybridMultilevel"/>
    <w:tmpl w:val="7488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44933"/>
    <w:multiLevelType w:val="hybridMultilevel"/>
    <w:tmpl w:val="28F23A6A"/>
    <w:lvl w:ilvl="0" w:tplc="59E4FFE0">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80BFC3E"/>
    <w:multiLevelType w:val="multilevel"/>
    <w:tmpl w:val="DDA219D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86C667D"/>
    <w:multiLevelType w:val="hybridMultilevel"/>
    <w:tmpl w:val="85E28FCC"/>
    <w:lvl w:ilvl="0" w:tplc="053C4D7C">
      <w:start w:val="1"/>
      <w:numFmt w:val="bullet"/>
      <w:lvlText w:val=""/>
      <w:lvlJc w:val="left"/>
      <w:pPr>
        <w:ind w:left="720" w:hanging="360"/>
      </w:pPr>
      <w:rPr>
        <w:rFonts w:ascii="Symbol" w:hAnsi="Symbol" w:hint="default"/>
      </w:rPr>
    </w:lvl>
    <w:lvl w:ilvl="1" w:tplc="E4B22C62">
      <w:start w:val="1"/>
      <w:numFmt w:val="bullet"/>
      <w:lvlText w:val="o"/>
      <w:lvlJc w:val="left"/>
      <w:pPr>
        <w:ind w:left="1440" w:hanging="360"/>
      </w:pPr>
      <w:rPr>
        <w:rFonts w:ascii="Courier New" w:hAnsi="Courier New" w:hint="default"/>
      </w:rPr>
    </w:lvl>
    <w:lvl w:ilvl="2" w:tplc="0CB04190">
      <w:start w:val="1"/>
      <w:numFmt w:val="bullet"/>
      <w:lvlText w:val=""/>
      <w:lvlJc w:val="left"/>
      <w:pPr>
        <w:ind w:left="2160" w:hanging="360"/>
      </w:pPr>
      <w:rPr>
        <w:rFonts w:ascii="Wingdings" w:hAnsi="Wingdings" w:hint="default"/>
      </w:rPr>
    </w:lvl>
    <w:lvl w:ilvl="3" w:tplc="BF744FB4">
      <w:start w:val="1"/>
      <w:numFmt w:val="bullet"/>
      <w:lvlText w:val=""/>
      <w:lvlJc w:val="left"/>
      <w:pPr>
        <w:ind w:left="2880" w:hanging="360"/>
      </w:pPr>
      <w:rPr>
        <w:rFonts w:ascii="Symbol" w:hAnsi="Symbol" w:hint="default"/>
      </w:rPr>
    </w:lvl>
    <w:lvl w:ilvl="4" w:tplc="2D08DAFC">
      <w:start w:val="1"/>
      <w:numFmt w:val="bullet"/>
      <w:lvlText w:val="o"/>
      <w:lvlJc w:val="left"/>
      <w:pPr>
        <w:ind w:left="3600" w:hanging="360"/>
      </w:pPr>
      <w:rPr>
        <w:rFonts w:ascii="Courier New" w:hAnsi="Courier New" w:hint="default"/>
      </w:rPr>
    </w:lvl>
    <w:lvl w:ilvl="5" w:tplc="A4D4C904">
      <w:start w:val="1"/>
      <w:numFmt w:val="bullet"/>
      <w:lvlText w:val=""/>
      <w:lvlJc w:val="left"/>
      <w:pPr>
        <w:ind w:left="4320" w:hanging="360"/>
      </w:pPr>
      <w:rPr>
        <w:rFonts w:ascii="Wingdings" w:hAnsi="Wingdings" w:hint="default"/>
      </w:rPr>
    </w:lvl>
    <w:lvl w:ilvl="6" w:tplc="3FC0F9B4">
      <w:start w:val="1"/>
      <w:numFmt w:val="bullet"/>
      <w:lvlText w:val=""/>
      <w:lvlJc w:val="left"/>
      <w:pPr>
        <w:ind w:left="5040" w:hanging="360"/>
      </w:pPr>
      <w:rPr>
        <w:rFonts w:ascii="Symbol" w:hAnsi="Symbol" w:hint="default"/>
      </w:rPr>
    </w:lvl>
    <w:lvl w:ilvl="7" w:tplc="2AE61D2E">
      <w:start w:val="1"/>
      <w:numFmt w:val="bullet"/>
      <w:lvlText w:val="o"/>
      <w:lvlJc w:val="left"/>
      <w:pPr>
        <w:ind w:left="5760" w:hanging="360"/>
      </w:pPr>
      <w:rPr>
        <w:rFonts w:ascii="Courier New" w:hAnsi="Courier New" w:hint="default"/>
      </w:rPr>
    </w:lvl>
    <w:lvl w:ilvl="8" w:tplc="C596B300">
      <w:start w:val="1"/>
      <w:numFmt w:val="bullet"/>
      <w:lvlText w:val=""/>
      <w:lvlJc w:val="left"/>
      <w:pPr>
        <w:ind w:left="6480" w:hanging="360"/>
      </w:pPr>
      <w:rPr>
        <w:rFonts w:ascii="Wingdings" w:hAnsi="Wingdings" w:hint="default"/>
      </w:rPr>
    </w:lvl>
  </w:abstractNum>
  <w:abstractNum w:abstractNumId="15" w15:restartNumberingAfterBreak="0">
    <w:nsid w:val="3AC37BA0"/>
    <w:multiLevelType w:val="hybridMultilevel"/>
    <w:tmpl w:val="9C4203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AD124A2"/>
    <w:multiLevelType w:val="hybridMultilevel"/>
    <w:tmpl w:val="422847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D8F44AD"/>
    <w:multiLevelType w:val="hybridMultilevel"/>
    <w:tmpl w:val="E220892E"/>
    <w:lvl w:ilvl="0" w:tplc="BEF66B80">
      <w:start w:val="4"/>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3ED126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E63C60"/>
    <w:multiLevelType w:val="hybridMultilevel"/>
    <w:tmpl w:val="CCDE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5A3EC2"/>
    <w:multiLevelType w:val="hybridMultilevel"/>
    <w:tmpl w:val="C6D20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E44BC"/>
    <w:multiLevelType w:val="hybridMultilevel"/>
    <w:tmpl w:val="42D2BDF2"/>
    <w:lvl w:ilvl="0" w:tplc="9D0A2A5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83F6BC6"/>
    <w:multiLevelType w:val="hybridMultilevel"/>
    <w:tmpl w:val="DC8A4032"/>
    <w:lvl w:ilvl="0" w:tplc="45BC9AF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86A4A63"/>
    <w:multiLevelType w:val="hybridMultilevel"/>
    <w:tmpl w:val="0BE6DCA2"/>
    <w:lvl w:ilvl="0" w:tplc="0C090019">
      <w:start w:val="1"/>
      <w:numFmt w:val="lowerLetter"/>
      <w:lvlText w:val="%1."/>
      <w:lvlJc w:val="left"/>
      <w:pPr>
        <w:ind w:left="720" w:hanging="360"/>
      </w:pPr>
      <w:rPr>
        <w:rFonts w:hint="default"/>
      </w:rPr>
    </w:lvl>
    <w:lvl w:ilvl="1" w:tplc="A3FECD54">
      <w:start w:val="1"/>
      <w:numFmt w:val="lowerRoman"/>
      <w:lvlText w:val="%2."/>
      <w:lvlJc w:val="left"/>
      <w:pPr>
        <w:ind w:left="1440" w:hanging="360"/>
      </w:pPr>
      <w:rPr>
        <w:rFonts w:asciiTheme="minorHAnsi" w:eastAsia="Times New Roman" w:hAnsiTheme="minorHAnsi" w:cs="Arial"/>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25578D"/>
    <w:multiLevelType w:val="hybridMultilevel"/>
    <w:tmpl w:val="FADC4B42"/>
    <w:lvl w:ilvl="0" w:tplc="C3D0A786">
      <w:start w:val="1"/>
      <w:numFmt w:val="decimal"/>
      <w:lvlText w:val="(%1)"/>
      <w:lvlJc w:val="left"/>
      <w:pPr>
        <w:ind w:left="720" w:hanging="360"/>
      </w:pPr>
      <w:rPr>
        <w:rFonts w:hint="default"/>
      </w:rPr>
    </w:lvl>
    <w:lvl w:ilvl="1" w:tplc="9BE8B4C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350D19"/>
    <w:multiLevelType w:val="hybridMultilevel"/>
    <w:tmpl w:val="7466F52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8" w15:restartNumberingAfterBreak="0">
    <w:nsid w:val="536D30E0"/>
    <w:multiLevelType w:val="hybridMultilevel"/>
    <w:tmpl w:val="921495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CA3361"/>
    <w:multiLevelType w:val="hybridMultilevel"/>
    <w:tmpl w:val="82F6A7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CE74C39"/>
    <w:multiLevelType w:val="multilevel"/>
    <w:tmpl w:val="BCF80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3AB6427"/>
    <w:multiLevelType w:val="hybridMultilevel"/>
    <w:tmpl w:val="F0188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4AD7CB7"/>
    <w:multiLevelType w:val="hybridMultilevel"/>
    <w:tmpl w:val="BC88333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31763B"/>
    <w:multiLevelType w:val="hybridMultilevel"/>
    <w:tmpl w:val="E03CE2EE"/>
    <w:lvl w:ilvl="0" w:tplc="8578F760">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B1A04A0"/>
    <w:multiLevelType w:val="hybridMultilevel"/>
    <w:tmpl w:val="3CC01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2197254"/>
    <w:multiLevelType w:val="hybridMultilevel"/>
    <w:tmpl w:val="998295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4548069"/>
    <w:multiLevelType w:val="hybridMultilevel"/>
    <w:tmpl w:val="98DEED78"/>
    <w:lvl w:ilvl="0" w:tplc="AAA2952A">
      <w:start w:val="1"/>
      <w:numFmt w:val="bullet"/>
      <w:lvlText w:val=""/>
      <w:lvlJc w:val="left"/>
      <w:pPr>
        <w:ind w:left="720" w:hanging="360"/>
      </w:pPr>
      <w:rPr>
        <w:rFonts w:ascii="Symbol" w:hAnsi="Symbol" w:hint="default"/>
      </w:rPr>
    </w:lvl>
    <w:lvl w:ilvl="1" w:tplc="0814677E">
      <w:start w:val="1"/>
      <w:numFmt w:val="bullet"/>
      <w:lvlText w:val="o"/>
      <w:lvlJc w:val="left"/>
      <w:pPr>
        <w:ind w:left="1440" w:hanging="360"/>
      </w:pPr>
      <w:rPr>
        <w:rFonts w:ascii="Courier New" w:hAnsi="Courier New" w:hint="default"/>
      </w:rPr>
    </w:lvl>
    <w:lvl w:ilvl="2" w:tplc="D820D5E6">
      <w:start w:val="1"/>
      <w:numFmt w:val="bullet"/>
      <w:lvlText w:val=""/>
      <w:lvlJc w:val="left"/>
      <w:pPr>
        <w:ind w:left="2160" w:hanging="360"/>
      </w:pPr>
      <w:rPr>
        <w:rFonts w:ascii="Wingdings" w:hAnsi="Wingdings" w:hint="default"/>
      </w:rPr>
    </w:lvl>
    <w:lvl w:ilvl="3" w:tplc="5022791A">
      <w:start w:val="1"/>
      <w:numFmt w:val="bullet"/>
      <w:lvlText w:val=""/>
      <w:lvlJc w:val="left"/>
      <w:pPr>
        <w:ind w:left="2880" w:hanging="360"/>
      </w:pPr>
      <w:rPr>
        <w:rFonts w:ascii="Symbol" w:hAnsi="Symbol" w:hint="default"/>
      </w:rPr>
    </w:lvl>
    <w:lvl w:ilvl="4" w:tplc="7F8A66D0">
      <w:start w:val="1"/>
      <w:numFmt w:val="bullet"/>
      <w:lvlText w:val="o"/>
      <w:lvlJc w:val="left"/>
      <w:pPr>
        <w:ind w:left="3600" w:hanging="360"/>
      </w:pPr>
      <w:rPr>
        <w:rFonts w:ascii="Courier New" w:hAnsi="Courier New" w:hint="default"/>
      </w:rPr>
    </w:lvl>
    <w:lvl w:ilvl="5" w:tplc="D8EED886">
      <w:start w:val="1"/>
      <w:numFmt w:val="bullet"/>
      <w:lvlText w:val=""/>
      <w:lvlJc w:val="left"/>
      <w:pPr>
        <w:ind w:left="4320" w:hanging="360"/>
      </w:pPr>
      <w:rPr>
        <w:rFonts w:ascii="Wingdings" w:hAnsi="Wingdings" w:hint="default"/>
      </w:rPr>
    </w:lvl>
    <w:lvl w:ilvl="6" w:tplc="3990C1AC">
      <w:start w:val="1"/>
      <w:numFmt w:val="bullet"/>
      <w:lvlText w:val=""/>
      <w:lvlJc w:val="left"/>
      <w:pPr>
        <w:ind w:left="5040" w:hanging="360"/>
      </w:pPr>
      <w:rPr>
        <w:rFonts w:ascii="Symbol" w:hAnsi="Symbol" w:hint="default"/>
      </w:rPr>
    </w:lvl>
    <w:lvl w:ilvl="7" w:tplc="938CCDE2">
      <w:start w:val="1"/>
      <w:numFmt w:val="bullet"/>
      <w:lvlText w:val="o"/>
      <w:lvlJc w:val="left"/>
      <w:pPr>
        <w:ind w:left="5760" w:hanging="360"/>
      </w:pPr>
      <w:rPr>
        <w:rFonts w:ascii="Courier New" w:hAnsi="Courier New" w:hint="default"/>
      </w:rPr>
    </w:lvl>
    <w:lvl w:ilvl="8" w:tplc="01300C32">
      <w:start w:val="1"/>
      <w:numFmt w:val="bullet"/>
      <w:lvlText w:val=""/>
      <w:lvlJc w:val="left"/>
      <w:pPr>
        <w:ind w:left="6480" w:hanging="360"/>
      </w:pPr>
      <w:rPr>
        <w:rFonts w:ascii="Wingdings" w:hAnsi="Wingdings" w:hint="default"/>
      </w:rPr>
    </w:lvl>
  </w:abstractNum>
  <w:abstractNum w:abstractNumId="41" w15:restartNumberingAfterBreak="0">
    <w:nsid w:val="784D033C"/>
    <w:multiLevelType w:val="multilevel"/>
    <w:tmpl w:val="F8B82D7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2"/>
  </w:num>
  <w:num w:numId="2" w16cid:durableId="957570559">
    <w:abstractNumId w:val="41"/>
  </w:num>
  <w:num w:numId="3" w16cid:durableId="1159004663">
    <w:abstractNumId w:val="31"/>
  </w:num>
  <w:num w:numId="4" w16cid:durableId="418600173">
    <w:abstractNumId w:val="42"/>
  </w:num>
  <w:num w:numId="5" w16cid:durableId="1279799443">
    <w:abstractNumId w:val="25"/>
  </w:num>
  <w:num w:numId="6" w16cid:durableId="495537779">
    <w:abstractNumId w:val="18"/>
  </w:num>
  <w:num w:numId="7" w16cid:durableId="1468400811">
    <w:abstractNumId w:val="0"/>
  </w:num>
  <w:num w:numId="8" w16cid:durableId="1915313393">
    <w:abstractNumId w:val="35"/>
  </w:num>
  <w:num w:numId="9" w16cid:durableId="1662348298">
    <w:abstractNumId w:val="24"/>
  </w:num>
  <w:num w:numId="10" w16cid:durableId="1103570019">
    <w:abstractNumId w:val="8"/>
  </w:num>
  <w:num w:numId="11" w16cid:durableId="2041346921">
    <w:abstractNumId w:val="41"/>
  </w:num>
  <w:num w:numId="12" w16cid:durableId="1243173942">
    <w:abstractNumId w:val="32"/>
  </w:num>
  <w:num w:numId="13" w16cid:durableId="1096370201">
    <w:abstractNumId w:val="16"/>
  </w:num>
  <w:num w:numId="14" w16cid:durableId="1072001971">
    <w:abstractNumId w:val="36"/>
  </w:num>
  <w:num w:numId="15" w16cid:durableId="1377657727">
    <w:abstractNumId w:val="17"/>
  </w:num>
  <w:num w:numId="16" w16cid:durableId="1873154609">
    <w:abstractNumId w:val="1"/>
  </w:num>
  <w:num w:numId="17" w16cid:durableId="426657813">
    <w:abstractNumId w:val="2"/>
  </w:num>
  <w:num w:numId="18" w16cid:durableId="1005745995">
    <w:abstractNumId w:val="29"/>
  </w:num>
  <w:num w:numId="19" w16cid:durableId="207882708">
    <w:abstractNumId w:val="41"/>
  </w:num>
  <w:num w:numId="20" w16cid:durableId="868179252">
    <w:abstractNumId w:val="6"/>
  </w:num>
  <w:num w:numId="21" w16cid:durableId="2076202651">
    <w:abstractNumId w:val="26"/>
  </w:num>
  <w:num w:numId="22" w16cid:durableId="15933496">
    <w:abstractNumId w:val="34"/>
  </w:num>
  <w:num w:numId="23" w16cid:durableId="1083528767">
    <w:abstractNumId w:val="33"/>
  </w:num>
  <w:num w:numId="24" w16cid:durableId="371731288">
    <w:abstractNumId w:val="4"/>
  </w:num>
  <w:num w:numId="25" w16cid:durableId="1651399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6473">
    <w:abstractNumId w:val="15"/>
  </w:num>
  <w:num w:numId="27" w16cid:durableId="1174371898">
    <w:abstractNumId w:val="28"/>
  </w:num>
  <w:num w:numId="28" w16cid:durableId="1513957390">
    <w:abstractNumId w:val="19"/>
  </w:num>
  <w:num w:numId="29" w16cid:durableId="290015688">
    <w:abstractNumId w:val="30"/>
  </w:num>
  <w:num w:numId="30" w16cid:durableId="370693624">
    <w:abstractNumId w:val="9"/>
  </w:num>
  <w:num w:numId="31" w16cid:durableId="369846320">
    <w:abstractNumId w:val="11"/>
  </w:num>
  <w:num w:numId="32" w16cid:durableId="1387754638">
    <w:abstractNumId w:val="20"/>
  </w:num>
  <w:num w:numId="33" w16cid:durableId="636642923">
    <w:abstractNumId w:val="39"/>
  </w:num>
  <w:num w:numId="34" w16cid:durableId="1146361837">
    <w:abstractNumId w:val="3"/>
  </w:num>
  <w:num w:numId="35" w16cid:durableId="1520239448">
    <w:abstractNumId w:val="41"/>
  </w:num>
  <w:num w:numId="36" w16cid:durableId="1463570499">
    <w:abstractNumId w:val="13"/>
  </w:num>
  <w:num w:numId="37" w16cid:durableId="17001659">
    <w:abstractNumId w:val="5"/>
  </w:num>
  <w:num w:numId="38" w16cid:durableId="1300068378">
    <w:abstractNumId w:val="40"/>
  </w:num>
  <w:num w:numId="39" w16cid:durableId="210920253">
    <w:abstractNumId w:val="14"/>
  </w:num>
  <w:num w:numId="40" w16cid:durableId="1367292022">
    <w:abstractNumId w:val="27"/>
  </w:num>
  <w:num w:numId="41" w16cid:durableId="34236669">
    <w:abstractNumId w:val="38"/>
  </w:num>
  <w:num w:numId="42" w16cid:durableId="1823887676">
    <w:abstractNumId w:val="23"/>
  </w:num>
  <w:num w:numId="43" w16cid:durableId="1064183662">
    <w:abstractNumId w:val="22"/>
  </w:num>
  <w:num w:numId="44" w16cid:durableId="2021082841">
    <w:abstractNumId w:val="7"/>
  </w:num>
  <w:num w:numId="45" w16cid:durableId="1501702513">
    <w:abstractNumId w:val="10"/>
  </w:num>
  <w:num w:numId="46" w16cid:durableId="304088115">
    <w:abstractNumId w:val="21"/>
  </w:num>
  <w:num w:numId="47" w16cid:durableId="733115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318141">
    <w:abstractNumId w:val="41"/>
  </w:num>
  <w:num w:numId="49" w16cid:durableId="1998800210">
    <w:abstractNumId w:val="41"/>
  </w:num>
  <w:num w:numId="50" w16cid:durableId="1015570167">
    <w:abstractNumId w:val="41"/>
  </w:num>
  <w:num w:numId="51" w16cid:durableId="1934976638">
    <w:abstractNumId w:val="41"/>
  </w:num>
  <w:num w:numId="52" w16cid:durableId="1926062375">
    <w:abstractNumId w:val="41"/>
  </w:num>
  <w:num w:numId="53" w16cid:durableId="392774087">
    <w:abstractNumId w:val="41"/>
  </w:num>
  <w:num w:numId="54" w16cid:durableId="1939170859">
    <w:abstractNumId w:val="41"/>
  </w:num>
  <w:num w:numId="55" w16cid:durableId="1915433040">
    <w:abstractNumId w:val="41"/>
  </w:num>
  <w:num w:numId="56" w16cid:durableId="583806454">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7A"/>
    <w:rsid w:val="0000080A"/>
    <w:rsid w:val="0000096D"/>
    <w:rsid w:val="00000C02"/>
    <w:rsid w:val="00001663"/>
    <w:rsid w:val="00001982"/>
    <w:rsid w:val="00001A88"/>
    <w:rsid w:val="00001C57"/>
    <w:rsid w:val="00001CCD"/>
    <w:rsid w:val="000025AD"/>
    <w:rsid w:val="00002BDC"/>
    <w:rsid w:val="0000335D"/>
    <w:rsid w:val="00003EC5"/>
    <w:rsid w:val="000049D4"/>
    <w:rsid w:val="00006029"/>
    <w:rsid w:val="00006782"/>
    <w:rsid w:val="000068F3"/>
    <w:rsid w:val="00006BFF"/>
    <w:rsid w:val="00007801"/>
    <w:rsid w:val="00007C87"/>
    <w:rsid w:val="00010FD0"/>
    <w:rsid w:val="00011127"/>
    <w:rsid w:val="0001117A"/>
    <w:rsid w:val="0001179A"/>
    <w:rsid w:val="00011A59"/>
    <w:rsid w:val="00012B64"/>
    <w:rsid w:val="00012E1B"/>
    <w:rsid w:val="00013231"/>
    <w:rsid w:val="000132BB"/>
    <w:rsid w:val="0001393A"/>
    <w:rsid w:val="00013B0A"/>
    <w:rsid w:val="00013B72"/>
    <w:rsid w:val="00013E6B"/>
    <w:rsid w:val="00014D69"/>
    <w:rsid w:val="000155D0"/>
    <w:rsid w:val="00015C8B"/>
    <w:rsid w:val="00016A41"/>
    <w:rsid w:val="00016E36"/>
    <w:rsid w:val="00017F94"/>
    <w:rsid w:val="00020107"/>
    <w:rsid w:val="000206DC"/>
    <w:rsid w:val="00020BAB"/>
    <w:rsid w:val="000214D1"/>
    <w:rsid w:val="000215A2"/>
    <w:rsid w:val="00021F20"/>
    <w:rsid w:val="00022651"/>
    <w:rsid w:val="000240A7"/>
    <w:rsid w:val="0002464A"/>
    <w:rsid w:val="00024B4E"/>
    <w:rsid w:val="00025087"/>
    <w:rsid w:val="00025217"/>
    <w:rsid w:val="00025351"/>
    <w:rsid w:val="00025676"/>
    <w:rsid w:val="00025A04"/>
    <w:rsid w:val="00025ED9"/>
    <w:rsid w:val="00026707"/>
    <w:rsid w:val="0002693D"/>
    <w:rsid w:val="00027A58"/>
    <w:rsid w:val="00027B13"/>
    <w:rsid w:val="0003001D"/>
    <w:rsid w:val="0003050E"/>
    <w:rsid w:val="00030B1E"/>
    <w:rsid w:val="0003106B"/>
    <w:rsid w:val="0003167C"/>
    <w:rsid w:val="00031CCF"/>
    <w:rsid w:val="00031F38"/>
    <w:rsid w:val="00032022"/>
    <w:rsid w:val="00032C4E"/>
    <w:rsid w:val="0003306D"/>
    <w:rsid w:val="000335B9"/>
    <w:rsid w:val="00033F9F"/>
    <w:rsid w:val="00034452"/>
    <w:rsid w:val="00034562"/>
    <w:rsid w:val="00034905"/>
    <w:rsid w:val="00036F34"/>
    <w:rsid w:val="0003701C"/>
    <w:rsid w:val="00037906"/>
    <w:rsid w:val="00040A30"/>
    <w:rsid w:val="000414C9"/>
    <w:rsid w:val="00041619"/>
    <w:rsid w:val="000421A1"/>
    <w:rsid w:val="0004240E"/>
    <w:rsid w:val="000425A2"/>
    <w:rsid w:val="00042CBB"/>
    <w:rsid w:val="0004446C"/>
    <w:rsid w:val="0004471B"/>
    <w:rsid w:val="00044E52"/>
    <w:rsid w:val="00044EC4"/>
    <w:rsid w:val="000450B7"/>
    <w:rsid w:val="000459BA"/>
    <w:rsid w:val="00045E26"/>
    <w:rsid w:val="00046797"/>
    <w:rsid w:val="00046903"/>
    <w:rsid w:val="000470E4"/>
    <w:rsid w:val="00047247"/>
    <w:rsid w:val="00050038"/>
    <w:rsid w:val="00050C3F"/>
    <w:rsid w:val="000514B5"/>
    <w:rsid w:val="00051BCA"/>
    <w:rsid w:val="000521ED"/>
    <w:rsid w:val="0005322E"/>
    <w:rsid w:val="000546CF"/>
    <w:rsid w:val="00054E2B"/>
    <w:rsid w:val="000558DA"/>
    <w:rsid w:val="00055A8E"/>
    <w:rsid w:val="00055E8B"/>
    <w:rsid w:val="00060107"/>
    <w:rsid w:val="00060E64"/>
    <w:rsid w:val="00061B8D"/>
    <w:rsid w:val="000621AB"/>
    <w:rsid w:val="00062C03"/>
    <w:rsid w:val="00062E88"/>
    <w:rsid w:val="00065086"/>
    <w:rsid w:val="000652C9"/>
    <w:rsid w:val="0006580C"/>
    <w:rsid w:val="00065E09"/>
    <w:rsid w:val="00066193"/>
    <w:rsid w:val="00066755"/>
    <w:rsid w:val="00067F39"/>
    <w:rsid w:val="0007013F"/>
    <w:rsid w:val="00070440"/>
    <w:rsid w:val="000716E2"/>
    <w:rsid w:val="00071A5B"/>
    <w:rsid w:val="00072730"/>
    <w:rsid w:val="00073144"/>
    <w:rsid w:val="0007337F"/>
    <w:rsid w:val="00074320"/>
    <w:rsid w:val="000743F6"/>
    <w:rsid w:val="000744D4"/>
    <w:rsid w:val="00075182"/>
    <w:rsid w:val="00075965"/>
    <w:rsid w:val="00075973"/>
    <w:rsid w:val="000763D5"/>
    <w:rsid w:val="00076C38"/>
    <w:rsid w:val="00076D0E"/>
    <w:rsid w:val="00076E3A"/>
    <w:rsid w:val="00077143"/>
    <w:rsid w:val="00077DF7"/>
    <w:rsid w:val="00077F52"/>
    <w:rsid w:val="0008003A"/>
    <w:rsid w:val="0008050C"/>
    <w:rsid w:val="0008086D"/>
    <w:rsid w:val="0008092E"/>
    <w:rsid w:val="00081EC8"/>
    <w:rsid w:val="00082169"/>
    <w:rsid w:val="0008252B"/>
    <w:rsid w:val="000834BE"/>
    <w:rsid w:val="00083F01"/>
    <w:rsid w:val="00084FEA"/>
    <w:rsid w:val="000853A2"/>
    <w:rsid w:val="00085A57"/>
    <w:rsid w:val="00085F86"/>
    <w:rsid w:val="000860DA"/>
    <w:rsid w:val="000864B2"/>
    <w:rsid w:val="000865EF"/>
    <w:rsid w:val="00086C22"/>
    <w:rsid w:val="00087C4C"/>
    <w:rsid w:val="00087E15"/>
    <w:rsid w:val="0009130C"/>
    <w:rsid w:val="000918CB"/>
    <w:rsid w:val="00091B06"/>
    <w:rsid w:val="00092CCA"/>
    <w:rsid w:val="00093223"/>
    <w:rsid w:val="00093F67"/>
    <w:rsid w:val="000951C4"/>
    <w:rsid w:val="00095ADA"/>
    <w:rsid w:val="00095CFC"/>
    <w:rsid w:val="00095F3A"/>
    <w:rsid w:val="000969AD"/>
    <w:rsid w:val="000969BD"/>
    <w:rsid w:val="000975FB"/>
    <w:rsid w:val="00097B61"/>
    <w:rsid w:val="00097C15"/>
    <w:rsid w:val="000A002C"/>
    <w:rsid w:val="000A02F8"/>
    <w:rsid w:val="000A0661"/>
    <w:rsid w:val="000A25C8"/>
    <w:rsid w:val="000A2A32"/>
    <w:rsid w:val="000A3AA2"/>
    <w:rsid w:val="000A3BD2"/>
    <w:rsid w:val="000A42EF"/>
    <w:rsid w:val="000A44B2"/>
    <w:rsid w:val="000A52F6"/>
    <w:rsid w:val="000A58B8"/>
    <w:rsid w:val="000A5DD6"/>
    <w:rsid w:val="000A6FD1"/>
    <w:rsid w:val="000A78B8"/>
    <w:rsid w:val="000B0289"/>
    <w:rsid w:val="000B25CF"/>
    <w:rsid w:val="000B2BFA"/>
    <w:rsid w:val="000B31B0"/>
    <w:rsid w:val="000B379A"/>
    <w:rsid w:val="000B3DEF"/>
    <w:rsid w:val="000B44C3"/>
    <w:rsid w:val="000B558D"/>
    <w:rsid w:val="000B5755"/>
    <w:rsid w:val="000B57DD"/>
    <w:rsid w:val="000B58ED"/>
    <w:rsid w:val="000B5A89"/>
    <w:rsid w:val="000B65F6"/>
    <w:rsid w:val="000B7767"/>
    <w:rsid w:val="000B7BC9"/>
    <w:rsid w:val="000C0717"/>
    <w:rsid w:val="000C1571"/>
    <w:rsid w:val="000C16B6"/>
    <w:rsid w:val="000C181A"/>
    <w:rsid w:val="000C1AFF"/>
    <w:rsid w:val="000C3666"/>
    <w:rsid w:val="000C3DD5"/>
    <w:rsid w:val="000C4435"/>
    <w:rsid w:val="000C4E9F"/>
    <w:rsid w:val="000C5740"/>
    <w:rsid w:val="000C59FB"/>
    <w:rsid w:val="000C5F95"/>
    <w:rsid w:val="000C6996"/>
    <w:rsid w:val="000C74AB"/>
    <w:rsid w:val="000C7C46"/>
    <w:rsid w:val="000C7E9F"/>
    <w:rsid w:val="000D00C5"/>
    <w:rsid w:val="000D09E9"/>
    <w:rsid w:val="000D113F"/>
    <w:rsid w:val="000D1153"/>
    <w:rsid w:val="000D1170"/>
    <w:rsid w:val="000D1C7C"/>
    <w:rsid w:val="000D1EEC"/>
    <w:rsid w:val="000D23BA"/>
    <w:rsid w:val="000D4F18"/>
    <w:rsid w:val="000E0180"/>
    <w:rsid w:val="000E177B"/>
    <w:rsid w:val="000E1835"/>
    <w:rsid w:val="000E19B7"/>
    <w:rsid w:val="000E1A2C"/>
    <w:rsid w:val="000E20FC"/>
    <w:rsid w:val="000E3168"/>
    <w:rsid w:val="000E33BF"/>
    <w:rsid w:val="000E3C1D"/>
    <w:rsid w:val="000E3DFB"/>
    <w:rsid w:val="000E3F9C"/>
    <w:rsid w:val="000E4B89"/>
    <w:rsid w:val="000E578D"/>
    <w:rsid w:val="000E5825"/>
    <w:rsid w:val="000E5EA1"/>
    <w:rsid w:val="000E681E"/>
    <w:rsid w:val="000E696B"/>
    <w:rsid w:val="000E7E52"/>
    <w:rsid w:val="000E7E90"/>
    <w:rsid w:val="000EE1C7"/>
    <w:rsid w:val="000F0003"/>
    <w:rsid w:val="000F06DF"/>
    <w:rsid w:val="000F0848"/>
    <w:rsid w:val="000F0BC2"/>
    <w:rsid w:val="000F2BEC"/>
    <w:rsid w:val="000F3384"/>
    <w:rsid w:val="000F3438"/>
    <w:rsid w:val="000F4CB3"/>
    <w:rsid w:val="000F4E6A"/>
    <w:rsid w:val="000F50E5"/>
    <w:rsid w:val="000F59B3"/>
    <w:rsid w:val="000F6829"/>
    <w:rsid w:val="000F69EA"/>
    <w:rsid w:val="000F6ABB"/>
    <w:rsid w:val="000F7354"/>
    <w:rsid w:val="000F754D"/>
    <w:rsid w:val="000F7689"/>
    <w:rsid w:val="000F7C27"/>
    <w:rsid w:val="00100B7D"/>
    <w:rsid w:val="0010102A"/>
    <w:rsid w:val="00101939"/>
    <w:rsid w:val="00101ABE"/>
    <w:rsid w:val="00102202"/>
    <w:rsid w:val="00102398"/>
    <w:rsid w:val="00102700"/>
    <w:rsid w:val="00102A78"/>
    <w:rsid w:val="00103118"/>
    <w:rsid w:val="00103F1B"/>
    <w:rsid w:val="00104082"/>
    <w:rsid w:val="00104227"/>
    <w:rsid w:val="00104EC2"/>
    <w:rsid w:val="001053D5"/>
    <w:rsid w:val="0010599A"/>
    <w:rsid w:val="00105A1F"/>
    <w:rsid w:val="00106580"/>
    <w:rsid w:val="0010730B"/>
    <w:rsid w:val="00107337"/>
    <w:rsid w:val="00107409"/>
    <w:rsid w:val="00107FBA"/>
    <w:rsid w:val="0011010A"/>
    <w:rsid w:val="00110358"/>
    <w:rsid w:val="001107B6"/>
    <w:rsid w:val="001107BF"/>
    <w:rsid w:val="0011120A"/>
    <w:rsid w:val="00111989"/>
    <w:rsid w:val="00111999"/>
    <w:rsid w:val="00111F92"/>
    <w:rsid w:val="001135BE"/>
    <w:rsid w:val="00113649"/>
    <w:rsid w:val="001138B0"/>
    <w:rsid w:val="00113CEA"/>
    <w:rsid w:val="00113D5C"/>
    <w:rsid w:val="0011626F"/>
    <w:rsid w:val="0011663E"/>
    <w:rsid w:val="00116B03"/>
    <w:rsid w:val="00117D9D"/>
    <w:rsid w:val="00120221"/>
    <w:rsid w:val="00120AA6"/>
    <w:rsid w:val="00121D6E"/>
    <w:rsid w:val="0012217E"/>
    <w:rsid w:val="00122C1B"/>
    <w:rsid w:val="001230AF"/>
    <w:rsid w:val="001237CE"/>
    <w:rsid w:val="001239DB"/>
    <w:rsid w:val="00123AF5"/>
    <w:rsid w:val="00123B82"/>
    <w:rsid w:val="0012417C"/>
    <w:rsid w:val="0012426F"/>
    <w:rsid w:val="00124293"/>
    <w:rsid w:val="00124BF2"/>
    <w:rsid w:val="00124ED7"/>
    <w:rsid w:val="00125837"/>
    <w:rsid w:val="0012597F"/>
    <w:rsid w:val="001268D1"/>
    <w:rsid w:val="00126B19"/>
    <w:rsid w:val="00126D3A"/>
    <w:rsid w:val="00127449"/>
    <w:rsid w:val="0012749D"/>
    <w:rsid w:val="001274D6"/>
    <w:rsid w:val="00127A23"/>
    <w:rsid w:val="00127E00"/>
    <w:rsid w:val="001306A5"/>
    <w:rsid w:val="00130918"/>
    <w:rsid w:val="001311AE"/>
    <w:rsid w:val="00131448"/>
    <w:rsid w:val="00131637"/>
    <w:rsid w:val="00132370"/>
    <w:rsid w:val="00132D67"/>
    <w:rsid w:val="00133070"/>
    <w:rsid w:val="00133394"/>
    <w:rsid w:val="00133445"/>
    <w:rsid w:val="00133659"/>
    <w:rsid w:val="001339C4"/>
    <w:rsid w:val="00134356"/>
    <w:rsid w:val="00134994"/>
    <w:rsid w:val="00134FC7"/>
    <w:rsid w:val="00136048"/>
    <w:rsid w:val="001366C2"/>
    <w:rsid w:val="00136A81"/>
    <w:rsid w:val="00136C17"/>
    <w:rsid w:val="00136D6B"/>
    <w:rsid w:val="001402D8"/>
    <w:rsid w:val="00140B74"/>
    <w:rsid w:val="00140CFC"/>
    <w:rsid w:val="00140D94"/>
    <w:rsid w:val="00140E41"/>
    <w:rsid w:val="00141ABB"/>
    <w:rsid w:val="00142395"/>
    <w:rsid w:val="0014250D"/>
    <w:rsid w:val="00142714"/>
    <w:rsid w:val="0014490E"/>
    <w:rsid w:val="00144D09"/>
    <w:rsid w:val="00144E06"/>
    <w:rsid w:val="001452ED"/>
    <w:rsid w:val="00146705"/>
    <w:rsid w:val="00146922"/>
    <w:rsid w:val="001470AD"/>
    <w:rsid w:val="00147A7B"/>
    <w:rsid w:val="00147D84"/>
    <w:rsid w:val="0015104B"/>
    <w:rsid w:val="00151393"/>
    <w:rsid w:val="00151627"/>
    <w:rsid w:val="00151CBD"/>
    <w:rsid w:val="00151FC3"/>
    <w:rsid w:val="0015297F"/>
    <w:rsid w:val="00153009"/>
    <w:rsid w:val="001533C3"/>
    <w:rsid w:val="00153411"/>
    <w:rsid w:val="00153594"/>
    <w:rsid w:val="001549C1"/>
    <w:rsid w:val="0015503B"/>
    <w:rsid w:val="00155A09"/>
    <w:rsid w:val="001564B3"/>
    <w:rsid w:val="00156C8D"/>
    <w:rsid w:val="001576F9"/>
    <w:rsid w:val="00157D95"/>
    <w:rsid w:val="001604C8"/>
    <w:rsid w:val="001607DF"/>
    <w:rsid w:val="0016084C"/>
    <w:rsid w:val="00160F4D"/>
    <w:rsid w:val="001610C4"/>
    <w:rsid w:val="001619A1"/>
    <w:rsid w:val="00162BDD"/>
    <w:rsid w:val="00162D4E"/>
    <w:rsid w:val="00163329"/>
    <w:rsid w:val="00164623"/>
    <w:rsid w:val="001652DE"/>
    <w:rsid w:val="001653EC"/>
    <w:rsid w:val="0016545C"/>
    <w:rsid w:val="00165B64"/>
    <w:rsid w:val="001661F3"/>
    <w:rsid w:val="00167575"/>
    <w:rsid w:val="00167C39"/>
    <w:rsid w:val="0017028D"/>
    <w:rsid w:val="00170C4D"/>
    <w:rsid w:val="00170D3D"/>
    <w:rsid w:val="0017169B"/>
    <w:rsid w:val="00171ADF"/>
    <w:rsid w:val="001728BD"/>
    <w:rsid w:val="00172A2B"/>
    <w:rsid w:val="0017378F"/>
    <w:rsid w:val="00173CA3"/>
    <w:rsid w:val="00174EB8"/>
    <w:rsid w:val="001755AB"/>
    <w:rsid w:val="001755EC"/>
    <w:rsid w:val="001756CB"/>
    <w:rsid w:val="00175712"/>
    <w:rsid w:val="00175787"/>
    <w:rsid w:val="001764AF"/>
    <w:rsid w:val="00176604"/>
    <w:rsid w:val="00176807"/>
    <w:rsid w:val="00176B9D"/>
    <w:rsid w:val="00177778"/>
    <w:rsid w:val="00180713"/>
    <w:rsid w:val="00180720"/>
    <w:rsid w:val="001813A3"/>
    <w:rsid w:val="00181867"/>
    <w:rsid w:val="0018198F"/>
    <w:rsid w:val="00181C92"/>
    <w:rsid w:val="001830CE"/>
    <w:rsid w:val="001836E3"/>
    <w:rsid w:val="001844D8"/>
    <w:rsid w:val="00184659"/>
    <w:rsid w:val="001860E5"/>
    <w:rsid w:val="0018643B"/>
    <w:rsid w:val="001864FB"/>
    <w:rsid w:val="00187CE3"/>
    <w:rsid w:val="001906B3"/>
    <w:rsid w:val="001922FA"/>
    <w:rsid w:val="00193324"/>
    <w:rsid w:val="00193CD8"/>
    <w:rsid w:val="00193E3B"/>
    <w:rsid w:val="00194360"/>
    <w:rsid w:val="00194643"/>
    <w:rsid w:val="001954E0"/>
    <w:rsid w:val="001959D4"/>
    <w:rsid w:val="00196307"/>
    <w:rsid w:val="00196E9F"/>
    <w:rsid w:val="00196EB1"/>
    <w:rsid w:val="0019721F"/>
    <w:rsid w:val="0019722E"/>
    <w:rsid w:val="00197C70"/>
    <w:rsid w:val="00197F03"/>
    <w:rsid w:val="001A0881"/>
    <w:rsid w:val="001A0D10"/>
    <w:rsid w:val="001A0EDF"/>
    <w:rsid w:val="001A1E6A"/>
    <w:rsid w:val="001A33EA"/>
    <w:rsid w:val="001A3615"/>
    <w:rsid w:val="001A3820"/>
    <w:rsid w:val="001A4413"/>
    <w:rsid w:val="001A4A8A"/>
    <w:rsid w:val="001A4BB5"/>
    <w:rsid w:val="001A4C4F"/>
    <w:rsid w:val="001A4F0E"/>
    <w:rsid w:val="001A5A2B"/>
    <w:rsid w:val="001A76FB"/>
    <w:rsid w:val="001A7E24"/>
    <w:rsid w:val="001B017F"/>
    <w:rsid w:val="001B0B79"/>
    <w:rsid w:val="001B19EA"/>
    <w:rsid w:val="001B1C1E"/>
    <w:rsid w:val="001B1C4B"/>
    <w:rsid w:val="001B25B9"/>
    <w:rsid w:val="001B2BBC"/>
    <w:rsid w:val="001B2BCD"/>
    <w:rsid w:val="001B2F64"/>
    <w:rsid w:val="001B30D0"/>
    <w:rsid w:val="001B36F9"/>
    <w:rsid w:val="001B3A40"/>
    <w:rsid w:val="001B3EDD"/>
    <w:rsid w:val="001B3FFE"/>
    <w:rsid w:val="001B5129"/>
    <w:rsid w:val="001B56AC"/>
    <w:rsid w:val="001B5CD7"/>
    <w:rsid w:val="001B6750"/>
    <w:rsid w:val="001B690A"/>
    <w:rsid w:val="001B6B8A"/>
    <w:rsid w:val="001B6E36"/>
    <w:rsid w:val="001B6F81"/>
    <w:rsid w:val="001C0B4C"/>
    <w:rsid w:val="001C0EC4"/>
    <w:rsid w:val="001C1195"/>
    <w:rsid w:val="001C12AE"/>
    <w:rsid w:val="001C1E84"/>
    <w:rsid w:val="001C202D"/>
    <w:rsid w:val="001C20E1"/>
    <w:rsid w:val="001C25F1"/>
    <w:rsid w:val="001C2A0F"/>
    <w:rsid w:val="001C2E42"/>
    <w:rsid w:val="001C3945"/>
    <w:rsid w:val="001C4C7B"/>
    <w:rsid w:val="001C5108"/>
    <w:rsid w:val="001C5610"/>
    <w:rsid w:val="001C597C"/>
    <w:rsid w:val="001C6587"/>
    <w:rsid w:val="001D0B2B"/>
    <w:rsid w:val="001D0F46"/>
    <w:rsid w:val="001D11C7"/>
    <w:rsid w:val="001D1F5F"/>
    <w:rsid w:val="001D2A48"/>
    <w:rsid w:val="001D2CF0"/>
    <w:rsid w:val="001D3E85"/>
    <w:rsid w:val="001D4BD9"/>
    <w:rsid w:val="001D4D5E"/>
    <w:rsid w:val="001D5157"/>
    <w:rsid w:val="001D595B"/>
    <w:rsid w:val="001D6C43"/>
    <w:rsid w:val="001E06D2"/>
    <w:rsid w:val="001E08C3"/>
    <w:rsid w:val="001E1198"/>
    <w:rsid w:val="001E12A5"/>
    <w:rsid w:val="001E17C4"/>
    <w:rsid w:val="001E1D01"/>
    <w:rsid w:val="001E220C"/>
    <w:rsid w:val="001E2A47"/>
    <w:rsid w:val="001E2D65"/>
    <w:rsid w:val="001E37E0"/>
    <w:rsid w:val="001E40A4"/>
    <w:rsid w:val="001E427A"/>
    <w:rsid w:val="001E5B39"/>
    <w:rsid w:val="001E5D26"/>
    <w:rsid w:val="001E5F71"/>
    <w:rsid w:val="001E632E"/>
    <w:rsid w:val="001E6817"/>
    <w:rsid w:val="001E6D48"/>
    <w:rsid w:val="001E7681"/>
    <w:rsid w:val="001F005B"/>
    <w:rsid w:val="001F0266"/>
    <w:rsid w:val="001F063F"/>
    <w:rsid w:val="001F1850"/>
    <w:rsid w:val="001F1FBF"/>
    <w:rsid w:val="001F2279"/>
    <w:rsid w:val="001F2311"/>
    <w:rsid w:val="001F25AE"/>
    <w:rsid w:val="001F2B80"/>
    <w:rsid w:val="001F2F1C"/>
    <w:rsid w:val="001F3189"/>
    <w:rsid w:val="001F5711"/>
    <w:rsid w:val="001F5CCE"/>
    <w:rsid w:val="001F6450"/>
    <w:rsid w:val="001F7ED4"/>
    <w:rsid w:val="002002B9"/>
    <w:rsid w:val="002004A7"/>
    <w:rsid w:val="00200B8B"/>
    <w:rsid w:val="00200BEA"/>
    <w:rsid w:val="00200E73"/>
    <w:rsid w:val="00200EDC"/>
    <w:rsid w:val="002015AF"/>
    <w:rsid w:val="002015D5"/>
    <w:rsid w:val="00201D57"/>
    <w:rsid w:val="00201FB8"/>
    <w:rsid w:val="00203017"/>
    <w:rsid w:val="00203176"/>
    <w:rsid w:val="00203CFC"/>
    <w:rsid w:val="00203FAC"/>
    <w:rsid w:val="002047C2"/>
    <w:rsid w:val="00206422"/>
    <w:rsid w:val="002065A3"/>
    <w:rsid w:val="00206B00"/>
    <w:rsid w:val="0021081A"/>
    <w:rsid w:val="002108EC"/>
    <w:rsid w:val="00210D28"/>
    <w:rsid w:val="00211BCF"/>
    <w:rsid w:val="00211D0F"/>
    <w:rsid w:val="002131F3"/>
    <w:rsid w:val="002133FB"/>
    <w:rsid w:val="00213A9D"/>
    <w:rsid w:val="00213CFB"/>
    <w:rsid w:val="00214123"/>
    <w:rsid w:val="002147BC"/>
    <w:rsid w:val="0021553C"/>
    <w:rsid w:val="0021557B"/>
    <w:rsid w:val="00215DF1"/>
    <w:rsid w:val="00216B87"/>
    <w:rsid w:val="002174FD"/>
    <w:rsid w:val="00217B8C"/>
    <w:rsid w:val="00217BE1"/>
    <w:rsid w:val="002200F2"/>
    <w:rsid w:val="002203A1"/>
    <w:rsid w:val="002206D5"/>
    <w:rsid w:val="00221361"/>
    <w:rsid w:val="002214B9"/>
    <w:rsid w:val="002222DA"/>
    <w:rsid w:val="00222680"/>
    <w:rsid w:val="00222A38"/>
    <w:rsid w:val="00223370"/>
    <w:rsid w:val="00223C71"/>
    <w:rsid w:val="00223D1D"/>
    <w:rsid w:val="00224A7D"/>
    <w:rsid w:val="00224D1E"/>
    <w:rsid w:val="00226611"/>
    <w:rsid w:val="002277F7"/>
    <w:rsid w:val="00227BC5"/>
    <w:rsid w:val="00227FD2"/>
    <w:rsid w:val="00230038"/>
    <w:rsid w:val="00230F63"/>
    <w:rsid w:val="00231405"/>
    <w:rsid w:val="00232A1B"/>
    <w:rsid w:val="00232E5E"/>
    <w:rsid w:val="0023376A"/>
    <w:rsid w:val="002339E9"/>
    <w:rsid w:val="00234252"/>
    <w:rsid w:val="00234552"/>
    <w:rsid w:val="0023466E"/>
    <w:rsid w:val="00236F47"/>
    <w:rsid w:val="00237662"/>
    <w:rsid w:val="00237AC6"/>
    <w:rsid w:val="00240165"/>
    <w:rsid w:val="002413E1"/>
    <w:rsid w:val="002418D5"/>
    <w:rsid w:val="0024297A"/>
    <w:rsid w:val="00242B64"/>
    <w:rsid w:val="00242BFD"/>
    <w:rsid w:val="00244139"/>
    <w:rsid w:val="002441E6"/>
    <w:rsid w:val="00244490"/>
    <w:rsid w:val="002447D1"/>
    <w:rsid w:val="00244BEC"/>
    <w:rsid w:val="00245444"/>
    <w:rsid w:val="00245B9C"/>
    <w:rsid w:val="00247351"/>
    <w:rsid w:val="00250167"/>
    <w:rsid w:val="0025063C"/>
    <w:rsid w:val="00250692"/>
    <w:rsid w:val="00250874"/>
    <w:rsid w:val="00251714"/>
    <w:rsid w:val="002519FA"/>
    <w:rsid w:val="00251B85"/>
    <w:rsid w:val="00251BE2"/>
    <w:rsid w:val="00252587"/>
    <w:rsid w:val="00252F48"/>
    <w:rsid w:val="00253499"/>
    <w:rsid w:val="00254517"/>
    <w:rsid w:val="00254FEF"/>
    <w:rsid w:val="002551A4"/>
    <w:rsid w:val="00255952"/>
    <w:rsid w:val="00255968"/>
    <w:rsid w:val="002568E8"/>
    <w:rsid w:val="002570E5"/>
    <w:rsid w:val="00257664"/>
    <w:rsid w:val="00257D2F"/>
    <w:rsid w:val="00257D6F"/>
    <w:rsid w:val="00260165"/>
    <w:rsid w:val="00260408"/>
    <w:rsid w:val="00261576"/>
    <w:rsid w:val="002620DC"/>
    <w:rsid w:val="0026341A"/>
    <w:rsid w:val="00263830"/>
    <w:rsid w:val="00263D53"/>
    <w:rsid w:val="00265151"/>
    <w:rsid w:val="00265900"/>
    <w:rsid w:val="0026597E"/>
    <w:rsid w:val="002659E7"/>
    <w:rsid w:val="00265C2C"/>
    <w:rsid w:val="00266509"/>
    <w:rsid w:val="002669BB"/>
    <w:rsid w:val="00267098"/>
    <w:rsid w:val="00267F5D"/>
    <w:rsid w:val="0027007F"/>
    <w:rsid w:val="00270608"/>
    <w:rsid w:val="00270E90"/>
    <w:rsid w:val="00271BA1"/>
    <w:rsid w:val="00271C6F"/>
    <w:rsid w:val="00271DC8"/>
    <w:rsid w:val="002720E1"/>
    <w:rsid w:val="00272BEA"/>
    <w:rsid w:val="00272DE5"/>
    <w:rsid w:val="0027330A"/>
    <w:rsid w:val="00273AC5"/>
    <w:rsid w:val="00274075"/>
    <w:rsid w:val="00274F26"/>
    <w:rsid w:val="00275DD5"/>
    <w:rsid w:val="002762FA"/>
    <w:rsid w:val="00276695"/>
    <w:rsid w:val="00276BE3"/>
    <w:rsid w:val="00276E5F"/>
    <w:rsid w:val="00277505"/>
    <w:rsid w:val="00277600"/>
    <w:rsid w:val="00277643"/>
    <w:rsid w:val="00277873"/>
    <w:rsid w:val="00277C96"/>
    <w:rsid w:val="00277EAD"/>
    <w:rsid w:val="0028158C"/>
    <w:rsid w:val="00281A92"/>
    <w:rsid w:val="002822F0"/>
    <w:rsid w:val="002823B6"/>
    <w:rsid w:val="00282520"/>
    <w:rsid w:val="00282B2B"/>
    <w:rsid w:val="00282DEB"/>
    <w:rsid w:val="00283482"/>
    <w:rsid w:val="00285315"/>
    <w:rsid w:val="00285BC5"/>
    <w:rsid w:val="002860D9"/>
    <w:rsid w:val="00286A61"/>
    <w:rsid w:val="00290109"/>
    <w:rsid w:val="00290C03"/>
    <w:rsid w:val="00290D15"/>
    <w:rsid w:val="00291313"/>
    <w:rsid w:val="00291A3E"/>
    <w:rsid w:val="002920C3"/>
    <w:rsid w:val="00292392"/>
    <w:rsid w:val="0029283F"/>
    <w:rsid w:val="0029290D"/>
    <w:rsid w:val="00292E3B"/>
    <w:rsid w:val="00292EC9"/>
    <w:rsid w:val="002933A8"/>
    <w:rsid w:val="00294274"/>
    <w:rsid w:val="0029458F"/>
    <w:rsid w:val="00294A8E"/>
    <w:rsid w:val="00294CFC"/>
    <w:rsid w:val="00294E92"/>
    <w:rsid w:val="00295461"/>
    <w:rsid w:val="0029569F"/>
    <w:rsid w:val="002957B0"/>
    <w:rsid w:val="00295D04"/>
    <w:rsid w:val="002960F3"/>
    <w:rsid w:val="002962B3"/>
    <w:rsid w:val="00297A63"/>
    <w:rsid w:val="002A018F"/>
    <w:rsid w:val="002A068B"/>
    <w:rsid w:val="002A0E04"/>
    <w:rsid w:val="002A0E4A"/>
    <w:rsid w:val="002A104C"/>
    <w:rsid w:val="002A1959"/>
    <w:rsid w:val="002A1EF7"/>
    <w:rsid w:val="002A25F6"/>
    <w:rsid w:val="002A2B7B"/>
    <w:rsid w:val="002A2E23"/>
    <w:rsid w:val="002A4627"/>
    <w:rsid w:val="002A494D"/>
    <w:rsid w:val="002A4960"/>
    <w:rsid w:val="002A527C"/>
    <w:rsid w:val="002A548C"/>
    <w:rsid w:val="002A5EE1"/>
    <w:rsid w:val="002A636A"/>
    <w:rsid w:val="002A667F"/>
    <w:rsid w:val="002A7468"/>
    <w:rsid w:val="002A7530"/>
    <w:rsid w:val="002A755F"/>
    <w:rsid w:val="002B0AE0"/>
    <w:rsid w:val="002B0B2B"/>
    <w:rsid w:val="002B15D6"/>
    <w:rsid w:val="002B1AE6"/>
    <w:rsid w:val="002B1D51"/>
    <w:rsid w:val="002B1DC1"/>
    <w:rsid w:val="002B2591"/>
    <w:rsid w:val="002B2DE8"/>
    <w:rsid w:val="002B30F8"/>
    <w:rsid w:val="002B388A"/>
    <w:rsid w:val="002B3BFE"/>
    <w:rsid w:val="002B3C1A"/>
    <w:rsid w:val="002B4BF1"/>
    <w:rsid w:val="002B4C2A"/>
    <w:rsid w:val="002B5596"/>
    <w:rsid w:val="002B6618"/>
    <w:rsid w:val="002B6648"/>
    <w:rsid w:val="002B6E9C"/>
    <w:rsid w:val="002B7192"/>
    <w:rsid w:val="002B77D7"/>
    <w:rsid w:val="002B7B6A"/>
    <w:rsid w:val="002C054F"/>
    <w:rsid w:val="002C0763"/>
    <w:rsid w:val="002C1CEA"/>
    <w:rsid w:val="002C20B3"/>
    <w:rsid w:val="002C212F"/>
    <w:rsid w:val="002C26D5"/>
    <w:rsid w:val="002C294B"/>
    <w:rsid w:val="002C2A2F"/>
    <w:rsid w:val="002C2F35"/>
    <w:rsid w:val="002C302D"/>
    <w:rsid w:val="002C4374"/>
    <w:rsid w:val="002C499B"/>
    <w:rsid w:val="002C56B6"/>
    <w:rsid w:val="002C5850"/>
    <w:rsid w:val="002C62FD"/>
    <w:rsid w:val="002C6AA9"/>
    <w:rsid w:val="002C6AC9"/>
    <w:rsid w:val="002C6D1E"/>
    <w:rsid w:val="002C7485"/>
    <w:rsid w:val="002D027F"/>
    <w:rsid w:val="002D0C77"/>
    <w:rsid w:val="002D19AE"/>
    <w:rsid w:val="002D1A1D"/>
    <w:rsid w:val="002D21D2"/>
    <w:rsid w:val="002D2641"/>
    <w:rsid w:val="002D283A"/>
    <w:rsid w:val="002D2EE9"/>
    <w:rsid w:val="002D3700"/>
    <w:rsid w:val="002D4184"/>
    <w:rsid w:val="002D4543"/>
    <w:rsid w:val="002D4BD3"/>
    <w:rsid w:val="002D4C61"/>
    <w:rsid w:val="002D53A6"/>
    <w:rsid w:val="002D6C48"/>
    <w:rsid w:val="002D715F"/>
    <w:rsid w:val="002D7276"/>
    <w:rsid w:val="002E022A"/>
    <w:rsid w:val="002E041C"/>
    <w:rsid w:val="002E07FA"/>
    <w:rsid w:val="002E1B77"/>
    <w:rsid w:val="002E26B8"/>
    <w:rsid w:val="002E3153"/>
    <w:rsid w:val="002E3FD4"/>
    <w:rsid w:val="002E49FD"/>
    <w:rsid w:val="002E4A02"/>
    <w:rsid w:val="002E4EA1"/>
    <w:rsid w:val="002E5292"/>
    <w:rsid w:val="002E586F"/>
    <w:rsid w:val="002E5ADD"/>
    <w:rsid w:val="002E72CA"/>
    <w:rsid w:val="002E735E"/>
    <w:rsid w:val="002E75DD"/>
    <w:rsid w:val="002F02A6"/>
    <w:rsid w:val="002F071B"/>
    <w:rsid w:val="002F0C66"/>
    <w:rsid w:val="002F1380"/>
    <w:rsid w:val="002F1D07"/>
    <w:rsid w:val="002F1DEB"/>
    <w:rsid w:val="002F4E54"/>
    <w:rsid w:val="002F5A3C"/>
    <w:rsid w:val="002F5C5B"/>
    <w:rsid w:val="002F600D"/>
    <w:rsid w:val="002F6AFA"/>
    <w:rsid w:val="002F6D09"/>
    <w:rsid w:val="002F6F0F"/>
    <w:rsid w:val="002F6F8F"/>
    <w:rsid w:val="002F7B91"/>
    <w:rsid w:val="002F7C71"/>
    <w:rsid w:val="002F7E47"/>
    <w:rsid w:val="00300319"/>
    <w:rsid w:val="0030040A"/>
    <w:rsid w:val="00300AD6"/>
    <w:rsid w:val="00300B1B"/>
    <w:rsid w:val="0030103D"/>
    <w:rsid w:val="003019D0"/>
    <w:rsid w:val="003019DE"/>
    <w:rsid w:val="0030311E"/>
    <w:rsid w:val="00303A5B"/>
    <w:rsid w:val="00303BD6"/>
    <w:rsid w:val="00303CFE"/>
    <w:rsid w:val="00304273"/>
    <w:rsid w:val="003043AB"/>
    <w:rsid w:val="0030455C"/>
    <w:rsid w:val="00304B59"/>
    <w:rsid w:val="00304B9B"/>
    <w:rsid w:val="0030534E"/>
    <w:rsid w:val="00305539"/>
    <w:rsid w:val="00305C0C"/>
    <w:rsid w:val="003064AF"/>
    <w:rsid w:val="003067F9"/>
    <w:rsid w:val="00306F0B"/>
    <w:rsid w:val="0030727C"/>
    <w:rsid w:val="003073B6"/>
    <w:rsid w:val="00307900"/>
    <w:rsid w:val="00307DC6"/>
    <w:rsid w:val="00307FE5"/>
    <w:rsid w:val="0031018E"/>
    <w:rsid w:val="003101CB"/>
    <w:rsid w:val="003102A1"/>
    <w:rsid w:val="0031078F"/>
    <w:rsid w:val="003109B5"/>
    <w:rsid w:val="00310A8B"/>
    <w:rsid w:val="00310B68"/>
    <w:rsid w:val="00310F63"/>
    <w:rsid w:val="00313666"/>
    <w:rsid w:val="00313A6E"/>
    <w:rsid w:val="00314280"/>
    <w:rsid w:val="00314E74"/>
    <w:rsid w:val="003154F8"/>
    <w:rsid w:val="0031556D"/>
    <w:rsid w:val="00315835"/>
    <w:rsid w:val="003160D2"/>
    <w:rsid w:val="0031612F"/>
    <w:rsid w:val="00316D78"/>
    <w:rsid w:val="00316EEB"/>
    <w:rsid w:val="003173FC"/>
    <w:rsid w:val="00317C6C"/>
    <w:rsid w:val="003203FE"/>
    <w:rsid w:val="00320B80"/>
    <w:rsid w:val="00320BDB"/>
    <w:rsid w:val="00320CD3"/>
    <w:rsid w:val="00320E83"/>
    <w:rsid w:val="00321296"/>
    <w:rsid w:val="003215FF"/>
    <w:rsid w:val="00322667"/>
    <w:rsid w:val="0032292D"/>
    <w:rsid w:val="003256E3"/>
    <w:rsid w:val="00325C95"/>
    <w:rsid w:val="0032607C"/>
    <w:rsid w:val="00326C10"/>
    <w:rsid w:val="00326E79"/>
    <w:rsid w:val="00327069"/>
    <w:rsid w:val="0032748A"/>
    <w:rsid w:val="00327559"/>
    <w:rsid w:val="003301B1"/>
    <w:rsid w:val="0033084F"/>
    <w:rsid w:val="00331189"/>
    <w:rsid w:val="00331C7A"/>
    <w:rsid w:val="00331EB6"/>
    <w:rsid w:val="0033263D"/>
    <w:rsid w:val="00332BE6"/>
    <w:rsid w:val="003331E9"/>
    <w:rsid w:val="00334E69"/>
    <w:rsid w:val="0033518A"/>
    <w:rsid w:val="00335535"/>
    <w:rsid w:val="00335675"/>
    <w:rsid w:val="00335D76"/>
    <w:rsid w:val="003367EF"/>
    <w:rsid w:val="0033692C"/>
    <w:rsid w:val="00336D6A"/>
    <w:rsid w:val="0033742F"/>
    <w:rsid w:val="00337491"/>
    <w:rsid w:val="003376E0"/>
    <w:rsid w:val="00337E22"/>
    <w:rsid w:val="00340100"/>
    <w:rsid w:val="00341593"/>
    <w:rsid w:val="00341A43"/>
    <w:rsid w:val="00341AE4"/>
    <w:rsid w:val="0034222B"/>
    <w:rsid w:val="00342315"/>
    <w:rsid w:val="003425CA"/>
    <w:rsid w:val="0034293B"/>
    <w:rsid w:val="00343FB7"/>
    <w:rsid w:val="00344B98"/>
    <w:rsid w:val="00345322"/>
    <w:rsid w:val="003453EC"/>
    <w:rsid w:val="00345474"/>
    <w:rsid w:val="0034659C"/>
    <w:rsid w:val="003476EE"/>
    <w:rsid w:val="0034797B"/>
    <w:rsid w:val="00350231"/>
    <w:rsid w:val="00350F1A"/>
    <w:rsid w:val="0035418D"/>
    <w:rsid w:val="003541DD"/>
    <w:rsid w:val="003555D4"/>
    <w:rsid w:val="003557A3"/>
    <w:rsid w:val="00356990"/>
    <w:rsid w:val="00356A0D"/>
    <w:rsid w:val="00356D4C"/>
    <w:rsid w:val="00356D97"/>
    <w:rsid w:val="00356E5B"/>
    <w:rsid w:val="00357C35"/>
    <w:rsid w:val="00360887"/>
    <w:rsid w:val="00360B9D"/>
    <w:rsid w:val="003610F0"/>
    <w:rsid w:val="0036176B"/>
    <w:rsid w:val="0036249F"/>
    <w:rsid w:val="00363FA6"/>
    <w:rsid w:val="00364013"/>
    <w:rsid w:val="00364C29"/>
    <w:rsid w:val="00364FF9"/>
    <w:rsid w:val="0036718C"/>
    <w:rsid w:val="00367B66"/>
    <w:rsid w:val="0037077E"/>
    <w:rsid w:val="00371246"/>
    <w:rsid w:val="003713CE"/>
    <w:rsid w:val="003720C8"/>
    <w:rsid w:val="003723B1"/>
    <w:rsid w:val="003736C9"/>
    <w:rsid w:val="00373CB9"/>
    <w:rsid w:val="00373CDA"/>
    <w:rsid w:val="00373DCA"/>
    <w:rsid w:val="00373E5C"/>
    <w:rsid w:val="00373ECC"/>
    <w:rsid w:val="003747E6"/>
    <w:rsid w:val="00374914"/>
    <w:rsid w:val="00374943"/>
    <w:rsid w:val="00375026"/>
    <w:rsid w:val="0037561C"/>
    <w:rsid w:val="003757B0"/>
    <w:rsid w:val="00375E89"/>
    <w:rsid w:val="003768B8"/>
    <w:rsid w:val="003772EE"/>
    <w:rsid w:val="0037787E"/>
    <w:rsid w:val="00380995"/>
    <w:rsid w:val="00381189"/>
    <w:rsid w:val="00381380"/>
    <w:rsid w:val="00381445"/>
    <w:rsid w:val="0038197D"/>
    <w:rsid w:val="00381AAB"/>
    <w:rsid w:val="00381CC9"/>
    <w:rsid w:val="0038290D"/>
    <w:rsid w:val="00382FE5"/>
    <w:rsid w:val="003831D9"/>
    <w:rsid w:val="00383B77"/>
    <w:rsid w:val="00384988"/>
    <w:rsid w:val="003852C8"/>
    <w:rsid w:val="00385786"/>
    <w:rsid w:val="00385AF8"/>
    <w:rsid w:val="003860DC"/>
    <w:rsid w:val="003871BF"/>
    <w:rsid w:val="003872CF"/>
    <w:rsid w:val="0038737C"/>
    <w:rsid w:val="003874CB"/>
    <w:rsid w:val="003878B5"/>
    <w:rsid w:val="00391080"/>
    <w:rsid w:val="003913D4"/>
    <w:rsid w:val="0039210A"/>
    <w:rsid w:val="003921B8"/>
    <w:rsid w:val="003922F8"/>
    <w:rsid w:val="0039570D"/>
    <w:rsid w:val="00395E58"/>
    <w:rsid w:val="00395FE7"/>
    <w:rsid w:val="00396402"/>
    <w:rsid w:val="00396E08"/>
    <w:rsid w:val="003970DD"/>
    <w:rsid w:val="0039782C"/>
    <w:rsid w:val="00397F98"/>
    <w:rsid w:val="003A0412"/>
    <w:rsid w:val="003A0F69"/>
    <w:rsid w:val="003A111C"/>
    <w:rsid w:val="003A13A6"/>
    <w:rsid w:val="003A197A"/>
    <w:rsid w:val="003A2165"/>
    <w:rsid w:val="003A2C1A"/>
    <w:rsid w:val="003A2D75"/>
    <w:rsid w:val="003A3AF3"/>
    <w:rsid w:val="003A3DA0"/>
    <w:rsid w:val="003A3FD4"/>
    <w:rsid w:val="003A42C1"/>
    <w:rsid w:val="003A4376"/>
    <w:rsid w:val="003A4503"/>
    <w:rsid w:val="003A453B"/>
    <w:rsid w:val="003A4DC9"/>
    <w:rsid w:val="003A586A"/>
    <w:rsid w:val="003A5B4A"/>
    <w:rsid w:val="003A5D95"/>
    <w:rsid w:val="003A648E"/>
    <w:rsid w:val="003A6510"/>
    <w:rsid w:val="003A6DC9"/>
    <w:rsid w:val="003A6FE6"/>
    <w:rsid w:val="003A7227"/>
    <w:rsid w:val="003A74E2"/>
    <w:rsid w:val="003A7A7F"/>
    <w:rsid w:val="003A7EA2"/>
    <w:rsid w:val="003A7FC2"/>
    <w:rsid w:val="003B0852"/>
    <w:rsid w:val="003B0A12"/>
    <w:rsid w:val="003B0D3A"/>
    <w:rsid w:val="003B2302"/>
    <w:rsid w:val="003B23C5"/>
    <w:rsid w:val="003B2A75"/>
    <w:rsid w:val="003B347C"/>
    <w:rsid w:val="003B3E13"/>
    <w:rsid w:val="003B49B2"/>
    <w:rsid w:val="003B4A52"/>
    <w:rsid w:val="003B4B0F"/>
    <w:rsid w:val="003B4FBE"/>
    <w:rsid w:val="003B5744"/>
    <w:rsid w:val="003B6124"/>
    <w:rsid w:val="003B7960"/>
    <w:rsid w:val="003C03B4"/>
    <w:rsid w:val="003C0908"/>
    <w:rsid w:val="003C093A"/>
    <w:rsid w:val="003C1ECF"/>
    <w:rsid w:val="003C24C7"/>
    <w:rsid w:val="003C2745"/>
    <w:rsid w:val="003C2FB5"/>
    <w:rsid w:val="003C3527"/>
    <w:rsid w:val="003C3FAD"/>
    <w:rsid w:val="003C4970"/>
    <w:rsid w:val="003C5459"/>
    <w:rsid w:val="003C565E"/>
    <w:rsid w:val="003C56C1"/>
    <w:rsid w:val="003C583D"/>
    <w:rsid w:val="003C5DCD"/>
    <w:rsid w:val="003C631F"/>
    <w:rsid w:val="003C7F41"/>
    <w:rsid w:val="003D190D"/>
    <w:rsid w:val="003D1AFA"/>
    <w:rsid w:val="003D24C5"/>
    <w:rsid w:val="003D2532"/>
    <w:rsid w:val="003D2B53"/>
    <w:rsid w:val="003D3DFB"/>
    <w:rsid w:val="003D3E22"/>
    <w:rsid w:val="003D4395"/>
    <w:rsid w:val="003D4594"/>
    <w:rsid w:val="003D4684"/>
    <w:rsid w:val="003D4AC4"/>
    <w:rsid w:val="003D4F96"/>
    <w:rsid w:val="003D5341"/>
    <w:rsid w:val="003D5386"/>
    <w:rsid w:val="003D5433"/>
    <w:rsid w:val="003D5D5F"/>
    <w:rsid w:val="003D5D78"/>
    <w:rsid w:val="003D613E"/>
    <w:rsid w:val="003D63B7"/>
    <w:rsid w:val="003D63DC"/>
    <w:rsid w:val="003D6C59"/>
    <w:rsid w:val="003D74C5"/>
    <w:rsid w:val="003D7B51"/>
    <w:rsid w:val="003E1596"/>
    <w:rsid w:val="003E2680"/>
    <w:rsid w:val="003E3A0C"/>
    <w:rsid w:val="003E3B72"/>
    <w:rsid w:val="003E4374"/>
    <w:rsid w:val="003E468B"/>
    <w:rsid w:val="003E5ACB"/>
    <w:rsid w:val="003E62BD"/>
    <w:rsid w:val="003E658D"/>
    <w:rsid w:val="003E6CE8"/>
    <w:rsid w:val="003E7A69"/>
    <w:rsid w:val="003F044F"/>
    <w:rsid w:val="003F093A"/>
    <w:rsid w:val="003F0C3A"/>
    <w:rsid w:val="003F15F0"/>
    <w:rsid w:val="003F1EA8"/>
    <w:rsid w:val="003F27AF"/>
    <w:rsid w:val="003F2AD9"/>
    <w:rsid w:val="003F2E69"/>
    <w:rsid w:val="003F3228"/>
    <w:rsid w:val="003F34B6"/>
    <w:rsid w:val="003F3CB5"/>
    <w:rsid w:val="003F3F9A"/>
    <w:rsid w:val="003F5BCD"/>
    <w:rsid w:val="003F5C8C"/>
    <w:rsid w:val="003F60A9"/>
    <w:rsid w:val="003F61F5"/>
    <w:rsid w:val="003F63CE"/>
    <w:rsid w:val="003F69B8"/>
    <w:rsid w:val="003F7136"/>
    <w:rsid w:val="003F775A"/>
    <w:rsid w:val="003F7884"/>
    <w:rsid w:val="00400042"/>
    <w:rsid w:val="00400E55"/>
    <w:rsid w:val="0040128E"/>
    <w:rsid w:val="00401640"/>
    <w:rsid w:val="00401B68"/>
    <w:rsid w:val="0040216B"/>
    <w:rsid w:val="0040316A"/>
    <w:rsid w:val="00404852"/>
    <w:rsid w:val="00404EDA"/>
    <w:rsid w:val="00405299"/>
    <w:rsid w:val="0040573C"/>
    <w:rsid w:val="0040590E"/>
    <w:rsid w:val="004077E6"/>
    <w:rsid w:val="00407CC8"/>
    <w:rsid w:val="0041016A"/>
    <w:rsid w:val="00410F0E"/>
    <w:rsid w:val="004113E9"/>
    <w:rsid w:val="0041198C"/>
    <w:rsid w:val="00411D3A"/>
    <w:rsid w:val="00414B5D"/>
    <w:rsid w:val="00414D5C"/>
    <w:rsid w:val="00414F0C"/>
    <w:rsid w:val="00415170"/>
    <w:rsid w:val="004151DF"/>
    <w:rsid w:val="00416203"/>
    <w:rsid w:val="0041631E"/>
    <w:rsid w:val="00417703"/>
    <w:rsid w:val="00420400"/>
    <w:rsid w:val="00421802"/>
    <w:rsid w:val="0042264B"/>
    <w:rsid w:val="00423803"/>
    <w:rsid w:val="00423E78"/>
    <w:rsid w:val="004252EC"/>
    <w:rsid w:val="00425D93"/>
    <w:rsid w:val="00425FF8"/>
    <w:rsid w:val="004261A6"/>
    <w:rsid w:val="00427815"/>
    <w:rsid w:val="00427F21"/>
    <w:rsid w:val="00430D39"/>
    <w:rsid w:val="00431CAD"/>
    <w:rsid w:val="00431D45"/>
    <w:rsid w:val="0043245D"/>
    <w:rsid w:val="00432DE8"/>
    <w:rsid w:val="00432EBF"/>
    <w:rsid w:val="00433EDA"/>
    <w:rsid w:val="00433FC0"/>
    <w:rsid w:val="004349C1"/>
    <w:rsid w:val="0043569A"/>
    <w:rsid w:val="00435E23"/>
    <w:rsid w:val="00436E25"/>
    <w:rsid w:val="0043730D"/>
    <w:rsid w:val="00437951"/>
    <w:rsid w:val="00437BA9"/>
    <w:rsid w:val="004405A3"/>
    <w:rsid w:val="00441F7B"/>
    <w:rsid w:val="00442145"/>
    <w:rsid w:val="00442C91"/>
    <w:rsid w:val="00443A2E"/>
    <w:rsid w:val="00444E9D"/>
    <w:rsid w:val="004452CD"/>
    <w:rsid w:val="00445ACB"/>
    <w:rsid w:val="004465BD"/>
    <w:rsid w:val="00446756"/>
    <w:rsid w:val="00446938"/>
    <w:rsid w:val="00446B3A"/>
    <w:rsid w:val="00447BE5"/>
    <w:rsid w:val="00447DD9"/>
    <w:rsid w:val="00450E0D"/>
    <w:rsid w:val="00450E5A"/>
    <w:rsid w:val="0045275E"/>
    <w:rsid w:val="004528FA"/>
    <w:rsid w:val="00452A6C"/>
    <w:rsid w:val="00453D27"/>
    <w:rsid w:val="00454436"/>
    <w:rsid w:val="00454457"/>
    <w:rsid w:val="004547BB"/>
    <w:rsid w:val="00454A6A"/>
    <w:rsid w:val="00455057"/>
    <w:rsid w:val="00455CE3"/>
    <w:rsid w:val="004565BB"/>
    <w:rsid w:val="004572A9"/>
    <w:rsid w:val="004573EF"/>
    <w:rsid w:val="00460F5C"/>
    <w:rsid w:val="00460F99"/>
    <w:rsid w:val="00461A44"/>
    <w:rsid w:val="004623D4"/>
    <w:rsid w:val="00462D26"/>
    <w:rsid w:val="0046368B"/>
    <w:rsid w:val="0046385A"/>
    <w:rsid w:val="004639CD"/>
    <w:rsid w:val="00464039"/>
    <w:rsid w:val="004656BF"/>
    <w:rsid w:val="00465AEA"/>
    <w:rsid w:val="00466ADA"/>
    <w:rsid w:val="0046737B"/>
    <w:rsid w:val="00467888"/>
    <w:rsid w:val="004678DC"/>
    <w:rsid w:val="0047003C"/>
    <w:rsid w:val="004702BB"/>
    <w:rsid w:val="0047211D"/>
    <w:rsid w:val="00473314"/>
    <w:rsid w:val="004734C2"/>
    <w:rsid w:val="00473909"/>
    <w:rsid w:val="0047494B"/>
    <w:rsid w:val="00476245"/>
    <w:rsid w:val="00476E08"/>
    <w:rsid w:val="00477329"/>
    <w:rsid w:val="004773C4"/>
    <w:rsid w:val="00477A9B"/>
    <w:rsid w:val="00477CE0"/>
    <w:rsid w:val="0048060B"/>
    <w:rsid w:val="00480CCC"/>
    <w:rsid w:val="00480CFA"/>
    <w:rsid w:val="0048116F"/>
    <w:rsid w:val="00481C6A"/>
    <w:rsid w:val="00481E0C"/>
    <w:rsid w:val="00482AE4"/>
    <w:rsid w:val="00483035"/>
    <w:rsid w:val="00483BE6"/>
    <w:rsid w:val="00484650"/>
    <w:rsid w:val="00485940"/>
    <w:rsid w:val="0048600A"/>
    <w:rsid w:val="00486550"/>
    <w:rsid w:val="00486C95"/>
    <w:rsid w:val="004877C2"/>
    <w:rsid w:val="00487A45"/>
    <w:rsid w:val="004904B9"/>
    <w:rsid w:val="00491EDC"/>
    <w:rsid w:val="004928E1"/>
    <w:rsid w:val="00492D8D"/>
    <w:rsid w:val="004933A8"/>
    <w:rsid w:val="004937C3"/>
    <w:rsid w:val="00493AC2"/>
    <w:rsid w:val="00493D2D"/>
    <w:rsid w:val="004946A8"/>
    <w:rsid w:val="00494EDD"/>
    <w:rsid w:val="00494FAA"/>
    <w:rsid w:val="00495180"/>
    <w:rsid w:val="00495760"/>
    <w:rsid w:val="00496662"/>
    <w:rsid w:val="004967FE"/>
    <w:rsid w:val="00496829"/>
    <w:rsid w:val="00496FF7"/>
    <w:rsid w:val="00497A30"/>
    <w:rsid w:val="00497DE9"/>
    <w:rsid w:val="004A1431"/>
    <w:rsid w:val="004A2041"/>
    <w:rsid w:val="004A2484"/>
    <w:rsid w:val="004A2D3E"/>
    <w:rsid w:val="004A2FC9"/>
    <w:rsid w:val="004A378E"/>
    <w:rsid w:val="004A3BD6"/>
    <w:rsid w:val="004A4502"/>
    <w:rsid w:val="004A4BF1"/>
    <w:rsid w:val="004A5A85"/>
    <w:rsid w:val="004A71D1"/>
    <w:rsid w:val="004A7608"/>
    <w:rsid w:val="004A7C5B"/>
    <w:rsid w:val="004B13FA"/>
    <w:rsid w:val="004B1845"/>
    <w:rsid w:val="004B191D"/>
    <w:rsid w:val="004B21EF"/>
    <w:rsid w:val="004B2348"/>
    <w:rsid w:val="004B244D"/>
    <w:rsid w:val="004B2E01"/>
    <w:rsid w:val="004B2E4F"/>
    <w:rsid w:val="004B2E98"/>
    <w:rsid w:val="004B31A9"/>
    <w:rsid w:val="004B3982"/>
    <w:rsid w:val="004B3A1E"/>
    <w:rsid w:val="004B3A76"/>
    <w:rsid w:val="004B403B"/>
    <w:rsid w:val="004B49EF"/>
    <w:rsid w:val="004B5640"/>
    <w:rsid w:val="004B6084"/>
    <w:rsid w:val="004B66D9"/>
    <w:rsid w:val="004BCF29"/>
    <w:rsid w:val="004C0206"/>
    <w:rsid w:val="004C03D0"/>
    <w:rsid w:val="004C1BD7"/>
    <w:rsid w:val="004C1BF2"/>
    <w:rsid w:val="004C2386"/>
    <w:rsid w:val="004C239C"/>
    <w:rsid w:val="004C31FE"/>
    <w:rsid w:val="004C524C"/>
    <w:rsid w:val="004C5EDD"/>
    <w:rsid w:val="004C5FFA"/>
    <w:rsid w:val="004C6221"/>
    <w:rsid w:val="004C691D"/>
    <w:rsid w:val="004C6C07"/>
    <w:rsid w:val="004C7E15"/>
    <w:rsid w:val="004C7EC6"/>
    <w:rsid w:val="004D0851"/>
    <w:rsid w:val="004D12D7"/>
    <w:rsid w:val="004D181B"/>
    <w:rsid w:val="004D2224"/>
    <w:rsid w:val="004D2CD1"/>
    <w:rsid w:val="004D3479"/>
    <w:rsid w:val="004D365C"/>
    <w:rsid w:val="004D3F03"/>
    <w:rsid w:val="004D4F0A"/>
    <w:rsid w:val="004D4FF6"/>
    <w:rsid w:val="004D5ADD"/>
    <w:rsid w:val="004D699C"/>
    <w:rsid w:val="004D788F"/>
    <w:rsid w:val="004E0CC3"/>
    <w:rsid w:val="004E2140"/>
    <w:rsid w:val="004E2849"/>
    <w:rsid w:val="004E28BF"/>
    <w:rsid w:val="004E33F9"/>
    <w:rsid w:val="004E34D2"/>
    <w:rsid w:val="004E382E"/>
    <w:rsid w:val="004E3DF3"/>
    <w:rsid w:val="004E57EE"/>
    <w:rsid w:val="004E692D"/>
    <w:rsid w:val="004E7230"/>
    <w:rsid w:val="004E7394"/>
    <w:rsid w:val="004E7A6D"/>
    <w:rsid w:val="004E7D87"/>
    <w:rsid w:val="004F0407"/>
    <w:rsid w:val="004F0594"/>
    <w:rsid w:val="004F0915"/>
    <w:rsid w:val="004F2553"/>
    <w:rsid w:val="004F25D2"/>
    <w:rsid w:val="004F25E3"/>
    <w:rsid w:val="004F2737"/>
    <w:rsid w:val="004F306A"/>
    <w:rsid w:val="004F30B3"/>
    <w:rsid w:val="004F376D"/>
    <w:rsid w:val="004F38F6"/>
    <w:rsid w:val="004F3E27"/>
    <w:rsid w:val="004F4839"/>
    <w:rsid w:val="004F5392"/>
    <w:rsid w:val="004F6A6C"/>
    <w:rsid w:val="004F6D41"/>
    <w:rsid w:val="005004DC"/>
    <w:rsid w:val="00500E45"/>
    <w:rsid w:val="005012F7"/>
    <w:rsid w:val="005013B8"/>
    <w:rsid w:val="00501554"/>
    <w:rsid w:val="00502085"/>
    <w:rsid w:val="005026DB"/>
    <w:rsid w:val="00502AFE"/>
    <w:rsid w:val="00502E64"/>
    <w:rsid w:val="00503AD7"/>
    <w:rsid w:val="00503E89"/>
    <w:rsid w:val="00504E0C"/>
    <w:rsid w:val="00504E13"/>
    <w:rsid w:val="00505494"/>
    <w:rsid w:val="00505ACA"/>
    <w:rsid w:val="00506090"/>
    <w:rsid w:val="00507AA8"/>
    <w:rsid w:val="00510254"/>
    <w:rsid w:val="005109D4"/>
    <w:rsid w:val="00511017"/>
    <w:rsid w:val="005119B0"/>
    <w:rsid w:val="00511E72"/>
    <w:rsid w:val="005121D8"/>
    <w:rsid w:val="0051230A"/>
    <w:rsid w:val="00512FAE"/>
    <w:rsid w:val="0051346E"/>
    <w:rsid w:val="00513A0D"/>
    <w:rsid w:val="00513BCA"/>
    <w:rsid w:val="0051423A"/>
    <w:rsid w:val="00514CD7"/>
    <w:rsid w:val="0051602A"/>
    <w:rsid w:val="005165B4"/>
    <w:rsid w:val="005167EC"/>
    <w:rsid w:val="00516EE6"/>
    <w:rsid w:val="005170DA"/>
    <w:rsid w:val="00520D6A"/>
    <w:rsid w:val="0052130B"/>
    <w:rsid w:val="00522328"/>
    <w:rsid w:val="00522A96"/>
    <w:rsid w:val="00522DB6"/>
    <w:rsid w:val="00523215"/>
    <w:rsid w:val="0052604B"/>
    <w:rsid w:val="005260B4"/>
    <w:rsid w:val="005264A7"/>
    <w:rsid w:val="00526A8D"/>
    <w:rsid w:val="00527863"/>
    <w:rsid w:val="0052792D"/>
    <w:rsid w:val="00530700"/>
    <w:rsid w:val="00531519"/>
    <w:rsid w:val="005316CF"/>
    <w:rsid w:val="005319B2"/>
    <w:rsid w:val="00532402"/>
    <w:rsid w:val="00532C74"/>
    <w:rsid w:val="0053319E"/>
    <w:rsid w:val="00533239"/>
    <w:rsid w:val="00534B15"/>
    <w:rsid w:val="00534E2E"/>
    <w:rsid w:val="00535133"/>
    <w:rsid w:val="005352E8"/>
    <w:rsid w:val="005353FC"/>
    <w:rsid w:val="00535961"/>
    <w:rsid w:val="00535DD7"/>
    <w:rsid w:val="005366C5"/>
    <w:rsid w:val="00536DF2"/>
    <w:rsid w:val="0054064C"/>
    <w:rsid w:val="00540D25"/>
    <w:rsid w:val="0054151B"/>
    <w:rsid w:val="00542BBA"/>
    <w:rsid w:val="00544552"/>
    <w:rsid w:val="00544A38"/>
    <w:rsid w:val="00544B26"/>
    <w:rsid w:val="00545130"/>
    <w:rsid w:val="00545DF0"/>
    <w:rsid w:val="00545E38"/>
    <w:rsid w:val="005462B3"/>
    <w:rsid w:val="005465B0"/>
    <w:rsid w:val="00546818"/>
    <w:rsid w:val="00546B36"/>
    <w:rsid w:val="00547797"/>
    <w:rsid w:val="0055177B"/>
    <w:rsid w:val="005517AE"/>
    <w:rsid w:val="00551BEB"/>
    <w:rsid w:val="0055286A"/>
    <w:rsid w:val="0055347D"/>
    <w:rsid w:val="00553AED"/>
    <w:rsid w:val="00554110"/>
    <w:rsid w:val="00554FAF"/>
    <w:rsid w:val="00555640"/>
    <w:rsid w:val="00555745"/>
    <w:rsid w:val="00557B7E"/>
    <w:rsid w:val="00557D4F"/>
    <w:rsid w:val="00560519"/>
    <w:rsid w:val="0056122E"/>
    <w:rsid w:val="00561711"/>
    <w:rsid w:val="00562105"/>
    <w:rsid w:val="00562F30"/>
    <w:rsid w:val="00563352"/>
    <w:rsid w:val="0056484E"/>
    <w:rsid w:val="00564CC8"/>
    <w:rsid w:val="00564DFE"/>
    <w:rsid w:val="0056571C"/>
    <w:rsid w:val="00565999"/>
    <w:rsid w:val="00565A32"/>
    <w:rsid w:val="005661ED"/>
    <w:rsid w:val="005665A3"/>
    <w:rsid w:val="005669E1"/>
    <w:rsid w:val="00567868"/>
    <w:rsid w:val="00567D8A"/>
    <w:rsid w:val="00570231"/>
    <w:rsid w:val="00570DE1"/>
    <w:rsid w:val="005714B7"/>
    <w:rsid w:val="00571C2B"/>
    <w:rsid w:val="00572052"/>
    <w:rsid w:val="005745CD"/>
    <w:rsid w:val="00574805"/>
    <w:rsid w:val="005750E9"/>
    <w:rsid w:val="00575DD5"/>
    <w:rsid w:val="005764CD"/>
    <w:rsid w:val="0057703E"/>
    <w:rsid w:val="005773E3"/>
    <w:rsid w:val="00577B80"/>
    <w:rsid w:val="00577C4D"/>
    <w:rsid w:val="00577EB2"/>
    <w:rsid w:val="00580324"/>
    <w:rsid w:val="00580532"/>
    <w:rsid w:val="005814F9"/>
    <w:rsid w:val="00581932"/>
    <w:rsid w:val="00582967"/>
    <w:rsid w:val="00583002"/>
    <w:rsid w:val="00584AD8"/>
    <w:rsid w:val="00585365"/>
    <w:rsid w:val="005856E2"/>
    <w:rsid w:val="005857AE"/>
    <w:rsid w:val="005862D4"/>
    <w:rsid w:val="00587C39"/>
    <w:rsid w:val="0059035F"/>
    <w:rsid w:val="005903BB"/>
    <w:rsid w:val="00590E81"/>
    <w:rsid w:val="0059125A"/>
    <w:rsid w:val="005916DF"/>
    <w:rsid w:val="005916E9"/>
    <w:rsid w:val="00591B75"/>
    <w:rsid w:val="00591BAF"/>
    <w:rsid w:val="005929CD"/>
    <w:rsid w:val="00593738"/>
    <w:rsid w:val="00593893"/>
    <w:rsid w:val="00593F7F"/>
    <w:rsid w:val="005949A5"/>
    <w:rsid w:val="00594F71"/>
    <w:rsid w:val="005963BB"/>
    <w:rsid w:val="0059645C"/>
    <w:rsid w:val="005967F2"/>
    <w:rsid w:val="00596D37"/>
    <w:rsid w:val="005970CA"/>
    <w:rsid w:val="005971BD"/>
    <w:rsid w:val="005978A2"/>
    <w:rsid w:val="00597E3C"/>
    <w:rsid w:val="005A15D2"/>
    <w:rsid w:val="005A2111"/>
    <w:rsid w:val="005A260E"/>
    <w:rsid w:val="005A2AEC"/>
    <w:rsid w:val="005A3173"/>
    <w:rsid w:val="005A3223"/>
    <w:rsid w:val="005A3DA3"/>
    <w:rsid w:val="005A3DED"/>
    <w:rsid w:val="005A3FE8"/>
    <w:rsid w:val="005A487E"/>
    <w:rsid w:val="005A52C4"/>
    <w:rsid w:val="005A5868"/>
    <w:rsid w:val="005A6341"/>
    <w:rsid w:val="005A63A1"/>
    <w:rsid w:val="005A6F1F"/>
    <w:rsid w:val="005A72E5"/>
    <w:rsid w:val="005B0486"/>
    <w:rsid w:val="005B1032"/>
    <w:rsid w:val="005B1473"/>
    <w:rsid w:val="005B1E69"/>
    <w:rsid w:val="005B36FA"/>
    <w:rsid w:val="005B3E0D"/>
    <w:rsid w:val="005B40EC"/>
    <w:rsid w:val="005B4B9F"/>
    <w:rsid w:val="005B5C05"/>
    <w:rsid w:val="005B610E"/>
    <w:rsid w:val="005B6BFA"/>
    <w:rsid w:val="005B7360"/>
    <w:rsid w:val="005B7ECA"/>
    <w:rsid w:val="005C0504"/>
    <w:rsid w:val="005C0583"/>
    <w:rsid w:val="005C0AA9"/>
    <w:rsid w:val="005C0DDB"/>
    <w:rsid w:val="005C1E54"/>
    <w:rsid w:val="005C3594"/>
    <w:rsid w:val="005C4F73"/>
    <w:rsid w:val="005C54AA"/>
    <w:rsid w:val="005D03AB"/>
    <w:rsid w:val="005D09E8"/>
    <w:rsid w:val="005D122B"/>
    <w:rsid w:val="005D1619"/>
    <w:rsid w:val="005D1A43"/>
    <w:rsid w:val="005D1EDC"/>
    <w:rsid w:val="005D3415"/>
    <w:rsid w:val="005D401D"/>
    <w:rsid w:val="005D5017"/>
    <w:rsid w:val="005D55D9"/>
    <w:rsid w:val="005D5708"/>
    <w:rsid w:val="005D6115"/>
    <w:rsid w:val="005D63FA"/>
    <w:rsid w:val="005D643D"/>
    <w:rsid w:val="005D71F5"/>
    <w:rsid w:val="005D73C7"/>
    <w:rsid w:val="005E0050"/>
    <w:rsid w:val="005E0BA7"/>
    <w:rsid w:val="005E0C2D"/>
    <w:rsid w:val="005E0D82"/>
    <w:rsid w:val="005E0F59"/>
    <w:rsid w:val="005E1333"/>
    <w:rsid w:val="005E165F"/>
    <w:rsid w:val="005E260B"/>
    <w:rsid w:val="005E290C"/>
    <w:rsid w:val="005E3136"/>
    <w:rsid w:val="005E3CDA"/>
    <w:rsid w:val="005E4719"/>
    <w:rsid w:val="005E4963"/>
    <w:rsid w:val="005E4C7F"/>
    <w:rsid w:val="005E507D"/>
    <w:rsid w:val="005E5868"/>
    <w:rsid w:val="005E5D38"/>
    <w:rsid w:val="005E6C99"/>
    <w:rsid w:val="005E6DAA"/>
    <w:rsid w:val="005E702F"/>
    <w:rsid w:val="005F07D0"/>
    <w:rsid w:val="005F0845"/>
    <w:rsid w:val="005F0AD0"/>
    <w:rsid w:val="005F0C3F"/>
    <w:rsid w:val="005F18B7"/>
    <w:rsid w:val="005F25A4"/>
    <w:rsid w:val="005F34AE"/>
    <w:rsid w:val="005F3BC8"/>
    <w:rsid w:val="005F41A7"/>
    <w:rsid w:val="005F4E90"/>
    <w:rsid w:val="005F7161"/>
    <w:rsid w:val="00600332"/>
    <w:rsid w:val="00600A18"/>
    <w:rsid w:val="006012E6"/>
    <w:rsid w:val="00601A91"/>
    <w:rsid w:val="00602063"/>
    <w:rsid w:val="00602BA3"/>
    <w:rsid w:val="00603A15"/>
    <w:rsid w:val="0060456B"/>
    <w:rsid w:val="006055E1"/>
    <w:rsid w:val="00605B63"/>
    <w:rsid w:val="00605F9A"/>
    <w:rsid w:val="00606442"/>
    <w:rsid w:val="00606A7B"/>
    <w:rsid w:val="00606EED"/>
    <w:rsid w:val="00607DDB"/>
    <w:rsid w:val="006101DB"/>
    <w:rsid w:val="006114DA"/>
    <w:rsid w:val="006118EC"/>
    <w:rsid w:val="006119C2"/>
    <w:rsid w:val="00611F1C"/>
    <w:rsid w:val="00612A95"/>
    <w:rsid w:val="00612A9E"/>
    <w:rsid w:val="00612E34"/>
    <w:rsid w:val="00614159"/>
    <w:rsid w:val="00614B94"/>
    <w:rsid w:val="006158A3"/>
    <w:rsid w:val="00616C5F"/>
    <w:rsid w:val="00616DAC"/>
    <w:rsid w:val="00617725"/>
    <w:rsid w:val="00617C00"/>
    <w:rsid w:val="00621217"/>
    <w:rsid w:val="00621359"/>
    <w:rsid w:val="00622D56"/>
    <w:rsid w:val="0062316F"/>
    <w:rsid w:val="00623277"/>
    <w:rsid w:val="00623B76"/>
    <w:rsid w:val="00623F49"/>
    <w:rsid w:val="00624574"/>
    <w:rsid w:val="0062458D"/>
    <w:rsid w:val="00624AC7"/>
    <w:rsid w:val="00624FAD"/>
    <w:rsid w:val="006256B9"/>
    <w:rsid w:val="0062591E"/>
    <w:rsid w:val="006263BF"/>
    <w:rsid w:val="0062748A"/>
    <w:rsid w:val="00630546"/>
    <w:rsid w:val="00630615"/>
    <w:rsid w:val="00630A2C"/>
    <w:rsid w:val="00632110"/>
    <w:rsid w:val="0063215E"/>
    <w:rsid w:val="00632180"/>
    <w:rsid w:val="006326A2"/>
    <w:rsid w:val="006343F2"/>
    <w:rsid w:val="006346C1"/>
    <w:rsid w:val="00634A75"/>
    <w:rsid w:val="0063682E"/>
    <w:rsid w:val="00636853"/>
    <w:rsid w:val="00636D93"/>
    <w:rsid w:val="0063731E"/>
    <w:rsid w:val="00637B81"/>
    <w:rsid w:val="00640088"/>
    <w:rsid w:val="00640C72"/>
    <w:rsid w:val="00640D16"/>
    <w:rsid w:val="0064126A"/>
    <w:rsid w:val="00641322"/>
    <w:rsid w:val="006421AB"/>
    <w:rsid w:val="006421C1"/>
    <w:rsid w:val="00642672"/>
    <w:rsid w:val="00642DA8"/>
    <w:rsid w:val="006436CD"/>
    <w:rsid w:val="00644C33"/>
    <w:rsid w:val="00645480"/>
    <w:rsid w:val="00645E60"/>
    <w:rsid w:val="00645F06"/>
    <w:rsid w:val="00646240"/>
    <w:rsid w:val="006465AA"/>
    <w:rsid w:val="00647E04"/>
    <w:rsid w:val="00650976"/>
    <w:rsid w:val="00651169"/>
    <w:rsid w:val="0065372D"/>
    <w:rsid w:val="00653B05"/>
    <w:rsid w:val="00653D69"/>
    <w:rsid w:val="00654C4E"/>
    <w:rsid w:val="006552E6"/>
    <w:rsid w:val="00655647"/>
    <w:rsid w:val="00655794"/>
    <w:rsid w:val="006560D3"/>
    <w:rsid w:val="0065646D"/>
    <w:rsid w:val="006566D6"/>
    <w:rsid w:val="00656F2F"/>
    <w:rsid w:val="00657A0C"/>
    <w:rsid w:val="00657C63"/>
    <w:rsid w:val="00657C7B"/>
    <w:rsid w:val="00657CAC"/>
    <w:rsid w:val="00657FB4"/>
    <w:rsid w:val="00660924"/>
    <w:rsid w:val="00661CBC"/>
    <w:rsid w:val="0066267A"/>
    <w:rsid w:val="00662B85"/>
    <w:rsid w:val="00662D3C"/>
    <w:rsid w:val="00663C64"/>
    <w:rsid w:val="00663EE9"/>
    <w:rsid w:val="0066420A"/>
    <w:rsid w:val="006648EC"/>
    <w:rsid w:val="006648FA"/>
    <w:rsid w:val="00664987"/>
    <w:rsid w:val="00665BD9"/>
    <w:rsid w:val="006660E9"/>
    <w:rsid w:val="006670B3"/>
    <w:rsid w:val="006670BE"/>
    <w:rsid w:val="00667128"/>
    <w:rsid w:val="00670315"/>
    <w:rsid w:val="00670353"/>
    <w:rsid w:val="00670717"/>
    <w:rsid w:val="00670A76"/>
    <w:rsid w:val="006711AA"/>
    <w:rsid w:val="00671D18"/>
    <w:rsid w:val="006722E0"/>
    <w:rsid w:val="0067249D"/>
    <w:rsid w:val="006726A1"/>
    <w:rsid w:val="00672AFE"/>
    <w:rsid w:val="00672B57"/>
    <w:rsid w:val="00672BC3"/>
    <w:rsid w:val="00673164"/>
    <w:rsid w:val="006739DA"/>
    <w:rsid w:val="00673F1F"/>
    <w:rsid w:val="00674CF0"/>
    <w:rsid w:val="006750FA"/>
    <w:rsid w:val="00675622"/>
    <w:rsid w:val="0067581B"/>
    <w:rsid w:val="00675DEB"/>
    <w:rsid w:val="00676CC0"/>
    <w:rsid w:val="0067745A"/>
    <w:rsid w:val="0067747D"/>
    <w:rsid w:val="00677518"/>
    <w:rsid w:val="00680E2C"/>
    <w:rsid w:val="0068103B"/>
    <w:rsid w:val="006818D5"/>
    <w:rsid w:val="00681CA4"/>
    <w:rsid w:val="0068329F"/>
    <w:rsid w:val="00683D3C"/>
    <w:rsid w:val="00686559"/>
    <w:rsid w:val="00687243"/>
    <w:rsid w:val="0069039D"/>
    <w:rsid w:val="006906DB"/>
    <w:rsid w:val="00691867"/>
    <w:rsid w:val="00691900"/>
    <w:rsid w:val="00691A2C"/>
    <w:rsid w:val="00691E6C"/>
    <w:rsid w:val="00692C5F"/>
    <w:rsid w:val="006933A8"/>
    <w:rsid w:val="00693425"/>
    <w:rsid w:val="0069342D"/>
    <w:rsid w:val="00693DFB"/>
    <w:rsid w:val="00694907"/>
    <w:rsid w:val="00694E83"/>
    <w:rsid w:val="00694FD5"/>
    <w:rsid w:val="0069501D"/>
    <w:rsid w:val="0069539D"/>
    <w:rsid w:val="00696129"/>
    <w:rsid w:val="006974B6"/>
    <w:rsid w:val="006978B4"/>
    <w:rsid w:val="00697CF2"/>
    <w:rsid w:val="00697E7A"/>
    <w:rsid w:val="006A0A6A"/>
    <w:rsid w:val="006A12A5"/>
    <w:rsid w:val="006A13EB"/>
    <w:rsid w:val="006A13F9"/>
    <w:rsid w:val="006A2515"/>
    <w:rsid w:val="006A2EBF"/>
    <w:rsid w:val="006A3E53"/>
    <w:rsid w:val="006A40B5"/>
    <w:rsid w:val="006A47DC"/>
    <w:rsid w:val="006A4AEB"/>
    <w:rsid w:val="006A572D"/>
    <w:rsid w:val="006A5E20"/>
    <w:rsid w:val="006A63B5"/>
    <w:rsid w:val="006B0156"/>
    <w:rsid w:val="006B0803"/>
    <w:rsid w:val="006B083D"/>
    <w:rsid w:val="006B0D94"/>
    <w:rsid w:val="006B16B6"/>
    <w:rsid w:val="006B29A4"/>
    <w:rsid w:val="006B3D56"/>
    <w:rsid w:val="006B485D"/>
    <w:rsid w:val="006B4A08"/>
    <w:rsid w:val="006B4B31"/>
    <w:rsid w:val="006B4FE0"/>
    <w:rsid w:val="006B5B05"/>
    <w:rsid w:val="006B5B62"/>
    <w:rsid w:val="006B5C12"/>
    <w:rsid w:val="006B6038"/>
    <w:rsid w:val="006B6050"/>
    <w:rsid w:val="006B7DDA"/>
    <w:rsid w:val="006C0004"/>
    <w:rsid w:val="006C0B8B"/>
    <w:rsid w:val="006C0C45"/>
    <w:rsid w:val="006C10ED"/>
    <w:rsid w:val="006C13F4"/>
    <w:rsid w:val="006C17AF"/>
    <w:rsid w:val="006C2742"/>
    <w:rsid w:val="006C2806"/>
    <w:rsid w:val="006C2DE1"/>
    <w:rsid w:val="006C2E29"/>
    <w:rsid w:val="006C334C"/>
    <w:rsid w:val="006C4366"/>
    <w:rsid w:val="006C545F"/>
    <w:rsid w:val="006C5F92"/>
    <w:rsid w:val="006C642B"/>
    <w:rsid w:val="006C69D0"/>
    <w:rsid w:val="006C6B32"/>
    <w:rsid w:val="006C6C10"/>
    <w:rsid w:val="006C708E"/>
    <w:rsid w:val="006C7AAB"/>
    <w:rsid w:val="006C7F79"/>
    <w:rsid w:val="006D14E7"/>
    <w:rsid w:val="006D20FD"/>
    <w:rsid w:val="006D2C64"/>
    <w:rsid w:val="006D401B"/>
    <w:rsid w:val="006D4132"/>
    <w:rsid w:val="006D4303"/>
    <w:rsid w:val="006D440F"/>
    <w:rsid w:val="006D4444"/>
    <w:rsid w:val="006D4B7B"/>
    <w:rsid w:val="006D6493"/>
    <w:rsid w:val="006D698A"/>
    <w:rsid w:val="006D6C2F"/>
    <w:rsid w:val="006D6EC7"/>
    <w:rsid w:val="006D7235"/>
    <w:rsid w:val="006D7307"/>
    <w:rsid w:val="006D7452"/>
    <w:rsid w:val="006D7B05"/>
    <w:rsid w:val="006D7E45"/>
    <w:rsid w:val="006E0188"/>
    <w:rsid w:val="006E06D1"/>
    <w:rsid w:val="006E0DE6"/>
    <w:rsid w:val="006E1143"/>
    <w:rsid w:val="006E1271"/>
    <w:rsid w:val="006E12BE"/>
    <w:rsid w:val="006E1BCD"/>
    <w:rsid w:val="006E2732"/>
    <w:rsid w:val="006E47EC"/>
    <w:rsid w:val="006E4A4C"/>
    <w:rsid w:val="006E549E"/>
    <w:rsid w:val="006E59CD"/>
    <w:rsid w:val="006E62CD"/>
    <w:rsid w:val="006E62D7"/>
    <w:rsid w:val="006E68BF"/>
    <w:rsid w:val="006E6DF9"/>
    <w:rsid w:val="006E7539"/>
    <w:rsid w:val="006E75F6"/>
    <w:rsid w:val="006E7D46"/>
    <w:rsid w:val="006F00ED"/>
    <w:rsid w:val="006F026F"/>
    <w:rsid w:val="006F029C"/>
    <w:rsid w:val="006F0A71"/>
    <w:rsid w:val="006F1061"/>
    <w:rsid w:val="006F109A"/>
    <w:rsid w:val="006F1C6B"/>
    <w:rsid w:val="006F1E57"/>
    <w:rsid w:val="006F207E"/>
    <w:rsid w:val="006F211A"/>
    <w:rsid w:val="006F2261"/>
    <w:rsid w:val="006F284B"/>
    <w:rsid w:val="006F2ECE"/>
    <w:rsid w:val="006F3694"/>
    <w:rsid w:val="006F4066"/>
    <w:rsid w:val="006F40C2"/>
    <w:rsid w:val="006F4E0A"/>
    <w:rsid w:val="006F4F8E"/>
    <w:rsid w:val="006F5073"/>
    <w:rsid w:val="006F5125"/>
    <w:rsid w:val="006F514A"/>
    <w:rsid w:val="006F5189"/>
    <w:rsid w:val="006F531B"/>
    <w:rsid w:val="006F5346"/>
    <w:rsid w:val="006F62BD"/>
    <w:rsid w:val="006F63CD"/>
    <w:rsid w:val="006F65DE"/>
    <w:rsid w:val="006F6D41"/>
    <w:rsid w:val="006F733D"/>
    <w:rsid w:val="00700765"/>
    <w:rsid w:val="00700DF4"/>
    <w:rsid w:val="00701132"/>
    <w:rsid w:val="007018CA"/>
    <w:rsid w:val="00701E83"/>
    <w:rsid w:val="00702959"/>
    <w:rsid w:val="00702B6F"/>
    <w:rsid w:val="007030B4"/>
    <w:rsid w:val="00703B86"/>
    <w:rsid w:val="00703C54"/>
    <w:rsid w:val="00704069"/>
    <w:rsid w:val="00704174"/>
    <w:rsid w:val="00704393"/>
    <w:rsid w:val="00704E69"/>
    <w:rsid w:val="0070502E"/>
    <w:rsid w:val="00706A2F"/>
    <w:rsid w:val="00706C10"/>
    <w:rsid w:val="007070A7"/>
    <w:rsid w:val="0070718E"/>
    <w:rsid w:val="00707E52"/>
    <w:rsid w:val="00710259"/>
    <w:rsid w:val="00710273"/>
    <w:rsid w:val="0071031F"/>
    <w:rsid w:val="00710737"/>
    <w:rsid w:val="00710EA6"/>
    <w:rsid w:val="00711102"/>
    <w:rsid w:val="00712D27"/>
    <w:rsid w:val="00713213"/>
    <w:rsid w:val="0071340B"/>
    <w:rsid w:val="00713967"/>
    <w:rsid w:val="00713C50"/>
    <w:rsid w:val="0071436D"/>
    <w:rsid w:val="00714949"/>
    <w:rsid w:val="00715059"/>
    <w:rsid w:val="0071508D"/>
    <w:rsid w:val="0071513A"/>
    <w:rsid w:val="00715BBB"/>
    <w:rsid w:val="00715F8B"/>
    <w:rsid w:val="0071644F"/>
    <w:rsid w:val="00717055"/>
    <w:rsid w:val="007174BB"/>
    <w:rsid w:val="00717CED"/>
    <w:rsid w:val="007200C5"/>
    <w:rsid w:val="0072025D"/>
    <w:rsid w:val="0072034D"/>
    <w:rsid w:val="0072068F"/>
    <w:rsid w:val="00720727"/>
    <w:rsid w:val="00720DA8"/>
    <w:rsid w:val="00720EA6"/>
    <w:rsid w:val="007217C2"/>
    <w:rsid w:val="00721CC4"/>
    <w:rsid w:val="00723328"/>
    <w:rsid w:val="007237DE"/>
    <w:rsid w:val="0072467D"/>
    <w:rsid w:val="0072486E"/>
    <w:rsid w:val="0072502E"/>
    <w:rsid w:val="00725304"/>
    <w:rsid w:val="007261BD"/>
    <w:rsid w:val="00727179"/>
    <w:rsid w:val="00727B9A"/>
    <w:rsid w:val="0073082D"/>
    <w:rsid w:val="0073130B"/>
    <w:rsid w:val="0073137C"/>
    <w:rsid w:val="007338F3"/>
    <w:rsid w:val="007340B9"/>
    <w:rsid w:val="007341EA"/>
    <w:rsid w:val="0073444B"/>
    <w:rsid w:val="007353D3"/>
    <w:rsid w:val="00735BC2"/>
    <w:rsid w:val="00735BFF"/>
    <w:rsid w:val="0073736F"/>
    <w:rsid w:val="007374AA"/>
    <w:rsid w:val="00740067"/>
    <w:rsid w:val="00740820"/>
    <w:rsid w:val="00740FE6"/>
    <w:rsid w:val="0074156B"/>
    <w:rsid w:val="00741619"/>
    <w:rsid w:val="00741B42"/>
    <w:rsid w:val="00741C02"/>
    <w:rsid w:val="007424EF"/>
    <w:rsid w:val="00742885"/>
    <w:rsid w:val="00743010"/>
    <w:rsid w:val="00743CCB"/>
    <w:rsid w:val="00745E6C"/>
    <w:rsid w:val="00746E9E"/>
    <w:rsid w:val="00747092"/>
    <w:rsid w:val="00747791"/>
    <w:rsid w:val="007477FF"/>
    <w:rsid w:val="00750DEC"/>
    <w:rsid w:val="00752238"/>
    <w:rsid w:val="007526E6"/>
    <w:rsid w:val="00752ADB"/>
    <w:rsid w:val="00753BB2"/>
    <w:rsid w:val="00754B67"/>
    <w:rsid w:val="00754C18"/>
    <w:rsid w:val="00754DF9"/>
    <w:rsid w:val="00754F37"/>
    <w:rsid w:val="00755567"/>
    <w:rsid w:val="007555E8"/>
    <w:rsid w:val="00755CC5"/>
    <w:rsid w:val="00756D66"/>
    <w:rsid w:val="00760120"/>
    <w:rsid w:val="007607A7"/>
    <w:rsid w:val="00762862"/>
    <w:rsid w:val="00763D40"/>
    <w:rsid w:val="0076403F"/>
    <w:rsid w:val="0076420C"/>
    <w:rsid w:val="007642A0"/>
    <w:rsid w:val="00764428"/>
    <w:rsid w:val="00764460"/>
    <w:rsid w:val="007647EB"/>
    <w:rsid w:val="0076567D"/>
    <w:rsid w:val="00765C3C"/>
    <w:rsid w:val="00765DE2"/>
    <w:rsid w:val="00766C49"/>
    <w:rsid w:val="00771044"/>
    <w:rsid w:val="00771D07"/>
    <w:rsid w:val="00772076"/>
    <w:rsid w:val="0077223F"/>
    <w:rsid w:val="00772649"/>
    <w:rsid w:val="00772AE2"/>
    <w:rsid w:val="00772F5D"/>
    <w:rsid w:val="00773515"/>
    <w:rsid w:val="00773BE3"/>
    <w:rsid w:val="00773E00"/>
    <w:rsid w:val="00773E7F"/>
    <w:rsid w:val="00774039"/>
    <w:rsid w:val="00774190"/>
    <w:rsid w:val="007743DD"/>
    <w:rsid w:val="0077493C"/>
    <w:rsid w:val="00774E2C"/>
    <w:rsid w:val="0077503C"/>
    <w:rsid w:val="0077518D"/>
    <w:rsid w:val="007753C2"/>
    <w:rsid w:val="0077567C"/>
    <w:rsid w:val="00775940"/>
    <w:rsid w:val="00776068"/>
    <w:rsid w:val="00777556"/>
    <w:rsid w:val="0078146D"/>
    <w:rsid w:val="0078183C"/>
    <w:rsid w:val="00781F8C"/>
    <w:rsid w:val="007821C4"/>
    <w:rsid w:val="00782AA3"/>
    <w:rsid w:val="00783795"/>
    <w:rsid w:val="007838B8"/>
    <w:rsid w:val="007839CF"/>
    <w:rsid w:val="00784336"/>
    <w:rsid w:val="0078508C"/>
    <w:rsid w:val="00785524"/>
    <w:rsid w:val="00785779"/>
    <w:rsid w:val="00786189"/>
    <w:rsid w:val="0078652E"/>
    <w:rsid w:val="0078656D"/>
    <w:rsid w:val="00786DE8"/>
    <w:rsid w:val="007871BA"/>
    <w:rsid w:val="00787FD8"/>
    <w:rsid w:val="007908C1"/>
    <w:rsid w:val="007909F2"/>
    <w:rsid w:val="007915BA"/>
    <w:rsid w:val="00791844"/>
    <w:rsid w:val="0079250E"/>
    <w:rsid w:val="007930F1"/>
    <w:rsid w:val="0079346D"/>
    <w:rsid w:val="00793CE9"/>
    <w:rsid w:val="00793CEF"/>
    <w:rsid w:val="00795607"/>
    <w:rsid w:val="00795E80"/>
    <w:rsid w:val="00796667"/>
    <w:rsid w:val="00797068"/>
    <w:rsid w:val="007979BD"/>
    <w:rsid w:val="007A0BBA"/>
    <w:rsid w:val="007A2E28"/>
    <w:rsid w:val="007A3D8E"/>
    <w:rsid w:val="007A58D6"/>
    <w:rsid w:val="007A5A9E"/>
    <w:rsid w:val="007A5C88"/>
    <w:rsid w:val="007A6A2F"/>
    <w:rsid w:val="007A6D9D"/>
    <w:rsid w:val="007B024E"/>
    <w:rsid w:val="007B2184"/>
    <w:rsid w:val="007B228D"/>
    <w:rsid w:val="007B33BF"/>
    <w:rsid w:val="007B3BAF"/>
    <w:rsid w:val="007B3DDC"/>
    <w:rsid w:val="007B44E5"/>
    <w:rsid w:val="007B7275"/>
    <w:rsid w:val="007B72A6"/>
    <w:rsid w:val="007B78EB"/>
    <w:rsid w:val="007C032D"/>
    <w:rsid w:val="007C053D"/>
    <w:rsid w:val="007C06D2"/>
    <w:rsid w:val="007C08E0"/>
    <w:rsid w:val="007C0F57"/>
    <w:rsid w:val="007C165E"/>
    <w:rsid w:val="007C1A44"/>
    <w:rsid w:val="007C1CA9"/>
    <w:rsid w:val="007C26CC"/>
    <w:rsid w:val="007C2F4B"/>
    <w:rsid w:val="007C2FB7"/>
    <w:rsid w:val="007C347A"/>
    <w:rsid w:val="007C3E27"/>
    <w:rsid w:val="007C40B6"/>
    <w:rsid w:val="007C48E2"/>
    <w:rsid w:val="007C497B"/>
    <w:rsid w:val="007C4987"/>
    <w:rsid w:val="007C5868"/>
    <w:rsid w:val="007C5975"/>
    <w:rsid w:val="007C647A"/>
    <w:rsid w:val="007C667B"/>
    <w:rsid w:val="007C68C3"/>
    <w:rsid w:val="007C729F"/>
    <w:rsid w:val="007C72AD"/>
    <w:rsid w:val="007D1920"/>
    <w:rsid w:val="007D1A6F"/>
    <w:rsid w:val="007D268B"/>
    <w:rsid w:val="007D2991"/>
    <w:rsid w:val="007D4448"/>
    <w:rsid w:val="007D4FFD"/>
    <w:rsid w:val="007D503D"/>
    <w:rsid w:val="007D59E7"/>
    <w:rsid w:val="007D5F2A"/>
    <w:rsid w:val="007D708C"/>
    <w:rsid w:val="007E07AC"/>
    <w:rsid w:val="007E084A"/>
    <w:rsid w:val="007E0B50"/>
    <w:rsid w:val="007E1014"/>
    <w:rsid w:val="007E12F8"/>
    <w:rsid w:val="007E14EB"/>
    <w:rsid w:val="007E1673"/>
    <w:rsid w:val="007E16AF"/>
    <w:rsid w:val="007E1B50"/>
    <w:rsid w:val="007E1D28"/>
    <w:rsid w:val="007E2841"/>
    <w:rsid w:val="007E4564"/>
    <w:rsid w:val="007E467E"/>
    <w:rsid w:val="007E490F"/>
    <w:rsid w:val="007E495C"/>
    <w:rsid w:val="007E4D37"/>
    <w:rsid w:val="007E4FEE"/>
    <w:rsid w:val="007E572E"/>
    <w:rsid w:val="007E5AB3"/>
    <w:rsid w:val="007E6533"/>
    <w:rsid w:val="007E6835"/>
    <w:rsid w:val="007E6A4F"/>
    <w:rsid w:val="007E778F"/>
    <w:rsid w:val="007F0021"/>
    <w:rsid w:val="007F03E1"/>
    <w:rsid w:val="007F0DE7"/>
    <w:rsid w:val="007F1007"/>
    <w:rsid w:val="007F243D"/>
    <w:rsid w:val="007F2641"/>
    <w:rsid w:val="007F66CA"/>
    <w:rsid w:val="007F72F0"/>
    <w:rsid w:val="007F7C36"/>
    <w:rsid w:val="007F7F45"/>
    <w:rsid w:val="0080001F"/>
    <w:rsid w:val="0080036B"/>
    <w:rsid w:val="00801958"/>
    <w:rsid w:val="00802A0C"/>
    <w:rsid w:val="00803C4E"/>
    <w:rsid w:val="008055AB"/>
    <w:rsid w:val="008055AF"/>
    <w:rsid w:val="008057CD"/>
    <w:rsid w:val="008066B8"/>
    <w:rsid w:val="00806796"/>
    <w:rsid w:val="008068C4"/>
    <w:rsid w:val="0080696E"/>
    <w:rsid w:val="00806D22"/>
    <w:rsid w:val="00806FA5"/>
    <w:rsid w:val="008078CC"/>
    <w:rsid w:val="00807934"/>
    <w:rsid w:val="00810167"/>
    <w:rsid w:val="008104D0"/>
    <w:rsid w:val="00811202"/>
    <w:rsid w:val="00811CC0"/>
    <w:rsid w:val="008120BD"/>
    <w:rsid w:val="0081218E"/>
    <w:rsid w:val="008122FB"/>
    <w:rsid w:val="00812838"/>
    <w:rsid w:val="008137DB"/>
    <w:rsid w:val="00813B48"/>
    <w:rsid w:val="00813C5B"/>
    <w:rsid w:val="00814276"/>
    <w:rsid w:val="008151D6"/>
    <w:rsid w:val="008154A5"/>
    <w:rsid w:val="00816201"/>
    <w:rsid w:val="00816322"/>
    <w:rsid w:val="0081662B"/>
    <w:rsid w:val="0082050E"/>
    <w:rsid w:val="00820803"/>
    <w:rsid w:val="00821527"/>
    <w:rsid w:val="0082206B"/>
    <w:rsid w:val="00822162"/>
    <w:rsid w:val="008225CE"/>
    <w:rsid w:val="00822696"/>
    <w:rsid w:val="008233B8"/>
    <w:rsid w:val="00823FF9"/>
    <w:rsid w:val="00824775"/>
    <w:rsid w:val="008248BE"/>
    <w:rsid w:val="00825A6C"/>
    <w:rsid w:val="00825D1A"/>
    <w:rsid w:val="00826030"/>
    <w:rsid w:val="0082617E"/>
    <w:rsid w:val="008268BB"/>
    <w:rsid w:val="00826F6D"/>
    <w:rsid w:val="00827097"/>
    <w:rsid w:val="00827120"/>
    <w:rsid w:val="00827342"/>
    <w:rsid w:val="00827C55"/>
    <w:rsid w:val="008306F3"/>
    <w:rsid w:val="00830E40"/>
    <w:rsid w:val="008311E2"/>
    <w:rsid w:val="00831B88"/>
    <w:rsid w:val="00832C71"/>
    <w:rsid w:val="00832D9A"/>
    <w:rsid w:val="00833417"/>
    <w:rsid w:val="008336D7"/>
    <w:rsid w:val="00833E3C"/>
    <w:rsid w:val="00834D3C"/>
    <w:rsid w:val="00835C62"/>
    <w:rsid w:val="008361B6"/>
    <w:rsid w:val="008367CE"/>
    <w:rsid w:val="008368A1"/>
    <w:rsid w:val="00836A43"/>
    <w:rsid w:val="0083760D"/>
    <w:rsid w:val="00837B7F"/>
    <w:rsid w:val="0084025F"/>
    <w:rsid w:val="008402A7"/>
    <w:rsid w:val="00840EF7"/>
    <w:rsid w:val="00841164"/>
    <w:rsid w:val="00841546"/>
    <w:rsid w:val="00842827"/>
    <w:rsid w:val="00843DD5"/>
    <w:rsid w:val="00844211"/>
    <w:rsid w:val="008443DC"/>
    <w:rsid w:val="00844C0A"/>
    <w:rsid w:val="00844E41"/>
    <w:rsid w:val="00844FD0"/>
    <w:rsid w:val="0084510B"/>
    <w:rsid w:val="008456C1"/>
    <w:rsid w:val="00846056"/>
    <w:rsid w:val="0084681F"/>
    <w:rsid w:val="008475C7"/>
    <w:rsid w:val="008477F8"/>
    <w:rsid w:val="00847D08"/>
    <w:rsid w:val="00847D9F"/>
    <w:rsid w:val="00847EC0"/>
    <w:rsid w:val="0085011F"/>
    <w:rsid w:val="0085037E"/>
    <w:rsid w:val="008515B2"/>
    <w:rsid w:val="00852240"/>
    <w:rsid w:val="008527E3"/>
    <w:rsid w:val="00852F9B"/>
    <w:rsid w:val="008532C3"/>
    <w:rsid w:val="00853614"/>
    <w:rsid w:val="00853AC3"/>
    <w:rsid w:val="00853FFD"/>
    <w:rsid w:val="008540F4"/>
    <w:rsid w:val="00854506"/>
    <w:rsid w:val="0085473B"/>
    <w:rsid w:val="00854B50"/>
    <w:rsid w:val="0085512C"/>
    <w:rsid w:val="008551F9"/>
    <w:rsid w:val="00855229"/>
    <w:rsid w:val="00855443"/>
    <w:rsid w:val="00855CB6"/>
    <w:rsid w:val="00855FD6"/>
    <w:rsid w:val="008561E2"/>
    <w:rsid w:val="00856DDD"/>
    <w:rsid w:val="00860233"/>
    <w:rsid w:val="00861D4E"/>
    <w:rsid w:val="00863E68"/>
    <w:rsid w:val="008641A4"/>
    <w:rsid w:val="00864531"/>
    <w:rsid w:val="008647B5"/>
    <w:rsid w:val="00864A11"/>
    <w:rsid w:val="00866A7C"/>
    <w:rsid w:val="00866A98"/>
    <w:rsid w:val="00866FA9"/>
    <w:rsid w:val="00867358"/>
    <w:rsid w:val="00867554"/>
    <w:rsid w:val="00867D64"/>
    <w:rsid w:val="00867D85"/>
    <w:rsid w:val="0087082B"/>
    <w:rsid w:val="00871107"/>
    <w:rsid w:val="00871CA6"/>
    <w:rsid w:val="00871D4E"/>
    <w:rsid w:val="00872E8F"/>
    <w:rsid w:val="00873D9A"/>
    <w:rsid w:val="008749B1"/>
    <w:rsid w:val="00874AE2"/>
    <w:rsid w:val="00874B1C"/>
    <w:rsid w:val="00874DD8"/>
    <w:rsid w:val="0087574C"/>
    <w:rsid w:val="008758F2"/>
    <w:rsid w:val="00875DCB"/>
    <w:rsid w:val="00875F5C"/>
    <w:rsid w:val="00876DA7"/>
    <w:rsid w:val="00876FBF"/>
    <w:rsid w:val="008770EB"/>
    <w:rsid w:val="0087755A"/>
    <w:rsid w:val="0088033A"/>
    <w:rsid w:val="00880EFB"/>
    <w:rsid w:val="008818F2"/>
    <w:rsid w:val="00881A54"/>
    <w:rsid w:val="00882085"/>
    <w:rsid w:val="00883188"/>
    <w:rsid w:val="00883361"/>
    <w:rsid w:val="00884968"/>
    <w:rsid w:val="00884A0C"/>
    <w:rsid w:val="00884D6E"/>
    <w:rsid w:val="008850A9"/>
    <w:rsid w:val="0088650C"/>
    <w:rsid w:val="00886ACA"/>
    <w:rsid w:val="00886B01"/>
    <w:rsid w:val="0089031E"/>
    <w:rsid w:val="00890FB3"/>
    <w:rsid w:val="0089109A"/>
    <w:rsid w:val="0089133E"/>
    <w:rsid w:val="0089343F"/>
    <w:rsid w:val="00893D5C"/>
    <w:rsid w:val="0089460B"/>
    <w:rsid w:val="008950A6"/>
    <w:rsid w:val="0089537A"/>
    <w:rsid w:val="0089698D"/>
    <w:rsid w:val="00896E59"/>
    <w:rsid w:val="008979FD"/>
    <w:rsid w:val="00897D58"/>
    <w:rsid w:val="00897D99"/>
    <w:rsid w:val="00897F22"/>
    <w:rsid w:val="008A06C8"/>
    <w:rsid w:val="008A06D1"/>
    <w:rsid w:val="008A0B39"/>
    <w:rsid w:val="008A13A1"/>
    <w:rsid w:val="008A16E0"/>
    <w:rsid w:val="008A17A3"/>
    <w:rsid w:val="008A1956"/>
    <w:rsid w:val="008A1AB3"/>
    <w:rsid w:val="008A1E85"/>
    <w:rsid w:val="008A2419"/>
    <w:rsid w:val="008A2F04"/>
    <w:rsid w:val="008A388B"/>
    <w:rsid w:val="008A4937"/>
    <w:rsid w:val="008A50F1"/>
    <w:rsid w:val="008A57B5"/>
    <w:rsid w:val="008A59D9"/>
    <w:rsid w:val="008A643E"/>
    <w:rsid w:val="008A6819"/>
    <w:rsid w:val="008A7C1A"/>
    <w:rsid w:val="008B007A"/>
    <w:rsid w:val="008B0BA0"/>
    <w:rsid w:val="008B0C61"/>
    <w:rsid w:val="008B2602"/>
    <w:rsid w:val="008B2EC0"/>
    <w:rsid w:val="008B3796"/>
    <w:rsid w:val="008B3B44"/>
    <w:rsid w:val="008B3D18"/>
    <w:rsid w:val="008B5C15"/>
    <w:rsid w:val="008B6D03"/>
    <w:rsid w:val="008B6DCF"/>
    <w:rsid w:val="008C093C"/>
    <w:rsid w:val="008C0BA6"/>
    <w:rsid w:val="008C1621"/>
    <w:rsid w:val="008C18D1"/>
    <w:rsid w:val="008C1DBB"/>
    <w:rsid w:val="008C1EC2"/>
    <w:rsid w:val="008C1FA8"/>
    <w:rsid w:val="008C22E6"/>
    <w:rsid w:val="008C3FD7"/>
    <w:rsid w:val="008C4D49"/>
    <w:rsid w:val="008C614A"/>
    <w:rsid w:val="008C63DA"/>
    <w:rsid w:val="008C6990"/>
    <w:rsid w:val="008C6B05"/>
    <w:rsid w:val="008D0531"/>
    <w:rsid w:val="008D0786"/>
    <w:rsid w:val="008D0945"/>
    <w:rsid w:val="008D0FDA"/>
    <w:rsid w:val="008D1409"/>
    <w:rsid w:val="008D15CC"/>
    <w:rsid w:val="008D1729"/>
    <w:rsid w:val="008D1B5C"/>
    <w:rsid w:val="008D239D"/>
    <w:rsid w:val="008D2609"/>
    <w:rsid w:val="008D2A4F"/>
    <w:rsid w:val="008D377B"/>
    <w:rsid w:val="008D3C82"/>
    <w:rsid w:val="008D447E"/>
    <w:rsid w:val="008D452F"/>
    <w:rsid w:val="008D5435"/>
    <w:rsid w:val="008D5880"/>
    <w:rsid w:val="008D62E8"/>
    <w:rsid w:val="008D6ACF"/>
    <w:rsid w:val="008D71FB"/>
    <w:rsid w:val="008D7628"/>
    <w:rsid w:val="008D7A41"/>
    <w:rsid w:val="008D7FDD"/>
    <w:rsid w:val="008E039B"/>
    <w:rsid w:val="008E0640"/>
    <w:rsid w:val="008E0894"/>
    <w:rsid w:val="008E0FDE"/>
    <w:rsid w:val="008E16A4"/>
    <w:rsid w:val="008E2C72"/>
    <w:rsid w:val="008E3494"/>
    <w:rsid w:val="008E3680"/>
    <w:rsid w:val="008E386C"/>
    <w:rsid w:val="008E4373"/>
    <w:rsid w:val="008E4A8E"/>
    <w:rsid w:val="008E4F4E"/>
    <w:rsid w:val="008E4F87"/>
    <w:rsid w:val="008E5870"/>
    <w:rsid w:val="008E591E"/>
    <w:rsid w:val="008E60F1"/>
    <w:rsid w:val="008E6BE1"/>
    <w:rsid w:val="008E77E4"/>
    <w:rsid w:val="008F0213"/>
    <w:rsid w:val="008F07ED"/>
    <w:rsid w:val="008F0AA2"/>
    <w:rsid w:val="008F0E11"/>
    <w:rsid w:val="008F11F8"/>
    <w:rsid w:val="008F1434"/>
    <w:rsid w:val="008F14F5"/>
    <w:rsid w:val="008F1743"/>
    <w:rsid w:val="008F2250"/>
    <w:rsid w:val="008F2BB9"/>
    <w:rsid w:val="008F31F2"/>
    <w:rsid w:val="008F3911"/>
    <w:rsid w:val="008F3D56"/>
    <w:rsid w:val="008F3D6A"/>
    <w:rsid w:val="008F3E2B"/>
    <w:rsid w:val="008F4D2B"/>
    <w:rsid w:val="008F4D62"/>
    <w:rsid w:val="008F54C3"/>
    <w:rsid w:val="008F7329"/>
    <w:rsid w:val="008F7355"/>
    <w:rsid w:val="008F7BFE"/>
    <w:rsid w:val="008F7C99"/>
    <w:rsid w:val="0090083E"/>
    <w:rsid w:val="009023BF"/>
    <w:rsid w:val="009023DC"/>
    <w:rsid w:val="009027C5"/>
    <w:rsid w:val="00904413"/>
    <w:rsid w:val="0090501E"/>
    <w:rsid w:val="009051EB"/>
    <w:rsid w:val="009058DD"/>
    <w:rsid w:val="00905CA4"/>
    <w:rsid w:val="009067B7"/>
    <w:rsid w:val="00906E7A"/>
    <w:rsid w:val="00906E7F"/>
    <w:rsid w:val="00907405"/>
    <w:rsid w:val="0090775A"/>
    <w:rsid w:val="00907D51"/>
    <w:rsid w:val="00907DFD"/>
    <w:rsid w:val="009100FC"/>
    <w:rsid w:val="009103D7"/>
    <w:rsid w:val="009104FD"/>
    <w:rsid w:val="00911765"/>
    <w:rsid w:val="00912131"/>
    <w:rsid w:val="0091289E"/>
    <w:rsid w:val="009129CD"/>
    <w:rsid w:val="00913C99"/>
    <w:rsid w:val="00914DFF"/>
    <w:rsid w:val="009154BA"/>
    <w:rsid w:val="00917126"/>
    <w:rsid w:val="00917D69"/>
    <w:rsid w:val="00917E71"/>
    <w:rsid w:val="0092029B"/>
    <w:rsid w:val="00920B6D"/>
    <w:rsid w:val="00920C7F"/>
    <w:rsid w:val="00921C64"/>
    <w:rsid w:val="0092482F"/>
    <w:rsid w:val="00925B57"/>
    <w:rsid w:val="00926035"/>
    <w:rsid w:val="00926560"/>
    <w:rsid w:val="009265D4"/>
    <w:rsid w:val="00926B15"/>
    <w:rsid w:val="009275E5"/>
    <w:rsid w:val="009277A6"/>
    <w:rsid w:val="00927DCF"/>
    <w:rsid w:val="00927E49"/>
    <w:rsid w:val="00927F96"/>
    <w:rsid w:val="00927FAC"/>
    <w:rsid w:val="00930291"/>
    <w:rsid w:val="00930376"/>
    <w:rsid w:val="00930937"/>
    <w:rsid w:val="00930BCC"/>
    <w:rsid w:val="0093125A"/>
    <w:rsid w:val="009312F8"/>
    <w:rsid w:val="00931529"/>
    <w:rsid w:val="00932025"/>
    <w:rsid w:val="009324A6"/>
    <w:rsid w:val="0093364C"/>
    <w:rsid w:val="009336B3"/>
    <w:rsid w:val="00933972"/>
    <w:rsid w:val="00933B7D"/>
    <w:rsid w:val="00933CD5"/>
    <w:rsid w:val="00933E6C"/>
    <w:rsid w:val="00934CFC"/>
    <w:rsid w:val="00935866"/>
    <w:rsid w:val="00935A6E"/>
    <w:rsid w:val="009369EE"/>
    <w:rsid w:val="00937958"/>
    <w:rsid w:val="00937F0B"/>
    <w:rsid w:val="00940219"/>
    <w:rsid w:val="00940529"/>
    <w:rsid w:val="009406E5"/>
    <w:rsid w:val="00940DD4"/>
    <w:rsid w:val="00941602"/>
    <w:rsid w:val="00942160"/>
    <w:rsid w:val="00942E6B"/>
    <w:rsid w:val="0094369D"/>
    <w:rsid w:val="00943B8A"/>
    <w:rsid w:val="009442D9"/>
    <w:rsid w:val="009448AE"/>
    <w:rsid w:val="00946921"/>
    <w:rsid w:val="00947343"/>
    <w:rsid w:val="00947E94"/>
    <w:rsid w:val="00950055"/>
    <w:rsid w:val="0095146F"/>
    <w:rsid w:val="00951F2D"/>
    <w:rsid w:val="00951F4D"/>
    <w:rsid w:val="00952098"/>
    <w:rsid w:val="00952839"/>
    <w:rsid w:val="009528A2"/>
    <w:rsid w:val="00952D32"/>
    <w:rsid w:val="0095344C"/>
    <w:rsid w:val="009534C7"/>
    <w:rsid w:val="00953ACE"/>
    <w:rsid w:val="00953CFB"/>
    <w:rsid w:val="0095435A"/>
    <w:rsid w:val="00954961"/>
    <w:rsid w:val="00954F30"/>
    <w:rsid w:val="0095605F"/>
    <w:rsid w:val="009563FC"/>
    <w:rsid w:val="00957944"/>
    <w:rsid w:val="009602C5"/>
    <w:rsid w:val="009606CF"/>
    <w:rsid w:val="0096103A"/>
    <w:rsid w:val="009610B3"/>
    <w:rsid w:val="009613C2"/>
    <w:rsid w:val="0096162A"/>
    <w:rsid w:val="00961972"/>
    <w:rsid w:val="00961FF7"/>
    <w:rsid w:val="00962223"/>
    <w:rsid w:val="0096252B"/>
    <w:rsid w:val="0096273A"/>
    <w:rsid w:val="00962962"/>
    <w:rsid w:val="0096318C"/>
    <w:rsid w:val="00963274"/>
    <w:rsid w:val="00963328"/>
    <w:rsid w:val="009643AD"/>
    <w:rsid w:val="00964460"/>
    <w:rsid w:val="009644D9"/>
    <w:rsid w:val="00964A9F"/>
    <w:rsid w:val="00965BF6"/>
    <w:rsid w:val="00966D0D"/>
    <w:rsid w:val="00967732"/>
    <w:rsid w:val="0096783C"/>
    <w:rsid w:val="00970023"/>
    <w:rsid w:val="009716DD"/>
    <w:rsid w:val="00971CBC"/>
    <w:rsid w:val="009722B3"/>
    <w:rsid w:val="0097234A"/>
    <w:rsid w:val="009727EB"/>
    <w:rsid w:val="00972C89"/>
    <w:rsid w:val="00973E24"/>
    <w:rsid w:val="0097466D"/>
    <w:rsid w:val="00974C21"/>
    <w:rsid w:val="00974D5F"/>
    <w:rsid w:val="00975023"/>
    <w:rsid w:val="00975948"/>
    <w:rsid w:val="00976A00"/>
    <w:rsid w:val="009772FD"/>
    <w:rsid w:val="0097742A"/>
    <w:rsid w:val="009778FD"/>
    <w:rsid w:val="00977BF3"/>
    <w:rsid w:val="009803E4"/>
    <w:rsid w:val="009805FD"/>
    <w:rsid w:val="00980B0E"/>
    <w:rsid w:val="009813E1"/>
    <w:rsid w:val="00981C4E"/>
    <w:rsid w:val="00982B39"/>
    <w:rsid w:val="00982C81"/>
    <w:rsid w:val="009836A3"/>
    <w:rsid w:val="0098382C"/>
    <w:rsid w:val="00984C58"/>
    <w:rsid w:val="009855A8"/>
    <w:rsid w:val="00985CBE"/>
    <w:rsid w:val="00985D1A"/>
    <w:rsid w:val="00986260"/>
    <w:rsid w:val="009875B8"/>
    <w:rsid w:val="009876C4"/>
    <w:rsid w:val="0098772D"/>
    <w:rsid w:val="00990CF8"/>
    <w:rsid w:val="009913F4"/>
    <w:rsid w:val="00991782"/>
    <w:rsid w:val="009927C8"/>
    <w:rsid w:val="0099311D"/>
    <w:rsid w:val="0099369C"/>
    <w:rsid w:val="009937F7"/>
    <w:rsid w:val="00993D4C"/>
    <w:rsid w:val="00994118"/>
    <w:rsid w:val="0099465B"/>
    <w:rsid w:val="009951A1"/>
    <w:rsid w:val="0099680D"/>
    <w:rsid w:val="0099767F"/>
    <w:rsid w:val="00997A44"/>
    <w:rsid w:val="009A0850"/>
    <w:rsid w:val="009A0CDD"/>
    <w:rsid w:val="009A1770"/>
    <w:rsid w:val="009A1E12"/>
    <w:rsid w:val="009A2050"/>
    <w:rsid w:val="009A3168"/>
    <w:rsid w:val="009A4621"/>
    <w:rsid w:val="009A493B"/>
    <w:rsid w:val="009A4BDF"/>
    <w:rsid w:val="009A5D04"/>
    <w:rsid w:val="009A61CA"/>
    <w:rsid w:val="009A66D6"/>
    <w:rsid w:val="009A6852"/>
    <w:rsid w:val="009A6F7E"/>
    <w:rsid w:val="009A72A4"/>
    <w:rsid w:val="009B0062"/>
    <w:rsid w:val="009B0C64"/>
    <w:rsid w:val="009B0D84"/>
    <w:rsid w:val="009B0F67"/>
    <w:rsid w:val="009B1B66"/>
    <w:rsid w:val="009B208A"/>
    <w:rsid w:val="009B23C6"/>
    <w:rsid w:val="009B23D7"/>
    <w:rsid w:val="009B260F"/>
    <w:rsid w:val="009B2756"/>
    <w:rsid w:val="009B2B5A"/>
    <w:rsid w:val="009B2DD8"/>
    <w:rsid w:val="009B3D56"/>
    <w:rsid w:val="009B3F8C"/>
    <w:rsid w:val="009B4409"/>
    <w:rsid w:val="009B473C"/>
    <w:rsid w:val="009B494D"/>
    <w:rsid w:val="009B50E3"/>
    <w:rsid w:val="009B533B"/>
    <w:rsid w:val="009B546B"/>
    <w:rsid w:val="009B5F5A"/>
    <w:rsid w:val="009B7236"/>
    <w:rsid w:val="009C08E9"/>
    <w:rsid w:val="009C184B"/>
    <w:rsid w:val="009C1AF3"/>
    <w:rsid w:val="009C22F2"/>
    <w:rsid w:val="009C2466"/>
    <w:rsid w:val="009C26AA"/>
    <w:rsid w:val="009C3EE6"/>
    <w:rsid w:val="009C478C"/>
    <w:rsid w:val="009C5ABB"/>
    <w:rsid w:val="009C60EC"/>
    <w:rsid w:val="009C6C79"/>
    <w:rsid w:val="009C703C"/>
    <w:rsid w:val="009C7FDF"/>
    <w:rsid w:val="009D0C29"/>
    <w:rsid w:val="009D15A0"/>
    <w:rsid w:val="009D1C80"/>
    <w:rsid w:val="009D206E"/>
    <w:rsid w:val="009D3CAA"/>
    <w:rsid w:val="009D507A"/>
    <w:rsid w:val="009D5B7A"/>
    <w:rsid w:val="009D5FFD"/>
    <w:rsid w:val="009D6532"/>
    <w:rsid w:val="009D6704"/>
    <w:rsid w:val="009D71FD"/>
    <w:rsid w:val="009D799E"/>
    <w:rsid w:val="009D7F42"/>
    <w:rsid w:val="009E06F0"/>
    <w:rsid w:val="009E0755"/>
    <w:rsid w:val="009E10AD"/>
    <w:rsid w:val="009E18F3"/>
    <w:rsid w:val="009E22F3"/>
    <w:rsid w:val="009E244D"/>
    <w:rsid w:val="009E2450"/>
    <w:rsid w:val="009E2588"/>
    <w:rsid w:val="009E2E8E"/>
    <w:rsid w:val="009E2FC9"/>
    <w:rsid w:val="009E3EA6"/>
    <w:rsid w:val="009E3FA4"/>
    <w:rsid w:val="009E40E1"/>
    <w:rsid w:val="009E4122"/>
    <w:rsid w:val="009E42E1"/>
    <w:rsid w:val="009E531F"/>
    <w:rsid w:val="009E76D1"/>
    <w:rsid w:val="009F0B49"/>
    <w:rsid w:val="009F0EFA"/>
    <w:rsid w:val="009F14AF"/>
    <w:rsid w:val="009F4421"/>
    <w:rsid w:val="009F47CC"/>
    <w:rsid w:val="009F4E46"/>
    <w:rsid w:val="009F5263"/>
    <w:rsid w:val="009F52BA"/>
    <w:rsid w:val="009F52E4"/>
    <w:rsid w:val="009F5B65"/>
    <w:rsid w:val="009F5F2E"/>
    <w:rsid w:val="009F615C"/>
    <w:rsid w:val="009F778C"/>
    <w:rsid w:val="009F7C8C"/>
    <w:rsid w:val="00A01432"/>
    <w:rsid w:val="00A0167A"/>
    <w:rsid w:val="00A01980"/>
    <w:rsid w:val="00A01A28"/>
    <w:rsid w:val="00A01A62"/>
    <w:rsid w:val="00A01A6B"/>
    <w:rsid w:val="00A04594"/>
    <w:rsid w:val="00A05BEE"/>
    <w:rsid w:val="00A06225"/>
    <w:rsid w:val="00A066E6"/>
    <w:rsid w:val="00A07A39"/>
    <w:rsid w:val="00A07AB7"/>
    <w:rsid w:val="00A1012E"/>
    <w:rsid w:val="00A1074D"/>
    <w:rsid w:val="00A110D1"/>
    <w:rsid w:val="00A11B8B"/>
    <w:rsid w:val="00A12587"/>
    <w:rsid w:val="00A128E6"/>
    <w:rsid w:val="00A12A41"/>
    <w:rsid w:val="00A13C1E"/>
    <w:rsid w:val="00A144D3"/>
    <w:rsid w:val="00A15469"/>
    <w:rsid w:val="00A158FD"/>
    <w:rsid w:val="00A15EF7"/>
    <w:rsid w:val="00A16C4D"/>
    <w:rsid w:val="00A17EA7"/>
    <w:rsid w:val="00A206C6"/>
    <w:rsid w:val="00A21D7D"/>
    <w:rsid w:val="00A227C2"/>
    <w:rsid w:val="00A22843"/>
    <w:rsid w:val="00A22AC3"/>
    <w:rsid w:val="00A2351E"/>
    <w:rsid w:val="00A2362F"/>
    <w:rsid w:val="00A23F3F"/>
    <w:rsid w:val="00A24067"/>
    <w:rsid w:val="00A244C6"/>
    <w:rsid w:val="00A24A4B"/>
    <w:rsid w:val="00A24F9E"/>
    <w:rsid w:val="00A25627"/>
    <w:rsid w:val="00A26DE7"/>
    <w:rsid w:val="00A2744D"/>
    <w:rsid w:val="00A27CE3"/>
    <w:rsid w:val="00A306F6"/>
    <w:rsid w:val="00A30706"/>
    <w:rsid w:val="00A3081F"/>
    <w:rsid w:val="00A30B0B"/>
    <w:rsid w:val="00A30D16"/>
    <w:rsid w:val="00A3105B"/>
    <w:rsid w:val="00A32C65"/>
    <w:rsid w:val="00A330ED"/>
    <w:rsid w:val="00A33867"/>
    <w:rsid w:val="00A33DE2"/>
    <w:rsid w:val="00A33EB7"/>
    <w:rsid w:val="00A34E6C"/>
    <w:rsid w:val="00A34FC3"/>
    <w:rsid w:val="00A34FD0"/>
    <w:rsid w:val="00A361EA"/>
    <w:rsid w:val="00A36398"/>
    <w:rsid w:val="00A366BC"/>
    <w:rsid w:val="00A36CC1"/>
    <w:rsid w:val="00A37C8D"/>
    <w:rsid w:val="00A37D26"/>
    <w:rsid w:val="00A4020E"/>
    <w:rsid w:val="00A40493"/>
    <w:rsid w:val="00A408E8"/>
    <w:rsid w:val="00A40D00"/>
    <w:rsid w:val="00A40FB5"/>
    <w:rsid w:val="00A4140E"/>
    <w:rsid w:val="00A4149E"/>
    <w:rsid w:val="00A41906"/>
    <w:rsid w:val="00A41C0C"/>
    <w:rsid w:val="00A42382"/>
    <w:rsid w:val="00A42826"/>
    <w:rsid w:val="00A429B3"/>
    <w:rsid w:val="00A42C07"/>
    <w:rsid w:val="00A4373F"/>
    <w:rsid w:val="00A43C3A"/>
    <w:rsid w:val="00A4449E"/>
    <w:rsid w:val="00A447D9"/>
    <w:rsid w:val="00A44CBF"/>
    <w:rsid w:val="00A44EC1"/>
    <w:rsid w:val="00A44FBE"/>
    <w:rsid w:val="00A450AC"/>
    <w:rsid w:val="00A451A5"/>
    <w:rsid w:val="00A46D41"/>
    <w:rsid w:val="00A4798C"/>
    <w:rsid w:val="00A47BDB"/>
    <w:rsid w:val="00A5081A"/>
    <w:rsid w:val="00A508B3"/>
    <w:rsid w:val="00A510E4"/>
    <w:rsid w:val="00A515AC"/>
    <w:rsid w:val="00A51F8C"/>
    <w:rsid w:val="00A526F7"/>
    <w:rsid w:val="00A5273B"/>
    <w:rsid w:val="00A52899"/>
    <w:rsid w:val="00A52FBE"/>
    <w:rsid w:val="00A53A9D"/>
    <w:rsid w:val="00A55109"/>
    <w:rsid w:val="00A55865"/>
    <w:rsid w:val="00A55C74"/>
    <w:rsid w:val="00A55FEE"/>
    <w:rsid w:val="00A56304"/>
    <w:rsid w:val="00A5690A"/>
    <w:rsid w:val="00A57422"/>
    <w:rsid w:val="00A60170"/>
    <w:rsid w:val="00A601C2"/>
    <w:rsid w:val="00A60F2A"/>
    <w:rsid w:val="00A62935"/>
    <w:rsid w:val="00A629A3"/>
    <w:rsid w:val="00A62C1A"/>
    <w:rsid w:val="00A638B5"/>
    <w:rsid w:val="00A63CA2"/>
    <w:rsid w:val="00A63F71"/>
    <w:rsid w:val="00A6426D"/>
    <w:rsid w:val="00A6439B"/>
    <w:rsid w:val="00A64EFC"/>
    <w:rsid w:val="00A665C1"/>
    <w:rsid w:val="00A673A4"/>
    <w:rsid w:val="00A67AB6"/>
    <w:rsid w:val="00A7001A"/>
    <w:rsid w:val="00A70622"/>
    <w:rsid w:val="00A70876"/>
    <w:rsid w:val="00A70977"/>
    <w:rsid w:val="00A70AD7"/>
    <w:rsid w:val="00A70D58"/>
    <w:rsid w:val="00A71313"/>
    <w:rsid w:val="00A71389"/>
    <w:rsid w:val="00A72AEE"/>
    <w:rsid w:val="00A731E0"/>
    <w:rsid w:val="00A732F9"/>
    <w:rsid w:val="00A739C2"/>
    <w:rsid w:val="00A744F9"/>
    <w:rsid w:val="00A74E3F"/>
    <w:rsid w:val="00A753A1"/>
    <w:rsid w:val="00A755B0"/>
    <w:rsid w:val="00A76C37"/>
    <w:rsid w:val="00A77613"/>
    <w:rsid w:val="00A77B87"/>
    <w:rsid w:val="00A77E01"/>
    <w:rsid w:val="00A801AD"/>
    <w:rsid w:val="00A80B13"/>
    <w:rsid w:val="00A80C9D"/>
    <w:rsid w:val="00A81851"/>
    <w:rsid w:val="00A8198C"/>
    <w:rsid w:val="00A82502"/>
    <w:rsid w:val="00A828B0"/>
    <w:rsid w:val="00A82BA6"/>
    <w:rsid w:val="00A835D7"/>
    <w:rsid w:val="00A8390C"/>
    <w:rsid w:val="00A86877"/>
    <w:rsid w:val="00A86AE0"/>
    <w:rsid w:val="00A912B0"/>
    <w:rsid w:val="00A91362"/>
    <w:rsid w:val="00A9151C"/>
    <w:rsid w:val="00A919C6"/>
    <w:rsid w:val="00A928BD"/>
    <w:rsid w:val="00A92D61"/>
    <w:rsid w:val="00A936B6"/>
    <w:rsid w:val="00A93820"/>
    <w:rsid w:val="00A93E42"/>
    <w:rsid w:val="00A9493D"/>
    <w:rsid w:val="00A950FF"/>
    <w:rsid w:val="00A955C0"/>
    <w:rsid w:val="00A95733"/>
    <w:rsid w:val="00A95C2E"/>
    <w:rsid w:val="00A95F2C"/>
    <w:rsid w:val="00A978D0"/>
    <w:rsid w:val="00A97DE9"/>
    <w:rsid w:val="00AA005C"/>
    <w:rsid w:val="00AA00F8"/>
    <w:rsid w:val="00AA05A9"/>
    <w:rsid w:val="00AA073C"/>
    <w:rsid w:val="00AA104F"/>
    <w:rsid w:val="00AA12CD"/>
    <w:rsid w:val="00AA24E9"/>
    <w:rsid w:val="00AA2C16"/>
    <w:rsid w:val="00AA2E97"/>
    <w:rsid w:val="00AA34A8"/>
    <w:rsid w:val="00AA3C87"/>
    <w:rsid w:val="00AA4D1C"/>
    <w:rsid w:val="00AA4EDB"/>
    <w:rsid w:val="00AA52FD"/>
    <w:rsid w:val="00AA5D40"/>
    <w:rsid w:val="00AA6B75"/>
    <w:rsid w:val="00AA6C50"/>
    <w:rsid w:val="00AA7006"/>
    <w:rsid w:val="00AA783B"/>
    <w:rsid w:val="00AA7D79"/>
    <w:rsid w:val="00AB0FF3"/>
    <w:rsid w:val="00AB123D"/>
    <w:rsid w:val="00AB1A27"/>
    <w:rsid w:val="00AB3138"/>
    <w:rsid w:val="00AB4469"/>
    <w:rsid w:val="00AB462B"/>
    <w:rsid w:val="00AB4684"/>
    <w:rsid w:val="00AB50F4"/>
    <w:rsid w:val="00AB5856"/>
    <w:rsid w:val="00AB5B15"/>
    <w:rsid w:val="00AB5CFA"/>
    <w:rsid w:val="00AB629C"/>
    <w:rsid w:val="00AB69BD"/>
    <w:rsid w:val="00AB69FF"/>
    <w:rsid w:val="00AB6A80"/>
    <w:rsid w:val="00AB7D15"/>
    <w:rsid w:val="00AC081D"/>
    <w:rsid w:val="00AC0C6F"/>
    <w:rsid w:val="00AC1266"/>
    <w:rsid w:val="00AC193C"/>
    <w:rsid w:val="00AC30C1"/>
    <w:rsid w:val="00AC38C7"/>
    <w:rsid w:val="00AC3D77"/>
    <w:rsid w:val="00AC431B"/>
    <w:rsid w:val="00AC4B56"/>
    <w:rsid w:val="00AC4DE5"/>
    <w:rsid w:val="00AC5206"/>
    <w:rsid w:val="00AC5D86"/>
    <w:rsid w:val="00AC6B25"/>
    <w:rsid w:val="00AD04A9"/>
    <w:rsid w:val="00AD094B"/>
    <w:rsid w:val="00AD095B"/>
    <w:rsid w:val="00AD11E0"/>
    <w:rsid w:val="00AD1BE5"/>
    <w:rsid w:val="00AD228C"/>
    <w:rsid w:val="00AD2ACD"/>
    <w:rsid w:val="00AD2B42"/>
    <w:rsid w:val="00AD2C1F"/>
    <w:rsid w:val="00AD3106"/>
    <w:rsid w:val="00AD3B5C"/>
    <w:rsid w:val="00AD3EF4"/>
    <w:rsid w:val="00AD4322"/>
    <w:rsid w:val="00AD65BE"/>
    <w:rsid w:val="00AD6719"/>
    <w:rsid w:val="00AD6C06"/>
    <w:rsid w:val="00AE013C"/>
    <w:rsid w:val="00AE0A40"/>
    <w:rsid w:val="00AE11A5"/>
    <w:rsid w:val="00AE13E2"/>
    <w:rsid w:val="00AE22D3"/>
    <w:rsid w:val="00AE28CE"/>
    <w:rsid w:val="00AE4803"/>
    <w:rsid w:val="00AE4FC3"/>
    <w:rsid w:val="00AE5987"/>
    <w:rsid w:val="00AE5A49"/>
    <w:rsid w:val="00AE5B1A"/>
    <w:rsid w:val="00AE64BD"/>
    <w:rsid w:val="00AE6AC1"/>
    <w:rsid w:val="00AF03E6"/>
    <w:rsid w:val="00AF11D8"/>
    <w:rsid w:val="00AF26E5"/>
    <w:rsid w:val="00AF2B4F"/>
    <w:rsid w:val="00AF5867"/>
    <w:rsid w:val="00AF5F9E"/>
    <w:rsid w:val="00AF62DF"/>
    <w:rsid w:val="00AF68CC"/>
    <w:rsid w:val="00AF70D7"/>
    <w:rsid w:val="00B00086"/>
    <w:rsid w:val="00B00CD0"/>
    <w:rsid w:val="00B00E7F"/>
    <w:rsid w:val="00B00ECE"/>
    <w:rsid w:val="00B01C9B"/>
    <w:rsid w:val="00B01FF4"/>
    <w:rsid w:val="00B02330"/>
    <w:rsid w:val="00B0326D"/>
    <w:rsid w:val="00B043EE"/>
    <w:rsid w:val="00B0456B"/>
    <w:rsid w:val="00B06037"/>
    <w:rsid w:val="00B0638E"/>
    <w:rsid w:val="00B06478"/>
    <w:rsid w:val="00B0703B"/>
    <w:rsid w:val="00B07533"/>
    <w:rsid w:val="00B07CFB"/>
    <w:rsid w:val="00B07F62"/>
    <w:rsid w:val="00B102A0"/>
    <w:rsid w:val="00B1059E"/>
    <w:rsid w:val="00B10E9E"/>
    <w:rsid w:val="00B1107C"/>
    <w:rsid w:val="00B13AD1"/>
    <w:rsid w:val="00B149BA"/>
    <w:rsid w:val="00B14A36"/>
    <w:rsid w:val="00B15B4D"/>
    <w:rsid w:val="00B16273"/>
    <w:rsid w:val="00B164B4"/>
    <w:rsid w:val="00B170A5"/>
    <w:rsid w:val="00B1725F"/>
    <w:rsid w:val="00B176C8"/>
    <w:rsid w:val="00B17AB4"/>
    <w:rsid w:val="00B17EE5"/>
    <w:rsid w:val="00B205AA"/>
    <w:rsid w:val="00B2100A"/>
    <w:rsid w:val="00B21A91"/>
    <w:rsid w:val="00B21BE5"/>
    <w:rsid w:val="00B21F35"/>
    <w:rsid w:val="00B22DB6"/>
    <w:rsid w:val="00B22E84"/>
    <w:rsid w:val="00B233AD"/>
    <w:rsid w:val="00B23E25"/>
    <w:rsid w:val="00B244A3"/>
    <w:rsid w:val="00B245B2"/>
    <w:rsid w:val="00B24E99"/>
    <w:rsid w:val="00B2517D"/>
    <w:rsid w:val="00B255AB"/>
    <w:rsid w:val="00B2568A"/>
    <w:rsid w:val="00B25F75"/>
    <w:rsid w:val="00B2666E"/>
    <w:rsid w:val="00B266EB"/>
    <w:rsid w:val="00B268E4"/>
    <w:rsid w:val="00B26B3F"/>
    <w:rsid w:val="00B26F90"/>
    <w:rsid w:val="00B2778F"/>
    <w:rsid w:val="00B31A3E"/>
    <w:rsid w:val="00B327E2"/>
    <w:rsid w:val="00B32A69"/>
    <w:rsid w:val="00B3311D"/>
    <w:rsid w:val="00B33635"/>
    <w:rsid w:val="00B341DC"/>
    <w:rsid w:val="00B3631E"/>
    <w:rsid w:val="00B365CB"/>
    <w:rsid w:val="00B37A23"/>
    <w:rsid w:val="00B37CF8"/>
    <w:rsid w:val="00B41AE0"/>
    <w:rsid w:val="00B42A86"/>
    <w:rsid w:val="00B42AF4"/>
    <w:rsid w:val="00B4392C"/>
    <w:rsid w:val="00B43E90"/>
    <w:rsid w:val="00B44308"/>
    <w:rsid w:val="00B44F84"/>
    <w:rsid w:val="00B45722"/>
    <w:rsid w:val="00B45A26"/>
    <w:rsid w:val="00B460F4"/>
    <w:rsid w:val="00B467DC"/>
    <w:rsid w:val="00B47231"/>
    <w:rsid w:val="00B474C3"/>
    <w:rsid w:val="00B47735"/>
    <w:rsid w:val="00B47A88"/>
    <w:rsid w:val="00B50533"/>
    <w:rsid w:val="00B50733"/>
    <w:rsid w:val="00B507BC"/>
    <w:rsid w:val="00B51E09"/>
    <w:rsid w:val="00B52303"/>
    <w:rsid w:val="00B52691"/>
    <w:rsid w:val="00B52B25"/>
    <w:rsid w:val="00B5392A"/>
    <w:rsid w:val="00B539EF"/>
    <w:rsid w:val="00B554F4"/>
    <w:rsid w:val="00B56118"/>
    <w:rsid w:val="00B561FB"/>
    <w:rsid w:val="00B566E1"/>
    <w:rsid w:val="00B56AFB"/>
    <w:rsid w:val="00B572BE"/>
    <w:rsid w:val="00B57981"/>
    <w:rsid w:val="00B57C52"/>
    <w:rsid w:val="00B57C82"/>
    <w:rsid w:val="00B602F6"/>
    <w:rsid w:val="00B609FB"/>
    <w:rsid w:val="00B60ED3"/>
    <w:rsid w:val="00B6152A"/>
    <w:rsid w:val="00B62EC1"/>
    <w:rsid w:val="00B63251"/>
    <w:rsid w:val="00B639DE"/>
    <w:rsid w:val="00B645E8"/>
    <w:rsid w:val="00B64679"/>
    <w:rsid w:val="00B64A96"/>
    <w:rsid w:val="00B6533B"/>
    <w:rsid w:val="00B655ED"/>
    <w:rsid w:val="00B662B7"/>
    <w:rsid w:val="00B66EA9"/>
    <w:rsid w:val="00B6773F"/>
    <w:rsid w:val="00B70921"/>
    <w:rsid w:val="00B70EB3"/>
    <w:rsid w:val="00B70EF4"/>
    <w:rsid w:val="00B71798"/>
    <w:rsid w:val="00B725BE"/>
    <w:rsid w:val="00B72906"/>
    <w:rsid w:val="00B72BFA"/>
    <w:rsid w:val="00B72CE4"/>
    <w:rsid w:val="00B74432"/>
    <w:rsid w:val="00B74462"/>
    <w:rsid w:val="00B74663"/>
    <w:rsid w:val="00B74F48"/>
    <w:rsid w:val="00B7525E"/>
    <w:rsid w:val="00B75433"/>
    <w:rsid w:val="00B75A5F"/>
    <w:rsid w:val="00B75EC4"/>
    <w:rsid w:val="00B75F70"/>
    <w:rsid w:val="00B760FB"/>
    <w:rsid w:val="00B76765"/>
    <w:rsid w:val="00B767AB"/>
    <w:rsid w:val="00B77313"/>
    <w:rsid w:val="00B778B9"/>
    <w:rsid w:val="00B77E7A"/>
    <w:rsid w:val="00B77F96"/>
    <w:rsid w:val="00B801BA"/>
    <w:rsid w:val="00B80D50"/>
    <w:rsid w:val="00B80D74"/>
    <w:rsid w:val="00B812D6"/>
    <w:rsid w:val="00B82941"/>
    <w:rsid w:val="00B846E6"/>
    <w:rsid w:val="00B84D5C"/>
    <w:rsid w:val="00B852F9"/>
    <w:rsid w:val="00B8581B"/>
    <w:rsid w:val="00B85AF6"/>
    <w:rsid w:val="00B87DD3"/>
    <w:rsid w:val="00B87E24"/>
    <w:rsid w:val="00B922CB"/>
    <w:rsid w:val="00B92E46"/>
    <w:rsid w:val="00B930B6"/>
    <w:rsid w:val="00B9320E"/>
    <w:rsid w:val="00B93872"/>
    <w:rsid w:val="00B93CB9"/>
    <w:rsid w:val="00B9404C"/>
    <w:rsid w:val="00B941ED"/>
    <w:rsid w:val="00B94DFF"/>
    <w:rsid w:val="00B95377"/>
    <w:rsid w:val="00B956ED"/>
    <w:rsid w:val="00B95E5A"/>
    <w:rsid w:val="00B972C7"/>
    <w:rsid w:val="00BA0909"/>
    <w:rsid w:val="00BA0DB4"/>
    <w:rsid w:val="00BA1090"/>
    <w:rsid w:val="00BA13C4"/>
    <w:rsid w:val="00BA1B69"/>
    <w:rsid w:val="00BA1BFA"/>
    <w:rsid w:val="00BA2D08"/>
    <w:rsid w:val="00BA2DA8"/>
    <w:rsid w:val="00BA32C4"/>
    <w:rsid w:val="00BA347C"/>
    <w:rsid w:val="00BA41A0"/>
    <w:rsid w:val="00BA4720"/>
    <w:rsid w:val="00BA4C79"/>
    <w:rsid w:val="00BA4D84"/>
    <w:rsid w:val="00BA718B"/>
    <w:rsid w:val="00BA7749"/>
    <w:rsid w:val="00BB0AAF"/>
    <w:rsid w:val="00BB120A"/>
    <w:rsid w:val="00BB1831"/>
    <w:rsid w:val="00BB2663"/>
    <w:rsid w:val="00BB298A"/>
    <w:rsid w:val="00BB3469"/>
    <w:rsid w:val="00BB368E"/>
    <w:rsid w:val="00BB4367"/>
    <w:rsid w:val="00BB5138"/>
    <w:rsid w:val="00BB5565"/>
    <w:rsid w:val="00BB5C49"/>
    <w:rsid w:val="00BB6240"/>
    <w:rsid w:val="00BB6285"/>
    <w:rsid w:val="00BB65B2"/>
    <w:rsid w:val="00BB69F5"/>
    <w:rsid w:val="00BB6A90"/>
    <w:rsid w:val="00BB6E48"/>
    <w:rsid w:val="00BB7EC3"/>
    <w:rsid w:val="00BC03FD"/>
    <w:rsid w:val="00BC04B1"/>
    <w:rsid w:val="00BC0A71"/>
    <w:rsid w:val="00BC191C"/>
    <w:rsid w:val="00BC1A14"/>
    <w:rsid w:val="00BC1C74"/>
    <w:rsid w:val="00BC4484"/>
    <w:rsid w:val="00BC470E"/>
    <w:rsid w:val="00BC4B9A"/>
    <w:rsid w:val="00BC4D27"/>
    <w:rsid w:val="00BC4E2E"/>
    <w:rsid w:val="00BC552F"/>
    <w:rsid w:val="00BC720D"/>
    <w:rsid w:val="00BC769E"/>
    <w:rsid w:val="00BC7A52"/>
    <w:rsid w:val="00BC7D02"/>
    <w:rsid w:val="00BD02C3"/>
    <w:rsid w:val="00BD13B9"/>
    <w:rsid w:val="00BD3119"/>
    <w:rsid w:val="00BD35C7"/>
    <w:rsid w:val="00BD3AFB"/>
    <w:rsid w:val="00BD45D8"/>
    <w:rsid w:val="00BD49D1"/>
    <w:rsid w:val="00BD4B88"/>
    <w:rsid w:val="00BD4D83"/>
    <w:rsid w:val="00BD5244"/>
    <w:rsid w:val="00BD57EF"/>
    <w:rsid w:val="00BD5F8A"/>
    <w:rsid w:val="00BD5FF8"/>
    <w:rsid w:val="00BD5FFC"/>
    <w:rsid w:val="00BD6C40"/>
    <w:rsid w:val="00BD7483"/>
    <w:rsid w:val="00BD784C"/>
    <w:rsid w:val="00BE020A"/>
    <w:rsid w:val="00BE062E"/>
    <w:rsid w:val="00BE13DF"/>
    <w:rsid w:val="00BE1EF0"/>
    <w:rsid w:val="00BE25D7"/>
    <w:rsid w:val="00BE2D12"/>
    <w:rsid w:val="00BE3019"/>
    <w:rsid w:val="00BE3119"/>
    <w:rsid w:val="00BE315B"/>
    <w:rsid w:val="00BE422C"/>
    <w:rsid w:val="00BE470B"/>
    <w:rsid w:val="00BE4AA2"/>
    <w:rsid w:val="00BE5558"/>
    <w:rsid w:val="00BE559A"/>
    <w:rsid w:val="00BE75F1"/>
    <w:rsid w:val="00BF01F5"/>
    <w:rsid w:val="00BF03F6"/>
    <w:rsid w:val="00BF092C"/>
    <w:rsid w:val="00BF0975"/>
    <w:rsid w:val="00BF0E5B"/>
    <w:rsid w:val="00BF21D1"/>
    <w:rsid w:val="00BF221D"/>
    <w:rsid w:val="00BF27A0"/>
    <w:rsid w:val="00BF31A0"/>
    <w:rsid w:val="00BF3336"/>
    <w:rsid w:val="00BF3517"/>
    <w:rsid w:val="00BF3F82"/>
    <w:rsid w:val="00BF40E6"/>
    <w:rsid w:val="00BF45EF"/>
    <w:rsid w:val="00BF46B1"/>
    <w:rsid w:val="00BF488B"/>
    <w:rsid w:val="00BF4CB6"/>
    <w:rsid w:val="00BF51E1"/>
    <w:rsid w:val="00BF5D23"/>
    <w:rsid w:val="00BF6391"/>
    <w:rsid w:val="00BF639E"/>
    <w:rsid w:val="00BF6CBD"/>
    <w:rsid w:val="00BF6D32"/>
    <w:rsid w:val="00BF7191"/>
    <w:rsid w:val="00BF738B"/>
    <w:rsid w:val="00C00DA7"/>
    <w:rsid w:val="00C01148"/>
    <w:rsid w:val="00C01248"/>
    <w:rsid w:val="00C0161F"/>
    <w:rsid w:val="00C016A5"/>
    <w:rsid w:val="00C01836"/>
    <w:rsid w:val="00C01F8F"/>
    <w:rsid w:val="00C03115"/>
    <w:rsid w:val="00C034FB"/>
    <w:rsid w:val="00C03672"/>
    <w:rsid w:val="00C03970"/>
    <w:rsid w:val="00C041E1"/>
    <w:rsid w:val="00C048C3"/>
    <w:rsid w:val="00C04CDE"/>
    <w:rsid w:val="00C05532"/>
    <w:rsid w:val="00C0568B"/>
    <w:rsid w:val="00C059D5"/>
    <w:rsid w:val="00C06494"/>
    <w:rsid w:val="00C064E2"/>
    <w:rsid w:val="00C06719"/>
    <w:rsid w:val="00C068A6"/>
    <w:rsid w:val="00C06A8E"/>
    <w:rsid w:val="00C07294"/>
    <w:rsid w:val="00C07F5F"/>
    <w:rsid w:val="00C115EB"/>
    <w:rsid w:val="00C119F9"/>
    <w:rsid w:val="00C11DEA"/>
    <w:rsid w:val="00C12349"/>
    <w:rsid w:val="00C12768"/>
    <w:rsid w:val="00C12D70"/>
    <w:rsid w:val="00C13BC4"/>
    <w:rsid w:val="00C13D07"/>
    <w:rsid w:val="00C15386"/>
    <w:rsid w:val="00C15E1D"/>
    <w:rsid w:val="00C1613A"/>
    <w:rsid w:val="00C16724"/>
    <w:rsid w:val="00C174A5"/>
    <w:rsid w:val="00C176D5"/>
    <w:rsid w:val="00C20334"/>
    <w:rsid w:val="00C21470"/>
    <w:rsid w:val="00C21B09"/>
    <w:rsid w:val="00C2328D"/>
    <w:rsid w:val="00C23959"/>
    <w:rsid w:val="00C244E9"/>
    <w:rsid w:val="00C24DC4"/>
    <w:rsid w:val="00C256F7"/>
    <w:rsid w:val="00C25EFF"/>
    <w:rsid w:val="00C2673A"/>
    <w:rsid w:val="00C26756"/>
    <w:rsid w:val="00C2686C"/>
    <w:rsid w:val="00C26B19"/>
    <w:rsid w:val="00C278CD"/>
    <w:rsid w:val="00C27923"/>
    <w:rsid w:val="00C27B58"/>
    <w:rsid w:val="00C27BFA"/>
    <w:rsid w:val="00C27C1C"/>
    <w:rsid w:val="00C31004"/>
    <w:rsid w:val="00C3166C"/>
    <w:rsid w:val="00C33186"/>
    <w:rsid w:val="00C340DC"/>
    <w:rsid w:val="00C34538"/>
    <w:rsid w:val="00C34C86"/>
    <w:rsid w:val="00C35805"/>
    <w:rsid w:val="00C35996"/>
    <w:rsid w:val="00C35D1C"/>
    <w:rsid w:val="00C361C1"/>
    <w:rsid w:val="00C37920"/>
    <w:rsid w:val="00C379F8"/>
    <w:rsid w:val="00C405E3"/>
    <w:rsid w:val="00C4095B"/>
    <w:rsid w:val="00C40E76"/>
    <w:rsid w:val="00C411BA"/>
    <w:rsid w:val="00C4250B"/>
    <w:rsid w:val="00C42BCD"/>
    <w:rsid w:val="00C44001"/>
    <w:rsid w:val="00C4485F"/>
    <w:rsid w:val="00C44DED"/>
    <w:rsid w:val="00C46C13"/>
    <w:rsid w:val="00C46E0D"/>
    <w:rsid w:val="00C4747E"/>
    <w:rsid w:val="00C477B9"/>
    <w:rsid w:val="00C47AFF"/>
    <w:rsid w:val="00C50DA3"/>
    <w:rsid w:val="00C5151E"/>
    <w:rsid w:val="00C51E3C"/>
    <w:rsid w:val="00C51FB5"/>
    <w:rsid w:val="00C52256"/>
    <w:rsid w:val="00C52CC3"/>
    <w:rsid w:val="00C5342C"/>
    <w:rsid w:val="00C53723"/>
    <w:rsid w:val="00C53B2B"/>
    <w:rsid w:val="00C54337"/>
    <w:rsid w:val="00C547F5"/>
    <w:rsid w:val="00C54F3F"/>
    <w:rsid w:val="00C55BF2"/>
    <w:rsid w:val="00C5610C"/>
    <w:rsid w:val="00C56D78"/>
    <w:rsid w:val="00C57465"/>
    <w:rsid w:val="00C57AE4"/>
    <w:rsid w:val="00C57E4C"/>
    <w:rsid w:val="00C57FB2"/>
    <w:rsid w:val="00C60272"/>
    <w:rsid w:val="00C603D4"/>
    <w:rsid w:val="00C60A0A"/>
    <w:rsid w:val="00C617D2"/>
    <w:rsid w:val="00C61A5C"/>
    <w:rsid w:val="00C6256A"/>
    <w:rsid w:val="00C62FF1"/>
    <w:rsid w:val="00C631AC"/>
    <w:rsid w:val="00C63AAA"/>
    <w:rsid w:val="00C63FDA"/>
    <w:rsid w:val="00C64033"/>
    <w:rsid w:val="00C64104"/>
    <w:rsid w:val="00C64EBC"/>
    <w:rsid w:val="00C65FC8"/>
    <w:rsid w:val="00C664D2"/>
    <w:rsid w:val="00C677E1"/>
    <w:rsid w:val="00C70E6E"/>
    <w:rsid w:val="00C710E2"/>
    <w:rsid w:val="00C71C3F"/>
    <w:rsid w:val="00C73303"/>
    <w:rsid w:val="00C7345D"/>
    <w:rsid w:val="00C7409E"/>
    <w:rsid w:val="00C740AE"/>
    <w:rsid w:val="00C746EA"/>
    <w:rsid w:val="00C74D6D"/>
    <w:rsid w:val="00C750D6"/>
    <w:rsid w:val="00C75508"/>
    <w:rsid w:val="00C75799"/>
    <w:rsid w:val="00C76E76"/>
    <w:rsid w:val="00C77891"/>
    <w:rsid w:val="00C77B74"/>
    <w:rsid w:val="00C81A3C"/>
    <w:rsid w:val="00C81B7E"/>
    <w:rsid w:val="00C81CB7"/>
    <w:rsid w:val="00C81D78"/>
    <w:rsid w:val="00C82062"/>
    <w:rsid w:val="00C829A9"/>
    <w:rsid w:val="00C82BE4"/>
    <w:rsid w:val="00C83748"/>
    <w:rsid w:val="00C84BA9"/>
    <w:rsid w:val="00C85E8E"/>
    <w:rsid w:val="00C86D76"/>
    <w:rsid w:val="00C87062"/>
    <w:rsid w:val="00C8760A"/>
    <w:rsid w:val="00C87B80"/>
    <w:rsid w:val="00C90124"/>
    <w:rsid w:val="00C90330"/>
    <w:rsid w:val="00C91265"/>
    <w:rsid w:val="00C91449"/>
    <w:rsid w:val="00C9167E"/>
    <w:rsid w:val="00C918FA"/>
    <w:rsid w:val="00C92084"/>
    <w:rsid w:val="00C92291"/>
    <w:rsid w:val="00C928F7"/>
    <w:rsid w:val="00C92C92"/>
    <w:rsid w:val="00C92D10"/>
    <w:rsid w:val="00C92E22"/>
    <w:rsid w:val="00C92F79"/>
    <w:rsid w:val="00C9369B"/>
    <w:rsid w:val="00C93A26"/>
    <w:rsid w:val="00C93F58"/>
    <w:rsid w:val="00C94F80"/>
    <w:rsid w:val="00C95200"/>
    <w:rsid w:val="00C9560F"/>
    <w:rsid w:val="00C96390"/>
    <w:rsid w:val="00C96815"/>
    <w:rsid w:val="00C96A42"/>
    <w:rsid w:val="00C96EC0"/>
    <w:rsid w:val="00C97B4C"/>
    <w:rsid w:val="00CA06F9"/>
    <w:rsid w:val="00CA0B87"/>
    <w:rsid w:val="00CA14BB"/>
    <w:rsid w:val="00CA230C"/>
    <w:rsid w:val="00CA2B52"/>
    <w:rsid w:val="00CA2B84"/>
    <w:rsid w:val="00CA2DBB"/>
    <w:rsid w:val="00CA3E9C"/>
    <w:rsid w:val="00CA44EB"/>
    <w:rsid w:val="00CA48D9"/>
    <w:rsid w:val="00CA53F9"/>
    <w:rsid w:val="00CA5CEA"/>
    <w:rsid w:val="00CA5FAF"/>
    <w:rsid w:val="00CA6442"/>
    <w:rsid w:val="00CA6BB3"/>
    <w:rsid w:val="00CB009F"/>
    <w:rsid w:val="00CB1193"/>
    <w:rsid w:val="00CB2438"/>
    <w:rsid w:val="00CB26CC"/>
    <w:rsid w:val="00CB2E7C"/>
    <w:rsid w:val="00CB2F8B"/>
    <w:rsid w:val="00CB358A"/>
    <w:rsid w:val="00CB3A8A"/>
    <w:rsid w:val="00CB4767"/>
    <w:rsid w:val="00CB493D"/>
    <w:rsid w:val="00CB6A5E"/>
    <w:rsid w:val="00CB7E44"/>
    <w:rsid w:val="00CC06E0"/>
    <w:rsid w:val="00CC09E4"/>
    <w:rsid w:val="00CC0D9D"/>
    <w:rsid w:val="00CC1124"/>
    <w:rsid w:val="00CC1918"/>
    <w:rsid w:val="00CC1F77"/>
    <w:rsid w:val="00CC2034"/>
    <w:rsid w:val="00CC2224"/>
    <w:rsid w:val="00CC3B97"/>
    <w:rsid w:val="00CC3BB5"/>
    <w:rsid w:val="00CC432E"/>
    <w:rsid w:val="00CC4C0B"/>
    <w:rsid w:val="00CC605D"/>
    <w:rsid w:val="00CC61D6"/>
    <w:rsid w:val="00CC67CE"/>
    <w:rsid w:val="00CC7599"/>
    <w:rsid w:val="00CC75A5"/>
    <w:rsid w:val="00CC7BEF"/>
    <w:rsid w:val="00CD0AF7"/>
    <w:rsid w:val="00CD2433"/>
    <w:rsid w:val="00CD3614"/>
    <w:rsid w:val="00CD42C7"/>
    <w:rsid w:val="00CD452D"/>
    <w:rsid w:val="00CD4963"/>
    <w:rsid w:val="00CD4A8C"/>
    <w:rsid w:val="00CD4ECB"/>
    <w:rsid w:val="00CD6257"/>
    <w:rsid w:val="00CD625C"/>
    <w:rsid w:val="00CD6556"/>
    <w:rsid w:val="00CD6721"/>
    <w:rsid w:val="00CD6FE8"/>
    <w:rsid w:val="00CD72C6"/>
    <w:rsid w:val="00CD7544"/>
    <w:rsid w:val="00CD7C0B"/>
    <w:rsid w:val="00CD7D94"/>
    <w:rsid w:val="00CE0F48"/>
    <w:rsid w:val="00CE10C4"/>
    <w:rsid w:val="00CE12BD"/>
    <w:rsid w:val="00CE14BA"/>
    <w:rsid w:val="00CE152F"/>
    <w:rsid w:val="00CE2343"/>
    <w:rsid w:val="00CE27B5"/>
    <w:rsid w:val="00CE2BDF"/>
    <w:rsid w:val="00CE2DD7"/>
    <w:rsid w:val="00CE3D31"/>
    <w:rsid w:val="00CE4726"/>
    <w:rsid w:val="00CE6D24"/>
    <w:rsid w:val="00CE6DAF"/>
    <w:rsid w:val="00CE71EE"/>
    <w:rsid w:val="00CF0CBA"/>
    <w:rsid w:val="00CF1F31"/>
    <w:rsid w:val="00CF3371"/>
    <w:rsid w:val="00CF3931"/>
    <w:rsid w:val="00CF396E"/>
    <w:rsid w:val="00CF410A"/>
    <w:rsid w:val="00CF47B8"/>
    <w:rsid w:val="00CF5C45"/>
    <w:rsid w:val="00CF61E6"/>
    <w:rsid w:val="00CF6773"/>
    <w:rsid w:val="00CF7144"/>
    <w:rsid w:val="00CF7528"/>
    <w:rsid w:val="00CF7FDE"/>
    <w:rsid w:val="00D00186"/>
    <w:rsid w:val="00D012AF"/>
    <w:rsid w:val="00D01566"/>
    <w:rsid w:val="00D0312C"/>
    <w:rsid w:val="00D0321E"/>
    <w:rsid w:val="00D03241"/>
    <w:rsid w:val="00D03604"/>
    <w:rsid w:val="00D03F5A"/>
    <w:rsid w:val="00D0438B"/>
    <w:rsid w:val="00D04F1A"/>
    <w:rsid w:val="00D05457"/>
    <w:rsid w:val="00D056C0"/>
    <w:rsid w:val="00D058B9"/>
    <w:rsid w:val="00D069EB"/>
    <w:rsid w:val="00D06C01"/>
    <w:rsid w:val="00D074A3"/>
    <w:rsid w:val="00D074C9"/>
    <w:rsid w:val="00D07A8A"/>
    <w:rsid w:val="00D103DD"/>
    <w:rsid w:val="00D10A16"/>
    <w:rsid w:val="00D10CFC"/>
    <w:rsid w:val="00D10E31"/>
    <w:rsid w:val="00D11199"/>
    <w:rsid w:val="00D11E8D"/>
    <w:rsid w:val="00D12027"/>
    <w:rsid w:val="00D12181"/>
    <w:rsid w:val="00D1271E"/>
    <w:rsid w:val="00D12BCF"/>
    <w:rsid w:val="00D1455A"/>
    <w:rsid w:val="00D14573"/>
    <w:rsid w:val="00D149E4"/>
    <w:rsid w:val="00D14A70"/>
    <w:rsid w:val="00D14B4B"/>
    <w:rsid w:val="00D14C5D"/>
    <w:rsid w:val="00D151BB"/>
    <w:rsid w:val="00D161E3"/>
    <w:rsid w:val="00D207EA"/>
    <w:rsid w:val="00D209DC"/>
    <w:rsid w:val="00D20A1E"/>
    <w:rsid w:val="00D20AFE"/>
    <w:rsid w:val="00D211FB"/>
    <w:rsid w:val="00D215F6"/>
    <w:rsid w:val="00D21B29"/>
    <w:rsid w:val="00D21D46"/>
    <w:rsid w:val="00D21E63"/>
    <w:rsid w:val="00D22093"/>
    <w:rsid w:val="00D24E99"/>
    <w:rsid w:val="00D2560B"/>
    <w:rsid w:val="00D25D0B"/>
    <w:rsid w:val="00D26CAA"/>
    <w:rsid w:val="00D30106"/>
    <w:rsid w:val="00D310C1"/>
    <w:rsid w:val="00D31150"/>
    <w:rsid w:val="00D3138B"/>
    <w:rsid w:val="00D31FCE"/>
    <w:rsid w:val="00D326AC"/>
    <w:rsid w:val="00D3280C"/>
    <w:rsid w:val="00D32C0E"/>
    <w:rsid w:val="00D33623"/>
    <w:rsid w:val="00D33655"/>
    <w:rsid w:val="00D33F72"/>
    <w:rsid w:val="00D3406A"/>
    <w:rsid w:val="00D34288"/>
    <w:rsid w:val="00D34D24"/>
    <w:rsid w:val="00D3534C"/>
    <w:rsid w:val="00D35BC7"/>
    <w:rsid w:val="00D35FC4"/>
    <w:rsid w:val="00D40B11"/>
    <w:rsid w:val="00D40DE5"/>
    <w:rsid w:val="00D41D0E"/>
    <w:rsid w:val="00D42864"/>
    <w:rsid w:val="00D429EC"/>
    <w:rsid w:val="00D430F0"/>
    <w:rsid w:val="00D43F86"/>
    <w:rsid w:val="00D441F1"/>
    <w:rsid w:val="00D44E0C"/>
    <w:rsid w:val="00D45563"/>
    <w:rsid w:val="00D4572C"/>
    <w:rsid w:val="00D4599D"/>
    <w:rsid w:val="00D45B79"/>
    <w:rsid w:val="00D469B2"/>
    <w:rsid w:val="00D47DE2"/>
    <w:rsid w:val="00D5076B"/>
    <w:rsid w:val="00D510CD"/>
    <w:rsid w:val="00D51694"/>
    <w:rsid w:val="00D51B30"/>
    <w:rsid w:val="00D52AEC"/>
    <w:rsid w:val="00D52B24"/>
    <w:rsid w:val="00D52EAA"/>
    <w:rsid w:val="00D52ECF"/>
    <w:rsid w:val="00D53666"/>
    <w:rsid w:val="00D53F0C"/>
    <w:rsid w:val="00D53F79"/>
    <w:rsid w:val="00D5411A"/>
    <w:rsid w:val="00D54B09"/>
    <w:rsid w:val="00D55095"/>
    <w:rsid w:val="00D55281"/>
    <w:rsid w:val="00D55D5F"/>
    <w:rsid w:val="00D56049"/>
    <w:rsid w:val="00D568D9"/>
    <w:rsid w:val="00D57E50"/>
    <w:rsid w:val="00D60B90"/>
    <w:rsid w:val="00D60F92"/>
    <w:rsid w:val="00D61181"/>
    <w:rsid w:val="00D612FB"/>
    <w:rsid w:val="00D61FDB"/>
    <w:rsid w:val="00D6243E"/>
    <w:rsid w:val="00D625C8"/>
    <w:rsid w:val="00D62737"/>
    <w:rsid w:val="00D6281D"/>
    <w:rsid w:val="00D6297F"/>
    <w:rsid w:val="00D62A95"/>
    <w:rsid w:val="00D62CA6"/>
    <w:rsid w:val="00D630DC"/>
    <w:rsid w:val="00D63579"/>
    <w:rsid w:val="00D6361E"/>
    <w:rsid w:val="00D65330"/>
    <w:rsid w:val="00D65658"/>
    <w:rsid w:val="00D66B43"/>
    <w:rsid w:val="00D675AC"/>
    <w:rsid w:val="00D67EB2"/>
    <w:rsid w:val="00D7022F"/>
    <w:rsid w:val="00D70349"/>
    <w:rsid w:val="00D70543"/>
    <w:rsid w:val="00D72027"/>
    <w:rsid w:val="00D72A55"/>
    <w:rsid w:val="00D72B6F"/>
    <w:rsid w:val="00D72CEC"/>
    <w:rsid w:val="00D738A9"/>
    <w:rsid w:val="00D741EB"/>
    <w:rsid w:val="00D74CEA"/>
    <w:rsid w:val="00D74D41"/>
    <w:rsid w:val="00D75B94"/>
    <w:rsid w:val="00D75ECC"/>
    <w:rsid w:val="00D75FBB"/>
    <w:rsid w:val="00D763E4"/>
    <w:rsid w:val="00D7679C"/>
    <w:rsid w:val="00D7696F"/>
    <w:rsid w:val="00D76DF2"/>
    <w:rsid w:val="00D774C9"/>
    <w:rsid w:val="00D77C5F"/>
    <w:rsid w:val="00D817A9"/>
    <w:rsid w:val="00D820F3"/>
    <w:rsid w:val="00D82E43"/>
    <w:rsid w:val="00D8304B"/>
    <w:rsid w:val="00D83605"/>
    <w:rsid w:val="00D8448C"/>
    <w:rsid w:val="00D84934"/>
    <w:rsid w:val="00D866EB"/>
    <w:rsid w:val="00D866F7"/>
    <w:rsid w:val="00D8671A"/>
    <w:rsid w:val="00D86C52"/>
    <w:rsid w:val="00D8740D"/>
    <w:rsid w:val="00D87C03"/>
    <w:rsid w:val="00D87C51"/>
    <w:rsid w:val="00D87D1A"/>
    <w:rsid w:val="00D906DA"/>
    <w:rsid w:val="00D91271"/>
    <w:rsid w:val="00D919F5"/>
    <w:rsid w:val="00D91C07"/>
    <w:rsid w:val="00D92CBA"/>
    <w:rsid w:val="00D92D5D"/>
    <w:rsid w:val="00D93FE2"/>
    <w:rsid w:val="00D94531"/>
    <w:rsid w:val="00D945F6"/>
    <w:rsid w:val="00D94F03"/>
    <w:rsid w:val="00D95161"/>
    <w:rsid w:val="00D95C23"/>
    <w:rsid w:val="00D95C73"/>
    <w:rsid w:val="00D97085"/>
    <w:rsid w:val="00D97F30"/>
    <w:rsid w:val="00DA0A82"/>
    <w:rsid w:val="00DA0D14"/>
    <w:rsid w:val="00DA1B12"/>
    <w:rsid w:val="00DA1FA3"/>
    <w:rsid w:val="00DA1FC9"/>
    <w:rsid w:val="00DA203F"/>
    <w:rsid w:val="00DA2CB5"/>
    <w:rsid w:val="00DA32AE"/>
    <w:rsid w:val="00DA358F"/>
    <w:rsid w:val="00DA383E"/>
    <w:rsid w:val="00DA4A5C"/>
    <w:rsid w:val="00DA4BAC"/>
    <w:rsid w:val="00DA5A82"/>
    <w:rsid w:val="00DA5EDB"/>
    <w:rsid w:val="00DA5F61"/>
    <w:rsid w:val="00DA65C2"/>
    <w:rsid w:val="00DA722E"/>
    <w:rsid w:val="00DA792A"/>
    <w:rsid w:val="00DB0151"/>
    <w:rsid w:val="00DB0160"/>
    <w:rsid w:val="00DB04D7"/>
    <w:rsid w:val="00DB07EE"/>
    <w:rsid w:val="00DB0EE7"/>
    <w:rsid w:val="00DB179D"/>
    <w:rsid w:val="00DB1898"/>
    <w:rsid w:val="00DB38A3"/>
    <w:rsid w:val="00DB4163"/>
    <w:rsid w:val="00DB4321"/>
    <w:rsid w:val="00DB4DE0"/>
    <w:rsid w:val="00DB50E1"/>
    <w:rsid w:val="00DB550A"/>
    <w:rsid w:val="00DB59D9"/>
    <w:rsid w:val="00DB662F"/>
    <w:rsid w:val="00DB78ED"/>
    <w:rsid w:val="00DC0497"/>
    <w:rsid w:val="00DC0566"/>
    <w:rsid w:val="00DC05E1"/>
    <w:rsid w:val="00DC1499"/>
    <w:rsid w:val="00DC16CF"/>
    <w:rsid w:val="00DC2C3E"/>
    <w:rsid w:val="00DC301E"/>
    <w:rsid w:val="00DC3137"/>
    <w:rsid w:val="00DC3A71"/>
    <w:rsid w:val="00DC3FA7"/>
    <w:rsid w:val="00DC440C"/>
    <w:rsid w:val="00DC4880"/>
    <w:rsid w:val="00DC4D35"/>
    <w:rsid w:val="00DC54CA"/>
    <w:rsid w:val="00DC581F"/>
    <w:rsid w:val="00DC593D"/>
    <w:rsid w:val="00DC5E90"/>
    <w:rsid w:val="00DC5EA3"/>
    <w:rsid w:val="00DC6457"/>
    <w:rsid w:val="00DC6EC3"/>
    <w:rsid w:val="00DC732A"/>
    <w:rsid w:val="00DC7CF4"/>
    <w:rsid w:val="00DD04D7"/>
    <w:rsid w:val="00DD0BE9"/>
    <w:rsid w:val="00DD1F22"/>
    <w:rsid w:val="00DD26F9"/>
    <w:rsid w:val="00DD2A91"/>
    <w:rsid w:val="00DD2BD5"/>
    <w:rsid w:val="00DD2F27"/>
    <w:rsid w:val="00DD350E"/>
    <w:rsid w:val="00DD3D3B"/>
    <w:rsid w:val="00DD3DA0"/>
    <w:rsid w:val="00DD4054"/>
    <w:rsid w:val="00DD42AB"/>
    <w:rsid w:val="00DD4B4C"/>
    <w:rsid w:val="00DD4EFD"/>
    <w:rsid w:val="00DD510B"/>
    <w:rsid w:val="00DD5F94"/>
    <w:rsid w:val="00DD6600"/>
    <w:rsid w:val="00DD67FC"/>
    <w:rsid w:val="00DD6AA9"/>
    <w:rsid w:val="00DD6DE7"/>
    <w:rsid w:val="00DD74AD"/>
    <w:rsid w:val="00DE006C"/>
    <w:rsid w:val="00DE0516"/>
    <w:rsid w:val="00DE06AF"/>
    <w:rsid w:val="00DE0824"/>
    <w:rsid w:val="00DE1233"/>
    <w:rsid w:val="00DE293F"/>
    <w:rsid w:val="00DE2A1E"/>
    <w:rsid w:val="00DE3ADD"/>
    <w:rsid w:val="00DE3B21"/>
    <w:rsid w:val="00DE3CD7"/>
    <w:rsid w:val="00DE5323"/>
    <w:rsid w:val="00DE5D2F"/>
    <w:rsid w:val="00DE6D27"/>
    <w:rsid w:val="00DE76EA"/>
    <w:rsid w:val="00DE78CA"/>
    <w:rsid w:val="00DF01F8"/>
    <w:rsid w:val="00DF021D"/>
    <w:rsid w:val="00DF036B"/>
    <w:rsid w:val="00DF085C"/>
    <w:rsid w:val="00DF14EE"/>
    <w:rsid w:val="00DF217D"/>
    <w:rsid w:val="00DF2315"/>
    <w:rsid w:val="00DF26A7"/>
    <w:rsid w:val="00DF3277"/>
    <w:rsid w:val="00DF3A2B"/>
    <w:rsid w:val="00DF42D1"/>
    <w:rsid w:val="00DF490D"/>
    <w:rsid w:val="00DF496B"/>
    <w:rsid w:val="00DF4FB7"/>
    <w:rsid w:val="00DF5440"/>
    <w:rsid w:val="00DF5453"/>
    <w:rsid w:val="00DF5AD2"/>
    <w:rsid w:val="00DF6A31"/>
    <w:rsid w:val="00DF6B84"/>
    <w:rsid w:val="00DF6E12"/>
    <w:rsid w:val="00DF7407"/>
    <w:rsid w:val="00DF77A1"/>
    <w:rsid w:val="00DF7919"/>
    <w:rsid w:val="00DF7D32"/>
    <w:rsid w:val="00DF7F3D"/>
    <w:rsid w:val="00E00992"/>
    <w:rsid w:val="00E00E0F"/>
    <w:rsid w:val="00E0114B"/>
    <w:rsid w:val="00E0207E"/>
    <w:rsid w:val="00E02AE6"/>
    <w:rsid w:val="00E031B6"/>
    <w:rsid w:val="00E03912"/>
    <w:rsid w:val="00E04748"/>
    <w:rsid w:val="00E048F8"/>
    <w:rsid w:val="00E04905"/>
    <w:rsid w:val="00E04CB8"/>
    <w:rsid w:val="00E050C5"/>
    <w:rsid w:val="00E05831"/>
    <w:rsid w:val="00E060AA"/>
    <w:rsid w:val="00E060AF"/>
    <w:rsid w:val="00E061EA"/>
    <w:rsid w:val="00E0753F"/>
    <w:rsid w:val="00E078D9"/>
    <w:rsid w:val="00E07D6F"/>
    <w:rsid w:val="00E10293"/>
    <w:rsid w:val="00E10295"/>
    <w:rsid w:val="00E103A0"/>
    <w:rsid w:val="00E1043F"/>
    <w:rsid w:val="00E10841"/>
    <w:rsid w:val="00E10CEC"/>
    <w:rsid w:val="00E1157E"/>
    <w:rsid w:val="00E116D6"/>
    <w:rsid w:val="00E11AAD"/>
    <w:rsid w:val="00E11AF1"/>
    <w:rsid w:val="00E11B9B"/>
    <w:rsid w:val="00E11F44"/>
    <w:rsid w:val="00E13E60"/>
    <w:rsid w:val="00E14895"/>
    <w:rsid w:val="00E15627"/>
    <w:rsid w:val="00E1591D"/>
    <w:rsid w:val="00E16124"/>
    <w:rsid w:val="00E164B3"/>
    <w:rsid w:val="00E16910"/>
    <w:rsid w:val="00E17A63"/>
    <w:rsid w:val="00E20073"/>
    <w:rsid w:val="00E21164"/>
    <w:rsid w:val="00E22BA2"/>
    <w:rsid w:val="00E23537"/>
    <w:rsid w:val="00E239B5"/>
    <w:rsid w:val="00E239E2"/>
    <w:rsid w:val="00E23A1B"/>
    <w:rsid w:val="00E246E0"/>
    <w:rsid w:val="00E24DDA"/>
    <w:rsid w:val="00E24E09"/>
    <w:rsid w:val="00E27234"/>
    <w:rsid w:val="00E273BB"/>
    <w:rsid w:val="00E279D6"/>
    <w:rsid w:val="00E30F1C"/>
    <w:rsid w:val="00E310DC"/>
    <w:rsid w:val="00E31410"/>
    <w:rsid w:val="00E31B6D"/>
    <w:rsid w:val="00E33243"/>
    <w:rsid w:val="00E335E5"/>
    <w:rsid w:val="00E3495C"/>
    <w:rsid w:val="00E36212"/>
    <w:rsid w:val="00E3702B"/>
    <w:rsid w:val="00E371AB"/>
    <w:rsid w:val="00E37E18"/>
    <w:rsid w:val="00E410D6"/>
    <w:rsid w:val="00E418E5"/>
    <w:rsid w:val="00E42BDB"/>
    <w:rsid w:val="00E42C7F"/>
    <w:rsid w:val="00E42FB6"/>
    <w:rsid w:val="00E44D31"/>
    <w:rsid w:val="00E4541A"/>
    <w:rsid w:val="00E45DFB"/>
    <w:rsid w:val="00E45E0F"/>
    <w:rsid w:val="00E4701A"/>
    <w:rsid w:val="00E50162"/>
    <w:rsid w:val="00E502CB"/>
    <w:rsid w:val="00E50818"/>
    <w:rsid w:val="00E50F18"/>
    <w:rsid w:val="00E5100D"/>
    <w:rsid w:val="00E524A9"/>
    <w:rsid w:val="00E53671"/>
    <w:rsid w:val="00E53F1A"/>
    <w:rsid w:val="00E547A9"/>
    <w:rsid w:val="00E54E48"/>
    <w:rsid w:val="00E55FAB"/>
    <w:rsid w:val="00E5726D"/>
    <w:rsid w:val="00E57EEB"/>
    <w:rsid w:val="00E61628"/>
    <w:rsid w:val="00E62D94"/>
    <w:rsid w:val="00E62ECC"/>
    <w:rsid w:val="00E64B03"/>
    <w:rsid w:val="00E64F37"/>
    <w:rsid w:val="00E65091"/>
    <w:rsid w:val="00E65393"/>
    <w:rsid w:val="00E65E54"/>
    <w:rsid w:val="00E661C7"/>
    <w:rsid w:val="00E66679"/>
    <w:rsid w:val="00E67088"/>
    <w:rsid w:val="00E67604"/>
    <w:rsid w:val="00E71067"/>
    <w:rsid w:val="00E716B2"/>
    <w:rsid w:val="00E7181F"/>
    <w:rsid w:val="00E726C2"/>
    <w:rsid w:val="00E732C4"/>
    <w:rsid w:val="00E7391C"/>
    <w:rsid w:val="00E74E41"/>
    <w:rsid w:val="00E75151"/>
    <w:rsid w:val="00E7543F"/>
    <w:rsid w:val="00E75A61"/>
    <w:rsid w:val="00E77316"/>
    <w:rsid w:val="00E80155"/>
    <w:rsid w:val="00E8033F"/>
    <w:rsid w:val="00E80AE1"/>
    <w:rsid w:val="00E8134B"/>
    <w:rsid w:val="00E81E0D"/>
    <w:rsid w:val="00E81F28"/>
    <w:rsid w:val="00E82089"/>
    <w:rsid w:val="00E82471"/>
    <w:rsid w:val="00E82B15"/>
    <w:rsid w:val="00E8440F"/>
    <w:rsid w:val="00E848C0"/>
    <w:rsid w:val="00E84BB8"/>
    <w:rsid w:val="00E85C1E"/>
    <w:rsid w:val="00E85DB3"/>
    <w:rsid w:val="00E85E41"/>
    <w:rsid w:val="00E85F9A"/>
    <w:rsid w:val="00E86F92"/>
    <w:rsid w:val="00E91B96"/>
    <w:rsid w:val="00E91D96"/>
    <w:rsid w:val="00E92E1D"/>
    <w:rsid w:val="00E92F2E"/>
    <w:rsid w:val="00E935B2"/>
    <w:rsid w:val="00E935DA"/>
    <w:rsid w:val="00E93D1E"/>
    <w:rsid w:val="00E941A1"/>
    <w:rsid w:val="00E94334"/>
    <w:rsid w:val="00E95CE3"/>
    <w:rsid w:val="00E95D2A"/>
    <w:rsid w:val="00E95F9A"/>
    <w:rsid w:val="00E96237"/>
    <w:rsid w:val="00E96681"/>
    <w:rsid w:val="00E967BA"/>
    <w:rsid w:val="00E96E99"/>
    <w:rsid w:val="00E9720B"/>
    <w:rsid w:val="00E974CB"/>
    <w:rsid w:val="00E97CE7"/>
    <w:rsid w:val="00E97EC6"/>
    <w:rsid w:val="00EA0856"/>
    <w:rsid w:val="00EA1C3E"/>
    <w:rsid w:val="00EA1DC4"/>
    <w:rsid w:val="00EA252F"/>
    <w:rsid w:val="00EA2825"/>
    <w:rsid w:val="00EA3918"/>
    <w:rsid w:val="00EA39B9"/>
    <w:rsid w:val="00EA5027"/>
    <w:rsid w:val="00EA539E"/>
    <w:rsid w:val="00EA64C2"/>
    <w:rsid w:val="00EA6518"/>
    <w:rsid w:val="00EA71A2"/>
    <w:rsid w:val="00EA7466"/>
    <w:rsid w:val="00EA7791"/>
    <w:rsid w:val="00EA7B15"/>
    <w:rsid w:val="00EA7B7F"/>
    <w:rsid w:val="00EA7EDE"/>
    <w:rsid w:val="00EB0B63"/>
    <w:rsid w:val="00EB0EB5"/>
    <w:rsid w:val="00EB125B"/>
    <w:rsid w:val="00EB1936"/>
    <w:rsid w:val="00EB2101"/>
    <w:rsid w:val="00EB3536"/>
    <w:rsid w:val="00EB3545"/>
    <w:rsid w:val="00EB37BE"/>
    <w:rsid w:val="00EB3BA4"/>
    <w:rsid w:val="00EB3D03"/>
    <w:rsid w:val="00EB4BAE"/>
    <w:rsid w:val="00EB5088"/>
    <w:rsid w:val="00EB6D0D"/>
    <w:rsid w:val="00EB7210"/>
    <w:rsid w:val="00EB7910"/>
    <w:rsid w:val="00EC044B"/>
    <w:rsid w:val="00EC04BE"/>
    <w:rsid w:val="00EC07A6"/>
    <w:rsid w:val="00EC0F25"/>
    <w:rsid w:val="00EC1CB4"/>
    <w:rsid w:val="00EC1F6B"/>
    <w:rsid w:val="00EC2726"/>
    <w:rsid w:val="00EC35C8"/>
    <w:rsid w:val="00EC38DF"/>
    <w:rsid w:val="00EC575E"/>
    <w:rsid w:val="00EC681C"/>
    <w:rsid w:val="00EC6E2D"/>
    <w:rsid w:val="00EC7B87"/>
    <w:rsid w:val="00ED0342"/>
    <w:rsid w:val="00ED052B"/>
    <w:rsid w:val="00ED0B3D"/>
    <w:rsid w:val="00ED1178"/>
    <w:rsid w:val="00ED1644"/>
    <w:rsid w:val="00ED2593"/>
    <w:rsid w:val="00ED2663"/>
    <w:rsid w:val="00ED2B2C"/>
    <w:rsid w:val="00ED3709"/>
    <w:rsid w:val="00ED432F"/>
    <w:rsid w:val="00ED4345"/>
    <w:rsid w:val="00ED47FA"/>
    <w:rsid w:val="00ED484E"/>
    <w:rsid w:val="00ED6470"/>
    <w:rsid w:val="00ED64F6"/>
    <w:rsid w:val="00ED6E34"/>
    <w:rsid w:val="00ED6FC9"/>
    <w:rsid w:val="00ED7D55"/>
    <w:rsid w:val="00ED7D9C"/>
    <w:rsid w:val="00EE00A7"/>
    <w:rsid w:val="00EE081A"/>
    <w:rsid w:val="00EE0B87"/>
    <w:rsid w:val="00EE24C7"/>
    <w:rsid w:val="00EE2F77"/>
    <w:rsid w:val="00EE3158"/>
    <w:rsid w:val="00EE31A2"/>
    <w:rsid w:val="00EE3CB7"/>
    <w:rsid w:val="00EE4118"/>
    <w:rsid w:val="00EE4329"/>
    <w:rsid w:val="00EE4536"/>
    <w:rsid w:val="00EE4E4C"/>
    <w:rsid w:val="00EE55EB"/>
    <w:rsid w:val="00EE591D"/>
    <w:rsid w:val="00EE6203"/>
    <w:rsid w:val="00EE7040"/>
    <w:rsid w:val="00EE71CE"/>
    <w:rsid w:val="00EF0069"/>
    <w:rsid w:val="00EF084F"/>
    <w:rsid w:val="00EF1E02"/>
    <w:rsid w:val="00EF229C"/>
    <w:rsid w:val="00EF22AE"/>
    <w:rsid w:val="00EF2900"/>
    <w:rsid w:val="00EF2FD3"/>
    <w:rsid w:val="00EF3182"/>
    <w:rsid w:val="00EF3C52"/>
    <w:rsid w:val="00EF3C5B"/>
    <w:rsid w:val="00EF4111"/>
    <w:rsid w:val="00EF44A0"/>
    <w:rsid w:val="00EF4580"/>
    <w:rsid w:val="00EF47E5"/>
    <w:rsid w:val="00EF4BAB"/>
    <w:rsid w:val="00EF4FED"/>
    <w:rsid w:val="00EF5F45"/>
    <w:rsid w:val="00EF61FE"/>
    <w:rsid w:val="00EF636E"/>
    <w:rsid w:val="00EF6843"/>
    <w:rsid w:val="00EF6941"/>
    <w:rsid w:val="00EF6FB3"/>
    <w:rsid w:val="00EF7658"/>
    <w:rsid w:val="00EF7E91"/>
    <w:rsid w:val="00F0068B"/>
    <w:rsid w:val="00F007C6"/>
    <w:rsid w:val="00F00C8A"/>
    <w:rsid w:val="00F0172E"/>
    <w:rsid w:val="00F019E9"/>
    <w:rsid w:val="00F01BAF"/>
    <w:rsid w:val="00F023F7"/>
    <w:rsid w:val="00F034E8"/>
    <w:rsid w:val="00F04282"/>
    <w:rsid w:val="00F050BD"/>
    <w:rsid w:val="00F05657"/>
    <w:rsid w:val="00F05AB0"/>
    <w:rsid w:val="00F06346"/>
    <w:rsid w:val="00F068EB"/>
    <w:rsid w:val="00F06930"/>
    <w:rsid w:val="00F06E94"/>
    <w:rsid w:val="00F077C5"/>
    <w:rsid w:val="00F07F27"/>
    <w:rsid w:val="00F113E0"/>
    <w:rsid w:val="00F11A09"/>
    <w:rsid w:val="00F11BBF"/>
    <w:rsid w:val="00F11C9D"/>
    <w:rsid w:val="00F12C74"/>
    <w:rsid w:val="00F13214"/>
    <w:rsid w:val="00F13E94"/>
    <w:rsid w:val="00F141C1"/>
    <w:rsid w:val="00F1505B"/>
    <w:rsid w:val="00F1559A"/>
    <w:rsid w:val="00F15ABE"/>
    <w:rsid w:val="00F1668E"/>
    <w:rsid w:val="00F168BC"/>
    <w:rsid w:val="00F16C94"/>
    <w:rsid w:val="00F1785F"/>
    <w:rsid w:val="00F17ED6"/>
    <w:rsid w:val="00F201E9"/>
    <w:rsid w:val="00F20676"/>
    <w:rsid w:val="00F2091F"/>
    <w:rsid w:val="00F209E2"/>
    <w:rsid w:val="00F218A4"/>
    <w:rsid w:val="00F21D5A"/>
    <w:rsid w:val="00F21F67"/>
    <w:rsid w:val="00F22481"/>
    <w:rsid w:val="00F2398F"/>
    <w:rsid w:val="00F23C09"/>
    <w:rsid w:val="00F24902"/>
    <w:rsid w:val="00F249BD"/>
    <w:rsid w:val="00F24B83"/>
    <w:rsid w:val="00F25578"/>
    <w:rsid w:val="00F25707"/>
    <w:rsid w:val="00F258E5"/>
    <w:rsid w:val="00F25B9C"/>
    <w:rsid w:val="00F2675A"/>
    <w:rsid w:val="00F269F2"/>
    <w:rsid w:val="00F26CC6"/>
    <w:rsid w:val="00F26D80"/>
    <w:rsid w:val="00F300BC"/>
    <w:rsid w:val="00F305FA"/>
    <w:rsid w:val="00F31033"/>
    <w:rsid w:val="00F319EA"/>
    <w:rsid w:val="00F3263C"/>
    <w:rsid w:val="00F32ADD"/>
    <w:rsid w:val="00F3334E"/>
    <w:rsid w:val="00F3573A"/>
    <w:rsid w:val="00F35E93"/>
    <w:rsid w:val="00F35EB7"/>
    <w:rsid w:val="00F35F6B"/>
    <w:rsid w:val="00F369AA"/>
    <w:rsid w:val="00F36CCB"/>
    <w:rsid w:val="00F36E6C"/>
    <w:rsid w:val="00F37315"/>
    <w:rsid w:val="00F374E5"/>
    <w:rsid w:val="00F37B93"/>
    <w:rsid w:val="00F37BAD"/>
    <w:rsid w:val="00F37ECA"/>
    <w:rsid w:val="00F37FF9"/>
    <w:rsid w:val="00F40448"/>
    <w:rsid w:val="00F4091E"/>
    <w:rsid w:val="00F40A1C"/>
    <w:rsid w:val="00F40D17"/>
    <w:rsid w:val="00F41E3A"/>
    <w:rsid w:val="00F42BC1"/>
    <w:rsid w:val="00F43536"/>
    <w:rsid w:val="00F4382B"/>
    <w:rsid w:val="00F43A0E"/>
    <w:rsid w:val="00F43AF2"/>
    <w:rsid w:val="00F44DB4"/>
    <w:rsid w:val="00F45216"/>
    <w:rsid w:val="00F46B05"/>
    <w:rsid w:val="00F474CC"/>
    <w:rsid w:val="00F4751C"/>
    <w:rsid w:val="00F5007E"/>
    <w:rsid w:val="00F50294"/>
    <w:rsid w:val="00F508F6"/>
    <w:rsid w:val="00F50EC4"/>
    <w:rsid w:val="00F51013"/>
    <w:rsid w:val="00F51A2C"/>
    <w:rsid w:val="00F51D83"/>
    <w:rsid w:val="00F52232"/>
    <w:rsid w:val="00F527B1"/>
    <w:rsid w:val="00F52DC2"/>
    <w:rsid w:val="00F53039"/>
    <w:rsid w:val="00F53A69"/>
    <w:rsid w:val="00F53D06"/>
    <w:rsid w:val="00F54AF9"/>
    <w:rsid w:val="00F550CF"/>
    <w:rsid w:val="00F553D2"/>
    <w:rsid w:val="00F55529"/>
    <w:rsid w:val="00F55859"/>
    <w:rsid w:val="00F56A2D"/>
    <w:rsid w:val="00F57A6D"/>
    <w:rsid w:val="00F6044B"/>
    <w:rsid w:val="00F6129C"/>
    <w:rsid w:val="00F62149"/>
    <w:rsid w:val="00F62F19"/>
    <w:rsid w:val="00F638CC"/>
    <w:rsid w:val="00F63C5D"/>
    <w:rsid w:val="00F64C9E"/>
    <w:rsid w:val="00F64CC1"/>
    <w:rsid w:val="00F64E62"/>
    <w:rsid w:val="00F64FC8"/>
    <w:rsid w:val="00F64FE4"/>
    <w:rsid w:val="00F657AE"/>
    <w:rsid w:val="00F65856"/>
    <w:rsid w:val="00F667FE"/>
    <w:rsid w:val="00F67465"/>
    <w:rsid w:val="00F67742"/>
    <w:rsid w:val="00F679C6"/>
    <w:rsid w:val="00F67E65"/>
    <w:rsid w:val="00F708B1"/>
    <w:rsid w:val="00F71A5A"/>
    <w:rsid w:val="00F71F2B"/>
    <w:rsid w:val="00F72317"/>
    <w:rsid w:val="00F72A22"/>
    <w:rsid w:val="00F73DC1"/>
    <w:rsid w:val="00F74C05"/>
    <w:rsid w:val="00F74D54"/>
    <w:rsid w:val="00F75BB8"/>
    <w:rsid w:val="00F76C50"/>
    <w:rsid w:val="00F775E9"/>
    <w:rsid w:val="00F77714"/>
    <w:rsid w:val="00F778C3"/>
    <w:rsid w:val="00F77AAC"/>
    <w:rsid w:val="00F80475"/>
    <w:rsid w:val="00F807C1"/>
    <w:rsid w:val="00F80E6E"/>
    <w:rsid w:val="00F81390"/>
    <w:rsid w:val="00F81DB1"/>
    <w:rsid w:val="00F81F7A"/>
    <w:rsid w:val="00F8247A"/>
    <w:rsid w:val="00F82E5C"/>
    <w:rsid w:val="00F83320"/>
    <w:rsid w:val="00F83E0A"/>
    <w:rsid w:val="00F83E86"/>
    <w:rsid w:val="00F83F58"/>
    <w:rsid w:val="00F85206"/>
    <w:rsid w:val="00F87766"/>
    <w:rsid w:val="00F87C7A"/>
    <w:rsid w:val="00F87CEA"/>
    <w:rsid w:val="00F87DEA"/>
    <w:rsid w:val="00F87FD2"/>
    <w:rsid w:val="00F917A8"/>
    <w:rsid w:val="00F9265D"/>
    <w:rsid w:val="00F9294A"/>
    <w:rsid w:val="00F944E2"/>
    <w:rsid w:val="00F94765"/>
    <w:rsid w:val="00F95A5A"/>
    <w:rsid w:val="00F9629A"/>
    <w:rsid w:val="00F9644A"/>
    <w:rsid w:val="00F971E7"/>
    <w:rsid w:val="00F977B5"/>
    <w:rsid w:val="00F97EFC"/>
    <w:rsid w:val="00FA02E8"/>
    <w:rsid w:val="00FA0B04"/>
    <w:rsid w:val="00FA0C7C"/>
    <w:rsid w:val="00FA1BDD"/>
    <w:rsid w:val="00FA1DAA"/>
    <w:rsid w:val="00FA20F9"/>
    <w:rsid w:val="00FA254F"/>
    <w:rsid w:val="00FA28FC"/>
    <w:rsid w:val="00FA305C"/>
    <w:rsid w:val="00FA340D"/>
    <w:rsid w:val="00FA4233"/>
    <w:rsid w:val="00FA462E"/>
    <w:rsid w:val="00FA4DD5"/>
    <w:rsid w:val="00FA5883"/>
    <w:rsid w:val="00FA6055"/>
    <w:rsid w:val="00FA63EB"/>
    <w:rsid w:val="00FA6446"/>
    <w:rsid w:val="00FA662B"/>
    <w:rsid w:val="00FA6A8F"/>
    <w:rsid w:val="00FA6BEE"/>
    <w:rsid w:val="00FA6ED7"/>
    <w:rsid w:val="00FA7B8C"/>
    <w:rsid w:val="00FB04F8"/>
    <w:rsid w:val="00FB0B39"/>
    <w:rsid w:val="00FB10C8"/>
    <w:rsid w:val="00FB2108"/>
    <w:rsid w:val="00FB322F"/>
    <w:rsid w:val="00FB3842"/>
    <w:rsid w:val="00FB442F"/>
    <w:rsid w:val="00FB4953"/>
    <w:rsid w:val="00FB4DFC"/>
    <w:rsid w:val="00FB53CD"/>
    <w:rsid w:val="00FB542F"/>
    <w:rsid w:val="00FB5AC8"/>
    <w:rsid w:val="00FB61E1"/>
    <w:rsid w:val="00FB6D93"/>
    <w:rsid w:val="00FB7F4A"/>
    <w:rsid w:val="00FC112B"/>
    <w:rsid w:val="00FC118C"/>
    <w:rsid w:val="00FC1929"/>
    <w:rsid w:val="00FC2CE1"/>
    <w:rsid w:val="00FC35BD"/>
    <w:rsid w:val="00FC496D"/>
    <w:rsid w:val="00FC4A6C"/>
    <w:rsid w:val="00FC50BC"/>
    <w:rsid w:val="00FC5B46"/>
    <w:rsid w:val="00FC64B5"/>
    <w:rsid w:val="00FC6A7B"/>
    <w:rsid w:val="00FC711D"/>
    <w:rsid w:val="00FC71EA"/>
    <w:rsid w:val="00FC7F6E"/>
    <w:rsid w:val="00FD1392"/>
    <w:rsid w:val="00FD1BFF"/>
    <w:rsid w:val="00FD1D4F"/>
    <w:rsid w:val="00FD21AD"/>
    <w:rsid w:val="00FD24BF"/>
    <w:rsid w:val="00FD3170"/>
    <w:rsid w:val="00FD3B6E"/>
    <w:rsid w:val="00FD4140"/>
    <w:rsid w:val="00FD46BD"/>
    <w:rsid w:val="00FD54A5"/>
    <w:rsid w:val="00FD57EB"/>
    <w:rsid w:val="00FD5D42"/>
    <w:rsid w:val="00FD5D62"/>
    <w:rsid w:val="00FD6344"/>
    <w:rsid w:val="00FD679F"/>
    <w:rsid w:val="00FD6D8E"/>
    <w:rsid w:val="00FE0663"/>
    <w:rsid w:val="00FE0E94"/>
    <w:rsid w:val="00FE1735"/>
    <w:rsid w:val="00FE2FF4"/>
    <w:rsid w:val="00FE32EE"/>
    <w:rsid w:val="00FE369C"/>
    <w:rsid w:val="00FE3CD9"/>
    <w:rsid w:val="00FE445B"/>
    <w:rsid w:val="00FE5ACE"/>
    <w:rsid w:val="00FE735F"/>
    <w:rsid w:val="00FF00BD"/>
    <w:rsid w:val="00FF067C"/>
    <w:rsid w:val="00FF0B13"/>
    <w:rsid w:val="00FF1672"/>
    <w:rsid w:val="00FF1ED4"/>
    <w:rsid w:val="00FF2137"/>
    <w:rsid w:val="00FF2801"/>
    <w:rsid w:val="00FF5955"/>
    <w:rsid w:val="00FF640E"/>
    <w:rsid w:val="00FF703F"/>
    <w:rsid w:val="00FF799B"/>
    <w:rsid w:val="012A7082"/>
    <w:rsid w:val="0143FC8B"/>
    <w:rsid w:val="01472274"/>
    <w:rsid w:val="01BAC867"/>
    <w:rsid w:val="0254441C"/>
    <w:rsid w:val="02772DE6"/>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2BAA35"/>
    <w:rsid w:val="089BC592"/>
    <w:rsid w:val="08B6EDF2"/>
    <w:rsid w:val="0A0C7AE1"/>
    <w:rsid w:val="0A663D94"/>
    <w:rsid w:val="0B1BF5E7"/>
    <w:rsid w:val="0B710FDA"/>
    <w:rsid w:val="0B9EB25E"/>
    <w:rsid w:val="0CF130DF"/>
    <w:rsid w:val="0CFE1DFD"/>
    <w:rsid w:val="0D4FC7CF"/>
    <w:rsid w:val="0DC4E36E"/>
    <w:rsid w:val="0E5E506F"/>
    <w:rsid w:val="0F5CF529"/>
    <w:rsid w:val="0FC31246"/>
    <w:rsid w:val="1023E0F9"/>
    <w:rsid w:val="1272477B"/>
    <w:rsid w:val="12B95C68"/>
    <w:rsid w:val="13C95913"/>
    <w:rsid w:val="14B4652F"/>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B63468E"/>
    <w:rsid w:val="1D4E7C25"/>
    <w:rsid w:val="1D6033D6"/>
    <w:rsid w:val="1DDBDA0D"/>
    <w:rsid w:val="1E382E8C"/>
    <w:rsid w:val="1E938E64"/>
    <w:rsid w:val="1EAFF635"/>
    <w:rsid w:val="1F3EECBD"/>
    <w:rsid w:val="1FB6E350"/>
    <w:rsid w:val="1FF3162D"/>
    <w:rsid w:val="2009EB8A"/>
    <w:rsid w:val="210F5AF1"/>
    <w:rsid w:val="212CBC64"/>
    <w:rsid w:val="231810D7"/>
    <w:rsid w:val="231C3354"/>
    <w:rsid w:val="238CC620"/>
    <w:rsid w:val="23C79CCE"/>
    <w:rsid w:val="244B8CF8"/>
    <w:rsid w:val="24C0A041"/>
    <w:rsid w:val="24CA5046"/>
    <w:rsid w:val="24F49182"/>
    <w:rsid w:val="25A51D58"/>
    <w:rsid w:val="26615FE7"/>
    <w:rsid w:val="2678B15D"/>
    <w:rsid w:val="26EB25E2"/>
    <w:rsid w:val="26F6F44A"/>
    <w:rsid w:val="27394882"/>
    <w:rsid w:val="28A2E66D"/>
    <w:rsid w:val="28B27485"/>
    <w:rsid w:val="2900A23E"/>
    <w:rsid w:val="29365BD7"/>
    <w:rsid w:val="29882150"/>
    <w:rsid w:val="29E0E709"/>
    <w:rsid w:val="2AA490C3"/>
    <w:rsid w:val="2AB480AD"/>
    <w:rsid w:val="2B8D5B09"/>
    <w:rsid w:val="2C4C1D68"/>
    <w:rsid w:val="2C7C3DFB"/>
    <w:rsid w:val="2D470254"/>
    <w:rsid w:val="2DECC312"/>
    <w:rsid w:val="2E4579D6"/>
    <w:rsid w:val="2E879BD6"/>
    <w:rsid w:val="2EF0545B"/>
    <w:rsid w:val="2FC97F8A"/>
    <w:rsid w:val="300EDF22"/>
    <w:rsid w:val="3079EB0D"/>
    <w:rsid w:val="307D714D"/>
    <w:rsid w:val="3093AC95"/>
    <w:rsid w:val="30E8B387"/>
    <w:rsid w:val="318392D6"/>
    <w:rsid w:val="31C1265F"/>
    <w:rsid w:val="321F658F"/>
    <w:rsid w:val="32FFC29C"/>
    <w:rsid w:val="3320F36F"/>
    <w:rsid w:val="340D0A3D"/>
    <w:rsid w:val="343A4F58"/>
    <w:rsid w:val="34E7EA92"/>
    <w:rsid w:val="363425FC"/>
    <w:rsid w:val="373C6128"/>
    <w:rsid w:val="37C1F8E8"/>
    <w:rsid w:val="3805C0E7"/>
    <w:rsid w:val="38168071"/>
    <w:rsid w:val="384705F0"/>
    <w:rsid w:val="3857259F"/>
    <w:rsid w:val="393376D2"/>
    <w:rsid w:val="395463D1"/>
    <w:rsid w:val="398863F1"/>
    <w:rsid w:val="3A20C143"/>
    <w:rsid w:val="3A4C135D"/>
    <w:rsid w:val="3BA095AD"/>
    <w:rsid w:val="3BB2C64F"/>
    <w:rsid w:val="3C8E93B4"/>
    <w:rsid w:val="3D958370"/>
    <w:rsid w:val="3EDC23CB"/>
    <w:rsid w:val="40771079"/>
    <w:rsid w:val="40930EF5"/>
    <w:rsid w:val="40BBCAE0"/>
    <w:rsid w:val="4110CDB4"/>
    <w:rsid w:val="42691D0F"/>
    <w:rsid w:val="4372D6C2"/>
    <w:rsid w:val="443448FB"/>
    <w:rsid w:val="44505BFC"/>
    <w:rsid w:val="44C17269"/>
    <w:rsid w:val="450F5A46"/>
    <w:rsid w:val="456C4AA2"/>
    <w:rsid w:val="4630B983"/>
    <w:rsid w:val="4641A0D0"/>
    <w:rsid w:val="478408EF"/>
    <w:rsid w:val="483DA525"/>
    <w:rsid w:val="4873567A"/>
    <w:rsid w:val="48F582C0"/>
    <w:rsid w:val="4927BC80"/>
    <w:rsid w:val="493FCDB2"/>
    <w:rsid w:val="495D9BBE"/>
    <w:rsid w:val="49B7B512"/>
    <w:rsid w:val="4A9634EA"/>
    <w:rsid w:val="4AE86C22"/>
    <w:rsid w:val="4C8B405E"/>
    <w:rsid w:val="4CA8BA21"/>
    <w:rsid w:val="4D21EA56"/>
    <w:rsid w:val="4DA14906"/>
    <w:rsid w:val="4DD74500"/>
    <w:rsid w:val="4E21A180"/>
    <w:rsid w:val="4EE3854C"/>
    <w:rsid w:val="4F28A562"/>
    <w:rsid w:val="5057B658"/>
    <w:rsid w:val="50F1C25A"/>
    <w:rsid w:val="517C50E5"/>
    <w:rsid w:val="51A107A9"/>
    <w:rsid w:val="521C1C44"/>
    <w:rsid w:val="53044900"/>
    <w:rsid w:val="53229BC9"/>
    <w:rsid w:val="53B39A2E"/>
    <w:rsid w:val="53DC7AD6"/>
    <w:rsid w:val="548B9756"/>
    <w:rsid w:val="54C17BA2"/>
    <w:rsid w:val="54E44257"/>
    <w:rsid w:val="553311EF"/>
    <w:rsid w:val="55ACD1A0"/>
    <w:rsid w:val="55CC0F6F"/>
    <w:rsid w:val="56AFA43F"/>
    <w:rsid w:val="57E0972E"/>
    <w:rsid w:val="57F8F65C"/>
    <w:rsid w:val="58963761"/>
    <w:rsid w:val="59185BFB"/>
    <w:rsid w:val="593F501C"/>
    <w:rsid w:val="5A05D725"/>
    <w:rsid w:val="5ADD90BE"/>
    <w:rsid w:val="5B1E38D7"/>
    <w:rsid w:val="5B9D8C93"/>
    <w:rsid w:val="5CB076C8"/>
    <w:rsid w:val="5CB37A2B"/>
    <w:rsid w:val="5D5832E9"/>
    <w:rsid w:val="5D80A09E"/>
    <w:rsid w:val="5DC1C88E"/>
    <w:rsid w:val="5DF2A876"/>
    <w:rsid w:val="5E60C7B7"/>
    <w:rsid w:val="5EACEEBD"/>
    <w:rsid w:val="5EAFB01B"/>
    <w:rsid w:val="5EBDDC85"/>
    <w:rsid w:val="5F8C18FC"/>
    <w:rsid w:val="5F9A1E1E"/>
    <w:rsid w:val="600E03FD"/>
    <w:rsid w:val="6011B0AE"/>
    <w:rsid w:val="6238D218"/>
    <w:rsid w:val="626402E3"/>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A60D41E"/>
    <w:rsid w:val="6AD39698"/>
    <w:rsid w:val="6B92350D"/>
    <w:rsid w:val="6BAD574D"/>
    <w:rsid w:val="6CA77350"/>
    <w:rsid w:val="70971A32"/>
    <w:rsid w:val="709A626A"/>
    <w:rsid w:val="716D6D8F"/>
    <w:rsid w:val="7170A44E"/>
    <w:rsid w:val="731BA24E"/>
    <w:rsid w:val="73C929CD"/>
    <w:rsid w:val="73E7CF48"/>
    <w:rsid w:val="74D12BB6"/>
    <w:rsid w:val="75B5D97D"/>
    <w:rsid w:val="75B9CE48"/>
    <w:rsid w:val="764DA178"/>
    <w:rsid w:val="77118548"/>
    <w:rsid w:val="7756AFD5"/>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s,CV text,Dot pt,F5 List Paragraph,FooterText,L,List Paragraph111,List Paragraph2,NAST Quote,列"/>
    <w:link w:val="ListParagraphChar"/>
    <w:uiPriority w:val="34"/>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aliases w:val="PBAC Table Footnote"/>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s Char,CV text Char,Dot pt Char,L Char,列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aliases w:val="PBAC Table Footnote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basedOn w:val="Normal"/>
    <w:link w:val="PBACTableTextChar"/>
    <w:qFormat/>
    <w:rsid w:val="00DC54CA"/>
    <w:pPr>
      <w:spacing w:before="40" w:after="40"/>
      <w:jc w:val="left"/>
    </w:pPr>
    <w:rPr>
      <w:rFonts w:ascii="Arial Narrow" w:hAnsi="Arial Narrow"/>
      <w:bCs/>
      <w:sz w:val="20"/>
      <w:szCs w:val="20"/>
      <w:lang w:eastAsia="en-US"/>
    </w:rPr>
  </w:style>
  <w:style w:type="character" w:customStyle="1" w:styleId="PBACTableTextChar">
    <w:name w:val="PBAC Table Text Char"/>
    <w:basedOn w:val="DefaultParagraphFont"/>
    <w:link w:val="PBACTableText"/>
    <w:rsid w:val="00DC54CA"/>
    <w:rPr>
      <w:rFonts w:ascii="Arial Narrow" w:hAnsi="Arial Narrow"/>
      <w:bCs/>
      <w:lang w:eastAsia="en-US"/>
    </w:rPr>
  </w:style>
  <w:style w:type="paragraph" w:customStyle="1" w:styleId="PbacTableHeading">
    <w:name w:val="Pbac Table Heading"/>
    <w:basedOn w:val="PBACTableText"/>
    <w:qFormat/>
    <w:rsid w:val="00DC54CA"/>
    <w:pPr>
      <w:spacing w:before="0" w:after="80"/>
    </w:pPr>
    <w:rPr>
      <w:rFonts w:eastAsiaTheme="minorHAnsi" w:cs="Arial"/>
      <w:b/>
      <w:bCs w:val="0"/>
    </w:rPr>
  </w:style>
  <w:style w:type="paragraph" w:customStyle="1" w:styleId="PBACTabletext0">
    <w:name w:val="PBAC Table text"/>
    <w:basedOn w:val="Normal"/>
    <w:link w:val="PBACTabletextChar0"/>
    <w:rsid w:val="00A80C9D"/>
    <w:pPr>
      <w:spacing w:after="80"/>
      <w:jc w:val="left"/>
    </w:pPr>
    <w:rPr>
      <w:rFonts w:ascii="Arial Narrow" w:eastAsiaTheme="minorHAnsi" w:hAnsi="Arial Narrow" w:cs="Arial"/>
      <w:sz w:val="20"/>
      <w:szCs w:val="20"/>
      <w:lang w:eastAsia="en-US"/>
    </w:rPr>
  </w:style>
  <w:style w:type="character" w:customStyle="1" w:styleId="PBACTabletextChar0">
    <w:name w:val="PBAC Table text Char"/>
    <w:basedOn w:val="DefaultParagraphFont"/>
    <w:link w:val="PBACTabletext0"/>
    <w:rsid w:val="00A80C9D"/>
    <w:rPr>
      <w:rFonts w:ascii="Arial Narrow" w:eastAsiaTheme="minorHAnsi" w:hAnsi="Arial Narrow" w:cs="Arial"/>
      <w:lang w:eastAsia="en-US"/>
    </w:rPr>
  </w:style>
  <w:style w:type="paragraph" w:styleId="TableofFigures">
    <w:name w:val="table of figures"/>
    <w:basedOn w:val="Normal"/>
    <w:next w:val="Normal"/>
    <w:semiHidden/>
    <w:unhideWhenUsed/>
    <w:rsid w:val="00437951"/>
  </w:style>
  <w:style w:type="character" w:styleId="Mention">
    <w:name w:val="Mention"/>
    <w:basedOn w:val="DefaultParagraphFont"/>
    <w:uiPriority w:val="99"/>
    <w:unhideWhenUsed/>
    <w:rsid w:val="00BF6391"/>
    <w:rPr>
      <w:color w:val="2B579A"/>
      <w:shd w:val="clear" w:color="auto" w:fill="E1DFDD"/>
    </w:rPr>
  </w:style>
  <w:style w:type="paragraph" w:customStyle="1" w:styleId="4Bodytextnumbered">
    <w:name w:val="4. Body text numbered"/>
    <w:basedOn w:val="ListParagraph"/>
    <w:qFormat/>
    <w:rsid w:val="00002BDC"/>
    <w:pPr>
      <w:numPr>
        <w:numId w:val="0"/>
      </w:numPr>
      <w:tabs>
        <w:tab w:val="num" w:pos="720"/>
      </w:tabs>
      <w:ind w:left="720" w:hanging="720"/>
    </w:pPr>
    <w:rPr>
      <w:rFonts w:eastAsiaTheme="minorHAnsi" w:cstheme="minorBidi"/>
      <w:snapToGrid/>
      <w:szCs w:val="22"/>
      <w:lang w:eastAsia="en-US"/>
    </w:rPr>
  </w:style>
  <w:style w:type="paragraph" w:customStyle="1" w:styleId="pf0">
    <w:name w:val="pf0"/>
    <w:basedOn w:val="Normal"/>
    <w:rsid w:val="009A2050"/>
    <w:pPr>
      <w:spacing w:before="100" w:beforeAutospacing="1" w:after="100" w:afterAutospacing="1"/>
      <w:jc w:val="left"/>
    </w:pPr>
    <w:rPr>
      <w:rFonts w:ascii="Times New Roman" w:hAnsi="Times New Roman"/>
    </w:rPr>
  </w:style>
  <w:style w:type="character" w:customStyle="1" w:styleId="cf11">
    <w:name w:val="cf11"/>
    <w:basedOn w:val="DefaultParagraphFont"/>
    <w:rsid w:val="009A2050"/>
    <w:rPr>
      <w:rFonts w:ascii="Segoe UI" w:hAnsi="Segoe UI" w:cs="Segoe UI" w:hint="default"/>
      <w:color w:val="FF0000"/>
      <w:sz w:val="18"/>
      <w:szCs w:val="18"/>
    </w:rPr>
  </w:style>
  <w:style w:type="character" w:customStyle="1" w:styleId="cf21">
    <w:name w:val="cf21"/>
    <w:basedOn w:val="DefaultParagraphFont"/>
    <w:rsid w:val="009A2050"/>
    <w:rPr>
      <w:rFonts w:ascii="Segoe UI" w:hAnsi="Segoe UI" w:cs="Segoe UI" w:hint="default"/>
      <w:sz w:val="18"/>
      <w:szCs w:val="18"/>
      <w:shd w:val="clear" w:color="auto" w:fill="FFFF00"/>
    </w:rPr>
  </w:style>
  <w:style w:type="paragraph" w:customStyle="1" w:styleId="Heading1subheading">
    <w:name w:val="Heading 1 subheading"/>
    <w:basedOn w:val="Heading1"/>
    <w:next w:val="Normal"/>
    <w:link w:val="Heading1subheadingChar"/>
    <w:uiPriority w:val="3"/>
    <w:rsid w:val="00B75EC4"/>
    <w:pPr>
      <w:keepNext/>
      <w:keepLines/>
      <w:numPr>
        <w:numId w:val="0"/>
      </w:numPr>
      <w:spacing w:before="400" w:line="259" w:lineRule="auto"/>
      <w:ind w:left="576" w:hanging="576"/>
      <w:jc w:val="left"/>
    </w:pPr>
    <w:rPr>
      <w:rFonts w:eastAsiaTheme="majorEastAsia" w:cstheme="majorBidi"/>
      <w:caps/>
      <w:snapToGrid/>
      <w:color w:val="365F91" w:themeColor="accent1" w:themeShade="BF"/>
      <w:sz w:val="32"/>
      <w:szCs w:val="28"/>
      <w:lang w:eastAsia="en-US"/>
    </w:rPr>
  </w:style>
  <w:style w:type="character" w:customStyle="1" w:styleId="Heading1subheadingChar">
    <w:name w:val="Heading 1 subheading Char"/>
    <w:basedOn w:val="Heading1Char"/>
    <w:link w:val="Heading1subheading"/>
    <w:uiPriority w:val="3"/>
    <w:rsid w:val="00B75EC4"/>
    <w:rPr>
      <w:rFonts w:asciiTheme="minorHAnsi" w:eastAsiaTheme="majorEastAsia" w:hAnsiTheme="minorHAnsi" w:cstheme="majorBidi"/>
      <w:b/>
      <w:caps/>
      <w:snapToGrid/>
      <w:color w:val="365F91" w:themeColor="accent1" w:themeShade="BF"/>
      <w:sz w:val="32"/>
      <w:szCs w:val="28"/>
      <w:lang w:eastAsia="en-US"/>
    </w:rPr>
  </w:style>
  <w:style w:type="paragraph" w:customStyle="1" w:styleId="PBACESText">
    <w:name w:val="PBAC ES Text"/>
    <w:basedOn w:val="Normal"/>
    <w:qFormat/>
    <w:rsid w:val="00773E00"/>
    <w:pPr>
      <w:spacing w:before="60" w:after="160"/>
    </w:pPr>
    <w:rPr>
      <w:rFonts w:cs="Arial"/>
      <w:sz w:val="22"/>
      <w:lang w:eastAsia="en-GB"/>
    </w:rPr>
  </w:style>
  <w:style w:type="character" w:customStyle="1" w:styleId="Heading5Char">
    <w:name w:val="Heading 5 Char"/>
    <w:basedOn w:val="DefaultParagraphFont"/>
    <w:link w:val="Heading5"/>
    <w:rsid w:val="00645F06"/>
    <w:rPr>
      <w:rFonts w:ascii="Calibri" w:hAnsi="Calibri"/>
      <w:b/>
      <w:bCs/>
      <w:i/>
      <w:iCs/>
      <w:sz w:val="26"/>
      <w:szCs w:val="26"/>
    </w:rPr>
  </w:style>
  <w:style w:type="character" w:customStyle="1" w:styleId="Heading6Char">
    <w:name w:val="Heading 6 Char"/>
    <w:basedOn w:val="DefaultParagraphFont"/>
    <w:link w:val="Heading6"/>
    <w:rsid w:val="00645F06"/>
    <w:rPr>
      <w:rFonts w:ascii="Calibri" w:hAnsi="Calibri"/>
      <w:b/>
      <w:bCs/>
      <w:sz w:val="22"/>
      <w:szCs w:val="22"/>
    </w:rPr>
  </w:style>
  <w:style w:type="character" w:customStyle="1" w:styleId="BalloonTextChar">
    <w:name w:val="Balloon Text Char"/>
    <w:basedOn w:val="DefaultParagraphFont"/>
    <w:link w:val="BalloonText"/>
    <w:semiHidden/>
    <w:rsid w:val="00645F06"/>
    <w:rPr>
      <w:rFonts w:ascii="Tahoma" w:hAnsi="Tahoma" w:cs="Tahoma"/>
      <w:sz w:val="16"/>
      <w:szCs w:val="16"/>
    </w:rPr>
  </w:style>
  <w:style w:type="character" w:customStyle="1" w:styleId="BodyText3Char">
    <w:name w:val="Body Text 3 Char"/>
    <w:basedOn w:val="DefaultParagraphFont"/>
    <w:link w:val="BodyText3"/>
    <w:rsid w:val="00645F06"/>
    <w:rPr>
      <w:rFonts w:ascii="Calibri" w:hAnsi="Calibri"/>
      <w:sz w:val="16"/>
      <w:szCs w:val="16"/>
    </w:rPr>
  </w:style>
  <w:style w:type="character" w:customStyle="1" w:styleId="SubtitleChar1">
    <w:name w:val="Subtitle Char1"/>
    <w:basedOn w:val="DefaultParagraphFont"/>
    <w:uiPriority w:val="11"/>
    <w:rsid w:val="00645F06"/>
    <w:rPr>
      <w:rFonts w:asciiTheme="minorHAnsi" w:eastAsiaTheme="majorEastAsia" w:hAnsiTheme="minorHAnsi" w:cstheme="majorBidi"/>
      <w:color w:val="595959" w:themeColor="text1" w:themeTint="A6"/>
      <w:spacing w:val="15"/>
      <w:sz w:val="28"/>
      <w:szCs w:val="28"/>
    </w:rPr>
  </w:style>
  <w:style w:type="paragraph" w:customStyle="1" w:styleId="PBACESHeading1">
    <w:name w:val="PBAC ES Heading 1"/>
    <w:basedOn w:val="Heading1"/>
    <w:next w:val="ListParagraph"/>
    <w:uiPriority w:val="1"/>
    <w:qFormat/>
    <w:rsid w:val="00645F06"/>
    <w:pPr>
      <w:keepNext/>
      <w:keepLines/>
      <w:numPr>
        <w:numId w:val="0"/>
      </w:numPr>
      <w:tabs>
        <w:tab w:val="left" w:pos="1077"/>
      </w:tabs>
      <w:spacing w:before="240"/>
      <w:ind w:left="720" w:hanging="720"/>
      <w:jc w:val="left"/>
    </w:pPr>
    <w:rPr>
      <w:sz w:val="32"/>
      <w:szCs w:val="32"/>
      <w:lang w:eastAsia="en-US"/>
    </w:rPr>
  </w:style>
  <w:style w:type="paragraph" w:customStyle="1" w:styleId="PBACESHeading2">
    <w:name w:val="PBAC ES Heading 2"/>
    <w:basedOn w:val="Heading2"/>
    <w:uiPriority w:val="1"/>
    <w:qFormat/>
    <w:rsid w:val="00645F06"/>
    <w:pPr>
      <w:keepLines/>
      <w:spacing w:before="360" w:after="120"/>
      <w:ind w:left="720" w:hanging="720"/>
      <w:jc w:val="left"/>
    </w:pPr>
    <w:rPr>
      <w:rFonts w:asciiTheme="majorHAnsi" w:eastAsiaTheme="majorEastAsia" w:hAnsiTheme="majorHAnsi" w:cstheme="majorBidi"/>
      <w:snapToGrid w:val="0"/>
      <w:sz w:val="28"/>
      <w:szCs w:val="28"/>
      <w:lang w:eastAsia="en-US"/>
    </w:rPr>
  </w:style>
  <w:style w:type="paragraph" w:customStyle="1" w:styleId="PBACESHeadingCAPS">
    <w:name w:val="PBAC ES Heading CAPS"/>
    <w:basedOn w:val="PBACESHeading2"/>
    <w:uiPriority w:val="1"/>
    <w:qFormat/>
    <w:rsid w:val="00645F06"/>
    <w:rPr>
      <w:i w:val="0"/>
      <w:smallCaps/>
      <w:sz w:val="32"/>
    </w:rPr>
  </w:style>
  <w:style w:type="paragraph" w:customStyle="1" w:styleId="PBACESHeading3">
    <w:name w:val="PBAC ES Heading 3"/>
    <w:basedOn w:val="PBACESHeading2"/>
    <w:uiPriority w:val="1"/>
    <w:qFormat/>
    <w:rsid w:val="00645F06"/>
    <w:pPr>
      <w:ind w:left="1080" w:hanging="1080"/>
    </w:pPr>
    <w:rPr>
      <w:i w:val="0"/>
      <w:sz w:val="24"/>
    </w:rPr>
  </w:style>
  <w:style w:type="paragraph" w:customStyle="1" w:styleId="MSACHeading1">
    <w:name w:val="MSAC Heading 1"/>
    <w:basedOn w:val="Heading1"/>
    <w:next w:val="Normal"/>
    <w:uiPriority w:val="1"/>
    <w:rsid w:val="00645F06"/>
    <w:pPr>
      <w:keepNext/>
      <w:keepLines/>
      <w:numPr>
        <w:numId w:val="0"/>
      </w:numPr>
      <w:spacing w:before="160" w:after="240" w:line="259" w:lineRule="auto"/>
      <w:ind w:left="720" w:hanging="720"/>
      <w:jc w:val="left"/>
    </w:pPr>
    <w:rPr>
      <w:rFonts w:ascii="Arial" w:eastAsiaTheme="majorEastAsia" w:hAnsi="Arial" w:cstheme="majorBidi"/>
      <w:snapToGrid/>
      <w:szCs w:val="28"/>
      <w:lang w:eastAsia="en-US"/>
    </w:rPr>
  </w:style>
  <w:style w:type="paragraph" w:customStyle="1" w:styleId="MSACESHeading2">
    <w:name w:val="MSAC ES Heading 2"/>
    <w:basedOn w:val="Heading2"/>
    <w:next w:val="Normal"/>
    <w:uiPriority w:val="1"/>
    <w:rsid w:val="00645F06"/>
    <w:pPr>
      <w:keepLines/>
      <w:spacing w:before="360" w:after="120"/>
      <w:ind w:left="720" w:hanging="720"/>
      <w:jc w:val="left"/>
    </w:pPr>
    <w:rPr>
      <w:rFonts w:ascii="Cambria" w:eastAsiaTheme="majorEastAsia" w:hAnsi="Cambria" w:cstheme="majorBidi"/>
      <w:i w:val="0"/>
      <w:snapToGrid w:val="0"/>
      <w:sz w:val="24"/>
      <w:szCs w:val="28"/>
      <w:lang w:eastAsia="en-US"/>
    </w:rPr>
  </w:style>
  <w:style w:type="paragraph" w:styleId="FootnoteText">
    <w:name w:val="footnote text"/>
    <w:basedOn w:val="Normal"/>
    <w:link w:val="FootnoteTextChar"/>
    <w:semiHidden/>
    <w:unhideWhenUsed/>
    <w:rsid w:val="00645F06"/>
    <w:rPr>
      <w:sz w:val="20"/>
      <w:szCs w:val="20"/>
    </w:rPr>
  </w:style>
  <w:style w:type="character" w:customStyle="1" w:styleId="FootnoteTextChar">
    <w:name w:val="Footnote Text Char"/>
    <w:basedOn w:val="DefaultParagraphFont"/>
    <w:link w:val="FootnoteText"/>
    <w:semiHidden/>
    <w:rsid w:val="00645F06"/>
    <w:rPr>
      <w:rFonts w:ascii="Calibri" w:hAnsi="Calibri"/>
    </w:rPr>
  </w:style>
  <w:style w:type="character" w:styleId="FootnoteReference">
    <w:name w:val="footnote reference"/>
    <w:basedOn w:val="DefaultParagraphFont"/>
    <w:semiHidden/>
    <w:unhideWhenUsed/>
    <w:rsid w:val="00645F06"/>
    <w:rPr>
      <w:vertAlign w:val="superscript"/>
    </w:rPr>
  </w:style>
  <w:style w:type="paragraph" w:styleId="NormalWeb">
    <w:name w:val="Normal (Web)"/>
    <w:basedOn w:val="Normal"/>
    <w:semiHidden/>
    <w:unhideWhenUsed/>
    <w:rsid w:val="00645F0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8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4426219">
      <w:bodyDiv w:val="1"/>
      <w:marLeft w:val="0"/>
      <w:marRight w:val="0"/>
      <w:marTop w:val="0"/>
      <w:marBottom w:val="0"/>
      <w:divBdr>
        <w:top w:val="none" w:sz="0" w:space="0" w:color="auto"/>
        <w:left w:val="none" w:sz="0" w:space="0" w:color="auto"/>
        <w:bottom w:val="none" w:sz="0" w:space="0" w:color="auto"/>
        <w:right w:val="none" w:sz="0" w:space="0" w:color="auto"/>
      </w:divBdr>
    </w:div>
    <w:div w:id="11201875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44749513">
      <w:bodyDiv w:val="1"/>
      <w:marLeft w:val="0"/>
      <w:marRight w:val="0"/>
      <w:marTop w:val="0"/>
      <w:marBottom w:val="0"/>
      <w:divBdr>
        <w:top w:val="none" w:sz="0" w:space="0" w:color="auto"/>
        <w:left w:val="none" w:sz="0" w:space="0" w:color="auto"/>
        <w:bottom w:val="none" w:sz="0" w:space="0" w:color="auto"/>
        <w:right w:val="none" w:sz="0" w:space="0" w:color="auto"/>
      </w:divBdr>
    </w:div>
    <w:div w:id="374542837">
      <w:bodyDiv w:val="1"/>
      <w:marLeft w:val="0"/>
      <w:marRight w:val="0"/>
      <w:marTop w:val="0"/>
      <w:marBottom w:val="0"/>
      <w:divBdr>
        <w:top w:val="none" w:sz="0" w:space="0" w:color="auto"/>
        <w:left w:val="none" w:sz="0" w:space="0" w:color="auto"/>
        <w:bottom w:val="none" w:sz="0" w:space="0" w:color="auto"/>
        <w:right w:val="none" w:sz="0" w:space="0" w:color="auto"/>
      </w:divBdr>
    </w:div>
    <w:div w:id="38479185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3669026">
      <w:bodyDiv w:val="1"/>
      <w:marLeft w:val="0"/>
      <w:marRight w:val="0"/>
      <w:marTop w:val="0"/>
      <w:marBottom w:val="0"/>
      <w:divBdr>
        <w:top w:val="none" w:sz="0" w:space="0" w:color="auto"/>
        <w:left w:val="none" w:sz="0" w:space="0" w:color="auto"/>
        <w:bottom w:val="none" w:sz="0" w:space="0" w:color="auto"/>
        <w:right w:val="none" w:sz="0" w:space="0" w:color="auto"/>
      </w:divBdr>
    </w:div>
    <w:div w:id="437871109">
      <w:bodyDiv w:val="1"/>
      <w:marLeft w:val="0"/>
      <w:marRight w:val="0"/>
      <w:marTop w:val="0"/>
      <w:marBottom w:val="0"/>
      <w:divBdr>
        <w:top w:val="none" w:sz="0" w:space="0" w:color="auto"/>
        <w:left w:val="none" w:sz="0" w:space="0" w:color="auto"/>
        <w:bottom w:val="none" w:sz="0" w:space="0" w:color="auto"/>
        <w:right w:val="none" w:sz="0" w:space="0" w:color="auto"/>
      </w:divBdr>
    </w:div>
    <w:div w:id="466555127">
      <w:bodyDiv w:val="1"/>
      <w:marLeft w:val="0"/>
      <w:marRight w:val="0"/>
      <w:marTop w:val="0"/>
      <w:marBottom w:val="0"/>
      <w:divBdr>
        <w:top w:val="none" w:sz="0" w:space="0" w:color="auto"/>
        <w:left w:val="none" w:sz="0" w:space="0" w:color="auto"/>
        <w:bottom w:val="none" w:sz="0" w:space="0" w:color="auto"/>
        <w:right w:val="none" w:sz="0" w:space="0" w:color="auto"/>
      </w:divBdr>
    </w:div>
    <w:div w:id="469638905">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9798536">
      <w:bodyDiv w:val="1"/>
      <w:marLeft w:val="0"/>
      <w:marRight w:val="0"/>
      <w:marTop w:val="0"/>
      <w:marBottom w:val="0"/>
      <w:divBdr>
        <w:top w:val="none" w:sz="0" w:space="0" w:color="auto"/>
        <w:left w:val="none" w:sz="0" w:space="0" w:color="auto"/>
        <w:bottom w:val="none" w:sz="0" w:space="0" w:color="auto"/>
        <w:right w:val="none" w:sz="0" w:space="0" w:color="auto"/>
      </w:divBdr>
    </w:div>
    <w:div w:id="633828068">
      <w:bodyDiv w:val="1"/>
      <w:marLeft w:val="0"/>
      <w:marRight w:val="0"/>
      <w:marTop w:val="0"/>
      <w:marBottom w:val="0"/>
      <w:divBdr>
        <w:top w:val="none" w:sz="0" w:space="0" w:color="auto"/>
        <w:left w:val="none" w:sz="0" w:space="0" w:color="auto"/>
        <w:bottom w:val="none" w:sz="0" w:space="0" w:color="auto"/>
        <w:right w:val="none" w:sz="0" w:space="0" w:color="auto"/>
      </w:divBdr>
    </w:div>
    <w:div w:id="714739497">
      <w:bodyDiv w:val="1"/>
      <w:marLeft w:val="0"/>
      <w:marRight w:val="0"/>
      <w:marTop w:val="0"/>
      <w:marBottom w:val="0"/>
      <w:divBdr>
        <w:top w:val="none" w:sz="0" w:space="0" w:color="auto"/>
        <w:left w:val="none" w:sz="0" w:space="0" w:color="auto"/>
        <w:bottom w:val="none" w:sz="0" w:space="0" w:color="auto"/>
        <w:right w:val="none" w:sz="0" w:space="0" w:color="auto"/>
      </w:divBdr>
      <w:divsChild>
        <w:div w:id="73672160">
          <w:marLeft w:val="0"/>
          <w:marRight w:val="0"/>
          <w:marTop w:val="0"/>
          <w:marBottom w:val="0"/>
          <w:divBdr>
            <w:top w:val="none" w:sz="0" w:space="0" w:color="auto"/>
            <w:left w:val="none" w:sz="0" w:space="0" w:color="auto"/>
            <w:bottom w:val="none" w:sz="0" w:space="0" w:color="auto"/>
            <w:right w:val="none" w:sz="0" w:space="0" w:color="auto"/>
          </w:divBdr>
          <w:divsChild>
            <w:div w:id="1597205525">
              <w:marLeft w:val="0"/>
              <w:marRight w:val="0"/>
              <w:marTop w:val="0"/>
              <w:marBottom w:val="0"/>
              <w:divBdr>
                <w:top w:val="none" w:sz="0" w:space="0" w:color="auto"/>
                <w:left w:val="none" w:sz="0" w:space="0" w:color="auto"/>
                <w:bottom w:val="none" w:sz="0" w:space="0" w:color="auto"/>
                <w:right w:val="none" w:sz="0" w:space="0" w:color="auto"/>
              </w:divBdr>
            </w:div>
          </w:divsChild>
        </w:div>
        <w:div w:id="118693550">
          <w:marLeft w:val="0"/>
          <w:marRight w:val="0"/>
          <w:marTop w:val="0"/>
          <w:marBottom w:val="0"/>
          <w:divBdr>
            <w:top w:val="none" w:sz="0" w:space="0" w:color="auto"/>
            <w:left w:val="none" w:sz="0" w:space="0" w:color="auto"/>
            <w:bottom w:val="none" w:sz="0" w:space="0" w:color="auto"/>
            <w:right w:val="none" w:sz="0" w:space="0" w:color="auto"/>
          </w:divBdr>
          <w:divsChild>
            <w:div w:id="1572689643">
              <w:marLeft w:val="0"/>
              <w:marRight w:val="0"/>
              <w:marTop w:val="0"/>
              <w:marBottom w:val="0"/>
              <w:divBdr>
                <w:top w:val="none" w:sz="0" w:space="0" w:color="auto"/>
                <w:left w:val="none" w:sz="0" w:space="0" w:color="auto"/>
                <w:bottom w:val="none" w:sz="0" w:space="0" w:color="auto"/>
                <w:right w:val="none" w:sz="0" w:space="0" w:color="auto"/>
              </w:divBdr>
            </w:div>
          </w:divsChild>
        </w:div>
        <w:div w:id="214004344">
          <w:marLeft w:val="0"/>
          <w:marRight w:val="0"/>
          <w:marTop w:val="0"/>
          <w:marBottom w:val="0"/>
          <w:divBdr>
            <w:top w:val="none" w:sz="0" w:space="0" w:color="auto"/>
            <w:left w:val="none" w:sz="0" w:space="0" w:color="auto"/>
            <w:bottom w:val="none" w:sz="0" w:space="0" w:color="auto"/>
            <w:right w:val="none" w:sz="0" w:space="0" w:color="auto"/>
          </w:divBdr>
          <w:divsChild>
            <w:div w:id="271668003">
              <w:marLeft w:val="0"/>
              <w:marRight w:val="0"/>
              <w:marTop w:val="0"/>
              <w:marBottom w:val="0"/>
              <w:divBdr>
                <w:top w:val="none" w:sz="0" w:space="0" w:color="auto"/>
                <w:left w:val="none" w:sz="0" w:space="0" w:color="auto"/>
                <w:bottom w:val="none" w:sz="0" w:space="0" w:color="auto"/>
                <w:right w:val="none" w:sz="0" w:space="0" w:color="auto"/>
              </w:divBdr>
            </w:div>
          </w:divsChild>
        </w:div>
        <w:div w:id="255093136">
          <w:marLeft w:val="0"/>
          <w:marRight w:val="0"/>
          <w:marTop w:val="0"/>
          <w:marBottom w:val="0"/>
          <w:divBdr>
            <w:top w:val="none" w:sz="0" w:space="0" w:color="auto"/>
            <w:left w:val="none" w:sz="0" w:space="0" w:color="auto"/>
            <w:bottom w:val="none" w:sz="0" w:space="0" w:color="auto"/>
            <w:right w:val="none" w:sz="0" w:space="0" w:color="auto"/>
          </w:divBdr>
          <w:divsChild>
            <w:div w:id="168059921">
              <w:marLeft w:val="0"/>
              <w:marRight w:val="0"/>
              <w:marTop w:val="0"/>
              <w:marBottom w:val="0"/>
              <w:divBdr>
                <w:top w:val="none" w:sz="0" w:space="0" w:color="auto"/>
                <w:left w:val="none" w:sz="0" w:space="0" w:color="auto"/>
                <w:bottom w:val="none" w:sz="0" w:space="0" w:color="auto"/>
                <w:right w:val="none" w:sz="0" w:space="0" w:color="auto"/>
              </w:divBdr>
            </w:div>
          </w:divsChild>
        </w:div>
        <w:div w:id="265580389">
          <w:marLeft w:val="0"/>
          <w:marRight w:val="0"/>
          <w:marTop w:val="0"/>
          <w:marBottom w:val="0"/>
          <w:divBdr>
            <w:top w:val="none" w:sz="0" w:space="0" w:color="auto"/>
            <w:left w:val="none" w:sz="0" w:space="0" w:color="auto"/>
            <w:bottom w:val="none" w:sz="0" w:space="0" w:color="auto"/>
            <w:right w:val="none" w:sz="0" w:space="0" w:color="auto"/>
          </w:divBdr>
          <w:divsChild>
            <w:div w:id="540023316">
              <w:marLeft w:val="0"/>
              <w:marRight w:val="0"/>
              <w:marTop w:val="0"/>
              <w:marBottom w:val="0"/>
              <w:divBdr>
                <w:top w:val="none" w:sz="0" w:space="0" w:color="auto"/>
                <w:left w:val="none" w:sz="0" w:space="0" w:color="auto"/>
                <w:bottom w:val="none" w:sz="0" w:space="0" w:color="auto"/>
                <w:right w:val="none" w:sz="0" w:space="0" w:color="auto"/>
              </w:divBdr>
            </w:div>
          </w:divsChild>
        </w:div>
        <w:div w:id="318313573">
          <w:marLeft w:val="0"/>
          <w:marRight w:val="0"/>
          <w:marTop w:val="0"/>
          <w:marBottom w:val="0"/>
          <w:divBdr>
            <w:top w:val="none" w:sz="0" w:space="0" w:color="auto"/>
            <w:left w:val="none" w:sz="0" w:space="0" w:color="auto"/>
            <w:bottom w:val="none" w:sz="0" w:space="0" w:color="auto"/>
            <w:right w:val="none" w:sz="0" w:space="0" w:color="auto"/>
          </w:divBdr>
          <w:divsChild>
            <w:div w:id="1088694919">
              <w:marLeft w:val="0"/>
              <w:marRight w:val="0"/>
              <w:marTop w:val="0"/>
              <w:marBottom w:val="0"/>
              <w:divBdr>
                <w:top w:val="none" w:sz="0" w:space="0" w:color="auto"/>
                <w:left w:val="none" w:sz="0" w:space="0" w:color="auto"/>
                <w:bottom w:val="none" w:sz="0" w:space="0" w:color="auto"/>
                <w:right w:val="none" w:sz="0" w:space="0" w:color="auto"/>
              </w:divBdr>
            </w:div>
          </w:divsChild>
        </w:div>
        <w:div w:id="365258709">
          <w:marLeft w:val="0"/>
          <w:marRight w:val="0"/>
          <w:marTop w:val="0"/>
          <w:marBottom w:val="0"/>
          <w:divBdr>
            <w:top w:val="none" w:sz="0" w:space="0" w:color="auto"/>
            <w:left w:val="none" w:sz="0" w:space="0" w:color="auto"/>
            <w:bottom w:val="none" w:sz="0" w:space="0" w:color="auto"/>
            <w:right w:val="none" w:sz="0" w:space="0" w:color="auto"/>
          </w:divBdr>
          <w:divsChild>
            <w:div w:id="2090730884">
              <w:marLeft w:val="0"/>
              <w:marRight w:val="0"/>
              <w:marTop w:val="0"/>
              <w:marBottom w:val="0"/>
              <w:divBdr>
                <w:top w:val="none" w:sz="0" w:space="0" w:color="auto"/>
                <w:left w:val="none" w:sz="0" w:space="0" w:color="auto"/>
                <w:bottom w:val="none" w:sz="0" w:space="0" w:color="auto"/>
                <w:right w:val="none" w:sz="0" w:space="0" w:color="auto"/>
              </w:divBdr>
            </w:div>
          </w:divsChild>
        </w:div>
        <w:div w:id="440537442">
          <w:marLeft w:val="0"/>
          <w:marRight w:val="0"/>
          <w:marTop w:val="0"/>
          <w:marBottom w:val="0"/>
          <w:divBdr>
            <w:top w:val="none" w:sz="0" w:space="0" w:color="auto"/>
            <w:left w:val="none" w:sz="0" w:space="0" w:color="auto"/>
            <w:bottom w:val="none" w:sz="0" w:space="0" w:color="auto"/>
            <w:right w:val="none" w:sz="0" w:space="0" w:color="auto"/>
          </w:divBdr>
          <w:divsChild>
            <w:div w:id="408237654">
              <w:marLeft w:val="0"/>
              <w:marRight w:val="0"/>
              <w:marTop w:val="0"/>
              <w:marBottom w:val="0"/>
              <w:divBdr>
                <w:top w:val="none" w:sz="0" w:space="0" w:color="auto"/>
                <w:left w:val="none" w:sz="0" w:space="0" w:color="auto"/>
                <w:bottom w:val="none" w:sz="0" w:space="0" w:color="auto"/>
                <w:right w:val="none" w:sz="0" w:space="0" w:color="auto"/>
              </w:divBdr>
            </w:div>
          </w:divsChild>
        </w:div>
        <w:div w:id="456334523">
          <w:marLeft w:val="0"/>
          <w:marRight w:val="0"/>
          <w:marTop w:val="0"/>
          <w:marBottom w:val="0"/>
          <w:divBdr>
            <w:top w:val="none" w:sz="0" w:space="0" w:color="auto"/>
            <w:left w:val="none" w:sz="0" w:space="0" w:color="auto"/>
            <w:bottom w:val="none" w:sz="0" w:space="0" w:color="auto"/>
            <w:right w:val="none" w:sz="0" w:space="0" w:color="auto"/>
          </w:divBdr>
          <w:divsChild>
            <w:div w:id="1536579240">
              <w:marLeft w:val="0"/>
              <w:marRight w:val="0"/>
              <w:marTop w:val="0"/>
              <w:marBottom w:val="0"/>
              <w:divBdr>
                <w:top w:val="none" w:sz="0" w:space="0" w:color="auto"/>
                <w:left w:val="none" w:sz="0" w:space="0" w:color="auto"/>
                <w:bottom w:val="none" w:sz="0" w:space="0" w:color="auto"/>
                <w:right w:val="none" w:sz="0" w:space="0" w:color="auto"/>
              </w:divBdr>
            </w:div>
          </w:divsChild>
        </w:div>
        <w:div w:id="497886356">
          <w:marLeft w:val="0"/>
          <w:marRight w:val="0"/>
          <w:marTop w:val="0"/>
          <w:marBottom w:val="0"/>
          <w:divBdr>
            <w:top w:val="none" w:sz="0" w:space="0" w:color="auto"/>
            <w:left w:val="none" w:sz="0" w:space="0" w:color="auto"/>
            <w:bottom w:val="none" w:sz="0" w:space="0" w:color="auto"/>
            <w:right w:val="none" w:sz="0" w:space="0" w:color="auto"/>
          </w:divBdr>
          <w:divsChild>
            <w:div w:id="602494282">
              <w:marLeft w:val="0"/>
              <w:marRight w:val="0"/>
              <w:marTop w:val="0"/>
              <w:marBottom w:val="0"/>
              <w:divBdr>
                <w:top w:val="none" w:sz="0" w:space="0" w:color="auto"/>
                <w:left w:val="none" w:sz="0" w:space="0" w:color="auto"/>
                <w:bottom w:val="none" w:sz="0" w:space="0" w:color="auto"/>
                <w:right w:val="none" w:sz="0" w:space="0" w:color="auto"/>
              </w:divBdr>
            </w:div>
          </w:divsChild>
        </w:div>
        <w:div w:id="558832261">
          <w:marLeft w:val="0"/>
          <w:marRight w:val="0"/>
          <w:marTop w:val="0"/>
          <w:marBottom w:val="0"/>
          <w:divBdr>
            <w:top w:val="none" w:sz="0" w:space="0" w:color="auto"/>
            <w:left w:val="none" w:sz="0" w:space="0" w:color="auto"/>
            <w:bottom w:val="none" w:sz="0" w:space="0" w:color="auto"/>
            <w:right w:val="none" w:sz="0" w:space="0" w:color="auto"/>
          </w:divBdr>
          <w:divsChild>
            <w:div w:id="1999729006">
              <w:marLeft w:val="0"/>
              <w:marRight w:val="0"/>
              <w:marTop w:val="0"/>
              <w:marBottom w:val="0"/>
              <w:divBdr>
                <w:top w:val="none" w:sz="0" w:space="0" w:color="auto"/>
                <w:left w:val="none" w:sz="0" w:space="0" w:color="auto"/>
                <w:bottom w:val="none" w:sz="0" w:space="0" w:color="auto"/>
                <w:right w:val="none" w:sz="0" w:space="0" w:color="auto"/>
              </w:divBdr>
            </w:div>
          </w:divsChild>
        </w:div>
        <w:div w:id="565188314">
          <w:marLeft w:val="0"/>
          <w:marRight w:val="0"/>
          <w:marTop w:val="0"/>
          <w:marBottom w:val="0"/>
          <w:divBdr>
            <w:top w:val="none" w:sz="0" w:space="0" w:color="auto"/>
            <w:left w:val="none" w:sz="0" w:space="0" w:color="auto"/>
            <w:bottom w:val="none" w:sz="0" w:space="0" w:color="auto"/>
            <w:right w:val="none" w:sz="0" w:space="0" w:color="auto"/>
          </w:divBdr>
          <w:divsChild>
            <w:div w:id="389381016">
              <w:marLeft w:val="0"/>
              <w:marRight w:val="0"/>
              <w:marTop w:val="0"/>
              <w:marBottom w:val="0"/>
              <w:divBdr>
                <w:top w:val="none" w:sz="0" w:space="0" w:color="auto"/>
                <w:left w:val="none" w:sz="0" w:space="0" w:color="auto"/>
                <w:bottom w:val="none" w:sz="0" w:space="0" w:color="auto"/>
                <w:right w:val="none" w:sz="0" w:space="0" w:color="auto"/>
              </w:divBdr>
            </w:div>
          </w:divsChild>
        </w:div>
        <w:div w:id="703864485">
          <w:marLeft w:val="0"/>
          <w:marRight w:val="0"/>
          <w:marTop w:val="0"/>
          <w:marBottom w:val="0"/>
          <w:divBdr>
            <w:top w:val="none" w:sz="0" w:space="0" w:color="auto"/>
            <w:left w:val="none" w:sz="0" w:space="0" w:color="auto"/>
            <w:bottom w:val="none" w:sz="0" w:space="0" w:color="auto"/>
            <w:right w:val="none" w:sz="0" w:space="0" w:color="auto"/>
          </w:divBdr>
          <w:divsChild>
            <w:div w:id="1817530204">
              <w:marLeft w:val="0"/>
              <w:marRight w:val="0"/>
              <w:marTop w:val="0"/>
              <w:marBottom w:val="0"/>
              <w:divBdr>
                <w:top w:val="none" w:sz="0" w:space="0" w:color="auto"/>
                <w:left w:val="none" w:sz="0" w:space="0" w:color="auto"/>
                <w:bottom w:val="none" w:sz="0" w:space="0" w:color="auto"/>
                <w:right w:val="none" w:sz="0" w:space="0" w:color="auto"/>
              </w:divBdr>
            </w:div>
          </w:divsChild>
        </w:div>
        <w:div w:id="762143640">
          <w:marLeft w:val="0"/>
          <w:marRight w:val="0"/>
          <w:marTop w:val="0"/>
          <w:marBottom w:val="0"/>
          <w:divBdr>
            <w:top w:val="none" w:sz="0" w:space="0" w:color="auto"/>
            <w:left w:val="none" w:sz="0" w:space="0" w:color="auto"/>
            <w:bottom w:val="none" w:sz="0" w:space="0" w:color="auto"/>
            <w:right w:val="none" w:sz="0" w:space="0" w:color="auto"/>
          </w:divBdr>
          <w:divsChild>
            <w:div w:id="1804696392">
              <w:marLeft w:val="0"/>
              <w:marRight w:val="0"/>
              <w:marTop w:val="0"/>
              <w:marBottom w:val="0"/>
              <w:divBdr>
                <w:top w:val="none" w:sz="0" w:space="0" w:color="auto"/>
                <w:left w:val="none" w:sz="0" w:space="0" w:color="auto"/>
                <w:bottom w:val="none" w:sz="0" w:space="0" w:color="auto"/>
                <w:right w:val="none" w:sz="0" w:space="0" w:color="auto"/>
              </w:divBdr>
            </w:div>
          </w:divsChild>
        </w:div>
        <w:div w:id="892079849">
          <w:marLeft w:val="0"/>
          <w:marRight w:val="0"/>
          <w:marTop w:val="0"/>
          <w:marBottom w:val="0"/>
          <w:divBdr>
            <w:top w:val="none" w:sz="0" w:space="0" w:color="auto"/>
            <w:left w:val="none" w:sz="0" w:space="0" w:color="auto"/>
            <w:bottom w:val="none" w:sz="0" w:space="0" w:color="auto"/>
            <w:right w:val="none" w:sz="0" w:space="0" w:color="auto"/>
          </w:divBdr>
          <w:divsChild>
            <w:div w:id="99033065">
              <w:marLeft w:val="0"/>
              <w:marRight w:val="0"/>
              <w:marTop w:val="0"/>
              <w:marBottom w:val="0"/>
              <w:divBdr>
                <w:top w:val="none" w:sz="0" w:space="0" w:color="auto"/>
                <w:left w:val="none" w:sz="0" w:space="0" w:color="auto"/>
                <w:bottom w:val="none" w:sz="0" w:space="0" w:color="auto"/>
                <w:right w:val="none" w:sz="0" w:space="0" w:color="auto"/>
              </w:divBdr>
            </w:div>
          </w:divsChild>
        </w:div>
        <w:div w:id="909312299">
          <w:marLeft w:val="0"/>
          <w:marRight w:val="0"/>
          <w:marTop w:val="0"/>
          <w:marBottom w:val="0"/>
          <w:divBdr>
            <w:top w:val="none" w:sz="0" w:space="0" w:color="auto"/>
            <w:left w:val="none" w:sz="0" w:space="0" w:color="auto"/>
            <w:bottom w:val="none" w:sz="0" w:space="0" w:color="auto"/>
            <w:right w:val="none" w:sz="0" w:space="0" w:color="auto"/>
          </w:divBdr>
          <w:divsChild>
            <w:div w:id="1767996466">
              <w:marLeft w:val="0"/>
              <w:marRight w:val="0"/>
              <w:marTop w:val="0"/>
              <w:marBottom w:val="0"/>
              <w:divBdr>
                <w:top w:val="none" w:sz="0" w:space="0" w:color="auto"/>
                <w:left w:val="none" w:sz="0" w:space="0" w:color="auto"/>
                <w:bottom w:val="none" w:sz="0" w:space="0" w:color="auto"/>
                <w:right w:val="none" w:sz="0" w:space="0" w:color="auto"/>
              </w:divBdr>
            </w:div>
          </w:divsChild>
        </w:div>
        <w:div w:id="938410351">
          <w:marLeft w:val="0"/>
          <w:marRight w:val="0"/>
          <w:marTop w:val="0"/>
          <w:marBottom w:val="0"/>
          <w:divBdr>
            <w:top w:val="none" w:sz="0" w:space="0" w:color="auto"/>
            <w:left w:val="none" w:sz="0" w:space="0" w:color="auto"/>
            <w:bottom w:val="none" w:sz="0" w:space="0" w:color="auto"/>
            <w:right w:val="none" w:sz="0" w:space="0" w:color="auto"/>
          </w:divBdr>
          <w:divsChild>
            <w:div w:id="2083327485">
              <w:marLeft w:val="0"/>
              <w:marRight w:val="0"/>
              <w:marTop w:val="0"/>
              <w:marBottom w:val="0"/>
              <w:divBdr>
                <w:top w:val="none" w:sz="0" w:space="0" w:color="auto"/>
                <w:left w:val="none" w:sz="0" w:space="0" w:color="auto"/>
                <w:bottom w:val="none" w:sz="0" w:space="0" w:color="auto"/>
                <w:right w:val="none" w:sz="0" w:space="0" w:color="auto"/>
              </w:divBdr>
            </w:div>
          </w:divsChild>
        </w:div>
        <w:div w:id="968779848">
          <w:marLeft w:val="0"/>
          <w:marRight w:val="0"/>
          <w:marTop w:val="0"/>
          <w:marBottom w:val="0"/>
          <w:divBdr>
            <w:top w:val="none" w:sz="0" w:space="0" w:color="auto"/>
            <w:left w:val="none" w:sz="0" w:space="0" w:color="auto"/>
            <w:bottom w:val="none" w:sz="0" w:space="0" w:color="auto"/>
            <w:right w:val="none" w:sz="0" w:space="0" w:color="auto"/>
          </w:divBdr>
          <w:divsChild>
            <w:div w:id="3213427">
              <w:marLeft w:val="0"/>
              <w:marRight w:val="0"/>
              <w:marTop w:val="0"/>
              <w:marBottom w:val="0"/>
              <w:divBdr>
                <w:top w:val="none" w:sz="0" w:space="0" w:color="auto"/>
                <w:left w:val="none" w:sz="0" w:space="0" w:color="auto"/>
                <w:bottom w:val="none" w:sz="0" w:space="0" w:color="auto"/>
                <w:right w:val="none" w:sz="0" w:space="0" w:color="auto"/>
              </w:divBdr>
            </w:div>
          </w:divsChild>
        </w:div>
        <w:div w:id="1009335226">
          <w:marLeft w:val="0"/>
          <w:marRight w:val="0"/>
          <w:marTop w:val="0"/>
          <w:marBottom w:val="0"/>
          <w:divBdr>
            <w:top w:val="none" w:sz="0" w:space="0" w:color="auto"/>
            <w:left w:val="none" w:sz="0" w:space="0" w:color="auto"/>
            <w:bottom w:val="none" w:sz="0" w:space="0" w:color="auto"/>
            <w:right w:val="none" w:sz="0" w:space="0" w:color="auto"/>
          </w:divBdr>
          <w:divsChild>
            <w:div w:id="573710773">
              <w:marLeft w:val="0"/>
              <w:marRight w:val="0"/>
              <w:marTop w:val="0"/>
              <w:marBottom w:val="0"/>
              <w:divBdr>
                <w:top w:val="none" w:sz="0" w:space="0" w:color="auto"/>
                <w:left w:val="none" w:sz="0" w:space="0" w:color="auto"/>
                <w:bottom w:val="none" w:sz="0" w:space="0" w:color="auto"/>
                <w:right w:val="none" w:sz="0" w:space="0" w:color="auto"/>
              </w:divBdr>
            </w:div>
          </w:divsChild>
        </w:div>
        <w:div w:id="1075470027">
          <w:marLeft w:val="0"/>
          <w:marRight w:val="0"/>
          <w:marTop w:val="0"/>
          <w:marBottom w:val="0"/>
          <w:divBdr>
            <w:top w:val="none" w:sz="0" w:space="0" w:color="auto"/>
            <w:left w:val="none" w:sz="0" w:space="0" w:color="auto"/>
            <w:bottom w:val="none" w:sz="0" w:space="0" w:color="auto"/>
            <w:right w:val="none" w:sz="0" w:space="0" w:color="auto"/>
          </w:divBdr>
          <w:divsChild>
            <w:div w:id="1688018204">
              <w:marLeft w:val="0"/>
              <w:marRight w:val="0"/>
              <w:marTop w:val="0"/>
              <w:marBottom w:val="0"/>
              <w:divBdr>
                <w:top w:val="none" w:sz="0" w:space="0" w:color="auto"/>
                <w:left w:val="none" w:sz="0" w:space="0" w:color="auto"/>
                <w:bottom w:val="none" w:sz="0" w:space="0" w:color="auto"/>
                <w:right w:val="none" w:sz="0" w:space="0" w:color="auto"/>
              </w:divBdr>
            </w:div>
          </w:divsChild>
        </w:div>
        <w:div w:id="1104299477">
          <w:marLeft w:val="0"/>
          <w:marRight w:val="0"/>
          <w:marTop w:val="0"/>
          <w:marBottom w:val="0"/>
          <w:divBdr>
            <w:top w:val="none" w:sz="0" w:space="0" w:color="auto"/>
            <w:left w:val="none" w:sz="0" w:space="0" w:color="auto"/>
            <w:bottom w:val="none" w:sz="0" w:space="0" w:color="auto"/>
            <w:right w:val="none" w:sz="0" w:space="0" w:color="auto"/>
          </w:divBdr>
          <w:divsChild>
            <w:div w:id="1492066721">
              <w:marLeft w:val="0"/>
              <w:marRight w:val="0"/>
              <w:marTop w:val="0"/>
              <w:marBottom w:val="0"/>
              <w:divBdr>
                <w:top w:val="none" w:sz="0" w:space="0" w:color="auto"/>
                <w:left w:val="none" w:sz="0" w:space="0" w:color="auto"/>
                <w:bottom w:val="none" w:sz="0" w:space="0" w:color="auto"/>
                <w:right w:val="none" w:sz="0" w:space="0" w:color="auto"/>
              </w:divBdr>
            </w:div>
          </w:divsChild>
        </w:div>
        <w:div w:id="1131361790">
          <w:marLeft w:val="0"/>
          <w:marRight w:val="0"/>
          <w:marTop w:val="0"/>
          <w:marBottom w:val="0"/>
          <w:divBdr>
            <w:top w:val="none" w:sz="0" w:space="0" w:color="auto"/>
            <w:left w:val="none" w:sz="0" w:space="0" w:color="auto"/>
            <w:bottom w:val="none" w:sz="0" w:space="0" w:color="auto"/>
            <w:right w:val="none" w:sz="0" w:space="0" w:color="auto"/>
          </w:divBdr>
          <w:divsChild>
            <w:div w:id="886450798">
              <w:marLeft w:val="0"/>
              <w:marRight w:val="0"/>
              <w:marTop w:val="0"/>
              <w:marBottom w:val="0"/>
              <w:divBdr>
                <w:top w:val="none" w:sz="0" w:space="0" w:color="auto"/>
                <w:left w:val="none" w:sz="0" w:space="0" w:color="auto"/>
                <w:bottom w:val="none" w:sz="0" w:space="0" w:color="auto"/>
                <w:right w:val="none" w:sz="0" w:space="0" w:color="auto"/>
              </w:divBdr>
            </w:div>
          </w:divsChild>
        </w:div>
        <w:div w:id="1147895157">
          <w:marLeft w:val="0"/>
          <w:marRight w:val="0"/>
          <w:marTop w:val="0"/>
          <w:marBottom w:val="0"/>
          <w:divBdr>
            <w:top w:val="none" w:sz="0" w:space="0" w:color="auto"/>
            <w:left w:val="none" w:sz="0" w:space="0" w:color="auto"/>
            <w:bottom w:val="none" w:sz="0" w:space="0" w:color="auto"/>
            <w:right w:val="none" w:sz="0" w:space="0" w:color="auto"/>
          </w:divBdr>
          <w:divsChild>
            <w:div w:id="2098208445">
              <w:marLeft w:val="0"/>
              <w:marRight w:val="0"/>
              <w:marTop w:val="0"/>
              <w:marBottom w:val="0"/>
              <w:divBdr>
                <w:top w:val="none" w:sz="0" w:space="0" w:color="auto"/>
                <w:left w:val="none" w:sz="0" w:space="0" w:color="auto"/>
                <w:bottom w:val="none" w:sz="0" w:space="0" w:color="auto"/>
                <w:right w:val="none" w:sz="0" w:space="0" w:color="auto"/>
              </w:divBdr>
            </w:div>
          </w:divsChild>
        </w:div>
        <w:div w:id="1154225489">
          <w:marLeft w:val="0"/>
          <w:marRight w:val="0"/>
          <w:marTop w:val="0"/>
          <w:marBottom w:val="0"/>
          <w:divBdr>
            <w:top w:val="none" w:sz="0" w:space="0" w:color="auto"/>
            <w:left w:val="none" w:sz="0" w:space="0" w:color="auto"/>
            <w:bottom w:val="none" w:sz="0" w:space="0" w:color="auto"/>
            <w:right w:val="none" w:sz="0" w:space="0" w:color="auto"/>
          </w:divBdr>
          <w:divsChild>
            <w:div w:id="1357923918">
              <w:marLeft w:val="0"/>
              <w:marRight w:val="0"/>
              <w:marTop w:val="0"/>
              <w:marBottom w:val="0"/>
              <w:divBdr>
                <w:top w:val="none" w:sz="0" w:space="0" w:color="auto"/>
                <w:left w:val="none" w:sz="0" w:space="0" w:color="auto"/>
                <w:bottom w:val="none" w:sz="0" w:space="0" w:color="auto"/>
                <w:right w:val="none" w:sz="0" w:space="0" w:color="auto"/>
              </w:divBdr>
            </w:div>
          </w:divsChild>
        </w:div>
        <w:div w:id="1159881176">
          <w:marLeft w:val="0"/>
          <w:marRight w:val="0"/>
          <w:marTop w:val="0"/>
          <w:marBottom w:val="0"/>
          <w:divBdr>
            <w:top w:val="none" w:sz="0" w:space="0" w:color="auto"/>
            <w:left w:val="none" w:sz="0" w:space="0" w:color="auto"/>
            <w:bottom w:val="none" w:sz="0" w:space="0" w:color="auto"/>
            <w:right w:val="none" w:sz="0" w:space="0" w:color="auto"/>
          </w:divBdr>
          <w:divsChild>
            <w:div w:id="656567092">
              <w:marLeft w:val="0"/>
              <w:marRight w:val="0"/>
              <w:marTop w:val="0"/>
              <w:marBottom w:val="0"/>
              <w:divBdr>
                <w:top w:val="none" w:sz="0" w:space="0" w:color="auto"/>
                <w:left w:val="none" w:sz="0" w:space="0" w:color="auto"/>
                <w:bottom w:val="none" w:sz="0" w:space="0" w:color="auto"/>
                <w:right w:val="none" w:sz="0" w:space="0" w:color="auto"/>
              </w:divBdr>
            </w:div>
          </w:divsChild>
        </w:div>
        <w:div w:id="1168138564">
          <w:marLeft w:val="0"/>
          <w:marRight w:val="0"/>
          <w:marTop w:val="0"/>
          <w:marBottom w:val="0"/>
          <w:divBdr>
            <w:top w:val="none" w:sz="0" w:space="0" w:color="auto"/>
            <w:left w:val="none" w:sz="0" w:space="0" w:color="auto"/>
            <w:bottom w:val="none" w:sz="0" w:space="0" w:color="auto"/>
            <w:right w:val="none" w:sz="0" w:space="0" w:color="auto"/>
          </w:divBdr>
          <w:divsChild>
            <w:div w:id="1295988905">
              <w:marLeft w:val="0"/>
              <w:marRight w:val="0"/>
              <w:marTop w:val="0"/>
              <w:marBottom w:val="0"/>
              <w:divBdr>
                <w:top w:val="none" w:sz="0" w:space="0" w:color="auto"/>
                <w:left w:val="none" w:sz="0" w:space="0" w:color="auto"/>
                <w:bottom w:val="none" w:sz="0" w:space="0" w:color="auto"/>
                <w:right w:val="none" w:sz="0" w:space="0" w:color="auto"/>
              </w:divBdr>
            </w:div>
          </w:divsChild>
        </w:div>
        <w:div w:id="1330477309">
          <w:marLeft w:val="0"/>
          <w:marRight w:val="0"/>
          <w:marTop w:val="0"/>
          <w:marBottom w:val="0"/>
          <w:divBdr>
            <w:top w:val="none" w:sz="0" w:space="0" w:color="auto"/>
            <w:left w:val="none" w:sz="0" w:space="0" w:color="auto"/>
            <w:bottom w:val="none" w:sz="0" w:space="0" w:color="auto"/>
            <w:right w:val="none" w:sz="0" w:space="0" w:color="auto"/>
          </w:divBdr>
          <w:divsChild>
            <w:div w:id="1896814295">
              <w:marLeft w:val="0"/>
              <w:marRight w:val="0"/>
              <w:marTop w:val="0"/>
              <w:marBottom w:val="0"/>
              <w:divBdr>
                <w:top w:val="none" w:sz="0" w:space="0" w:color="auto"/>
                <w:left w:val="none" w:sz="0" w:space="0" w:color="auto"/>
                <w:bottom w:val="none" w:sz="0" w:space="0" w:color="auto"/>
                <w:right w:val="none" w:sz="0" w:space="0" w:color="auto"/>
              </w:divBdr>
            </w:div>
          </w:divsChild>
        </w:div>
        <w:div w:id="1375083067">
          <w:marLeft w:val="0"/>
          <w:marRight w:val="0"/>
          <w:marTop w:val="0"/>
          <w:marBottom w:val="0"/>
          <w:divBdr>
            <w:top w:val="none" w:sz="0" w:space="0" w:color="auto"/>
            <w:left w:val="none" w:sz="0" w:space="0" w:color="auto"/>
            <w:bottom w:val="none" w:sz="0" w:space="0" w:color="auto"/>
            <w:right w:val="none" w:sz="0" w:space="0" w:color="auto"/>
          </w:divBdr>
          <w:divsChild>
            <w:div w:id="251352018">
              <w:marLeft w:val="0"/>
              <w:marRight w:val="0"/>
              <w:marTop w:val="0"/>
              <w:marBottom w:val="0"/>
              <w:divBdr>
                <w:top w:val="none" w:sz="0" w:space="0" w:color="auto"/>
                <w:left w:val="none" w:sz="0" w:space="0" w:color="auto"/>
                <w:bottom w:val="none" w:sz="0" w:space="0" w:color="auto"/>
                <w:right w:val="none" w:sz="0" w:space="0" w:color="auto"/>
              </w:divBdr>
            </w:div>
          </w:divsChild>
        </w:div>
        <w:div w:id="1379475937">
          <w:marLeft w:val="0"/>
          <w:marRight w:val="0"/>
          <w:marTop w:val="0"/>
          <w:marBottom w:val="0"/>
          <w:divBdr>
            <w:top w:val="none" w:sz="0" w:space="0" w:color="auto"/>
            <w:left w:val="none" w:sz="0" w:space="0" w:color="auto"/>
            <w:bottom w:val="none" w:sz="0" w:space="0" w:color="auto"/>
            <w:right w:val="none" w:sz="0" w:space="0" w:color="auto"/>
          </w:divBdr>
          <w:divsChild>
            <w:div w:id="1053308006">
              <w:marLeft w:val="0"/>
              <w:marRight w:val="0"/>
              <w:marTop w:val="0"/>
              <w:marBottom w:val="0"/>
              <w:divBdr>
                <w:top w:val="none" w:sz="0" w:space="0" w:color="auto"/>
                <w:left w:val="none" w:sz="0" w:space="0" w:color="auto"/>
                <w:bottom w:val="none" w:sz="0" w:space="0" w:color="auto"/>
                <w:right w:val="none" w:sz="0" w:space="0" w:color="auto"/>
              </w:divBdr>
            </w:div>
          </w:divsChild>
        </w:div>
        <w:div w:id="1410276628">
          <w:marLeft w:val="0"/>
          <w:marRight w:val="0"/>
          <w:marTop w:val="0"/>
          <w:marBottom w:val="0"/>
          <w:divBdr>
            <w:top w:val="none" w:sz="0" w:space="0" w:color="auto"/>
            <w:left w:val="none" w:sz="0" w:space="0" w:color="auto"/>
            <w:bottom w:val="none" w:sz="0" w:space="0" w:color="auto"/>
            <w:right w:val="none" w:sz="0" w:space="0" w:color="auto"/>
          </w:divBdr>
          <w:divsChild>
            <w:div w:id="1294017417">
              <w:marLeft w:val="0"/>
              <w:marRight w:val="0"/>
              <w:marTop w:val="0"/>
              <w:marBottom w:val="0"/>
              <w:divBdr>
                <w:top w:val="none" w:sz="0" w:space="0" w:color="auto"/>
                <w:left w:val="none" w:sz="0" w:space="0" w:color="auto"/>
                <w:bottom w:val="none" w:sz="0" w:space="0" w:color="auto"/>
                <w:right w:val="none" w:sz="0" w:space="0" w:color="auto"/>
              </w:divBdr>
            </w:div>
          </w:divsChild>
        </w:div>
        <w:div w:id="1420640629">
          <w:marLeft w:val="0"/>
          <w:marRight w:val="0"/>
          <w:marTop w:val="0"/>
          <w:marBottom w:val="0"/>
          <w:divBdr>
            <w:top w:val="none" w:sz="0" w:space="0" w:color="auto"/>
            <w:left w:val="none" w:sz="0" w:space="0" w:color="auto"/>
            <w:bottom w:val="none" w:sz="0" w:space="0" w:color="auto"/>
            <w:right w:val="none" w:sz="0" w:space="0" w:color="auto"/>
          </w:divBdr>
          <w:divsChild>
            <w:div w:id="1141919548">
              <w:marLeft w:val="0"/>
              <w:marRight w:val="0"/>
              <w:marTop w:val="0"/>
              <w:marBottom w:val="0"/>
              <w:divBdr>
                <w:top w:val="none" w:sz="0" w:space="0" w:color="auto"/>
                <w:left w:val="none" w:sz="0" w:space="0" w:color="auto"/>
                <w:bottom w:val="none" w:sz="0" w:space="0" w:color="auto"/>
                <w:right w:val="none" w:sz="0" w:space="0" w:color="auto"/>
              </w:divBdr>
            </w:div>
          </w:divsChild>
        </w:div>
        <w:div w:id="1460492029">
          <w:marLeft w:val="0"/>
          <w:marRight w:val="0"/>
          <w:marTop w:val="0"/>
          <w:marBottom w:val="0"/>
          <w:divBdr>
            <w:top w:val="none" w:sz="0" w:space="0" w:color="auto"/>
            <w:left w:val="none" w:sz="0" w:space="0" w:color="auto"/>
            <w:bottom w:val="none" w:sz="0" w:space="0" w:color="auto"/>
            <w:right w:val="none" w:sz="0" w:space="0" w:color="auto"/>
          </w:divBdr>
          <w:divsChild>
            <w:div w:id="1631395020">
              <w:marLeft w:val="0"/>
              <w:marRight w:val="0"/>
              <w:marTop w:val="0"/>
              <w:marBottom w:val="0"/>
              <w:divBdr>
                <w:top w:val="none" w:sz="0" w:space="0" w:color="auto"/>
                <w:left w:val="none" w:sz="0" w:space="0" w:color="auto"/>
                <w:bottom w:val="none" w:sz="0" w:space="0" w:color="auto"/>
                <w:right w:val="none" w:sz="0" w:space="0" w:color="auto"/>
              </w:divBdr>
            </w:div>
          </w:divsChild>
        </w:div>
        <w:div w:id="1502626534">
          <w:marLeft w:val="0"/>
          <w:marRight w:val="0"/>
          <w:marTop w:val="0"/>
          <w:marBottom w:val="0"/>
          <w:divBdr>
            <w:top w:val="none" w:sz="0" w:space="0" w:color="auto"/>
            <w:left w:val="none" w:sz="0" w:space="0" w:color="auto"/>
            <w:bottom w:val="none" w:sz="0" w:space="0" w:color="auto"/>
            <w:right w:val="none" w:sz="0" w:space="0" w:color="auto"/>
          </w:divBdr>
          <w:divsChild>
            <w:div w:id="1437674802">
              <w:marLeft w:val="0"/>
              <w:marRight w:val="0"/>
              <w:marTop w:val="0"/>
              <w:marBottom w:val="0"/>
              <w:divBdr>
                <w:top w:val="none" w:sz="0" w:space="0" w:color="auto"/>
                <w:left w:val="none" w:sz="0" w:space="0" w:color="auto"/>
                <w:bottom w:val="none" w:sz="0" w:space="0" w:color="auto"/>
                <w:right w:val="none" w:sz="0" w:space="0" w:color="auto"/>
              </w:divBdr>
            </w:div>
          </w:divsChild>
        </w:div>
        <w:div w:id="1535147014">
          <w:marLeft w:val="0"/>
          <w:marRight w:val="0"/>
          <w:marTop w:val="0"/>
          <w:marBottom w:val="0"/>
          <w:divBdr>
            <w:top w:val="none" w:sz="0" w:space="0" w:color="auto"/>
            <w:left w:val="none" w:sz="0" w:space="0" w:color="auto"/>
            <w:bottom w:val="none" w:sz="0" w:space="0" w:color="auto"/>
            <w:right w:val="none" w:sz="0" w:space="0" w:color="auto"/>
          </w:divBdr>
          <w:divsChild>
            <w:div w:id="545996440">
              <w:marLeft w:val="0"/>
              <w:marRight w:val="0"/>
              <w:marTop w:val="0"/>
              <w:marBottom w:val="0"/>
              <w:divBdr>
                <w:top w:val="none" w:sz="0" w:space="0" w:color="auto"/>
                <w:left w:val="none" w:sz="0" w:space="0" w:color="auto"/>
                <w:bottom w:val="none" w:sz="0" w:space="0" w:color="auto"/>
                <w:right w:val="none" w:sz="0" w:space="0" w:color="auto"/>
              </w:divBdr>
            </w:div>
          </w:divsChild>
        </w:div>
        <w:div w:id="1604344008">
          <w:marLeft w:val="0"/>
          <w:marRight w:val="0"/>
          <w:marTop w:val="0"/>
          <w:marBottom w:val="0"/>
          <w:divBdr>
            <w:top w:val="none" w:sz="0" w:space="0" w:color="auto"/>
            <w:left w:val="none" w:sz="0" w:space="0" w:color="auto"/>
            <w:bottom w:val="none" w:sz="0" w:space="0" w:color="auto"/>
            <w:right w:val="none" w:sz="0" w:space="0" w:color="auto"/>
          </w:divBdr>
          <w:divsChild>
            <w:div w:id="1782609003">
              <w:marLeft w:val="0"/>
              <w:marRight w:val="0"/>
              <w:marTop w:val="0"/>
              <w:marBottom w:val="0"/>
              <w:divBdr>
                <w:top w:val="none" w:sz="0" w:space="0" w:color="auto"/>
                <w:left w:val="none" w:sz="0" w:space="0" w:color="auto"/>
                <w:bottom w:val="none" w:sz="0" w:space="0" w:color="auto"/>
                <w:right w:val="none" w:sz="0" w:space="0" w:color="auto"/>
              </w:divBdr>
            </w:div>
          </w:divsChild>
        </w:div>
        <w:div w:id="1684438118">
          <w:marLeft w:val="0"/>
          <w:marRight w:val="0"/>
          <w:marTop w:val="0"/>
          <w:marBottom w:val="0"/>
          <w:divBdr>
            <w:top w:val="none" w:sz="0" w:space="0" w:color="auto"/>
            <w:left w:val="none" w:sz="0" w:space="0" w:color="auto"/>
            <w:bottom w:val="none" w:sz="0" w:space="0" w:color="auto"/>
            <w:right w:val="none" w:sz="0" w:space="0" w:color="auto"/>
          </w:divBdr>
          <w:divsChild>
            <w:div w:id="2029285810">
              <w:marLeft w:val="0"/>
              <w:marRight w:val="0"/>
              <w:marTop w:val="0"/>
              <w:marBottom w:val="0"/>
              <w:divBdr>
                <w:top w:val="none" w:sz="0" w:space="0" w:color="auto"/>
                <w:left w:val="none" w:sz="0" w:space="0" w:color="auto"/>
                <w:bottom w:val="none" w:sz="0" w:space="0" w:color="auto"/>
                <w:right w:val="none" w:sz="0" w:space="0" w:color="auto"/>
              </w:divBdr>
            </w:div>
          </w:divsChild>
        </w:div>
        <w:div w:id="1703290021">
          <w:marLeft w:val="0"/>
          <w:marRight w:val="0"/>
          <w:marTop w:val="0"/>
          <w:marBottom w:val="0"/>
          <w:divBdr>
            <w:top w:val="none" w:sz="0" w:space="0" w:color="auto"/>
            <w:left w:val="none" w:sz="0" w:space="0" w:color="auto"/>
            <w:bottom w:val="none" w:sz="0" w:space="0" w:color="auto"/>
            <w:right w:val="none" w:sz="0" w:space="0" w:color="auto"/>
          </w:divBdr>
          <w:divsChild>
            <w:div w:id="670450378">
              <w:marLeft w:val="0"/>
              <w:marRight w:val="0"/>
              <w:marTop w:val="0"/>
              <w:marBottom w:val="0"/>
              <w:divBdr>
                <w:top w:val="none" w:sz="0" w:space="0" w:color="auto"/>
                <w:left w:val="none" w:sz="0" w:space="0" w:color="auto"/>
                <w:bottom w:val="none" w:sz="0" w:space="0" w:color="auto"/>
                <w:right w:val="none" w:sz="0" w:space="0" w:color="auto"/>
              </w:divBdr>
            </w:div>
          </w:divsChild>
        </w:div>
        <w:div w:id="1788546436">
          <w:marLeft w:val="0"/>
          <w:marRight w:val="0"/>
          <w:marTop w:val="0"/>
          <w:marBottom w:val="0"/>
          <w:divBdr>
            <w:top w:val="none" w:sz="0" w:space="0" w:color="auto"/>
            <w:left w:val="none" w:sz="0" w:space="0" w:color="auto"/>
            <w:bottom w:val="none" w:sz="0" w:space="0" w:color="auto"/>
            <w:right w:val="none" w:sz="0" w:space="0" w:color="auto"/>
          </w:divBdr>
          <w:divsChild>
            <w:div w:id="313031778">
              <w:marLeft w:val="0"/>
              <w:marRight w:val="0"/>
              <w:marTop w:val="0"/>
              <w:marBottom w:val="0"/>
              <w:divBdr>
                <w:top w:val="none" w:sz="0" w:space="0" w:color="auto"/>
                <w:left w:val="none" w:sz="0" w:space="0" w:color="auto"/>
                <w:bottom w:val="none" w:sz="0" w:space="0" w:color="auto"/>
                <w:right w:val="none" w:sz="0" w:space="0" w:color="auto"/>
              </w:divBdr>
            </w:div>
          </w:divsChild>
        </w:div>
        <w:div w:id="1824810647">
          <w:marLeft w:val="0"/>
          <w:marRight w:val="0"/>
          <w:marTop w:val="0"/>
          <w:marBottom w:val="0"/>
          <w:divBdr>
            <w:top w:val="none" w:sz="0" w:space="0" w:color="auto"/>
            <w:left w:val="none" w:sz="0" w:space="0" w:color="auto"/>
            <w:bottom w:val="none" w:sz="0" w:space="0" w:color="auto"/>
            <w:right w:val="none" w:sz="0" w:space="0" w:color="auto"/>
          </w:divBdr>
          <w:divsChild>
            <w:div w:id="845900880">
              <w:marLeft w:val="0"/>
              <w:marRight w:val="0"/>
              <w:marTop w:val="0"/>
              <w:marBottom w:val="0"/>
              <w:divBdr>
                <w:top w:val="none" w:sz="0" w:space="0" w:color="auto"/>
                <w:left w:val="none" w:sz="0" w:space="0" w:color="auto"/>
                <w:bottom w:val="none" w:sz="0" w:space="0" w:color="auto"/>
                <w:right w:val="none" w:sz="0" w:space="0" w:color="auto"/>
              </w:divBdr>
            </w:div>
          </w:divsChild>
        </w:div>
        <w:div w:id="1826436130">
          <w:marLeft w:val="0"/>
          <w:marRight w:val="0"/>
          <w:marTop w:val="0"/>
          <w:marBottom w:val="0"/>
          <w:divBdr>
            <w:top w:val="none" w:sz="0" w:space="0" w:color="auto"/>
            <w:left w:val="none" w:sz="0" w:space="0" w:color="auto"/>
            <w:bottom w:val="none" w:sz="0" w:space="0" w:color="auto"/>
            <w:right w:val="none" w:sz="0" w:space="0" w:color="auto"/>
          </w:divBdr>
          <w:divsChild>
            <w:div w:id="1112675956">
              <w:marLeft w:val="0"/>
              <w:marRight w:val="0"/>
              <w:marTop w:val="0"/>
              <w:marBottom w:val="0"/>
              <w:divBdr>
                <w:top w:val="none" w:sz="0" w:space="0" w:color="auto"/>
                <w:left w:val="none" w:sz="0" w:space="0" w:color="auto"/>
                <w:bottom w:val="none" w:sz="0" w:space="0" w:color="auto"/>
                <w:right w:val="none" w:sz="0" w:space="0" w:color="auto"/>
              </w:divBdr>
            </w:div>
          </w:divsChild>
        </w:div>
        <w:div w:id="1871912196">
          <w:marLeft w:val="0"/>
          <w:marRight w:val="0"/>
          <w:marTop w:val="0"/>
          <w:marBottom w:val="0"/>
          <w:divBdr>
            <w:top w:val="none" w:sz="0" w:space="0" w:color="auto"/>
            <w:left w:val="none" w:sz="0" w:space="0" w:color="auto"/>
            <w:bottom w:val="none" w:sz="0" w:space="0" w:color="auto"/>
            <w:right w:val="none" w:sz="0" w:space="0" w:color="auto"/>
          </w:divBdr>
          <w:divsChild>
            <w:div w:id="208152518">
              <w:marLeft w:val="0"/>
              <w:marRight w:val="0"/>
              <w:marTop w:val="0"/>
              <w:marBottom w:val="0"/>
              <w:divBdr>
                <w:top w:val="none" w:sz="0" w:space="0" w:color="auto"/>
                <w:left w:val="none" w:sz="0" w:space="0" w:color="auto"/>
                <w:bottom w:val="none" w:sz="0" w:space="0" w:color="auto"/>
                <w:right w:val="none" w:sz="0" w:space="0" w:color="auto"/>
              </w:divBdr>
            </w:div>
          </w:divsChild>
        </w:div>
        <w:div w:id="1980182093">
          <w:marLeft w:val="0"/>
          <w:marRight w:val="0"/>
          <w:marTop w:val="0"/>
          <w:marBottom w:val="0"/>
          <w:divBdr>
            <w:top w:val="none" w:sz="0" w:space="0" w:color="auto"/>
            <w:left w:val="none" w:sz="0" w:space="0" w:color="auto"/>
            <w:bottom w:val="none" w:sz="0" w:space="0" w:color="auto"/>
            <w:right w:val="none" w:sz="0" w:space="0" w:color="auto"/>
          </w:divBdr>
          <w:divsChild>
            <w:div w:id="416945040">
              <w:marLeft w:val="0"/>
              <w:marRight w:val="0"/>
              <w:marTop w:val="0"/>
              <w:marBottom w:val="0"/>
              <w:divBdr>
                <w:top w:val="none" w:sz="0" w:space="0" w:color="auto"/>
                <w:left w:val="none" w:sz="0" w:space="0" w:color="auto"/>
                <w:bottom w:val="none" w:sz="0" w:space="0" w:color="auto"/>
                <w:right w:val="none" w:sz="0" w:space="0" w:color="auto"/>
              </w:divBdr>
            </w:div>
          </w:divsChild>
        </w:div>
        <w:div w:id="2046514679">
          <w:marLeft w:val="0"/>
          <w:marRight w:val="0"/>
          <w:marTop w:val="0"/>
          <w:marBottom w:val="0"/>
          <w:divBdr>
            <w:top w:val="none" w:sz="0" w:space="0" w:color="auto"/>
            <w:left w:val="none" w:sz="0" w:space="0" w:color="auto"/>
            <w:bottom w:val="none" w:sz="0" w:space="0" w:color="auto"/>
            <w:right w:val="none" w:sz="0" w:space="0" w:color="auto"/>
          </w:divBdr>
          <w:divsChild>
            <w:div w:id="764883411">
              <w:marLeft w:val="0"/>
              <w:marRight w:val="0"/>
              <w:marTop w:val="0"/>
              <w:marBottom w:val="0"/>
              <w:divBdr>
                <w:top w:val="none" w:sz="0" w:space="0" w:color="auto"/>
                <w:left w:val="none" w:sz="0" w:space="0" w:color="auto"/>
                <w:bottom w:val="none" w:sz="0" w:space="0" w:color="auto"/>
                <w:right w:val="none" w:sz="0" w:space="0" w:color="auto"/>
              </w:divBdr>
            </w:div>
          </w:divsChild>
        </w:div>
        <w:div w:id="2048721177">
          <w:marLeft w:val="0"/>
          <w:marRight w:val="0"/>
          <w:marTop w:val="0"/>
          <w:marBottom w:val="0"/>
          <w:divBdr>
            <w:top w:val="none" w:sz="0" w:space="0" w:color="auto"/>
            <w:left w:val="none" w:sz="0" w:space="0" w:color="auto"/>
            <w:bottom w:val="none" w:sz="0" w:space="0" w:color="auto"/>
            <w:right w:val="none" w:sz="0" w:space="0" w:color="auto"/>
          </w:divBdr>
          <w:divsChild>
            <w:div w:id="497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9524">
      <w:bodyDiv w:val="1"/>
      <w:marLeft w:val="0"/>
      <w:marRight w:val="0"/>
      <w:marTop w:val="0"/>
      <w:marBottom w:val="0"/>
      <w:divBdr>
        <w:top w:val="none" w:sz="0" w:space="0" w:color="auto"/>
        <w:left w:val="none" w:sz="0" w:space="0" w:color="auto"/>
        <w:bottom w:val="none" w:sz="0" w:space="0" w:color="auto"/>
        <w:right w:val="none" w:sz="0" w:space="0" w:color="auto"/>
      </w:divBdr>
      <w:divsChild>
        <w:div w:id="1980700">
          <w:marLeft w:val="0"/>
          <w:marRight w:val="0"/>
          <w:marTop w:val="0"/>
          <w:marBottom w:val="0"/>
          <w:divBdr>
            <w:top w:val="none" w:sz="0" w:space="0" w:color="auto"/>
            <w:left w:val="none" w:sz="0" w:space="0" w:color="auto"/>
            <w:bottom w:val="none" w:sz="0" w:space="0" w:color="auto"/>
            <w:right w:val="none" w:sz="0" w:space="0" w:color="auto"/>
          </w:divBdr>
          <w:divsChild>
            <w:div w:id="1811946711">
              <w:marLeft w:val="0"/>
              <w:marRight w:val="0"/>
              <w:marTop w:val="0"/>
              <w:marBottom w:val="0"/>
              <w:divBdr>
                <w:top w:val="none" w:sz="0" w:space="0" w:color="auto"/>
                <w:left w:val="none" w:sz="0" w:space="0" w:color="auto"/>
                <w:bottom w:val="none" w:sz="0" w:space="0" w:color="auto"/>
                <w:right w:val="none" w:sz="0" w:space="0" w:color="auto"/>
              </w:divBdr>
            </w:div>
          </w:divsChild>
        </w:div>
        <w:div w:id="12923318">
          <w:marLeft w:val="0"/>
          <w:marRight w:val="0"/>
          <w:marTop w:val="0"/>
          <w:marBottom w:val="0"/>
          <w:divBdr>
            <w:top w:val="none" w:sz="0" w:space="0" w:color="auto"/>
            <w:left w:val="none" w:sz="0" w:space="0" w:color="auto"/>
            <w:bottom w:val="none" w:sz="0" w:space="0" w:color="auto"/>
            <w:right w:val="none" w:sz="0" w:space="0" w:color="auto"/>
          </w:divBdr>
          <w:divsChild>
            <w:div w:id="2137479584">
              <w:marLeft w:val="0"/>
              <w:marRight w:val="0"/>
              <w:marTop w:val="0"/>
              <w:marBottom w:val="0"/>
              <w:divBdr>
                <w:top w:val="none" w:sz="0" w:space="0" w:color="auto"/>
                <w:left w:val="none" w:sz="0" w:space="0" w:color="auto"/>
                <w:bottom w:val="none" w:sz="0" w:space="0" w:color="auto"/>
                <w:right w:val="none" w:sz="0" w:space="0" w:color="auto"/>
              </w:divBdr>
            </w:div>
          </w:divsChild>
        </w:div>
        <w:div w:id="60062091">
          <w:marLeft w:val="0"/>
          <w:marRight w:val="0"/>
          <w:marTop w:val="0"/>
          <w:marBottom w:val="0"/>
          <w:divBdr>
            <w:top w:val="none" w:sz="0" w:space="0" w:color="auto"/>
            <w:left w:val="none" w:sz="0" w:space="0" w:color="auto"/>
            <w:bottom w:val="none" w:sz="0" w:space="0" w:color="auto"/>
            <w:right w:val="none" w:sz="0" w:space="0" w:color="auto"/>
          </w:divBdr>
          <w:divsChild>
            <w:div w:id="1228495712">
              <w:marLeft w:val="0"/>
              <w:marRight w:val="0"/>
              <w:marTop w:val="0"/>
              <w:marBottom w:val="0"/>
              <w:divBdr>
                <w:top w:val="none" w:sz="0" w:space="0" w:color="auto"/>
                <w:left w:val="none" w:sz="0" w:space="0" w:color="auto"/>
                <w:bottom w:val="none" w:sz="0" w:space="0" w:color="auto"/>
                <w:right w:val="none" w:sz="0" w:space="0" w:color="auto"/>
              </w:divBdr>
            </w:div>
          </w:divsChild>
        </w:div>
        <w:div w:id="60293441">
          <w:marLeft w:val="0"/>
          <w:marRight w:val="0"/>
          <w:marTop w:val="0"/>
          <w:marBottom w:val="0"/>
          <w:divBdr>
            <w:top w:val="none" w:sz="0" w:space="0" w:color="auto"/>
            <w:left w:val="none" w:sz="0" w:space="0" w:color="auto"/>
            <w:bottom w:val="none" w:sz="0" w:space="0" w:color="auto"/>
            <w:right w:val="none" w:sz="0" w:space="0" w:color="auto"/>
          </w:divBdr>
          <w:divsChild>
            <w:div w:id="1275139457">
              <w:marLeft w:val="0"/>
              <w:marRight w:val="0"/>
              <w:marTop w:val="0"/>
              <w:marBottom w:val="0"/>
              <w:divBdr>
                <w:top w:val="none" w:sz="0" w:space="0" w:color="auto"/>
                <w:left w:val="none" w:sz="0" w:space="0" w:color="auto"/>
                <w:bottom w:val="none" w:sz="0" w:space="0" w:color="auto"/>
                <w:right w:val="none" w:sz="0" w:space="0" w:color="auto"/>
              </w:divBdr>
            </w:div>
          </w:divsChild>
        </w:div>
        <w:div w:id="104472884">
          <w:marLeft w:val="0"/>
          <w:marRight w:val="0"/>
          <w:marTop w:val="0"/>
          <w:marBottom w:val="0"/>
          <w:divBdr>
            <w:top w:val="none" w:sz="0" w:space="0" w:color="auto"/>
            <w:left w:val="none" w:sz="0" w:space="0" w:color="auto"/>
            <w:bottom w:val="none" w:sz="0" w:space="0" w:color="auto"/>
            <w:right w:val="none" w:sz="0" w:space="0" w:color="auto"/>
          </w:divBdr>
          <w:divsChild>
            <w:div w:id="889993560">
              <w:marLeft w:val="0"/>
              <w:marRight w:val="0"/>
              <w:marTop w:val="0"/>
              <w:marBottom w:val="0"/>
              <w:divBdr>
                <w:top w:val="none" w:sz="0" w:space="0" w:color="auto"/>
                <w:left w:val="none" w:sz="0" w:space="0" w:color="auto"/>
                <w:bottom w:val="none" w:sz="0" w:space="0" w:color="auto"/>
                <w:right w:val="none" w:sz="0" w:space="0" w:color="auto"/>
              </w:divBdr>
            </w:div>
          </w:divsChild>
        </w:div>
        <w:div w:id="151527943">
          <w:marLeft w:val="0"/>
          <w:marRight w:val="0"/>
          <w:marTop w:val="0"/>
          <w:marBottom w:val="0"/>
          <w:divBdr>
            <w:top w:val="none" w:sz="0" w:space="0" w:color="auto"/>
            <w:left w:val="none" w:sz="0" w:space="0" w:color="auto"/>
            <w:bottom w:val="none" w:sz="0" w:space="0" w:color="auto"/>
            <w:right w:val="none" w:sz="0" w:space="0" w:color="auto"/>
          </w:divBdr>
          <w:divsChild>
            <w:div w:id="2011372089">
              <w:marLeft w:val="0"/>
              <w:marRight w:val="0"/>
              <w:marTop w:val="0"/>
              <w:marBottom w:val="0"/>
              <w:divBdr>
                <w:top w:val="none" w:sz="0" w:space="0" w:color="auto"/>
                <w:left w:val="none" w:sz="0" w:space="0" w:color="auto"/>
                <w:bottom w:val="none" w:sz="0" w:space="0" w:color="auto"/>
                <w:right w:val="none" w:sz="0" w:space="0" w:color="auto"/>
              </w:divBdr>
            </w:div>
          </w:divsChild>
        </w:div>
        <w:div w:id="268439031">
          <w:marLeft w:val="0"/>
          <w:marRight w:val="0"/>
          <w:marTop w:val="0"/>
          <w:marBottom w:val="0"/>
          <w:divBdr>
            <w:top w:val="none" w:sz="0" w:space="0" w:color="auto"/>
            <w:left w:val="none" w:sz="0" w:space="0" w:color="auto"/>
            <w:bottom w:val="none" w:sz="0" w:space="0" w:color="auto"/>
            <w:right w:val="none" w:sz="0" w:space="0" w:color="auto"/>
          </w:divBdr>
          <w:divsChild>
            <w:div w:id="35588657">
              <w:marLeft w:val="0"/>
              <w:marRight w:val="0"/>
              <w:marTop w:val="0"/>
              <w:marBottom w:val="0"/>
              <w:divBdr>
                <w:top w:val="none" w:sz="0" w:space="0" w:color="auto"/>
                <w:left w:val="none" w:sz="0" w:space="0" w:color="auto"/>
                <w:bottom w:val="none" w:sz="0" w:space="0" w:color="auto"/>
                <w:right w:val="none" w:sz="0" w:space="0" w:color="auto"/>
              </w:divBdr>
            </w:div>
          </w:divsChild>
        </w:div>
        <w:div w:id="323778295">
          <w:marLeft w:val="0"/>
          <w:marRight w:val="0"/>
          <w:marTop w:val="0"/>
          <w:marBottom w:val="0"/>
          <w:divBdr>
            <w:top w:val="none" w:sz="0" w:space="0" w:color="auto"/>
            <w:left w:val="none" w:sz="0" w:space="0" w:color="auto"/>
            <w:bottom w:val="none" w:sz="0" w:space="0" w:color="auto"/>
            <w:right w:val="none" w:sz="0" w:space="0" w:color="auto"/>
          </w:divBdr>
          <w:divsChild>
            <w:div w:id="663691">
              <w:marLeft w:val="0"/>
              <w:marRight w:val="0"/>
              <w:marTop w:val="0"/>
              <w:marBottom w:val="0"/>
              <w:divBdr>
                <w:top w:val="none" w:sz="0" w:space="0" w:color="auto"/>
                <w:left w:val="none" w:sz="0" w:space="0" w:color="auto"/>
                <w:bottom w:val="none" w:sz="0" w:space="0" w:color="auto"/>
                <w:right w:val="none" w:sz="0" w:space="0" w:color="auto"/>
              </w:divBdr>
            </w:div>
          </w:divsChild>
        </w:div>
        <w:div w:id="439103783">
          <w:marLeft w:val="0"/>
          <w:marRight w:val="0"/>
          <w:marTop w:val="0"/>
          <w:marBottom w:val="0"/>
          <w:divBdr>
            <w:top w:val="none" w:sz="0" w:space="0" w:color="auto"/>
            <w:left w:val="none" w:sz="0" w:space="0" w:color="auto"/>
            <w:bottom w:val="none" w:sz="0" w:space="0" w:color="auto"/>
            <w:right w:val="none" w:sz="0" w:space="0" w:color="auto"/>
          </w:divBdr>
          <w:divsChild>
            <w:div w:id="304507325">
              <w:marLeft w:val="0"/>
              <w:marRight w:val="0"/>
              <w:marTop w:val="0"/>
              <w:marBottom w:val="0"/>
              <w:divBdr>
                <w:top w:val="none" w:sz="0" w:space="0" w:color="auto"/>
                <w:left w:val="none" w:sz="0" w:space="0" w:color="auto"/>
                <w:bottom w:val="none" w:sz="0" w:space="0" w:color="auto"/>
                <w:right w:val="none" w:sz="0" w:space="0" w:color="auto"/>
              </w:divBdr>
            </w:div>
          </w:divsChild>
        </w:div>
        <w:div w:id="469443629">
          <w:marLeft w:val="0"/>
          <w:marRight w:val="0"/>
          <w:marTop w:val="0"/>
          <w:marBottom w:val="0"/>
          <w:divBdr>
            <w:top w:val="none" w:sz="0" w:space="0" w:color="auto"/>
            <w:left w:val="none" w:sz="0" w:space="0" w:color="auto"/>
            <w:bottom w:val="none" w:sz="0" w:space="0" w:color="auto"/>
            <w:right w:val="none" w:sz="0" w:space="0" w:color="auto"/>
          </w:divBdr>
          <w:divsChild>
            <w:div w:id="1049954926">
              <w:marLeft w:val="0"/>
              <w:marRight w:val="0"/>
              <w:marTop w:val="0"/>
              <w:marBottom w:val="0"/>
              <w:divBdr>
                <w:top w:val="none" w:sz="0" w:space="0" w:color="auto"/>
                <w:left w:val="none" w:sz="0" w:space="0" w:color="auto"/>
                <w:bottom w:val="none" w:sz="0" w:space="0" w:color="auto"/>
                <w:right w:val="none" w:sz="0" w:space="0" w:color="auto"/>
              </w:divBdr>
            </w:div>
          </w:divsChild>
        </w:div>
        <w:div w:id="509295275">
          <w:marLeft w:val="0"/>
          <w:marRight w:val="0"/>
          <w:marTop w:val="0"/>
          <w:marBottom w:val="0"/>
          <w:divBdr>
            <w:top w:val="none" w:sz="0" w:space="0" w:color="auto"/>
            <w:left w:val="none" w:sz="0" w:space="0" w:color="auto"/>
            <w:bottom w:val="none" w:sz="0" w:space="0" w:color="auto"/>
            <w:right w:val="none" w:sz="0" w:space="0" w:color="auto"/>
          </w:divBdr>
          <w:divsChild>
            <w:div w:id="311909396">
              <w:marLeft w:val="0"/>
              <w:marRight w:val="0"/>
              <w:marTop w:val="0"/>
              <w:marBottom w:val="0"/>
              <w:divBdr>
                <w:top w:val="none" w:sz="0" w:space="0" w:color="auto"/>
                <w:left w:val="none" w:sz="0" w:space="0" w:color="auto"/>
                <w:bottom w:val="none" w:sz="0" w:space="0" w:color="auto"/>
                <w:right w:val="none" w:sz="0" w:space="0" w:color="auto"/>
              </w:divBdr>
            </w:div>
          </w:divsChild>
        </w:div>
        <w:div w:id="562567230">
          <w:marLeft w:val="0"/>
          <w:marRight w:val="0"/>
          <w:marTop w:val="0"/>
          <w:marBottom w:val="0"/>
          <w:divBdr>
            <w:top w:val="none" w:sz="0" w:space="0" w:color="auto"/>
            <w:left w:val="none" w:sz="0" w:space="0" w:color="auto"/>
            <w:bottom w:val="none" w:sz="0" w:space="0" w:color="auto"/>
            <w:right w:val="none" w:sz="0" w:space="0" w:color="auto"/>
          </w:divBdr>
          <w:divsChild>
            <w:div w:id="1123771623">
              <w:marLeft w:val="0"/>
              <w:marRight w:val="0"/>
              <w:marTop w:val="0"/>
              <w:marBottom w:val="0"/>
              <w:divBdr>
                <w:top w:val="none" w:sz="0" w:space="0" w:color="auto"/>
                <w:left w:val="none" w:sz="0" w:space="0" w:color="auto"/>
                <w:bottom w:val="none" w:sz="0" w:space="0" w:color="auto"/>
                <w:right w:val="none" w:sz="0" w:space="0" w:color="auto"/>
              </w:divBdr>
            </w:div>
          </w:divsChild>
        </w:div>
        <w:div w:id="664284627">
          <w:marLeft w:val="0"/>
          <w:marRight w:val="0"/>
          <w:marTop w:val="0"/>
          <w:marBottom w:val="0"/>
          <w:divBdr>
            <w:top w:val="none" w:sz="0" w:space="0" w:color="auto"/>
            <w:left w:val="none" w:sz="0" w:space="0" w:color="auto"/>
            <w:bottom w:val="none" w:sz="0" w:space="0" w:color="auto"/>
            <w:right w:val="none" w:sz="0" w:space="0" w:color="auto"/>
          </w:divBdr>
          <w:divsChild>
            <w:div w:id="1290866036">
              <w:marLeft w:val="0"/>
              <w:marRight w:val="0"/>
              <w:marTop w:val="0"/>
              <w:marBottom w:val="0"/>
              <w:divBdr>
                <w:top w:val="none" w:sz="0" w:space="0" w:color="auto"/>
                <w:left w:val="none" w:sz="0" w:space="0" w:color="auto"/>
                <w:bottom w:val="none" w:sz="0" w:space="0" w:color="auto"/>
                <w:right w:val="none" w:sz="0" w:space="0" w:color="auto"/>
              </w:divBdr>
            </w:div>
          </w:divsChild>
        </w:div>
        <w:div w:id="756482122">
          <w:marLeft w:val="0"/>
          <w:marRight w:val="0"/>
          <w:marTop w:val="0"/>
          <w:marBottom w:val="0"/>
          <w:divBdr>
            <w:top w:val="none" w:sz="0" w:space="0" w:color="auto"/>
            <w:left w:val="none" w:sz="0" w:space="0" w:color="auto"/>
            <w:bottom w:val="none" w:sz="0" w:space="0" w:color="auto"/>
            <w:right w:val="none" w:sz="0" w:space="0" w:color="auto"/>
          </w:divBdr>
          <w:divsChild>
            <w:div w:id="1138768311">
              <w:marLeft w:val="0"/>
              <w:marRight w:val="0"/>
              <w:marTop w:val="0"/>
              <w:marBottom w:val="0"/>
              <w:divBdr>
                <w:top w:val="none" w:sz="0" w:space="0" w:color="auto"/>
                <w:left w:val="none" w:sz="0" w:space="0" w:color="auto"/>
                <w:bottom w:val="none" w:sz="0" w:space="0" w:color="auto"/>
                <w:right w:val="none" w:sz="0" w:space="0" w:color="auto"/>
              </w:divBdr>
            </w:div>
          </w:divsChild>
        </w:div>
        <w:div w:id="800269081">
          <w:marLeft w:val="0"/>
          <w:marRight w:val="0"/>
          <w:marTop w:val="0"/>
          <w:marBottom w:val="0"/>
          <w:divBdr>
            <w:top w:val="none" w:sz="0" w:space="0" w:color="auto"/>
            <w:left w:val="none" w:sz="0" w:space="0" w:color="auto"/>
            <w:bottom w:val="none" w:sz="0" w:space="0" w:color="auto"/>
            <w:right w:val="none" w:sz="0" w:space="0" w:color="auto"/>
          </w:divBdr>
          <w:divsChild>
            <w:div w:id="2008627198">
              <w:marLeft w:val="0"/>
              <w:marRight w:val="0"/>
              <w:marTop w:val="0"/>
              <w:marBottom w:val="0"/>
              <w:divBdr>
                <w:top w:val="none" w:sz="0" w:space="0" w:color="auto"/>
                <w:left w:val="none" w:sz="0" w:space="0" w:color="auto"/>
                <w:bottom w:val="none" w:sz="0" w:space="0" w:color="auto"/>
                <w:right w:val="none" w:sz="0" w:space="0" w:color="auto"/>
              </w:divBdr>
            </w:div>
          </w:divsChild>
        </w:div>
        <w:div w:id="929705320">
          <w:marLeft w:val="0"/>
          <w:marRight w:val="0"/>
          <w:marTop w:val="0"/>
          <w:marBottom w:val="0"/>
          <w:divBdr>
            <w:top w:val="none" w:sz="0" w:space="0" w:color="auto"/>
            <w:left w:val="none" w:sz="0" w:space="0" w:color="auto"/>
            <w:bottom w:val="none" w:sz="0" w:space="0" w:color="auto"/>
            <w:right w:val="none" w:sz="0" w:space="0" w:color="auto"/>
          </w:divBdr>
          <w:divsChild>
            <w:div w:id="1099108912">
              <w:marLeft w:val="0"/>
              <w:marRight w:val="0"/>
              <w:marTop w:val="0"/>
              <w:marBottom w:val="0"/>
              <w:divBdr>
                <w:top w:val="none" w:sz="0" w:space="0" w:color="auto"/>
                <w:left w:val="none" w:sz="0" w:space="0" w:color="auto"/>
                <w:bottom w:val="none" w:sz="0" w:space="0" w:color="auto"/>
                <w:right w:val="none" w:sz="0" w:space="0" w:color="auto"/>
              </w:divBdr>
            </w:div>
          </w:divsChild>
        </w:div>
        <w:div w:id="997879964">
          <w:marLeft w:val="0"/>
          <w:marRight w:val="0"/>
          <w:marTop w:val="0"/>
          <w:marBottom w:val="0"/>
          <w:divBdr>
            <w:top w:val="none" w:sz="0" w:space="0" w:color="auto"/>
            <w:left w:val="none" w:sz="0" w:space="0" w:color="auto"/>
            <w:bottom w:val="none" w:sz="0" w:space="0" w:color="auto"/>
            <w:right w:val="none" w:sz="0" w:space="0" w:color="auto"/>
          </w:divBdr>
          <w:divsChild>
            <w:div w:id="1337465359">
              <w:marLeft w:val="0"/>
              <w:marRight w:val="0"/>
              <w:marTop w:val="0"/>
              <w:marBottom w:val="0"/>
              <w:divBdr>
                <w:top w:val="none" w:sz="0" w:space="0" w:color="auto"/>
                <w:left w:val="none" w:sz="0" w:space="0" w:color="auto"/>
                <w:bottom w:val="none" w:sz="0" w:space="0" w:color="auto"/>
                <w:right w:val="none" w:sz="0" w:space="0" w:color="auto"/>
              </w:divBdr>
            </w:div>
          </w:divsChild>
        </w:div>
        <w:div w:id="999188716">
          <w:marLeft w:val="0"/>
          <w:marRight w:val="0"/>
          <w:marTop w:val="0"/>
          <w:marBottom w:val="0"/>
          <w:divBdr>
            <w:top w:val="none" w:sz="0" w:space="0" w:color="auto"/>
            <w:left w:val="none" w:sz="0" w:space="0" w:color="auto"/>
            <w:bottom w:val="none" w:sz="0" w:space="0" w:color="auto"/>
            <w:right w:val="none" w:sz="0" w:space="0" w:color="auto"/>
          </w:divBdr>
          <w:divsChild>
            <w:div w:id="115761070">
              <w:marLeft w:val="0"/>
              <w:marRight w:val="0"/>
              <w:marTop w:val="0"/>
              <w:marBottom w:val="0"/>
              <w:divBdr>
                <w:top w:val="none" w:sz="0" w:space="0" w:color="auto"/>
                <w:left w:val="none" w:sz="0" w:space="0" w:color="auto"/>
                <w:bottom w:val="none" w:sz="0" w:space="0" w:color="auto"/>
                <w:right w:val="none" w:sz="0" w:space="0" w:color="auto"/>
              </w:divBdr>
            </w:div>
          </w:divsChild>
        </w:div>
        <w:div w:id="1005747949">
          <w:marLeft w:val="0"/>
          <w:marRight w:val="0"/>
          <w:marTop w:val="0"/>
          <w:marBottom w:val="0"/>
          <w:divBdr>
            <w:top w:val="none" w:sz="0" w:space="0" w:color="auto"/>
            <w:left w:val="none" w:sz="0" w:space="0" w:color="auto"/>
            <w:bottom w:val="none" w:sz="0" w:space="0" w:color="auto"/>
            <w:right w:val="none" w:sz="0" w:space="0" w:color="auto"/>
          </w:divBdr>
          <w:divsChild>
            <w:div w:id="28457933">
              <w:marLeft w:val="0"/>
              <w:marRight w:val="0"/>
              <w:marTop w:val="0"/>
              <w:marBottom w:val="0"/>
              <w:divBdr>
                <w:top w:val="none" w:sz="0" w:space="0" w:color="auto"/>
                <w:left w:val="none" w:sz="0" w:space="0" w:color="auto"/>
                <w:bottom w:val="none" w:sz="0" w:space="0" w:color="auto"/>
                <w:right w:val="none" w:sz="0" w:space="0" w:color="auto"/>
              </w:divBdr>
            </w:div>
          </w:divsChild>
        </w:div>
        <w:div w:id="1027491583">
          <w:marLeft w:val="0"/>
          <w:marRight w:val="0"/>
          <w:marTop w:val="0"/>
          <w:marBottom w:val="0"/>
          <w:divBdr>
            <w:top w:val="none" w:sz="0" w:space="0" w:color="auto"/>
            <w:left w:val="none" w:sz="0" w:space="0" w:color="auto"/>
            <w:bottom w:val="none" w:sz="0" w:space="0" w:color="auto"/>
            <w:right w:val="none" w:sz="0" w:space="0" w:color="auto"/>
          </w:divBdr>
          <w:divsChild>
            <w:div w:id="959459833">
              <w:marLeft w:val="0"/>
              <w:marRight w:val="0"/>
              <w:marTop w:val="0"/>
              <w:marBottom w:val="0"/>
              <w:divBdr>
                <w:top w:val="none" w:sz="0" w:space="0" w:color="auto"/>
                <w:left w:val="none" w:sz="0" w:space="0" w:color="auto"/>
                <w:bottom w:val="none" w:sz="0" w:space="0" w:color="auto"/>
                <w:right w:val="none" w:sz="0" w:space="0" w:color="auto"/>
              </w:divBdr>
            </w:div>
          </w:divsChild>
        </w:div>
        <w:div w:id="1134758354">
          <w:marLeft w:val="0"/>
          <w:marRight w:val="0"/>
          <w:marTop w:val="0"/>
          <w:marBottom w:val="0"/>
          <w:divBdr>
            <w:top w:val="none" w:sz="0" w:space="0" w:color="auto"/>
            <w:left w:val="none" w:sz="0" w:space="0" w:color="auto"/>
            <w:bottom w:val="none" w:sz="0" w:space="0" w:color="auto"/>
            <w:right w:val="none" w:sz="0" w:space="0" w:color="auto"/>
          </w:divBdr>
          <w:divsChild>
            <w:div w:id="1887060605">
              <w:marLeft w:val="0"/>
              <w:marRight w:val="0"/>
              <w:marTop w:val="0"/>
              <w:marBottom w:val="0"/>
              <w:divBdr>
                <w:top w:val="none" w:sz="0" w:space="0" w:color="auto"/>
                <w:left w:val="none" w:sz="0" w:space="0" w:color="auto"/>
                <w:bottom w:val="none" w:sz="0" w:space="0" w:color="auto"/>
                <w:right w:val="none" w:sz="0" w:space="0" w:color="auto"/>
              </w:divBdr>
            </w:div>
          </w:divsChild>
        </w:div>
        <w:div w:id="1152795542">
          <w:marLeft w:val="0"/>
          <w:marRight w:val="0"/>
          <w:marTop w:val="0"/>
          <w:marBottom w:val="0"/>
          <w:divBdr>
            <w:top w:val="none" w:sz="0" w:space="0" w:color="auto"/>
            <w:left w:val="none" w:sz="0" w:space="0" w:color="auto"/>
            <w:bottom w:val="none" w:sz="0" w:space="0" w:color="auto"/>
            <w:right w:val="none" w:sz="0" w:space="0" w:color="auto"/>
          </w:divBdr>
          <w:divsChild>
            <w:div w:id="1128595758">
              <w:marLeft w:val="0"/>
              <w:marRight w:val="0"/>
              <w:marTop w:val="0"/>
              <w:marBottom w:val="0"/>
              <w:divBdr>
                <w:top w:val="none" w:sz="0" w:space="0" w:color="auto"/>
                <w:left w:val="none" w:sz="0" w:space="0" w:color="auto"/>
                <w:bottom w:val="none" w:sz="0" w:space="0" w:color="auto"/>
                <w:right w:val="none" w:sz="0" w:space="0" w:color="auto"/>
              </w:divBdr>
            </w:div>
          </w:divsChild>
        </w:div>
        <w:div w:id="1200821448">
          <w:marLeft w:val="0"/>
          <w:marRight w:val="0"/>
          <w:marTop w:val="0"/>
          <w:marBottom w:val="0"/>
          <w:divBdr>
            <w:top w:val="none" w:sz="0" w:space="0" w:color="auto"/>
            <w:left w:val="none" w:sz="0" w:space="0" w:color="auto"/>
            <w:bottom w:val="none" w:sz="0" w:space="0" w:color="auto"/>
            <w:right w:val="none" w:sz="0" w:space="0" w:color="auto"/>
          </w:divBdr>
          <w:divsChild>
            <w:div w:id="1463889124">
              <w:marLeft w:val="0"/>
              <w:marRight w:val="0"/>
              <w:marTop w:val="0"/>
              <w:marBottom w:val="0"/>
              <w:divBdr>
                <w:top w:val="none" w:sz="0" w:space="0" w:color="auto"/>
                <w:left w:val="none" w:sz="0" w:space="0" w:color="auto"/>
                <w:bottom w:val="none" w:sz="0" w:space="0" w:color="auto"/>
                <w:right w:val="none" w:sz="0" w:space="0" w:color="auto"/>
              </w:divBdr>
            </w:div>
          </w:divsChild>
        </w:div>
        <w:div w:id="1275674576">
          <w:marLeft w:val="0"/>
          <w:marRight w:val="0"/>
          <w:marTop w:val="0"/>
          <w:marBottom w:val="0"/>
          <w:divBdr>
            <w:top w:val="none" w:sz="0" w:space="0" w:color="auto"/>
            <w:left w:val="none" w:sz="0" w:space="0" w:color="auto"/>
            <w:bottom w:val="none" w:sz="0" w:space="0" w:color="auto"/>
            <w:right w:val="none" w:sz="0" w:space="0" w:color="auto"/>
          </w:divBdr>
          <w:divsChild>
            <w:div w:id="2125073871">
              <w:marLeft w:val="0"/>
              <w:marRight w:val="0"/>
              <w:marTop w:val="0"/>
              <w:marBottom w:val="0"/>
              <w:divBdr>
                <w:top w:val="none" w:sz="0" w:space="0" w:color="auto"/>
                <w:left w:val="none" w:sz="0" w:space="0" w:color="auto"/>
                <w:bottom w:val="none" w:sz="0" w:space="0" w:color="auto"/>
                <w:right w:val="none" w:sz="0" w:space="0" w:color="auto"/>
              </w:divBdr>
            </w:div>
          </w:divsChild>
        </w:div>
        <w:div w:id="1309703326">
          <w:marLeft w:val="0"/>
          <w:marRight w:val="0"/>
          <w:marTop w:val="0"/>
          <w:marBottom w:val="0"/>
          <w:divBdr>
            <w:top w:val="none" w:sz="0" w:space="0" w:color="auto"/>
            <w:left w:val="none" w:sz="0" w:space="0" w:color="auto"/>
            <w:bottom w:val="none" w:sz="0" w:space="0" w:color="auto"/>
            <w:right w:val="none" w:sz="0" w:space="0" w:color="auto"/>
          </w:divBdr>
          <w:divsChild>
            <w:div w:id="1477527342">
              <w:marLeft w:val="0"/>
              <w:marRight w:val="0"/>
              <w:marTop w:val="0"/>
              <w:marBottom w:val="0"/>
              <w:divBdr>
                <w:top w:val="none" w:sz="0" w:space="0" w:color="auto"/>
                <w:left w:val="none" w:sz="0" w:space="0" w:color="auto"/>
                <w:bottom w:val="none" w:sz="0" w:space="0" w:color="auto"/>
                <w:right w:val="none" w:sz="0" w:space="0" w:color="auto"/>
              </w:divBdr>
            </w:div>
          </w:divsChild>
        </w:div>
        <w:div w:id="1356805063">
          <w:marLeft w:val="0"/>
          <w:marRight w:val="0"/>
          <w:marTop w:val="0"/>
          <w:marBottom w:val="0"/>
          <w:divBdr>
            <w:top w:val="none" w:sz="0" w:space="0" w:color="auto"/>
            <w:left w:val="none" w:sz="0" w:space="0" w:color="auto"/>
            <w:bottom w:val="none" w:sz="0" w:space="0" w:color="auto"/>
            <w:right w:val="none" w:sz="0" w:space="0" w:color="auto"/>
          </w:divBdr>
          <w:divsChild>
            <w:div w:id="844172658">
              <w:marLeft w:val="0"/>
              <w:marRight w:val="0"/>
              <w:marTop w:val="0"/>
              <w:marBottom w:val="0"/>
              <w:divBdr>
                <w:top w:val="none" w:sz="0" w:space="0" w:color="auto"/>
                <w:left w:val="none" w:sz="0" w:space="0" w:color="auto"/>
                <w:bottom w:val="none" w:sz="0" w:space="0" w:color="auto"/>
                <w:right w:val="none" w:sz="0" w:space="0" w:color="auto"/>
              </w:divBdr>
            </w:div>
          </w:divsChild>
        </w:div>
        <w:div w:id="1512178406">
          <w:marLeft w:val="0"/>
          <w:marRight w:val="0"/>
          <w:marTop w:val="0"/>
          <w:marBottom w:val="0"/>
          <w:divBdr>
            <w:top w:val="none" w:sz="0" w:space="0" w:color="auto"/>
            <w:left w:val="none" w:sz="0" w:space="0" w:color="auto"/>
            <w:bottom w:val="none" w:sz="0" w:space="0" w:color="auto"/>
            <w:right w:val="none" w:sz="0" w:space="0" w:color="auto"/>
          </w:divBdr>
          <w:divsChild>
            <w:div w:id="1855604420">
              <w:marLeft w:val="0"/>
              <w:marRight w:val="0"/>
              <w:marTop w:val="0"/>
              <w:marBottom w:val="0"/>
              <w:divBdr>
                <w:top w:val="none" w:sz="0" w:space="0" w:color="auto"/>
                <w:left w:val="none" w:sz="0" w:space="0" w:color="auto"/>
                <w:bottom w:val="none" w:sz="0" w:space="0" w:color="auto"/>
                <w:right w:val="none" w:sz="0" w:space="0" w:color="auto"/>
              </w:divBdr>
            </w:div>
          </w:divsChild>
        </w:div>
        <w:div w:id="1551842377">
          <w:marLeft w:val="0"/>
          <w:marRight w:val="0"/>
          <w:marTop w:val="0"/>
          <w:marBottom w:val="0"/>
          <w:divBdr>
            <w:top w:val="none" w:sz="0" w:space="0" w:color="auto"/>
            <w:left w:val="none" w:sz="0" w:space="0" w:color="auto"/>
            <w:bottom w:val="none" w:sz="0" w:space="0" w:color="auto"/>
            <w:right w:val="none" w:sz="0" w:space="0" w:color="auto"/>
          </w:divBdr>
          <w:divsChild>
            <w:div w:id="1953123873">
              <w:marLeft w:val="0"/>
              <w:marRight w:val="0"/>
              <w:marTop w:val="0"/>
              <w:marBottom w:val="0"/>
              <w:divBdr>
                <w:top w:val="none" w:sz="0" w:space="0" w:color="auto"/>
                <w:left w:val="none" w:sz="0" w:space="0" w:color="auto"/>
                <w:bottom w:val="none" w:sz="0" w:space="0" w:color="auto"/>
                <w:right w:val="none" w:sz="0" w:space="0" w:color="auto"/>
              </w:divBdr>
            </w:div>
          </w:divsChild>
        </w:div>
        <w:div w:id="1560164810">
          <w:marLeft w:val="0"/>
          <w:marRight w:val="0"/>
          <w:marTop w:val="0"/>
          <w:marBottom w:val="0"/>
          <w:divBdr>
            <w:top w:val="none" w:sz="0" w:space="0" w:color="auto"/>
            <w:left w:val="none" w:sz="0" w:space="0" w:color="auto"/>
            <w:bottom w:val="none" w:sz="0" w:space="0" w:color="auto"/>
            <w:right w:val="none" w:sz="0" w:space="0" w:color="auto"/>
          </w:divBdr>
          <w:divsChild>
            <w:div w:id="1283614199">
              <w:marLeft w:val="0"/>
              <w:marRight w:val="0"/>
              <w:marTop w:val="0"/>
              <w:marBottom w:val="0"/>
              <w:divBdr>
                <w:top w:val="none" w:sz="0" w:space="0" w:color="auto"/>
                <w:left w:val="none" w:sz="0" w:space="0" w:color="auto"/>
                <w:bottom w:val="none" w:sz="0" w:space="0" w:color="auto"/>
                <w:right w:val="none" w:sz="0" w:space="0" w:color="auto"/>
              </w:divBdr>
            </w:div>
          </w:divsChild>
        </w:div>
        <w:div w:id="1560437840">
          <w:marLeft w:val="0"/>
          <w:marRight w:val="0"/>
          <w:marTop w:val="0"/>
          <w:marBottom w:val="0"/>
          <w:divBdr>
            <w:top w:val="none" w:sz="0" w:space="0" w:color="auto"/>
            <w:left w:val="none" w:sz="0" w:space="0" w:color="auto"/>
            <w:bottom w:val="none" w:sz="0" w:space="0" w:color="auto"/>
            <w:right w:val="none" w:sz="0" w:space="0" w:color="auto"/>
          </w:divBdr>
          <w:divsChild>
            <w:div w:id="411973094">
              <w:marLeft w:val="0"/>
              <w:marRight w:val="0"/>
              <w:marTop w:val="0"/>
              <w:marBottom w:val="0"/>
              <w:divBdr>
                <w:top w:val="none" w:sz="0" w:space="0" w:color="auto"/>
                <w:left w:val="none" w:sz="0" w:space="0" w:color="auto"/>
                <w:bottom w:val="none" w:sz="0" w:space="0" w:color="auto"/>
                <w:right w:val="none" w:sz="0" w:space="0" w:color="auto"/>
              </w:divBdr>
            </w:div>
          </w:divsChild>
        </w:div>
        <w:div w:id="1628008505">
          <w:marLeft w:val="0"/>
          <w:marRight w:val="0"/>
          <w:marTop w:val="0"/>
          <w:marBottom w:val="0"/>
          <w:divBdr>
            <w:top w:val="none" w:sz="0" w:space="0" w:color="auto"/>
            <w:left w:val="none" w:sz="0" w:space="0" w:color="auto"/>
            <w:bottom w:val="none" w:sz="0" w:space="0" w:color="auto"/>
            <w:right w:val="none" w:sz="0" w:space="0" w:color="auto"/>
          </w:divBdr>
          <w:divsChild>
            <w:div w:id="1030841473">
              <w:marLeft w:val="0"/>
              <w:marRight w:val="0"/>
              <w:marTop w:val="0"/>
              <w:marBottom w:val="0"/>
              <w:divBdr>
                <w:top w:val="none" w:sz="0" w:space="0" w:color="auto"/>
                <w:left w:val="none" w:sz="0" w:space="0" w:color="auto"/>
                <w:bottom w:val="none" w:sz="0" w:space="0" w:color="auto"/>
                <w:right w:val="none" w:sz="0" w:space="0" w:color="auto"/>
              </w:divBdr>
            </w:div>
          </w:divsChild>
        </w:div>
        <w:div w:id="1683705104">
          <w:marLeft w:val="0"/>
          <w:marRight w:val="0"/>
          <w:marTop w:val="0"/>
          <w:marBottom w:val="0"/>
          <w:divBdr>
            <w:top w:val="none" w:sz="0" w:space="0" w:color="auto"/>
            <w:left w:val="none" w:sz="0" w:space="0" w:color="auto"/>
            <w:bottom w:val="none" w:sz="0" w:space="0" w:color="auto"/>
            <w:right w:val="none" w:sz="0" w:space="0" w:color="auto"/>
          </w:divBdr>
          <w:divsChild>
            <w:div w:id="432283619">
              <w:marLeft w:val="0"/>
              <w:marRight w:val="0"/>
              <w:marTop w:val="0"/>
              <w:marBottom w:val="0"/>
              <w:divBdr>
                <w:top w:val="none" w:sz="0" w:space="0" w:color="auto"/>
                <w:left w:val="none" w:sz="0" w:space="0" w:color="auto"/>
                <w:bottom w:val="none" w:sz="0" w:space="0" w:color="auto"/>
                <w:right w:val="none" w:sz="0" w:space="0" w:color="auto"/>
              </w:divBdr>
            </w:div>
          </w:divsChild>
        </w:div>
        <w:div w:id="1726443456">
          <w:marLeft w:val="0"/>
          <w:marRight w:val="0"/>
          <w:marTop w:val="0"/>
          <w:marBottom w:val="0"/>
          <w:divBdr>
            <w:top w:val="none" w:sz="0" w:space="0" w:color="auto"/>
            <w:left w:val="none" w:sz="0" w:space="0" w:color="auto"/>
            <w:bottom w:val="none" w:sz="0" w:space="0" w:color="auto"/>
            <w:right w:val="none" w:sz="0" w:space="0" w:color="auto"/>
          </w:divBdr>
          <w:divsChild>
            <w:div w:id="1695688789">
              <w:marLeft w:val="0"/>
              <w:marRight w:val="0"/>
              <w:marTop w:val="0"/>
              <w:marBottom w:val="0"/>
              <w:divBdr>
                <w:top w:val="none" w:sz="0" w:space="0" w:color="auto"/>
                <w:left w:val="none" w:sz="0" w:space="0" w:color="auto"/>
                <w:bottom w:val="none" w:sz="0" w:space="0" w:color="auto"/>
                <w:right w:val="none" w:sz="0" w:space="0" w:color="auto"/>
              </w:divBdr>
            </w:div>
          </w:divsChild>
        </w:div>
        <w:div w:id="1759711078">
          <w:marLeft w:val="0"/>
          <w:marRight w:val="0"/>
          <w:marTop w:val="0"/>
          <w:marBottom w:val="0"/>
          <w:divBdr>
            <w:top w:val="none" w:sz="0" w:space="0" w:color="auto"/>
            <w:left w:val="none" w:sz="0" w:space="0" w:color="auto"/>
            <w:bottom w:val="none" w:sz="0" w:space="0" w:color="auto"/>
            <w:right w:val="none" w:sz="0" w:space="0" w:color="auto"/>
          </w:divBdr>
          <w:divsChild>
            <w:div w:id="1937638036">
              <w:marLeft w:val="0"/>
              <w:marRight w:val="0"/>
              <w:marTop w:val="0"/>
              <w:marBottom w:val="0"/>
              <w:divBdr>
                <w:top w:val="none" w:sz="0" w:space="0" w:color="auto"/>
                <w:left w:val="none" w:sz="0" w:space="0" w:color="auto"/>
                <w:bottom w:val="none" w:sz="0" w:space="0" w:color="auto"/>
                <w:right w:val="none" w:sz="0" w:space="0" w:color="auto"/>
              </w:divBdr>
            </w:div>
          </w:divsChild>
        </w:div>
        <w:div w:id="1770151353">
          <w:marLeft w:val="0"/>
          <w:marRight w:val="0"/>
          <w:marTop w:val="0"/>
          <w:marBottom w:val="0"/>
          <w:divBdr>
            <w:top w:val="none" w:sz="0" w:space="0" w:color="auto"/>
            <w:left w:val="none" w:sz="0" w:space="0" w:color="auto"/>
            <w:bottom w:val="none" w:sz="0" w:space="0" w:color="auto"/>
            <w:right w:val="none" w:sz="0" w:space="0" w:color="auto"/>
          </w:divBdr>
          <w:divsChild>
            <w:div w:id="1819492836">
              <w:marLeft w:val="0"/>
              <w:marRight w:val="0"/>
              <w:marTop w:val="0"/>
              <w:marBottom w:val="0"/>
              <w:divBdr>
                <w:top w:val="none" w:sz="0" w:space="0" w:color="auto"/>
                <w:left w:val="none" w:sz="0" w:space="0" w:color="auto"/>
                <w:bottom w:val="none" w:sz="0" w:space="0" w:color="auto"/>
                <w:right w:val="none" w:sz="0" w:space="0" w:color="auto"/>
              </w:divBdr>
            </w:div>
          </w:divsChild>
        </w:div>
        <w:div w:id="1795362962">
          <w:marLeft w:val="0"/>
          <w:marRight w:val="0"/>
          <w:marTop w:val="0"/>
          <w:marBottom w:val="0"/>
          <w:divBdr>
            <w:top w:val="none" w:sz="0" w:space="0" w:color="auto"/>
            <w:left w:val="none" w:sz="0" w:space="0" w:color="auto"/>
            <w:bottom w:val="none" w:sz="0" w:space="0" w:color="auto"/>
            <w:right w:val="none" w:sz="0" w:space="0" w:color="auto"/>
          </w:divBdr>
          <w:divsChild>
            <w:div w:id="1700204204">
              <w:marLeft w:val="0"/>
              <w:marRight w:val="0"/>
              <w:marTop w:val="0"/>
              <w:marBottom w:val="0"/>
              <w:divBdr>
                <w:top w:val="none" w:sz="0" w:space="0" w:color="auto"/>
                <w:left w:val="none" w:sz="0" w:space="0" w:color="auto"/>
                <w:bottom w:val="none" w:sz="0" w:space="0" w:color="auto"/>
                <w:right w:val="none" w:sz="0" w:space="0" w:color="auto"/>
              </w:divBdr>
            </w:div>
          </w:divsChild>
        </w:div>
        <w:div w:id="1805922743">
          <w:marLeft w:val="0"/>
          <w:marRight w:val="0"/>
          <w:marTop w:val="0"/>
          <w:marBottom w:val="0"/>
          <w:divBdr>
            <w:top w:val="none" w:sz="0" w:space="0" w:color="auto"/>
            <w:left w:val="none" w:sz="0" w:space="0" w:color="auto"/>
            <w:bottom w:val="none" w:sz="0" w:space="0" w:color="auto"/>
            <w:right w:val="none" w:sz="0" w:space="0" w:color="auto"/>
          </w:divBdr>
          <w:divsChild>
            <w:div w:id="782456297">
              <w:marLeft w:val="0"/>
              <w:marRight w:val="0"/>
              <w:marTop w:val="0"/>
              <w:marBottom w:val="0"/>
              <w:divBdr>
                <w:top w:val="none" w:sz="0" w:space="0" w:color="auto"/>
                <w:left w:val="none" w:sz="0" w:space="0" w:color="auto"/>
                <w:bottom w:val="none" w:sz="0" w:space="0" w:color="auto"/>
                <w:right w:val="none" w:sz="0" w:space="0" w:color="auto"/>
              </w:divBdr>
            </w:div>
          </w:divsChild>
        </w:div>
        <w:div w:id="1947275228">
          <w:marLeft w:val="0"/>
          <w:marRight w:val="0"/>
          <w:marTop w:val="0"/>
          <w:marBottom w:val="0"/>
          <w:divBdr>
            <w:top w:val="none" w:sz="0" w:space="0" w:color="auto"/>
            <w:left w:val="none" w:sz="0" w:space="0" w:color="auto"/>
            <w:bottom w:val="none" w:sz="0" w:space="0" w:color="auto"/>
            <w:right w:val="none" w:sz="0" w:space="0" w:color="auto"/>
          </w:divBdr>
          <w:divsChild>
            <w:div w:id="2043552386">
              <w:marLeft w:val="0"/>
              <w:marRight w:val="0"/>
              <w:marTop w:val="0"/>
              <w:marBottom w:val="0"/>
              <w:divBdr>
                <w:top w:val="none" w:sz="0" w:space="0" w:color="auto"/>
                <w:left w:val="none" w:sz="0" w:space="0" w:color="auto"/>
                <w:bottom w:val="none" w:sz="0" w:space="0" w:color="auto"/>
                <w:right w:val="none" w:sz="0" w:space="0" w:color="auto"/>
              </w:divBdr>
            </w:div>
          </w:divsChild>
        </w:div>
        <w:div w:id="1956013589">
          <w:marLeft w:val="0"/>
          <w:marRight w:val="0"/>
          <w:marTop w:val="0"/>
          <w:marBottom w:val="0"/>
          <w:divBdr>
            <w:top w:val="none" w:sz="0" w:space="0" w:color="auto"/>
            <w:left w:val="none" w:sz="0" w:space="0" w:color="auto"/>
            <w:bottom w:val="none" w:sz="0" w:space="0" w:color="auto"/>
            <w:right w:val="none" w:sz="0" w:space="0" w:color="auto"/>
          </w:divBdr>
          <w:divsChild>
            <w:div w:id="929236972">
              <w:marLeft w:val="0"/>
              <w:marRight w:val="0"/>
              <w:marTop w:val="0"/>
              <w:marBottom w:val="0"/>
              <w:divBdr>
                <w:top w:val="none" w:sz="0" w:space="0" w:color="auto"/>
                <w:left w:val="none" w:sz="0" w:space="0" w:color="auto"/>
                <w:bottom w:val="none" w:sz="0" w:space="0" w:color="auto"/>
                <w:right w:val="none" w:sz="0" w:space="0" w:color="auto"/>
              </w:divBdr>
            </w:div>
          </w:divsChild>
        </w:div>
        <w:div w:id="1970236175">
          <w:marLeft w:val="0"/>
          <w:marRight w:val="0"/>
          <w:marTop w:val="0"/>
          <w:marBottom w:val="0"/>
          <w:divBdr>
            <w:top w:val="none" w:sz="0" w:space="0" w:color="auto"/>
            <w:left w:val="none" w:sz="0" w:space="0" w:color="auto"/>
            <w:bottom w:val="none" w:sz="0" w:space="0" w:color="auto"/>
            <w:right w:val="none" w:sz="0" w:space="0" w:color="auto"/>
          </w:divBdr>
          <w:divsChild>
            <w:div w:id="1292204744">
              <w:marLeft w:val="0"/>
              <w:marRight w:val="0"/>
              <w:marTop w:val="0"/>
              <w:marBottom w:val="0"/>
              <w:divBdr>
                <w:top w:val="none" w:sz="0" w:space="0" w:color="auto"/>
                <w:left w:val="none" w:sz="0" w:space="0" w:color="auto"/>
                <w:bottom w:val="none" w:sz="0" w:space="0" w:color="auto"/>
                <w:right w:val="none" w:sz="0" w:space="0" w:color="auto"/>
              </w:divBdr>
            </w:div>
          </w:divsChild>
        </w:div>
        <w:div w:id="1996565704">
          <w:marLeft w:val="0"/>
          <w:marRight w:val="0"/>
          <w:marTop w:val="0"/>
          <w:marBottom w:val="0"/>
          <w:divBdr>
            <w:top w:val="none" w:sz="0" w:space="0" w:color="auto"/>
            <w:left w:val="none" w:sz="0" w:space="0" w:color="auto"/>
            <w:bottom w:val="none" w:sz="0" w:space="0" w:color="auto"/>
            <w:right w:val="none" w:sz="0" w:space="0" w:color="auto"/>
          </w:divBdr>
          <w:divsChild>
            <w:div w:id="1511261324">
              <w:marLeft w:val="0"/>
              <w:marRight w:val="0"/>
              <w:marTop w:val="0"/>
              <w:marBottom w:val="0"/>
              <w:divBdr>
                <w:top w:val="none" w:sz="0" w:space="0" w:color="auto"/>
                <w:left w:val="none" w:sz="0" w:space="0" w:color="auto"/>
                <w:bottom w:val="none" w:sz="0" w:space="0" w:color="auto"/>
                <w:right w:val="none" w:sz="0" w:space="0" w:color="auto"/>
              </w:divBdr>
            </w:div>
          </w:divsChild>
        </w:div>
        <w:div w:id="2002731684">
          <w:marLeft w:val="0"/>
          <w:marRight w:val="0"/>
          <w:marTop w:val="0"/>
          <w:marBottom w:val="0"/>
          <w:divBdr>
            <w:top w:val="none" w:sz="0" w:space="0" w:color="auto"/>
            <w:left w:val="none" w:sz="0" w:space="0" w:color="auto"/>
            <w:bottom w:val="none" w:sz="0" w:space="0" w:color="auto"/>
            <w:right w:val="none" w:sz="0" w:space="0" w:color="auto"/>
          </w:divBdr>
          <w:divsChild>
            <w:div w:id="573051685">
              <w:marLeft w:val="0"/>
              <w:marRight w:val="0"/>
              <w:marTop w:val="0"/>
              <w:marBottom w:val="0"/>
              <w:divBdr>
                <w:top w:val="none" w:sz="0" w:space="0" w:color="auto"/>
                <w:left w:val="none" w:sz="0" w:space="0" w:color="auto"/>
                <w:bottom w:val="none" w:sz="0" w:space="0" w:color="auto"/>
                <w:right w:val="none" w:sz="0" w:space="0" w:color="auto"/>
              </w:divBdr>
            </w:div>
          </w:divsChild>
        </w:div>
        <w:div w:id="2071072405">
          <w:marLeft w:val="0"/>
          <w:marRight w:val="0"/>
          <w:marTop w:val="0"/>
          <w:marBottom w:val="0"/>
          <w:divBdr>
            <w:top w:val="none" w:sz="0" w:space="0" w:color="auto"/>
            <w:left w:val="none" w:sz="0" w:space="0" w:color="auto"/>
            <w:bottom w:val="none" w:sz="0" w:space="0" w:color="auto"/>
            <w:right w:val="none" w:sz="0" w:space="0" w:color="auto"/>
          </w:divBdr>
          <w:divsChild>
            <w:div w:id="662709357">
              <w:marLeft w:val="0"/>
              <w:marRight w:val="0"/>
              <w:marTop w:val="0"/>
              <w:marBottom w:val="0"/>
              <w:divBdr>
                <w:top w:val="none" w:sz="0" w:space="0" w:color="auto"/>
                <w:left w:val="none" w:sz="0" w:space="0" w:color="auto"/>
                <w:bottom w:val="none" w:sz="0" w:space="0" w:color="auto"/>
                <w:right w:val="none" w:sz="0" w:space="0" w:color="auto"/>
              </w:divBdr>
            </w:div>
          </w:divsChild>
        </w:div>
        <w:div w:id="2124181691">
          <w:marLeft w:val="0"/>
          <w:marRight w:val="0"/>
          <w:marTop w:val="0"/>
          <w:marBottom w:val="0"/>
          <w:divBdr>
            <w:top w:val="none" w:sz="0" w:space="0" w:color="auto"/>
            <w:left w:val="none" w:sz="0" w:space="0" w:color="auto"/>
            <w:bottom w:val="none" w:sz="0" w:space="0" w:color="auto"/>
            <w:right w:val="none" w:sz="0" w:space="0" w:color="auto"/>
          </w:divBdr>
          <w:divsChild>
            <w:div w:id="13150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2079737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19667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5378731">
      <w:bodyDiv w:val="1"/>
      <w:marLeft w:val="0"/>
      <w:marRight w:val="0"/>
      <w:marTop w:val="0"/>
      <w:marBottom w:val="0"/>
      <w:divBdr>
        <w:top w:val="none" w:sz="0" w:space="0" w:color="auto"/>
        <w:left w:val="none" w:sz="0" w:space="0" w:color="auto"/>
        <w:bottom w:val="none" w:sz="0" w:space="0" w:color="auto"/>
        <w:right w:val="none" w:sz="0" w:space="0" w:color="auto"/>
      </w:divBdr>
    </w:div>
    <w:div w:id="126584111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6692540">
      <w:bodyDiv w:val="1"/>
      <w:marLeft w:val="0"/>
      <w:marRight w:val="0"/>
      <w:marTop w:val="0"/>
      <w:marBottom w:val="0"/>
      <w:divBdr>
        <w:top w:val="none" w:sz="0" w:space="0" w:color="auto"/>
        <w:left w:val="none" w:sz="0" w:space="0" w:color="auto"/>
        <w:bottom w:val="none" w:sz="0" w:space="0" w:color="auto"/>
        <w:right w:val="none" w:sz="0" w:space="0" w:color="auto"/>
      </w:divBdr>
    </w:div>
    <w:div w:id="1366827650">
      <w:bodyDiv w:val="1"/>
      <w:marLeft w:val="0"/>
      <w:marRight w:val="0"/>
      <w:marTop w:val="0"/>
      <w:marBottom w:val="0"/>
      <w:divBdr>
        <w:top w:val="none" w:sz="0" w:space="0" w:color="auto"/>
        <w:left w:val="none" w:sz="0" w:space="0" w:color="auto"/>
        <w:bottom w:val="none" w:sz="0" w:space="0" w:color="auto"/>
        <w:right w:val="none" w:sz="0" w:space="0" w:color="auto"/>
      </w:divBdr>
    </w:div>
    <w:div w:id="1500123081">
      <w:bodyDiv w:val="1"/>
      <w:marLeft w:val="0"/>
      <w:marRight w:val="0"/>
      <w:marTop w:val="0"/>
      <w:marBottom w:val="0"/>
      <w:divBdr>
        <w:top w:val="none" w:sz="0" w:space="0" w:color="auto"/>
        <w:left w:val="none" w:sz="0" w:space="0" w:color="auto"/>
        <w:bottom w:val="none" w:sz="0" w:space="0" w:color="auto"/>
        <w:right w:val="none" w:sz="0" w:space="0" w:color="auto"/>
      </w:divBdr>
    </w:div>
    <w:div w:id="152182293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0598267">
      <w:bodyDiv w:val="1"/>
      <w:marLeft w:val="0"/>
      <w:marRight w:val="0"/>
      <w:marTop w:val="0"/>
      <w:marBottom w:val="0"/>
      <w:divBdr>
        <w:top w:val="none" w:sz="0" w:space="0" w:color="auto"/>
        <w:left w:val="none" w:sz="0" w:space="0" w:color="auto"/>
        <w:bottom w:val="none" w:sz="0" w:space="0" w:color="auto"/>
        <w:right w:val="none" w:sz="0" w:space="0" w:color="auto"/>
      </w:divBdr>
    </w:div>
    <w:div w:id="16713235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996622">
      <w:bodyDiv w:val="1"/>
      <w:marLeft w:val="0"/>
      <w:marRight w:val="0"/>
      <w:marTop w:val="0"/>
      <w:marBottom w:val="0"/>
      <w:divBdr>
        <w:top w:val="none" w:sz="0" w:space="0" w:color="auto"/>
        <w:left w:val="none" w:sz="0" w:space="0" w:color="auto"/>
        <w:bottom w:val="none" w:sz="0" w:space="0" w:color="auto"/>
        <w:right w:val="none" w:sz="0" w:space="0" w:color="auto"/>
      </w:divBdr>
      <w:divsChild>
        <w:div w:id="283931055">
          <w:marLeft w:val="0"/>
          <w:marRight w:val="0"/>
          <w:marTop w:val="0"/>
          <w:marBottom w:val="0"/>
          <w:divBdr>
            <w:top w:val="none" w:sz="0" w:space="0" w:color="auto"/>
            <w:left w:val="none" w:sz="0" w:space="0" w:color="auto"/>
            <w:bottom w:val="none" w:sz="0" w:space="0" w:color="auto"/>
            <w:right w:val="none" w:sz="0" w:space="0" w:color="auto"/>
          </w:divBdr>
        </w:div>
      </w:divsChild>
    </w:div>
    <w:div w:id="1824735858">
      <w:bodyDiv w:val="1"/>
      <w:marLeft w:val="0"/>
      <w:marRight w:val="0"/>
      <w:marTop w:val="0"/>
      <w:marBottom w:val="0"/>
      <w:divBdr>
        <w:top w:val="none" w:sz="0" w:space="0" w:color="auto"/>
        <w:left w:val="none" w:sz="0" w:space="0" w:color="auto"/>
        <w:bottom w:val="none" w:sz="0" w:space="0" w:color="auto"/>
        <w:right w:val="none" w:sz="0" w:space="0" w:color="auto"/>
      </w:divBdr>
    </w:div>
    <w:div w:id="1879779652">
      <w:bodyDiv w:val="1"/>
      <w:marLeft w:val="0"/>
      <w:marRight w:val="0"/>
      <w:marTop w:val="0"/>
      <w:marBottom w:val="0"/>
      <w:divBdr>
        <w:top w:val="none" w:sz="0" w:space="0" w:color="auto"/>
        <w:left w:val="none" w:sz="0" w:space="0" w:color="auto"/>
        <w:bottom w:val="none" w:sz="0" w:space="0" w:color="auto"/>
        <w:right w:val="none" w:sz="0" w:space="0" w:color="auto"/>
      </w:divBdr>
      <w:divsChild>
        <w:div w:id="28193190">
          <w:marLeft w:val="0"/>
          <w:marRight w:val="0"/>
          <w:marTop w:val="0"/>
          <w:marBottom w:val="0"/>
          <w:divBdr>
            <w:top w:val="none" w:sz="0" w:space="0" w:color="auto"/>
            <w:left w:val="none" w:sz="0" w:space="0" w:color="auto"/>
            <w:bottom w:val="none" w:sz="0" w:space="0" w:color="auto"/>
            <w:right w:val="none" w:sz="0" w:space="0" w:color="auto"/>
          </w:divBdr>
          <w:divsChild>
            <w:div w:id="1697147311">
              <w:marLeft w:val="0"/>
              <w:marRight w:val="0"/>
              <w:marTop w:val="0"/>
              <w:marBottom w:val="0"/>
              <w:divBdr>
                <w:top w:val="none" w:sz="0" w:space="0" w:color="auto"/>
                <w:left w:val="none" w:sz="0" w:space="0" w:color="auto"/>
                <w:bottom w:val="none" w:sz="0" w:space="0" w:color="auto"/>
                <w:right w:val="none" w:sz="0" w:space="0" w:color="auto"/>
              </w:divBdr>
            </w:div>
          </w:divsChild>
        </w:div>
        <w:div w:id="188764025">
          <w:marLeft w:val="0"/>
          <w:marRight w:val="0"/>
          <w:marTop w:val="0"/>
          <w:marBottom w:val="0"/>
          <w:divBdr>
            <w:top w:val="none" w:sz="0" w:space="0" w:color="auto"/>
            <w:left w:val="none" w:sz="0" w:space="0" w:color="auto"/>
            <w:bottom w:val="none" w:sz="0" w:space="0" w:color="auto"/>
            <w:right w:val="none" w:sz="0" w:space="0" w:color="auto"/>
          </w:divBdr>
          <w:divsChild>
            <w:div w:id="315455797">
              <w:marLeft w:val="0"/>
              <w:marRight w:val="0"/>
              <w:marTop w:val="0"/>
              <w:marBottom w:val="0"/>
              <w:divBdr>
                <w:top w:val="none" w:sz="0" w:space="0" w:color="auto"/>
                <w:left w:val="none" w:sz="0" w:space="0" w:color="auto"/>
                <w:bottom w:val="none" w:sz="0" w:space="0" w:color="auto"/>
                <w:right w:val="none" w:sz="0" w:space="0" w:color="auto"/>
              </w:divBdr>
            </w:div>
          </w:divsChild>
        </w:div>
        <w:div w:id="196621529">
          <w:marLeft w:val="0"/>
          <w:marRight w:val="0"/>
          <w:marTop w:val="0"/>
          <w:marBottom w:val="0"/>
          <w:divBdr>
            <w:top w:val="none" w:sz="0" w:space="0" w:color="auto"/>
            <w:left w:val="none" w:sz="0" w:space="0" w:color="auto"/>
            <w:bottom w:val="none" w:sz="0" w:space="0" w:color="auto"/>
            <w:right w:val="none" w:sz="0" w:space="0" w:color="auto"/>
          </w:divBdr>
          <w:divsChild>
            <w:div w:id="2114788558">
              <w:marLeft w:val="0"/>
              <w:marRight w:val="0"/>
              <w:marTop w:val="0"/>
              <w:marBottom w:val="0"/>
              <w:divBdr>
                <w:top w:val="none" w:sz="0" w:space="0" w:color="auto"/>
                <w:left w:val="none" w:sz="0" w:space="0" w:color="auto"/>
                <w:bottom w:val="none" w:sz="0" w:space="0" w:color="auto"/>
                <w:right w:val="none" w:sz="0" w:space="0" w:color="auto"/>
              </w:divBdr>
            </w:div>
          </w:divsChild>
        </w:div>
        <w:div w:id="235092805">
          <w:marLeft w:val="0"/>
          <w:marRight w:val="0"/>
          <w:marTop w:val="0"/>
          <w:marBottom w:val="0"/>
          <w:divBdr>
            <w:top w:val="none" w:sz="0" w:space="0" w:color="auto"/>
            <w:left w:val="none" w:sz="0" w:space="0" w:color="auto"/>
            <w:bottom w:val="none" w:sz="0" w:space="0" w:color="auto"/>
            <w:right w:val="none" w:sz="0" w:space="0" w:color="auto"/>
          </w:divBdr>
          <w:divsChild>
            <w:div w:id="1373312132">
              <w:marLeft w:val="0"/>
              <w:marRight w:val="0"/>
              <w:marTop w:val="0"/>
              <w:marBottom w:val="0"/>
              <w:divBdr>
                <w:top w:val="none" w:sz="0" w:space="0" w:color="auto"/>
                <w:left w:val="none" w:sz="0" w:space="0" w:color="auto"/>
                <w:bottom w:val="none" w:sz="0" w:space="0" w:color="auto"/>
                <w:right w:val="none" w:sz="0" w:space="0" w:color="auto"/>
              </w:divBdr>
            </w:div>
          </w:divsChild>
        </w:div>
        <w:div w:id="322780562">
          <w:marLeft w:val="0"/>
          <w:marRight w:val="0"/>
          <w:marTop w:val="0"/>
          <w:marBottom w:val="0"/>
          <w:divBdr>
            <w:top w:val="none" w:sz="0" w:space="0" w:color="auto"/>
            <w:left w:val="none" w:sz="0" w:space="0" w:color="auto"/>
            <w:bottom w:val="none" w:sz="0" w:space="0" w:color="auto"/>
            <w:right w:val="none" w:sz="0" w:space="0" w:color="auto"/>
          </w:divBdr>
          <w:divsChild>
            <w:div w:id="634221700">
              <w:marLeft w:val="0"/>
              <w:marRight w:val="0"/>
              <w:marTop w:val="0"/>
              <w:marBottom w:val="0"/>
              <w:divBdr>
                <w:top w:val="none" w:sz="0" w:space="0" w:color="auto"/>
                <w:left w:val="none" w:sz="0" w:space="0" w:color="auto"/>
                <w:bottom w:val="none" w:sz="0" w:space="0" w:color="auto"/>
                <w:right w:val="none" w:sz="0" w:space="0" w:color="auto"/>
              </w:divBdr>
            </w:div>
          </w:divsChild>
        </w:div>
        <w:div w:id="402869639">
          <w:marLeft w:val="0"/>
          <w:marRight w:val="0"/>
          <w:marTop w:val="0"/>
          <w:marBottom w:val="0"/>
          <w:divBdr>
            <w:top w:val="none" w:sz="0" w:space="0" w:color="auto"/>
            <w:left w:val="none" w:sz="0" w:space="0" w:color="auto"/>
            <w:bottom w:val="none" w:sz="0" w:space="0" w:color="auto"/>
            <w:right w:val="none" w:sz="0" w:space="0" w:color="auto"/>
          </w:divBdr>
          <w:divsChild>
            <w:div w:id="1209490365">
              <w:marLeft w:val="0"/>
              <w:marRight w:val="0"/>
              <w:marTop w:val="0"/>
              <w:marBottom w:val="0"/>
              <w:divBdr>
                <w:top w:val="none" w:sz="0" w:space="0" w:color="auto"/>
                <w:left w:val="none" w:sz="0" w:space="0" w:color="auto"/>
                <w:bottom w:val="none" w:sz="0" w:space="0" w:color="auto"/>
                <w:right w:val="none" w:sz="0" w:space="0" w:color="auto"/>
              </w:divBdr>
            </w:div>
          </w:divsChild>
        </w:div>
        <w:div w:id="503056857">
          <w:marLeft w:val="0"/>
          <w:marRight w:val="0"/>
          <w:marTop w:val="0"/>
          <w:marBottom w:val="0"/>
          <w:divBdr>
            <w:top w:val="none" w:sz="0" w:space="0" w:color="auto"/>
            <w:left w:val="none" w:sz="0" w:space="0" w:color="auto"/>
            <w:bottom w:val="none" w:sz="0" w:space="0" w:color="auto"/>
            <w:right w:val="none" w:sz="0" w:space="0" w:color="auto"/>
          </w:divBdr>
          <w:divsChild>
            <w:div w:id="2044474609">
              <w:marLeft w:val="0"/>
              <w:marRight w:val="0"/>
              <w:marTop w:val="0"/>
              <w:marBottom w:val="0"/>
              <w:divBdr>
                <w:top w:val="none" w:sz="0" w:space="0" w:color="auto"/>
                <w:left w:val="none" w:sz="0" w:space="0" w:color="auto"/>
                <w:bottom w:val="none" w:sz="0" w:space="0" w:color="auto"/>
                <w:right w:val="none" w:sz="0" w:space="0" w:color="auto"/>
              </w:divBdr>
            </w:div>
          </w:divsChild>
        </w:div>
        <w:div w:id="535850858">
          <w:marLeft w:val="0"/>
          <w:marRight w:val="0"/>
          <w:marTop w:val="0"/>
          <w:marBottom w:val="0"/>
          <w:divBdr>
            <w:top w:val="none" w:sz="0" w:space="0" w:color="auto"/>
            <w:left w:val="none" w:sz="0" w:space="0" w:color="auto"/>
            <w:bottom w:val="none" w:sz="0" w:space="0" w:color="auto"/>
            <w:right w:val="none" w:sz="0" w:space="0" w:color="auto"/>
          </w:divBdr>
          <w:divsChild>
            <w:div w:id="526333740">
              <w:marLeft w:val="0"/>
              <w:marRight w:val="0"/>
              <w:marTop w:val="0"/>
              <w:marBottom w:val="0"/>
              <w:divBdr>
                <w:top w:val="none" w:sz="0" w:space="0" w:color="auto"/>
                <w:left w:val="none" w:sz="0" w:space="0" w:color="auto"/>
                <w:bottom w:val="none" w:sz="0" w:space="0" w:color="auto"/>
                <w:right w:val="none" w:sz="0" w:space="0" w:color="auto"/>
              </w:divBdr>
            </w:div>
          </w:divsChild>
        </w:div>
        <w:div w:id="554774317">
          <w:marLeft w:val="0"/>
          <w:marRight w:val="0"/>
          <w:marTop w:val="0"/>
          <w:marBottom w:val="0"/>
          <w:divBdr>
            <w:top w:val="none" w:sz="0" w:space="0" w:color="auto"/>
            <w:left w:val="none" w:sz="0" w:space="0" w:color="auto"/>
            <w:bottom w:val="none" w:sz="0" w:space="0" w:color="auto"/>
            <w:right w:val="none" w:sz="0" w:space="0" w:color="auto"/>
          </w:divBdr>
          <w:divsChild>
            <w:div w:id="1418751655">
              <w:marLeft w:val="0"/>
              <w:marRight w:val="0"/>
              <w:marTop w:val="0"/>
              <w:marBottom w:val="0"/>
              <w:divBdr>
                <w:top w:val="none" w:sz="0" w:space="0" w:color="auto"/>
                <w:left w:val="none" w:sz="0" w:space="0" w:color="auto"/>
                <w:bottom w:val="none" w:sz="0" w:space="0" w:color="auto"/>
                <w:right w:val="none" w:sz="0" w:space="0" w:color="auto"/>
              </w:divBdr>
            </w:div>
          </w:divsChild>
        </w:div>
        <w:div w:id="583149378">
          <w:marLeft w:val="0"/>
          <w:marRight w:val="0"/>
          <w:marTop w:val="0"/>
          <w:marBottom w:val="0"/>
          <w:divBdr>
            <w:top w:val="none" w:sz="0" w:space="0" w:color="auto"/>
            <w:left w:val="none" w:sz="0" w:space="0" w:color="auto"/>
            <w:bottom w:val="none" w:sz="0" w:space="0" w:color="auto"/>
            <w:right w:val="none" w:sz="0" w:space="0" w:color="auto"/>
          </w:divBdr>
          <w:divsChild>
            <w:div w:id="1415014375">
              <w:marLeft w:val="0"/>
              <w:marRight w:val="0"/>
              <w:marTop w:val="0"/>
              <w:marBottom w:val="0"/>
              <w:divBdr>
                <w:top w:val="none" w:sz="0" w:space="0" w:color="auto"/>
                <w:left w:val="none" w:sz="0" w:space="0" w:color="auto"/>
                <w:bottom w:val="none" w:sz="0" w:space="0" w:color="auto"/>
                <w:right w:val="none" w:sz="0" w:space="0" w:color="auto"/>
              </w:divBdr>
            </w:div>
          </w:divsChild>
        </w:div>
        <w:div w:id="587159227">
          <w:marLeft w:val="0"/>
          <w:marRight w:val="0"/>
          <w:marTop w:val="0"/>
          <w:marBottom w:val="0"/>
          <w:divBdr>
            <w:top w:val="none" w:sz="0" w:space="0" w:color="auto"/>
            <w:left w:val="none" w:sz="0" w:space="0" w:color="auto"/>
            <w:bottom w:val="none" w:sz="0" w:space="0" w:color="auto"/>
            <w:right w:val="none" w:sz="0" w:space="0" w:color="auto"/>
          </w:divBdr>
          <w:divsChild>
            <w:div w:id="109515705">
              <w:marLeft w:val="0"/>
              <w:marRight w:val="0"/>
              <w:marTop w:val="0"/>
              <w:marBottom w:val="0"/>
              <w:divBdr>
                <w:top w:val="none" w:sz="0" w:space="0" w:color="auto"/>
                <w:left w:val="none" w:sz="0" w:space="0" w:color="auto"/>
                <w:bottom w:val="none" w:sz="0" w:space="0" w:color="auto"/>
                <w:right w:val="none" w:sz="0" w:space="0" w:color="auto"/>
              </w:divBdr>
            </w:div>
          </w:divsChild>
        </w:div>
        <w:div w:id="606543057">
          <w:marLeft w:val="0"/>
          <w:marRight w:val="0"/>
          <w:marTop w:val="0"/>
          <w:marBottom w:val="0"/>
          <w:divBdr>
            <w:top w:val="none" w:sz="0" w:space="0" w:color="auto"/>
            <w:left w:val="none" w:sz="0" w:space="0" w:color="auto"/>
            <w:bottom w:val="none" w:sz="0" w:space="0" w:color="auto"/>
            <w:right w:val="none" w:sz="0" w:space="0" w:color="auto"/>
          </w:divBdr>
          <w:divsChild>
            <w:div w:id="1157578320">
              <w:marLeft w:val="0"/>
              <w:marRight w:val="0"/>
              <w:marTop w:val="0"/>
              <w:marBottom w:val="0"/>
              <w:divBdr>
                <w:top w:val="none" w:sz="0" w:space="0" w:color="auto"/>
                <w:left w:val="none" w:sz="0" w:space="0" w:color="auto"/>
                <w:bottom w:val="none" w:sz="0" w:space="0" w:color="auto"/>
                <w:right w:val="none" w:sz="0" w:space="0" w:color="auto"/>
              </w:divBdr>
            </w:div>
          </w:divsChild>
        </w:div>
        <w:div w:id="608119931">
          <w:marLeft w:val="0"/>
          <w:marRight w:val="0"/>
          <w:marTop w:val="0"/>
          <w:marBottom w:val="0"/>
          <w:divBdr>
            <w:top w:val="none" w:sz="0" w:space="0" w:color="auto"/>
            <w:left w:val="none" w:sz="0" w:space="0" w:color="auto"/>
            <w:bottom w:val="none" w:sz="0" w:space="0" w:color="auto"/>
            <w:right w:val="none" w:sz="0" w:space="0" w:color="auto"/>
          </w:divBdr>
          <w:divsChild>
            <w:div w:id="1618099699">
              <w:marLeft w:val="0"/>
              <w:marRight w:val="0"/>
              <w:marTop w:val="0"/>
              <w:marBottom w:val="0"/>
              <w:divBdr>
                <w:top w:val="none" w:sz="0" w:space="0" w:color="auto"/>
                <w:left w:val="none" w:sz="0" w:space="0" w:color="auto"/>
                <w:bottom w:val="none" w:sz="0" w:space="0" w:color="auto"/>
                <w:right w:val="none" w:sz="0" w:space="0" w:color="auto"/>
              </w:divBdr>
            </w:div>
          </w:divsChild>
        </w:div>
        <w:div w:id="621688285">
          <w:marLeft w:val="0"/>
          <w:marRight w:val="0"/>
          <w:marTop w:val="0"/>
          <w:marBottom w:val="0"/>
          <w:divBdr>
            <w:top w:val="none" w:sz="0" w:space="0" w:color="auto"/>
            <w:left w:val="none" w:sz="0" w:space="0" w:color="auto"/>
            <w:bottom w:val="none" w:sz="0" w:space="0" w:color="auto"/>
            <w:right w:val="none" w:sz="0" w:space="0" w:color="auto"/>
          </w:divBdr>
          <w:divsChild>
            <w:div w:id="1352534341">
              <w:marLeft w:val="0"/>
              <w:marRight w:val="0"/>
              <w:marTop w:val="0"/>
              <w:marBottom w:val="0"/>
              <w:divBdr>
                <w:top w:val="none" w:sz="0" w:space="0" w:color="auto"/>
                <w:left w:val="none" w:sz="0" w:space="0" w:color="auto"/>
                <w:bottom w:val="none" w:sz="0" w:space="0" w:color="auto"/>
                <w:right w:val="none" w:sz="0" w:space="0" w:color="auto"/>
              </w:divBdr>
            </w:div>
          </w:divsChild>
        </w:div>
        <w:div w:id="733089056">
          <w:marLeft w:val="0"/>
          <w:marRight w:val="0"/>
          <w:marTop w:val="0"/>
          <w:marBottom w:val="0"/>
          <w:divBdr>
            <w:top w:val="none" w:sz="0" w:space="0" w:color="auto"/>
            <w:left w:val="none" w:sz="0" w:space="0" w:color="auto"/>
            <w:bottom w:val="none" w:sz="0" w:space="0" w:color="auto"/>
            <w:right w:val="none" w:sz="0" w:space="0" w:color="auto"/>
          </w:divBdr>
          <w:divsChild>
            <w:div w:id="2037652580">
              <w:marLeft w:val="0"/>
              <w:marRight w:val="0"/>
              <w:marTop w:val="0"/>
              <w:marBottom w:val="0"/>
              <w:divBdr>
                <w:top w:val="none" w:sz="0" w:space="0" w:color="auto"/>
                <w:left w:val="none" w:sz="0" w:space="0" w:color="auto"/>
                <w:bottom w:val="none" w:sz="0" w:space="0" w:color="auto"/>
                <w:right w:val="none" w:sz="0" w:space="0" w:color="auto"/>
              </w:divBdr>
            </w:div>
          </w:divsChild>
        </w:div>
        <w:div w:id="902330742">
          <w:marLeft w:val="0"/>
          <w:marRight w:val="0"/>
          <w:marTop w:val="0"/>
          <w:marBottom w:val="0"/>
          <w:divBdr>
            <w:top w:val="none" w:sz="0" w:space="0" w:color="auto"/>
            <w:left w:val="none" w:sz="0" w:space="0" w:color="auto"/>
            <w:bottom w:val="none" w:sz="0" w:space="0" w:color="auto"/>
            <w:right w:val="none" w:sz="0" w:space="0" w:color="auto"/>
          </w:divBdr>
          <w:divsChild>
            <w:div w:id="1546024229">
              <w:marLeft w:val="0"/>
              <w:marRight w:val="0"/>
              <w:marTop w:val="0"/>
              <w:marBottom w:val="0"/>
              <w:divBdr>
                <w:top w:val="none" w:sz="0" w:space="0" w:color="auto"/>
                <w:left w:val="none" w:sz="0" w:space="0" w:color="auto"/>
                <w:bottom w:val="none" w:sz="0" w:space="0" w:color="auto"/>
                <w:right w:val="none" w:sz="0" w:space="0" w:color="auto"/>
              </w:divBdr>
            </w:div>
          </w:divsChild>
        </w:div>
        <w:div w:id="961231578">
          <w:marLeft w:val="0"/>
          <w:marRight w:val="0"/>
          <w:marTop w:val="0"/>
          <w:marBottom w:val="0"/>
          <w:divBdr>
            <w:top w:val="none" w:sz="0" w:space="0" w:color="auto"/>
            <w:left w:val="none" w:sz="0" w:space="0" w:color="auto"/>
            <w:bottom w:val="none" w:sz="0" w:space="0" w:color="auto"/>
            <w:right w:val="none" w:sz="0" w:space="0" w:color="auto"/>
          </w:divBdr>
          <w:divsChild>
            <w:div w:id="618954025">
              <w:marLeft w:val="0"/>
              <w:marRight w:val="0"/>
              <w:marTop w:val="0"/>
              <w:marBottom w:val="0"/>
              <w:divBdr>
                <w:top w:val="none" w:sz="0" w:space="0" w:color="auto"/>
                <w:left w:val="none" w:sz="0" w:space="0" w:color="auto"/>
                <w:bottom w:val="none" w:sz="0" w:space="0" w:color="auto"/>
                <w:right w:val="none" w:sz="0" w:space="0" w:color="auto"/>
              </w:divBdr>
            </w:div>
          </w:divsChild>
        </w:div>
        <w:div w:id="975061657">
          <w:marLeft w:val="0"/>
          <w:marRight w:val="0"/>
          <w:marTop w:val="0"/>
          <w:marBottom w:val="0"/>
          <w:divBdr>
            <w:top w:val="none" w:sz="0" w:space="0" w:color="auto"/>
            <w:left w:val="none" w:sz="0" w:space="0" w:color="auto"/>
            <w:bottom w:val="none" w:sz="0" w:space="0" w:color="auto"/>
            <w:right w:val="none" w:sz="0" w:space="0" w:color="auto"/>
          </w:divBdr>
          <w:divsChild>
            <w:div w:id="1278214376">
              <w:marLeft w:val="0"/>
              <w:marRight w:val="0"/>
              <w:marTop w:val="0"/>
              <w:marBottom w:val="0"/>
              <w:divBdr>
                <w:top w:val="none" w:sz="0" w:space="0" w:color="auto"/>
                <w:left w:val="none" w:sz="0" w:space="0" w:color="auto"/>
                <w:bottom w:val="none" w:sz="0" w:space="0" w:color="auto"/>
                <w:right w:val="none" w:sz="0" w:space="0" w:color="auto"/>
              </w:divBdr>
            </w:div>
          </w:divsChild>
        </w:div>
        <w:div w:id="992216151">
          <w:marLeft w:val="0"/>
          <w:marRight w:val="0"/>
          <w:marTop w:val="0"/>
          <w:marBottom w:val="0"/>
          <w:divBdr>
            <w:top w:val="none" w:sz="0" w:space="0" w:color="auto"/>
            <w:left w:val="none" w:sz="0" w:space="0" w:color="auto"/>
            <w:bottom w:val="none" w:sz="0" w:space="0" w:color="auto"/>
            <w:right w:val="none" w:sz="0" w:space="0" w:color="auto"/>
          </w:divBdr>
          <w:divsChild>
            <w:div w:id="459805549">
              <w:marLeft w:val="0"/>
              <w:marRight w:val="0"/>
              <w:marTop w:val="0"/>
              <w:marBottom w:val="0"/>
              <w:divBdr>
                <w:top w:val="none" w:sz="0" w:space="0" w:color="auto"/>
                <w:left w:val="none" w:sz="0" w:space="0" w:color="auto"/>
                <w:bottom w:val="none" w:sz="0" w:space="0" w:color="auto"/>
                <w:right w:val="none" w:sz="0" w:space="0" w:color="auto"/>
              </w:divBdr>
            </w:div>
          </w:divsChild>
        </w:div>
        <w:div w:id="1014188019">
          <w:marLeft w:val="0"/>
          <w:marRight w:val="0"/>
          <w:marTop w:val="0"/>
          <w:marBottom w:val="0"/>
          <w:divBdr>
            <w:top w:val="none" w:sz="0" w:space="0" w:color="auto"/>
            <w:left w:val="none" w:sz="0" w:space="0" w:color="auto"/>
            <w:bottom w:val="none" w:sz="0" w:space="0" w:color="auto"/>
            <w:right w:val="none" w:sz="0" w:space="0" w:color="auto"/>
          </w:divBdr>
          <w:divsChild>
            <w:div w:id="221982645">
              <w:marLeft w:val="0"/>
              <w:marRight w:val="0"/>
              <w:marTop w:val="0"/>
              <w:marBottom w:val="0"/>
              <w:divBdr>
                <w:top w:val="none" w:sz="0" w:space="0" w:color="auto"/>
                <w:left w:val="none" w:sz="0" w:space="0" w:color="auto"/>
                <w:bottom w:val="none" w:sz="0" w:space="0" w:color="auto"/>
                <w:right w:val="none" w:sz="0" w:space="0" w:color="auto"/>
              </w:divBdr>
            </w:div>
          </w:divsChild>
        </w:div>
        <w:div w:id="1070619413">
          <w:marLeft w:val="0"/>
          <w:marRight w:val="0"/>
          <w:marTop w:val="0"/>
          <w:marBottom w:val="0"/>
          <w:divBdr>
            <w:top w:val="none" w:sz="0" w:space="0" w:color="auto"/>
            <w:left w:val="none" w:sz="0" w:space="0" w:color="auto"/>
            <w:bottom w:val="none" w:sz="0" w:space="0" w:color="auto"/>
            <w:right w:val="none" w:sz="0" w:space="0" w:color="auto"/>
          </w:divBdr>
          <w:divsChild>
            <w:div w:id="29771375">
              <w:marLeft w:val="0"/>
              <w:marRight w:val="0"/>
              <w:marTop w:val="0"/>
              <w:marBottom w:val="0"/>
              <w:divBdr>
                <w:top w:val="none" w:sz="0" w:space="0" w:color="auto"/>
                <w:left w:val="none" w:sz="0" w:space="0" w:color="auto"/>
                <w:bottom w:val="none" w:sz="0" w:space="0" w:color="auto"/>
                <w:right w:val="none" w:sz="0" w:space="0" w:color="auto"/>
              </w:divBdr>
            </w:div>
          </w:divsChild>
        </w:div>
        <w:div w:id="1093739922">
          <w:marLeft w:val="0"/>
          <w:marRight w:val="0"/>
          <w:marTop w:val="0"/>
          <w:marBottom w:val="0"/>
          <w:divBdr>
            <w:top w:val="none" w:sz="0" w:space="0" w:color="auto"/>
            <w:left w:val="none" w:sz="0" w:space="0" w:color="auto"/>
            <w:bottom w:val="none" w:sz="0" w:space="0" w:color="auto"/>
            <w:right w:val="none" w:sz="0" w:space="0" w:color="auto"/>
          </w:divBdr>
          <w:divsChild>
            <w:div w:id="1452287774">
              <w:marLeft w:val="0"/>
              <w:marRight w:val="0"/>
              <w:marTop w:val="0"/>
              <w:marBottom w:val="0"/>
              <w:divBdr>
                <w:top w:val="none" w:sz="0" w:space="0" w:color="auto"/>
                <w:left w:val="none" w:sz="0" w:space="0" w:color="auto"/>
                <w:bottom w:val="none" w:sz="0" w:space="0" w:color="auto"/>
                <w:right w:val="none" w:sz="0" w:space="0" w:color="auto"/>
              </w:divBdr>
            </w:div>
          </w:divsChild>
        </w:div>
        <w:div w:id="1131049110">
          <w:marLeft w:val="0"/>
          <w:marRight w:val="0"/>
          <w:marTop w:val="0"/>
          <w:marBottom w:val="0"/>
          <w:divBdr>
            <w:top w:val="none" w:sz="0" w:space="0" w:color="auto"/>
            <w:left w:val="none" w:sz="0" w:space="0" w:color="auto"/>
            <w:bottom w:val="none" w:sz="0" w:space="0" w:color="auto"/>
            <w:right w:val="none" w:sz="0" w:space="0" w:color="auto"/>
          </w:divBdr>
          <w:divsChild>
            <w:div w:id="827986617">
              <w:marLeft w:val="0"/>
              <w:marRight w:val="0"/>
              <w:marTop w:val="0"/>
              <w:marBottom w:val="0"/>
              <w:divBdr>
                <w:top w:val="none" w:sz="0" w:space="0" w:color="auto"/>
                <w:left w:val="none" w:sz="0" w:space="0" w:color="auto"/>
                <w:bottom w:val="none" w:sz="0" w:space="0" w:color="auto"/>
                <w:right w:val="none" w:sz="0" w:space="0" w:color="auto"/>
              </w:divBdr>
            </w:div>
          </w:divsChild>
        </w:div>
        <w:div w:id="1259826427">
          <w:marLeft w:val="0"/>
          <w:marRight w:val="0"/>
          <w:marTop w:val="0"/>
          <w:marBottom w:val="0"/>
          <w:divBdr>
            <w:top w:val="none" w:sz="0" w:space="0" w:color="auto"/>
            <w:left w:val="none" w:sz="0" w:space="0" w:color="auto"/>
            <w:bottom w:val="none" w:sz="0" w:space="0" w:color="auto"/>
            <w:right w:val="none" w:sz="0" w:space="0" w:color="auto"/>
          </w:divBdr>
          <w:divsChild>
            <w:div w:id="975446974">
              <w:marLeft w:val="0"/>
              <w:marRight w:val="0"/>
              <w:marTop w:val="0"/>
              <w:marBottom w:val="0"/>
              <w:divBdr>
                <w:top w:val="none" w:sz="0" w:space="0" w:color="auto"/>
                <w:left w:val="none" w:sz="0" w:space="0" w:color="auto"/>
                <w:bottom w:val="none" w:sz="0" w:space="0" w:color="auto"/>
                <w:right w:val="none" w:sz="0" w:space="0" w:color="auto"/>
              </w:divBdr>
            </w:div>
          </w:divsChild>
        </w:div>
        <w:div w:id="1288775766">
          <w:marLeft w:val="0"/>
          <w:marRight w:val="0"/>
          <w:marTop w:val="0"/>
          <w:marBottom w:val="0"/>
          <w:divBdr>
            <w:top w:val="none" w:sz="0" w:space="0" w:color="auto"/>
            <w:left w:val="none" w:sz="0" w:space="0" w:color="auto"/>
            <w:bottom w:val="none" w:sz="0" w:space="0" w:color="auto"/>
            <w:right w:val="none" w:sz="0" w:space="0" w:color="auto"/>
          </w:divBdr>
          <w:divsChild>
            <w:div w:id="1415512102">
              <w:marLeft w:val="0"/>
              <w:marRight w:val="0"/>
              <w:marTop w:val="0"/>
              <w:marBottom w:val="0"/>
              <w:divBdr>
                <w:top w:val="none" w:sz="0" w:space="0" w:color="auto"/>
                <w:left w:val="none" w:sz="0" w:space="0" w:color="auto"/>
                <w:bottom w:val="none" w:sz="0" w:space="0" w:color="auto"/>
                <w:right w:val="none" w:sz="0" w:space="0" w:color="auto"/>
              </w:divBdr>
            </w:div>
          </w:divsChild>
        </w:div>
        <w:div w:id="1315572445">
          <w:marLeft w:val="0"/>
          <w:marRight w:val="0"/>
          <w:marTop w:val="0"/>
          <w:marBottom w:val="0"/>
          <w:divBdr>
            <w:top w:val="none" w:sz="0" w:space="0" w:color="auto"/>
            <w:left w:val="none" w:sz="0" w:space="0" w:color="auto"/>
            <w:bottom w:val="none" w:sz="0" w:space="0" w:color="auto"/>
            <w:right w:val="none" w:sz="0" w:space="0" w:color="auto"/>
          </w:divBdr>
          <w:divsChild>
            <w:div w:id="1736930704">
              <w:marLeft w:val="0"/>
              <w:marRight w:val="0"/>
              <w:marTop w:val="0"/>
              <w:marBottom w:val="0"/>
              <w:divBdr>
                <w:top w:val="none" w:sz="0" w:space="0" w:color="auto"/>
                <w:left w:val="none" w:sz="0" w:space="0" w:color="auto"/>
                <w:bottom w:val="none" w:sz="0" w:space="0" w:color="auto"/>
                <w:right w:val="none" w:sz="0" w:space="0" w:color="auto"/>
              </w:divBdr>
            </w:div>
          </w:divsChild>
        </w:div>
        <w:div w:id="1336415773">
          <w:marLeft w:val="0"/>
          <w:marRight w:val="0"/>
          <w:marTop w:val="0"/>
          <w:marBottom w:val="0"/>
          <w:divBdr>
            <w:top w:val="none" w:sz="0" w:space="0" w:color="auto"/>
            <w:left w:val="none" w:sz="0" w:space="0" w:color="auto"/>
            <w:bottom w:val="none" w:sz="0" w:space="0" w:color="auto"/>
            <w:right w:val="none" w:sz="0" w:space="0" w:color="auto"/>
          </w:divBdr>
          <w:divsChild>
            <w:div w:id="2039431595">
              <w:marLeft w:val="0"/>
              <w:marRight w:val="0"/>
              <w:marTop w:val="0"/>
              <w:marBottom w:val="0"/>
              <w:divBdr>
                <w:top w:val="none" w:sz="0" w:space="0" w:color="auto"/>
                <w:left w:val="none" w:sz="0" w:space="0" w:color="auto"/>
                <w:bottom w:val="none" w:sz="0" w:space="0" w:color="auto"/>
                <w:right w:val="none" w:sz="0" w:space="0" w:color="auto"/>
              </w:divBdr>
            </w:div>
          </w:divsChild>
        </w:div>
        <w:div w:id="1348940653">
          <w:marLeft w:val="0"/>
          <w:marRight w:val="0"/>
          <w:marTop w:val="0"/>
          <w:marBottom w:val="0"/>
          <w:divBdr>
            <w:top w:val="none" w:sz="0" w:space="0" w:color="auto"/>
            <w:left w:val="none" w:sz="0" w:space="0" w:color="auto"/>
            <w:bottom w:val="none" w:sz="0" w:space="0" w:color="auto"/>
            <w:right w:val="none" w:sz="0" w:space="0" w:color="auto"/>
          </w:divBdr>
          <w:divsChild>
            <w:div w:id="1906791035">
              <w:marLeft w:val="0"/>
              <w:marRight w:val="0"/>
              <w:marTop w:val="0"/>
              <w:marBottom w:val="0"/>
              <w:divBdr>
                <w:top w:val="none" w:sz="0" w:space="0" w:color="auto"/>
                <w:left w:val="none" w:sz="0" w:space="0" w:color="auto"/>
                <w:bottom w:val="none" w:sz="0" w:space="0" w:color="auto"/>
                <w:right w:val="none" w:sz="0" w:space="0" w:color="auto"/>
              </w:divBdr>
            </w:div>
          </w:divsChild>
        </w:div>
        <w:div w:id="1385331149">
          <w:marLeft w:val="0"/>
          <w:marRight w:val="0"/>
          <w:marTop w:val="0"/>
          <w:marBottom w:val="0"/>
          <w:divBdr>
            <w:top w:val="none" w:sz="0" w:space="0" w:color="auto"/>
            <w:left w:val="none" w:sz="0" w:space="0" w:color="auto"/>
            <w:bottom w:val="none" w:sz="0" w:space="0" w:color="auto"/>
            <w:right w:val="none" w:sz="0" w:space="0" w:color="auto"/>
          </w:divBdr>
          <w:divsChild>
            <w:div w:id="1630823270">
              <w:marLeft w:val="0"/>
              <w:marRight w:val="0"/>
              <w:marTop w:val="0"/>
              <w:marBottom w:val="0"/>
              <w:divBdr>
                <w:top w:val="none" w:sz="0" w:space="0" w:color="auto"/>
                <w:left w:val="none" w:sz="0" w:space="0" w:color="auto"/>
                <w:bottom w:val="none" w:sz="0" w:space="0" w:color="auto"/>
                <w:right w:val="none" w:sz="0" w:space="0" w:color="auto"/>
              </w:divBdr>
            </w:div>
          </w:divsChild>
        </w:div>
        <w:div w:id="1512405971">
          <w:marLeft w:val="0"/>
          <w:marRight w:val="0"/>
          <w:marTop w:val="0"/>
          <w:marBottom w:val="0"/>
          <w:divBdr>
            <w:top w:val="none" w:sz="0" w:space="0" w:color="auto"/>
            <w:left w:val="none" w:sz="0" w:space="0" w:color="auto"/>
            <w:bottom w:val="none" w:sz="0" w:space="0" w:color="auto"/>
            <w:right w:val="none" w:sz="0" w:space="0" w:color="auto"/>
          </w:divBdr>
          <w:divsChild>
            <w:div w:id="1182822033">
              <w:marLeft w:val="0"/>
              <w:marRight w:val="0"/>
              <w:marTop w:val="0"/>
              <w:marBottom w:val="0"/>
              <w:divBdr>
                <w:top w:val="none" w:sz="0" w:space="0" w:color="auto"/>
                <w:left w:val="none" w:sz="0" w:space="0" w:color="auto"/>
                <w:bottom w:val="none" w:sz="0" w:space="0" w:color="auto"/>
                <w:right w:val="none" w:sz="0" w:space="0" w:color="auto"/>
              </w:divBdr>
            </w:div>
          </w:divsChild>
        </w:div>
        <w:div w:id="1529025403">
          <w:marLeft w:val="0"/>
          <w:marRight w:val="0"/>
          <w:marTop w:val="0"/>
          <w:marBottom w:val="0"/>
          <w:divBdr>
            <w:top w:val="none" w:sz="0" w:space="0" w:color="auto"/>
            <w:left w:val="none" w:sz="0" w:space="0" w:color="auto"/>
            <w:bottom w:val="none" w:sz="0" w:space="0" w:color="auto"/>
            <w:right w:val="none" w:sz="0" w:space="0" w:color="auto"/>
          </w:divBdr>
          <w:divsChild>
            <w:div w:id="236134321">
              <w:marLeft w:val="0"/>
              <w:marRight w:val="0"/>
              <w:marTop w:val="0"/>
              <w:marBottom w:val="0"/>
              <w:divBdr>
                <w:top w:val="none" w:sz="0" w:space="0" w:color="auto"/>
                <w:left w:val="none" w:sz="0" w:space="0" w:color="auto"/>
                <w:bottom w:val="none" w:sz="0" w:space="0" w:color="auto"/>
                <w:right w:val="none" w:sz="0" w:space="0" w:color="auto"/>
              </w:divBdr>
            </w:div>
          </w:divsChild>
        </w:div>
        <w:div w:id="1563369030">
          <w:marLeft w:val="0"/>
          <w:marRight w:val="0"/>
          <w:marTop w:val="0"/>
          <w:marBottom w:val="0"/>
          <w:divBdr>
            <w:top w:val="none" w:sz="0" w:space="0" w:color="auto"/>
            <w:left w:val="none" w:sz="0" w:space="0" w:color="auto"/>
            <w:bottom w:val="none" w:sz="0" w:space="0" w:color="auto"/>
            <w:right w:val="none" w:sz="0" w:space="0" w:color="auto"/>
          </w:divBdr>
          <w:divsChild>
            <w:div w:id="297806116">
              <w:marLeft w:val="0"/>
              <w:marRight w:val="0"/>
              <w:marTop w:val="0"/>
              <w:marBottom w:val="0"/>
              <w:divBdr>
                <w:top w:val="none" w:sz="0" w:space="0" w:color="auto"/>
                <w:left w:val="none" w:sz="0" w:space="0" w:color="auto"/>
                <w:bottom w:val="none" w:sz="0" w:space="0" w:color="auto"/>
                <w:right w:val="none" w:sz="0" w:space="0" w:color="auto"/>
              </w:divBdr>
            </w:div>
          </w:divsChild>
        </w:div>
        <w:div w:id="1574192502">
          <w:marLeft w:val="0"/>
          <w:marRight w:val="0"/>
          <w:marTop w:val="0"/>
          <w:marBottom w:val="0"/>
          <w:divBdr>
            <w:top w:val="none" w:sz="0" w:space="0" w:color="auto"/>
            <w:left w:val="none" w:sz="0" w:space="0" w:color="auto"/>
            <w:bottom w:val="none" w:sz="0" w:space="0" w:color="auto"/>
            <w:right w:val="none" w:sz="0" w:space="0" w:color="auto"/>
          </w:divBdr>
          <w:divsChild>
            <w:div w:id="1299798168">
              <w:marLeft w:val="0"/>
              <w:marRight w:val="0"/>
              <w:marTop w:val="0"/>
              <w:marBottom w:val="0"/>
              <w:divBdr>
                <w:top w:val="none" w:sz="0" w:space="0" w:color="auto"/>
                <w:left w:val="none" w:sz="0" w:space="0" w:color="auto"/>
                <w:bottom w:val="none" w:sz="0" w:space="0" w:color="auto"/>
                <w:right w:val="none" w:sz="0" w:space="0" w:color="auto"/>
              </w:divBdr>
            </w:div>
          </w:divsChild>
        </w:div>
        <w:div w:id="1642612699">
          <w:marLeft w:val="0"/>
          <w:marRight w:val="0"/>
          <w:marTop w:val="0"/>
          <w:marBottom w:val="0"/>
          <w:divBdr>
            <w:top w:val="none" w:sz="0" w:space="0" w:color="auto"/>
            <w:left w:val="none" w:sz="0" w:space="0" w:color="auto"/>
            <w:bottom w:val="none" w:sz="0" w:space="0" w:color="auto"/>
            <w:right w:val="none" w:sz="0" w:space="0" w:color="auto"/>
          </w:divBdr>
          <w:divsChild>
            <w:div w:id="1300263950">
              <w:marLeft w:val="0"/>
              <w:marRight w:val="0"/>
              <w:marTop w:val="0"/>
              <w:marBottom w:val="0"/>
              <w:divBdr>
                <w:top w:val="none" w:sz="0" w:space="0" w:color="auto"/>
                <w:left w:val="none" w:sz="0" w:space="0" w:color="auto"/>
                <w:bottom w:val="none" w:sz="0" w:space="0" w:color="auto"/>
                <w:right w:val="none" w:sz="0" w:space="0" w:color="auto"/>
              </w:divBdr>
            </w:div>
          </w:divsChild>
        </w:div>
        <w:div w:id="1657949713">
          <w:marLeft w:val="0"/>
          <w:marRight w:val="0"/>
          <w:marTop w:val="0"/>
          <w:marBottom w:val="0"/>
          <w:divBdr>
            <w:top w:val="none" w:sz="0" w:space="0" w:color="auto"/>
            <w:left w:val="none" w:sz="0" w:space="0" w:color="auto"/>
            <w:bottom w:val="none" w:sz="0" w:space="0" w:color="auto"/>
            <w:right w:val="none" w:sz="0" w:space="0" w:color="auto"/>
          </w:divBdr>
          <w:divsChild>
            <w:div w:id="1647053437">
              <w:marLeft w:val="0"/>
              <w:marRight w:val="0"/>
              <w:marTop w:val="0"/>
              <w:marBottom w:val="0"/>
              <w:divBdr>
                <w:top w:val="none" w:sz="0" w:space="0" w:color="auto"/>
                <w:left w:val="none" w:sz="0" w:space="0" w:color="auto"/>
                <w:bottom w:val="none" w:sz="0" w:space="0" w:color="auto"/>
                <w:right w:val="none" w:sz="0" w:space="0" w:color="auto"/>
              </w:divBdr>
            </w:div>
          </w:divsChild>
        </w:div>
        <w:div w:id="1838181804">
          <w:marLeft w:val="0"/>
          <w:marRight w:val="0"/>
          <w:marTop w:val="0"/>
          <w:marBottom w:val="0"/>
          <w:divBdr>
            <w:top w:val="none" w:sz="0" w:space="0" w:color="auto"/>
            <w:left w:val="none" w:sz="0" w:space="0" w:color="auto"/>
            <w:bottom w:val="none" w:sz="0" w:space="0" w:color="auto"/>
            <w:right w:val="none" w:sz="0" w:space="0" w:color="auto"/>
          </w:divBdr>
          <w:divsChild>
            <w:div w:id="1301307872">
              <w:marLeft w:val="0"/>
              <w:marRight w:val="0"/>
              <w:marTop w:val="0"/>
              <w:marBottom w:val="0"/>
              <w:divBdr>
                <w:top w:val="none" w:sz="0" w:space="0" w:color="auto"/>
                <w:left w:val="none" w:sz="0" w:space="0" w:color="auto"/>
                <w:bottom w:val="none" w:sz="0" w:space="0" w:color="auto"/>
                <w:right w:val="none" w:sz="0" w:space="0" w:color="auto"/>
              </w:divBdr>
            </w:div>
          </w:divsChild>
        </w:div>
        <w:div w:id="1871062587">
          <w:marLeft w:val="0"/>
          <w:marRight w:val="0"/>
          <w:marTop w:val="0"/>
          <w:marBottom w:val="0"/>
          <w:divBdr>
            <w:top w:val="none" w:sz="0" w:space="0" w:color="auto"/>
            <w:left w:val="none" w:sz="0" w:space="0" w:color="auto"/>
            <w:bottom w:val="none" w:sz="0" w:space="0" w:color="auto"/>
            <w:right w:val="none" w:sz="0" w:space="0" w:color="auto"/>
          </w:divBdr>
          <w:divsChild>
            <w:div w:id="1665742161">
              <w:marLeft w:val="0"/>
              <w:marRight w:val="0"/>
              <w:marTop w:val="0"/>
              <w:marBottom w:val="0"/>
              <w:divBdr>
                <w:top w:val="none" w:sz="0" w:space="0" w:color="auto"/>
                <w:left w:val="none" w:sz="0" w:space="0" w:color="auto"/>
                <w:bottom w:val="none" w:sz="0" w:space="0" w:color="auto"/>
                <w:right w:val="none" w:sz="0" w:space="0" w:color="auto"/>
              </w:divBdr>
            </w:div>
          </w:divsChild>
        </w:div>
        <w:div w:id="1887326816">
          <w:marLeft w:val="0"/>
          <w:marRight w:val="0"/>
          <w:marTop w:val="0"/>
          <w:marBottom w:val="0"/>
          <w:divBdr>
            <w:top w:val="none" w:sz="0" w:space="0" w:color="auto"/>
            <w:left w:val="none" w:sz="0" w:space="0" w:color="auto"/>
            <w:bottom w:val="none" w:sz="0" w:space="0" w:color="auto"/>
            <w:right w:val="none" w:sz="0" w:space="0" w:color="auto"/>
          </w:divBdr>
          <w:divsChild>
            <w:div w:id="1381586866">
              <w:marLeft w:val="0"/>
              <w:marRight w:val="0"/>
              <w:marTop w:val="0"/>
              <w:marBottom w:val="0"/>
              <w:divBdr>
                <w:top w:val="none" w:sz="0" w:space="0" w:color="auto"/>
                <w:left w:val="none" w:sz="0" w:space="0" w:color="auto"/>
                <w:bottom w:val="none" w:sz="0" w:space="0" w:color="auto"/>
                <w:right w:val="none" w:sz="0" w:space="0" w:color="auto"/>
              </w:divBdr>
            </w:div>
          </w:divsChild>
        </w:div>
        <w:div w:id="1911773079">
          <w:marLeft w:val="0"/>
          <w:marRight w:val="0"/>
          <w:marTop w:val="0"/>
          <w:marBottom w:val="0"/>
          <w:divBdr>
            <w:top w:val="none" w:sz="0" w:space="0" w:color="auto"/>
            <w:left w:val="none" w:sz="0" w:space="0" w:color="auto"/>
            <w:bottom w:val="none" w:sz="0" w:space="0" w:color="auto"/>
            <w:right w:val="none" w:sz="0" w:space="0" w:color="auto"/>
          </w:divBdr>
          <w:divsChild>
            <w:div w:id="1369453124">
              <w:marLeft w:val="0"/>
              <w:marRight w:val="0"/>
              <w:marTop w:val="0"/>
              <w:marBottom w:val="0"/>
              <w:divBdr>
                <w:top w:val="none" w:sz="0" w:space="0" w:color="auto"/>
                <w:left w:val="none" w:sz="0" w:space="0" w:color="auto"/>
                <w:bottom w:val="none" w:sz="0" w:space="0" w:color="auto"/>
                <w:right w:val="none" w:sz="0" w:space="0" w:color="auto"/>
              </w:divBdr>
            </w:div>
          </w:divsChild>
        </w:div>
        <w:div w:id="1979795205">
          <w:marLeft w:val="0"/>
          <w:marRight w:val="0"/>
          <w:marTop w:val="0"/>
          <w:marBottom w:val="0"/>
          <w:divBdr>
            <w:top w:val="none" w:sz="0" w:space="0" w:color="auto"/>
            <w:left w:val="none" w:sz="0" w:space="0" w:color="auto"/>
            <w:bottom w:val="none" w:sz="0" w:space="0" w:color="auto"/>
            <w:right w:val="none" w:sz="0" w:space="0" w:color="auto"/>
          </w:divBdr>
          <w:divsChild>
            <w:div w:id="200485267">
              <w:marLeft w:val="0"/>
              <w:marRight w:val="0"/>
              <w:marTop w:val="0"/>
              <w:marBottom w:val="0"/>
              <w:divBdr>
                <w:top w:val="none" w:sz="0" w:space="0" w:color="auto"/>
                <w:left w:val="none" w:sz="0" w:space="0" w:color="auto"/>
                <w:bottom w:val="none" w:sz="0" w:space="0" w:color="auto"/>
                <w:right w:val="none" w:sz="0" w:space="0" w:color="auto"/>
              </w:divBdr>
            </w:div>
          </w:divsChild>
        </w:div>
        <w:div w:id="2039115622">
          <w:marLeft w:val="0"/>
          <w:marRight w:val="0"/>
          <w:marTop w:val="0"/>
          <w:marBottom w:val="0"/>
          <w:divBdr>
            <w:top w:val="none" w:sz="0" w:space="0" w:color="auto"/>
            <w:left w:val="none" w:sz="0" w:space="0" w:color="auto"/>
            <w:bottom w:val="none" w:sz="0" w:space="0" w:color="auto"/>
            <w:right w:val="none" w:sz="0" w:space="0" w:color="auto"/>
          </w:divBdr>
          <w:divsChild>
            <w:div w:id="192379302">
              <w:marLeft w:val="0"/>
              <w:marRight w:val="0"/>
              <w:marTop w:val="0"/>
              <w:marBottom w:val="0"/>
              <w:divBdr>
                <w:top w:val="none" w:sz="0" w:space="0" w:color="auto"/>
                <w:left w:val="none" w:sz="0" w:space="0" w:color="auto"/>
                <w:bottom w:val="none" w:sz="0" w:space="0" w:color="auto"/>
                <w:right w:val="none" w:sz="0" w:space="0" w:color="auto"/>
              </w:divBdr>
            </w:div>
          </w:divsChild>
        </w:div>
        <w:div w:id="2088530467">
          <w:marLeft w:val="0"/>
          <w:marRight w:val="0"/>
          <w:marTop w:val="0"/>
          <w:marBottom w:val="0"/>
          <w:divBdr>
            <w:top w:val="none" w:sz="0" w:space="0" w:color="auto"/>
            <w:left w:val="none" w:sz="0" w:space="0" w:color="auto"/>
            <w:bottom w:val="none" w:sz="0" w:space="0" w:color="auto"/>
            <w:right w:val="none" w:sz="0" w:space="0" w:color="auto"/>
          </w:divBdr>
          <w:divsChild>
            <w:div w:id="1997763962">
              <w:marLeft w:val="0"/>
              <w:marRight w:val="0"/>
              <w:marTop w:val="0"/>
              <w:marBottom w:val="0"/>
              <w:divBdr>
                <w:top w:val="none" w:sz="0" w:space="0" w:color="auto"/>
                <w:left w:val="none" w:sz="0" w:space="0" w:color="auto"/>
                <w:bottom w:val="none" w:sz="0" w:space="0" w:color="auto"/>
                <w:right w:val="none" w:sz="0" w:space="0" w:color="auto"/>
              </w:divBdr>
            </w:div>
          </w:divsChild>
        </w:div>
        <w:div w:id="2096635019">
          <w:marLeft w:val="0"/>
          <w:marRight w:val="0"/>
          <w:marTop w:val="0"/>
          <w:marBottom w:val="0"/>
          <w:divBdr>
            <w:top w:val="none" w:sz="0" w:space="0" w:color="auto"/>
            <w:left w:val="none" w:sz="0" w:space="0" w:color="auto"/>
            <w:bottom w:val="none" w:sz="0" w:space="0" w:color="auto"/>
            <w:right w:val="none" w:sz="0" w:space="0" w:color="auto"/>
          </w:divBdr>
          <w:divsChild>
            <w:div w:id="1948387021">
              <w:marLeft w:val="0"/>
              <w:marRight w:val="0"/>
              <w:marTop w:val="0"/>
              <w:marBottom w:val="0"/>
              <w:divBdr>
                <w:top w:val="none" w:sz="0" w:space="0" w:color="auto"/>
                <w:left w:val="none" w:sz="0" w:space="0" w:color="auto"/>
                <w:bottom w:val="none" w:sz="0" w:space="0" w:color="auto"/>
                <w:right w:val="none" w:sz="0" w:space="0" w:color="auto"/>
              </w:divBdr>
            </w:div>
          </w:divsChild>
        </w:div>
        <w:div w:id="2104566460">
          <w:marLeft w:val="0"/>
          <w:marRight w:val="0"/>
          <w:marTop w:val="0"/>
          <w:marBottom w:val="0"/>
          <w:divBdr>
            <w:top w:val="none" w:sz="0" w:space="0" w:color="auto"/>
            <w:left w:val="none" w:sz="0" w:space="0" w:color="auto"/>
            <w:bottom w:val="none" w:sz="0" w:space="0" w:color="auto"/>
            <w:right w:val="none" w:sz="0" w:space="0" w:color="auto"/>
          </w:divBdr>
          <w:divsChild>
            <w:div w:id="9422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2787070">
      <w:bodyDiv w:val="1"/>
      <w:marLeft w:val="0"/>
      <w:marRight w:val="0"/>
      <w:marTop w:val="0"/>
      <w:marBottom w:val="0"/>
      <w:divBdr>
        <w:top w:val="none" w:sz="0" w:space="0" w:color="auto"/>
        <w:left w:val="none" w:sz="0" w:space="0" w:color="auto"/>
        <w:bottom w:val="none" w:sz="0" w:space="0" w:color="auto"/>
        <w:right w:val="none" w:sz="0" w:space="0" w:color="auto"/>
      </w:divBdr>
      <w:divsChild>
        <w:div w:id="374811994">
          <w:marLeft w:val="0"/>
          <w:marRight w:val="0"/>
          <w:marTop w:val="0"/>
          <w:marBottom w:val="0"/>
          <w:divBdr>
            <w:top w:val="none" w:sz="0" w:space="0" w:color="auto"/>
            <w:left w:val="none" w:sz="0" w:space="0" w:color="auto"/>
            <w:bottom w:val="none" w:sz="0" w:space="0" w:color="auto"/>
            <w:right w:val="none" w:sz="0" w:space="0" w:color="auto"/>
          </w:divBdr>
        </w:div>
      </w:divsChild>
    </w:div>
    <w:div w:id="196924227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pbac-meetings/agenda/03-201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eurheartj/ehac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F3C0-9710-4D55-BF79-D790E0C41DA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FB3B55D1-2127-46D5-B28B-D7B93BED8CD7}">
  <ds:schemaRefs>
    <ds:schemaRef ds:uri="http://schemas.microsoft.com/sharepoint/v3/contenttype/forms"/>
  </ds:schemaRefs>
</ds:datastoreItem>
</file>

<file path=customXml/itemProps3.xml><?xml version="1.0" encoding="utf-8"?>
<ds:datastoreItem xmlns:ds="http://schemas.openxmlformats.org/officeDocument/2006/customXml" ds:itemID="{0309C097-2067-48C4-BC57-3F3457E2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8303</Words>
  <Characters>46585</Characters>
  <Application>Microsoft Office Word</Application>
  <DocSecurity>0</DocSecurity>
  <Lines>1606</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53908</CharactersWithSpaces>
  <SharedDoc>false</SharedDoc>
  <HLinks>
    <vt:vector size="12" baseType="variant">
      <vt:variant>
        <vt:i4>7798833</vt:i4>
      </vt:variant>
      <vt:variant>
        <vt:i4>0</vt:i4>
      </vt:variant>
      <vt:variant>
        <vt:i4>0</vt:i4>
      </vt:variant>
      <vt:variant>
        <vt:i4>5</vt:i4>
      </vt:variant>
      <vt:variant>
        <vt:lpwstr>https://www.pbs.gov.au/info/industry/listing/elements/pbac-meetings/agenda/03-2013</vt:lpwstr>
      </vt:variant>
      <vt:variant>
        <vt:lpwstr/>
      </vt:variant>
      <vt:variant>
        <vt:i4>131077</vt:i4>
      </vt:variant>
      <vt:variant>
        <vt:i4>0</vt:i4>
      </vt:variant>
      <vt:variant>
        <vt:i4>0</vt:i4>
      </vt:variant>
      <vt:variant>
        <vt:i4>5</vt:i4>
      </vt:variant>
      <vt:variant>
        <vt:lpwstr>https://doi.org/10.1093/eurheartj/ehac248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2026-04-08T23:30:00Z</dcterms:created>
  <dcterms:modified xsi:type="dcterms:W3CDTF">2026-04-21T23:31:00Z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37f4cbd4,64cde49d,28d4e626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7cb90226,395f40a6,58ddd0b9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2026-03-30T06:42:22Z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bf5816e2-8317-4ae2-8686-f57c91173d22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MSIP_Label_ed96aa77-7762-4c34-b9f0-7d6a55545bbc_Name">
    <vt:lpwstr>Proprietary</vt:lpwstr>
  </property>
  <property fmtid="{D5CDD505-2E9C-101B-9397-08002B2CF9AE}" pid="19" name="docLang">
    <vt:lpwstr>en</vt:lpwstr>
  </property>
  <property fmtid="{D5CDD505-2E9C-101B-9397-08002B2CF9AE}" pid="20" name="MSIP_Label_ed96aa77-7762-4c34-b9f0-7d6a55545bbc_ContentBits">
    <vt:lpwstr>0</vt:lpwstr>
  </property>
  <property fmtid="{D5CDD505-2E9C-101B-9397-08002B2CF9AE}" pid="21" name="MSIP_Label_ed96aa77-7762-4c34-b9f0-7d6a55545bbc_Enabled">
    <vt:lpwstr>true</vt:lpwstr>
  </property>
  <property fmtid="{D5CDD505-2E9C-101B-9397-08002B2CF9AE}" pid="22" name="MSIP_Label_ed96aa77-7762-4c34-b9f0-7d6a55545bbc_ActionId">
    <vt:lpwstr>d9aa1d59-481b-4a62-8b70-a1466f6664b7</vt:lpwstr>
  </property>
  <property fmtid="{D5CDD505-2E9C-101B-9397-08002B2CF9AE}" pid="23" name="MSIP_Label_ed96aa77-7762-4c34-b9f0-7d6a55545bbc_SiteId">
    <vt:lpwstr>b7dcea4e-d150-4ba1-8b2a-c8b27a75525c</vt:lpwstr>
  </property>
  <property fmtid="{D5CDD505-2E9C-101B-9397-08002B2CF9AE}" pid="24" name="MSIP_Label_ed96aa77-7762-4c34-b9f0-7d6a55545bbc_Method">
    <vt:lpwstr>Privileged</vt:lpwstr>
  </property>
  <property fmtid="{D5CDD505-2E9C-101B-9397-08002B2CF9AE}" pid="25" name="MSIP_Label_ed96aa77-7762-4c34-b9f0-7d6a55545bbc_SetDate">
    <vt:lpwstr>2025-09-24T03:58:01Z</vt:lpwstr>
  </property>
</Properties>
</file>