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1D08" w14:textId="67571F3E" w:rsidR="00A53FC1" w:rsidRPr="00FA0529" w:rsidRDefault="0083088C" w:rsidP="00A53FC1">
      <w:pPr>
        <w:pStyle w:val="1-MainHeading"/>
        <w:spacing w:after="0"/>
      </w:pPr>
      <w:r w:rsidRPr="00FA0529">
        <w:t>7.05</w:t>
      </w:r>
      <w:r w:rsidR="000B7767" w:rsidRPr="00FA0529">
        <w:tab/>
      </w:r>
      <w:r w:rsidR="00A53FC1" w:rsidRPr="00FA0529">
        <w:rPr>
          <w:bCs/>
        </w:rPr>
        <w:t>Futibatinib</w:t>
      </w:r>
      <w:r w:rsidR="003F03E4" w:rsidRPr="00FA0529">
        <w:rPr>
          <w:bCs/>
        </w:rPr>
        <w:t>,</w:t>
      </w:r>
      <w:r w:rsidR="00A53FC1" w:rsidRPr="00FA0529">
        <w:rPr>
          <w:bCs/>
        </w:rPr>
        <w:t xml:space="preserve"> </w:t>
      </w:r>
    </w:p>
    <w:p w14:paraId="51979C7D" w14:textId="4EEEF16E" w:rsidR="00A53FC1" w:rsidRPr="00FA0529" w:rsidRDefault="00A53FC1" w:rsidP="00A53FC1">
      <w:pPr>
        <w:pStyle w:val="1-MainHeading"/>
        <w:spacing w:before="0" w:after="0"/>
        <w:ind w:firstLine="0"/>
      </w:pPr>
      <w:r w:rsidRPr="00FA0529">
        <w:t xml:space="preserve">Tablet 4 mg, </w:t>
      </w:r>
    </w:p>
    <w:p w14:paraId="405B466B" w14:textId="0FDDE4CB" w:rsidR="00A53FC1" w:rsidRPr="00FA0529" w:rsidRDefault="00A53FC1" w:rsidP="00A53FC1">
      <w:pPr>
        <w:pStyle w:val="1-MainHeading"/>
        <w:spacing w:before="0" w:after="0"/>
      </w:pPr>
      <w:r w:rsidRPr="00FA0529">
        <w:tab/>
        <w:t>Lytgobi ®,</w:t>
      </w:r>
    </w:p>
    <w:p w14:paraId="08A95D01" w14:textId="77777777" w:rsidR="00A53FC1" w:rsidRPr="00FA0529" w:rsidRDefault="00A53FC1" w:rsidP="00A53FC1">
      <w:pPr>
        <w:pStyle w:val="1-MainHeading"/>
        <w:spacing w:before="0"/>
        <w:rPr>
          <w:b w:val="0"/>
          <w:bCs/>
        </w:rPr>
      </w:pPr>
      <w:r w:rsidRPr="00FA0529">
        <w:tab/>
        <w:t>Taiho</w:t>
      </w:r>
      <w:r w:rsidRPr="00FA0529">
        <w:rPr>
          <w:bCs/>
        </w:rPr>
        <w:t xml:space="preserve"> Pharma Oceania Pty Ltd</w:t>
      </w:r>
    </w:p>
    <w:p w14:paraId="1DE8D195" w14:textId="40C679A1" w:rsidR="003F044F" w:rsidRPr="00FA0529" w:rsidRDefault="009C5B72" w:rsidP="006C5B33">
      <w:pPr>
        <w:pStyle w:val="2-SectionHeading"/>
        <w:rPr>
          <w:rFonts w:eastAsia="Calibri"/>
        </w:rPr>
      </w:pPr>
      <w:r w:rsidRPr="00FA0529">
        <w:t>Purpose</w:t>
      </w:r>
    </w:p>
    <w:p w14:paraId="055F1FC8" w14:textId="7DDC3F0B" w:rsidR="00F81F7A" w:rsidRPr="00FA0529" w:rsidRDefault="00F81F7A" w:rsidP="006C5B33">
      <w:pPr>
        <w:pStyle w:val="3-BodyText"/>
      </w:pPr>
      <w:r w:rsidRPr="00FA0529">
        <w:t xml:space="preserve">The </w:t>
      </w:r>
      <w:r w:rsidR="009D55E2" w:rsidRPr="00FA0529">
        <w:t>early re-entry re</w:t>
      </w:r>
      <w:r w:rsidRPr="00FA0529">
        <w:t xml:space="preserve">submission </w:t>
      </w:r>
      <w:r w:rsidR="00E103A0" w:rsidRPr="00FA0529">
        <w:t>sought</w:t>
      </w:r>
      <w:r w:rsidRPr="00FA0529">
        <w:t xml:space="preserve"> </w:t>
      </w:r>
      <w:r w:rsidR="00BF12AA" w:rsidRPr="00FA0529">
        <w:t xml:space="preserve">the PBS listing of futibatinib for the treatment of locally advanced or metastatic cholangiocarcinoma (CCA) in patients with </w:t>
      </w:r>
      <w:r w:rsidR="00043A8E" w:rsidRPr="00FA0529">
        <w:t>fibroblast growth factor receptor 2 (</w:t>
      </w:r>
      <w:r w:rsidR="00BF12AA" w:rsidRPr="00FA0529">
        <w:rPr>
          <w:i/>
          <w:iCs/>
        </w:rPr>
        <w:t>FGFR2</w:t>
      </w:r>
      <w:r w:rsidR="00043A8E" w:rsidRPr="00FA0529">
        <w:t>)</w:t>
      </w:r>
      <w:r w:rsidR="00BF12AA" w:rsidRPr="00FA0529">
        <w:t xml:space="preserve"> fusion or rearrangement</w:t>
      </w:r>
      <w:r w:rsidR="002C633F" w:rsidRPr="00FA0529">
        <w:t>.</w:t>
      </w:r>
    </w:p>
    <w:p w14:paraId="5AB68F30" w14:textId="1A720807" w:rsidR="009D55E2" w:rsidRPr="00270862" w:rsidRDefault="6657D135" w:rsidP="006C5B33">
      <w:pPr>
        <w:pStyle w:val="3-BodyText"/>
        <w:rPr>
          <w:rFonts w:eastAsiaTheme="minorEastAsia"/>
        </w:rPr>
      </w:pPr>
      <w:r w:rsidRPr="00FA0529">
        <w:t xml:space="preserve">The </w:t>
      </w:r>
      <w:r w:rsidR="009D55E2" w:rsidRPr="00FA0529">
        <w:t>re</w:t>
      </w:r>
      <w:r w:rsidRPr="00FA0529">
        <w:t xml:space="preserve">submission was based on </w:t>
      </w:r>
      <w:r w:rsidR="009D55E2" w:rsidRPr="00FA0529">
        <w:t xml:space="preserve">the PBAC decision </w:t>
      </w:r>
      <w:r w:rsidR="00DF4821" w:rsidRPr="00FA0529">
        <w:t xml:space="preserve">to not recommend </w:t>
      </w:r>
      <w:r w:rsidR="00693EBC" w:rsidRPr="00FA0529">
        <w:t>futibatinib</w:t>
      </w:r>
      <w:r w:rsidR="00DF4821" w:rsidRPr="00FA0529">
        <w:t xml:space="preserve"> for this indication </w:t>
      </w:r>
      <w:r w:rsidR="009D55E2" w:rsidRPr="00FA0529">
        <w:t xml:space="preserve">from </w:t>
      </w:r>
      <w:r w:rsidR="00693EBC" w:rsidRPr="00FA0529">
        <w:t>its March 2025 meeting</w:t>
      </w:r>
      <w:r w:rsidR="00270862">
        <w:t xml:space="preserve">. </w:t>
      </w:r>
      <w:r w:rsidR="00A91CF5" w:rsidRPr="00FA0529">
        <w:rPr>
          <w:snapToGrid w:val="0"/>
        </w:rPr>
        <w:t xml:space="preserve">A summary of the key matters that were to be addressed in the resubmission is provided in </w:t>
      </w:r>
      <w:r w:rsidR="00A91CF5" w:rsidRPr="00FA0529">
        <w:rPr>
          <w:snapToGrid w:val="0"/>
        </w:rPr>
        <w:fldChar w:fldCharType="begin"/>
      </w:r>
      <w:r w:rsidR="00A91CF5" w:rsidRPr="00FA0529">
        <w:rPr>
          <w:snapToGrid w:val="0"/>
        </w:rPr>
        <w:instrText xml:space="preserve"> REF _Ref201737484 \h </w:instrText>
      </w:r>
      <w:r w:rsidR="00A91CF5" w:rsidRPr="00FA0529">
        <w:rPr>
          <w:snapToGrid w:val="0"/>
        </w:rPr>
      </w:r>
      <w:r w:rsidR="00A91CF5" w:rsidRPr="00FA0529">
        <w:rPr>
          <w:snapToGrid w:val="0"/>
        </w:rPr>
        <w:fldChar w:fldCharType="separate"/>
      </w:r>
      <w:r w:rsidR="00462AA0" w:rsidRPr="00FA0529">
        <w:t xml:space="preserve">Table </w:t>
      </w:r>
      <w:r w:rsidR="00462AA0">
        <w:rPr>
          <w:noProof/>
        </w:rPr>
        <w:t>1</w:t>
      </w:r>
      <w:r w:rsidR="00A91CF5" w:rsidRPr="00FA0529">
        <w:rPr>
          <w:snapToGrid w:val="0"/>
        </w:rPr>
        <w:fldChar w:fldCharType="end"/>
      </w:r>
      <w:r w:rsidR="00A91CF5" w:rsidRPr="00FA0529">
        <w:rPr>
          <w:snapToGrid w:val="0"/>
        </w:rPr>
        <w:t>.</w:t>
      </w:r>
      <w:r w:rsidR="00D34011" w:rsidRPr="00FA0529">
        <w:rPr>
          <w:snapToGrid w:val="0"/>
        </w:rPr>
        <w:t xml:space="preserve"> </w:t>
      </w:r>
    </w:p>
    <w:p w14:paraId="0FF1E651" w14:textId="25CEF462" w:rsidR="00123682" w:rsidRPr="00FA0529" w:rsidRDefault="00123682" w:rsidP="00BC4425">
      <w:pPr>
        <w:pStyle w:val="TableFigureHeading"/>
      </w:pPr>
      <w:bookmarkStart w:id="0" w:name="_Ref201737484"/>
      <w:r w:rsidRPr="00FA0529">
        <w:lastRenderedPageBreak/>
        <w:t xml:space="preserve">Table </w:t>
      </w:r>
      <w:r w:rsidR="00CA5BC1">
        <w:fldChar w:fldCharType="begin"/>
      </w:r>
      <w:r w:rsidR="00CA5BC1">
        <w:instrText xml:space="preserve"> SEQ Table \* ARABIC </w:instrText>
      </w:r>
      <w:r w:rsidR="00CA5BC1">
        <w:fldChar w:fldCharType="separate"/>
      </w:r>
      <w:r w:rsidR="00462AA0">
        <w:rPr>
          <w:noProof/>
        </w:rPr>
        <w:t>1</w:t>
      </w:r>
      <w:r w:rsidR="00CA5BC1">
        <w:rPr>
          <w:noProof/>
        </w:rPr>
        <w:fldChar w:fldCharType="end"/>
      </w:r>
      <w:bookmarkEnd w:id="0"/>
      <w:r w:rsidRPr="00FA0529">
        <w:t>: 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ummary of key matters to be addressed"/>
      </w:tblPr>
      <w:tblGrid>
        <w:gridCol w:w="3914"/>
        <w:gridCol w:w="4001"/>
        <w:gridCol w:w="1079"/>
      </w:tblGrid>
      <w:tr w:rsidR="002C633F" w:rsidRPr="00FA0529" w14:paraId="5D2DC7BB" w14:textId="77777777" w:rsidTr="00A830CE">
        <w:trPr>
          <w:cantSplit/>
          <w:tblHeader/>
        </w:trPr>
        <w:tc>
          <w:tcPr>
            <w:tcW w:w="2176" w:type="pct"/>
            <w:vAlign w:val="center"/>
          </w:tcPr>
          <w:p w14:paraId="47875CEE" w14:textId="719157E8" w:rsidR="00D34011" w:rsidRPr="00FA0529" w:rsidRDefault="00D34011" w:rsidP="00CF066B">
            <w:pPr>
              <w:pStyle w:val="In-tableHeading"/>
              <w:rPr>
                <w:lang w:val="en-AU"/>
              </w:rPr>
            </w:pPr>
            <w:r w:rsidRPr="00FA0529">
              <w:rPr>
                <w:lang w:val="en-AU"/>
              </w:rPr>
              <w:t>Matter of concern</w:t>
            </w:r>
          </w:p>
        </w:tc>
        <w:tc>
          <w:tcPr>
            <w:tcW w:w="2224" w:type="pct"/>
            <w:vAlign w:val="center"/>
          </w:tcPr>
          <w:p w14:paraId="2F0501E9" w14:textId="41F16558" w:rsidR="00D34011" w:rsidRPr="00FA0529" w:rsidRDefault="00D34011" w:rsidP="00CF066B">
            <w:pPr>
              <w:pStyle w:val="In-tableHeading"/>
              <w:rPr>
                <w:lang w:val="en-AU"/>
              </w:rPr>
            </w:pPr>
            <w:r w:rsidRPr="00FA0529">
              <w:rPr>
                <w:lang w:val="en-AU"/>
              </w:rPr>
              <w:t>Response</w:t>
            </w:r>
          </w:p>
        </w:tc>
        <w:tc>
          <w:tcPr>
            <w:tcW w:w="600" w:type="pct"/>
            <w:vAlign w:val="center"/>
          </w:tcPr>
          <w:p w14:paraId="06AD57D9" w14:textId="20B07578" w:rsidR="00D34011" w:rsidRPr="00FA0529" w:rsidRDefault="00D34011" w:rsidP="00CF066B">
            <w:pPr>
              <w:pStyle w:val="In-tableHeading"/>
              <w:rPr>
                <w:lang w:val="en-AU"/>
              </w:rPr>
            </w:pPr>
            <w:r w:rsidRPr="00FA0529">
              <w:rPr>
                <w:lang w:val="en-AU"/>
              </w:rPr>
              <w:t>Addressed?</w:t>
            </w:r>
          </w:p>
        </w:tc>
      </w:tr>
      <w:tr w:rsidR="00DB51E3" w:rsidRPr="00FA0529" w14:paraId="41739F84" w14:textId="77777777" w:rsidTr="00A830CE">
        <w:trPr>
          <w:cantSplit/>
        </w:trPr>
        <w:tc>
          <w:tcPr>
            <w:tcW w:w="4400" w:type="pct"/>
            <w:gridSpan w:val="2"/>
            <w:vAlign w:val="center"/>
          </w:tcPr>
          <w:p w14:paraId="4F86B4C1" w14:textId="5217471B" w:rsidR="00DB51E3" w:rsidRPr="00FA0529" w:rsidRDefault="00DB51E3" w:rsidP="00A07C4C">
            <w:pPr>
              <w:pStyle w:val="TableText"/>
            </w:pPr>
            <w:r w:rsidRPr="00FA0529">
              <w:rPr>
                <w:b/>
                <w:bCs w:val="0"/>
              </w:rPr>
              <w:t>Economic Model</w:t>
            </w:r>
          </w:p>
        </w:tc>
        <w:tc>
          <w:tcPr>
            <w:tcW w:w="600" w:type="pct"/>
            <w:vAlign w:val="center"/>
          </w:tcPr>
          <w:p w14:paraId="40542A06" w14:textId="7F58A5A3" w:rsidR="00DB51E3" w:rsidRPr="00FA0529" w:rsidRDefault="00DB51E3" w:rsidP="00A07C4C">
            <w:pPr>
              <w:pStyle w:val="TableText"/>
            </w:pPr>
            <w:r w:rsidRPr="00FA0529">
              <w:t>Y/N</w:t>
            </w:r>
          </w:p>
        </w:tc>
      </w:tr>
      <w:tr w:rsidR="002C633F" w:rsidRPr="00FA0529" w14:paraId="6E83CDA9" w14:textId="77777777" w:rsidTr="00A830CE">
        <w:trPr>
          <w:cantSplit/>
        </w:trPr>
        <w:tc>
          <w:tcPr>
            <w:tcW w:w="2176" w:type="pct"/>
            <w:vAlign w:val="center"/>
          </w:tcPr>
          <w:p w14:paraId="5C9F432C" w14:textId="39AE20CB" w:rsidR="00D34011" w:rsidRPr="00FA0529" w:rsidRDefault="00C51DEA" w:rsidP="00A07C4C">
            <w:pPr>
              <w:pStyle w:val="TableText"/>
            </w:pPr>
            <w:r w:rsidRPr="00FA0529">
              <w:t>The submission presented an economic evaluation based on the results of the MAIC. The PBAC agreed with the ESCs that as the underlying clinical benefit used to inform the economic evaluation was uncertain, the economic model presented was likely not reflective of the true cost effectiveness of futibatinib. The PBAC noted the economic model resulted in an undiscounted life year gain of 2.48 over the 10 year time horizon of the model and considered that was implausibly large. The PBAC agreed with the ESC that the economic model should include a more conservative estimate of the modelled clinical benefit but noted the model did not include this operability. The PBAC noted that the MAIC results from Paine 2022 or Borad 2022 were more conservative, and considered that the model should be aligned with that OS HR: 0.48-0.49 (vs 0.24).</w:t>
            </w:r>
            <w:r w:rsidR="00A05A56">
              <w:t xml:space="preserve"> </w:t>
            </w:r>
            <w:r w:rsidR="002C6D7E" w:rsidRPr="00FA0529">
              <w:t>(para</w:t>
            </w:r>
            <w:r w:rsidRPr="00FA0529">
              <w:t xml:space="preserve"> </w:t>
            </w:r>
            <w:r w:rsidR="00E426FD" w:rsidRPr="00FA0529">
              <w:t>7.12</w:t>
            </w:r>
            <w:r w:rsidR="002C6D7E" w:rsidRPr="00FA0529">
              <w:t xml:space="preserve">). </w:t>
            </w:r>
          </w:p>
        </w:tc>
        <w:tc>
          <w:tcPr>
            <w:tcW w:w="2224" w:type="pct"/>
            <w:vAlign w:val="center"/>
          </w:tcPr>
          <w:p w14:paraId="1F08567C" w14:textId="77777777" w:rsidR="00D34011" w:rsidRDefault="00517E87" w:rsidP="00A830CE">
            <w:pPr>
              <w:pStyle w:val="TableText"/>
              <w:spacing w:after="240"/>
            </w:pPr>
            <w:r w:rsidRPr="00FA0529">
              <w:t xml:space="preserve">The </w:t>
            </w:r>
            <w:r w:rsidR="0087129C" w:rsidRPr="00FA0529">
              <w:t xml:space="preserve">OS HR </w:t>
            </w:r>
            <w:r w:rsidR="0044349C" w:rsidRPr="00FA0529">
              <w:t>in the economic evaluation has been</w:t>
            </w:r>
            <w:r w:rsidR="00945E1D" w:rsidRPr="00FA0529">
              <w:t xml:space="preserve"> amended</w:t>
            </w:r>
            <w:r w:rsidR="0044349C" w:rsidRPr="00FA0529">
              <w:t xml:space="preserve"> to </w:t>
            </w:r>
            <w:r w:rsidR="0087129C" w:rsidRPr="00FA0529">
              <w:t>0.32, to align with the upper</w:t>
            </w:r>
            <w:r w:rsidR="001358C0" w:rsidRPr="00FA0529">
              <w:t xml:space="preserve"> OS HR</w:t>
            </w:r>
            <w:r w:rsidR="0087129C" w:rsidRPr="00FA0529">
              <w:t xml:space="preserve"> CI limit </w:t>
            </w:r>
            <w:r w:rsidR="001358C0" w:rsidRPr="00FA0529">
              <w:t xml:space="preserve">from the March 2025 submission, claiming this value represents the highest plausible value for the HR given the observed data from the </w:t>
            </w:r>
            <w:r w:rsidR="00820543" w:rsidRPr="00FA0529">
              <w:t xml:space="preserve">submission’s </w:t>
            </w:r>
            <w:r w:rsidR="001358C0" w:rsidRPr="00FA0529">
              <w:t>MAIC</w:t>
            </w:r>
            <w:r w:rsidR="00A17C6A" w:rsidRPr="00FA0529">
              <w:t>.</w:t>
            </w:r>
            <w:r w:rsidR="00853EA1" w:rsidRPr="00FA0529">
              <w:t xml:space="preserve"> </w:t>
            </w:r>
          </w:p>
          <w:p w14:paraId="64E0DE1A" w14:textId="208D0D9E" w:rsidR="00416391" w:rsidRPr="00FA0529" w:rsidRDefault="00416391" w:rsidP="00A07C4C">
            <w:pPr>
              <w:pStyle w:val="TableText"/>
            </w:pPr>
          </w:p>
        </w:tc>
        <w:tc>
          <w:tcPr>
            <w:tcW w:w="600" w:type="pct"/>
            <w:vAlign w:val="center"/>
          </w:tcPr>
          <w:p w14:paraId="7A6D4E21" w14:textId="4A67339A" w:rsidR="00D34011" w:rsidRPr="00FA0529" w:rsidRDefault="006F1E6C" w:rsidP="00A07C4C">
            <w:pPr>
              <w:pStyle w:val="TableText"/>
            </w:pPr>
            <w:r w:rsidRPr="00FA0529">
              <w:t>N</w:t>
            </w:r>
          </w:p>
        </w:tc>
      </w:tr>
      <w:tr w:rsidR="002C633F" w:rsidRPr="00FA0529" w14:paraId="2DF1DD08" w14:textId="77777777" w:rsidTr="00A830CE">
        <w:trPr>
          <w:cantSplit/>
        </w:trPr>
        <w:tc>
          <w:tcPr>
            <w:tcW w:w="2176" w:type="pct"/>
            <w:vAlign w:val="center"/>
          </w:tcPr>
          <w:p w14:paraId="49207A7D" w14:textId="5344D21A" w:rsidR="00D34011" w:rsidRPr="00FA0529" w:rsidRDefault="006C5004" w:rsidP="00A07C4C">
            <w:pPr>
              <w:pStyle w:val="TableText"/>
            </w:pPr>
            <w:r w:rsidRPr="00FA0529">
              <w:t xml:space="preserve">The PBAC noted the economic model assumed a time horizon of 10 years with no convergence of OS modelled. The PBAC agreed with the evaluation that a 10-year time horizon increased the uncertainty in the model results given the limited duration of follow-up of the two studies and the general uncertainty regarding the incremental survival. The PBAC considered that a 5-year time horizon, in line with the PBAC’s consideration of ivosidenib for IDH1 positive CCA (paragraph 7.11, ivosidenib PSD, July 2024 PBAC meeting), would result in a more reliable estimate of the benefits. </w:t>
            </w:r>
            <w:r w:rsidR="00064B17" w:rsidRPr="00FA0529">
              <w:t>(para 7</w:t>
            </w:r>
            <w:r w:rsidR="00E426FD" w:rsidRPr="00FA0529">
              <w:t>.13</w:t>
            </w:r>
            <w:r w:rsidR="00064B17" w:rsidRPr="00FA0529">
              <w:t>)</w:t>
            </w:r>
          </w:p>
        </w:tc>
        <w:tc>
          <w:tcPr>
            <w:tcW w:w="2224" w:type="pct"/>
            <w:vAlign w:val="center"/>
          </w:tcPr>
          <w:p w14:paraId="47E61C00" w14:textId="1D9B9B3A" w:rsidR="00D34011" w:rsidRDefault="00596F5B" w:rsidP="00A830CE">
            <w:pPr>
              <w:pStyle w:val="TableText"/>
              <w:spacing w:after="240"/>
            </w:pPr>
            <w:r w:rsidRPr="00FA0529">
              <w:t xml:space="preserve">The </w:t>
            </w:r>
            <w:r w:rsidR="0088559A" w:rsidRPr="00FA0529">
              <w:t xml:space="preserve">time </w:t>
            </w:r>
            <w:r w:rsidR="002600FE" w:rsidRPr="00FA0529">
              <w:t xml:space="preserve">horizon </w:t>
            </w:r>
            <w:r w:rsidR="00D44CF2" w:rsidRPr="00FA0529">
              <w:t xml:space="preserve">of the economic evaluation has been </w:t>
            </w:r>
            <w:r w:rsidR="00486B9C" w:rsidRPr="00FA0529">
              <w:t xml:space="preserve">reduced from 10 years </w:t>
            </w:r>
            <w:r w:rsidR="00D44CF2" w:rsidRPr="00FA0529">
              <w:t>to 7 years</w:t>
            </w:r>
            <w:r w:rsidR="002600FE" w:rsidRPr="00FA0529">
              <w:t xml:space="preserve">. </w:t>
            </w:r>
            <w:r w:rsidR="001D6194" w:rsidRPr="00FA0529">
              <w:t xml:space="preserve">The resubmission claims that </w:t>
            </w:r>
            <w:r w:rsidR="00836CD0" w:rsidRPr="00FA0529">
              <w:t xml:space="preserve">OS benefit does </w:t>
            </w:r>
            <w:r w:rsidR="00DC534B" w:rsidRPr="00FA0529">
              <w:t>converge in the base case of the economic model through the application of the parametric models</w:t>
            </w:r>
            <w:r w:rsidR="00AA7BFD" w:rsidRPr="00FA0529">
              <w:t xml:space="preserve">. The </w:t>
            </w:r>
            <w:r w:rsidR="00FD6B6A" w:rsidRPr="00FA0529">
              <w:t xml:space="preserve">resubmission </w:t>
            </w:r>
            <w:r w:rsidR="00AA7BFD" w:rsidRPr="00FA0529">
              <w:t xml:space="preserve">stated that </w:t>
            </w:r>
            <w:r w:rsidR="00DC534B" w:rsidRPr="00FA0529">
              <w:t xml:space="preserve">a </w:t>
            </w:r>
            <w:r w:rsidR="003B0050" w:rsidRPr="00FA0529">
              <w:t xml:space="preserve">5 year time horizon, in line with ivosidenib, would not </w:t>
            </w:r>
            <w:r w:rsidR="00FD6B6A" w:rsidRPr="00FA0529">
              <w:t xml:space="preserve">be </w:t>
            </w:r>
            <w:r w:rsidR="003763C9" w:rsidRPr="00FA0529">
              <w:t>appropriate.</w:t>
            </w:r>
            <w:r w:rsidR="00A05A56">
              <w:t xml:space="preserve"> </w:t>
            </w:r>
          </w:p>
          <w:p w14:paraId="7E07F94E" w14:textId="0690F1F5" w:rsidR="00051F90" w:rsidRPr="00FA0529" w:rsidRDefault="00051F90" w:rsidP="00051F90">
            <w:pPr>
              <w:pStyle w:val="TableText"/>
            </w:pPr>
          </w:p>
        </w:tc>
        <w:tc>
          <w:tcPr>
            <w:tcW w:w="600" w:type="pct"/>
            <w:vAlign w:val="center"/>
          </w:tcPr>
          <w:p w14:paraId="5175BB10" w14:textId="36E98AF6" w:rsidR="00D34011" w:rsidRPr="00FA0529" w:rsidRDefault="001D6194" w:rsidP="00A07C4C">
            <w:pPr>
              <w:pStyle w:val="TableText"/>
            </w:pPr>
            <w:r w:rsidRPr="00FA0529">
              <w:t>N</w:t>
            </w:r>
          </w:p>
        </w:tc>
      </w:tr>
      <w:tr w:rsidR="002C633F" w:rsidRPr="00FA0529" w14:paraId="3B47EDB5" w14:textId="77777777" w:rsidTr="00A830CE">
        <w:trPr>
          <w:cantSplit/>
        </w:trPr>
        <w:tc>
          <w:tcPr>
            <w:tcW w:w="2176" w:type="pct"/>
            <w:vAlign w:val="center"/>
          </w:tcPr>
          <w:p w14:paraId="1FA45752" w14:textId="66859A92" w:rsidR="00D34011" w:rsidRPr="00FA0529" w:rsidRDefault="00A737B4" w:rsidP="005A294A">
            <w:pPr>
              <w:pStyle w:val="TableText"/>
              <w:keepNext w:val="0"/>
            </w:pPr>
            <w:r w:rsidRPr="00FA0529">
              <w:t>The submission estimated treatment-specific health state utilities, with different progression free (PF) and progressive disease (PD) health state utilities based on the assumption of greater toxicity associated with FOLFOX. However, the PBAC agreed with the evaluation and the ESCs that that difference between treatment arms in post-progression utilities was not supported given both futibatinib and FOLFOX would have been ceased, and this biased the results in favour of futibatinib. The PBAC considered it would be more appropriate to apply the same utilities to the PF and PD health states in each treatment arm.</w:t>
            </w:r>
            <w:r w:rsidR="00A05A56">
              <w:t xml:space="preserve"> </w:t>
            </w:r>
            <w:r w:rsidRPr="00FA0529">
              <w:t xml:space="preserve">(para </w:t>
            </w:r>
            <w:r w:rsidR="00E426FD" w:rsidRPr="00FA0529">
              <w:t>7.14</w:t>
            </w:r>
            <w:r w:rsidRPr="00FA0529">
              <w:t>)</w:t>
            </w:r>
          </w:p>
        </w:tc>
        <w:tc>
          <w:tcPr>
            <w:tcW w:w="2224" w:type="pct"/>
            <w:vAlign w:val="center"/>
          </w:tcPr>
          <w:p w14:paraId="1CB5697D" w14:textId="77777777" w:rsidR="00D34011" w:rsidRDefault="000858A9" w:rsidP="00270862">
            <w:pPr>
              <w:pStyle w:val="TableText"/>
              <w:keepNext w:val="0"/>
              <w:spacing w:after="240"/>
            </w:pPr>
            <w:r w:rsidRPr="00FA0529">
              <w:t>Although t</w:t>
            </w:r>
            <w:r w:rsidR="00886928" w:rsidRPr="00FA0529">
              <w:t xml:space="preserve">he resubmission </w:t>
            </w:r>
            <w:r w:rsidRPr="00FA0529">
              <w:t xml:space="preserve">applied the same utilities in each arm, </w:t>
            </w:r>
            <w:r w:rsidR="00FD0059" w:rsidRPr="00FA0529">
              <w:t>it applied</w:t>
            </w:r>
            <w:r w:rsidR="00DD22A5" w:rsidRPr="00FA0529">
              <w:t xml:space="preserve"> an additional</w:t>
            </w:r>
            <w:r w:rsidR="00FD0059" w:rsidRPr="00FA0529">
              <w:t xml:space="preserve"> </w:t>
            </w:r>
            <w:r w:rsidR="005F01D2" w:rsidRPr="00FA0529">
              <w:t xml:space="preserve">IV </w:t>
            </w:r>
            <w:r w:rsidR="00FD0059" w:rsidRPr="00FA0529">
              <w:t>disutilit</w:t>
            </w:r>
            <w:r w:rsidR="00DD22A5" w:rsidRPr="00FA0529">
              <w:t>y</w:t>
            </w:r>
            <w:r w:rsidR="005F01D2" w:rsidRPr="00FA0529">
              <w:t xml:space="preserve"> of 0.025</w:t>
            </w:r>
            <w:r w:rsidR="00DD22A5" w:rsidRPr="00FA0529">
              <w:t xml:space="preserve"> to FOLFOX a</w:t>
            </w:r>
            <w:r w:rsidR="005F01D2" w:rsidRPr="00FA0529">
              <w:t>dministrations</w:t>
            </w:r>
            <w:r w:rsidR="007929D5" w:rsidRPr="00FA0529">
              <w:t>.</w:t>
            </w:r>
            <w:r w:rsidR="0045067E" w:rsidRPr="00FA0529">
              <w:t xml:space="preserve"> </w:t>
            </w:r>
          </w:p>
          <w:p w14:paraId="7EB6A7C5" w14:textId="4E5400E0" w:rsidR="003D25E4" w:rsidRPr="00FA0529" w:rsidRDefault="003D25E4" w:rsidP="002057BB">
            <w:pPr>
              <w:pStyle w:val="TableText"/>
              <w:keepNext w:val="0"/>
            </w:pPr>
          </w:p>
        </w:tc>
        <w:tc>
          <w:tcPr>
            <w:tcW w:w="600" w:type="pct"/>
            <w:vAlign w:val="center"/>
          </w:tcPr>
          <w:p w14:paraId="404F3F9B" w14:textId="660D765A" w:rsidR="00D34011" w:rsidRPr="00FA0529" w:rsidRDefault="0045067E" w:rsidP="005A294A">
            <w:pPr>
              <w:pStyle w:val="TableText"/>
              <w:keepNext w:val="0"/>
            </w:pPr>
            <w:r w:rsidRPr="00FA0529">
              <w:t>N</w:t>
            </w:r>
          </w:p>
        </w:tc>
      </w:tr>
      <w:tr w:rsidR="00DB51E3" w:rsidRPr="00FA0529" w14:paraId="1A675F09" w14:textId="77777777" w:rsidTr="00A830CE">
        <w:trPr>
          <w:cantSplit/>
        </w:trPr>
        <w:tc>
          <w:tcPr>
            <w:tcW w:w="5000" w:type="pct"/>
            <w:gridSpan w:val="3"/>
            <w:vAlign w:val="center"/>
          </w:tcPr>
          <w:p w14:paraId="5A7D77BC" w14:textId="58A18998" w:rsidR="00DB51E3" w:rsidRPr="00FA0529" w:rsidRDefault="00DB51E3" w:rsidP="00E05B1E">
            <w:pPr>
              <w:pStyle w:val="TableText"/>
            </w:pPr>
            <w:r w:rsidRPr="00FA0529">
              <w:rPr>
                <w:b/>
                <w:bCs w:val="0"/>
              </w:rPr>
              <w:lastRenderedPageBreak/>
              <w:t>Price</w:t>
            </w:r>
          </w:p>
        </w:tc>
      </w:tr>
      <w:tr w:rsidR="00E426FD" w:rsidRPr="00FA0529" w14:paraId="0C653D94" w14:textId="77777777" w:rsidTr="00A830CE">
        <w:trPr>
          <w:cantSplit/>
        </w:trPr>
        <w:tc>
          <w:tcPr>
            <w:tcW w:w="2176" w:type="pct"/>
            <w:vAlign w:val="center"/>
          </w:tcPr>
          <w:p w14:paraId="0AB599CA" w14:textId="36F44784" w:rsidR="00E426FD" w:rsidRPr="00FA0529" w:rsidRDefault="008D0CA0" w:rsidP="005A294A">
            <w:pPr>
              <w:pStyle w:val="TableText"/>
              <w:keepNext w:val="0"/>
            </w:pPr>
            <w:r w:rsidRPr="00FA0529">
              <w:t xml:space="preserve">The PBAC considered that futibatinib would be </w:t>
            </w:r>
            <w:r w:rsidR="00E60C45" w:rsidRPr="00FA0529">
              <w:t>acceptably</w:t>
            </w:r>
            <w:r w:rsidRPr="00FA0529">
              <w:t xml:space="preserve"> cost-</w:t>
            </w:r>
            <w:r w:rsidR="00E60C45" w:rsidRPr="00FA0529">
              <w:t>effective</w:t>
            </w:r>
            <w:r w:rsidRPr="00FA0529">
              <w:t xml:space="preserve"> with an ICER no more than </w:t>
            </w:r>
            <w:r w:rsidR="001156FB" w:rsidRPr="00FA0529">
              <w:t>$</w:t>
            </w:r>
            <w:r w:rsidR="00DE7EE1" w:rsidRPr="00E40CE9">
              <w:rPr>
                <w:color w:val="000000"/>
                <w:spacing w:val="51"/>
                <w:shd w:val="solid" w:color="000000" w:fill="000000"/>
                <w:fitText w:val="324" w:id="-628460288"/>
                <w14:textFill>
                  <w14:solidFill>
                    <w14:srgbClr w14:val="000000">
                      <w14:alpha w14:val="100000"/>
                    </w14:srgbClr>
                  </w14:solidFill>
                </w14:textFill>
              </w:rPr>
              <w:t>|||</w:t>
            </w:r>
            <w:r w:rsidR="00DE7EE1" w:rsidRPr="00E40CE9">
              <w:rPr>
                <w:color w:val="000000"/>
                <w:spacing w:val="1"/>
                <w:shd w:val="solid" w:color="000000" w:fill="000000"/>
                <w:fitText w:val="324" w:id="-628460288"/>
                <w14:textFill>
                  <w14:solidFill>
                    <w14:srgbClr w14:val="000000">
                      <w14:alpha w14:val="100000"/>
                    </w14:srgbClr>
                  </w14:solidFill>
                </w14:textFill>
              </w:rPr>
              <w:t>|</w:t>
            </w:r>
            <w:r w:rsidR="00B8778E">
              <w:rPr>
                <w:vertAlign w:val="superscript"/>
              </w:rPr>
              <w:t>1</w:t>
            </w:r>
            <w:r w:rsidR="00E60C45" w:rsidRPr="00FA0529">
              <w:t>/</w:t>
            </w:r>
            <w:r w:rsidR="001156FB" w:rsidRPr="00FA0529">
              <w:t xml:space="preserve">QALY gained (consistent with other treatments for CCA) </w:t>
            </w:r>
            <w:r w:rsidR="00E60C45" w:rsidRPr="00FA0529">
              <w:t xml:space="preserve">(para </w:t>
            </w:r>
            <w:r w:rsidR="00093AE6" w:rsidRPr="00FA0529">
              <w:t>7.17)</w:t>
            </w:r>
          </w:p>
        </w:tc>
        <w:tc>
          <w:tcPr>
            <w:tcW w:w="2224" w:type="pct"/>
            <w:vAlign w:val="center"/>
          </w:tcPr>
          <w:p w14:paraId="1F4C60F2" w14:textId="315F0E35" w:rsidR="00E426FD" w:rsidRDefault="0045067E" w:rsidP="00270862">
            <w:pPr>
              <w:pStyle w:val="TableText"/>
              <w:keepNext w:val="0"/>
              <w:spacing w:after="240"/>
            </w:pPr>
            <w:r w:rsidRPr="00FA0529">
              <w:t xml:space="preserve">The </w:t>
            </w:r>
            <w:r w:rsidR="00153B2F" w:rsidRPr="00FA0529">
              <w:t xml:space="preserve">resubmission targeted </w:t>
            </w:r>
            <w:r w:rsidR="000A64EC" w:rsidRPr="00FA0529">
              <w:t>an ICER of $</w:t>
            </w:r>
            <w:r w:rsidR="00DE7EE1" w:rsidRPr="00E40CE9">
              <w:rPr>
                <w:color w:val="000000"/>
                <w:spacing w:val="51"/>
                <w:shd w:val="solid" w:color="000000" w:fill="000000"/>
                <w:fitText w:val="324" w:id="-628460287"/>
                <w14:textFill>
                  <w14:solidFill>
                    <w14:srgbClr w14:val="000000">
                      <w14:alpha w14:val="100000"/>
                    </w14:srgbClr>
                  </w14:solidFill>
                </w14:textFill>
              </w:rPr>
              <w:t>|||</w:t>
            </w:r>
            <w:r w:rsidR="00DE7EE1" w:rsidRPr="00E40CE9">
              <w:rPr>
                <w:color w:val="000000"/>
                <w:spacing w:val="1"/>
                <w:shd w:val="solid" w:color="000000" w:fill="000000"/>
                <w:fitText w:val="324" w:id="-628460287"/>
                <w14:textFill>
                  <w14:solidFill>
                    <w14:srgbClr w14:val="000000">
                      <w14:alpha w14:val="100000"/>
                    </w14:srgbClr>
                  </w14:solidFill>
                </w14:textFill>
              </w:rPr>
              <w:t>|</w:t>
            </w:r>
            <w:r w:rsidR="0089782B">
              <w:rPr>
                <w:vertAlign w:val="superscript"/>
              </w:rPr>
              <w:t>2</w:t>
            </w:r>
            <w:r w:rsidR="000A64EC" w:rsidRPr="00FA0529">
              <w:t xml:space="preserve">/QALY, arguing that this is a </w:t>
            </w:r>
            <w:r w:rsidR="006568AA" w:rsidRPr="00FA0529">
              <w:t xml:space="preserve">small and well-defined population with a high clinical need, and </w:t>
            </w:r>
            <w:r w:rsidR="00CE29D5" w:rsidRPr="00FA0529">
              <w:t>ICER threshold of less than $</w:t>
            </w:r>
            <w:r w:rsidR="00DE7EE1" w:rsidRPr="00E40CE9">
              <w:rPr>
                <w:color w:val="000000"/>
                <w:spacing w:val="51"/>
                <w:shd w:val="solid" w:color="000000" w:fill="000000"/>
                <w:fitText w:val="324" w:id="-628460286"/>
                <w14:textFill>
                  <w14:solidFill>
                    <w14:srgbClr w14:val="000000">
                      <w14:alpha w14:val="100000"/>
                    </w14:srgbClr>
                  </w14:solidFill>
                </w14:textFill>
              </w:rPr>
              <w:t>|||</w:t>
            </w:r>
            <w:r w:rsidR="00DE7EE1" w:rsidRPr="00E40CE9">
              <w:rPr>
                <w:color w:val="000000"/>
                <w:spacing w:val="1"/>
                <w:shd w:val="solid" w:color="000000" w:fill="000000"/>
                <w:fitText w:val="324" w:id="-628460286"/>
                <w14:textFill>
                  <w14:solidFill>
                    <w14:srgbClr w14:val="000000">
                      <w14:alpha w14:val="100000"/>
                    </w14:srgbClr>
                  </w14:solidFill>
                </w14:textFill>
              </w:rPr>
              <w:t>|</w:t>
            </w:r>
            <w:r w:rsidR="008A2148">
              <w:rPr>
                <w:vertAlign w:val="superscript"/>
              </w:rPr>
              <w:t>1</w:t>
            </w:r>
            <w:r w:rsidR="00CE29D5" w:rsidRPr="00FA0529">
              <w:t xml:space="preserve"> per QALY is overly conservative</w:t>
            </w:r>
            <w:r w:rsidR="00FA784B" w:rsidRPr="00FA0529">
              <w:t>.</w:t>
            </w:r>
            <w:r w:rsidR="00CE29D5" w:rsidRPr="00FA0529">
              <w:t xml:space="preserve"> </w:t>
            </w:r>
          </w:p>
          <w:p w14:paraId="0E1692D3" w14:textId="5034AFE6" w:rsidR="005B2A33" w:rsidRPr="00270862" w:rsidRDefault="00CE6EE9" w:rsidP="005B2A33">
            <w:pPr>
              <w:pStyle w:val="TableText"/>
              <w:keepNext w:val="0"/>
            </w:pPr>
            <w:r>
              <w:t>The Pre-PBAC response (Table 1)</w:t>
            </w:r>
            <w:r w:rsidR="00FC710F">
              <w:t xml:space="preserve"> proposed</w:t>
            </w:r>
            <w:r w:rsidR="005B2A33" w:rsidRPr="00270862">
              <w:t xml:space="preserve"> a further price reduction</w:t>
            </w:r>
            <w:r w:rsidR="008B0D27" w:rsidRPr="00270862">
              <w:t xml:space="preserve"> to $</w:t>
            </w:r>
            <w:r w:rsidR="00DE7EE1" w:rsidRPr="00E40CE9">
              <w:rPr>
                <w:color w:val="000000"/>
                <w:spacing w:val="51"/>
                <w:shd w:val="solid" w:color="000000" w:fill="000000"/>
                <w:fitText w:val="324" w:id="-628460285"/>
                <w14:textFill>
                  <w14:solidFill>
                    <w14:srgbClr w14:val="000000">
                      <w14:alpha w14:val="100000"/>
                    </w14:srgbClr>
                  </w14:solidFill>
                </w14:textFill>
              </w:rPr>
              <w:t>|||</w:t>
            </w:r>
            <w:r w:rsidR="00DE7EE1" w:rsidRPr="00E40CE9">
              <w:rPr>
                <w:color w:val="000000"/>
                <w:spacing w:val="1"/>
                <w:shd w:val="solid" w:color="000000" w:fill="000000"/>
                <w:fitText w:val="324" w:id="-628460285"/>
                <w14:textFill>
                  <w14:solidFill>
                    <w14:srgbClr w14:val="000000">
                      <w14:alpha w14:val="100000"/>
                    </w14:srgbClr>
                  </w14:solidFill>
                </w14:textFill>
              </w:rPr>
              <w:t>|</w:t>
            </w:r>
            <w:r w:rsidR="008B0D27" w:rsidRPr="00270862">
              <w:t xml:space="preserve">, resulting in an ICER </w:t>
            </w:r>
            <w:r w:rsidR="00926CE3" w:rsidRPr="00270862">
              <w:t>of $</w:t>
            </w:r>
            <w:r w:rsidR="00DE7EE1" w:rsidRPr="00E40CE9">
              <w:rPr>
                <w:color w:val="000000"/>
                <w:spacing w:val="55"/>
                <w:shd w:val="solid" w:color="000000" w:fill="000000"/>
                <w:fitText w:val="336" w:id="-628460284"/>
                <w14:textFill>
                  <w14:solidFill>
                    <w14:srgbClr w14:val="000000">
                      <w14:alpha w14:val="100000"/>
                    </w14:srgbClr>
                  </w14:solidFill>
                </w14:textFill>
              </w:rPr>
              <w:t>|||</w:t>
            </w:r>
            <w:r w:rsidR="00DE7EE1" w:rsidRPr="00E40CE9">
              <w:rPr>
                <w:color w:val="000000"/>
                <w:spacing w:val="1"/>
                <w:shd w:val="solid" w:color="000000" w:fill="000000"/>
                <w:fitText w:val="336" w:id="-628460284"/>
                <w14:textFill>
                  <w14:solidFill>
                    <w14:srgbClr w14:val="000000">
                      <w14:alpha w14:val="100000"/>
                    </w14:srgbClr>
                  </w14:solidFill>
                </w14:textFill>
              </w:rPr>
              <w:t>|</w:t>
            </w:r>
            <w:r w:rsidR="00B8778E">
              <w:rPr>
                <w:vertAlign w:val="superscript"/>
              </w:rPr>
              <w:t>2</w:t>
            </w:r>
            <w:r w:rsidR="00926CE3" w:rsidRPr="00270862">
              <w:t xml:space="preserve"> </w:t>
            </w:r>
            <w:r w:rsidR="008B0D27" w:rsidRPr="00270862">
              <w:t xml:space="preserve">for the resubmission’s base case. </w:t>
            </w:r>
          </w:p>
          <w:p w14:paraId="73D992BA" w14:textId="130B651F" w:rsidR="002057BB" w:rsidRPr="00FA0529" w:rsidRDefault="002057BB" w:rsidP="00FC710F">
            <w:pPr>
              <w:pStyle w:val="TableText"/>
              <w:keepNext w:val="0"/>
            </w:pPr>
          </w:p>
        </w:tc>
        <w:tc>
          <w:tcPr>
            <w:tcW w:w="600" w:type="pct"/>
            <w:vAlign w:val="center"/>
          </w:tcPr>
          <w:p w14:paraId="7CDEDA2F" w14:textId="3AB5EA5F" w:rsidR="00E426FD" w:rsidRPr="00FA0529" w:rsidRDefault="009861F1" w:rsidP="005A294A">
            <w:pPr>
              <w:pStyle w:val="TableText"/>
              <w:keepNext w:val="0"/>
            </w:pPr>
            <w:r w:rsidRPr="00FA0529">
              <w:t>N</w:t>
            </w:r>
          </w:p>
        </w:tc>
      </w:tr>
      <w:tr w:rsidR="00782DB9" w:rsidRPr="00FA0529" w14:paraId="0CD29458" w14:textId="77777777" w:rsidTr="00A830CE">
        <w:trPr>
          <w:cantSplit/>
        </w:trPr>
        <w:tc>
          <w:tcPr>
            <w:tcW w:w="5000" w:type="pct"/>
            <w:gridSpan w:val="3"/>
            <w:vAlign w:val="center"/>
          </w:tcPr>
          <w:p w14:paraId="7D0390AF" w14:textId="7AB71185" w:rsidR="00782DB9" w:rsidRPr="00FA0529" w:rsidRDefault="00782DB9" w:rsidP="005A294A">
            <w:pPr>
              <w:pStyle w:val="TableText"/>
              <w:keepNext w:val="0"/>
            </w:pPr>
            <w:r w:rsidRPr="00FA0529">
              <w:rPr>
                <w:b/>
                <w:bCs w:val="0"/>
              </w:rPr>
              <w:t>Financial Estimates</w:t>
            </w:r>
          </w:p>
        </w:tc>
      </w:tr>
      <w:tr w:rsidR="00E426FD" w:rsidRPr="00FA0529" w14:paraId="389C7A31" w14:textId="77777777" w:rsidTr="00A830CE">
        <w:trPr>
          <w:cantSplit/>
        </w:trPr>
        <w:tc>
          <w:tcPr>
            <w:tcW w:w="2176" w:type="pct"/>
            <w:vAlign w:val="center"/>
          </w:tcPr>
          <w:p w14:paraId="377C821B" w14:textId="50A9F8AF" w:rsidR="001D3CCF" w:rsidRPr="00FA0529" w:rsidRDefault="00065987" w:rsidP="003D3A34">
            <w:pPr>
              <w:pStyle w:val="TableText"/>
              <w:keepNext w:val="0"/>
            </w:pPr>
            <w:r w:rsidRPr="00FA0529">
              <w:t xml:space="preserve">The submission took an epidemiological approach to derive the financial estimates. The PBAC agreed with the DUSC that a number of inputs needed to be revised as outlined in paragraph 6.119. </w:t>
            </w:r>
            <w:r w:rsidR="003D3A34" w:rsidRPr="00FA0529">
              <w:t>(ie</w:t>
            </w:r>
            <w:r w:rsidR="008B4718" w:rsidRPr="00FA0529">
              <w:t>:</w:t>
            </w:r>
          </w:p>
          <w:p w14:paraId="7D357BBA" w14:textId="4A01233D" w:rsidR="003D3A34" w:rsidRPr="00FA0529" w:rsidRDefault="003D3A34" w:rsidP="001D3CCF">
            <w:pPr>
              <w:pStyle w:val="TableText"/>
              <w:keepNext w:val="0"/>
              <w:numPr>
                <w:ilvl w:val="0"/>
                <w:numId w:val="19"/>
              </w:numPr>
              <w:ind w:left="368" w:hanging="240"/>
            </w:pPr>
            <w:r w:rsidRPr="00FA0529">
              <w:t xml:space="preserve">more granular information regarding the incidence estimates available from the AIHW. </w:t>
            </w:r>
          </w:p>
          <w:p w14:paraId="07D89931" w14:textId="635C354F" w:rsidR="003D3A34" w:rsidRPr="00FA0529" w:rsidRDefault="003D3A34" w:rsidP="001D3CCF">
            <w:pPr>
              <w:pStyle w:val="TableText"/>
              <w:numPr>
                <w:ilvl w:val="0"/>
                <w:numId w:val="19"/>
              </w:numPr>
              <w:ind w:left="368" w:hanging="240"/>
            </w:pPr>
            <w:r w:rsidRPr="00FA0529">
              <w:t xml:space="preserve">number of patients progressing to second line therapy overestimated. </w:t>
            </w:r>
          </w:p>
          <w:p w14:paraId="1B79A1C7" w14:textId="18C09D56" w:rsidR="003D3A34" w:rsidRPr="00FA0529" w:rsidRDefault="003D3A34" w:rsidP="001D3CCF">
            <w:pPr>
              <w:pStyle w:val="TableText"/>
              <w:numPr>
                <w:ilvl w:val="0"/>
                <w:numId w:val="19"/>
              </w:numPr>
              <w:ind w:left="368" w:hanging="240"/>
            </w:pPr>
            <w:r w:rsidRPr="00FA0529">
              <w:t>number of tests per patient underestimated.</w:t>
            </w:r>
          </w:p>
          <w:p w14:paraId="244012E1" w14:textId="0B681939" w:rsidR="003D3A34" w:rsidRPr="00FA0529" w:rsidRDefault="003D3A34" w:rsidP="001D3CCF">
            <w:pPr>
              <w:pStyle w:val="TableText"/>
              <w:numPr>
                <w:ilvl w:val="0"/>
                <w:numId w:val="19"/>
              </w:numPr>
              <w:ind w:left="368" w:hanging="240"/>
            </w:pPr>
            <w:r w:rsidRPr="00FA0529">
              <w:t>inclusion of treatment uptake rate for futibatinib patients double counts the proportion of patients who progress to second line therapy with ECOG PS 0 or 1.</w:t>
            </w:r>
          </w:p>
          <w:p w14:paraId="66C27689" w14:textId="2A048E2E" w:rsidR="003D3A34" w:rsidRPr="00FA0529" w:rsidRDefault="003D3A34" w:rsidP="001D3CCF">
            <w:pPr>
              <w:pStyle w:val="TableText"/>
              <w:keepNext w:val="0"/>
              <w:numPr>
                <w:ilvl w:val="0"/>
                <w:numId w:val="19"/>
              </w:numPr>
              <w:ind w:left="368" w:hanging="240"/>
            </w:pPr>
            <w:r w:rsidRPr="00FA0529">
              <w:t>treatment duration applied in the economic model and financial estimates should align.</w:t>
            </w:r>
            <w:r w:rsidR="008911EB" w:rsidRPr="00FA0529">
              <w:t>)</w:t>
            </w:r>
          </w:p>
          <w:p w14:paraId="0591B6BC" w14:textId="23BB0BC7" w:rsidR="00E426FD" w:rsidRPr="00FA0529" w:rsidRDefault="00065987" w:rsidP="005A294A">
            <w:pPr>
              <w:pStyle w:val="TableText"/>
              <w:keepNext w:val="0"/>
            </w:pPr>
            <w:r w:rsidRPr="00FA0529">
              <w:t xml:space="preserve">Additionally, the PBAC considered the prevalence of FGFR2 fusion or rearrangements was likely overestimated and should be revised to account for the low prevalence (≤1%) in eCCA patients. (para </w:t>
            </w:r>
            <w:r w:rsidR="00E85BDD" w:rsidRPr="00FA0529">
              <w:t>7.16</w:t>
            </w:r>
            <w:r w:rsidRPr="00FA0529">
              <w:t>)</w:t>
            </w:r>
          </w:p>
        </w:tc>
        <w:tc>
          <w:tcPr>
            <w:tcW w:w="2224" w:type="pct"/>
            <w:vAlign w:val="center"/>
          </w:tcPr>
          <w:p w14:paraId="15187F1E" w14:textId="147E1E6A" w:rsidR="00820E10" w:rsidRPr="00FA0529" w:rsidRDefault="00347C9D" w:rsidP="00820E10">
            <w:pPr>
              <w:pStyle w:val="TableText"/>
              <w:keepNext w:val="0"/>
            </w:pPr>
            <w:r w:rsidRPr="00FA0529">
              <w:t xml:space="preserve">Inputs </w:t>
            </w:r>
            <w:r w:rsidR="003775F1" w:rsidRPr="00FA0529">
              <w:t xml:space="preserve">noted by DUSC </w:t>
            </w:r>
            <w:r w:rsidRPr="00FA0529">
              <w:t>were revised</w:t>
            </w:r>
            <w:r w:rsidR="00820E10" w:rsidRPr="00FA0529">
              <w:t xml:space="preserve"> as follows:</w:t>
            </w:r>
          </w:p>
          <w:p w14:paraId="01B89B98" w14:textId="1F18EBE4" w:rsidR="00820E10" w:rsidRPr="00FA0529" w:rsidRDefault="00FE4176" w:rsidP="008911EB">
            <w:pPr>
              <w:pStyle w:val="TableText"/>
              <w:keepNext w:val="0"/>
              <w:numPr>
                <w:ilvl w:val="0"/>
                <w:numId w:val="19"/>
              </w:numPr>
              <w:ind w:left="368" w:hanging="240"/>
            </w:pPr>
            <w:r w:rsidRPr="00FA0529">
              <w:t>AIHW incidence</w:t>
            </w:r>
            <w:r w:rsidR="00820E10" w:rsidRPr="00FA0529">
              <w:t xml:space="preserve"> utilised</w:t>
            </w:r>
            <w:r w:rsidR="009A1E32" w:rsidRPr="00FA0529">
              <w:t>.</w:t>
            </w:r>
          </w:p>
          <w:p w14:paraId="1CDFC5FF" w14:textId="55C81686" w:rsidR="00E426FD" w:rsidRPr="00FA0529" w:rsidRDefault="00AA68A1" w:rsidP="008911EB">
            <w:pPr>
              <w:pStyle w:val="TableText"/>
              <w:keepNext w:val="0"/>
              <w:numPr>
                <w:ilvl w:val="0"/>
                <w:numId w:val="19"/>
              </w:numPr>
              <w:ind w:left="368" w:hanging="240"/>
            </w:pPr>
            <w:r w:rsidRPr="00FA0529">
              <w:t>number of patients progressing to second-line therapy</w:t>
            </w:r>
            <w:r w:rsidR="008F7EAB" w:rsidRPr="00FA0529">
              <w:t xml:space="preserve"> </w:t>
            </w:r>
            <w:r w:rsidR="00820E10" w:rsidRPr="00FA0529">
              <w:t xml:space="preserve">reduced </w:t>
            </w:r>
            <w:r w:rsidR="00C5733B" w:rsidRPr="00FA0529">
              <w:t xml:space="preserve">from </w:t>
            </w:r>
            <w:r w:rsidR="0029340E" w:rsidRPr="00FA0529">
              <w:t xml:space="preserve">60% </w:t>
            </w:r>
            <w:r w:rsidR="00EE2889" w:rsidRPr="00FA0529">
              <w:t>to</w:t>
            </w:r>
            <w:r w:rsidR="00820E10" w:rsidRPr="00FA0529">
              <w:t xml:space="preserve"> </w:t>
            </w:r>
            <w:r w:rsidR="008F7EAB" w:rsidRPr="00FA0529">
              <w:t>50%</w:t>
            </w:r>
            <w:r w:rsidR="009A1E32" w:rsidRPr="00FA0529">
              <w:t>.</w:t>
            </w:r>
          </w:p>
          <w:p w14:paraId="114FA202" w14:textId="23B6256C" w:rsidR="00820E10" w:rsidRPr="00FA0529" w:rsidRDefault="00EE2889" w:rsidP="008911EB">
            <w:pPr>
              <w:pStyle w:val="TableText"/>
              <w:keepNext w:val="0"/>
              <w:numPr>
                <w:ilvl w:val="0"/>
                <w:numId w:val="19"/>
              </w:numPr>
              <w:ind w:left="368" w:hanging="240"/>
            </w:pPr>
            <w:r w:rsidRPr="00FA0529">
              <w:t>number of tests increased</w:t>
            </w:r>
            <w:r w:rsidR="00183C05" w:rsidRPr="00FA0529">
              <w:t xml:space="preserve"> per treated patient, and doubled test numbers to reflect </w:t>
            </w:r>
            <w:r w:rsidR="00293396" w:rsidRPr="00FA0529">
              <w:t>testing patients in the first line treatment setting</w:t>
            </w:r>
            <w:r w:rsidR="009A1E32" w:rsidRPr="00FA0529">
              <w:t>.</w:t>
            </w:r>
            <w:r w:rsidR="00183C05" w:rsidRPr="00FA0529">
              <w:t xml:space="preserve"> </w:t>
            </w:r>
          </w:p>
          <w:p w14:paraId="3FD2392B" w14:textId="77777777" w:rsidR="00183C05" w:rsidRPr="00FA0529" w:rsidRDefault="00C13B40" w:rsidP="008911EB">
            <w:pPr>
              <w:pStyle w:val="TableText"/>
              <w:keepNext w:val="0"/>
              <w:numPr>
                <w:ilvl w:val="0"/>
                <w:numId w:val="19"/>
              </w:numPr>
              <w:ind w:left="368" w:hanging="240"/>
            </w:pPr>
            <w:r w:rsidRPr="00FA0529">
              <w:t xml:space="preserve">Treatment duration of 57.78 weeks </w:t>
            </w:r>
            <w:r w:rsidR="00A75D6C" w:rsidRPr="00FA0529">
              <w:t xml:space="preserve">applied </w:t>
            </w:r>
            <w:r w:rsidRPr="00FA0529">
              <w:t>(vs 12.5 months</w:t>
            </w:r>
            <w:r w:rsidR="00A75D6C" w:rsidRPr="00FA0529">
              <w:t xml:space="preserve">). </w:t>
            </w:r>
          </w:p>
          <w:p w14:paraId="421BF7B4" w14:textId="132BD474" w:rsidR="001E47A8" w:rsidRPr="00FA0529" w:rsidRDefault="001E47A8" w:rsidP="008911EB">
            <w:pPr>
              <w:pStyle w:val="TableText"/>
              <w:keepNext w:val="0"/>
              <w:numPr>
                <w:ilvl w:val="0"/>
                <w:numId w:val="19"/>
              </w:numPr>
              <w:ind w:left="368" w:hanging="240"/>
            </w:pPr>
            <w:r w:rsidRPr="00FA0529">
              <w:t xml:space="preserve">Reduced </w:t>
            </w:r>
            <w:r w:rsidR="008819B6" w:rsidRPr="00FA0529">
              <w:t xml:space="preserve">prevalence of </w:t>
            </w:r>
            <w:r w:rsidR="008819B6" w:rsidRPr="00FA0529">
              <w:rPr>
                <w:i/>
                <w:iCs/>
              </w:rPr>
              <w:t>FGFR2</w:t>
            </w:r>
            <w:r w:rsidR="008819B6" w:rsidRPr="00FA0529">
              <w:t xml:space="preserve"> fusion or rearrangements </w:t>
            </w:r>
            <w:r w:rsidR="00293396" w:rsidRPr="00FA0529">
              <w:t xml:space="preserve">from 20% </w:t>
            </w:r>
            <w:r w:rsidR="008819B6" w:rsidRPr="00FA0529">
              <w:t>to 13.86%</w:t>
            </w:r>
            <w:r w:rsidR="006E2494" w:rsidRPr="00FA0529">
              <w:t>.</w:t>
            </w:r>
          </w:p>
        </w:tc>
        <w:tc>
          <w:tcPr>
            <w:tcW w:w="600" w:type="pct"/>
            <w:vAlign w:val="center"/>
          </w:tcPr>
          <w:p w14:paraId="45FA9114" w14:textId="65A1D4A0" w:rsidR="00E426FD" w:rsidRPr="00FA0529" w:rsidRDefault="008819B6" w:rsidP="005A294A">
            <w:pPr>
              <w:pStyle w:val="TableText"/>
              <w:keepNext w:val="0"/>
            </w:pPr>
            <w:r w:rsidRPr="00FA0529">
              <w:t>Y</w:t>
            </w:r>
          </w:p>
        </w:tc>
      </w:tr>
    </w:tbl>
    <w:p w14:paraId="5E56F6C2" w14:textId="6FED54F0" w:rsidR="00DB7748" w:rsidRDefault="002D6A12" w:rsidP="005A294A">
      <w:pPr>
        <w:pStyle w:val="TableFigureFooter"/>
      </w:pPr>
      <w:r w:rsidRPr="00FA0529">
        <w:t xml:space="preserve">AIHW = Australian Institute of Health and Welfare; </w:t>
      </w:r>
      <w:r w:rsidR="00B11331" w:rsidRPr="00FA0529">
        <w:t xml:space="preserve">eCCA = extracellular cholangiocarcinoma; </w:t>
      </w:r>
      <w:r w:rsidR="00617CC2" w:rsidRPr="00FA0529">
        <w:t xml:space="preserve">ECOG </w:t>
      </w:r>
      <w:r w:rsidR="00E3688A" w:rsidRPr="00FA0529">
        <w:t xml:space="preserve">PS </w:t>
      </w:r>
      <w:r w:rsidR="00617CC2" w:rsidRPr="00FA0529">
        <w:t xml:space="preserve">= </w:t>
      </w:r>
      <w:r w:rsidR="00E3688A" w:rsidRPr="00FA0529">
        <w:t>Eastern Cooperative Oncology Group Performance Status</w:t>
      </w:r>
      <w:r w:rsidR="00617CC2" w:rsidRPr="00FA0529">
        <w:t xml:space="preserve">; </w:t>
      </w:r>
      <w:r w:rsidR="00B11331" w:rsidRPr="00FA0529">
        <w:t xml:space="preserve">FGFR2 = </w:t>
      </w:r>
      <w:r w:rsidR="00154AD6" w:rsidRPr="00FA0529">
        <w:t>fibroblast growth factor receptor 2;</w:t>
      </w:r>
      <w:r w:rsidR="00B77314" w:rsidRPr="00FA0529">
        <w:t xml:space="preserve"> HR</w:t>
      </w:r>
      <w:r w:rsidR="00154AD6" w:rsidRPr="00FA0529">
        <w:t xml:space="preserve"> </w:t>
      </w:r>
      <w:r w:rsidR="00B77314" w:rsidRPr="00FA0529">
        <w:t xml:space="preserve">= hazard ratio; </w:t>
      </w:r>
      <w:r w:rsidR="00B11331" w:rsidRPr="00FA0529">
        <w:t>iCCA = intracellular cholangiocarcinoma</w:t>
      </w:r>
      <w:r w:rsidRPr="00FA0529">
        <w:t xml:space="preserve">; MAIC = matched adjusted </w:t>
      </w:r>
      <w:r w:rsidR="00B77314" w:rsidRPr="00FA0529">
        <w:t xml:space="preserve">indirect comparison; OS = overall survival; PFS = progression free survival; </w:t>
      </w:r>
      <w:r w:rsidRPr="00FA0529">
        <w:t>QALY = quality adjusted life year</w:t>
      </w:r>
    </w:p>
    <w:p w14:paraId="7AA8D79E" w14:textId="77777777" w:rsidR="007F0C39" w:rsidRPr="007F0C39" w:rsidRDefault="007F0C39" w:rsidP="007F0C39">
      <w:pPr>
        <w:pStyle w:val="TableFigureFooter"/>
        <w:rPr>
          <w:i/>
        </w:rPr>
      </w:pPr>
      <w:r w:rsidRPr="007F0C39">
        <w:rPr>
          <w:i/>
        </w:rPr>
        <w:t xml:space="preserve">The redacted values correspond to the following ranges: </w:t>
      </w:r>
    </w:p>
    <w:p w14:paraId="3A64CC46" w14:textId="7AE7EDD4" w:rsidR="007F0C39" w:rsidRPr="007F0C39" w:rsidRDefault="007F0C39" w:rsidP="007F0C39">
      <w:pPr>
        <w:pStyle w:val="TableFigureFooter"/>
        <w:rPr>
          <w:i/>
        </w:rPr>
      </w:pPr>
      <w:r w:rsidRPr="007F0C39">
        <w:rPr>
          <w:i/>
          <w:vertAlign w:val="superscript"/>
        </w:rPr>
        <w:t>1</w:t>
      </w:r>
      <w:r w:rsidRPr="007F0C39">
        <w:rPr>
          <w:i/>
        </w:rPr>
        <w:t xml:space="preserve"> </w:t>
      </w:r>
      <w:r w:rsidR="00B8778E" w:rsidRPr="00B8778E">
        <w:rPr>
          <w:i/>
        </w:rPr>
        <w:t>$55,000 to &lt; $75,000</w:t>
      </w:r>
    </w:p>
    <w:p w14:paraId="47FD6748" w14:textId="598BB92B" w:rsidR="007F0C39" w:rsidRPr="007F0C39" w:rsidRDefault="007F0C39" w:rsidP="007F0C39">
      <w:pPr>
        <w:pStyle w:val="TableFigureFooter"/>
        <w:rPr>
          <w:i/>
        </w:rPr>
      </w:pPr>
      <w:r w:rsidRPr="007F0C39">
        <w:rPr>
          <w:i/>
          <w:vertAlign w:val="superscript"/>
        </w:rPr>
        <w:t>2</w:t>
      </w:r>
      <w:r w:rsidRPr="007F0C39">
        <w:rPr>
          <w:i/>
        </w:rPr>
        <w:t xml:space="preserve"> </w:t>
      </w:r>
      <w:r w:rsidR="0047798A" w:rsidRPr="0047798A">
        <w:rPr>
          <w:i/>
        </w:rPr>
        <w:t>$75,000 to &lt; $95,000</w:t>
      </w:r>
    </w:p>
    <w:p w14:paraId="1BEDD864" w14:textId="77777777" w:rsidR="007F0C39" w:rsidRPr="00FA0529" w:rsidRDefault="007F0C39" w:rsidP="005A294A">
      <w:pPr>
        <w:pStyle w:val="TableFigureFooter"/>
      </w:pPr>
    </w:p>
    <w:p w14:paraId="10A145CB" w14:textId="277B7457" w:rsidR="00FC710F" w:rsidRPr="00FA0529" w:rsidRDefault="00604683" w:rsidP="00FC710F">
      <w:pPr>
        <w:pStyle w:val="3-BodyText"/>
      </w:pPr>
      <w:r>
        <w:t xml:space="preserve">The pre-PBAC response </w:t>
      </w:r>
      <w:r w:rsidR="00EC612E">
        <w:t xml:space="preserve">argued </w:t>
      </w:r>
      <w:r w:rsidR="00DA3717">
        <w:t xml:space="preserve">the early re-entry </w:t>
      </w:r>
      <w:r w:rsidR="005362CB">
        <w:t xml:space="preserve">submission had </w:t>
      </w:r>
      <w:r w:rsidR="00EC612E">
        <w:t xml:space="preserve">made significant concessions </w:t>
      </w:r>
      <w:r w:rsidR="004B0588">
        <w:t xml:space="preserve">compared to the previous submission </w:t>
      </w:r>
      <w:r w:rsidR="00F848B9">
        <w:t>and provided further arguments to support the base case economic model.</w:t>
      </w:r>
      <w:r w:rsidR="00A05A56">
        <w:t xml:space="preserve"> </w:t>
      </w:r>
    </w:p>
    <w:p w14:paraId="0935F4B2" w14:textId="15DE73BB" w:rsidR="5D80A09E" w:rsidRPr="00FA0529" w:rsidRDefault="004877C2" w:rsidP="006C5B33">
      <w:pPr>
        <w:pStyle w:val="2-SectionHeading"/>
        <w:rPr>
          <w:rFonts w:eastAsiaTheme="minorEastAsia"/>
        </w:rPr>
      </w:pPr>
      <w:r w:rsidRPr="00FA0529">
        <w:t>Background</w:t>
      </w:r>
    </w:p>
    <w:p w14:paraId="2EA0FCB8" w14:textId="6A332024" w:rsidR="00654A34" w:rsidRPr="00FA0529" w:rsidRDefault="00654A34" w:rsidP="00654A34">
      <w:pPr>
        <w:pStyle w:val="3-BodyText"/>
      </w:pPr>
      <w:r w:rsidRPr="00FA0529">
        <w:t xml:space="preserve">Futibatinib was </w:t>
      </w:r>
      <w:r w:rsidR="00247550" w:rsidRPr="00FA0529">
        <w:t>included</w:t>
      </w:r>
      <w:r w:rsidRPr="00FA0529">
        <w:t xml:space="preserve"> on the ARTG on 17 April 2025 </w:t>
      </w:r>
      <w:r w:rsidR="00C319EC" w:rsidRPr="00FA0529">
        <w:t>for the following i</w:t>
      </w:r>
      <w:r w:rsidRPr="00FA0529">
        <w:t xml:space="preserve">ndication: </w:t>
      </w:r>
    </w:p>
    <w:p w14:paraId="710BF2E9" w14:textId="68E8DD05" w:rsidR="00654A34" w:rsidRPr="00FA0529" w:rsidRDefault="00C319EC" w:rsidP="00142C71">
      <w:pPr>
        <w:pStyle w:val="3-BodyText"/>
        <w:numPr>
          <w:ilvl w:val="0"/>
          <w:numId w:val="0"/>
        </w:numPr>
        <w:ind w:left="720"/>
      </w:pPr>
      <w:r w:rsidRPr="00FA0529">
        <w:t>“</w:t>
      </w:r>
      <w:r w:rsidR="00654A34" w:rsidRPr="00FA0529">
        <w:t xml:space="preserve">LYTGOBI monotherapy has provisional approval in Australia for the treatment of adult patients with locally advanced or metastatic intrahepatic cholangiocarcinoma with a fibroblast growth factor receptor 2 (FGFR2) fusion or rearrangement that have </w:t>
      </w:r>
      <w:r w:rsidR="00654A34" w:rsidRPr="00FA0529">
        <w:lastRenderedPageBreak/>
        <w:t>progressed after at least one prior line of systemic therapy.</w:t>
      </w:r>
      <w:r w:rsidR="00142C71" w:rsidRPr="00FA0529">
        <w:t xml:space="preserve"> </w:t>
      </w:r>
      <w:r w:rsidR="00426C8D" w:rsidRPr="00FA0529">
        <w:t xml:space="preserve">The </w:t>
      </w:r>
      <w:r w:rsidR="00654A34" w:rsidRPr="00FA0529">
        <w:t>decision to approve this indication has been made on the basis of the favourable objective response rate and duration of response in a single arm trial. Continued approval of this indication depends on verification and description of benefit in confirmatory trials</w:t>
      </w:r>
      <w:r w:rsidR="00E371DE" w:rsidRPr="00FA0529">
        <w:t>”</w:t>
      </w:r>
      <w:r w:rsidR="00654A34" w:rsidRPr="00FA0529">
        <w:t>.</w:t>
      </w:r>
    </w:p>
    <w:p w14:paraId="256C712D" w14:textId="6CA7A647" w:rsidR="0090775A" w:rsidRPr="00FA0529" w:rsidRDefault="004F6160" w:rsidP="006C5B33">
      <w:pPr>
        <w:pStyle w:val="3-BodyText"/>
      </w:pPr>
      <w:r w:rsidRPr="00FA0529">
        <w:t>The PICO from the</w:t>
      </w:r>
      <w:r w:rsidR="00C23CC1" w:rsidRPr="00FA0529" w:rsidDel="00C23CC1">
        <w:t xml:space="preserve"> </w:t>
      </w:r>
      <w:r w:rsidRPr="00FA0529">
        <w:t>previous submission</w:t>
      </w:r>
      <w:r w:rsidR="00E42137" w:rsidRPr="00FA0529">
        <w:t xml:space="preserve"> </w:t>
      </w:r>
      <w:r w:rsidRPr="00FA0529">
        <w:t>is presented below</w:t>
      </w:r>
      <w:r w:rsidR="00A07C4C" w:rsidRPr="00FA0529">
        <w:t>.</w:t>
      </w:r>
    </w:p>
    <w:p w14:paraId="378BBD96" w14:textId="6D34E78D" w:rsidR="003E1211" w:rsidRPr="00FA0529" w:rsidRDefault="003E1211" w:rsidP="00251CA7">
      <w:pPr>
        <w:pStyle w:val="TableFigureHeading"/>
      </w:pPr>
      <w:r w:rsidRPr="00FA0529">
        <w:t xml:space="preserve">Table </w:t>
      </w:r>
      <w:r w:rsidR="00CA5BC1">
        <w:fldChar w:fldCharType="begin"/>
      </w:r>
      <w:r w:rsidR="00CA5BC1">
        <w:instrText xml:space="preserve"> SEQ Table \* ARABIC </w:instrText>
      </w:r>
      <w:r w:rsidR="00CA5BC1">
        <w:fldChar w:fldCharType="separate"/>
      </w:r>
      <w:r w:rsidR="00462AA0">
        <w:rPr>
          <w:noProof/>
        </w:rPr>
        <w:t>2</w:t>
      </w:r>
      <w:r w:rsidR="00CA5BC1">
        <w:rPr>
          <w:noProof/>
        </w:rPr>
        <w:fldChar w:fldCharType="end"/>
      </w:r>
      <w:r w:rsidRPr="00FA0529">
        <w:t xml:space="preserve">: Key components of the clinical issue addressed by the submission (as stated in the </w:t>
      </w:r>
      <w:r w:rsidR="00D11162" w:rsidRPr="00FA0529">
        <w:t xml:space="preserve">previous </w:t>
      </w:r>
      <w:r w:rsidRPr="00FA0529">
        <w:t>submission)</w:t>
      </w:r>
    </w:p>
    <w:tbl>
      <w:tblPr>
        <w:tblStyle w:val="PBACTableStyle"/>
        <w:tblW w:w="0" w:type="auto"/>
        <w:tblLook w:val="04A0" w:firstRow="1" w:lastRow="0" w:firstColumn="1" w:lastColumn="0" w:noHBand="0" w:noVBand="1"/>
        <w:tblCaption w:val="Key components of the clinical issue addressed by the submission (as stated in the previous submission)"/>
      </w:tblPr>
      <w:tblGrid>
        <w:gridCol w:w="1184"/>
        <w:gridCol w:w="7832"/>
      </w:tblGrid>
      <w:tr w:rsidR="009F1BE2" w:rsidRPr="00FA0529" w14:paraId="1736C01A" w14:textId="77777777" w:rsidTr="000132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726C6222" w14:textId="77777777" w:rsidR="009F1BE2" w:rsidRPr="00FA0529" w:rsidRDefault="009F1BE2" w:rsidP="000132F6">
            <w:pPr>
              <w:pStyle w:val="TableText"/>
              <w:keepLines/>
              <w:contextualSpacing w:val="0"/>
              <w:rPr>
                <w:color w:val="auto"/>
                <w:lang w:val="en-AU"/>
              </w:rPr>
            </w:pPr>
            <w:r w:rsidRPr="00FA0529">
              <w:rPr>
                <w:color w:val="auto"/>
                <w:lang w:val="en-AU"/>
              </w:rPr>
              <w:t>Component</w:t>
            </w:r>
          </w:p>
        </w:tc>
        <w:tc>
          <w:tcPr>
            <w:tcW w:w="7832" w:type="dxa"/>
          </w:tcPr>
          <w:p w14:paraId="42FDA1D8" w14:textId="77777777" w:rsidR="009F1BE2" w:rsidRPr="00FA0529" w:rsidRDefault="009F1BE2" w:rsidP="000132F6">
            <w:pPr>
              <w:pStyle w:val="TableText"/>
              <w:keepLines/>
              <w:contextualSpacing w:val="0"/>
              <w:cnfStyle w:val="100000000000" w:firstRow="1" w:lastRow="0" w:firstColumn="0" w:lastColumn="0" w:oddVBand="0" w:evenVBand="0" w:oddHBand="0" w:evenHBand="0" w:firstRowFirstColumn="0" w:firstRowLastColumn="0" w:lastRowFirstColumn="0" w:lastRowLastColumn="0"/>
              <w:rPr>
                <w:color w:val="auto"/>
                <w:lang w:val="en-AU"/>
              </w:rPr>
            </w:pPr>
            <w:r w:rsidRPr="00FA0529">
              <w:rPr>
                <w:color w:val="auto"/>
                <w:lang w:val="en-AU"/>
              </w:rPr>
              <w:t>Description</w:t>
            </w:r>
          </w:p>
        </w:tc>
      </w:tr>
      <w:tr w:rsidR="009F1BE2" w:rsidRPr="00FA0529" w14:paraId="0ACA4255" w14:textId="77777777" w:rsidTr="000132F6">
        <w:trPr>
          <w:trHeight w:val="636"/>
        </w:trPr>
        <w:tc>
          <w:tcPr>
            <w:cnfStyle w:val="001000000000" w:firstRow="0" w:lastRow="0" w:firstColumn="1" w:lastColumn="0" w:oddVBand="0" w:evenVBand="0" w:oddHBand="0" w:evenHBand="0" w:firstRowFirstColumn="0" w:firstRowLastColumn="0" w:lastRowFirstColumn="0" w:lastRowLastColumn="0"/>
            <w:tcW w:w="1184" w:type="dxa"/>
          </w:tcPr>
          <w:p w14:paraId="2A7456C0" w14:textId="77777777" w:rsidR="009F1BE2" w:rsidRPr="00FA0529" w:rsidRDefault="009F1BE2" w:rsidP="000132F6">
            <w:pPr>
              <w:pStyle w:val="TableText"/>
              <w:keepLines/>
              <w:contextualSpacing w:val="0"/>
              <w:rPr>
                <w:color w:val="auto"/>
                <w:lang w:val="en-AU"/>
              </w:rPr>
            </w:pPr>
            <w:r w:rsidRPr="00FA0529">
              <w:rPr>
                <w:color w:val="auto"/>
                <w:lang w:val="en-AU"/>
              </w:rPr>
              <w:t>Population</w:t>
            </w:r>
          </w:p>
        </w:tc>
        <w:tc>
          <w:tcPr>
            <w:tcW w:w="7832" w:type="dxa"/>
          </w:tcPr>
          <w:p w14:paraId="4C30CB28" w14:textId="1BFA24CE" w:rsidR="009F1BE2" w:rsidRPr="00FA0529" w:rsidRDefault="009F1BE2" w:rsidP="00B4472B">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Test: adult patients with locally advanced or metastatic CCA</w:t>
            </w:r>
            <w:r w:rsidR="008B4718" w:rsidRPr="00FA0529">
              <w:rPr>
                <w:color w:val="auto"/>
                <w:lang w:val="en-AU"/>
              </w:rPr>
              <w:t>.</w:t>
            </w:r>
          </w:p>
          <w:p w14:paraId="06EE9B58" w14:textId="74559C6E"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 xml:space="preserve">Drug: adult patients with locally advanced or metastatic CCA with a </w:t>
            </w:r>
            <w:r w:rsidRPr="00FA0529">
              <w:rPr>
                <w:i/>
                <w:iCs/>
                <w:color w:val="auto"/>
                <w:lang w:val="en-AU"/>
              </w:rPr>
              <w:t>FGFR2</w:t>
            </w:r>
            <w:r w:rsidRPr="00FA0529">
              <w:rPr>
                <w:color w:val="auto"/>
                <w:lang w:val="en-AU"/>
              </w:rPr>
              <w:t xml:space="preserve"> fusion or rearrangement that have progressed after at least one prior line of systemic therapy</w:t>
            </w:r>
            <w:r w:rsidR="008B4718" w:rsidRPr="00FA0529">
              <w:rPr>
                <w:color w:val="auto"/>
                <w:lang w:val="en-AU"/>
              </w:rPr>
              <w:t>.</w:t>
            </w:r>
          </w:p>
        </w:tc>
      </w:tr>
      <w:tr w:rsidR="009F1BE2" w:rsidRPr="00FA0529" w14:paraId="07C3C8B7" w14:textId="77777777" w:rsidTr="000132F6">
        <w:tc>
          <w:tcPr>
            <w:cnfStyle w:val="001000000000" w:firstRow="0" w:lastRow="0" w:firstColumn="1" w:lastColumn="0" w:oddVBand="0" w:evenVBand="0" w:oddHBand="0" w:evenHBand="0" w:firstRowFirstColumn="0" w:firstRowLastColumn="0" w:lastRowFirstColumn="0" w:lastRowLastColumn="0"/>
            <w:tcW w:w="1184" w:type="dxa"/>
          </w:tcPr>
          <w:p w14:paraId="0C5F75AC" w14:textId="77777777" w:rsidR="009F1BE2" w:rsidRPr="00FA0529" w:rsidRDefault="009F1BE2" w:rsidP="000132F6">
            <w:pPr>
              <w:pStyle w:val="TableText"/>
              <w:keepLines/>
              <w:contextualSpacing w:val="0"/>
              <w:rPr>
                <w:color w:val="auto"/>
                <w:lang w:val="en-AU"/>
              </w:rPr>
            </w:pPr>
            <w:r w:rsidRPr="00FA0529">
              <w:rPr>
                <w:color w:val="auto"/>
                <w:lang w:val="en-AU"/>
              </w:rPr>
              <w:t>Intervention</w:t>
            </w:r>
          </w:p>
        </w:tc>
        <w:tc>
          <w:tcPr>
            <w:tcW w:w="7832" w:type="dxa"/>
          </w:tcPr>
          <w:p w14:paraId="45320334" w14:textId="138218B8" w:rsidR="009F1BE2" w:rsidRPr="00FA0529" w:rsidRDefault="009F1BE2" w:rsidP="00B4472B">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 xml:space="preserve">Test: tumour tissue testing for </w:t>
            </w:r>
            <w:r w:rsidRPr="00FA0529">
              <w:rPr>
                <w:i/>
                <w:iCs/>
                <w:color w:val="auto"/>
                <w:lang w:val="en-AU"/>
              </w:rPr>
              <w:t>FGFR2</w:t>
            </w:r>
            <w:r w:rsidRPr="00FA0529">
              <w:rPr>
                <w:color w:val="auto"/>
                <w:lang w:val="en-AU"/>
              </w:rPr>
              <w:t xml:space="preserve"> fusions or rearrangements using RNA NGS</w:t>
            </w:r>
            <w:r w:rsidR="008B4718" w:rsidRPr="00FA0529">
              <w:rPr>
                <w:color w:val="auto"/>
                <w:lang w:val="en-AU"/>
              </w:rPr>
              <w:t>.</w:t>
            </w:r>
          </w:p>
          <w:p w14:paraId="2AB1B2D1" w14:textId="026DF511"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Alternat</w:t>
            </w:r>
            <w:r w:rsidR="0003173A" w:rsidRPr="00FA0529">
              <w:rPr>
                <w:color w:val="auto"/>
                <w:lang w:val="en-AU"/>
              </w:rPr>
              <w:t>iv</w:t>
            </w:r>
            <w:r w:rsidRPr="00FA0529">
              <w:rPr>
                <w:color w:val="auto"/>
                <w:lang w:val="en-AU"/>
              </w:rPr>
              <w:t xml:space="preserve">e test: tumour tissue testing for </w:t>
            </w:r>
            <w:r w:rsidRPr="00FA0529">
              <w:rPr>
                <w:i/>
                <w:iCs/>
                <w:color w:val="auto"/>
                <w:lang w:val="en-AU"/>
              </w:rPr>
              <w:t>FGFR2</w:t>
            </w:r>
            <w:r w:rsidRPr="00FA0529">
              <w:rPr>
                <w:color w:val="auto"/>
                <w:lang w:val="en-AU"/>
              </w:rPr>
              <w:t xml:space="preserve"> gene fusions or rearrangements using FISH testing on DNA</w:t>
            </w:r>
            <w:r w:rsidR="008B4718" w:rsidRPr="00FA0529">
              <w:rPr>
                <w:color w:val="auto"/>
                <w:lang w:val="en-AU"/>
              </w:rPr>
              <w:t>.</w:t>
            </w:r>
          </w:p>
          <w:p w14:paraId="7E25B5FE" w14:textId="64017CB4"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Drug: futibatinib 20 mg (5*4 mg tablets) taken orally once daily until disease progression or unacceptable toxicity</w:t>
            </w:r>
            <w:r w:rsidR="008B4718" w:rsidRPr="00FA0529">
              <w:rPr>
                <w:color w:val="auto"/>
                <w:lang w:val="en-AU"/>
              </w:rPr>
              <w:t>.</w:t>
            </w:r>
          </w:p>
        </w:tc>
      </w:tr>
      <w:tr w:rsidR="009F1BE2" w:rsidRPr="00FA0529" w14:paraId="0978696B" w14:textId="77777777" w:rsidTr="000132F6">
        <w:tc>
          <w:tcPr>
            <w:cnfStyle w:val="001000000000" w:firstRow="0" w:lastRow="0" w:firstColumn="1" w:lastColumn="0" w:oddVBand="0" w:evenVBand="0" w:oddHBand="0" w:evenHBand="0" w:firstRowFirstColumn="0" w:firstRowLastColumn="0" w:lastRowFirstColumn="0" w:lastRowLastColumn="0"/>
            <w:tcW w:w="1184" w:type="dxa"/>
          </w:tcPr>
          <w:p w14:paraId="7CF7B645" w14:textId="77777777" w:rsidR="009F1BE2" w:rsidRPr="00FA0529" w:rsidRDefault="009F1BE2" w:rsidP="000132F6">
            <w:pPr>
              <w:pStyle w:val="TableText"/>
              <w:keepLines/>
              <w:contextualSpacing w:val="0"/>
              <w:rPr>
                <w:color w:val="auto"/>
                <w:lang w:val="en-AU"/>
              </w:rPr>
            </w:pPr>
            <w:r w:rsidRPr="00FA0529">
              <w:rPr>
                <w:color w:val="auto"/>
                <w:lang w:val="en-AU"/>
              </w:rPr>
              <w:t>Comparator</w:t>
            </w:r>
          </w:p>
        </w:tc>
        <w:tc>
          <w:tcPr>
            <w:tcW w:w="7832" w:type="dxa"/>
          </w:tcPr>
          <w:p w14:paraId="46187232" w14:textId="77777777"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 xml:space="preserve">Test: no testing for </w:t>
            </w:r>
            <w:r w:rsidRPr="00FA0529">
              <w:rPr>
                <w:i/>
                <w:iCs/>
                <w:color w:val="auto"/>
                <w:lang w:val="en-AU"/>
              </w:rPr>
              <w:t>FGFR2</w:t>
            </w:r>
            <w:r w:rsidRPr="00FA0529">
              <w:rPr>
                <w:color w:val="auto"/>
                <w:lang w:val="en-AU"/>
              </w:rPr>
              <w:t xml:space="preserve"> fusions or rearrangements</w:t>
            </w:r>
          </w:p>
          <w:p w14:paraId="5EAE7CAC" w14:textId="77777777" w:rsidR="00A358D6"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 xml:space="preserve">Drug: </w:t>
            </w:r>
          </w:p>
          <w:p w14:paraId="32E1CF31" w14:textId="05AA32E7" w:rsidR="009F1BE2" w:rsidRPr="00FA0529" w:rsidRDefault="009F1BE2" w:rsidP="00D11162">
            <w:pPr>
              <w:pStyle w:val="TableText"/>
              <w:keepNext w:val="0"/>
              <w:numPr>
                <w:ilvl w:val="0"/>
                <w:numId w:val="11"/>
              </w:numPr>
              <w:spacing w:before="0"/>
              <w:ind w:left="386"/>
              <w:contextualSpacing w:val="0"/>
              <w:jc w:val="left"/>
              <w:cnfStyle w:val="000000000000" w:firstRow="0" w:lastRow="0" w:firstColumn="0" w:lastColumn="0" w:oddVBand="0" w:evenVBand="0" w:oddHBand="0" w:evenHBand="0" w:firstRowFirstColumn="0" w:firstRowLastColumn="0" w:lastRowFirstColumn="0" w:lastRowLastColumn="0"/>
              <w:rPr>
                <w:color w:val="0D0D0D" w:themeColor="text1" w:themeTint="F2"/>
                <w:lang w:val="en-AU"/>
              </w:rPr>
            </w:pPr>
            <w:r w:rsidRPr="00FA0529">
              <w:rPr>
                <w:color w:val="0D0D0D" w:themeColor="text1" w:themeTint="F2"/>
                <w:lang w:val="en-AU"/>
              </w:rPr>
              <w:t>primary comparator: SoC chemotherapy, represented by FOLFOX (modified FOLFOX 6 chemotherapy (oxaliplatin 85 mg/m</w:t>
            </w:r>
            <w:r w:rsidRPr="00FA0529">
              <w:rPr>
                <w:color w:val="0D0D0D" w:themeColor="text1" w:themeTint="F2"/>
                <w:vertAlign w:val="superscript"/>
                <w:lang w:val="en-AU"/>
              </w:rPr>
              <w:t>2</w:t>
            </w:r>
            <w:r w:rsidRPr="00FA0529">
              <w:rPr>
                <w:color w:val="0D0D0D" w:themeColor="text1" w:themeTint="F2"/>
                <w:lang w:val="en-AU"/>
              </w:rPr>
              <w:t>, calcium folinate 50 mg*, fluorouracil 400 mg/m</w:t>
            </w:r>
            <w:r w:rsidRPr="00FA0529">
              <w:rPr>
                <w:color w:val="0D0D0D" w:themeColor="text1" w:themeTint="F2"/>
                <w:vertAlign w:val="superscript"/>
                <w:lang w:val="en-AU"/>
              </w:rPr>
              <w:t xml:space="preserve">2 </w:t>
            </w:r>
            <w:r w:rsidRPr="00FA0529">
              <w:rPr>
                <w:color w:val="0D0D0D" w:themeColor="text1" w:themeTint="F2"/>
                <w:lang w:val="en-AU"/>
              </w:rPr>
              <w:t>bolus and 2400 mg/m2 continuous infusion over 46 hours; every 14 days for up to 12 cycles)</w:t>
            </w:r>
            <w:r w:rsidR="008B4718" w:rsidRPr="00FA0529">
              <w:rPr>
                <w:color w:val="0D0D0D" w:themeColor="text1" w:themeTint="F2"/>
                <w:lang w:val="en-AU"/>
              </w:rPr>
              <w:t>.</w:t>
            </w:r>
          </w:p>
          <w:p w14:paraId="1BD65B47" w14:textId="217A8151" w:rsidR="009F1BE2" w:rsidRPr="00FA0529" w:rsidRDefault="009F1BE2" w:rsidP="00D11162">
            <w:pPr>
              <w:pStyle w:val="TableText"/>
              <w:keepNext w:val="0"/>
              <w:numPr>
                <w:ilvl w:val="0"/>
                <w:numId w:val="11"/>
              </w:numPr>
              <w:spacing w:before="0"/>
              <w:ind w:left="386"/>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0D0D0D" w:themeColor="text1" w:themeTint="F2"/>
                <w:lang w:val="en-AU"/>
              </w:rPr>
              <w:t>Secondary comparator: palliative care (with active symptom control)</w:t>
            </w:r>
            <w:r w:rsidR="008B4718" w:rsidRPr="00FA0529">
              <w:rPr>
                <w:color w:val="0D0D0D" w:themeColor="text1" w:themeTint="F2"/>
                <w:lang w:val="en-AU"/>
              </w:rPr>
              <w:t>.</w:t>
            </w:r>
          </w:p>
        </w:tc>
      </w:tr>
      <w:tr w:rsidR="009F1BE2" w:rsidRPr="00FA0529" w14:paraId="464BC566" w14:textId="77777777" w:rsidTr="000132F6">
        <w:tc>
          <w:tcPr>
            <w:cnfStyle w:val="001000000000" w:firstRow="0" w:lastRow="0" w:firstColumn="1" w:lastColumn="0" w:oddVBand="0" w:evenVBand="0" w:oddHBand="0" w:evenHBand="0" w:firstRowFirstColumn="0" w:firstRowLastColumn="0" w:lastRowFirstColumn="0" w:lastRowLastColumn="0"/>
            <w:tcW w:w="1184" w:type="dxa"/>
          </w:tcPr>
          <w:p w14:paraId="6B70F14E" w14:textId="77777777" w:rsidR="009F1BE2" w:rsidRPr="00FA0529" w:rsidRDefault="009F1BE2" w:rsidP="000132F6">
            <w:pPr>
              <w:pStyle w:val="TableText"/>
              <w:keepLines/>
              <w:contextualSpacing w:val="0"/>
              <w:rPr>
                <w:color w:val="auto"/>
                <w:lang w:val="en-AU"/>
              </w:rPr>
            </w:pPr>
            <w:r w:rsidRPr="00FA0529">
              <w:rPr>
                <w:color w:val="auto"/>
                <w:lang w:val="en-AU"/>
              </w:rPr>
              <w:t>Outcomes</w:t>
            </w:r>
          </w:p>
        </w:tc>
        <w:tc>
          <w:tcPr>
            <w:tcW w:w="7832" w:type="dxa"/>
          </w:tcPr>
          <w:p w14:paraId="66E62975" w14:textId="17B71FEA"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Test: diagnostic yield, prognostic impact, treatment effect modification, reliability of testing, concordance between proposed testing method and clinical utility standard</w:t>
            </w:r>
            <w:r w:rsidR="008B4718" w:rsidRPr="00FA0529">
              <w:rPr>
                <w:color w:val="auto"/>
                <w:lang w:val="en-AU"/>
              </w:rPr>
              <w:t>.</w:t>
            </w:r>
          </w:p>
          <w:p w14:paraId="26D14B8A" w14:textId="1D985607"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Drug: PFS, OS, ORR, HRQoL, safety</w:t>
            </w:r>
            <w:r w:rsidR="008B4718" w:rsidRPr="00FA0529">
              <w:rPr>
                <w:color w:val="auto"/>
                <w:lang w:val="en-AU"/>
              </w:rPr>
              <w:t>.</w:t>
            </w:r>
          </w:p>
        </w:tc>
      </w:tr>
      <w:tr w:rsidR="009F1BE2" w:rsidRPr="00FA0529" w14:paraId="1D7C887E" w14:textId="77777777" w:rsidTr="000132F6">
        <w:tc>
          <w:tcPr>
            <w:cnfStyle w:val="001000000000" w:firstRow="0" w:lastRow="0" w:firstColumn="1" w:lastColumn="0" w:oddVBand="0" w:evenVBand="0" w:oddHBand="0" w:evenHBand="0" w:firstRowFirstColumn="0" w:firstRowLastColumn="0" w:lastRowFirstColumn="0" w:lastRowLastColumn="0"/>
            <w:tcW w:w="1184" w:type="dxa"/>
          </w:tcPr>
          <w:p w14:paraId="63E0B2D8" w14:textId="77777777" w:rsidR="009F1BE2" w:rsidRPr="00FA0529" w:rsidRDefault="009F1BE2" w:rsidP="000132F6">
            <w:pPr>
              <w:pStyle w:val="TableText"/>
              <w:keepLines/>
              <w:contextualSpacing w:val="0"/>
              <w:rPr>
                <w:color w:val="auto"/>
                <w:lang w:val="en-AU"/>
              </w:rPr>
            </w:pPr>
            <w:r w:rsidRPr="00FA0529">
              <w:rPr>
                <w:color w:val="auto"/>
                <w:lang w:val="en-AU"/>
              </w:rPr>
              <w:t>Clinical claim</w:t>
            </w:r>
          </w:p>
        </w:tc>
        <w:tc>
          <w:tcPr>
            <w:tcW w:w="7832" w:type="dxa"/>
          </w:tcPr>
          <w:p w14:paraId="3E39EBAD" w14:textId="77777777"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 xml:space="preserve">Main claim: in patients with locally advanced or metastatic CCA with a </w:t>
            </w:r>
            <w:r w:rsidRPr="00FA0529">
              <w:rPr>
                <w:i/>
                <w:iCs/>
                <w:color w:val="auto"/>
                <w:lang w:val="en-AU"/>
              </w:rPr>
              <w:t>FGFR2</w:t>
            </w:r>
            <w:r w:rsidRPr="00FA0529">
              <w:rPr>
                <w:color w:val="auto"/>
                <w:lang w:val="en-AU"/>
              </w:rPr>
              <w:t xml:space="preserve"> fusion or rearrangement, identified by tumour tissue testing, that have progressed after at least one prior line of systemic therapy, futibatinib is superior in terms of efficacy (OS, PFS and ORR) and safety, compared to FOLFOX.</w:t>
            </w:r>
          </w:p>
          <w:p w14:paraId="29AE443C" w14:textId="77777777"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 xml:space="preserve">Secondary claim: In adult patients with locally advanced or metastatic CCA with </w:t>
            </w:r>
            <w:r w:rsidRPr="00FA0529">
              <w:rPr>
                <w:i/>
                <w:iCs/>
                <w:color w:val="auto"/>
                <w:lang w:val="en-AU"/>
              </w:rPr>
              <w:t>FGFR2</w:t>
            </w:r>
            <w:r w:rsidRPr="00FA0529">
              <w:rPr>
                <w:color w:val="auto"/>
                <w:lang w:val="en-AU"/>
              </w:rPr>
              <w:t xml:space="preserve"> fusions or rearrangements, identified by tumour tissue testing, that have progressed after at least one prior line of systemic therapy, futibatinib is superior in terms of efficacy (OS, PFS and ORR), compared to palliative care (with ASC), with a different safety profile that is manageable.</w:t>
            </w:r>
          </w:p>
        </w:tc>
      </w:tr>
    </w:tbl>
    <w:p w14:paraId="4D8D0351" w14:textId="6D7A3E93" w:rsidR="009F1BE2" w:rsidRPr="00FA0529" w:rsidRDefault="009F1BE2" w:rsidP="003E1211">
      <w:pPr>
        <w:pStyle w:val="TableFigureFooter"/>
      </w:pPr>
      <w:r w:rsidRPr="00FA0529">
        <w:t xml:space="preserve">Source: </w:t>
      </w:r>
      <w:r w:rsidR="00D11162" w:rsidRPr="00FA0529">
        <w:t>Table 1, futibatinib minutes, March 2025 PBAC meeting</w:t>
      </w:r>
    </w:p>
    <w:p w14:paraId="35C52773" w14:textId="79EC8B91" w:rsidR="009F1BE2" w:rsidRPr="00FA0529" w:rsidRDefault="009F1BE2" w:rsidP="003E1211">
      <w:pPr>
        <w:pStyle w:val="TableFigureFooter"/>
      </w:pPr>
      <w:r w:rsidRPr="00FA0529">
        <w:t xml:space="preserve">DNA = deoxyribonucleic acid; CCA = cholangiocarcinoma; </w:t>
      </w:r>
      <w:r w:rsidRPr="00FA0529">
        <w:rPr>
          <w:i/>
          <w:iCs/>
        </w:rPr>
        <w:t>FGFR2</w:t>
      </w:r>
      <w:r w:rsidRPr="00FA0529">
        <w:t xml:space="preserve"> = fibroblast growth factor receptor 2; FISH = fluorescence in situ hybridisation; HRQoL= health related quality of life; NGS = with next-generation sequencing; ORR = objective response rate: OS = overall survival; PFS = progression free survival; RNA = ribonucleic acid; SoC = standard of care</w:t>
      </w:r>
    </w:p>
    <w:p w14:paraId="62CE8022" w14:textId="77777777" w:rsidR="009F1BE2" w:rsidRPr="00FA0529" w:rsidRDefault="009F1BE2" w:rsidP="00A07C4C">
      <w:pPr>
        <w:pStyle w:val="TableFigureFooter"/>
      </w:pPr>
    </w:p>
    <w:p w14:paraId="5F18E51E" w14:textId="0083D005" w:rsidR="00F05363" w:rsidRPr="00FA0529" w:rsidRDefault="00F05363" w:rsidP="00F05363">
      <w:pPr>
        <w:rPr>
          <w:rFonts w:asciiTheme="minorHAnsi" w:hAnsiTheme="minorHAnsi"/>
          <w:i/>
        </w:rPr>
      </w:pPr>
      <w:bookmarkStart w:id="1" w:name="_Hlk76375324"/>
      <w:r w:rsidRPr="00FA0529">
        <w:rPr>
          <w:rFonts w:asciiTheme="minorHAnsi" w:hAnsiTheme="minorHAnsi"/>
          <w:i/>
        </w:rPr>
        <w:t xml:space="preserve">For more detail on PBAC’s view, see section </w:t>
      </w:r>
      <w:r w:rsidR="002E69E2">
        <w:rPr>
          <w:rFonts w:asciiTheme="minorHAnsi" w:hAnsiTheme="minorHAnsi"/>
          <w:i/>
        </w:rPr>
        <w:t>5</w:t>
      </w:r>
      <w:r w:rsidRPr="00FA0529">
        <w:rPr>
          <w:rFonts w:asciiTheme="minorHAnsi" w:hAnsiTheme="minorHAnsi"/>
          <w:i/>
        </w:rPr>
        <w:t xml:space="preserve"> PBAC outcome.</w:t>
      </w:r>
    </w:p>
    <w:bookmarkEnd w:id="1"/>
    <w:p w14:paraId="7EC823F8" w14:textId="77777777" w:rsidR="00F05363" w:rsidRPr="00FA0529" w:rsidRDefault="00F05363" w:rsidP="00A07C4C">
      <w:pPr>
        <w:pStyle w:val="TableFigureFooter"/>
      </w:pPr>
    </w:p>
    <w:p w14:paraId="587432E9" w14:textId="77777777" w:rsidR="00C068A6" w:rsidRPr="00FA0529" w:rsidRDefault="004B2E01" w:rsidP="006C5B33">
      <w:pPr>
        <w:pStyle w:val="2-SectionHeading"/>
      </w:pPr>
      <w:r w:rsidRPr="00FA0529">
        <w:t>Requested listing</w:t>
      </w:r>
      <w:r w:rsidR="007C08E0" w:rsidRPr="00FA0529">
        <w:t xml:space="preserve"> </w:t>
      </w:r>
    </w:p>
    <w:p w14:paraId="2A319C22" w14:textId="2E34C81A" w:rsidR="003C214A" w:rsidRPr="00FA0529" w:rsidRDefault="004B2E01" w:rsidP="003C214A">
      <w:pPr>
        <w:pStyle w:val="3-BodyText"/>
        <w:rPr>
          <w:color w:val="0D0D0D" w:themeColor="text1" w:themeTint="F2"/>
        </w:rPr>
      </w:pPr>
      <w:r w:rsidRPr="00FA0529">
        <w:t xml:space="preserve">The </w:t>
      </w:r>
      <w:r w:rsidR="004F6160" w:rsidRPr="00FA0529">
        <w:t>re</w:t>
      </w:r>
      <w:r w:rsidRPr="00FA0529">
        <w:t xml:space="preserve">submission </w:t>
      </w:r>
      <w:r w:rsidR="004F6160" w:rsidRPr="00FA0529">
        <w:t>accepted</w:t>
      </w:r>
      <w:r w:rsidR="00D32035" w:rsidRPr="00FA0529">
        <w:t xml:space="preserve"> </w:t>
      </w:r>
      <w:r w:rsidR="004F6160" w:rsidRPr="00FA0529">
        <w:t>amendments to the PBS restriction</w:t>
      </w:r>
      <w:r w:rsidR="00D117D2" w:rsidRPr="00FA0529">
        <w:t xml:space="preserve"> as proposed by the Secretariat.</w:t>
      </w:r>
      <w:r w:rsidR="00A05A56">
        <w:t xml:space="preserve"> </w:t>
      </w:r>
    </w:p>
    <w:tbl>
      <w:tblPr>
        <w:tblStyle w:val="PBACTableStyle"/>
        <w:tblW w:w="5000" w:type="pct"/>
        <w:tblLook w:val="04A0" w:firstRow="1" w:lastRow="0" w:firstColumn="1" w:lastColumn="0" w:noHBand="0" w:noVBand="1"/>
        <w:tblCaption w:val="Requested listing"/>
      </w:tblPr>
      <w:tblGrid>
        <w:gridCol w:w="2112"/>
        <w:gridCol w:w="1352"/>
        <w:gridCol w:w="1334"/>
        <w:gridCol w:w="983"/>
        <w:gridCol w:w="1645"/>
        <w:gridCol w:w="1590"/>
      </w:tblGrid>
      <w:tr w:rsidR="00502854" w:rsidRPr="00FA0529" w14:paraId="4A57D33D" w14:textId="77777777" w:rsidTr="00221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Pr>
          <w:p w14:paraId="560D7619" w14:textId="77777777" w:rsidR="00502854" w:rsidRPr="00FA0529" w:rsidRDefault="00502854" w:rsidP="00502854">
            <w:pPr>
              <w:pStyle w:val="TableText"/>
              <w:keepLines/>
              <w:rPr>
                <w:color w:val="auto"/>
                <w:lang w:val="en-AU"/>
              </w:rPr>
            </w:pPr>
            <w:r w:rsidRPr="00FA0529">
              <w:rPr>
                <w:color w:val="auto"/>
                <w:lang w:val="en-AU"/>
              </w:rPr>
              <w:lastRenderedPageBreak/>
              <w:t>Name, restriction, manner of administration, form</w:t>
            </w:r>
          </w:p>
        </w:tc>
        <w:tc>
          <w:tcPr>
            <w:tcW w:w="750" w:type="pct"/>
          </w:tcPr>
          <w:p w14:paraId="5D7870A0" w14:textId="77777777" w:rsidR="00502854" w:rsidRPr="00FA0529" w:rsidRDefault="00502854" w:rsidP="00502854">
            <w:pPr>
              <w:pStyle w:val="TableText"/>
              <w:keepLines/>
              <w:cnfStyle w:val="100000000000" w:firstRow="1" w:lastRow="0" w:firstColumn="0" w:lastColumn="0" w:oddVBand="0" w:evenVBand="0" w:oddHBand="0" w:evenHBand="0" w:firstRowFirstColumn="0" w:firstRowLastColumn="0" w:lastRowFirstColumn="0" w:lastRowLastColumn="0"/>
              <w:rPr>
                <w:color w:val="auto"/>
                <w:lang w:val="en-AU"/>
              </w:rPr>
            </w:pPr>
            <w:r w:rsidRPr="00FA0529">
              <w:rPr>
                <w:color w:val="auto"/>
                <w:lang w:val="en-AU"/>
              </w:rPr>
              <w:t>Maximum quantity (packs)</w:t>
            </w:r>
          </w:p>
        </w:tc>
        <w:tc>
          <w:tcPr>
            <w:tcW w:w="740" w:type="pct"/>
          </w:tcPr>
          <w:p w14:paraId="70859844" w14:textId="77777777" w:rsidR="00502854" w:rsidRPr="00FA0529" w:rsidRDefault="00502854" w:rsidP="000132F6">
            <w:pPr>
              <w:pStyle w:val="TableText"/>
              <w:keepLines/>
              <w:cnfStyle w:val="100000000000" w:firstRow="1" w:lastRow="0" w:firstColumn="0" w:lastColumn="0" w:oddVBand="0" w:evenVBand="0" w:oddHBand="0" w:evenHBand="0" w:firstRowFirstColumn="0" w:firstRowLastColumn="0" w:lastRowFirstColumn="0" w:lastRowLastColumn="0"/>
              <w:rPr>
                <w:color w:val="auto"/>
                <w:lang w:val="en-AU"/>
              </w:rPr>
            </w:pPr>
            <w:r w:rsidRPr="00FA0529">
              <w:rPr>
                <w:color w:val="auto"/>
                <w:lang w:val="en-AU"/>
              </w:rPr>
              <w:t>Maximum quantity (units)</w:t>
            </w:r>
          </w:p>
        </w:tc>
        <w:tc>
          <w:tcPr>
            <w:tcW w:w="545" w:type="pct"/>
          </w:tcPr>
          <w:p w14:paraId="502F695B" w14:textId="77777777" w:rsidR="00502854" w:rsidRPr="00FA0529" w:rsidRDefault="00502854" w:rsidP="000132F6">
            <w:pPr>
              <w:pStyle w:val="TableText"/>
              <w:keepLines/>
              <w:cnfStyle w:val="100000000000" w:firstRow="1" w:lastRow="0" w:firstColumn="0" w:lastColumn="0" w:oddVBand="0" w:evenVBand="0" w:oddHBand="0" w:evenHBand="0" w:firstRowFirstColumn="0" w:firstRowLastColumn="0" w:lastRowFirstColumn="0" w:lastRowLastColumn="0"/>
              <w:rPr>
                <w:color w:val="auto"/>
                <w:lang w:val="en-AU"/>
              </w:rPr>
            </w:pPr>
            <w:r w:rsidRPr="00FA0529">
              <w:rPr>
                <w:color w:val="auto"/>
                <w:lang w:val="en-AU"/>
              </w:rPr>
              <w:t>No. of repeats</w:t>
            </w:r>
          </w:p>
        </w:tc>
        <w:tc>
          <w:tcPr>
            <w:tcW w:w="912" w:type="pct"/>
          </w:tcPr>
          <w:p w14:paraId="45E99D41" w14:textId="77777777" w:rsidR="00502854" w:rsidRPr="00FA0529" w:rsidRDefault="00502854" w:rsidP="000132F6">
            <w:pPr>
              <w:pStyle w:val="TableText"/>
              <w:keepLines/>
              <w:cnfStyle w:val="100000000000" w:firstRow="1" w:lastRow="0" w:firstColumn="0" w:lastColumn="0" w:oddVBand="0" w:evenVBand="0" w:oddHBand="0" w:evenHBand="0" w:firstRowFirstColumn="0" w:firstRowLastColumn="0" w:lastRowFirstColumn="0" w:lastRowLastColumn="0"/>
              <w:rPr>
                <w:color w:val="auto"/>
                <w:lang w:val="en-AU"/>
              </w:rPr>
            </w:pPr>
            <w:r w:rsidRPr="00FA0529">
              <w:rPr>
                <w:color w:val="auto"/>
                <w:lang w:val="en-AU"/>
              </w:rPr>
              <w:t>Dispensed price for maximum quantity</w:t>
            </w:r>
          </w:p>
        </w:tc>
        <w:tc>
          <w:tcPr>
            <w:tcW w:w="882" w:type="pct"/>
          </w:tcPr>
          <w:p w14:paraId="2E428E3F" w14:textId="77777777" w:rsidR="00502854" w:rsidRPr="00FA0529" w:rsidRDefault="00502854" w:rsidP="000132F6">
            <w:pPr>
              <w:pStyle w:val="TableText"/>
              <w:keepLines/>
              <w:cnfStyle w:val="100000000000" w:firstRow="1" w:lastRow="0" w:firstColumn="0" w:lastColumn="0" w:oddVBand="0" w:evenVBand="0" w:oddHBand="0" w:evenHBand="0" w:firstRowFirstColumn="0" w:firstRowLastColumn="0" w:lastRowFirstColumn="0" w:lastRowLastColumn="0"/>
              <w:rPr>
                <w:color w:val="auto"/>
                <w:lang w:val="en-AU"/>
              </w:rPr>
            </w:pPr>
            <w:r w:rsidRPr="00FA0529">
              <w:rPr>
                <w:color w:val="auto"/>
                <w:lang w:val="en-AU"/>
              </w:rPr>
              <w:t>Proprietary name and manufacturer</w:t>
            </w:r>
          </w:p>
        </w:tc>
      </w:tr>
      <w:tr w:rsidR="00502854" w:rsidRPr="00FA0529" w14:paraId="19574FE5" w14:textId="77777777" w:rsidTr="00221DDA">
        <w:tc>
          <w:tcPr>
            <w:cnfStyle w:val="001000000000" w:firstRow="0" w:lastRow="0" w:firstColumn="1" w:lastColumn="0" w:oddVBand="0" w:evenVBand="0" w:oddHBand="0" w:evenHBand="0" w:firstRowFirstColumn="0" w:firstRowLastColumn="0" w:lastRowFirstColumn="0" w:lastRowLastColumn="0"/>
            <w:tcW w:w="1171" w:type="pct"/>
          </w:tcPr>
          <w:p w14:paraId="264FA886" w14:textId="77777777" w:rsidR="00502854" w:rsidRPr="00FA0529" w:rsidRDefault="00502854" w:rsidP="000132F6">
            <w:pPr>
              <w:pStyle w:val="TableText"/>
              <w:keepLines/>
              <w:rPr>
                <w:color w:val="auto"/>
                <w:lang w:val="en-AU"/>
              </w:rPr>
            </w:pPr>
            <w:r w:rsidRPr="00FA0529">
              <w:rPr>
                <w:color w:val="auto"/>
                <w:lang w:val="en-AU"/>
              </w:rPr>
              <w:t>FUTIBATINIB</w:t>
            </w:r>
          </w:p>
          <w:p w14:paraId="5900DC98" w14:textId="77777777" w:rsidR="00502854" w:rsidRPr="00FA0529" w:rsidRDefault="00502854" w:rsidP="000132F6">
            <w:pPr>
              <w:pStyle w:val="TableText"/>
              <w:keepLines/>
              <w:rPr>
                <w:bCs w:val="0"/>
                <w:color w:val="auto"/>
                <w:lang w:val="en-AU"/>
              </w:rPr>
            </w:pPr>
            <w:r w:rsidRPr="00FA0529">
              <w:rPr>
                <w:color w:val="auto"/>
                <w:lang w:val="en-AU"/>
              </w:rPr>
              <w:t>4 mg tablets, 35</w:t>
            </w:r>
          </w:p>
        </w:tc>
        <w:tc>
          <w:tcPr>
            <w:tcW w:w="750" w:type="pct"/>
          </w:tcPr>
          <w:p w14:paraId="111B8ABD" w14:textId="77777777"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FA0529">
              <w:rPr>
                <w:color w:val="auto"/>
                <w:lang w:val="en-AU"/>
              </w:rPr>
              <w:t>4</w:t>
            </w:r>
          </w:p>
        </w:tc>
        <w:tc>
          <w:tcPr>
            <w:tcW w:w="740" w:type="pct"/>
          </w:tcPr>
          <w:p w14:paraId="68A62E21" w14:textId="77777777"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FA0529">
              <w:rPr>
                <w:color w:val="auto"/>
                <w:lang w:val="en-AU"/>
              </w:rPr>
              <w:t>140</w:t>
            </w:r>
          </w:p>
        </w:tc>
        <w:tc>
          <w:tcPr>
            <w:tcW w:w="545" w:type="pct"/>
          </w:tcPr>
          <w:p w14:paraId="4A448E0A" w14:textId="77777777"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FA0529">
              <w:rPr>
                <w:color w:val="auto"/>
                <w:lang w:val="en-AU"/>
              </w:rPr>
              <w:t>5</w:t>
            </w:r>
          </w:p>
        </w:tc>
        <w:tc>
          <w:tcPr>
            <w:tcW w:w="912" w:type="pct"/>
          </w:tcPr>
          <w:p w14:paraId="4309FE9C" w14:textId="24190790"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Published: $</w:t>
            </w:r>
            <w:r w:rsidR="00DE7EE1" w:rsidRPr="00E40CE9">
              <w:rPr>
                <w:spacing w:val="51"/>
                <w:shd w:val="solid" w:color="000000" w:fill="000000"/>
                <w:fitText w:val="324" w:id="-628460283"/>
                <w14:textFill>
                  <w14:solidFill>
                    <w14:schemeClr w14:val="tx1">
                      <w14:alpha w14:val="100000"/>
                    </w14:schemeClr>
                  </w14:solidFill>
                </w14:textFill>
              </w:rPr>
              <w:t>|||</w:t>
            </w:r>
            <w:r w:rsidR="00DE7EE1" w:rsidRPr="00E40CE9">
              <w:rPr>
                <w:spacing w:val="1"/>
                <w:shd w:val="solid" w:color="000000" w:fill="000000"/>
                <w:fitText w:val="324" w:id="-628460283"/>
                <w14:textFill>
                  <w14:solidFill>
                    <w14:schemeClr w14:val="tx1">
                      <w14:alpha w14:val="100000"/>
                    </w14:schemeClr>
                  </w14:solidFill>
                </w14:textFill>
              </w:rPr>
              <w:t>|</w:t>
            </w:r>
          </w:p>
          <w:p w14:paraId="71796C81" w14:textId="34F2680F"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FA0529">
              <w:rPr>
                <w:color w:val="auto"/>
                <w:lang w:val="en-AU"/>
              </w:rPr>
              <w:t>Effective: $</w:t>
            </w:r>
            <w:r w:rsidR="00DE7EE1" w:rsidRPr="00E40CE9">
              <w:rPr>
                <w:spacing w:val="55"/>
                <w:shd w:val="solid" w:color="000000" w:fill="000000"/>
                <w:fitText w:val="336" w:id="-628460282"/>
                <w14:textFill>
                  <w14:solidFill>
                    <w14:schemeClr w14:val="tx1">
                      <w14:alpha w14:val="100000"/>
                    </w14:schemeClr>
                  </w14:solidFill>
                </w14:textFill>
              </w:rPr>
              <w:t>|||</w:t>
            </w:r>
            <w:r w:rsidR="00DE7EE1" w:rsidRPr="00E40CE9">
              <w:rPr>
                <w:spacing w:val="1"/>
                <w:shd w:val="solid" w:color="000000" w:fill="000000"/>
                <w:fitText w:val="336" w:id="-628460282"/>
                <w14:textFill>
                  <w14:solidFill>
                    <w14:schemeClr w14:val="tx1">
                      <w14:alpha w14:val="100000"/>
                    </w14:schemeClr>
                  </w14:solidFill>
                </w14:textFill>
              </w:rPr>
              <w:t>|</w:t>
            </w:r>
          </w:p>
        </w:tc>
        <w:tc>
          <w:tcPr>
            <w:tcW w:w="882" w:type="pct"/>
          </w:tcPr>
          <w:p w14:paraId="5A4475CA" w14:textId="77777777"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LYGTOBI</w:t>
            </w:r>
          </w:p>
          <w:p w14:paraId="0F67BA00" w14:textId="77777777"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FA0529">
              <w:rPr>
                <w:color w:val="auto"/>
                <w:lang w:val="en-AU"/>
              </w:rPr>
              <w:t xml:space="preserve">Taiho Pharma Oceania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Requested listing"/>
      </w:tblPr>
      <w:tblGrid>
        <w:gridCol w:w="9016"/>
      </w:tblGrid>
      <w:tr w:rsidR="00502854" w:rsidRPr="00FA0529" w14:paraId="4926732B" w14:textId="77777777" w:rsidTr="000132F6">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5A0B904" w14:textId="77777777" w:rsidR="00502854" w:rsidRPr="00FA0529" w:rsidRDefault="00502854" w:rsidP="000132F6">
            <w:pPr>
              <w:keepNext/>
              <w:keepLines/>
              <w:rPr>
                <w:rFonts w:ascii="Arial Narrow" w:hAnsi="Arial Narrow" w:cs="Arial"/>
                <w:sz w:val="20"/>
                <w:szCs w:val="20"/>
              </w:rPr>
            </w:pPr>
            <w:r w:rsidRPr="00FA0529">
              <w:rPr>
                <w:rFonts w:ascii="Arial Narrow" w:hAnsi="Arial Narrow" w:cs="Arial"/>
                <w:b/>
                <w:sz w:val="20"/>
                <w:szCs w:val="20"/>
              </w:rPr>
              <w:t>Category / Program:</w:t>
            </w:r>
            <w:r w:rsidRPr="00FA0529">
              <w:rPr>
                <w:rFonts w:ascii="Arial Narrow" w:hAnsi="Arial Narrow" w:cs="Arial"/>
                <w:color w:val="FF0000"/>
                <w:sz w:val="20"/>
                <w:szCs w:val="20"/>
              </w:rPr>
              <w:t xml:space="preserve"> </w:t>
            </w:r>
          </w:p>
          <w:p w14:paraId="41E6AA77" w14:textId="77777777" w:rsidR="00502854" w:rsidRPr="00FA0529" w:rsidRDefault="00502854" w:rsidP="000132F6">
            <w:pPr>
              <w:keepNext/>
              <w:keepLines/>
              <w:rPr>
                <w:rFonts w:ascii="Arial Narrow" w:hAnsi="Arial Narrow" w:cs="Arial"/>
                <w:sz w:val="20"/>
                <w:szCs w:val="20"/>
              </w:rPr>
            </w:pPr>
            <w:r w:rsidRPr="00FA0529">
              <w:rPr>
                <w:rFonts w:ascii="Arial Narrow" w:eastAsia="Calibri" w:hAnsi="Arial Narrow" w:cs="Arial"/>
                <w:sz w:val="20"/>
                <w:szCs w:val="20"/>
              </w:rPr>
              <w:fldChar w:fldCharType="begin">
                <w:ffData>
                  <w:name w:val="Check1"/>
                  <w:enabled/>
                  <w:calcOnExit w:val="0"/>
                  <w:checkBox>
                    <w:sizeAuto/>
                    <w:default w:val="1"/>
                  </w:checkBox>
                </w:ffData>
              </w:fldChar>
            </w:r>
            <w:r w:rsidRPr="00FA0529">
              <w:rPr>
                <w:rFonts w:ascii="Arial Narrow" w:eastAsia="Calibri" w:hAnsi="Arial Narrow" w:cs="Arial"/>
                <w:sz w:val="20"/>
                <w:szCs w:val="20"/>
              </w:rPr>
              <w:instrText xml:space="preserve"> FORMCHECKBOX </w:instrText>
            </w:r>
            <w:r w:rsidRPr="00FA0529">
              <w:rPr>
                <w:rFonts w:ascii="Arial Narrow" w:eastAsia="Calibri" w:hAnsi="Arial Narrow" w:cs="Arial"/>
                <w:sz w:val="20"/>
                <w:szCs w:val="20"/>
              </w:rPr>
            </w:r>
            <w:r w:rsidRPr="00FA0529">
              <w:rPr>
                <w:rFonts w:ascii="Arial Narrow" w:eastAsia="Calibri" w:hAnsi="Arial Narrow" w:cs="Arial"/>
                <w:sz w:val="20"/>
                <w:szCs w:val="20"/>
              </w:rPr>
              <w:fldChar w:fldCharType="separate"/>
            </w:r>
            <w:r w:rsidRPr="00FA0529">
              <w:rPr>
                <w:rFonts w:ascii="Arial Narrow" w:eastAsia="Calibri" w:hAnsi="Arial Narrow" w:cs="Arial"/>
                <w:sz w:val="20"/>
                <w:szCs w:val="20"/>
              </w:rPr>
              <w:fldChar w:fldCharType="end"/>
            </w:r>
            <w:r w:rsidRPr="00FA0529">
              <w:rPr>
                <w:rFonts w:ascii="Arial Narrow" w:eastAsia="Calibri" w:hAnsi="Arial Narrow" w:cs="Arial"/>
                <w:sz w:val="20"/>
                <w:szCs w:val="20"/>
              </w:rPr>
              <w:t xml:space="preserve"> GENERAL - General Schedule (Code GE) </w:t>
            </w:r>
          </w:p>
        </w:tc>
      </w:tr>
      <w:tr w:rsidR="00502854" w:rsidRPr="00FA0529" w14:paraId="327246A1" w14:textId="77777777" w:rsidTr="000132F6">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31D0D97" w14:textId="77777777" w:rsidR="00502854" w:rsidRPr="00FA0529" w:rsidRDefault="00502854" w:rsidP="000132F6">
            <w:pPr>
              <w:keepNext/>
              <w:keepLines/>
              <w:rPr>
                <w:rFonts w:ascii="Arial Narrow" w:hAnsi="Arial Narrow" w:cs="Arial"/>
                <w:b/>
                <w:sz w:val="20"/>
                <w:szCs w:val="20"/>
              </w:rPr>
            </w:pPr>
            <w:r w:rsidRPr="00FA0529">
              <w:rPr>
                <w:rFonts w:ascii="Arial Narrow" w:hAnsi="Arial Narrow" w:cs="Arial"/>
                <w:b/>
                <w:sz w:val="20"/>
                <w:szCs w:val="20"/>
              </w:rPr>
              <w:t xml:space="preserve">Prescriber type: </w:t>
            </w:r>
          </w:p>
          <w:p w14:paraId="6C9F32F1" w14:textId="77777777" w:rsidR="00502854" w:rsidRPr="00FA0529" w:rsidRDefault="00502854" w:rsidP="000132F6">
            <w:pPr>
              <w:keepNext/>
              <w:keepLines/>
              <w:rPr>
                <w:rFonts w:ascii="Arial Narrow" w:hAnsi="Arial Narrow" w:cs="Arial"/>
                <w:b/>
                <w:sz w:val="20"/>
                <w:szCs w:val="20"/>
              </w:rPr>
            </w:pPr>
            <w:r w:rsidRPr="00FA0529">
              <w:rPr>
                <w:rFonts w:ascii="Arial Narrow" w:hAnsi="Arial Narrow" w:cs="Arial"/>
                <w:sz w:val="20"/>
                <w:szCs w:val="20"/>
              </w:rPr>
              <w:fldChar w:fldCharType="begin">
                <w:ffData>
                  <w:name w:val=""/>
                  <w:enabled/>
                  <w:calcOnExit w:val="0"/>
                  <w:checkBox>
                    <w:sizeAuto/>
                    <w:default w:val="1"/>
                  </w:checkBox>
                </w:ffData>
              </w:fldChar>
            </w:r>
            <w:r w:rsidRPr="00FA0529">
              <w:rPr>
                <w:rFonts w:ascii="Arial Narrow" w:hAnsi="Arial Narrow" w:cs="Arial"/>
                <w:sz w:val="20"/>
                <w:szCs w:val="20"/>
              </w:rPr>
              <w:instrText xml:space="preserve"> FORMCHECKBOX </w:instrText>
            </w:r>
            <w:r w:rsidRPr="00FA0529">
              <w:rPr>
                <w:rFonts w:ascii="Arial Narrow" w:hAnsi="Arial Narrow" w:cs="Arial"/>
                <w:sz w:val="20"/>
                <w:szCs w:val="20"/>
              </w:rPr>
            </w:r>
            <w:r w:rsidRPr="00FA0529">
              <w:rPr>
                <w:rFonts w:ascii="Arial Narrow" w:hAnsi="Arial Narrow" w:cs="Arial"/>
                <w:sz w:val="20"/>
                <w:szCs w:val="20"/>
              </w:rPr>
              <w:fldChar w:fldCharType="separate"/>
            </w:r>
            <w:r w:rsidRPr="00FA0529">
              <w:rPr>
                <w:rFonts w:ascii="Arial Narrow" w:hAnsi="Arial Narrow" w:cs="Arial"/>
                <w:sz w:val="20"/>
                <w:szCs w:val="20"/>
              </w:rPr>
              <w:fldChar w:fldCharType="end"/>
            </w:r>
            <w:r w:rsidRPr="00FA0529">
              <w:rPr>
                <w:rFonts w:ascii="Arial Narrow" w:hAnsi="Arial Narrow" w:cs="Arial"/>
                <w:sz w:val="20"/>
                <w:szCs w:val="20"/>
              </w:rPr>
              <w:t xml:space="preserve">Medical Practitioners </w:t>
            </w:r>
          </w:p>
        </w:tc>
      </w:tr>
      <w:tr w:rsidR="00502854" w:rsidRPr="00FA0529" w14:paraId="1911B755" w14:textId="77777777" w:rsidTr="000132F6">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50C6AB9" w14:textId="77777777" w:rsidR="00502854" w:rsidRPr="00FA0529" w:rsidRDefault="00502854" w:rsidP="000132F6">
            <w:pPr>
              <w:keepNext/>
              <w:keepLines/>
              <w:rPr>
                <w:rFonts w:ascii="Arial Narrow" w:hAnsi="Arial Narrow" w:cs="Arial"/>
                <w:b/>
                <w:sz w:val="20"/>
                <w:szCs w:val="20"/>
              </w:rPr>
            </w:pPr>
            <w:r w:rsidRPr="00FA0529">
              <w:rPr>
                <w:rFonts w:ascii="Arial Narrow" w:hAnsi="Arial Narrow" w:cs="Arial"/>
                <w:b/>
                <w:sz w:val="20"/>
                <w:szCs w:val="20"/>
              </w:rPr>
              <w:t xml:space="preserve">Restriction type: </w:t>
            </w:r>
          </w:p>
          <w:p w14:paraId="28672C0D" w14:textId="77777777" w:rsidR="00502854" w:rsidRPr="00FA0529" w:rsidRDefault="00502854" w:rsidP="000132F6">
            <w:pPr>
              <w:keepNext/>
              <w:keepLines/>
              <w:rPr>
                <w:rFonts w:ascii="Arial Narrow" w:eastAsia="Calibri" w:hAnsi="Arial Narrow" w:cs="Arial"/>
                <w:color w:val="FF0000"/>
                <w:sz w:val="20"/>
                <w:szCs w:val="20"/>
              </w:rPr>
            </w:pPr>
            <w:r w:rsidRPr="00FA0529">
              <w:rPr>
                <w:rFonts w:ascii="Arial Narrow" w:eastAsia="Calibri" w:hAnsi="Arial Narrow" w:cs="Arial"/>
                <w:sz w:val="20"/>
                <w:szCs w:val="20"/>
              </w:rPr>
              <w:fldChar w:fldCharType="begin">
                <w:ffData>
                  <w:name w:val=""/>
                  <w:enabled/>
                  <w:calcOnExit w:val="0"/>
                  <w:checkBox>
                    <w:sizeAuto/>
                    <w:default w:val="1"/>
                  </w:checkBox>
                </w:ffData>
              </w:fldChar>
            </w:r>
            <w:r w:rsidRPr="00FA0529">
              <w:rPr>
                <w:rFonts w:ascii="Arial Narrow" w:eastAsia="Calibri" w:hAnsi="Arial Narrow" w:cs="Arial"/>
                <w:sz w:val="20"/>
                <w:szCs w:val="20"/>
              </w:rPr>
              <w:instrText xml:space="preserve"> FORMCHECKBOX </w:instrText>
            </w:r>
            <w:r w:rsidRPr="00FA0529">
              <w:rPr>
                <w:rFonts w:ascii="Arial Narrow" w:eastAsia="Calibri" w:hAnsi="Arial Narrow" w:cs="Arial"/>
                <w:sz w:val="20"/>
                <w:szCs w:val="20"/>
              </w:rPr>
            </w:r>
            <w:r w:rsidRPr="00FA0529">
              <w:rPr>
                <w:rFonts w:ascii="Arial Narrow" w:eastAsia="Calibri" w:hAnsi="Arial Narrow" w:cs="Arial"/>
                <w:sz w:val="20"/>
                <w:szCs w:val="20"/>
              </w:rPr>
              <w:fldChar w:fldCharType="separate"/>
            </w:r>
            <w:r w:rsidRPr="00FA0529">
              <w:rPr>
                <w:rFonts w:ascii="Arial Narrow" w:eastAsia="Calibri" w:hAnsi="Arial Narrow" w:cs="Arial"/>
                <w:sz w:val="20"/>
                <w:szCs w:val="20"/>
              </w:rPr>
              <w:fldChar w:fldCharType="end"/>
            </w:r>
            <w:r w:rsidRPr="00FA0529">
              <w:rPr>
                <w:rFonts w:ascii="Arial Narrow" w:eastAsia="Calibri" w:hAnsi="Arial Narrow" w:cs="Arial"/>
                <w:sz w:val="20"/>
                <w:szCs w:val="20"/>
              </w:rPr>
              <w:t xml:space="preserve">Authority Required (Streamlined) [new/existing code] </w:t>
            </w:r>
          </w:p>
        </w:tc>
      </w:tr>
      <w:tr w:rsidR="00502854" w:rsidRPr="00FA0529" w14:paraId="060A3316" w14:textId="77777777" w:rsidTr="000132F6">
        <w:tblPrEx>
          <w:tblCellMar>
            <w:left w:w="15" w:type="dxa"/>
            <w:right w:w="15" w:type="dxa"/>
          </w:tblCellMar>
        </w:tblPrEx>
        <w:tc>
          <w:tcPr>
            <w:tcW w:w="5000" w:type="pct"/>
            <w:vAlign w:val="center"/>
            <w:hideMark/>
          </w:tcPr>
          <w:p w14:paraId="57B2EBBA"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Indication:</w:t>
            </w:r>
            <w:r w:rsidRPr="00FA0529">
              <w:rPr>
                <w:rFonts w:ascii="Arial Narrow" w:hAnsi="Arial Narrow"/>
                <w:sz w:val="20"/>
                <w:szCs w:val="20"/>
              </w:rPr>
              <w:t xml:space="preserve"> Locally advanced or metastatic cholangiocarcinoma</w:t>
            </w:r>
          </w:p>
        </w:tc>
      </w:tr>
      <w:tr w:rsidR="00502854" w:rsidRPr="00FA0529" w14:paraId="25097D65" w14:textId="77777777" w:rsidTr="000132F6">
        <w:tblPrEx>
          <w:tblCellMar>
            <w:left w:w="15" w:type="dxa"/>
            <w:right w:w="15" w:type="dxa"/>
          </w:tblCellMar>
        </w:tblPrEx>
        <w:tc>
          <w:tcPr>
            <w:tcW w:w="5000" w:type="pct"/>
            <w:vAlign w:val="center"/>
            <w:hideMark/>
          </w:tcPr>
          <w:p w14:paraId="505697C7"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Clinical criteria:</w:t>
            </w:r>
          </w:p>
        </w:tc>
      </w:tr>
      <w:tr w:rsidR="00502854" w:rsidRPr="00FA0529" w14:paraId="6FAFFAC8" w14:textId="77777777" w:rsidTr="000132F6">
        <w:tblPrEx>
          <w:tblCellMar>
            <w:left w:w="15" w:type="dxa"/>
            <w:right w:w="15" w:type="dxa"/>
          </w:tblCellMar>
        </w:tblPrEx>
        <w:tc>
          <w:tcPr>
            <w:tcW w:w="5000" w:type="pct"/>
            <w:vAlign w:val="center"/>
            <w:hideMark/>
          </w:tcPr>
          <w:p w14:paraId="781C45D5" w14:textId="77777777" w:rsidR="00502854" w:rsidRPr="00FA0529" w:rsidRDefault="00502854" w:rsidP="000132F6">
            <w:pPr>
              <w:keepNext/>
              <w:keepLines/>
              <w:rPr>
                <w:rFonts w:ascii="Arial Narrow" w:hAnsi="Arial Narrow"/>
                <w:sz w:val="20"/>
                <w:szCs w:val="20"/>
              </w:rPr>
            </w:pPr>
            <w:r w:rsidRPr="00FA0529">
              <w:rPr>
                <w:rFonts w:ascii="Arial Narrow" w:hAnsi="Arial Narrow"/>
                <w:sz w:val="20"/>
                <w:szCs w:val="20"/>
              </w:rPr>
              <w:t>Patient must have evidence of a fibroblast growth factor receptor 2 (</w:t>
            </w:r>
            <w:r w:rsidRPr="00FA0529">
              <w:rPr>
                <w:rFonts w:ascii="Arial Narrow" w:hAnsi="Arial Narrow"/>
                <w:i/>
                <w:iCs/>
                <w:sz w:val="20"/>
                <w:szCs w:val="20"/>
              </w:rPr>
              <w:t>FGFR2</w:t>
            </w:r>
            <w:r w:rsidRPr="00FA0529">
              <w:rPr>
                <w:rFonts w:ascii="Arial Narrow" w:hAnsi="Arial Narrow"/>
                <w:sz w:val="20"/>
                <w:szCs w:val="20"/>
              </w:rPr>
              <w:t xml:space="preserve">) fusion or rearrangement </w:t>
            </w:r>
          </w:p>
        </w:tc>
      </w:tr>
      <w:tr w:rsidR="00502854" w:rsidRPr="00FA0529" w14:paraId="7A0FD16E" w14:textId="77777777" w:rsidTr="000132F6">
        <w:tblPrEx>
          <w:tblCellMar>
            <w:left w:w="15" w:type="dxa"/>
            <w:right w:w="15" w:type="dxa"/>
          </w:tblCellMar>
        </w:tblPrEx>
        <w:tc>
          <w:tcPr>
            <w:tcW w:w="5000" w:type="pct"/>
            <w:vAlign w:val="center"/>
            <w:hideMark/>
          </w:tcPr>
          <w:p w14:paraId="4D34B4FB"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AND</w:t>
            </w:r>
          </w:p>
        </w:tc>
      </w:tr>
      <w:tr w:rsidR="00502854" w:rsidRPr="00FA0529" w14:paraId="454000BB" w14:textId="77777777" w:rsidTr="000132F6">
        <w:tblPrEx>
          <w:tblCellMar>
            <w:left w:w="15" w:type="dxa"/>
            <w:right w:w="15" w:type="dxa"/>
          </w:tblCellMar>
        </w:tblPrEx>
        <w:tc>
          <w:tcPr>
            <w:tcW w:w="5000" w:type="pct"/>
            <w:vAlign w:val="center"/>
            <w:hideMark/>
          </w:tcPr>
          <w:p w14:paraId="4BE25768"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Clinical criteria:</w:t>
            </w:r>
          </w:p>
        </w:tc>
      </w:tr>
      <w:tr w:rsidR="00502854" w:rsidRPr="00FA0529" w14:paraId="2846AD26" w14:textId="77777777" w:rsidTr="000132F6">
        <w:tblPrEx>
          <w:tblCellMar>
            <w:left w:w="15" w:type="dxa"/>
            <w:right w:w="15" w:type="dxa"/>
          </w:tblCellMar>
        </w:tblPrEx>
        <w:tc>
          <w:tcPr>
            <w:tcW w:w="5000" w:type="pct"/>
            <w:vAlign w:val="center"/>
            <w:hideMark/>
          </w:tcPr>
          <w:p w14:paraId="4368D881" w14:textId="77777777" w:rsidR="00502854" w:rsidRPr="00FA0529" w:rsidRDefault="00502854" w:rsidP="000132F6">
            <w:pPr>
              <w:keepNext/>
              <w:keepLines/>
              <w:rPr>
                <w:rFonts w:ascii="Arial Narrow" w:hAnsi="Arial Narrow"/>
                <w:sz w:val="20"/>
                <w:szCs w:val="20"/>
              </w:rPr>
            </w:pPr>
            <w:r w:rsidRPr="00FA0529">
              <w:rPr>
                <w:rFonts w:ascii="Arial Narrow" w:hAnsi="Arial Narrow"/>
                <w:sz w:val="20"/>
                <w:szCs w:val="20"/>
              </w:rPr>
              <w:t>Patient must have received at least one prior line of systemic therapy</w:t>
            </w:r>
          </w:p>
        </w:tc>
      </w:tr>
      <w:tr w:rsidR="00502854" w:rsidRPr="00FA0529" w14:paraId="0E53E6CD" w14:textId="77777777" w:rsidTr="000132F6">
        <w:tblPrEx>
          <w:tblCellMar>
            <w:left w:w="15" w:type="dxa"/>
            <w:right w:w="15" w:type="dxa"/>
          </w:tblCellMar>
        </w:tblPrEx>
        <w:tc>
          <w:tcPr>
            <w:tcW w:w="5000" w:type="pct"/>
            <w:vAlign w:val="center"/>
          </w:tcPr>
          <w:p w14:paraId="3A6D4DF1"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AND</w:t>
            </w:r>
          </w:p>
        </w:tc>
      </w:tr>
      <w:tr w:rsidR="00502854" w:rsidRPr="00FA0529" w14:paraId="399D2D63" w14:textId="77777777" w:rsidTr="000132F6">
        <w:tblPrEx>
          <w:tblCellMar>
            <w:left w:w="15" w:type="dxa"/>
            <w:right w:w="15" w:type="dxa"/>
          </w:tblCellMar>
        </w:tblPrEx>
        <w:tc>
          <w:tcPr>
            <w:tcW w:w="5000" w:type="pct"/>
            <w:vAlign w:val="center"/>
          </w:tcPr>
          <w:p w14:paraId="43CA0E8E"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Clinical criteria:</w:t>
            </w:r>
          </w:p>
        </w:tc>
      </w:tr>
      <w:tr w:rsidR="00502854" w:rsidRPr="00FA0529" w14:paraId="66A81D1B" w14:textId="77777777" w:rsidTr="000132F6">
        <w:tblPrEx>
          <w:tblCellMar>
            <w:left w:w="15" w:type="dxa"/>
            <w:right w:w="15" w:type="dxa"/>
          </w:tblCellMar>
        </w:tblPrEx>
        <w:tc>
          <w:tcPr>
            <w:tcW w:w="5000" w:type="pct"/>
            <w:vAlign w:val="center"/>
          </w:tcPr>
          <w:p w14:paraId="5DE2F399" w14:textId="77777777" w:rsidR="00502854" w:rsidRPr="00FA0529" w:rsidRDefault="00502854" w:rsidP="000132F6">
            <w:pPr>
              <w:keepNext/>
              <w:keepLines/>
              <w:rPr>
                <w:rFonts w:ascii="Arial Narrow" w:hAnsi="Arial Narrow"/>
                <w:sz w:val="20"/>
                <w:szCs w:val="20"/>
              </w:rPr>
            </w:pPr>
            <w:r w:rsidRPr="00FA0529">
              <w:rPr>
                <w:rFonts w:ascii="Arial Narrow" w:hAnsi="Arial Narrow"/>
                <w:color w:val="333333"/>
                <w:sz w:val="20"/>
                <w:szCs w:val="20"/>
                <w:lang w:bidi="en-US"/>
              </w:rPr>
              <w:t>Patient must have a</w:t>
            </w:r>
            <w:r w:rsidRPr="00FA0529">
              <w:rPr>
                <w:rFonts w:ascii="Arial Narrow" w:hAnsi="Arial Narrow"/>
                <w:strike/>
                <w:color w:val="333333"/>
                <w:sz w:val="20"/>
                <w:szCs w:val="20"/>
                <w:lang w:bidi="en-US"/>
              </w:rPr>
              <w:t>n</w:t>
            </w:r>
            <w:r w:rsidRPr="00FA0529">
              <w:rPr>
                <w:rFonts w:ascii="Arial Narrow" w:hAnsi="Arial Narrow"/>
                <w:color w:val="333333"/>
                <w:sz w:val="20"/>
                <w:szCs w:val="20"/>
                <w:lang w:bidi="en-US"/>
              </w:rPr>
              <w:t xml:space="preserve"> </w:t>
            </w:r>
            <w:r w:rsidRPr="00FA0529">
              <w:rPr>
                <w:rFonts w:ascii="Arial Narrow" w:hAnsi="Arial Narrow"/>
                <w:i/>
                <w:iCs/>
                <w:color w:val="333333"/>
                <w:sz w:val="20"/>
                <w:szCs w:val="20"/>
                <w:lang w:bidi="en-US"/>
              </w:rPr>
              <w:t>World Health Organisation (WHO) Eastern Cooperative Oncology Group (</w:t>
            </w:r>
            <w:r w:rsidRPr="00FA0529">
              <w:rPr>
                <w:rFonts w:ascii="Arial Narrow" w:hAnsi="Arial Narrow"/>
                <w:color w:val="333333"/>
                <w:sz w:val="20"/>
                <w:szCs w:val="20"/>
                <w:lang w:bidi="en-US"/>
              </w:rPr>
              <w:t>ECOG</w:t>
            </w:r>
            <w:r w:rsidRPr="00FA0529">
              <w:rPr>
                <w:rFonts w:ascii="Arial Narrow" w:hAnsi="Arial Narrow"/>
                <w:i/>
                <w:iCs/>
                <w:color w:val="333333"/>
                <w:sz w:val="20"/>
                <w:szCs w:val="20"/>
                <w:lang w:bidi="en-US"/>
              </w:rPr>
              <w:t>)</w:t>
            </w:r>
            <w:r w:rsidRPr="00FA0529">
              <w:rPr>
                <w:rFonts w:ascii="Arial Narrow" w:hAnsi="Arial Narrow"/>
                <w:color w:val="333333"/>
                <w:sz w:val="20"/>
                <w:szCs w:val="20"/>
                <w:lang w:bidi="en-US"/>
              </w:rPr>
              <w:t xml:space="preserve"> performance status score</w:t>
            </w:r>
            <w:r w:rsidRPr="00FA0529">
              <w:rPr>
                <w:rFonts w:ascii="Arial Narrow" w:hAnsi="Arial Narrow"/>
                <w:strike/>
                <w:color w:val="333333"/>
                <w:sz w:val="20"/>
                <w:szCs w:val="20"/>
                <w:lang w:bidi="en-US"/>
              </w:rPr>
              <w:t xml:space="preserve"> of</w:t>
            </w:r>
            <w:r w:rsidRPr="00FA0529">
              <w:rPr>
                <w:rFonts w:ascii="Arial Narrow" w:hAnsi="Arial Narrow"/>
                <w:color w:val="333333"/>
                <w:sz w:val="20"/>
                <w:szCs w:val="20"/>
                <w:lang w:bidi="en-US"/>
              </w:rPr>
              <w:t xml:space="preserve"> no </w:t>
            </w:r>
            <w:r w:rsidRPr="00FA0529">
              <w:rPr>
                <w:rFonts w:ascii="Arial Narrow" w:hAnsi="Arial Narrow"/>
                <w:strike/>
                <w:color w:val="333333"/>
                <w:sz w:val="20"/>
                <w:szCs w:val="20"/>
                <w:lang w:bidi="en-US"/>
              </w:rPr>
              <w:t>greater</w:t>
            </w:r>
            <w:r w:rsidRPr="00FA0529">
              <w:rPr>
                <w:rFonts w:ascii="Arial Narrow" w:hAnsi="Arial Narrow"/>
                <w:color w:val="333333"/>
                <w:sz w:val="20"/>
                <w:szCs w:val="20"/>
                <w:lang w:bidi="en-US"/>
              </w:rPr>
              <w:t xml:space="preserve"> </w:t>
            </w:r>
            <w:r w:rsidRPr="00FA0529">
              <w:rPr>
                <w:rFonts w:ascii="Arial Narrow" w:hAnsi="Arial Narrow"/>
                <w:i/>
                <w:iCs/>
                <w:color w:val="333333"/>
                <w:sz w:val="20"/>
                <w:szCs w:val="20"/>
                <w:lang w:bidi="en-US"/>
              </w:rPr>
              <w:t xml:space="preserve">higher </w:t>
            </w:r>
            <w:r w:rsidRPr="00FA0529">
              <w:rPr>
                <w:rFonts w:ascii="Arial Narrow" w:hAnsi="Arial Narrow"/>
                <w:color w:val="333333"/>
                <w:sz w:val="20"/>
                <w:szCs w:val="20"/>
                <w:lang w:bidi="en-US"/>
              </w:rPr>
              <w:t xml:space="preserve">than 1 </w:t>
            </w:r>
            <w:r w:rsidRPr="00FA0529">
              <w:rPr>
                <w:rFonts w:ascii="Arial Narrow" w:hAnsi="Arial Narrow"/>
                <w:strike/>
                <w:color w:val="333333"/>
                <w:sz w:val="20"/>
                <w:szCs w:val="20"/>
                <w:lang w:bidi="en-US"/>
              </w:rPr>
              <w:t xml:space="preserve">at </w:t>
            </w:r>
            <w:r w:rsidRPr="00FA0529">
              <w:rPr>
                <w:rFonts w:ascii="Arial Narrow" w:hAnsi="Arial Narrow"/>
                <w:i/>
                <w:iCs/>
                <w:color w:val="333333"/>
                <w:sz w:val="20"/>
                <w:szCs w:val="20"/>
                <w:lang w:bidi="en-US"/>
              </w:rPr>
              <w:t xml:space="preserve">prior to </w:t>
            </w:r>
            <w:r w:rsidRPr="00FA0529">
              <w:rPr>
                <w:rFonts w:ascii="Arial Narrow" w:hAnsi="Arial Narrow"/>
                <w:color w:val="333333"/>
                <w:sz w:val="20"/>
                <w:szCs w:val="20"/>
                <w:lang w:bidi="en-US"/>
              </w:rPr>
              <w:t>treatment initiation with this drug</w:t>
            </w:r>
          </w:p>
        </w:tc>
      </w:tr>
      <w:tr w:rsidR="00502854" w:rsidRPr="00FA0529" w14:paraId="4EEAAE3D" w14:textId="77777777" w:rsidTr="000132F6">
        <w:tblPrEx>
          <w:tblCellMar>
            <w:left w:w="15" w:type="dxa"/>
            <w:right w:w="15" w:type="dxa"/>
          </w:tblCellMar>
        </w:tblPrEx>
        <w:tc>
          <w:tcPr>
            <w:tcW w:w="5000" w:type="pct"/>
            <w:vAlign w:val="center"/>
            <w:hideMark/>
          </w:tcPr>
          <w:p w14:paraId="5A717D8F"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AND</w:t>
            </w:r>
          </w:p>
        </w:tc>
      </w:tr>
      <w:tr w:rsidR="00502854" w:rsidRPr="00FA0529" w14:paraId="43FA6D31" w14:textId="77777777" w:rsidTr="000132F6">
        <w:tblPrEx>
          <w:tblCellMar>
            <w:left w:w="15" w:type="dxa"/>
            <w:right w:w="15" w:type="dxa"/>
          </w:tblCellMar>
        </w:tblPrEx>
        <w:tc>
          <w:tcPr>
            <w:tcW w:w="5000" w:type="pct"/>
            <w:vAlign w:val="center"/>
            <w:hideMark/>
          </w:tcPr>
          <w:p w14:paraId="1C2B4B74"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Clinical criteria:</w:t>
            </w:r>
          </w:p>
        </w:tc>
      </w:tr>
      <w:tr w:rsidR="00502854" w:rsidRPr="00FA0529" w14:paraId="07F34F12" w14:textId="77777777" w:rsidTr="000132F6">
        <w:tblPrEx>
          <w:tblCellMar>
            <w:left w:w="15" w:type="dxa"/>
            <w:right w:w="15" w:type="dxa"/>
          </w:tblCellMar>
        </w:tblPrEx>
        <w:tc>
          <w:tcPr>
            <w:tcW w:w="5000" w:type="pct"/>
            <w:vAlign w:val="center"/>
            <w:hideMark/>
          </w:tcPr>
          <w:p w14:paraId="793BD8A6" w14:textId="77777777" w:rsidR="00502854" w:rsidRPr="00FA0529" w:rsidRDefault="00502854" w:rsidP="000132F6">
            <w:pPr>
              <w:keepNext/>
              <w:keepLines/>
              <w:rPr>
                <w:rFonts w:ascii="Arial Narrow" w:hAnsi="Arial Narrow"/>
                <w:sz w:val="20"/>
                <w:szCs w:val="20"/>
              </w:rPr>
            </w:pPr>
            <w:r w:rsidRPr="00FA0529">
              <w:rPr>
                <w:rFonts w:ascii="Arial Narrow" w:hAnsi="Arial Narrow"/>
                <w:sz w:val="20"/>
                <w:szCs w:val="20"/>
              </w:rPr>
              <w:t>The treatment must be the sole PBS-subsidised therapy for this condition</w:t>
            </w:r>
          </w:p>
        </w:tc>
      </w:tr>
      <w:tr w:rsidR="00502854" w:rsidRPr="00FA0529" w14:paraId="0895C698" w14:textId="77777777" w:rsidTr="000132F6">
        <w:tblPrEx>
          <w:tblCellMar>
            <w:left w:w="15" w:type="dxa"/>
            <w:right w:w="15" w:type="dxa"/>
          </w:tblCellMar>
        </w:tblPrEx>
        <w:tc>
          <w:tcPr>
            <w:tcW w:w="5000" w:type="pct"/>
            <w:vAlign w:val="center"/>
          </w:tcPr>
          <w:p w14:paraId="1C2D1545" w14:textId="77777777" w:rsidR="00502854" w:rsidRPr="00FA0529" w:rsidRDefault="00502854" w:rsidP="000132F6">
            <w:pPr>
              <w:keepNext/>
              <w:keepLines/>
              <w:rPr>
                <w:rFonts w:ascii="Arial Narrow" w:hAnsi="Arial Narrow"/>
                <w:b/>
                <w:bCs/>
                <w:sz w:val="20"/>
                <w:szCs w:val="20"/>
              </w:rPr>
            </w:pPr>
            <w:r w:rsidRPr="00FA0529">
              <w:rPr>
                <w:rFonts w:ascii="Arial Narrow" w:hAnsi="Arial Narrow"/>
                <w:b/>
                <w:bCs/>
                <w:sz w:val="20"/>
                <w:szCs w:val="20"/>
              </w:rPr>
              <w:t>AND</w:t>
            </w:r>
          </w:p>
        </w:tc>
      </w:tr>
      <w:tr w:rsidR="00502854" w:rsidRPr="00FA0529" w14:paraId="47FE2E8A" w14:textId="77777777" w:rsidTr="000132F6">
        <w:tblPrEx>
          <w:tblCellMar>
            <w:left w:w="15" w:type="dxa"/>
            <w:right w:w="15" w:type="dxa"/>
          </w:tblCellMar>
        </w:tblPrEx>
        <w:tc>
          <w:tcPr>
            <w:tcW w:w="5000" w:type="pct"/>
            <w:vAlign w:val="center"/>
          </w:tcPr>
          <w:p w14:paraId="74F0767A" w14:textId="77777777" w:rsidR="00502854" w:rsidRPr="00FA0529" w:rsidRDefault="00502854" w:rsidP="000132F6">
            <w:pPr>
              <w:keepNext/>
              <w:keepLines/>
              <w:rPr>
                <w:rFonts w:ascii="Arial Narrow" w:hAnsi="Arial Narrow"/>
                <w:b/>
                <w:bCs/>
                <w:sz w:val="20"/>
                <w:szCs w:val="20"/>
              </w:rPr>
            </w:pPr>
            <w:r w:rsidRPr="00FA0529">
              <w:rPr>
                <w:rFonts w:ascii="Arial Narrow" w:hAnsi="Arial Narrow"/>
                <w:b/>
                <w:bCs/>
                <w:sz w:val="20"/>
                <w:szCs w:val="20"/>
              </w:rPr>
              <w:t>Clinical criteria:</w:t>
            </w:r>
          </w:p>
        </w:tc>
      </w:tr>
      <w:tr w:rsidR="00502854" w:rsidRPr="00FA0529" w14:paraId="723FBC20" w14:textId="77777777" w:rsidTr="000132F6">
        <w:tblPrEx>
          <w:tblCellMar>
            <w:left w:w="15" w:type="dxa"/>
            <w:right w:w="15" w:type="dxa"/>
          </w:tblCellMar>
        </w:tblPrEx>
        <w:tc>
          <w:tcPr>
            <w:tcW w:w="5000" w:type="pct"/>
            <w:vAlign w:val="center"/>
          </w:tcPr>
          <w:p w14:paraId="7D4C46A9" w14:textId="77777777" w:rsidR="00502854" w:rsidRPr="00FA0529" w:rsidRDefault="00502854" w:rsidP="000132F6">
            <w:pPr>
              <w:keepNext/>
              <w:keepLines/>
              <w:rPr>
                <w:rFonts w:ascii="Arial Narrow" w:hAnsi="Arial Narrow"/>
                <w:b/>
                <w:bCs/>
                <w:sz w:val="20"/>
                <w:szCs w:val="20"/>
              </w:rPr>
            </w:pPr>
            <w:r w:rsidRPr="00FA0529">
              <w:rPr>
                <w:rFonts w:ascii="Arial Narrow" w:hAnsi="Arial Narrow"/>
                <w:sz w:val="20"/>
                <w:szCs w:val="20"/>
              </w:rPr>
              <w:t>Patient must not have developed disease progression while being treated with this drug for this condition.</w:t>
            </w:r>
          </w:p>
        </w:tc>
      </w:tr>
      <w:tr w:rsidR="00502854" w:rsidRPr="00FA0529" w14:paraId="17EA10CE" w14:textId="77777777" w:rsidTr="000132F6">
        <w:tblPrEx>
          <w:tblCellMar>
            <w:left w:w="15" w:type="dxa"/>
            <w:right w:w="15" w:type="dxa"/>
          </w:tblCellMar>
        </w:tblPrEx>
        <w:tc>
          <w:tcPr>
            <w:tcW w:w="5000" w:type="pct"/>
            <w:vAlign w:val="center"/>
          </w:tcPr>
          <w:p w14:paraId="122105D9" w14:textId="77777777" w:rsidR="00502854" w:rsidRPr="00FA0529" w:rsidRDefault="00502854" w:rsidP="000132F6">
            <w:pPr>
              <w:keepNext/>
              <w:keepLines/>
              <w:rPr>
                <w:rFonts w:ascii="Arial Narrow" w:hAnsi="Arial Narrow"/>
                <w:sz w:val="20"/>
                <w:szCs w:val="20"/>
              </w:rPr>
            </w:pPr>
          </w:p>
        </w:tc>
      </w:tr>
      <w:tr w:rsidR="00502854" w:rsidRPr="00FA0529" w14:paraId="75E78BF7" w14:textId="77777777" w:rsidTr="000132F6">
        <w:tblPrEx>
          <w:tblCellMar>
            <w:left w:w="15" w:type="dxa"/>
            <w:right w:w="15" w:type="dxa"/>
          </w:tblCellMar>
        </w:tblPrEx>
        <w:tc>
          <w:tcPr>
            <w:tcW w:w="5000" w:type="pct"/>
          </w:tcPr>
          <w:p w14:paraId="09936071" w14:textId="77777777" w:rsidR="00502854" w:rsidRPr="00FA0529" w:rsidRDefault="00502854" w:rsidP="000132F6">
            <w:pPr>
              <w:keepNext/>
              <w:keepLines/>
              <w:rPr>
                <w:rFonts w:ascii="Arial Narrow" w:hAnsi="Arial Narrow"/>
                <w:b/>
                <w:bCs/>
                <w:sz w:val="20"/>
                <w:szCs w:val="20"/>
              </w:rPr>
            </w:pPr>
            <w:r w:rsidRPr="00FA0529">
              <w:rPr>
                <w:rFonts w:ascii="Arial Narrow" w:hAnsi="Arial Narrow" w:cs="Open Sans"/>
                <w:b/>
                <w:bCs/>
                <w:sz w:val="20"/>
                <w:szCs w:val="20"/>
                <w:bdr w:val="none" w:sz="0" w:space="0" w:color="auto" w:frame="1"/>
              </w:rPr>
              <w:t>Administrative Advice:</w:t>
            </w:r>
            <w:r w:rsidRPr="00FA0529">
              <w:rPr>
                <w:rFonts w:ascii="Arial Narrow" w:hAnsi="Arial Narrow" w:cs="Open Sans"/>
                <w:sz w:val="20"/>
                <w:szCs w:val="20"/>
                <w:bdr w:val="none" w:sz="0" w:space="0" w:color="auto" w:frame="1"/>
              </w:rPr>
              <w:t xml:space="preserve"> No increase in the maximum amount or number of units may be authorised.</w:t>
            </w:r>
          </w:p>
        </w:tc>
      </w:tr>
      <w:tr w:rsidR="00502854" w:rsidRPr="00FA0529" w14:paraId="2058D219" w14:textId="77777777" w:rsidTr="000132F6">
        <w:tblPrEx>
          <w:tblCellMar>
            <w:left w:w="15" w:type="dxa"/>
            <w:right w:w="15" w:type="dxa"/>
          </w:tblCellMar>
        </w:tblPrEx>
        <w:tc>
          <w:tcPr>
            <w:tcW w:w="5000" w:type="pct"/>
          </w:tcPr>
          <w:p w14:paraId="4EF1766B" w14:textId="77777777" w:rsidR="00502854" w:rsidRPr="00FA0529" w:rsidRDefault="00502854" w:rsidP="000132F6">
            <w:pPr>
              <w:keepNext/>
              <w:keepLines/>
              <w:rPr>
                <w:rFonts w:ascii="Arial Narrow" w:hAnsi="Arial Narrow"/>
                <w:b/>
                <w:bCs/>
                <w:sz w:val="20"/>
                <w:szCs w:val="20"/>
              </w:rPr>
            </w:pPr>
            <w:r w:rsidRPr="00FA0529">
              <w:rPr>
                <w:rFonts w:ascii="Arial Narrow" w:hAnsi="Arial Narrow" w:cs="Open Sans"/>
                <w:b/>
                <w:bCs/>
                <w:sz w:val="20"/>
                <w:szCs w:val="20"/>
              </w:rPr>
              <w:t>Administrative Advice:</w:t>
            </w:r>
            <w:r w:rsidRPr="00FA0529">
              <w:rPr>
                <w:rFonts w:ascii="Arial Narrow" w:hAnsi="Arial Narrow" w:cs="Open Sans"/>
                <w:sz w:val="20"/>
                <w:szCs w:val="20"/>
              </w:rPr>
              <w:t xml:space="preserve"> No increase in the maximum number of repeats may be authorised.</w:t>
            </w:r>
          </w:p>
        </w:tc>
      </w:tr>
      <w:tr w:rsidR="00502854" w:rsidRPr="00FA0529" w14:paraId="07643069" w14:textId="77777777" w:rsidTr="000132F6">
        <w:tblPrEx>
          <w:tblCellMar>
            <w:left w:w="15" w:type="dxa"/>
            <w:right w:w="15" w:type="dxa"/>
          </w:tblCellMar>
        </w:tblPrEx>
        <w:tc>
          <w:tcPr>
            <w:tcW w:w="5000" w:type="pct"/>
            <w:hideMark/>
          </w:tcPr>
          <w:p w14:paraId="0A80B9CA" w14:textId="77777777" w:rsidR="00502854" w:rsidRPr="003E3AB6" w:rsidRDefault="00502854" w:rsidP="000132F6">
            <w:pPr>
              <w:keepNext/>
              <w:keepLines/>
              <w:rPr>
                <w:rFonts w:ascii="Arial Narrow" w:hAnsi="Arial Narrow"/>
                <w:color w:val="0D0D0D" w:themeColor="text1" w:themeTint="F2"/>
                <w:sz w:val="20"/>
                <w:szCs w:val="20"/>
              </w:rPr>
            </w:pPr>
            <w:r w:rsidRPr="003E3AB6">
              <w:rPr>
                <w:rFonts w:ascii="Arial Narrow" w:hAnsi="Arial Narrow" w:cs="Open Sans"/>
                <w:b/>
                <w:bCs/>
                <w:color w:val="0D0D0D" w:themeColor="text1" w:themeTint="F2"/>
                <w:sz w:val="20"/>
                <w:szCs w:val="20"/>
              </w:rPr>
              <w:t>Administrative Advice:</w:t>
            </w:r>
            <w:r w:rsidRPr="003E3AB6">
              <w:rPr>
                <w:rFonts w:ascii="Arial Narrow" w:hAnsi="Arial Narrow" w:cs="Open Sans"/>
                <w:color w:val="0D0D0D" w:themeColor="text1" w:themeTint="F2"/>
                <w:sz w:val="20"/>
                <w:szCs w:val="20"/>
              </w:rPr>
              <w:t xml:space="preserve"> Special Pricing Arrangements apply.</w:t>
            </w:r>
          </w:p>
        </w:tc>
      </w:tr>
      <w:tr w:rsidR="00502854" w:rsidRPr="00FA0529" w14:paraId="41D60AE4" w14:textId="77777777" w:rsidTr="000132F6">
        <w:tblPrEx>
          <w:tblCellMar>
            <w:left w:w="15" w:type="dxa"/>
            <w:right w:w="15" w:type="dxa"/>
          </w:tblCellMar>
        </w:tblPrEx>
        <w:tc>
          <w:tcPr>
            <w:tcW w:w="5000" w:type="pct"/>
          </w:tcPr>
          <w:p w14:paraId="29A1DE33" w14:textId="77777777" w:rsidR="00502854" w:rsidRPr="003E3AB6" w:rsidRDefault="00502854" w:rsidP="000132F6">
            <w:pPr>
              <w:keepNext/>
              <w:keepLines/>
              <w:rPr>
                <w:rFonts w:ascii="Arial Narrow" w:hAnsi="Arial Narrow"/>
                <w:bCs/>
                <w:i/>
                <w:iCs/>
                <w:color w:val="0D0D0D" w:themeColor="text1" w:themeTint="F2"/>
                <w:sz w:val="20"/>
                <w:szCs w:val="20"/>
              </w:rPr>
            </w:pPr>
            <w:r w:rsidRPr="003E3AB6">
              <w:rPr>
                <w:rFonts w:ascii="Arial Narrow" w:hAnsi="Arial Narrow"/>
                <w:b/>
                <w:bCs/>
                <w:i/>
                <w:iCs/>
                <w:color w:val="0D0D0D" w:themeColor="text1" w:themeTint="F2"/>
                <w:sz w:val="20"/>
                <w:szCs w:val="20"/>
              </w:rPr>
              <w:t xml:space="preserve">Administrative Advice: </w:t>
            </w:r>
            <w:r w:rsidRPr="003E3AB6">
              <w:rPr>
                <w:rFonts w:ascii="Arial Narrow" w:hAnsi="Arial Narrow"/>
                <w:bCs/>
                <w:i/>
                <w:iCs/>
                <w:color w:val="0D0D0D" w:themeColor="text1" w:themeTint="F2"/>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08EE76A2" w14:textId="5E09767E" w:rsidR="00AF5174" w:rsidRPr="00FA0529" w:rsidRDefault="00502854" w:rsidP="002178B6">
      <w:pPr>
        <w:pStyle w:val="TableFigureFooter"/>
      </w:pPr>
      <w:r w:rsidRPr="00FA0529">
        <w:t>Source: Table 2</w:t>
      </w:r>
      <w:r w:rsidR="005F2E8C" w:rsidRPr="00FA0529">
        <w:t xml:space="preserve">, </w:t>
      </w:r>
      <w:r w:rsidR="00D11162" w:rsidRPr="00FA0529">
        <w:t>f</w:t>
      </w:r>
      <w:r w:rsidR="005F2E8C" w:rsidRPr="00FA0529">
        <w:t xml:space="preserve">utibatinib </w:t>
      </w:r>
      <w:r w:rsidR="00093757" w:rsidRPr="00FA0529">
        <w:t>m</w:t>
      </w:r>
      <w:r w:rsidR="005F2E8C" w:rsidRPr="00FA0529">
        <w:t>inutes, March</w:t>
      </w:r>
      <w:r w:rsidR="007F1735" w:rsidRPr="00FA0529">
        <w:t xml:space="preserve"> 2025 PBAC meeting</w:t>
      </w:r>
      <w:r w:rsidRPr="00FA0529">
        <w:t>.</w:t>
      </w:r>
    </w:p>
    <w:p w14:paraId="51593144" w14:textId="77777777" w:rsidR="00B04B80" w:rsidRPr="00FA0529" w:rsidRDefault="00B04B80" w:rsidP="002178B6">
      <w:pPr>
        <w:pStyle w:val="TableFigureFooter"/>
      </w:pPr>
    </w:p>
    <w:p w14:paraId="34165CDC" w14:textId="574BD836" w:rsidR="00B04B80" w:rsidRPr="00FA0529" w:rsidRDefault="00B04B80" w:rsidP="00B04B80">
      <w:pPr>
        <w:rPr>
          <w:rFonts w:asciiTheme="minorHAnsi" w:hAnsiTheme="minorHAnsi"/>
          <w:i/>
        </w:rPr>
      </w:pPr>
      <w:r w:rsidRPr="00FA0529">
        <w:rPr>
          <w:rFonts w:asciiTheme="minorHAnsi" w:hAnsiTheme="minorHAnsi"/>
          <w:i/>
        </w:rPr>
        <w:t xml:space="preserve">For more detail on PBAC’s view, see section </w:t>
      </w:r>
      <w:r w:rsidR="002E69E2">
        <w:rPr>
          <w:rFonts w:asciiTheme="minorHAnsi" w:hAnsiTheme="minorHAnsi"/>
          <w:i/>
        </w:rPr>
        <w:t>5</w:t>
      </w:r>
      <w:r w:rsidRPr="00FA0529">
        <w:rPr>
          <w:rFonts w:asciiTheme="minorHAnsi" w:hAnsiTheme="minorHAnsi"/>
          <w:i/>
        </w:rPr>
        <w:t xml:space="preserve"> PBAC outcome.</w:t>
      </w:r>
    </w:p>
    <w:p w14:paraId="565CEA91" w14:textId="77777777" w:rsidR="00257CFD" w:rsidRPr="00FA0529" w:rsidRDefault="00257CFD" w:rsidP="00257CFD">
      <w:pPr>
        <w:pStyle w:val="2-SectionHeading"/>
      </w:pPr>
      <w:r w:rsidRPr="00FA0529">
        <w:t>Consideration of the evidence</w:t>
      </w:r>
    </w:p>
    <w:p w14:paraId="18CCC058" w14:textId="77777777" w:rsidR="00E65F97" w:rsidRPr="00FA0529" w:rsidRDefault="00E65F97" w:rsidP="00AB5121">
      <w:pPr>
        <w:pStyle w:val="4-SubsectionHeading"/>
      </w:pPr>
      <w:bookmarkStart w:id="2" w:name="_Hlk76375935"/>
      <w:r w:rsidRPr="00FA0529">
        <w:t>Sponsor hearing</w:t>
      </w:r>
    </w:p>
    <w:p w14:paraId="715714A4" w14:textId="7C07F610" w:rsidR="00E65F97" w:rsidRPr="00602D31" w:rsidRDefault="00E65F97" w:rsidP="00AB5121">
      <w:pPr>
        <w:pStyle w:val="3-BodyText"/>
        <w:rPr>
          <w:rFonts w:cs="Calibri"/>
          <w:bCs/>
          <w:snapToGrid w:val="0"/>
        </w:rPr>
      </w:pPr>
      <w:r w:rsidRPr="00AB5121">
        <w:t>There</w:t>
      </w:r>
      <w:r w:rsidRPr="00602D31">
        <w:rPr>
          <w:rFonts w:cs="Calibri"/>
          <w:bCs/>
          <w:snapToGrid w:val="0"/>
        </w:rPr>
        <w:t xml:space="preserve"> </w:t>
      </w:r>
      <w:r w:rsidRPr="00AB5121">
        <w:t>was</w:t>
      </w:r>
      <w:r w:rsidRPr="00602D31">
        <w:rPr>
          <w:rFonts w:cs="Calibri"/>
          <w:bCs/>
          <w:snapToGrid w:val="0"/>
        </w:rPr>
        <w:t xml:space="preserve"> no hearing for this item.</w:t>
      </w:r>
    </w:p>
    <w:p w14:paraId="34BFBE02" w14:textId="77777777" w:rsidR="00E65F97" w:rsidRPr="00FA0529" w:rsidRDefault="00E65F97" w:rsidP="00DC77BC">
      <w:pPr>
        <w:pStyle w:val="4-SubsectionHeading"/>
        <w:keepNext/>
      </w:pPr>
      <w:r w:rsidRPr="00FA0529">
        <w:t>Consumer comments</w:t>
      </w:r>
    </w:p>
    <w:p w14:paraId="3AE911E4" w14:textId="3740AF4A" w:rsidR="00E65F97" w:rsidRPr="00EC2916" w:rsidRDefault="00E65F97" w:rsidP="00DC77BC">
      <w:pPr>
        <w:pStyle w:val="3-BodyText"/>
      </w:pPr>
      <w:bookmarkStart w:id="3" w:name="_Hlk76382618"/>
      <w:r w:rsidRPr="006502BF">
        <w:t xml:space="preserve">The PBAC noted and welcomed the input </w:t>
      </w:r>
      <w:r w:rsidR="00DC4ECF" w:rsidRPr="006502BF">
        <w:t xml:space="preserve">regarding the </w:t>
      </w:r>
      <w:r w:rsidR="008559BF" w:rsidRPr="006502BF">
        <w:t xml:space="preserve">resubmission </w:t>
      </w:r>
      <w:r w:rsidRPr="006502BF">
        <w:t>from organisations (</w:t>
      </w:r>
      <w:r w:rsidR="00F3512F" w:rsidRPr="006502BF">
        <w:t>2</w:t>
      </w:r>
      <w:r w:rsidRPr="006502BF">
        <w:t>) via the Consume</w:t>
      </w:r>
      <w:r w:rsidR="00FA5EF8">
        <w:t>r comments</w:t>
      </w:r>
      <w:r w:rsidR="002C4CD0">
        <w:t xml:space="preserve"> facility on the PBS website</w:t>
      </w:r>
      <w:r w:rsidR="00AB5121" w:rsidRPr="006502BF">
        <w:t xml:space="preserve">. </w:t>
      </w:r>
      <w:r w:rsidR="00D224B3" w:rsidRPr="00270862">
        <w:t xml:space="preserve">Rare Cancers Australia </w:t>
      </w:r>
      <w:r w:rsidR="0029108F" w:rsidRPr="00270862">
        <w:t xml:space="preserve">described the </w:t>
      </w:r>
      <w:r w:rsidR="00D224B3" w:rsidRPr="00270862">
        <w:t xml:space="preserve">severity of </w:t>
      </w:r>
      <w:r w:rsidR="00214367" w:rsidRPr="00270862">
        <w:t xml:space="preserve">CCA, </w:t>
      </w:r>
      <w:r w:rsidR="00D224B3" w:rsidRPr="00270862">
        <w:t>trade-offs associated with</w:t>
      </w:r>
      <w:r w:rsidR="00FE3C05">
        <w:t xml:space="preserve"> side</w:t>
      </w:r>
      <w:r w:rsidR="00573082">
        <w:t>-</w:t>
      </w:r>
      <w:r w:rsidR="00FE3C05">
        <w:t xml:space="preserve">effects </w:t>
      </w:r>
      <w:r w:rsidR="00FE3C05">
        <w:lastRenderedPageBreak/>
        <w:t>of current chemotherapy options and quality of life</w:t>
      </w:r>
      <w:r w:rsidR="00214367" w:rsidRPr="00270862">
        <w:t xml:space="preserve">, and the benefits </w:t>
      </w:r>
      <w:r w:rsidR="00E15D22" w:rsidRPr="00270862">
        <w:t xml:space="preserve">associated with </w:t>
      </w:r>
      <w:r w:rsidR="00A71B73" w:rsidRPr="00270862">
        <w:t>futibatinib’s</w:t>
      </w:r>
      <w:r w:rsidR="00E15D22" w:rsidRPr="00270862">
        <w:t xml:space="preserve"> </w:t>
      </w:r>
      <w:r w:rsidR="00A71B73" w:rsidRPr="00270862">
        <w:t>oral</w:t>
      </w:r>
      <w:r w:rsidR="00E15D22" w:rsidRPr="00270862">
        <w:t xml:space="preserve"> administration</w:t>
      </w:r>
      <w:r w:rsidR="00D224B3" w:rsidRPr="00270862">
        <w:t>, particularly for rural</w:t>
      </w:r>
      <w:r w:rsidR="009E1D22" w:rsidRPr="00270862">
        <w:t xml:space="preserve"> and </w:t>
      </w:r>
      <w:r w:rsidR="00D224B3" w:rsidRPr="00270862">
        <w:t>remote patients</w:t>
      </w:r>
      <w:bookmarkStart w:id="4" w:name="_Hlk97141379"/>
      <w:r w:rsidRPr="00270862">
        <w:t>.</w:t>
      </w:r>
      <w:bookmarkEnd w:id="4"/>
      <w:r w:rsidR="00811B5A" w:rsidRPr="00270862">
        <w:t xml:space="preserve"> </w:t>
      </w:r>
      <w:r w:rsidR="00573082" w:rsidRPr="00573082">
        <w:t>They noted the side-effect profile of futibatinib,</w:t>
      </w:r>
      <w:r w:rsidR="00573082">
        <w:t xml:space="preserve"> </w:t>
      </w:r>
      <w:r w:rsidR="00573082" w:rsidRPr="00573082">
        <w:t>but said this was manageable and the need for affordable access was a greater concern as cost and the need to travel to clinical trials were barriers to access at present.</w:t>
      </w:r>
      <w:r w:rsidR="00573082">
        <w:t xml:space="preserve"> </w:t>
      </w:r>
      <w:r w:rsidR="00811B5A" w:rsidRPr="00270862">
        <w:t>The PBAC also noted that supportive comments were received from the Pancare Foundation and the Liver Foundation in relation to the</w:t>
      </w:r>
      <w:r w:rsidR="00407BC6" w:rsidRPr="00EC2916">
        <w:t xml:space="preserve"> previous</w:t>
      </w:r>
      <w:r w:rsidR="00811B5A" w:rsidRPr="0004293F">
        <w:t xml:space="preserve"> submission</w:t>
      </w:r>
      <w:r w:rsidR="00811B5A" w:rsidRPr="00EC2916">
        <w:t>.</w:t>
      </w:r>
    </w:p>
    <w:bookmarkEnd w:id="2"/>
    <w:bookmarkEnd w:id="3"/>
    <w:p w14:paraId="26C1D63B" w14:textId="6327729F" w:rsidR="00E65F97" w:rsidRPr="007662B2" w:rsidRDefault="00E65F97" w:rsidP="00DC77BC">
      <w:pPr>
        <w:pStyle w:val="3-BodyText"/>
      </w:pPr>
      <w:r w:rsidRPr="00EC2916">
        <w:t xml:space="preserve">The Medical Oncology Group of Australia (MOGA) also expressed its support for the </w:t>
      </w:r>
      <w:r w:rsidR="009A38B2" w:rsidRPr="00EC2916">
        <w:t xml:space="preserve">futibatinib </w:t>
      </w:r>
      <w:r w:rsidRPr="00EC2916">
        <w:t xml:space="preserve">submission. The PBAC noted that the MOGA presented a European Society for Medical Oncology Magnitude of Clinical Benefit Scale (ESMO-MCBS) for </w:t>
      </w:r>
      <w:r w:rsidR="00E529F6" w:rsidRPr="00EC2916">
        <w:t>futibatinib of 2</w:t>
      </w:r>
      <w:r w:rsidRPr="0004293F">
        <w:t xml:space="preserve"> (out of a maximum of 5, where 5 and 4 represent the grades with substantial improvement</w:t>
      </w:r>
      <w:r w:rsidRPr="007662B2">
        <w:t>)</w:t>
      </w:r>
      <w:r w:rsidR="00752ED7" w:rsidRPr="007662B2">
        <w:rPr>
          <w:rStyle w:val="FootnoteReference"/>
        </w:rPr>
        <w:footnoteReference w:id="2"/>
      </w:r>
      <w:r w:rsidRPr="007662B2">
        <w:t xml:space="preserve">, </w:t>
      </w:r>
      <w:r w:rsidR="00637014" w:rsidRPr="007662B2">
        <w:t xml:space="preserve">on the basis of </w:t>
      </w:r>
      <w:r w:rsidR="00C372DD" w:rsidRPr="007662B2">
        <w:t xml:space="preserve">objective response rate in </w:t>
      </w:r>
      <w:r w:rsidR="00A14AC2" w:rsidRPr="007662B2">
        <w:t>the</w:t>
      </w:r>
      <w:r w:rsidR="00637014" w:rsidRPr="007662B2">
        <w:t xml:space="preserve"> FOENIX</w:t>
      </w:r>
      <w:r w:rsidR="00FD0DDE" w:rsidRPr="007662B2">
        <w:t xml:space="preserve">-CCA2 </w:t>
      </w:r>
      <w:r w:rsidR="00C372DD" w:rsidRPr="007662B2">
        <w:t>trial</w:t>
      </w:r>
      <w:r w:rsidR="00407BC6" w:rsidRPr="007662B2">
        <w:t>.</w:t>
      </w:r>
      <w:r w:rsidR="00A05A56">
        <w:t xml:space="preserve"> </w:t>
      </w:r>
    </w:p>
    <w:p w14:paraId="6687FBC1" w14:textId="58014ACB" w:rsidR="00C91ADE" w:rsidRPr="00FA0529" w:rsidRDefault="00AE1286" w:rsidP="00C91ADE">
      <w:pPr>
        <w:pStyle w:val="4-SubsectionHeading"/>
      </w:pPr>
      <w:r w:rsidRPr="00FA0529">
        <w:t>Comparative effectiveness</w:t>
      </w:r>
    </w:p>
    <w:p w14:paraId="3AAA54F4" w14:textId="77777777" w:rsidR="00241634" w:rsidRPr="00FA0529" w:rsidRDefault="00241634" w:rsidP="00C91ADE">
      <w:pPr>
        <w:pStyle w:val="3-BodyText"/>
        <w:rPr>
          <w:lang w:eastAsia="en-US"/>
        </w:rPr>
      </w:pPr>
      <w:r w:rsidRPr="00FA0529">
        <w:t>The resubmission did not provide any additional clinical data.</w:t>
      </w:r>
    </w:p>
    <w:p w14:paraId="41750B0D" w14:textId="7B74DD75" w:rsidR="00241634" w:rsidRPr="00FA0529" w:rsidRDefault="00241634" w:rsidP="00C91ADE">
      <w:pPr>
        <w:pStyle w:val="3-BodyText"/>
        <w:rPr>
          <w:lang w:eastAsia="en-US"/>
        </w:rPr>
      </w:pPr>
      <w:r w:rsidRPr="00FA0529">
        <w:t xml:space="preserve">The submission considered in March 2025 was based on FOENIX-CCA2 (n=103), an open-label, single-arm, phase 2 trial of futibatinib in patients with unresectable or metastatic </w:t>
      </w:r>
      <w:r w:rsidRPr="00FA0529">
        <w:rPr>
          <w:i/>
          <w:iCs/>
        </w:rPr>
        <w:t>FGFR2</w:t>
      </w:r>
      <w:r w:rsidRPr="00FA0529">
        <w:t xml:space="preserve"> fusion-positive or </w:t>
      </w:r>
      <w:r w:rsidRPr="00FA0529">
        <w:rPr>
          <w:i/>
          <w:iCs/>
        </w:rPr>
        <w:t>FGFR2</w:t>
      </w:r>
      <w:r w:rsidRPr="00FA0529">
        <w:t xml:space="preserve"> rearrangement-positive iCCA, and disease progression after one or more previous lines of systemic therapy; and ABC-06 (n=81), an open-label randomised phase 3 trial of ASC and FOLFOX in patients with locally advanced or metastatic biliary tract cancer (including CCA and gallbladder or ampullary carcinoma). These trials formed the basis of an unanchored matched adjusted indirect comparison (MAIC) of futibatinib versus FOLFOX. The PBAC noted the improvements in efficacy with futibatinib compared to FOLFOX based on the MAIC: adjusted </w:t>
      </w:r>
      <w:r w:rsidR="00EC04AB" w:rsidRPr="00FA0529">
        <w:t>progression free survival (</w:t>
      </w:r>
      <w:r w:rsidRPr="00FA0529">
        <w:t>PFS</w:t>
      </w:r>
      <w:r w:rsidR="00EC04AB" w:rsidRPr="00FA0529">
        <w:t>) hazard ratio (</w:t>
      </w:r>
      <w:r w:rsidRPr="00FA0529">
        <w:t>HR</w:t>
      </w:r>
      <w:r w:rsidR="00EC04AB" w:rsidRPr="00FA0529">
        <w:t>)</w:t>
      </w:r>
      <w:r w:rsidRPr="00FA0529">
        <w:t xml:space="preserve"> = 0.30 (95% CI: 0.22, 0.41) and </w:t>
      </w:r>
      <w:r w:rsidR="00EC04AB" w:rsidRPr="00FA0529">
        <w:t>overall survival (</w:t>
      </w:r>
      <w:r w:rsidRPr="00FA0529">
        <w:t>OS</w:t>
      </w:r>
      <w:r w:rsidR="00EC04AB" w:rsidRPr="00FA0529">
        <w:t>)</w:t>
      </w:r>
      <w:r w:rsidRPr="00FA0529">
        <w:t xml:space="preserve"> HR = 0.24 (95% CI: 0.18, 0.32</w:t>
      </w:r>
      <w:r w:rsidR="002171D3">
        <w:rPr>
          <w:rStyle w:val="FootnoteReference"/>
        </w:rPr>
        <w:footnoteReference w:id="3"/>
      </w:r>
      <w:r w:rsidRPr="00FA0529">
        <w:t>).</w:t>
      </w:r>
      <w:r w:rsidR="00A05A56">
        <w:t xml:space="preserve"> </w:t>
      </w:r>
      <w:r w:rsidRPr="00FA0529">
        <w:t xml:space="preserve">However, the PBAC considered that the magnitude of clinical benefit was likely overestimated due to differences in baseline characteristics (in particular </w:t>
      </w:r>
      <w:r w:rsidRPr="00FA0529">
        <w:rPr>
          <w:i/>
          <w:iCs/>
        </w:rPr>
        <w:t>FGFR2</w:t>
      </w:r>
      <w:r w:rsidRPr="00FA0529">
        <w:t xml:space="preserve"> status which may be a prognostic factor), and the unanchored nature of the MAIC, which confers a high risk of bias to unknown treatment effect modifiers. The PBAC noted that the adjustments applied as part of the MAIC increased the estimated PFS and OS for futibatinib, despite accounting for the FOLFOX trial patients being older and having a worse performance status compared with the patients in the futibatinib trial, which further raised questions regarding the reliability of the MAIC. The PBAC considered that the clinical claim of superiority for futibatinib compared to FOLFOX was reasonable, but that the </w:t>
      </w:r>
      <w:r w:rsidRPr="00FA0529">
        <w:lastRenderedPageBreak/>
        <w:t>magnitude of benefit was highly uncertain</w:t>
      </w:r>
      <w:r w:rsidR="006E7963" w:rsidRPr="00FA0529">
        <w:t xml:space="preserve"> (paragraph 7.8</w:t>
      </w:r>
      <w:r w:rsidRPr="00FA0529">
        <w:t>.</w:t>
      </w:r>
      <w:r w:rsidR="006E7963" w:rsidRPr="00FA0529">
        <w:t xml:space="preserve"> futibatinib minutes, March 2025 PBAC meeting).</w:t>
      </w:r>
    </w:p>
    <w:p w14:paraId="5886C43A" w14:textId="760148E1" w:rsidR="00EB23AA" w:rsidRPr="00FA0529" w:rsidRDefault="00D53A49" w:rsidP="007B78B8">
      <w:pPr>
        <w:pStyle w:val="3-BodyText"/>
        <w:rPr>
          <w:i/>
          <w:iCs/>
        </w:rPr>
      </w:pPr>
      <w:bookmarkStart w:id="5" w:name="_Ref201654818"/>
      <w:r w:rsidRPr="00FA0529">
        <w:t xml:space="preserve">Additional indirect comparisons identified during the evaluation of the submission considered in March 2025 (Paine 2022, Borad 2022), comparing futibatinib and FOLFOX for patients with </w:t>
      </w:r>
      <w:r w:rsidRPr="00FA0529">
        <w:rPr>
          <w:i/>
          <w:iCs/>
        </w:rPr>
        <w:t>FGFR2</w:t>
      </w:r>
      <w:r w:rsidRPr="00FA0529">
        <w:t xml:space="preserve"> alterations (both arms, which accounted for the potential prognostic influence of </w:t>
      </w:r>
      <w:r w:rsidRPr="00FA0529">
        <w:rPr>
          <w:i/>
          <w:iCs/>
        </w:rPr>
        <w:t>FGFR2</w:t>
      </w:r>
      <w:r w:rsidRPr="00FA0529">
        <w:t xml:space="preserve"> status) reported a less favourable adjusted HR for PFS (0.48-0.53 vs 0.30) and OS (0.48-0.49 vs 0.24) for futibatinib compared to chemotherapy vs those presented in the submission (see </w:t>
      </w:r>
      <w:r w:rsidR="00533D83" w:rsidRPr="00FA0529">
        <w:fldChar w:fldCharType="begin"/>
      </w:r>
      <w:r w:rsidR="00533D83" w:rsidRPr="00FA0529">
        <w:instrText xml:space="preserve"> REF _Ref201653528 \h </w:instrText>
      </w:r>
      <w:r w:rsidR="00533D83" w:rsidRPr="00FA0529">
        <w:fldChar w:fldCharType="separate"/>
      </w:r>
      <w:r w:rsidR="00462AA0" w:rsidRPr="00FA0529">
        <w:t xml:space="preserve">Table </w:t>
      </w:r>
      <w:r w:rsidR="00462AA0">
        <w:rPr>
          <w:noProof/>
        </w:rPr>
        <w:t>3</w:t>
      </w:r>
      <w:r w:rsidR="00533D83" w:rsidRPr="00FA0529">
        <w:fldChar w:fldCharType="end"/>
      </w:r>
      <w:r w:rsidRPr="00FA0529">
        <w:t>). The PBAC noted this supported its consideration that the MAIC likely overestimated the magnitude of clinical benefit of futibatinib (paragraph 7.8</w:t>
      </w:r>
      <w:r w:rsidR="00EA45DC" w:rsidRPr="00FA0529">
        <w:t>,</w:t>
      </w:r>
      <w:r w:rsidRPr="00FA0529">
        <w:t xml:space="preserve"> futibatinib minutes, March 2025 PBAC meeting). </w:t>
      </w:r>
      <w:r w:rsidR="004E2ED9" w:rsidRPr="00FA0529">
        <w:t>T</w:t>
      </w:r>
      <w:r w:rsidRPr="00FA0529">
        <w:t xml:space="preserve">he </w:t>
      </w:r>
      <w:r w:rsidR="00FF5281" w:rsidRPr="00FA0529">
        <w:t>re</w:t>
      </w:r>
      <w:r w:rsidRPr="00FA0529">
        <w:t xml:space="preserve">submission maintained that the ABC-06 trial remains the best available evidence, </w:t>
      </w:r>
      <w:r w:rsidR="00D55C0A" w:rsidRPr="00FA0529">
        <w:t xml:space="preserve">highlighting </w:t>
      </w:r>
      <w:r w:rsidR="007E63D9" w:rsidRPr="00FA0529">
        <w:t>uncertainties due to limited details regarding methodologies and</w:t>
      </w:r>
      <w:r w:rsidR="00A45807" w:rsidRPr="00FA0529">
        <w:t xml:space="preserve"> </w:t>
      </w:r>
      <w:r w:rsidR="00D55C0A" w:rsidRPr="00FA0529">
        <w:t>limitations</w:t>
      </w:r>
      <w:r w:rsidR="007E63D9" w:rsidRPr="00FA0529">
        <w:t xml:space="preserve"> of</w:t>
      </w:r>
      <w:r w:rsidR="00075A22" w:rsidRPr="00FA0529">
        <w:t xml:space="preserve"> the </w:t>
      </w:r>
      <w:r w:rsidR="007E63D9" w:rsidRPr="00FA0529">
        <w:t xml:space="preserve">approaches used by </w:t>
      </w:r>
      <w:r w:rsidR="000515A8" w:rsidRPr="00FA0529">
        <w:t>Paine 2022</w:t>
      </w:r>
      <w:r w:rsidR="003F63CF" w:rsidRPr="00FA0529">
        <w:t xml:space="preserve"> </w:t>
      </w:r>
      <w:r w:rsidR="000515A8" w:rsidRPr="00FA0529">
        <w:t>and Borad 2022</w:t>
      </w:r>
      <w:r w:rsidR="00C6470F" w:rsidRPr="00FA0529">
        <w:t>.</w:t>
      </w:r>
      <w:r w:rsidR="004A3DD4" w:rsidRPr="00FA0529">
        <w:t xml:space="preserve"> The </w:t>
      </w:r>
      <w:r w:rsidR="00DD354A" w:rsidRPr="00FA0529">
        <w:t>submission overview</w:t>
      </w:r>
      <w:r w:rsidR="00AA6E89" w:rsidRPr="00FA0529">
        <w:t xml:space="preserve"> noted that the </w:t>
      </w:r>
      <w:r w:rsidR="004A3DD4" w:rsidRPr="00FA0529">
        <w:t xml:space="preserve">PBAC did not necessarily consider Paine 2022 and Borad 2022 to be better evidence; rather, they supported </w:t>
      </w:r>
      <w:r w:rsidR="00505605" w:rsidRPr="00FA0529">
        <w:t>its consideration that the MAIC likely overestimated the magnitude of clinical benefit.</w:t>
      </w:r>
      <w:bookmarkEnd w:id="5"/>
      <w:r w:rsidR="00A05A56">
        <w:rPr>
          <w:i/>
          <w:iCs/>
        </w:rPr>
        <w:t xml:space="preserve"> </w:t>
      </w:r>
    </w:p>
    <w:p w14:paraId="29F0D5F4" w14:textId="0C4C072E" w:rsidR="003A7075" w:rsidRPr="00FA0529" w:rsidRDefault="003A7075" w:rsidP="003A7075">
      <w:pPr>
        <w:pStyle w:val="TableFigureHeading"/>
      </w:pPr>
    </w:p>
    <w:p w14:paraId="6288A23A" w14:textId="0B4E2EDD" w:rsidR="003A7075" w:rsidRPr="00FA0529" w:rsidRDefault="003A7075" w:rsidP="00975EA8">
      <w:pPr>
        <w:pStyle w:val="TableFigureHeading"/>
      </w:pPr>
      <w:bookmarkStart w:id="6" w:name="_Ref201653528"/>
      <w:r w:rsidRPr="00FA0529">
        <w:t xml:space="preserve">Table </w:t>
      </w:r>
      <w:r w:rsidR="00CA5BC1">
        <w:fldChar w:fldCharType="begin"/>
      </w:r>
      <w:r w:rsidR="00CA5BC1">
        <w:instrText xml:space="preserve"> SEQ Table \* ARABIC </w:instrText>
      </w:r>
      <w:r w:rsidR="00CA5BC1">
        <w:fldChar w:fldCharType="separate"/>
      </w:r>
      <w:r w:rsidR="00462AA0">
        <w:rPr>
          <w:noProof/>
        </w:rPr>
        <w:t>3</w:t>
      </w:r>
      <w:r w:rsidR="00CA5BC1">
        <w:rPr>
          <w:noProof/>
        </w:rPr>
        <w:fldChar w:fldCharType="end"/>
      </w:r>
      <w:bookmarkEnd w:id="6"/>
      <w:r w:rsidRPr="00FA0529">
        <w:t>: Indirect comparison results between futibatinib and chemotherapy in FGFR2 altered patients in Paine 2022 and Borad 2022</w:t>
      </w:r>
    </w:p>
    <w:tbl>
      <w:tblPr>
        <w:tblStyle w:val="TableGrid"/>
        <w:tblW w:w="0" w:type="auto"/>
        <w:tblLook w:val="04A0" w:firstRow="1" w:lastRow="0" w:firstColumn="1" w:lastColumn="0" w:noHBand="0" w:noVBand="1"/>
        <w:tblCaption w:val="Indirect comparison results between futibatinib and chemotherapy in FGFR2 altered patients in Paine 2022 and Borad 2022"/>
      </w:tblPr>
      <w:tblGrid>
        <w:gridCol w:w="3005"/>
        <w:gridCol w:w="3005"/>
        <w:gridCol w:w="3006"/>
      </w:tblGrid>
      <w:tr w:rsidR="005323BE" w:rsidRPr="00FA0529" w14:paraId="376760AA" w14:textId="77777777" w:rsidTr="008723BA">
        <w:tc>
          <w:tcPr>
            <w:tcW w:w="3005" w:type="dxa"/>
          </w:tcPr>
          <w:p w14:paraId="53D75724" w14:textId="77777777" w:rsidR="005323BE" w:rsidRPr="00FA0529" w:rsidRDefault="005323BE" w:rsidP="005323BE">
            <w:pPr>
              <w:pStyle w:val="TableText"/>
              <w:rPr>
                <w:highlight w:val="yellow"/>
                <w:lang w:eastAsia="en-US"/>
              </w:rPr>
            </w:pPr>
          </w:p>
        </w:tc>
        <w:tc>
          <w:tcPr>
            <w:tcW w:w="3005" w:type="dxa"/>
          </w:tcPr>
          <w:p w14:paraId="0736EEFA" w14:textId="0579C604" w:rsidR="005323BE" w:rsidRPr="00FA0529" w:rsidRDefault="005323BE" w:rsidP="005323BE">
            <w:pPr>
              <w:pStyle w:val="TableText"/>
              <w:rPr>
                <w:b/>
                <w:bCs w:val="0"/>
                <w:highlight w:val="yellow"/>
                <w:lang w:eastAsia="en-US"/>
              </w:rPr>
            </w:pPr>
            <w:r w:rsidRPr="00FA0529">
              <w:rPr>
                <w:b/>
                <w:bCs w:val="0"/>
              </w:rPr>
              <w:t>Unadjusted HR (95% CI, p value)</w:t>
            </w:r>
          </w:p>
        </w:tc>
        <w:tc>
          <w:tcPr>
            <w:tcW w:w="3006" w:type="dxa"/>
          </w:tcPr>
          <w:p w14:paraId="617A99B3" w14:textId="2BAE33D0" w:rsidR="005323BE" w:rsidRPr="00FA0529" w:rsidRDefault="005323BE" w:rsidP="005323BE">
            <w:pPr>
              <w:pStyle w:val="TableText"/>
              <w:rPr>
                <w:b/>
                <w:bCs w:val="0"/>
                <w:highlight w:val="yellow"/>
                <w:lang w:eastAsia="en-US"/>
              </w:rPr>
            </w:pPr>
            <w:r w:rsidRPr="00FA0529">
              <w:rPr>
                <w:b/>
                <w:bCs w:val="0"/>
              </w:rPr>
              <w:t>Adjusted HR (95% CI, p value)</w:t>
            </w:r>
          </w:p>
        </w:tc>
      </w:tr>
      <w:tr w:rsidR="005323BE" w:rsidRPr="00FA0529" w14:paraId="061B2B9A" w14:textId="77777777" w:rsidTr="007B78B8">
        <w:tc>
          <w:tcPr>
            <w:tcW w:w="9016" w:type="dxa"/>
            <w:gridSpan w:val="3"/>
          </w:tcPr>
          <w:p w14:paraId="1425B847" w14:textId="55067A6B" w:rsidR="005323BE" w:rsidRPr="00FA0529" w:rsidRDefault="005323BE" w:rsidP="005323BE">
            <w:pPr>
              <w:pStyle w:val="TableText"/>
              <w:rPr>
                <w:b/>
                <w:bCs w:val="0"/>
                <w:highlight w:val="yellow"/>
                <w:lang w:eastAsia="en-US"/>
              </w:rPr>
            </w:pPr>
            <w:r w:rsidRPr="00FA0529">
              <w:rPr>
                <w:b/>
                <w:bCs w:val="0"/>
              </w:rPr>
              <w:t>Paine 2022</w:t>
            </w:r>
          </w:p>
        </w:tc>
      </w:tr>
      <w:tr w:rsidR="005323BE" w:rsidRPr="00FA0529" w14:paraId="4AE16FF3" w14:textId="77777777" w:rsidTr="008723BA">
        <w:tc>
          <w:tcPr>
            <w:tcW w:w="3005" w:type="dxa"/>
          </w:tcPr>
          <w:p w14:paraId="5B646213" w14:textId="74933C20" w:rsidR="005323BE" w:rsidRPr="00FA0529" w:rsidRDefault="005323BE" w:rsidP="005323BE">
            <w:pPr>
              <w:pStyle w:val="TableText"/>
              <w:rPr>
                <w:highlight w:val="yellow"/>
                <w:lang w:eastAsia="en-US"/>
              </w:rPr>
            </w:pPr>
            <w:r w:rsidRPr="00FA0529">
              <w:t xml:space="preserve">PFS </w:t>
            </w:r>
          </w:p>
        </w:tc>
        <w:tc>
          <w:tcPr>
            <w:tcW w:w="3005" w:type="dxa"/>
          </w:tcPr>
          <w:p w14:paraId="35135668" w14:textId="4F768EFC" w:rsidR="005323BE" w:rsidRPr="00FA0529" w:rsidRDefault="005323BE" w:rsidP="005323BE">
            <w:pPr>
              <w:pStyle w:val="TableText"/>
              <w:rPr>
                <w:highlight w:val="yellow"/>
                <w:lang w:eastAsia="en-US"/>
              </w:rPr>
            </w:pPr>
            <w:r w:rsidRPr="00FA0529">
              <w:t>0.40 (0.27-0.59, &lt;0.0001)</w:t>
            </w:r>
          </w:p>
        </w:tc>
        <w:tc>
          <w:tcPr>
            <w:tcW w:w="3006" w:type="dxa"/>
          </w:tcPr>
          <w:p w14:paraId="41E6B603" w14:textId="12584107" w:rsidR="005323BE" w:rsidRPr="00FA0529" w:rsidRDefault="005323BE" w:rsidP="005323BE">
            <w:pPr>
              <w:pStyle w:val="TableText"/>
              <w:rPr>
                <w:highlight w:val="yellow"/>
                <w:lang w:eastAsia="en-US"/>
              </w:rPr>
            </w:pPr>
            <w:r w:rsidRPr="00FA0529">
              <w:t xml:space="preserve">0.48 (0.30-0.76, 0.002) </w:t>
            </w:r>
          </w:p>
        </w:tc>
      </w:tr>
      <w:tr w:rsidR="005323BE" w:rsidRPr="00FA0529" w14:paraId="553ABAB9" w14:textId="77777777" w:rsidTr="008723BA">
        <w:tc>
          <w:tcPr>
            <w:tcW w:w="3005" w:type="dxa"/>
          </w:tcPr>
          <w:p w14:paraId="45909578" w14:textId="5EC35719" w:rsidR="005323BE" w:rsidRPr="00FA0529" w:rsidRDefault="005323BE" w:rsidP="005323BE">
            <w:pPr>
              <w:pStyle w:val="TableText"/>
              <w:rPr>
                <w:highlight w:val="yellow"/>
                <w:lang w:eastAsia="en-US"/>
              </w:rPr>
            </w:pPr>
            <w:r w:rsidRPr="00FA0529">
              <w:t>OS</w:t>
            </w:r>
          </w:p>
        </w:tc>
        <w:tc>
          <w:tcPr>
            <w:tcW w:w="3005" w:type="dxa"/>
          </w:tcPr>
          <w:p w14:paraId="56C2EE6A" w14:textId="06F144B5" w:rsidR="005323BE" w:rsidRPr="00FA0529" w:rsidRDefault="005323BE" w:rsidP="005323BE">
            <w:pPr>
              <w:pStyle w:val="TableText"/>
              <w:rPr>
                <w:highlight w:val="yellow"/>
                <w:lang w:eastAsia="en-US"/>
              </w:rPr>
            </w:pPr>
            <w:r w:rsidRPr="00FA0529">
              <w:t>0.54 (0.35-0.81, 0.003)</w:t>
            </w:r>
          </w:p>
        </w:tc>
        <w:tc>
          <w:tcPr>
            <w:tcW w:w="3006" w:type="dxa"/>
          </w:tcPr>
          <w:p w14:paraId="0F413FD6" w14:textId="70E5996F" w:rsidR="005323BE" w:rsidRPr="00FA0529" w:rsidRDefault="005323BE" w:rsidP="005323BE">
            <w:pPr>
              <w:pStyle w:val="TableText"/>
              <w:rPr>
                <w:highlight w:val="yellow"/>
                <w:lang w:eastAsia="en-US"/>
              </w:rPr>
            </w:pPr>
            <w:r w:rsidRPr="00FA0529">
              <w:t>0.48 (0.31-0.74, 0.001)</w:t>
            </w:r>
          </w:p>
        </w:tc>
      </w:tr>
      <w:tr w:rsidR="005323BE" w:rsidRPr="00FA0529" w14:paraId="1715F890" w14:textId="77777777" w:rsidTr="007B78B8">
        <w:tc>
          <w:tcPr>
            <w:tcW w:w="9016" w:type="dxa"/>
            <w:gridSpan w:val="3"/>
          </w:tcPr>
          <w:p w14:paraId="4887A6C7" w14:textId="333C34AE" w:rsidR="005323BE" w:rsidRPr="00FA0529" w:rsidRDefault="005323BE" w:rsidP="005323BE">
            <w:pPr>
              <w:pStyle w:val="TableText"/>
              <w:rPr>
                <w:highlight w:val="yellow"/>
                <w:lang w:eastAsia="en-US"/>
              </w:rPr>
            </w:pPr>
            <w:r w:rsidRPr="00FA0529">
              <w:rPr>
                <w:b/>
                <w:bCs w:val="0"/>
              </w:rPr>
              <w:t>Borad</w:t>
            </w:r>
            <w:r w:rsidRPr="00FA0529">
              <w:t xml:space="preserve"> </w:t>
            </w:r>
            <w:r w:rsidRPr="00FA0529">
              <w:rPr>
                <w:b/>
                <w:bCs w:val="0"/>
              </w:rPr>
              <w:t>2022</w:t>
            </w:r>
          </w:p>
        </w:tc>
      </w:tr>
      <w:tr w:rsidR="005323BE" w:rsidRPr="00FA0529" w14:paraId="4AF787C8" w14:textId="77777777" w:rsidTr="008723BA">
        <w:tc>
          <w:tcPr>
            <w:tcW w:w="3005" w:type="dxa"/>
          </w:tcPr>
          <w:p w14:paraId="40ED5EBD" w14:textId="27BDCCB5" w:rsidR="005323BE" w:rsidRPr="00FA0529" w:rsidRDefault="005323BE" w:rsidP="005323BE">
            <w:pPr>
              <w:pStyle w:val="TableText"/>
              <w:rPr>
                <w:highlight w:val="yellow"/>
                <w:lang w:eastAsia="en-US"/>
              </w:rPr>
            </w:pPr>
            <w:r w:rsidRPr="00FA0529">
              <w:t xml:space="preserve">PFS </w:t>
            </w:r>
          </w:p>
        </w:tc>
        <w:tc>
          <w:tcPr>
            <w:tcW w:w="3005" w:type="dxa"/>
          </w:tcPr>
          <w:p w14:paraId="6D585BDD" w14:textId="3762F8E5" w:rsidR="005323BE" w:rsidRPr="00FA0529" w:rsidRDefault="005323BE" w:rsidP="005323BE">
            <w:pPr>
              <w:pStyle w:val="TableText"/>
              <w:rPr>
                <w:highlight w:val="yellow"/>
                <w:lang w:eastAsia="en-US"/>
              </w:rPr>
            </w:pPr>
            <w:r w:rsidRPr="00FA0529">
              <w:t>0.40 (0.27-0.59, ≤0.01)</w:t>
            </w:r>
          </w:p>
        </w:tc>
        <w:tc>
          <w:tcPr>
            <w:tcW w:w="3006" w:type="dxa"/>
          </w:tcPr>
          <w:p w14:paraId="71C91A01" w14:textId="6AF34B6C" w:rsidR="005323BE" w:rsidRPr="00FA0529" w:rsidRDefault="005323BE" w:rsidP="005323BE">
            <w:pPr>
              <w:pStyle w:val="TableText"/>
              <w:rPr>
                <w:highlight w:val="yellow"/>
                <w:lang w:eastAsia="en-US"/>
              </w:rPr>
            </w:pPr>
            <w:r w:rsidRPr="00FA0529">
              <w:t>0.53 (0.33-0.86, ≤0.01)</w:t>
            </w:r>
          </w:p>
        </w:tc>
      </w:tr>
      <w:tr w:rsidR="005323BE" w:rsidRPr="00FA0529" w14:paraId="1C0A11A1" w14:textId="77777777" w:rsidTr="008723BA">
        <w:tc>
          <w:tcPr>
            <w:tcW w:w="3005" w:type="dxa"/>
          </w:tcPr>
          <w:p w14:paraId="1520E165" w14:textId="12A14D19" w:rsidR="005323BE" w:rsidRPr="00FA0529" w:rsidRDefault="005323BE" w:rsidP="005323BE">
            <w:pPr>
              <w:pStyle w:val="TableText"/>
              <w:rPr>
                <w:highlight w:val="yellow"/>
                <w:lang w:eastAsia="en-US"/>
              </w:rPr>
            </w:pPr>
            <w:r w:rsidRPr="00FA0529">
              <w:t>OS</w:t>
            </w:r>
          </w:p>
        </w:tc>
        <w:tc>
          <w:tcPr>
            <w:tcW w:w="3005" w:type="dxa"/>
          </w:tcPr>
          <w:p w14:paraId="29739C16" w14:textId="51176A0F" w:rsidR="005323BE" w:rsidRPr="00FA0529" w:rsidRDefault="005323BE" w:rsidP="005323BE">
            <w:pPr>
              <w:pStyle w:val="TableText"/>
              <w:rPr>
                <w:highlight w:val="yellow"/>
                <w:lang w:eastAsia="en-US"/>
              </w:rPr>
            </w:pPr>
            <w:r w:rsidRPr="00FA0529">
              <w:t>0.53 (0.35-0.81, ≤0.01)</w:t>
            </w:r>
          </w:p>
        </w:tc>
        <w:tc>
          <w:tcPr>
            <w:tcW w:w="3006" w:type="dxa"/>
          </w:tcPr>
          <w:p w14:paraId="5337BAE7" w14:textId="0A4CA136" w:rsidR="005323BE" w:rsidRPr="00FA0529" w:rsidRDefault="005323BE" w:rsidP="005323BE">
            <w:pPr>
              <w:pStyle w:val="TableText"/>
              <w:rPr>
                <w:highlight w:val="yellow"/>
                <w:lang w:eastAsia="en-US"/>
              </w:rPr>
            </w:pPr>
            <w:r w:rsidRPr="00FA0529">
              <w:t>0.49 (0.31-0.79, ≤0.01)</w:t>
            </w:r>
          </w:p>
        </w:tc>
      </w:tr>
      <w:tr w:rsidR="005323BE" w:rsidRPr="00FA0529" w14:paraId="08EFBD07" w14:textId="77777777" w:rsidTr="007B78B8">
        <w:tc>
          <w:tcPr>
            <w:tcW w:w="9016" w:type="dxa"/>
            <w:gridSpan w:val="3"/>
          </w:tcPr>
          <w:p w14:paraId="56D01CDA" w14:textId="3E073557" w:rsidR="005323BE" w:rsidRPr="00FA0529" w:rsidRDefault="005323BE" w:rsidP="005323BE">
            <w:pPr>
              <w:pStyle w:val="TableText"/>
              <w:rPr>
                <w:b/>
                <w:bCs w:val="0"/>
                <w:highlight w:val="yellow"/>
                <w:lang w:eastAsia="en-US"/>
              </w:rPr>
            </w:pPr>
            <w:r w:rsidRPr="00FA0529">
              <w:rPr>
                <w:b/>
                <w:bCs w:val="0"/>
              </w:rPr>
              <w:t>March 2025 Submission</w:t>
            </w:r>
            <w:r w:rsidR="00700600">
              <w:rPr>
                <w:rStyle w:val="FootnoteReference"/>
                <w:b/>
                <w:bCs w:val="0"/>
              </w:rPr>
              <w:footnoteReference w:id="4"/>
            </w:r>
          </w:p>
        </w:tc>
      </w:tr>
      <w:tr w:rsidR="005323BE" w:rsidRPr="00FA0529" w14:paraId="7E67F107" w14:textId="77777777" w:rsidTr="008723BA">
        <w:tc>
          <w:tcPr>
            <w:tcW w:w="3005" w:type="dxa"/>
          </w:tcPr>
          <w:p w14:paraId="7033633F" w14:textId="02A3C7FF" w:rsidR="005323BE" w:rsidRPr="00FA0529" w:rsidRDefault="005323BE" w:rsidP="005323BE">
            <w:pPr>
              <w:pStyle w:val="TableText"/>
              <w:rPr>
                <w:highlight w:val="yellow"/>
                <w:lang w:eastAsia="en-US"/>
              </w:rPr>
            </w:pPr>
            <w:r w:rsidRPr="00FA0529">
              <w:t>PFS</w:t>
            </w:r>
          </w:p>
        </w:tc>
        <w:tc>
          <w:tcPr>
            <w:tcW w:w="3005" w:type="dxa"/>
          </w:tcPr>
          <w:p w14:paraId="7E736071" w14:textId="603C3184" w:rsidR="005323BE" w:rsidRPr="00FA0529" w:rsidRDefault="005323BE" w:rsidP="005323BE">
            <w:pPr>
              <w:pStyle w:val="TableText"/>
              <w:rPr>
                <w:highlight w:val="yellow"/>
                <w:lang w:eastAsia="en-US"/>
              </w:rPr>
            </w:pPr>
            <w:r w:rsidRPr="00FA0529">
              <w:t>0.43 (0.31-0.59, &lt;0.0001)</w:t>
            </w:r>
          </w:p>
        </w:tc>
        <w:tc>
          <w:tcPr>
            <w:tcW w:w="3006" w:type="dxa"/>
          </w:tcPr>
          <w:p w14:paraId="2B47D94C" w14:textId="0044716C" w:rsidR="005323BE" w:rsidRPr="00FA0529" w:rsidRDefault="005323BE" w:rsidP="005323BE">
            <w:pPr>
              <w:pStyle w:val="TableText"/>
              <w:rPr>
                <w:highlight w:val="yellow"/>
                <w:lang w:eastAsia="en-US"/>
              </w:rPr>
            </w:pPr>
            <w:r w:rsidRPr="00FA0529">
              <w:t>0.30 (0.22-0.41, &lt;0.0001)</w:t>
            </w:r>
          </w:p>
        </w:tc>
      </w:tr>
      <w:tr w:rsidR="005323BE" w:rsidRPr="00FA0529" w14:paraId="76634CE1" w14:textId="77777777" w:rsidTr="008723BA">
        <w:tc>
          <w:tcPr>
            <w:tcW w:w="3005" w:type="dxa"/>
          </w:tcPr>
          <w:p w14:paraId="74969120" w14:textId="5CBFE5E5" w:rsidR="005323BE" w:rsidRPr="00FA0529" w:rsidRDefault="005323BE" w:rsidP="005323BE">
            <w:pPr>
              <w:pStyle w:val="TableText"/>
              <w:rPr>
                <w:highlight w:val="yellow"/>
                <w:lang w:eastAsia="en-US"/>
              </w:rPr>
            </w:pPr>
            <w:r w:rsidRPr="00FA0529">
              <w:t>OS</w:t>
            </w:r>
          </w:p>
        </w:tc>
        <w:tc>
          <w:tcPr>
            <w:tcW w:w="3005" w:type="dxa"/>
          </w:tcPr>
          <w:p w14:paraId="4F4A74EE" w14:textId="48E35BBB" w:rsidR="005323BE" w:rsidRPr="00FA0529" w:rsidRDefault="005323BE" w:rsidP="005323BE">
            <w:pPr>
              <w:pStyle w:val="TableText"/>
              <w:rPr>
                <w:highlight w:val="yellow"/>
                <w:lang w:eastAsia="en-US"/>
              </w:rPr>
            </w:pPr>
            <w:r w:rsidRPr="00FA0529">
              <w:t>0.26 (0.18-0.37, &lt;0.0001)</w:t>
            </w:r>
          </w:p>
        </w:tc>
        <w:tc>
          <w:tcPr>
            <w:tcW w:w="3006" w:type="dxa"/>
          </w:tcPr>
          <w:p w14:paraId="7674B57C" w14:textId="5542FF7B" w:rsidR="005323BE" w:rsidRPr="00FA0529" w:rsidRDefault="005323BE" w:rsidP="005323BE">
            <w:pPr>
              <w:pStyle w:val="TableText"/>
              <w:rPr>
                <w:highlight w:val="yellow"/>
                <w:lang w:eastAsia="en-US"/>
              </w:rPr>
            </w:pPr>
            <w:r w:rsidRPr="00FA0529">
              <w:t>0.24 (0.18-0.32, &lt;0.0001)</w:t>
            </w:r>
          </w:p>
        </w:tc>
      </w:tr>
    </w:tbl>
    <w:p w14:paraId="729B930E" w14:textId="77777777" w:rsidR="005323BE" w:rsidRPr="00FA0529" w:rsidRDefault="005323BE" w:rsidP="00975EA8">
      <w:pPr>
        <w:pStyle w:val="TableFigureFooter"/>
        <w:rPr>
          <w:lang w:eastAsia="en-US"/>
        </w:rPr>
      </w:pPr>
      <w:r w:rsidRPr="00FA0529">
        <w:rPr>
          <w:lang w:eastAsia="en-US"/>
        </w:rPr>
        <w:t>Source: Adapted from Table 2-1, Futibatinib Early Re-Entry Submission</w:t>
      </w:r>
    </w:p>
    <w:p w14:paraId="771A1D55" w14:textId="4C4C18FB" w:rsidR="00B4305E" w:rsidRPr="003D62E7" w:rsidRDefault="005323BE" w:rsidP="005B34B4">
      <w:pPr>
        <w:pStyle w:val="4-SubsectionHeading"/>
        <w:keepNext/>
        <w:rPr>
          <w:rFonts w:ascii="Arial" w:hAnsi="Arial" w:cs="Arial"/>
          <w:b w:val="0"/>
          <w:bCs/>
          <w:i w:val="0"/>
          <w:iCs/>
          <w:sz w:val="18"/>
          <w:szCs w:val="18"/>
        </w:rPr>
      </w:pPr>
      <w:r w:rsidRPr="003D62E7">
        <w:rPr>
          <w:rFonts w:ascii="Arial" w:hAnsi="Arial" w:cs="Arial"/>
          <w:b w:val="0"/>
          <w:bCs/>
          <w:i w:val="0"/>
          <w:iCs/>
          <w:sz w:val="18"/>
          <w:szCs w:val="18"/>
        </w:rPr>
        <w:t xml:space="preserve">Abbreviations: CI = confidence interval, DOR = duration of response, HR = hazard ratio, NR = not </w:t>
      </w:r>
      <w:r w:rsidRPr="003D62E7">
        <w:rPr>
          <w:rFonts w:ascii="Arial Narrow" w:hAnsi="Arial Narrow" w:cs="Arial"/>
          <w:b w:val="0"/>
          <w:bCs/>
          <w:i w:val="0"/>
          <w:iCs/>
          <w:sz w:val="18"/>
          <w:szCs w:val="18"/>
        </w:rPr>
        <w:t>reported</w:t>
      </w:r>
      <w:r w:rsidRPr="003D62E7">
        <w:rPr>
          <w:rFonts w:ascii="Arial" w:hAnsi="Arial" w:cs="Arial"/>
          <w:b w:val="0"/>
          <w:bCs/>
          <w:i w:val="0"/>
          <w:iCs/>
          <w:sz w:val="18"/>
          <w:szCs w:val="18"/>
        </w:rPr>
        <w:t>, ORR = objective response rate, OS = overall survival, PFS = progression free survival</w:t>
      </w:r>
      <w:r w:rsidR="00DE7EE1" w:rsidRPr="003D62E7">
        <w:rPr>
          <w:rFonts w:ascii="Arial" w:hAnsi="Arial" w:cs="Arial"/>
          <w:b w:val="0"/>
          <w:bCs/>
          <w:i w:val="0"/>
          <w:iCs/>
          <w:color w:val="000000"/>
          <w:spacing w:val="33"/>
          <w:kern w:val="0"/>
          <w:sz w:val="18"/>
          <w:szCs w:val="18"/>
          <w:shd w:val="solid" w:color="000000" w:fill="000000"/>
          <w:fitText w:val="612" w:id="-628460281"/>
          <w14:textFill>
            <w14:solidFill>
              <w14:srgbClr w14:val="000000">
                <w14:alpha w14:val="100000"/>
              </w14:srgbClr>
            </w14:solidFill>
          </w14:textFill>
        </w:rPr>
        <w:t>|||||||</w:t>
      </w:r>
      <w:r w:rsidR="00DE7EE1" w:rsidRPr="003D62E7">
        <w:rPr>
          <w:rFonts w:ascii="Arial" w:hAnsi="Arial" w:cs="Arial"/>
          <w:b w:val="0"/>
          <w:bCs/>
          <w:i w:val="0"/>
          <w:iCs/>
          <w:color w:val="000000"/>
          <w:spacing w:val="7"/>
          <w:kern w:val="0"/>
          <w:sz w:val="18"/>
          <w:szCs w:val="18"/>
          <w:shd w:val="solid" w:color="000000" w:fill="000000"/>
          <w:fitText w:val="612" w:id="-628460281"/>
          <w14:textFill>
            <w14:solidFill>
              <w14:srgbClr w14:val="000000">
                <w14:alpha w14:val="100000"/>
              </w14:srgbClr>
            </w14:solidFill>
          </w14:textFill>
        </w:rPr>
        <w:t>|</w:t>
      </w:r>
      <w:r w:rsidR="00B4305E" w:rsidRPr="003D62E7">
        <w:rPr>
          <w:rFonts w:ascii="Arial" w:hAnsi="Arial" w:cs="Arial"/>
          <w:b w:val="0"/>
          <w:bCs/>
          <w:i w:val="0"/>
          <w:iCs/>
          <w:sz w:val="18"/>
          <w:szCs w:val="18"/>
        </w:rPr>
        <w:t>Clinical Claim</w:t>
      </w:r>
    </w:p>
    <w:p w14:paraId="776160D3" w14:textId="2736B7F1" w:rsidR="0018681F" w:rsidRPr="00985E4D" w:rsidRDefault="003970D6" w:rsidP="00985E4D">
      <w:pPr>
        <w:pStyle w:val="3-BodyText"/>
      </w:pPr>
      <w:bookmarkStart w:id="7" w:name="_Hlk76376200"/>
      <w:r>
        <w:t>The PB</w:t>
      </w:r>
      <w:r w:rsidR="004E256B">
        <w:t>A</w:t>
      </w:r>
      <w:r>
        <w:t>C previously</w:t>
      </w:r>
      <w:r w:rsidR="008C3960">
        <w:t xml:space="preserve"> considered</w:t>
      </w:r>
      <w:r w:rsidR="00977F6C">
        <w:t xml:space="preserve"> t</w:t>
      </w:r>
      <w:r w:rsidR="00531C69" w:rsidRPr="005B34B4">
        <w:t>he clinical claim of</w:t>
      </w:r>
      <w:r w:rsidR="009A6C3B" w:rsidRPr="005B34B4">
        <w:t xml:space="preserve"> </w:t>
      </w:r>
      <w:r w:rsidR="009B44D7" w:rsidRPr="005B34B4">
        <w:t xml:space="preserve">superior comparative effectiveness </w:t>
      </w:r>
      <w:r w:rsidR="00977F6C">
        <w:t xml:space="preserve">versus the nominated comparator (FOLFOX) </w:t>
      </w:r>
      <w:r w:rsidR="009B44D7" w:rsidRPr="005B34B4">
        <w:t xml:space="preserve">was reasonable; however the magnitude of effect is highly uncertain and likely overestimated due to differences in baseline characteristics (tumour site, </w:t>
      </w:r>
      <w:r w:rsidR="009B44D7" w:rsidRPr="00977F6C">
        <w:rPr>
          <w:i/>
          <w:iCs/>
        </w:rPr>
        <w:t>FGFR2</w:t>
      </w:r>
      <w:r w:rsidR="009B44D7" w:rsidRPr="009A5570">
        <w:t xml:space="preserve"> status), less favourable HR in other </w:t>
      </w:r>
      <w:r w:rsidR="009B44D7" w:rsidRPr="00985E4D">
        <w:t>indirect comparisons, and the unanchored MAIC</w:t>
      </w:r>
      <w:r w:rsidR="00C11BFA" w:rsidRPr="00985E4D">
        <w:t xml:space="preserve"> (paragraph 6.65, futibatinib minutes, March 2025 PBAC meeting)</w:t>
      </w:r>
      <w:r w:rsidR="009B44D7" w:rsidRPr="00985E4D">
        <w:t>.</w:t>
      </w:r>
      <w:r w:rsidR="000957D3">
        <w:t xml:space="preserve"> </w:t>
      </w:r>
    </w:p>
    <w:p w14:paraId="66D698F9" w14:textId="781BFDF2" w:rsidR="00985E4D" w:rsidRPr="00985E4D" w:rsidRDefault="00531C69" w:rsidP="00985E4D">
      <w:pPr>
        <w:pStyle w:val="3-BodyText"/>
      </w:pPr>
      <w:r w:rsidRPr="00985E4D">
        <w:lastRenderedPageBreak/>
        <w:t xml:space="preserve">The </w:t>
      </w:r>
      <w:bookmarkEnd w:id="7"/>
      <w:r w:rsidR="0018681F" w:rsidRPr="00985E4D">
        <w:t xml:space="preserve">PBAC previously considered the </w:t>
      </w:r>
      <w:r w:rsidR="00945CCE" w:rsidRPr="00985E4D">
        <w:t xml:space="preserve">claim of superior comparative safety </w:t>
      </w:r>
      <w:r w:rsidR="00CC6E1B" w:rsidRPr="00985E4D">
        <w:t xml:space="preserve">compared to FOLFOX </w:t>
      </w:r>
      <w:r w:rsidR="00945CCE" w:rsidRPr="00985E4D">
        <w:t>was not adequately supported by the data, but that it is theoretically plausible</w:t>
      </w:r>
      <w:r w:rsidR="00C11BFA" w:rsidRPr="00985E4D">
        <w:t xml:space="preserve"> (</w:t>
      </w:r>
      <w:r w:rsidR="00985E4D" w:rsidRPr="00985E4D">
        <w:t>paragraph 6.66, futibatinib minutes, March 2025 PBAC meeting)</w:t>
      </w:r>
      <w:r w:rsidR="00977F6C" w:rsidRPr="00985E4D">
        <w:t>.</w:t>
      </w:r>
      <w:r w:rsidR="000957D3">
        <w:t xml:space="preserve"> </w:t>
      </w:r>
    </w:p>
    <w:p w14:paraId="459FA9D9" w14:textId="41409D12" w:rsidR="00257CFD" w:rsidRPr="00FA0529" w:rsidRDefault="00257CFD" w:rsidP="00CC6E1B">
      <w:pPr>
        <w:pStyle w:val="4-SubsectionHeading"/>
        <w:keepNext/>
      </w:pPr>
      <w:r w:rsidRPr="00FA0529">
        <w:t>Economic analysis</w:t>
      </w:r>
    </w:p>
    <w:p w14:paraId="7EA6399D" w14:textId="7E16F66E" w:rsidR="000321DE" w:rsidRPr="00FA0529" w:rsidRDefault="00DE3EE5" w:rsidP="00985E4D">
      <w:pPr>
        <w:pStyle w:val="3-BodyText"/>
      </w:pPr>
      <w:bookmarkStart w:id="8" w:name="_Ref201736204"/>
      <w:r w:rsidRPr="00FA0529">
        <w:t>The previous submission presented an economic</w:t>
      </w:r>
      <w:r w:rsidR="00EC716B">
        <w:t xml:space="preserve"> analysis</w:t>
      </w:r>
      <w:r w:rsidRPr="00FA0529">
        <w:t xml:space="preserve"> based on the results of the MAIC. The PBAC </w:t>
      </w:r>
      <w:r w:rsidR="004F7D35" w:rsidRPr="00FA0529">
        <w:t xml:space="preserve">previously </w:t>
      </w:r>
      <w:r w:rsidR="00FE5060" w:rsidRPr="00FA0529">
        <w:t>considered</w:t>
      </w:r>
      <w:r w:rsidRPr="00FA0529">
        <w:t xml:space="preserve"> that as the underlying clinical benefit used to inform the economic evaluation was uncertain, the economic model presented was likely not reflective of the true cost effectiveness of futibatinib</w:t>
      </w:r>
      <w:r w:rsidR="005F0F78" w:rsidRPr="00FA0529">
        <w:t xml:space="preserve"> (paragraph 7.12, futibatinib minutes, March 2025 PBAC meeting)</w:t>
      </w:r>
      <w:r w:rsidRPr="00FA0529">
        <w:t>.</w:t>
      </w:r>
      <w:r w:rsidR="00E7042A" w:rsidRPr="00FA0529">
        <w:t xml:space="preserve"> The base case ICER in the previous submission was </w:t>
      </w:r>
      <w:r w:rsidR="00D25434" w:rsidRPr="00D25434">
        <w:t xml:space="preserve">$95,000 to &lt; $115,000 </w:t>
      </w:r>
      <w:r w:rsidR="00E7042A" w:rsidRPr="00FA0529">
        <w:t>per QALY.</w:t>
      </w:r>
      <w:bookmarkEnd w:id="8"/>
      <w:r w:rsidR="000957D3">
        <w:t xml:space="preserve"> </w:t>
      </w:r>
    </w:p>
    <w:p w14:paraId="6487E44F" w14:textId="30D985C4" w:rsidR="00AF5174" w:rsidRPr="00FA0529" w:rsidRDefault="00257CFD" w:rsidP="005B325E">
      <w:pPr>
        <w:pStyle w:val="3-BodyText"/>
      </w:pPr>
      <w:r w:rsidRPr="00FA0529">
        <w:t>To address the PBAC’s concerns regarding the cost-effectiveness of</w:t>
      </w:r>
      <w:r w:rsidR="005B325E" w:rsidRPr="00FA0529">
        <w:t xml:space="preserve"> futibatinib</w:t>
      </w:r>
      <w:r w:rsidRPr="00FA0529">
        <w:t xml:space="preserve"> the resubmission presented an economic evaluation with revised inputs</w:t>
      </w:r>
      <w:r w:rsidR="007000C6" w:rsidRPr="00FA0529">
        <w:t xml:space="preserve"> and a reduced price for futibatinib (</w:t>
      </w:r>
      <w:r w:rsidR="00DE7EE1" w:rsidRPr="00E40CE9">
        <w:rPr>
          <w:color w:val="000000"/>
          <w:w w:val="61"/>
          <w:shd w:val="solid" w:color="000000" w:fill="000000"/>
          <w:fitText w:val="472" w:id="-628460280"/>
          <w14:textFill>
            <w14:solidFill>
              <w14:srgbClr w14:val="000000">
                <w14:alpha w14:val="100000"/>
              </w14:srgbClr>
            </w14:solidFill>
          </w14:textFill>
        </w:rPr>
        <w:t>|||  |||</w:t>
      </w:r>
      <w:r w:rsidR="007000C6" w:rsidRPr="00FA0529">
        <w:t>% reduction</w:t>
      </w:r>
      <w:r w:rsidR="002F2B59" w:rsidRPr="00FA0529">
        <w:t xml:space="preserve"> in the</w:t>
      </w:r>
      <w:r w:rsidR="007000C6" w:rsidRPr="00FA0529">
        <w:t xml:space="preserve"> ex-manufacturer price from $</w:t>
      </w:r>
      <w:r w:rsidR="00DE7EE1" w:rsidRPr="00E40CE9">
        <w:rPr>
          <w:color w:val="000000"/>
          <w:w w:val="61"/>
          <w:shd w:val="solid" w:color="000000" w:fill="000000"/>
          <w:fitText w:val="472" w:id="-628460279"/>
          <w14:textFill>
            <w14:solidFill>
              <w14:srgbClr w14:val="000000">
                <w14:alpha w14:val="100000"/>
              </w14:srgbClr>
            </w14:solidFill>
          </w14:textFill>
        </w:rPr>
        <w:t>|||  |||</w:t>
      </w:r>
      <w:r w:rsidR="007000C6" w:rsidRPr="00FA0529">
        <w:t xml:space="preserve"> to $</w:t>
      </w:r>
      <w:r w:rsidR="00DE7EE1" w:rsidRPr="00E40CE9">
        <w:rPr>
          <w:color w:val="000000"/>
          <w:w w:val="61"/>
          <w:shd w:val="solid" w:color="000000" w:fill="000000"/>
          <w:fitText w:val="472" w:id="-628460278"/>
          <w14:textFill>
            <w14:solidFill>
              <w14:srgbClr w14:val="000000">
                <w14:alpha w14:val="100000"/>
              </w14:srgbClr>
            </w14:solidFill>
          </w14:textFill>
        </w:rPr>
        <w:t>|||  |||</w:t>
      </w:r>
      <w:r w:rsidR="007000C6" w:rsidRPr="00FA0529">
        <w:t xml:space="preserve"> per pack)</w:t>
      </w:r>
      <w:r w:rsidR="00750AC1" w:rsidRPr="00FA0529">
        <w:t xml:space="preserve">. </w:t>
      </w:r>
      <w:r w:rsidR="00742F5A" w:rsidRPr="00FA0529">
        <w:t>The PBAC previously considered the economic model should include a more conservative estimate of the modelled clinical benefit but noted the model did not include this operability</w:t>
      </w:r>
      <w:r w:rsidR="005F0F78" w:rsidRPr="00FA0529">
        <w:t xml:space="preserve"> (paragraph 7.12, futibatinib minutes, March 2025 PBAC meeting)</w:t>
      </w:r>
      <w:r w:rsidR="00742F5A" w:rsidRPr="00FA0529">
        <w:t>.</w:t>
      </w:r>
      <w:r w:rsidR="00A05A56">
        <w:t xml:space="preserve"> </w:t>
      </w:r>
      <w:r w:rsidR="00742F5A" w:rsidRPr="00FA0529">
        <w:t xml:space="preserve">The model provided in the resubmission was adapted to </w:t>
      </w:r>
      <w:r w:rsidR="00CF265C" w:rsidRPr="00FA0529">
        <w:t xml:space="preserve">include this operability and </w:t>
      </w:r>
      <w:r w:rsidR="00742F5A" w:rsidRPr="00FA0529">
        <w:t xml:space="preserve">allow alternative </w:t>
      </w:r>
      <w:r w:rsidR="000250FE" w:rsidRPr="00FA0529">
        <w:t>hazard ratios to be</w:t>
      </w:r>
      <w:r w:rsidR="00CF265C" w:rsidRPr="00FA0529">
        <w:t xml:space="preserve"> used</w:t>
      </w:r>
      <w:r w:rsidR="00742F5A" w:rsidRPr="00FA0529">
        <w:t xml:space="preserve">. </w:t>
      </w:r>
    </w:p>
    <w:p w14:paraId="6598CF66" w14:textId="114869AF" w:rsidR="007B4A26" w:rsidRPr="00FA0529" w:rsidRDefault="008555AC" w:rsidP="005B325E">
      <w:pPr>
        <w:pStyle w:val="3-BodyText"/>
      </w:pPr>
      <w:bookmarkStart w:id="9" w:name="_Ref201736222"/>
      <w:bookmarkStart w:id="10" w:name="_Ref201653147"/>
      <w:r w:rsidRPr="00FA0529">
        <w:t xml:space="preserve">To adapt the </w:t>
      </w:r>
      <w:r w:rsidR="00994D2A" w:rsidRPr="00FA0529">
        <w:t xml:space="preserve">economic </w:t>
      </w:r>
      <w:r w:rsidRPr="00FA0529">
        <w:t xml:space="preserve">model, the resubmission started with the model provided </w:t>
      </w:r>
      <w:r w:rsidR="00994D2A" w:rsidRPr="00FA0529">
        <w:t xml:space="preserve">in </w:t>
      </w:r>
      <w:r w:rsidR="00EC174E" w:rsidRPr="00FA0529">
        <w:t xml:space="preserve">the </w:t>
      </w:r>
      <w:r w:rsidRPr="00FA0529">
        <w:t xml:space="preserve">previous </w:t>
      </w:r>
      <w:r w:rsidR="00EC174E" w:rsidRPr="00FA0529">
        <w:t>pre-PBAC response</w:t>
      </w:r>
      <w:r w:rsidRPr="00FA0529">
        <w:t>. Th</w:t>
      </w:r>
      <w:r w:rsidR="005872D2" w:rsidRPr="00FA0529">
        <w:t>is</w:t>
      </w:r>
      <w:r w:rsidRPr="00FA0529">
        <w:t xml:space="preserve"> model </w:t>
      </w:r>
      <w:r w:rsidR="00431405" w:rsidRPr="00FA0529">
        <w:t>(i) corrected errors identified during the evaluation (ii) used</w:t>
      </w:r>
      <w:r w:rsidR="004F7B05" w:rsidRPr="00FA0529">
        <w:t xml:space="preserve"> health state</w:t>
      </w:r>
      <w:r w:rsidR="00431405" w:rsidRPr="00FA0529">
        <w:t xml:space="preserve"> </w:t>
      </w:r>
      <w:r w:rsidR="00E51520" w:rsidRPr="00FA0529">
        <w:t xml:space="preserve">utility values from </w:t>
      </w:r>
      <w:r w:rsidR="00506CD8" w:rsidRPr="00FA0529">
        <w:t xml:space="preserve">the durvalumab PBAC submission </w:t>
      </w:r>
      <w:r w:rsidR="00EE2F90">
        <w:t xml:space="preserve">for biliary tract cancer </w:t>
      </w:r>
      <w:r w:rsidR="004F7B05" w:rsidRPr="00FA0529">
        <w:t xml:space="preserve">and (iii) applied an additional </w:t>
      </w:r>
      <w:r w:rsidR="00E51520" w:rsidRPr="00FA0529">
        <w:t>utility decrement for IV administration of FOLFOX</w:t>
      </w:r>
      <w:r w:rsidR="004F7B05" w:rsidRPr="00FA0529">
        <w:t xml:space="preserve">. </w:t>
      </w:r>
      <w:r w:rsidR="007D6934" w:rsidRPr="00FA0529">
        <w:t xml:space="preserve">This model resulted in an ICER of </w:t>
      </w:r>
      <w:r w:rsidR="00D448A8" w:rsidRPr="00D448A8">
        <w:t xml:space="preserve">$95,000 to &lt; $115,000 </w:t>
      </w:r>
      <w:r w:rsidR="00EE4990" w:rsidRPr="00FA0529">
        <w:t xml:space="preserve"> </w:t>
      </w:r>
      <w:r w:rsidR="007D6934" w:rsidRPr="00FA0529">
        <w:t>per quality adjusted life year (QALY).</w:t>
      </w:r>
      <w:r w:rsidR="00A05A56">
        <w:t xml:space="preserve"> </w:t>
      </w:r>
      <w:r w:rsidR="004E5BD7" w:rsidRPr="00FA0529">
        <w:t>Although t</w:t>
      </w:r>
      <w:r w:rsidR="003319A5" w:rsidRPr="00FA0529">
        <w:t>h</w:t>
      </w:r>
      <w:r w:rsidR="00994D2A" w:rsidRPr="00FA0529">
        <w:t xml:space="preserve">e PBAC </w:t>
      </w:r>
      <w:r w:rsidR="003319A5" w:rsidRPr="00FA0529">
        <w:t xml:space="preserve">did </w:t>
      </w:r>
      <w:r w:rsidR="00994D2A" w:rsidRPr="00FA0529">
        <w:t xml:space="preserve">not </w:t>
      </w:r>
      <w:r w:rsidR="00FB3A6C" w:rsidRPr="00FA0529">
        <w:t xml:space="preserve">specifically </w:t>
      </w:r>
      <w:r w:rsidR="00994D2A" w:rsidRPr="00FA0529">
        <w:t>comment</w:t>
      </w:r>
      <w:r w:rsidR="00DA5A26" w:rsidRPr="00FA0529">
        <w:t xml:space="preserve"> on</w:t>
      </w:r>
      <w:r w:rsidR="00994D2A" w:rsidRPr="00FA0529">
        <w:t xml:space="preserve"> the inclusion of a utility decrement for IV administration of FOLFOX</w:t>
      </w:r>
      <w:r w:rsidR="00C07BEB">
        <w:t xml:space="preserve"> as part of its March 2025 consideration</w:t>
      </w:r>
      <w:r w:rsidR="00FB3A6C" w:rsidRPr="00FA0529">
        <w:t xml:space="preserve">, </w:t>
      </w:r>
      <w:r w:rsidR="00AA6E89" w:rsidRPr="00FA0529">
        <w:t xml:space="preserve">the </w:t>
      </w:r>
      <w:r w:rsidR="006E0B47" w:rsidRPr="00FA0529">
        <w:t xml:space="preserve">submission overview </w:t>
      </w:r>
      <w:r w:rsidR="00AA6E89" w:rsidRPr="00FA0529">
        <w:t xml:space="preserve">noted </w:t>
      </w:r>
      <w:r w:rsidR="0082317A" w:rsidRPr="00FA0529">
        <w:t xml:space="preserve">that </w:t>
      </w:r>
      <w:r w:rsidR="00AA6E89" w:rsidRPr="00FA0529">
        <w:t xml:space="preserve">the PBAC </w:t>
      </w:r>
      <w:r w:rsidR="00791297" w:rsidRPr="00FA0529">
        <w:t xml:space="preserve">previously </w:t>
      </w:r>
      <w:r w:rsidR="00FB3A6C" w:rsidRPr="00FA0529">
        <w:t xml:space="preserve">considered that </w:t>
      </w:r>
      <w:r w:rsidR="00CB420D" w:rsidRPr="00FA0529">
        <w:t xml:space="preserve">that it would be more appropriate to apply the same utilities to the PF and PD health states in each treatment arm (paragraph 7.14, futibatinib minutes, March 2025 PBAC meeting). </w:t>
      </w:r>
      <w:r w:rsidR="007E5844" w:rsidRPr="00FA0529">
        <w:t>Therefore</w:t>
      </w:r>
      <w:r w:rsidR="000D2DBC">
        <w:t>,</w:t>
      </w:r>
      <w:r w:rsidR="007E5844" w:rsidRPr="00FA0529">
        <w:t xml:space="preserve"> the </w:t>
      </w:r>
      <w:r w:rsidR="006E0B47" w:rsidRPr="00FA0529">
        <w:t xml:space="preserve">submission overview </w:t>
      </w:r>
      <w:r w:rsidR="007E5844" w:rsidRPr="00FA0529">
        <w:t>considered that i</w:t>
      </w:r>
      <w:r w:rsidR="00CB420D" w:rsidRPr="00FA0529">
        <w:t xml:space="preserve">nclusion of a disutility resulting in differing utilities between treatment arms may not be </w:t>
      </w:r>
      <w:r w:rsidR="00994D2A" w:rsidRPr="00FA0529">
        <w:t>appropriate.</w:t>
      </w:r>
      <w:bookmarkEnd w:id="9"/>
      <w:r w:rsidR="00994D2A" w:rsidRPr="00FA0529">
        <w:t xml:space="preserve"> </w:t>
      </w:r>
      <w:bookmarkEnd w:id="10"/>
    </w:p>
    <w:p w14:paraId="6E5EE499" w14:textId="4D0E8DE2" w:rsidR="00385A58" w:rsidRPr="00FA0529" w:rsidRDefault="005F0F78" w:rsidP="006C3D74">
      <w:pPr>
        <w:pStyle w:val="3-BodyText"/>
      </w:pPr>
      <w:bookmarkStart w:id="11" w:name="_Ref201736241"/>
      <w:bookmarkStart w:id="12" w:name="_Ref201653166"/>
      <w:r w:rsidRPr="00FA0529">
        <w:t xml:space="preserve">The economic model was adapted to </w:t>
      </w:r>
      <w:r w:rsidR="008D3AE9" w:rsidRPr="00FA0529">
        <w:t xml:space="preserve">allow </w:t>
      </w:r>
      <w:r w:rsidR="00052BF9" w:rsidRPr="00FA0529">
        <w:t xml:space="preserve">the use of alternative hazard ratios. </w:t>
      </w:r>
      <w:r w:rsidR="007D6934" w:rsidRPr="00FA0529">
        <w:t xml:space="preserve">The adapted economic model resulted in an ICER of </w:t>
      </w:r>
      <w:r w:rsidR="00D448A8" w:rsidRPr="00D448A8">
        <w:t xml:space="preserve">$95,000 to &lt; $115,000 </w:t>
      </w:r>
      <w:r w:rsidR="00445449" w:rsidRPr="00FA0529">
        <w:t xml:space="preserve"> per QALY</w:t>
      </w:r>
      <w:r w:rsidR="002E4115">
        <w:t xml:space="preserve"> (which was reasonably similar to the ICER in the previous pre-PBAC response, see paragraph </w:t>
      </w:r>
      <w:r w:rsidR="002E4115">
        <w:fldChar w:fldCharType="begin"/>
      </w:r>
      <w:r w:rsidR="002E4115">
        <w:instrText xml:space="preserve"> REF _Ref201736222 \r \h </w:instrText>
      </w:r>
      <w:r w:rsidR="002E4115">
        <w:fldChar w:fldCharType="separate"/>
      </w:r>
      <w:r w:rsidR="00462AA0">
        <w:t>4.11</w:t>
      </w:r>
      <w:r w:rsidR="002E4115">
        <w:fldChar w:fldCharType="end"/>
      </w:r>
      <w:r w:rsidR="002E4115">
        <w:t>)</w:t>
      </w:r>
      <w:r w:rsidR="00445449" w:rsidRPr="00FA0529">
        <w:t>.</w:t>
      </w:r>
      <w:bookmarkEnd w:id="11"/>
      <w:r w:rsidR="00445449" w:rsidRPr="00FA0529">
        <w:t xml:space="preserve"> </w:t>
      </w:r>
      <w:bookmarkEnd w:id="12"/>
    </w:p>
    <w:p w14:paraId="2F281CE6" w14:textId="59EB9A5F" w:rsidR="004D4A8A" w:rsidRPr="00FA0529" w:rsidRDefault="004D4A8A" w:rsidP="004D4A8A">
      <w:pPr>
        <w:pStyle w:val="3-BodyText"/>
      </w:pPr>
      <w:r w:rsidRPr="00FA0529">
        <w:t xml:space="preserve">Using the adapted economic model </w:t>
      </w:r>
      <w:r w:rsidR="0088193A" w:rsidRPr="00FA0529">
        <w:t xml:space="preserve">and </w:t>
      </w:r>
      <w:r w:rsidRPr="00FA0529">
        <w:t xml:space="preserve">(i) reducing the time horizon to 7 years and (ii) incorporating a HR for OS of 0.32 resulted in an ICER of </w:t>
      </w:r>
      <w:r w:rsidR="003C6AFB" w:rsidRPr="003C6AFB">
        <w:t>$115,000 to &lt; $135,000</w:t>
      </w:r>
      <w:r w:rsidRPr="00FA0529">
        <w:t xml:space="preserve"> per QALY. The resubmission reduced the price of futibatinib to result in an ICER of </w:t>
      </w:r>
      <w:r w:rsidR="00F44352" w:rsidRPr="00F44352">
        <w:t>$75,000 to &lt; $95,000</w:t>
      </w:r>
      <w:r w:rsidRPr="00FA0529">
        <w:t xml:space="preserve"> per QALY. The results of the economic evaluation and model traces are provided in </w:t>
      </w:r>
      <w:r w:rsidRPr="00FA0529">
        <w:fldChar w:fldCharType="begin"/>
      </w:r>
      <w:r w:rsidRPr="00FA0529">
        <w:instrText xml:space="preserve"> REF _Ref178864130 \h </w:instrText>
      </w:r>
      <w:r w:rsidRPr="00FA0529">
        <w:fldChar w:fldCharType="separate"/>
      </w:r>
      <w:r w:rsidR="00462AA0" w:rsidRPr="00FA0529">
        <w:t xml:space="preserve">Table </w:t>
      </w:r>
      <w:r w:rsidR="00462AA0">
        <w:rPr>
          <w:noProof/>
        </w:rPr>
        <w:t>4</w:t>
      </w:r>
      <w:r w:rsidRPr="00FA0529">
        <w:fldChar w:fldCharType="end"/>
      </w:r>
      <w:r w:rsidRPr="00FA0529">
        <w:t xml:space="preserve"> and </w:t>
      </w:r>
      <w:r w:rsidRPr="00FA0529">
        <w:fldChar w:fldCharType="begin"/>
      </w:r>
      <w:r w:rsidRPr="00FA0529">
        <w:instrText xml:space="preserve"> REF _Ref201665582 \h  \* MERGEFORMAT </w:instrText>
      </w:r>
      <w:r w:rsidRPr="00FA0529">
        <w:fldChar w:fldCharType="separate"/>
      </w:r>
      <w:r w:rsidR="00462AA0" w:rsidRPr="00462AA0">
        <w:t>|||</w:t>
      </w:r>
      <w:r w:rsidR="00462AA0" w:rsidRPr="00462AA0">
        <w:rPr>
          <w:color w:val="1F497D" w:themeColor="text2"/>
          <w:spacing w:val="261"/>
          <w:shd w:val="solid" w:color="000000" w:fill="000000"/>
          <w:fitText w:val="372" w:id="-628460277"/>
          <w14:textFill>
            <w14:solidFill>
              <w14:schemeClr w14:val="tx2">
                <w14:alpha w14:val="100000"/>
              </w14:schemeClr>
            </w14:solidFill>
          </w14:textFill>
        </w:rPr>
        <w:t>|</w:t>
      </w:r>
      <w:r w:rsidR="00462AA0" w:rsidRPr="00FA0529">
        <w:rPr>
          <w:rFonts w:ascii="Arial Narrow" w:eastAsiaTheme="majorEastAsia" w:hAnsi="Arial Narrow" w:cstheme="majorBidi"/>
          <w:b/>
          <w:bCs/>
          <w:sz w:val="20"/>
          <w:szCs w:val="24"/>
        </w:rPr>
        <w:t xml:space="preserve">Figure </w:t>
      </w:r>
      <w:r w:rsidR="00462AA0">
        <w:rPr>
          <w:rFonts w:ascii="Arial Narrow" w:eastAsiaTheme="majorEastAsia" w:hAnsi="Arial Narrow" w:cstheme="majorBidi"/>
          <w:b/>
          <w:bCs/>
          <w:i/>
          <w:iCs/>
          <w:noProof/>
          <w:sz w:val="20"/>
          <w:szCs w:val="24"/>
        </w:rPr>
        <w:t>1</w:t>
      </w:r>
      <w:r w:rsidRPr="00FA0529">
        <w:fldChar w:fldCharType="end"/>
      </w:r>
      <w:r w:rsidRPr="00FA0529">
        <w:t>.</w:t>
      </w:r>
      <w:r w:rsidR="00A05A56">
        <w:t xml:space="preserve"> </w:t>
      </w:r>
      <w:r w:rsidR="003C6AFB">
        <w:t xml:space="preserve"> </w:t>
      </w:r>
    </w:p>
    <w:p w14:paraId="76F1D435" w14:textId="3BC81FEE" w:rsidR="002D5D4D" w:rsidRPr="00FA0529" w:rsidRDefault="00A1480A" w:rsidP="005139E1">
      <w:pPr>
        <w:pStyle w:val="3-BodyText"/>
      </w:pPr>
      <w:r w:rsidRPr="00FA0529">
        <w:lastRenderedPageBreak/>
        <w:t xml:space="preserve">The resubmission </w:t>
      </w:r>
      <w:r w:rsidR="009157DE" w:rsidRPr="00FA0529">
        <w:t xml:space="preserve">proposed a 7-year time horizon, rather than the 5-year horizon </w:t>
      </w:r>
      <w:r w:rsidR="00A2380F" w:rsidRPr="00FA0529">
        <w:t>as</w:t>
      </w:r>
      <w:r w:rsidR="002835AF" w:rsidRPr="00FA0529">
        <w:t xml:space="preserve"> </w:t>
      </w:r>
      <w:r w:rsidR="009157DE" w:rsidRPr="00FA0529">
        <w:t>preferred by the PBAC</w:t>
      </w:r>
      <w:r w:rsidR="002D5D4D" w:rsidRPr="00FA0529">
        <w:t>.</w:t>
      </w:r>
      <w:r w:rsidR="009033A6" w:rsidRPr="00FA0529">
        <w:t xml:space="preserve"> </w:t>
      </w:r>
      <w:r w:rsidR="008853A9" w:rsidRPr="00FA0529">
        <w:t>The resubmission noted the 5</w:t>
      </w:r>
      <w:r w:rsidR="008C5C8A" w:rsidRPr="00FA0529">
        <w:t>-</w:t>
      </w:r>
      <w:r w:rsidR="008853A9" w:rsidRPr="00FA0529">
        <w:t>year time horizon was based on what was considered reasonable for ivosidenib</w:t>
      </w:r>
      <w:r w:rsidR="00B80A0B" w:rsidRPr="00FA0529">
        <w:t>; however, it stated that given the PBAC consider</w:t>
      </w:r>
      <w:r w:rsidR="00066CD5" w:rsidRPr="00FA0529">
        <w:t>s</w:t>
      </w:r>
      <w:r w:rsidR="00557F48" w:rsidRPr="00FA0529">
        <w:t xml:space="preserve"> patients with </w:t>
      </w:r>
      <w:r w:rsidR="00557F48" w:rsidRPr="00FA0529">
        <w:rPr>
          <w:i/>
          <w:iCs/>
        </w:rPr>
        <w:t>FG</w:t>
      </w:r>
      <w:r w:rsidR="00F2759E" w:rsidRPr="00FA0529">
        <w:rPr>
          <w:i/>
          <w:iCs/>
        </w:rPr>
        <w:t>F</w:t>
      </w:r>
      <w:r w:rsidR="00557F48" w:rsidRPr="00FA0529">
        <w:rPr>
          <w:i/>
          <w:iCs/>
        </w:rPr>
        <w:t>R2</w:t>
      </w:r>
      <w:r w:rsidR="00557F48" w:rsidRPr="00FA0529">
        <w:t xml:space="preserve"> alterations have an improved prognosis and patients </w:t>
      </w:r>
      <w:r w:rsidR="00F72BCC" w:rsidRPr="00FA0529">
        <w:t xml:space="preserve">positive for </w:t>
      </w:r>
      <w:r w:rsidR="00557F48" w:rsidRPr="00FA0529">
        <w:rPr>
          <w:i/>
          <w:iCs/>
        </w:rPr>
        <w:t>IDH1</w:t>
      </w:r>
      <w:r w:rsidR="00557F48" w:rsidRPr="00FA0529">
        <w:t xml:space="preserve"> </w:t>
      </w:r>
      <w:r w:rsidR="00F94008" w:rsidRPr="00FA0529">
        <w:t xml:space="preserve">have a poorer prognosis, it is not </w:t>
      </w:r>
      <w:r w:rsidR="00F94008" w:rsidRPr="00DF2A16">
        <w:t xml:space="preserve">reasonable </w:t>
      </w:r>
      <w:r w:rsidR="006C33ED" w:rsidRPr="00DF2A16">
        <w:t xml:space="preserve">for </w:t>
      </w:r>
      <w:r w:rsidR="00EC04AB" w:rsidRPr="00DF2A16">
        <w:t xml:space="preserve">the </w:t>
      </w:r>
      <w:r w:rsidR="006C33ED" w:rsidRPr="00DF2A16">
        <w:t xml:space="preserve">futibatinib model to have the same time horizon (i.e., 5 years). </w:t>
      </w:r>
    </w:p>
    <w:p w14:paraId="52E21686" w14:textId="397898F0" w:rsidR="00242A43" w:rsidRPr="00687BC0" w:rsidRDefault="00CC639E" w:rsidP="00904C37">
      <w:pPr>
        <w:pStyle w:val="3-BodyText"/>
        <w:rPr>
          <w:i/>
          <w:iCs/>
        </w:rPr>
      </w:pPr>
      <w:r w:rsidRPr="00FA0529">
        <w:t>The</w:t>
      </w:r>
      <w:r w:rsidR="002C40C7" w:rsidRPr="00FA0529">
        <w:t xml:space="preserve"> </w:t>
      </w:r>
      <w:r w:rsidR="00EC04AB" w:rsidRPr="00FA0529">
        <w:t xml:space="preserve">model </w:t>
      </w:r>
      <w:r w:rsidR="009317AE" w:rsidRPr="00FA0529">
        <w:t xml:space="preserve">in the resubmission </w:t>
      </w:r>
      <w:r w:rsidR="00EC04AB" w:rsidRPr="00FA0529">
        <w:t xml:space="preserve">applied an </w:t>
      </w:r>
      <w:r w:rsidR="002C40C7" w:rsidRPr="00FA0529">
        <w:t>OS HR</w:t>
      </w:r>
      <w:r w:rsidR="00473815" w:rsidRPr="00FA0529">
        <w:t xml:space="preserve"> of 0.32</w:t>
      </w:r>
      <w:r w:rsidR="002C40C7" w:rsidRPr="00FA0529">
        <w:t xml:space="preserve"> </w:t>
      </w:r>
      <w:r w:rsidR="001C035C" w:rsidRPr="00FA0529">
        <w:t xml:space="preserve">(compared to 0.24 in the previous model) </w:t>
      </w:r>
      <w:r w:rsidR="00FC7A9D" w:rsidRPr="00FA0529">
        <w:t xml:space="preserve">based </w:t>
      </w:r>
      <w:r w:rsidR="00D63E72" w:rsidRPr="00FA0529">
        <w:t>on the upper limit of the OS HR 95% confidence interval</w:t>
      </w:r>
      <w:r w:rsidR="00824CBB" w:rsidRPr="00FA0529">
        <w:t xml:space="preserve"> (CI)</w:t>
      </w:r>
      <w:r w:rsidR="00D63E72" w:rsidRPr="00FA0529">
        <w:t xml:space="preserve"> from the submission’s MAIC, which the resubmission claimed represents the highest plausible value for the HR given the observed data</w:t>
      </w:r>
      <w:r w:rsidR="00F6366B">
        <w:t>.</w:t>
      </w:r>
      <w:r w:rsidR="00D63E72" w:rsidRPr="00FA0529">
        <w:t xml:space="preserve"> </w:t>
      </w:r>
      <w:r w:rsidR="00114B44" w:rsidRPr="00FA0529">
        <w:t xml:space="preserve">The resubmission </w:t>
      </w:r>
      <w:r w:rsidR="00D63E72" w:rsidRPr="00FA0529">
        <w:t>not</w:t>
      </w:r>
      <w:r w:rsidR="00114B44" w:rsidRPr="00FA0529">
        <w:t xml:space="preserve">ed </w:t>
      </w:r>
      <w:r w:rsidR="00D63E72" w:rsidRPr="00FA0529">
        <w:t>th</w:t>
      </w:r>
      <w:r w:rsidR="00114B44" w:rsidRPr="00FA0529">
        <w:t>is</w:t>
      </w:r>
      <w:r w:rsidR="00D63E72" w:rsidRPr="00FA0529">
        <w:t xml:space="preserve"> value falls within the range of the 95% CI </w:t>
      </w:r>
      <w:r w:rsidR="00114B44" w:rsidRPr="00FA0529">
        <w:t xml:space="preserve">for OS </w:t>
      </w:r>
      <w:r w:rsidR="00D63E72" w:rsidRPr="00FA0529">
        <w:t>from Paine 2022 and Borad 2022</w:t>
      </w:r>
      <w:r w:rsidR="00DE49ED" w:rsidRPr="00FA0529">
        <w:t xml:space="preserve"> (see </w:t>
      </w:r>
      <w:r w:rsidR="00DE49ED" w:rsidRPr="00FA0529">
        <w:fldChar w:fldCharType="begin"/>
      </w:r>
      <w:r w:rsidR="00DE49ED" w:rsidRPr="00FA0529">
        <w:instrText xml:space="preserve"> REF _Ref201653528 \h </w:instrText>
      </w:r>
      <w:r w:rsidR="00DE49ED" w:rsidRPr="00FA0529">
        <w:fldChar w:fldCharType="separate"/>
      </w:r>
      <w:r w:rsidR="00462AA0" w:rsidRPr="00FA0529">
        <w:t xml:space="preserve">Table </w:t>
      </w:r>
      <w:r w:rsidR="00462AA0">
        <w:rPr>
          <w:noProof/>
        </w:rPr>
        <w:t>3</w:t>
      </w:r>
      <w:r w:rsidR="00DE49ED" w:rsidRPr="00FA0529">
        <w:fldChar w:fldCharType="end"/>
      </w:r>
      <w:r w:rsidR="00DE49ED" w:rsidRPr="00FA0529">
        <w:t>)</w:t>
      </w:r>
      <w:r w:rsidR="00D63E72" w:rsidRPr="00FA0529">
        <w:t>.</w:t>
      </w:r>
      <w:r w:rsidR="00114B44" w:rsidRPr="00FA0529">
        <w:t xml:space="preserve"> </w:t>
      </w:r>
      <w:r w:rsidR="007B33F1" w:rsidRPr="00FA0529">
        <w:t>T</w:t>
      </w:r>
      <w:r w:rsidR="00DE423F" w:rsidRPr="00FA0529">
        <w:t xml:space="preserve">he PBAC previously considered that </w:t>
      </w:r>
      <w:r w:rsidR="00313082" w:rsidRPr="00FA0529">
        <w:t xml:space="preserve">the economic model should be aligned with the more conservative OS HR of 0.48-0.49 from Paine 2022 or Borad 2022 (discussed in paragraph </w:t>
      </w:r>
      <w:r w:rsidR="00313082" w:rsidRPr="00FA0529">
        <w:fldChar w:fldCharType="begin"/>
      </w:r>
      <w:r w:rsidR="00313082" w:rsidRPr="00FA0529">
        <w:instrText xml:space="preserve"> REF _Ref201654818 \r \h </w:instrText>
      </w:r>
      <w:r w:rsidR="00904C37" w:rsidRPr="00FA0529">
        <w:instrText xml:space="preserve"> \* MERGEFORMAT </w:instrText>
      </w:r>
      <w:r w:rsidR="00313082" w:rsidRPr="00FA0529">
        <w:fldChar w:fldCharType="separate"/>
      </w:r>
      <w:r w:rsidR="00462AA0">
        <w:t>4.6</w:t>
      </w:r>
      <w:r w:rsidR="00313082" w:rsidRPr="00FA0529">
        <w:fldChar w:fldCharType="end"/>
      </w:r>
      <w:r w:rsidR="00313082" w:rsidRPr="00FA0529">
        <w:t>)</w:t>
      </w:r>
      <w:r w:rsidR="004A74EE" w:rsidRPr="00FA0529">
        <w:t xml:space="preserve">. </w:t>
      </w:r>
      <w:r w:rsidR="00F6366B" w:rsidRPr="00F6366B">
        <w:t xml:space="preserve">The Pre-PBAC response argued that </w:t>
      </w:r>
      <w:r w:rsidR="001E01D6">
        <w:t>t</w:t>
      </w:r>
      <w:r w:rsidR="00F6366B" w:rsidRPr="00F6366B">
        <w:t>he use of HRs above 0.32 result in a PFS that is higher than death</w:t>
      </w:r>
      <w:r w:rsidR="001E01D6">
        <w:t xml:space="preserve"> and considered t</w:t>
      </w:r>
      <w:r w:rsidR="00F6366B" w:rsidRPr="00F6366B">
        <w:t xml:space="preserve">his is </w:t>
      </w:r>
      <w:r w:rsidR="001E01D6">
        <w:t xml:space="preserve">an </w:t>
      </w:r>
      <w:r w:rsidR="00F6366B" w:rsidRPr="00F6366B">
        <w:t>implausible situation as it implies that deceased patients receive drug.</w:t>
      </w:r>
      <w:r w:rsidR="00281462">
        <w:t xml:space="preserve"> The PBAC considered this was largely related to the structure and overall reliability of the economic model.</w:t>
      </w:r>
      <w:r w:rsidR="00A05A56">
        <w:t xml:space="preserve"> </w:t>
      </w:r>
    </w:p>
    <w:p w14:paraId="71FE5ECD" w14:textId="3FB95990" w:rsidR="00FC1AC6" w:rsidRPr="00321369" w:rsidRDefault="00A94CF7" w:rsidP="00A94CF7">
      <w:pPr>
        <w:pStyle w:val="3-BodyText"/>
      </w:pPr>
      <w:bookmarkStart w:id="13" w:name="_Ref204165956"/>
      <w:r w:rsidRPr="00321369">
        <w:t xml:space="preserve">The resubmission noted the PBAC had previously recommended an ICER less than $75,000 per QALY would </w:t>
      </w:r>
      <w:r w:rsidR="00750A85" w:rsidRPr="00321369">
        <w:t xml:space="preserve">be </w:t>
      </w:r>
      <w:r w:rsidRPr="00321369">
        <w:t xml:space="preserve">appropriate; however, the resubmission contended that as this is a small, well-defined population with a high clinical need, an ICER of </w:t>
      </w:r>
      <w:r w:rsidR="00071D32" w:rsidRPr="00071D32">
        <w:t>$75,000 to &lt; $95,000</w:t>
      </w:r>
      <w:r w:rsidRPr="00321369">
        <w:t xml:space="preserve"> per QALY would be more appropriate.</w:t>
      </w:r>
      <w:r w:rsidR="00E27928" w:rsidRPr="00321369">
        <w:t xml:space="preserve"> The Pre-PBAC response</w:t>
      </w:r>
      <w:r w:rsidR="008C5AB0" w:rsidRPr="00321369">
        <w:t xml:space="preserve"> </w:t>
      </w:r>
      <w:r w:rsidR="00321369" w:rsidRPr="00687BC0">
        <w:t>offered</w:t>
      </w:r>
      <w:r w:rsidR="00B000FD" w:rsidRPr="00687BC0">
        <w:t xml:space="preserve"> a</w:t>
      </w:r>
      <w:r w:rsidR="00E27928" w:rsidRPr="00321369">
        <w:t xml:space="preserve"> further reduc</w:t>
      </w:r>
      <w:r w:rsidR="00B000FD" w:rsidRPr="00687BC0">
        <w:t xml:space="preserve">tion </w:t>
      </w:r>
      <w:r w:rsidR="00321369" w:rsidRPr="00687BC0">
        <w:t xml:space="preserve">in </w:t>
      </w:r>
      <w:r w:rsidR="00E27928" w:rsidRPr="00321369">
        <w:t>the proposed EMP to $</w:t>
      </w:r>
      <w:r w:rsidR="00DE7EE1" w:rsidRPr="00E40CE9">
        <w:rPr>
          <w:color w:val="000000"/>
          <w:w w:val="61"/>
          <w:shd w:val="solid" w:color="000000" w:fill="000000"/>
          <w:fitText w:val="472" w:id="-628460277"/>
          <w14:textFill>
            <w14:solidFill>
              <w14:srgbClr w14:val="000000">
                <w14:alpha w14:val="100000"/>
              </w14:srgbClr>
            </w14:solidFill>
          </w14:textFill>
        </w:rPr>
        <w:t>|||  |||</w:t>
      </w:r>
      <w:r w:rsidR="00E27928" w:rsidRPr="00321369">
        <w:t xml:space="preserve"> per pack</w:t>
      </w:r>
      <w:r w:rsidR="000B2A32" w:rsidRPr="00321369">
        <w:t xml:space="preserve"> (from </w:t>
      </w:r>
      <w:r w:rsidR="00165A19" w:rsidRPr="00321369">
        <w:t>$</w:t>
      </w:r>
      <w:r w:rsidR="00DE7EE1" w:rsidRPr="00E40CE9">
        <w:rPr>
          <w:color w:val="000000"/>
          <w:w w:val="61"/>
          <w:shd w:val="solid" w:color="000000" w:fill="000000"/>
          <w:fitText w:val="472" w:id="-628460276"/>
          <w14:textFill>
            <w14:solidFill>
              <w14:srgbClr w14:val="000000">
                <w14:alpha w14:val="100000"/>
              </w14:srgbClr>
            </w14:solidFill>
          </w14:textFill>
        </w:rPr>
        <w:t>|||  |||</w:t>
      </w:r>
      <w:r w:rsidR="00165A19" w:rsidRPr="00321369">
        <w:t xml:space="preserve"> </w:t>
      </w:r>
      <w:r w:rsidR="000B2A32" w:rsidRPr="00321369">
        <w:t>in the resubmission</w:t>
      </w:r>
      <w:r w:rsidR="00165A19" w:rsidRPr="00321369">
        <w:t>,</w:t>
      </w:r>
      <w:r w:rsidR="000B2A32" w:rsidRPr="00321369">
        <w:t xml:space="preserve"> and</w:t>
      </w:r>
      <w:r w:rsidR="00DA0393" w:rsidRPr="00321369">
        <w:t xml:space="preserve"> $</w:t>
      </w:r>
      <w:r w:rsidR="00DE7EE1" w:rsidRPr="00E40CE9">
        <w:rPr>
          <w:color w:val="000000"/>
          <w:w w:val="61"/>
          <w:shd w:val="solid" w:color="000000" w:fill="000000"/>
          <w:fitText w:val="472" w:id="-628460275"/>
          <w14:textFill>
            <w14:solidFill>
              <w14:srgbClr w14:val="000000">
                <w14:alpha w14:val="100000"/>
              </w14:srgbClr>
            </w14:solidFill>
          </w14:textFill>
        </w:rPr>
        <w:t>|||  |||</w:t>
      </w:r>
      <w:r w:rsidR="000B2A32" w:rsidRPr="00321369">
        <w:t>in the initial submission)</w:t>
      </w:r>
      <w:r w:rsidR="00612275" w:rsidRPr="00321369">
        <w:t xml:space="preserve">, resulting in </w:t>
      </w:r>
      <w:r w:rsidR="00E27928" w:rsidRPr="00321369">
        <w:t xml:space="preserve">an ICER of </w:t>
      </w:r>
      <w:r w:rsidR="00071D32" w:rsidRPr="00071D32">
        <w:t>$75,000 to &lt; $95,000</w:t>
      </w:r>
      <w:r w:rsidR="00E27928" w:rsidRPr="00321369">
        <w:t xml:space="preserve"> per QALY </w:t>
      </w:r>
      <w:r w:rsidR="00612275" w:rsidRPr="00321369">
        <w:t>for the resubmission</w:t>
      </w:r>
      <w:r w:rsidR="00BC0014" w:rsidRPr="00321369">
        <w:t>’</w:t>
      </w:r>
      <w:r w:rsidR="00612275" w:rsidRPr="00321369">
        <w:t>s base case</w:t>
      </w:r>
      <w:r w:rsidR="00E27928" w:rsidRPr="00321369">
        <w:t>.</w:t>
      </w:r>
      <w:bookmarkEnd w:id="13"/>
      <w:r w:rsidR="00BC0014" w:rsidRPr="00321369">
        <w:t xml:space="preserve"> </w:t>
      </w:r>
    </w:p>
    <w:p w14:paraId="7EA440C6" w14:textId="24957E62" w:rsidR="000E4E64" w:rsidRPr="00FA0529" w:rsidRDefault="000E4E64" w:rsidP="00300E95">
      <w:pPr>
        <w:pStyle w:val="TableFigureHeading"/>
        <w:keepLines/>
      </w:pPr>
      <w:bookmarkStart w:id="14" w:name="_Ref178864130"/>
      <w:r w:rsidRPr="00FA0529">
        <w:lastRenderedPageBreak/>
        <w:t xml:space="preserve">Table </w:t>
      </w:r>
      <w:r w:rsidR="00CA5BC1">
        <w:fldChar w:fldCharType="begin"/>
      </w:r>
      <w:r w:rsidR="00CA5BC1">
        <w:instrText xml:space="preserve"> SEQ Table \* ARABIC </w:instrText>
      </w:r>
      <w:r w:rsidR="00CA5BC1">
        <w:fldChar w:fldCharType="separate"/>
      </w:r>
      <w:r w:rsidR="00462AA0">
        <w:rPr>
          <w:noProof/>
        </w:rPr>
        <w:t>4</w:t>
      </w:r>
      <w:r w:rsidR="00CA5BC1">
        <w:rPr>
          <w:noProof/>
        </w:rPr>
        <w:fldChar w:fldCharType="end"/>
      </w:r>
      <w:bookmarkEnd w:id="14"/>
      <w:r w:rsidRPr="00FA0529">
        <w:t xml:space="preserve">: </w:t>
      </w:r>
      <w:r w:rsidR="007A112E" w:rsidRPr="00FA0529">
        <w:t xml:space="preserve">Results of the economic evaluation </w:t>
      </w:r>
      <w:r w:rsidR="004F63ED" w:rsidRPr="00FA0529">
        <w:t>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the economic evaluation presented in the resubmission"/>
      </w:tblPr>
      <w:tblGrid>
        <w:gridCol w:w="4048"/>
        <w:gridCol w:w="1520"/>
        <w:gridCol w:w="1486"/>
        <w:gridCol w:w="1962"/>
      </w:tblGrid>
      <w:tr w:rsidR="007B2348" w:rsidRPr="00FA0529" w14:paraId="7043740E" w14:textId="77777777" w:rsidTr="007B78B8">
        <w:trPr>
          <w:tblHeader/>
        </w:trPr>
        <w:tc>
          <w:tcPr>
            <w:tcW w:w="2245" w:type="pct"/>
          </w:tcPr>
          <w:p w14:paraId="4A4E89EF" w14:textId="77777777" w:rsidR="007B2348" w:rsidRPr="00FA0529" w:rsidRDefault="007B2348" w:rsidP="00300E95">
            <w:pPr>
              <w:pStyle w:val="TableText"/>
              <w:keepLines/>
              <w:rPr>
                <w:b/>
                <w:color w:val="0D0D0D" w:themeColor="text1" w:themeTint="F2"/>
                <w:szCs w:val="20"/>
              </w:rPr>
            </w:pPr>
          </w:p>
          <w:p w14:paraId="420E60C1" w14:textId="77777777" w:rsidR="007B2348" w:rsidRPr="00FA0529" w:rsidRDefault="007B2348" w:rsidP="00300E95">
            <w:pPr>
              <w:pStyle w:val="TableText"/>
              <w:keepLines/>
              <w:rPr>
                <w:b/>
                <w:bCs w:val="0"/>
                <w:color w:val="0D0D0D" w:themeColor="text1" w:themeTint="F2"/>
                <w:szCs w:val="20"/>
              </w:rPr>
            </w:pPr>
            <w:r w:rsidRPr="00FA0529">
              <w:rPr>
                <w:b/>
                <w:color w:val="0D0D0D" w:themeColor="text1" w:themeTint="F2"/>
                <w:szCs w:val="20"/>
              </w:rPr>
              <w:t>Analyses</w:t>
            </w:r>
          </w:p>
        </w:tc>
        <w:tc>
          <w:tcPr>
            <w:tcW w:w="843" w:type="pct"/>
          </w:tcPr>
          <w:p w14:paraId="3CA2982B" w14:textId="77777777" w:rsidR="007B2348" w:rsidRPr="00FA0529" w:rsidRDefault="007B2348" w:rsidP="00300E95">
            <w:pPr>
              <w:pStyle w:val="TableText"/>
              <w:keepLines/>
              <w:jc w:val="center"/>
              <w:rPr>
                <w:b/>
                <w:bCs w:val="0"/>
                <w:color w:val="0D0D0D" w:themeColor="text1" w:themeTint="F2"/>
                <w:szCs w:val="20"/>
              </w:rPr>
            </w:pPr>
            <w:r w:rsidRPr="00FA0529">
              <w:rPr>
                <w:b/>
                <w:color w:val="0D0D0D" w:themeColor="text1" w:themeTint="F2"/>
                <w:szCs w:val="20"/>
              </w:rPr>
              <w:t>Incremental cost</w:t>
            </w:r>
          </w:p>
        </w:tc>
        <w:tc>
          <w:tcPr>
            <w:tcW w:w="824" w:type="pct"/>
          </w:tcPr>
          <w:p w14:paraId="44B46B1C" w14:textId="77777777" w:rsidR="007B2348" w:rsidRPr="00FA0529" w:rsidRDefault="007B2348" w:rsidP="00300E95">
            <w:pPr>
              <w:pStyle w:val="TableText"/>
              <w:keepLines/>
              <w:jc w:val="center"/>
              <w:rPr>
                <w:b/>
                <w:bCs w:val="0"/>
                <w:color w:val="0D0D0D" w:themeColor="text1" w:themeTint="F2"/>
                <w:szCs w:val="20"/>
              </w:rPr>
            </w:pPr>
            <w:r w:rsidRPr="00FA0529">
              <w:rPr>
                <w:b/>
                <w:color w:val="0D0D0D" w:themeColor="text1" w:themeTint="F2"/>
                <w:szCs w:val="20"/>
              </w:rPr>
              <w:t>Incremental QALY</w:t>
            </w:r>
          </w:p>
        </w:tc>
        <w:tc>
          <w:tcPr>
            <w:tcW w:w="1088" w:type="pct"/>
          </w:tcPr>
          <w:p w14:paraId="587DE192" w14:textId="77777777" w:rsidR="007B2348" w:rsidRPr="00FA0529" w:rsidRDefault="007B2348" w:rsidP="00300E95">
            <w:pPr>
              <w:pStyle w:val="TableText"/>
              <w:keepLines/>
              <w:jc w:val="center"/>
              <w:rPr>
                <w:b/>
                <w:bCs w:val="0"/>
                <w:color w:val="0D0D0D" w:themeColor="text1" w:themeTint="F2"/>
                <w:szCs w:val="20"/>
              </w:rPr>
            </w:pPr>
            <w:r w:rsidRPr="00FA0529">
              <w:rPr>
                <w:b/>
                <w:color w:val="0D0D0D" w:themeColor="text1" w:themeTint="F2"/>
                <w:szCs w:val="20"/>
              </w:rPr>
              <w:t>ICER</w:t>
            </w:r>
          </w:p>
        </w:tc>
      </w:tr>
      <w:tr w:rsidR="007B2348" w:rsidRPr="00FA0529" w14:paraId="0C901055" w14:textId="77777777" w:rsidTr="007B78B8">
        <w:tc>
          <w:tcPr>
            <w:tcW w:w="2245" w:type="pct"/>
          </w:tcPr>
          <w:p w14:paraId="5394FA2E" w14:textId="48D438F1" w:rsidR="007B2348" w:rsidRPr="00FA0529" w:rsidRDefault="007B2348" w:rsidP="00300E95">
            <w:pPr>
              <w:pStyle w:val="TableText"/>
              <w:keepLines/>
              <w:rPr>
                <w:b/>
                <w:color w:val="0D0D0D" w:themeColor="text1" w:themeTint="F2"/>
                <w:szCs w:val="20"/>
              </w:rPr>
            </w:pPr>
            <w:r w:rsidRPr="00FA0529">
              <w:rPr>
                <w:b/>
                <w:color w:val="0D0D0D" w:themeColor="text1" w:themeTint="F2"/>
                <w:szCs w:val="20"/>
              </w:rPr>
              <w:t>Base case (previous submission)</w:t>
            </w:r>
            <w:r w:rsidR="00894005" w:rsidRPr="00FA0529">
              <w:rPr>
                <w:b/>
                <w:color w:val="0D0D0D" w:themeColor="text1" w:themeTint="F2"/>
                <w:szCs w:val="20"/>
              </w:rPr>
              <w:t xml:space="preserve"> (paragraph </w:t>
            </w:r>
            <w:r w:rsidR="00894005" w:rsidRPr="00FA0529">
              <w:rPr>
                <w:b/>
                <w:color w:val="0D0D0D" w:themeColor="text1" w:themeTint="F2"/>
                <w:szCs w:val="20"/>
              </w:rPr>
              <w:fldChar w:fldCharType="begin"/>
            </w:r>
            <w:r w:rsidR="00894005" w:rsidRPr="00FA0529">
              <w:rPr>
                <w:b/>
                <w:color w:val="0D0D0D" w:themeColor="text1" w:themeTint="F2"/>
                <w:szCs w:val="20"/>
              </w:rPr>
              <w:instrText xml:space="preserve"> REF _Ref201736204 \r \h </w:instrText>
            </w:r>
            <w:r w:rsidR="00894005" w:rsidRPr="00FA0529">
              <w:rPr>
                <w:b/>
                <w:color w:val="0D0D0D" w:themeColor="text1" w:themeTint="F2"/>
                <w:szCs w:val="20"/>
              </w:rPr>
            </w:r>
            <w:r w:rsidR="00894005" w:rsidRPr="00FA0529">
              <w:rPr>
                <w:b/>
                <w:color w:val="0D0D0D" w:themeColor="text1" w:themeTint="F2"/>
                <w:szCs w:val="20"/>
              </w:rPr>
              <w:fldChar w:fldCharType="separate"/>
            </w:r>
            <w:r w:rsidR="00462AA0">
              <w:rPr>
                <w:b/>
                <w:color w:val="0D0D0D" w:themeColor="text1" w:themeTint="F2"/>
                <w:szCs w:val="20"/>
              </w:rPr>
              <w:t>4.9</w:t>
            </w:r>
            <w:r w:rsidR="00894005" w:rsidRPr="00FA0529">
              <w:rPr>
                <w:b/>
                <w:color w:val="0D0D0D" w:themeColor="text1" w:themeTint="F2"/>
                <w:szCs w:val="20"/>
              </w:rPr>
              <w:fldChar w:fldCharType="end"/>
            </w:r>
            <w:r w:rsidR="00894005" w:rsidRPr="00FA0529">
              <w:rPr>
                <w:b/>
                <w:color w:val="0D0D0D" w:themeColor="text1" w:themeTint="F2"/>
                <w:szCs w:val="20"/>
              </w:rPr>
              <w:t>)</w:t>
            </w:r>
          </w:p>
        </w:tc>
        <w:tc>
          <w:tcPr>
            <w:tcW w:w="843" w:type="pct"/>
          </w:tcPr>
          <w:p w14:paraId="154EA010" w14:textId="7B2F9EF7" w:rsidR="007B2348" w:rsidRPr="00FA0529" w:rsidRDefault="007B2348" w:rsidP="00300E95">
            <w:pPr>
              <w:pStyle w:val="TableText"/>
              <w:keepLines/>
              <w:jc w:val="center"/>
              <w:rPr>
                <w:bCs w:val="0"/>
                <w:color w:val="0D0D0D" w:themeColor="text1" w:themeTint="F2"/>
              </w:rPr>
            </w:pPr>
            <w:r w:rsidRPr="00FA0529">
              <w:t>$</w:t>
            </w:r>
            <w:r w:rsidR="00DE7EE1" w:rsidRPr="00E40CE9">
              <w:rPr>
                <w:color w:val="000000"/>
                <w:spacing w:val="51"/>
                <w:shd w:val="solid" w:color="000000" w:fill="000000"/>
                <w:fitText w:val="324" w:id="-628460274"/>
                <w14:textFill>
                  <w14:solidFill>
                    <w14:srgbClr w14:val="000000">
                      <w14:alpha w14:val="100000"/>
                    </w14:srgbClr>
                  </w14:solidFill>
                </w14:textFill>
              </w:rPr>
              <w:t>|||</w:t>
            </w:r>
            <w:r w:rsidR="00DE7EE1" w:rsidRPr="00E40CE9">
              <w:rPr>
                <w:color w:val="000000"/>
                <w:spacing w:val="1"/>
                <w:shd w:val="solid" w:color="000000" w:fill="000000"/>
                <w:fitText w:val="324" w:id="-628460274"/>
                <w14:textFill>
                  <w14:solidFill>
                    <w14:srgbClr w14:val="000000">
                      <w14:alpha w14:val="100000"/>
                    </w14:srgbClr>
                  </w14:solidFill>
                </w14:textFill>
              </w:rPr>
              <w:t>|</w:t>
            </w:r>
          </w:p>
        </w:tc>
        <w:tc>
          <w:tcPr>
            <w:tcW w:w="824" w:type="pct"/>
          </w:tcPr>
          <w:p w14:paraId="045F4821" w14:textId="77777777" w:rsidR="007B2348" w:rsidRPr="00FA0529" w:rsidRDefault="007B2348" w:rsidP="00300E95">
            <w:pPr>
              <w:pStyle w:val="TableText"/>
              <w:keepLines/>
              <w:jc w:val="center"/>
              <w:rPr>
                <w:bCs w:val="0"/>
                <w:color w:val="0D0D0D" w:themeColor="text1" w:themeTint="F2"/>
              </w:rPr>
            </w:pPr>
            <w:r w:rsidRPr="00FA0529">
              <w:t>1.16</w:t>
            </w:r>
          </w:p>
        </w:tc>
        <w:tc>
          <w:tcPr>
            <w:tcW w:w="1088" w:type="pct"/>
          </w:tcPr>
          <w:p w14:paraId="565EC3F2" w14:textId="40D9BC1A" w:rsidR="007B2348" w:rsidRPr="00221DDA" w:rsidRDefault="007B2348" w:rsidP="00300E95">
            <w:pPr>
              <w:pStyle w:val="TableText"/>
              <w:keepLines/>
              <w:jc w:val="center"/>
              <w:rPr>
                <w:color w:val="0D0D0D" w:themeColor="text1" w:themeTint="F2"/>
                <w:szCs w:val="20"/>
                <w:vertAlign w:val="superscript"/>
              </w:rPr>
            </w:pPr>
            <w:r w:rsidRPr="00FA0529">
              <w:rPr>
                <w:rFonts w:cs="Arial"/>
                <w:szCs w:val="20"/>
              </w:rPr>
              <w:t>$</w:t>
            </w:r>
            <w:r w:rsidR="00DE7EE1" w:rsidRPr="00E40CE9">
              <w:rPr>
                <w:rFonts w:cs="Arial"/>
                <w:color w:val="000000"/>
                <w:spacing w:val="51"/>
                <w:szCs w:val="20"/>
                <w:shd w:val="solid" w:color="000000" w:fill="000000"/>
                <w:fitText w:val="324" w:id="-628460273"/>
                <w14:textFill>
                  <w14:solidFill>
                    <w14:srgbClr w14:val="000000">
                      <w14:alpha w14:val="100000"/>
                    </w14:srgbClr>
                  </w14:solidFill>
                </w14:textFill>
              </w:rPr>
              <w:t>|||</w:t>
            </w:r>
            <w:r w:rsidR="00DE7EE1" w:rsidRPr="00E40CE9">
              <w:rPr>
                <w:rFonts w:cs="Arial"/>
                <w:color w:val="000000"/>
                <w:spacing w:val="1"/>
                <w:szCs w:val="20"/>
                <w:shd w:val="solid" w:color="000000" w:fill="000000"/>
                <w:fitText w:val="324" w:id="-628460273"/>
                <w14:textFill>
                  <w14:solidFill>
                    <w14:srgbClr w14:val="000000">
                      <w14:alpha w14:val="100000"/>
                    </w14:srgbClr>
                  </w14:solidFill>
                </w14:textFill>
              </w:rPr>
              <w:t>|</w:t>
            </w:r>
            <w:r w:rsidR="002831CE">
              <w:rPr>
                <w:rFonts w:cs="Arial"/>
                <w:szCs w:val="20"/>
                <w:vertAlign w:val="superscript"/>
              </w:rPr>
              <w:t>1</w:t>
            </w:r>
          </w:p>
        </w:tc>
      </w:tr>
      <w:tr w:rsidR="00987064" w:rsidRPr="00FA0529" w14:paraId="2C02B7DD" w14:textId="77777777" w:rsidTr="00987064">
        <w:tc>
          <w:tcPr>
            <w:tcW w:w="5000" w:type="pct"/>
            <w:gridSpan w:val="4"/>
          </w:tcPr>
          <w:p w14:paraId="6F0AAC29" w14:textId="77777777" w:rsidR="00987064" w:rsidRPr="00FA0529" w:rsidRDefault="00987064" w:rsidP="00300E95">
            <w:pPr>
              <w:pStyle w:val="TableText"/>
              <w:keepLines/>
              <w:jc w:val="center"/>
              <w:rPr>
                <w:bCs w:val="0"/>
                <w:color w:val="0D0D0D" w:themeColor="text1" w:themeTint="F2"/>
                <w:szCs w:val="20"/>
              </w:rPr>
            </w:pPr>
          </w:p>
        </w:tc>
      </w:tr>
      <w:tr w:rsidR="00064876" w:rsidRPr="00FA0529" w14:paraId="709159EB" w14:textId="77777777" w:rsidTr="007B2348">
        <w:tc>
          <w:tcPr>
            <w:tcW w:w="2245" w:type="pct"/>
          </w:tcPr>
          <w:p w14:paraId="0A56782E" w14:textId="49FB8C34" w:rsidR="00064876" w:rsidRPr="00FA0529" w:rsidRDefault="00CE7B2D" w:rsidP="00300E95">
            <w:pPr>
              <w:pStyle w:val="TableText"/>
              <w:keepLines/>
              <w:rPr>
                <w:b/>
                <w:color w:val="0D0D0D" w:themeColor="text1" w:themeTint="F2"/>
                <w:szCs w:val="20"/>
              </w:rPr>
            </w:pPr>
            <w:r w:rsidRPr="00FA0529">
              <w:rPr>
                <w:b/>
                <w:color w:val="0D0D0D" w:themeColor="text1" w:themeTint="F2"/>
                <w:szCs w:val="20"/>
              </w:rPr>
              <w:t>M</w:t>
            </w:r>
            <w:r w:rsidR="00B5773F" w:rsidRPr="00FA0529">
              <w:rPr>
                <w:b/>
                <w:color w:val="0D0D0D" w:themeColor="text1" w:themeTint="F2"/>
                <w:szCs w:val="20"/>
              </w:rPr>
              <w:t>odel provided in previous pre-PBAC response</w:t>
            </w:r>
            <w:r w:rsidR="00894005" w:rsidRPr="00FA0529">
              <w:rPr>
                <w:b/>
                <w:color w:val="0D0D0D" w:themeColor="text1" w:themeTint="F2"/>
                <w:szCs w:val="20"/>
              </w:rPr>
              <w:t xml:space="preserve"> (paragraph </w:t>
            </w:r>
            <w:r w:rsidR="00940C40">
              <w:rPr>
                <w:b/>
                <w:color w:val="0D0D0D" w:themeColor="text1" w:themeTint="F2"/>
                <w:szCs w:val="20"/>
              </w:rPr>
              <w:fldChar w:fldCharType="begin"/>
            </w:r>
            <w:r w:rsidR="00940C40">
              <w:rPr>
                <w:b/>
                <w:color w:val="0D0D0D" w:themeColor="text1" w:themeTint="F2"/>
                <w:szCs w:val="20"/>
              </w:rPr>
              <w:instrText xml:space="preserve"> REF _Ref201736222 \r \h </w:instrText>
            </w:r>
            <w:r w:rsidR="00940C40">
              <w:rPr>
                <w:b/>
                <w:color w:val="0D0D0D" w:themeColor="text1" w:themeTint="F2"/>
                <w:szCs w:val="20"/>
              </w:rPr>
            </w:r>
            <w:r w:rsidR="00940C40">
              <w:rPr>
                <w:b/>
                <w:color w:val="0D0D0D" w:themeColor="text1" w:themeTint="F2"/>
                <w:szCs w:val="20"/>
              </w:rPr>
              <w:fldChar w:fldCharType="separate"/>
            </w:r>
            <w:r w:rsidR="00462AA0">
              <w:rPr>
                <w:b/>
                <w:color w:val="0D0D0D" w:themeColor="text1" w:themeTint="F2"/>
                <w:szCs w:val="20"/>
              </w:rPr>
              <w:t>4.11</w:t>
            </w:r>
            <w:r w:rsidR="00940C40">
              <w:rPr>
                <w:b/>
                <w:color w:val="0D0D0D" w:themeColor="text1" w:themeTint="F2"/>
                <w:szCs w:val="20"/>
              </w:rPr>
              <w:fldChar w:fldCharType="end"/>
            </w:r>
            <w:r w:rsidR="00894005" w:rsidRPr="00FA0529">
              <w:rPr>
                <w:b/>
                <w:color w:val="0D0D0D" w:themeColor="text1" w:themeTint="F2"/>
                <w:szCs w:val="20"/>
              </w:rPr>
              <w:fldChar w:fldCharType="begin"/>
            </w:r>
            <w:r w:rsidR="00894005" w:rsidRPr="00FA0529">
              <w:rPr>
                <w:b/>
                <w:color w:val="0D0D0D" w:themeColor="text1" w:themeTint="F2"/>
                <w:szCs w:val="20"/>
              </w:rPr>
              <w:instrText xml:space="preserve"> REF _Ref201736222 \r \h </w:instrText>
            </w:r>
            <w:r w:rsidR="00894005" w:rsidRPr="00FA0529">
              <w:rPr>
                <w:b/>
                <w:color w:val="0D0D0D" w:themeColor="text1" w:themeTint="F2"/>
                <w:szCs w:val="20"/>
              </w:rPr>
            </w:r>
            <w:r w:rsidR="00894005" w:rsidRPr="00FA0529">
              <w:rPr>
                <w:b/>
                <w:color w:val="0D0D0D" w:themeColor="text1" w:themeTint="F2"/>
                <w:szCs w:val="20"/>
              </w:rPr>
              <w:fldChar w:fldCharType="separate"/>
            </w:r>
            <w:r w:rsidR="00462AA0">
              <w:rPr>
                <w:b/>
                <w:color w:val="0D0D0D" w:themeColor="text1" w:themeTint="F2"/>
                <w:szCs w:val="20"/>
              </w:rPr>
              <w:t>4.11</w:t>
            </w:r>
            <w:r w:rsidR="00894005" w:rsidRPr="00FA0529">
              <w:rPr>
                <w:b/>
                <w:color w:val="0D0D0D" w:themeColor="text1" w:themeTint="F2"/>
                <w:szCs w:val="20"/>
              </w:rPr>
              <w:fldChar w:fldCharType="end"/>
            </w:r>
            <w:r w:rsidR="00894005" w:rsidRPr="00FA0529">
              <w:rPr>
                <w:b/>
                <w:color w:val="0D0D0D" w:themeColor="text1" w:themeTint="F2"/>
                <w:szCs w:val="20"/>
              </w:rPr>
              <w:t>)</w:t>
            </w:r>
          </w:p>
        </w:tc>
        <w:tc>
          <w:tcPr>
            <w:tcW w:w="843" w:type="pct"/>
          </w:tcPr>
          <w:p w14:paraId="324D3522" w14:textId="3600BA46" w:rsidR="00064876" w:rsidRPr="00FA0529" w:rsidRDefault="003946B0" w:rsidP="00300E95">
            <w:pPr>
              <w:pStyle w:val="TableText"/>
              <w:keepLines/>
              <w:jc w:val="center"/>
              <w:rPr>
                <w:bCs w:val="0"/>
                <w:color w:val="0D0D0D" w:themeColor="text1" w:themeTint="F2"/>
              </w:rPr>
            </w:pPr>
            <w:r w:rsidRPr="00FA0529">
              <w:rPr>
                <w:bCs w:val="0"/>
                <w:color w:val="0D0D0D" w:themeColor="text1" w:themeTint="F2"/>
              </w:rPr>
              <w:t>$</w:t>
            </w:r>
            <w:r w:rsidR="00DE7EE1" w:rsidRPr="00E40CE9">
              <w:rPr>
                <w:bCs w:val="0"/>
                <w:color w:val="0D0D0D" w:themeColor="text1" w:themeTint="F2"/>
                <w:spacing w:val="51"/>
                <w:shd w:val="solid" w:color="000000" w:fill="000000"/>
                <w:fitText w:val="324" w:id="-628460272"/>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72"/>
                <w14:textFill>
                  <w14:solidFill>
                    <w14:schemeClr w14:val="tx1">
                      <w14:alpha w14:val="100000"/>
                      <w14:lumMod w14:val="95000"/>
                      <w14:lumOff w14:val="5000"/>
                    </w14:schemeClr>
                  </w14:solidFill>
                </w14:textFill>
              </w:rPr>
              <w:t>|</w:t>
            </w:r>
          </w:p>
        </w:tc>
        <w:tc>
          <w:tcPr>
            <w:tcW w:w="824" w:type="pct"/>
          </w:tcPr>
          <w:p w14:paraId="56FC2A93" w14:textId="768769EB" w:rsidR="00064876" w:rsidRPr="00FA0529" w:rsidRDefault="003946B0" w:rsidP="00300E95">
            <w:pPr>
              <w:pStyle w:val="TableText"/>
              <w:keepLines/>
              <w:jc w:val="center"/>
              <w:rPr>
                <w:bCs w:val="0"/>
                <w:color w:val="0D0D0D" w:themeColor="text1" w:themeTint="F2"/>
              </w:rPr>
            </w:pPr>
            <w:r w:rsidRPr="00FA0529">
              <w:rPr>
                <w:bCs w:val="0"/>
                <w:color w:val="0D0D0D" w:themeColor="text1" w:themeTint="F2"/>
              </w:rPr>
              <w:t>1.22</w:t>
            </w:r>
          </w:p>
        </w:tc>
        <w:tc>
          <w:tcPr>
            <w:tcW w:w="1088" w:type="pct"/>
          </w:tcPr>
          <w:p w14:paraId="22FA1F59" w14:textId="1C7AE807" w:rsidR="00064876" w:rsidRPr="00221DDA" w:rsidRDefault="00BD5985" w:rsidP="00300E95">
            <w:pPr>
              <w:pStyle w:val="TableText"/>
              <w:keepLines/>
              <w:jc w:val="center"/>
              <w:rPr>
                <w:bCs w:val="0"/>
                <w:color w:val="0D0D0D" w:themeColor="text1" w:themeTint="F2"/>
                <w:szCs w:val="20"/>
                <w:vertAlign w:val="superscript"/>
              </w:rPr>
            </w:pPr>
            <w:r w:rsidRPr="00FA0529">
              <w:rPr>
                <w:bCs w:val="0"/>
                <w:color w:val="0D0D0D" w:themeColor="text1" w:themeTint="F2"/>
                <w:szCs w:val="20"/>
              </w:rPr>
              <w:t>$</w:t>
            </w:r>
            <w:r w:rsidR="00DE7EE1" w:rsidRPr="00E40CE9">
              <w:rPr>
                <w:bCs w:val="0"/>
                <w:color w:val="0D0D0D" w:themeColor="text1" w:themeTint="F2"/>
                <w:spacing w:val="51"/>
                <w:szCs w:val="20"/>
                <w:shd w:val="solid" w:color="000000" w:fill="000000"/>
                <w:fitText w:val="324" w:id="-628460288"/>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24" w:id="-628460288"/>
                <w14:textFill>
                  <w14:solidFill>
                    <w14:schemeClr w14:val="tx1">
                      <w14:alpha w14:val="100000"/>
                      <w14:lumMod w14:val="95000"/>
                      <w14:lumOff w14:val="5000"/>
                    </w14:schemeClr>
                  </w14:solidFill>
                </w14:textFill>
              </w:rPr>
              <w:t>|</w:t>
            </w:r>
            <w:r w:rsidR="002831CE">
              <w:rPr>
                <w:bCs w:val="0"/>
                <w:color w:val="0D0D0D" w:themeColor="text1" w:themeTint="F2"/>
                <w:szCs w:val="20"/>
                <w:vertAlign w:val="superscript"/>
              </w:rPr>
              <w:t>1</w:t>
            </w:r>
          </w:p>
        </w:tc>
      </w:tr>
      <w:tr w:rsidR="003E3A26" w:rsidRPr="00FA0529" w14:paraId="283CCEB5" w14:textId="77777777" w:rsidTr="007B2348">
        <w:tc>
          <w:tcPr>
            <w:tcW w:w="2245" w:type="pct"/>
          </w:tcPr>
          <w:p w14:paraId="39FDE0E9" w14:textId="09B655A2" w:rsidR="003E3A26" w:rsidRPr="00FA0529" w:rsidRDefault="003E3A26" w:rsidP="00300E95">
            <w:pPr>
              <w:pStyle w:val="TableText"/>
              <w:keepLines/>
              <w:rPr>
                <w:b/>
                <w:color w:val="0D0D0D" w:themeColor="text1" w:themeTint="F2"/>
                <w:szCs w:val="20"/>
              </w:rPr>
            </w:pPr>
            <w:r w:rsidRPr="00FA0529">
              <w:rPr>
                <w:b/>
                <w:color w:val="0D0D0D" w:themeColor="text1" w:themeTint="F2"/>
                <w:szCs w:val="20"/>
              </w:rPr>
              <w:t>Adaption of model to using HR approach (starting point in resubmission)</w:t>
            </w:r>
            <w:r w:rsidR="00894005" w:rsidRPr="00FA0529">
              <w:rPr>
                <w:b/>
                <w:color w:val="0D0D0D" w:themeColor="text1" w:themeTint="F2"/>
                <w:szCs w:val="20"/>
              </w:rPr>
              <w:t xml:space="preserve"> (paragraph</w:t>
            </w:r>
            <w:r w:rsidR="002312B9">
              <w:rPr>
                <w:b/>
                <w:color w:val="0D0D0D" w:themeColor="text1" w:themeTint="F2"/>
                <w:szCs w:val="20"/>
              </w:rPr>
              <w:t xml:space="preserve"> </w:t>
            </w:r>
            <w:r w:rsidR="002312B9">
              <w:rPr>
                <w:b/>
                <w:color w:val="0D0D0D" w:themeColor="text1" w:themeTint="F2"/>
                <w:szCs w:val="20"/>
              </w:rPr>
              <w:fldChar w:fldCharType="begin"/>
            </w:r>
            <w:r w:rsidR="002312B9">
              <w:rPr>
                <w:b/>
                <w:color w:val="0D0D0D" w:themeColor="text1" w:themeTint="F2"/>
                <w:szCs w:val="20"/>
              </w:rPr>
              <w:instrText xml:space="preserve"> REF _Ref201736241 \r \h </w:instrText>
            </w:r>
            <w:r w:rsidR="002312B9">
              <w:rPr>
                <w:b/>
                <w:color w:val="0D0D0D" w:themeColor="text1" w:themeTint="F2"/>
                <w:szCs w:val="20"/>
              </w:rPr>
            </w:r>
            <w:r w:rsidR="002312B9">
              <w:rPr>
                <w:b/>
                <w:color w:val="0D0D0D" w:themeColor="text1" w:themeTint="F2"/>
                <w:szCs w:val="20"/>
              </w:rPr>
              <w:fldChar w:fldCharType="separate"/>
            </w:r>
            <w:r w:rsidR="00462AA0">
              <w:rPr>
                <w:b/>
                <w:color w:val="0D0D0D" w:themeColor="text1" w:themeTint="F2"/>
                <w:szCs w:val="20"/>
              </w:rPr>
              <w:t>4.12</w:t>
            </w:r>
            <w:r w:rsidR="002312B9">
              <w:rPr>
                <w:b/>
                <w:color w:val="0D0D0D" w:themeColor="text1" w:themeTint="F2"/>
                <w:szCs w:val="20"/>
              </w:rPr>
              <w:fldChar w:fldCharType="end"/>
            </w:r>
            <w:r w:rsidR="00894005" w:rsidRPr="00FA0529">
              <w:rPr>
                <w:b/>
                <w:color w:val="0D0D0D" w:themeColor="text1" w:themeTint="F2"/>
                <w:szCs w:val="20"/>
              </w:rPr>
              <w:t xml:space="preserve"> </w:t>
            </w:r>
            <w:r w:rsidR="00894005" w:rsidRPr="00FA0529">
              <w:rPr>
                <w:b/>
                <w:color w:val="0D0D0D" w:themeColor="text1" w:themeTint="F2"/>
                <w:szCs w:val="20"/>
              </w:rPr>
              <w:fldChar w:fldCharType="begin"/>
            </w:r>
            <w:r w:rsidR="00894005" w:rsidRPr="00FA0529">
              <w:rPr>
                <w:b/>
                <w:color w:val="0D0D0D" w:themeColor="text1" w:themeTint="F2"/>
                <w:szCs w:val="20"/>
              </w:rPr>
              <w:instrText xml:space="preserve"> REF _Ref201736241 \r \h </w:instrText>
            </w:r>
            <w:r w:rsidR="00894005" w:rsidRPr="00FA0529">
              <w:rPr>
                <w:b/>
                <w:color w:val="0D0D0D" w:themeColor="text1" w:themeTint="F2"/>
                <w:szCs w:val="20"/>
              </w:rPr>
            </w:r>
            <w:r w:rsidR="00894005" w:rsidRPr="00FA0529">
              <w:rPr>
                <w:b/>
                <w:color w:val="0D0D0D" w:themeColor="text1" w:themeTint="F2"/>
                <w:szCs w:val="20"/>
              </w:rPr>
              <w:fldChar w:fldCharType="separate"/>
            </w:r>
            <w:r w:rsidR="00462AA0">
              <w:rPr>
                <w:b/>
                <w:color w:val="0D0D0D" w:themeColor="text1" w:themeTint="F2"/>
                <w:szCs w:val="20"/>
              </w:rPr>
              <w:t>4.12</w:t>
            </w:r>
            <w:r w:rsidR="00894005" w:rsidRPr="00FA0529">
              <w:rPr>
                <w:b/>
                <w:color w:val="0D0D0D" w:themeColor="text1" w:themeTint="F2"/>
                <w:szCs w:val="20"/>
              </w:rPr>
              <w:fldChar w:fldCharType="end"/>
            </w:r>
            <w:r w:rsidR="00894005" w:rsidRPr="00FA0529">
              <w:rPr>
                <w:b/>
                <w:color w:val="0D0D0D" w:themeColor="text1" w:themeTint="F2"/>
                <w:szCs w:val="20"/>
              </w:rPr>
              <w:t>)</w:t>
            </w:r>
          </w:p>
        </w:tc>
        <w:tc>
          <w:tcPr>
            <w:tcW w:w="843" w:type="pct"/>
          </w:tcPr>
          <w:p w14:paraId="5BAA0B9B" w14:textId="65C0678E" w:rsidR="003E3A26" w:rsidRPr="00FA0529" w:rsidRDefault="003E3A26" w:rsidP="00300E95">
            <w:pPr>
              <w:pStyle w:val="TableText"/>
              <w:keepLines/>
              <w:jc w:val="center"/>
              <w:rPr>
                <w:bCs w:val="0"/>
                <w:color w:val="0D0D0D" w:themeColor="text1" w:themeTint="F2"/>
              </w:rPr>
            </w:pPr>
            <w:r w:rsidRPr="00FA0529">
              <w:rPr>
                <w:bCs w:val="0"/>
                <w:color w:val="0D0D0D" w:themeColor="text1" w:themeTint="F2"/>
              </w:rPr>
              <w:t>$</w:t>
            </w:r>
            <w:r w:rsidR="00DE7EE1" w:rsidRPr="00E40CE9">
              <w:rPr>
                <w:bCs w:val="0"/>
                <w:color w:val="0D0D0D" w:themeColor="text1" w:themeTint="F2"/>
                <w:spacing w:val="51"/>
                <w:shd w:val="solid" w:color="000000" w:fill="000000"/>
                <w:fitText w:val="324" w:id="-628460287"/>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87"/>
                <w14:textFill>
                  <w14:solidFill>
                    <w14:schemeClr w14:val="tx1">
                      <w14:alpha w14:val="100000"/>
                      <w14:lumMod w14:val="95000"/>
                      <w14:lumOff w14:val="5000"/>
                    </w14:schemeClr>
                  </w14:solidFill>
                </w14:textFill>
              </w:rPr>
              <w:t>|</w:t>
            </w:r>
          </w:p>
        </w:tc>
        <w:tc>
          <w:tcPr>
            <w:tcW w:w="824" w:type="pct"/>
          </w:tcPr>
          <w:p w14:paraId="258C25A8" w14:textId="3DEDE7B9" w:rsidR="003E3A26" w:rsidRPr="00FA0529" w:rsidRDefault="003E3A26" w:rsidP="00300E95">
            <w:pPr>
              <w:pStyle w:val="TableText"/>
              <w:keepLines/>
              <w:jc w:val="center"/>
              <w:rPr>
                <w:bCs w:val="0"/>
                <w:color w:val="0D0D0D" w:themeColor="text1" w:themeTint="F2"/>
              </w:rPr>
            </w:pPr>
            <w:r w:rsidRPr="00FA0529">
              <w:rPr>
                <w:bCs w:val="0"/>
                <w:color w:val="0D0D0D" w:themeColor="text1" w:themeTint="F2"/>
              </w:rPr>
              <w:t>1.17</w:t>
            </w:r>
          </w:p>
        </w:tc>
        <w:tc>
          <w:tcPr>
            <w:tcW w:w="1088" w:type="pct"/>
          </w:tcPr>
          <w:p w14:paraId="0C8D6A89" w14:textId="6C38FAB7" w:rsidR="003E3A26" w:rsidRPr="00221DDA" w:rsidRDefault="003E3A26" w:rsidP="00300E95">
            <w:pPr>
              <w:pStyle w:val="TableText"/>
              <w:keepLines/>
              <w:jc w:val="center"/>
              <w:rPr>
                <w:bCs w:val="0"/>
                <w:color w:val="0D0D0D" w:themeColor="text1" w:themeTint="F2"/>
                <w:szCs w:val="20"/>
                <w:vertAlign w:val="superscript"/>
              </w:rPr>
            </w:pPr>
            <w:r w:rsidRPr="00FA0529">
              <w:rPr>
                <w:bCs w:val="0"/>
                <w:color w:val="0D0D0D" w:themeColor="text1" w:themeTint="F2"/>
                <w:szCs w:val="20"/>
              </w:rPr>
              <w:t>$</w:t>
            </w:r>
            <w:r w:rsidR="00DE7EE1" w:rsidRPr="00E40CE9">
              <w:rPr>
                <w:bCs w:val="0"/>
                <w:color w:val="0D0D0D" w:themeColor="text1" w:themeTint="F2"/>
                <w:spacing w:val="51"/>
                <w:szCs w:val="20"/>
                <w:shd w:val="solid" w:color="000000" w:fill="000000"/>
                <w:fitText w:val="324" w:id="-628460286"/>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24" w:id="-628460286"/>
                <w14:textFill>
                  <w14:solidFill>
                    <w14:schemeClr w14:val="tx1">
                      <w14:alpha w14:val="100000"/>
                      <w14:lumMod w14:val="95000"/>
                      <w14:lumOff w14:val="5000"/>
                    </w14:schemeClr>
                  </w14:solidFill>
                </w14:textFill>
              </w:rPr>
              <w:t>|</w:t>
            </w:r>
            <w:r w:rsidR="002831CE">
              <w:rPr>
                <w:bCs w:val="0"/>
                <w:color w:val="0D0D0D" w:themeColor="text1" w:themeTint="F2"/>
                <w:szCs w:val="20"/>
                <w:vertAlign w:val="superscript"/>
              </w:rPr>
              <w:t>1</w:t>
            </w:r>
          </w:p>
        </w:tc>
      </w:tr>
      <w:tr w:rsidR="00987064" w:rsidRPr="00FA0529" w14:paraId="73D8DAF6" w14:textId="77777777" w:rsidTr="00987064">
        <w:tc>
          <w:tcPr>
            <w:tcW w:w="5000" w:type="pct"/>
            <w:gridSpan w:val="4"/>
          </w:tcPr>
          <w:p w14:paraId="30742C6B" w14:textId="77777777" w:rsidR="00987064" w:rsidRPr="00FA0529" w:rsidRDefault="00987064" w:rsidP="00300E95">
            <w:pPr>
              <w:pStyle w:val="TableText"/>
              <w:keepLines/>
              <w:jc w:val="center"/>
              <w:rPr>
                <w:bCs w:val="0"/>
                <w:color w:val="0D0D0D" w:themeColor="text1" w:themeTint="F2"/>
                <w:szCs w:val="20"/>
              </w:rPr>
            </w:pPr>
          </w:p>
        </w:tc>
      </w:tr>
      <w:tr w:rsidR="00085018" w:rsidRPr="00FA0529" w14:paraId="48E22A46" w14:textId="77777777" w:rsidTr="007B2348">
        <w:tc>
          <w:tcPr>
            <w:tcW w:w="2245" w:type="pct"/>
          </w:tcPr>
          <w:p w14:paraId="0F26B68F" w14:textId="009FF9F3" w:rsidR="00085018" w:rsidRPr="00FA0529" w:rsidRDefault="00085018" w:rsidP="00300E95">
            <w:pPr>
              <w:pStyle w:val="TableText"/>
              <w:keepLines/>
              <w:rPr>
                <w:b/>
                <w:color w:val="0D0D0D" w:themeColor="text1" w:themeTint="F2"/>
                <w:szCs w:val="20"/>
              </w:rPr>
            </w:pPr>
            <w:r w:rsidRPr="00FA0529">
              <w:rPr>
                <w:b/>
                <w:color w:val="0D0D0D" w:themeColor="text1" w:themeTint="F2"/>
                <w:szCs w:val="20"/>
              </w:rPr>
              <w:t>HR (0.24</w:t>
            </w:r>
            <w:r w:rsidR="009F512B" w:rsidRPr="00FA0529">
              <w:rPr>
                <w:b/>
                <w:color w:val="0D0D0D" w:themeColor="text1" w:themeTint="F2"/>
                <w:szCs w:val="20"/>
              </w:rPr>
              <w:t xml:space="preserve"> in</w:t>
            </w:r>
            <w:r w:rsidR="009A51B6" w:rsidRPr="00FA0529">
              <w:rPr>
                <w:b/>
                <w:color w:val="0D0D0D" w:themeColor="text1" w:themeTint="F2"/>
                <w:szCs w:val="20"/>
              </w:rPr>
              <w:t xml:space="preserve"> starting point model</w:t>
            </w:r>
            <w:r w:rsidRPr="00FA0529">
              <w:rPr>
                <w:b/>
                <w:color w:val="0D0D0D" w:themeColor="text1" w:themeTint="F2"/>
                <w:szCs w:val="20"/>
              </w:rPr>
              <w:t>)</w:t>
            </w:r>
          </w:p>
        </w:tc>
        <w:tc>
          <w:tcPr>
            <w:tcW w:w="843" w:type="pct"/>
          </w:tcPr>
          <w:p w14:paraId="5B3639A7" w14:textId="77777777" w:rsidR="00085018" w:rsidRPr="00FA0529" w:rsidRDefault="00085018" w:rsidP="00300E95">
            <w:pPr>
              <w:pStyle w:val="TableText"/>
              <w:keepLines/>
              <w:jc w:val="center"/>
              <w:rPr>
                <w:bCs w:val="0"/>
                <w:color w:val="0D0D0D" w:themeColor="text1" w:themeTint="F2"/>
              </w:rPr>
            </w:pPr>
          </w:p>
        </w:tc>
        <w:tc>
          <w:tcPr>
            <w:tcW w:w="824" w:type="pct"/>
          </w:tcPr>
          <w:p w14:paraId="4A4EB43A" w14:textId="77777777" w:rsidR="00085018" w:rsidRPr="00FA0529" w:rsidRDefault="00085018" w:rsidP="00300E95">
            <w:pPr>
              <w:pStyle w:val="TableText"/>
              <w:keepLines/>
              <w:jc w:val="center"/>
              <w:rPr>
                <w:bCs w:val="0"/>
                <w:color w:val="0D0D0D" w:themeColor="text1" w:themeTint="F2"/>
              </w:rPr>
            </w:pPr>
          </w:p>
        </w:tc>
        <w:tc>
          <w:tcPr>
            <w:tcW w:w="1088" w:type="pct"/>
          </w:tcPr>
          <w:p w14:paraId="4864F8E0" w14:textId="77777777" w:rsidR="00085018" w:rsidRPr="00FA0529" w:rsidRDefault="00085018" w:rsidP="00300E95">
            <w:pPr>
              <w:pStyle w:val="TableText"/>
              <w:keepLines/>
              <w:jc w:val="center"/>
              <w:rPr>
                <w:bCs w:val="0"/>
                <w:color w:val="0D0D0D" w:themeColor="text1" w:themeTint="F2"/>
                <w:szCs w:val="20"/>
              </w:rPr>
            </w:pPr>
          </w:p>
        </w:tc>
      </w:tr>
      <w:tr w:rsidR="00085018" w:rsidRPr="00FA0529" w14:paraId="5B821354" w14:textId="77777777" w:rsidTr="007B2348">
        <w:tc>
          <w:tcPr>
            <w:tcW w:w="2245" w:type="pct"/>
          </w:tcPr>
          <w:p w14:paraId="17189C58" w14:textId="65021804" w:rsidR="00085018" w:rsidRPr="00FA0529" w:rsidRDefault="00085018" w:rsidP="00300E95">
            <w:pPr>
              <w:pStyle w:val="TableText"/>
              <w:keepLines/>
              <w:rPr>
                <w:bCs w:val="0"/>
                <w:color w:val="0D0D0D" w:themeColor="text1" w:themeTint="F2"/>
                <w:szCs w:val="20"/>
              </w:rPr>
            </w:pPr>
            <w:r w:rsidRPr="00FA0529">
              <w:rPr>
                <w:bCs w:val="0"/>
                <w:color w:val="0D0D0D" w:themeColor="text1" w:themeTint="F2"/>
                <w:szCs w:val="20"/>
              </w:rPr>
              <w:t>HR = 0.32 #1</w:t>
            </w:r>
          </w:p>
        </w:tc>
        <w:tc>
          <w:tcPr>
            <w:tcW w:w="843" w:type="pct"/>
          </w:tcPr>
          <w:p w14:paraId="2632A7A6" w14:textId="040A46D6"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w:t>
            </w:r>
            <w:r w:rsidR="00DE7EE1" w:rsidRPr="00E40CE9">
              <w:rPr>
                <w:bCs w:val="0"/>
                <w:color w:val="0D0D0D" w:themeColor="text1" w:themeTint="F2"/>
                <w:spacing w:val="51"/>
                <w:shd w:val="solid" w:color="000000" w:fill="000000"/>
                <w:fitText w:val="324" w:id="-628460285"/>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85"/>
                <w14:textFill>
                  <w14:solidFill>
                    <w14:schemeClr w14:val="tx1">
                      <w14:alpha w14:val="100000"/>
                      <w14:lumMod w14:val="95000"/>
                      <w14:lumOff w14:val="5000"/>
                    </w14:schemeClr>
                  </w14:solidFill>
                </w14:textFill>
              </w:rPr>
              <w:t>|</w:t>
            </w:r>
          </w:p>
        </w:tc>
        <w:tc>
          <w:tcPr>
            <w:tcW w:w="824" w:type="pct"/>
          </w:tcPr>
          <w:p w14:paraId="00565051" w14:textId="7E82672F"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0.95</w:t>
            </w:r>
          </w:p>
        </w:tc>
        <w:tc>
          <w:tcPr>
            <w:tcW w:w="1088" w:type="pct"/>
          </w:tcPr>
          <w:p w14:paraId="0A53F212" w14:textId="28BABAA7" w:rsidR="00085018" w:rsidRPr="00221DDA" w:rsidRDefault="00085018" w:rsidP="00300E95">
            <w:pPr>
              <w:pStyle w:val="TableText"/>
              <w:keepLines/>
              <w:jc w:val="center"/>
              <w:rPr>
                <w:bCs w:val="0"/>
                <w:color w:val="0D0D0D" w:themeColor="text1" w:themeTint="F2"/>
                <w:szCs w:val="20"/>
                <w:vertAlign w:val="superscript"/>
              </w:rPr>
            </w:pPr>
            <w:r w:rsidRPr="00FA0529">
              <w:rPr>
                <w:bCs w:val="0"/>
                <w:color w:val="0D0D0D" w:themeColor="text1" w:themeTint="F2"/>
                <w:szCs w:val="20"/>
              </w:rPr>
              <w:t>$</w:t>
            </w:r>
            <w:r w:rsidR="00DE7EE1" w:rsidRPr="00E40CE9">
              <w:rPr>
                <w:bCs w:val="0"/>
                <w:color w:val="0D0D0D" w:themeColor="text1" w:themeTint="F2"/>
                <w:spacing w:val="51"/>
                <w:szCs w:val="20"/>
                <w:shd w:val="solid" w:color="000000" w:fill="000000"/>
                <w:fitText w:val="324" w:id="-628460284"/>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24" w:id="-628460284"/>
                <w14:textFill>
                  <w14:solidFill>
                    <w14:schemeClr w14:val="tx1">
                      <w14:alpha w14:val="100000"/>
                      <w14:lumMod w14:val="95000"/>
                      <w14:lumOff w14:val="5000"/>
                    </w14:schemeClr>
                  </w14:solidFill>
                </w14:textFill>
              </w:rPr>
              <w:t>|</w:t>
            </w:r>
            <w:r w:rsidR="00AB4720">
              <w:rPr>
                <w:bCs w:val="0"/>
                <w:color w:val="0D0D0D" w:themeColor="text1" w:themeTint="F2"/>
                <w:szCs w:val="20"/>
                <w:vertAlign w:val="superscript"/>
              </w:rPr>
              <w:t>2</w:t>
            </w:r>
          </w:p>
        </w:tc>
      </w:tr>
      <w:tr w:rsidR="00085018" w:rsidRPr="00FA0529" w14:paraId="48BDE3E4" w14:textId="77777777" w:rsidTr="007B2348">
        <w:tc>
          <w:tcPr>
            <w:tcW w:w="2245" w:type="pct"/>
          </w:tcPr>
          <w:p w14:paraId="53ED5F75" w14:textId="0B78D3C1" w:rsidR="00085018" w:rsidRPr="00FA0529" w:rsidRDefault="00085018" w:rsidP="00300E95">
            <w:pPr>
              <w:pStyle w:val="TableText"/>
              <w:keepLines/>
              <w:rPr>
                <w:b/>
                <w:color w:val="0D0D0D" w:themeColor="text1" w:themeTint="F2"/>
                <w:szCs w:val="20"/>
              </w:rPr>
            </w:pPr>
            <w:r w:rsidRPr="00FA0529">
              <w:rPr>
                <w:b/>
                <w:color w:val="0D0D0D" w:themeColor="text1" w:themeTint="F2"/>
                <w:szCs w:val="20"/>
              </w:rPr>
              <w:t>Time horizon (10 years</w:t>
            </w:r>
            <w:r w:rsidR="009F512B" w:rsidRPr="00FA0529">
              <w:rPr>
                <w:b/>
                <w:color w:val="0D0D0D" w:themeColor="text1" w:themeTint="F2"/>
                <w:szCs w:val="20"/>
              </w:rPr>
              <w:t xml:space="preserve"> in</w:t>
            </w:r>
            <w:r w:rsidR="009A51B6" w:rsidRPr="00FA0529">
              <w:rPr>
                <w:b/>
                <w:color w:val="0D0D0D" w:themeColor="text1" w:themeTint="F2"/>
                <w:szCs w:val="20"/>
              </w:rPr>
              <w:t xml:space="preserve"> starting point model</w:t>
            </w:r>
            <w:r w:rsidRPr="00FA0529">
              <w:rPr>
                <w:b/>
                <w:color w:val="0D0D0D" w:themeColor="text1" w:themeTint="F2"/>
                <w:szCs w:val="20"/>
              </w:rPr>
              <w:t>)</w:t>
            </w:r>
          </w:p>
        </w:tc>
        <w:tc>
          <w:tcPr>
            <w:tcW w:w="843" w:type="pct"/>
          </w:tcPr>
          <w:p w14:paraId="5473E26B" w14:textId="77777777" w:rsidR="00085018" w:rsidRPr="00FA0529" w:rsidRDefault="00085018" w:rsidP="00300E95">
            <w:pPr>
              <w:pStyle w:val="TableText"/>
              <w:keepLines/>
              <w:jc w:val="center"/>
              <w:rPr>
                <w:bCs w:val="0"/>
                <w:color w:val="0D0D0D" w:themeColor="text1" w:themeTint="F2"/>
              </w:rPr>
            </w:pPr>
          </w:p>
        </w:tc>
        <w:tc>
          <w:tcPr>
            <w:tcW w:w="824" w:type="pct"/>
          </w:tcPr>
          <w:p w14:paraId="7CC217AE" w14:textId="77777777" w:rsidR="00085018" w:rsidRPr="00FA0529" w:rsidRDefault="00085018" w:rsidP="00300E95">
            <w:pPr>
              <w:pStyle w:val="TableText"/>
              <w:keepLines/>
              <w:jc w:val="center"/>
              <w:rPr>
                <w:bCs w:val="0"/>
                <w:color w:val="0D0D0D" w:themeColor="text1" w:themeTint="F2"/>
              </w:rPr>
            </w:pPr>
          </w:p>
        </w:tc>
        <w:tc>
          <w:tcPr>
            <w:tcW w:w="1088" w:type="pct"/>
          </w:tcPr>
          <w:p w14:paraId="3D13753B" w14:textId="77777777" w:rsidR="00085018" w:rsidRPr="00FA0529" w:rsidRDefault="00085018" w:rsidP="00300E95">
            <w:pPr>
              <w:pStyle w:val="TableText"/>
              <w:keepLines/>
              <w:jc w:val="center"/>
              <w:rPr>
                <w:bCs w:val="0"/>
                <w:color w:val="0D0D0D" w:themeColor="text1" w:themeTint="F2"/>
                <w:szCs w:val="20"/>
              </w:rPr>
            </w:pPr>
          </w:p>
        </w:tc>
      </w:tr>
      <w:tr w:rsidR="00085018" w:rsidRPr="00FA0529" w14:paraId="6E9DB9A9" w14:textId="77777777" w:rsidTr="007B2348">
        <w:tc>
          <w:tcPr>
            <w:tcW w:w="2245" w:type="pct"/>
          </w:tcPr>
          <w:p w14:paraId="693B8A1B" w14:textId="75036200" w:rsidR="00085018" w:rsidRPr="00FA0529" w:rsidRDefault="00085018" w:rsidP="00300E95">
            <w:pPr>
              <w:pStyle w:val="TableText"/>
              <w:keepLines/>
              <w:rPr>
                <w:bCs w:val="0"/>
                <w:color w:val="0D0D0D" w:themeColor="text1" w:themeTint="F2"/>
                <w:szCs w:val="20"/>
              </w:rPr>
            </w:pPr>
            <w:r w:rsidRPr="00FA0529">
              <w:rPr>
                <w:bCs w:val="0"/>
                <w:color w:val="0D0D0D" w:themeColor="text1" w:themeTint="F2"/>
                <w:szCs w:val="20"/>
              </w:rPr>
              <w:t>7 years #2</w:t>
            </w:r>
          </w:p>
        </w:tc>
        <w:tc>
          <w:tcPr>
            <w:tcW w:w="843" w:type="pct"/>
          </w:tcPr>
          <w:p w14:paraId="2C2E271E" w14:textId="3E7B6F91"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w:t>
            </w:r>
            <w:r w:rsidR="00DE7EE1" w:rsidRPr="00E40CE9">
              <w:rPr>
                <w:bCs w:val="0"/>
                <w:color w:val="0D0D0D" w:themeColor="text1" w:themeTint="F2"/>
                <w:spacing w:val="51"/>
                <w:shd w:val="solid" w:color="000000" w:fill="000000"/>
                <w:fitText w:val="324" w:id="-628460283"/>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83"/>
                <w14:textFill>
                  <w14:solidFill>
                    <w14:schemeClr w14:val="tx1">
                      <w14:alpha w14:val="100000"/>
                      <w14:lumMod w14:val="95000"/>
                      <w14:lumOff w14:val="5000"/>
                    </w14:schemeClr>
                  </w14:solidFill>
                </w14:textFill>
              </w:rPr>
              <w:t>|</w:t>
            </w:r>
          </w:p>
        </w:tc>
        <w:tc>
          <w:tcPr>
            <w:tcW w:w="824" w:type="pct"/>
          </w:tcPr>
          <w:p w14:paraId="019F86AA" w14:textId="549E3A04"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1.12</w:t>
            </w:r>
          </w:p>
        </w:tc>
        <w:tc>
          <w:tcPr>
            <w:tcW w:w="1088" w:type="pct"/>
          </w:tcPr>
          <w:p w14:paraId="5FFDD649" w14:textId="788F20CE" w:rsidR="00085018" w:rsidRPr="00221DDA" w:rsidRDefault="00085018" w:rsidP="00300E95">
            <w:pPr>
              <w:pStyle w:val="TableText"/>
              <w:keepLines/>
              <w:jc w:val="center"/>
              <w:rPr>
                <w:bCs w:val="0"/>
                <w:color w:val="0D0D0D" w:themeColor="text1" w:themeTint="F2"/>
                <w:szCs w:val="20"/>
                <w:vertAlign w:val="superscript"/>
              </w:rPr>
            </w:pPr>
            <w:r w:rsidRPr="00FA0529">
              <w:rPr>
                <w:bCs w:val="0"/>
                <w:color w:val="0D0D0D" w:themeColor="text1" w:themeTint="F2"/>
                <w:szCs w:val="20"/>
              </w:rPr>
              <w:t>$</w:t>
            </w:r>
            <w:r w:rsidR="00DE7EE1" w:rsidRPr="00E40CE9">
              <w:rPr>
                <w:bCs w:val="0"/>
                <w:color w:val="0D0D0D" w:themeColor="text1" w:themeTint="F2"/>
                <w:spacing w:val="51"/>
                <w:szCs w:val="20"/>
                <w:shd w:val="solid" w:color="000000" w:fill="000000"/>
                <w:fitText w:val="324" w:id="-628460282"/>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24" w:id="-628460282"/>
                <w14:textFill>
                  <w14:solidFill>
                    <w14:schemeClr w14:val="tx1">
                      <w14:alpha w14:val="100000"/>
                      <w14:lumMod w14:val="95000"/>
                      <w14:lumOff w14:val="5000"/>
                    </w14:schemeClr>
                  </w14:solidFill>
                </w14:textFill>
              </w:rPr>
              <w:t>|</w:t>
            </w:r>
            <w:r w:rsidR="002831CE">
              <w:rPr>
                <w:bCs w:val="0"/>
                <w:color w:val="0D0D0D" w:themeColor="text1" w:themeTint="F2"/>
                <w:szCs w:val="20"/>
                <w:vertAlign w:val="superscript"/>
              </w:rPr>
              <w:t>1</w:t>
            </w:r>
          </w:p>
        </w:tc>
      </w:tr>
      <w:tr w:rsidR="00987064" w:rsidRPr="00FA0529" w14:paraId="1C53AEB3" w14:textId="77777777" w:rsidTr="00987064">
        <w:tc>
          <w:tcPr>
            <w:tcW w:w="5000" w:type="pct"/>
            <w:gridSpan w:val="4"/>
          </w:tcPr>
          <w:p w14:paraId="06252F83" w14:textId="77777777" w:rsidR="00987064" w:rsidRPr="00FA0529" w:rsidRDefault="00987064" w:rsidP="00300E95">
            <w:pPr>
              <w:pStyle w:val="TableText"/>
              <w:keepLines/>
              <w:jc w:val="center"/>
              <w:rPr>
                <w:bCs w:val="0"/>
                <w:color w:val="0D0D0D" w:themeColor="text1" w:themeTint="F2"/>
                <w:szCs w:val="20"/>
              </w:rPr>
            </w:pPr>
          </w:p>
        </w:tc>
      </w:tr>
      <w:tr w:rsidR="00085018" w:rsidRPr="00FA0529" w14:paraId="2C650202" w14:textId="77777777" w:rsidTr="007B2348">
        <w:tc>
          <w:tcPr>
            <w:tcW w:w="2245" w:type="pct"/>
          </w:tcPr>
          <w:p w14:paraId="0418A101" w14:textId="6CC01F88" w:rsidR="00085018" w:rsidRPr="00FA0529" w:rsidRDefault="00085018" w:rsidP="00300E95">
            <w:pPr>
              <w:pStyle w:val="TableText"/>
              <w:keepLines/>
              <w:rPr>
                <w:b/>
                <w:color w:val="0D0D0D" w:themeColor="text1" w:themeTint="F2"/>
                <w:szCs w:val="20"/>
              </w:rPr>
            </w:pPr>
            <w:r w:rsidRPr="00FA0529">
              <w:rPr>
                <w:b/>
                <w:color w:val="0D0D0D" w:themeColor="text1" w:themeTint="F2"/>
                <w:szCs w:val="20"/>
              </w:rPr>
              <w:t>#1 + #2</w:t>
            </w:r>
          </w:p>
        </w:tc>
        <w:tc>
          <w:tcPr>
            <w:tcW w:w="843" w:type="pct"/>
          </w:tcPr>
          <w:p w14:paraId="3FE54EAC" w14:textId="27A90F93"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w:t>
            </w:r>
            <w:r w:rsidR="00DE7EE1" w:rsidRPr="00E40CE9">
              <w:rPr>
                <w:bCs w:val="0"/>
                <w:color w:val="0D0D0D" w:themeColor="text1" w:themeTint="F2"/>
                <w:spacing w:val="51"/>
                <w:shd w:val="solid" w:color="000000" w:fill="000000"/>
                <w:fitText w:val="324" w:id="-628460281"/>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81"/>
                <w14:textFill>
                  <w14:solidFill>
                    <w14:schemeClr w14:val="tx1">
                      <w14:alpha w14:val="100000"/>
                      <w14:lumMod w14:val="95000"/>
                      <w14:lumOff w14:val="5000"/>
                    </w14:schemeClr>
                  </w14:solidFill>
                </w14:textFill>
              </w:rPr>
              <w:t>|</w:t>
            </w:r>
          </w:p>
        </w:tc>
        <w:tc>
          <w:tcPr>
            <w:tcW w:w="824" w:type="pct"/>
          </w:tcPr>
          <w:p w14:paraId="5B07F5DF" w14:textId="71487814"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0.91</w:t>
            </w:r>
          </w:p>
        </w:tc>
        <w:tc>
          <w:tcPr>
            <w:tcW w:w="1088" w:type="pct"/>
          </w:tcPr>
          <w:p w14:paraId="5B706099" w14:textId="5B69DAF5" w:rsidR="00085018" w:rsidRPr="00221DDA" w:rsidRDefault="00085018" w:rsidP="00300E95">
            <w:pPr>
              <w:pStyle w:val="TableText"/>
              <w:keepLines/>
              <w:jc w:val="center"/>
              <w:rPr>
                <w:bCs w:val="0"/>
                <w:color w:val="0D0D0D" w:themeColor="text1" w:themeTint="F2"/>
                <w:szCs w:val="20"/>
                <w:vertAlign w:val="superscript"/>
              </w:rPr>
            </w:pPr>
            <w:r w:rsidRPr="00FA0529">
              <w:rPr>
                <w:bCs w:val="0"/>
                <w:color w:val="0D0D0D" w:themeColor="text1" w:themeTint="F2"/>
                <w:szCs w:val="20"/>
              </w:rPr>
              <w:t>$</w:t>
            </w:r>
            <w:r w:rsidR="00DE7EE1" w:rsidRPr="00E40CE9">
              <w:rPr>
                <w:bCs w:val="0"/>
                <w:color w:val="0D0D0D" w:themeColor="text1" w:themeTint="F2"/>
                <w:spacing w:val="51"/>
                <w:szCs w:val="20"/>
                <w:shd w:val="solid" w:color="000000" w:fill="000000"/>
                <w:fitText w:val="324" w:id="-628460280"/>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24" w:id="-628460280"/>
                <w14:textFill>
                  <w14:solidFill>
                    <w14:schemeClr w14:val="tx1">
                      <w14:alpha w14:val="100000"/>
                      <w14:lumMod w14:val="95000"/>
                      <w14:lumOff w14:val="5000"/>
                    </w14:schemeClr>
                  </w14:solidFill>
                </w14:textFill>
              </w:rPr>
              <w:t>|</w:t>
            </w:r>
            <w:r w:rsidR="00AB4720">
              <w:rPr>
                <w:bCs w:val="0"/>
                <w:color w:val="0D0D0D" w:themeColor="text1" w:themeTint="F2"/>
                <w:szCs w:val="20"/>
                <w:vertAlign w:val="superscript"/>
              </w:rPr>
              <w:t>2</w:t>
            </w:r>
          </w:p>
        </w:tc>
      </w:tr>
      <w:tr w:rsidR="00085018" w:rsidRPr="00FA0529" w14:paraId="59682131" w14:textId="77777777" w:rsidTr="007B2348">
        <w:tc>
          <w:tcPr>
            <w:tcW w:w="2245" w:type="pct"/>
          </w:tcPr>
          <w:p w14:paraId="386A2B02" w14:textId="5FB59149" w:rsidR="00085018" w:rsidRPr="00FA0529" w:rsidRDefault="00085018" w:rsidP="00300E95">
            <w:pPr>
              <w:pStyle w:val="TableText"/>
              <w:keepLines/>
              <w:rPr>
                <w:b/>
                <w:color w:val="0D0D0D" w:themeColor="text1" w:themeTint="F2"/>
                <w:szCs w:val="20"/>
              </w:rPr>
            </w:pPr>
            <w:r w:rsidRPr="00FA0529">
              <w:rPr>
                <w:b/>
                <w:color w:val="0D0D0D" w:themeColor="text1" w:themeTint="F2"/>
                <w:szCs w:val="20"/>
              </w:rPr>
              <w:t xml:space="preserve"># 1 + #2 and price reduction </w:t>
            </w:r>
          </w:p>
        </w:tc>
        <w:tc>
          <w:tcPr>
            <w:tcW w:w="843" w:type="pct"/>
          </w:tcPr>
          <w:p w14:paraId="5C00B933" w14:textId="4F81F6F3"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w:t>
            </w:r>
            <w:r w:rsidR="00DE7EE1" w:rsidRPr="00E40CE9">
              <w:rPr>
                <w:bCs w:val="0"/>
                <w:color w:val="0D0D0D" w:themeColor="text1" w:themeTint="F2"/>
                <w:spacing w:val="51"/>
                <w:shd w:val="solid" w:color="000000" w:fill="000000"/>
                <w:fitText w:val="324" w:id="-628460279"/>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79"/>
                <w14:textFill>
                  <w14:solidFill>
                    <w14:schemeClr w14:val="tx1">
                      <w14:alpha w14:val="100000"/>
                      <w14:lumMod w14:val="95000"/>
                      <w14:lumOff w14:val="5000"/>
                    </w14:schemeClr>
                  </w14:solidFill>
                </w14:textFill>
              </w:rPr>
              <w:t>|</w:t>
            </w:r>
          </w:p>
        </w:tc>
        <w:tc>
          <w:tcPr>
            <w:tcW w:w="824" w:type="pct"/>
          </w:tcPr>
          <w:p w14:paraId="22CDD2B0" w14:textId="1AFC78B4"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0.91</w:t>
            </w:r>
          </w:p>
        </w:tc>
        <w:tc>
          <w:tcPr>
            <w:tcW w:w="1088" w:type="pct"/>
          </w:tcPr>
          <w:p w14:paraId="4D1878C3" w14:textId="5AD3B328" w:rsidR="00085018" w:rsidRPr="00221DDA" w:rsidRDefault="00085018" w:rsidP="00300E95">
            <w:pPr>
              <w:pStyle w:val="TableText"/>
              <w:keepLines/>
              <w:jc w:val="center"/>
              <w:rPr>
                <w:bCs w:val="0"/>
                <w:color w:val="0D0D0D" w:themeColor="text1" w:themeTint="F2"/>
                <w:szCs w:val="20"/>
                <w:vertAlign w:val="superscript"/>
              </w:rPr>
            </w:pPr>
            <w:r w:rsidRPr="00FA0529">
              <w:rPr>
                <w:bCs w:val="0"/>
                <w:color w:val="0D0D0D" w:themeColor="text1" w:themeTint="F2"/>
                <w:szCs w:val="20"/>
              </w:rPr>
              <w:t>$</w:t>
            </w:r>
            <w:r w:rsidR="00DE7EE1" w:rsidRPr="00E40CE9">
              <w:rPr>
                <w:bCs w:val="0"/>
                <w:color w:val="0D0D0D" w:themeColor="text1" w:themeTint="F2"/>
                <w:spacing w:val="51"/>
                <w:szCs w:val="20"/>
                <w:shd w:val="solid" w:color="000000" w:fill="000000"/>
                <w:fitText w:val="324" w:id="-628460278"/>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24" w:id="-628460278"/>
                <w14:textFill>
                  <w14:solidFill>
                    <w14:schemeClr w14:val="tx1">
                      <w14:alpha w14:val="100000"/>
                      <w14:lumMod w14:val="95000"/>
                      <w14:lumOff w14:val="5000"/>
                    </w14:schemeClr>
                  </w14:solidFill>
                </w14:textFill>
              </w:rPr>
              <w:t>|</w:t>
            </w:r>
            <w:r w:rsidR="00AB4720">
              <w:rPr>
                <w:bCs w:val="0"/>
                <w:color w:val="0D0D0D" w:themeColor="text1" w:themeTint="F2"/>
                <w:szCs w:val="20"/>
                <w:vertAlign w:val="superscript"/>
              </w:rPr>
              <w:t>3</w:t>
            </w:r>
          </w:p>
        </w:tc>
      </w:tr>
    </w:tbl>
    <w:p w14:paraId="6483E672" w14:textId="214CDA09" w:rsidR="00073C9D" w:rsidRPr="00FA0529" w:rsidRDefault="00073C9D" w:rsidP="009351CA">
      <w:pPr>
        <w:pStyle w:val="TableFigureFooter"/>
        <w:keepNext/>
        <w:keepLines/>
        <w:rPr>
          <w:lang w:eastAsia="en-US"/>
        </w:rPr>
      </w:pPr>
      <w:r w:rsidRPr="00FA0529">
        <w:rPr>
          <w:lang w:eastAsia="en-US"/>
        </w:rPr>
        <w:t>Source:</w:t>
      </w:r>
      <w:r w:rsidR="00FB473F" w:rsidRPr="00FA0529">
        <w:rPr>
          <w:lang w:eastAsia="en-US"/>
        </w:rPr>
        <w:t xml:space="preserve"> constructed during the evaluation from the economic model and </w:t>
      </w:r>
      <w:r w:rsidRPr="00FA0529">
        <w:rPr>
          <w:lang w:eastAsia="en-US"/>
        </w:rPr>
        <w:t xml:space="preserve">Table </w:t>
      </w:r>
      <w:r w:rsidR="00FB473F" w:rsidRPr="00FA0529">
        <w:rPr>
          <w:lang w:eastAsia="en-US"/>
        </w:rPr>
        <w:t xml:space="preserve">3-2 of the </w:t>
      </w:r>
      <w:r w:rsidRPr="00FA0529">
        <w:rPr>
          <w:lang w:eastAsia="en-US"/>
        </w:rPr>
        <w:t>Futibatinib Early Re-Entry Submission</w:t>
      </w:r>
    </w:p>
    <w:p w14:paraId="7F516036" w14:textId="77777777" w:rsidR="009A04FB" w:rsidRDefault="00987064" w:rsidP="009351CA">
      <w:pPr>
        <w:pStyle w:val="TableFigureFooter"/>
        <w:keepNext/>
        <w:keepLines/>
      </w:pPr>
      <w:r w:rsidRPr="00FA0529">
        <w:t>HR, hazard ration</w:t>
      </w:r>
      <w:r w:rsidR="00835704" w:rsidRPr="00FA0529">
        <w:t>; ICER, incremental cost-effectiveness ratio; QALY, quality adjusted life year.</w:t>
      </w:r>
    </w:p>
    <w:p w14:paraId="52937587" w14:textId="62EDD447" w:rsidR="009A04FB" w:rsidRPr="009A04FB" w:rsidRDefault="009A04FB" w:rsidP="009A04FB">
      <w:pPr>
        <w:pStyle w:val="TableFigureFooter"/>
        <w:keepNext/>
        <w:keepLines/>
        <w:rPr>
          <w:i/>
        </w:rPr>
      </w:pPr>
      <w:r w:rsidRPr="009A04FB">
        <w:rPr>
          <w:i/>
        </w:rPr>
        <w:t xml:space="preserve">The redacted values correspond to the following ranges: </w:t>
      </w:r>
    </w:p>
    <w:p w14:paraId="7E109D4C" w14:textId="358FB12B" w:rsidR="009A04FB" w:rsidRPr="009A04FB" w:rsidRDefault="009A04FB" w:rsidP="009A04FB">
      <w:pPr>
        <w:pStyle w:val="TableFigureFooter"/>
        <w:keepNext/>
        <w:keepLines/>
        <w:rPr>
          <w:i/>
        </w:rPr>
      </w:pPr>
      <w:r w:rsidRPr="009A04FB">
        <w:rPr>
          <w:i/>
          <w:vertAlign w:val="superscript"/>
        </w:rPr>
        <w:t>1</w:t>
      </w:r>
      <w:r w:rsidRPr="009A04FB">
        <w:rPr>
          <w:i/>
        </w:rPr>
        <w:t xml:space="preserve"> </w:t>
      </w:r>
      <w:r w:rsidR="002831CE" w:rsidRPr="002831CE">
        <w:rPr>
          <w:i/>
        </w:rPr>
        <w:t xml:space="preserve">$95,000 to &lt; $115,000 </w:t>
      </w:r>
    </w:p>
    <w:p w14:paraId="5E6F63F8" w14:textId="42DC24FB" w:rsidR="009A04FB" w:rsidRPr="009A04FB" w:rsidRDefault="009A04FB" w:rsidP="009A04FB">
      <w:pPr>
        <w:pStyle w:val="TableFigureFooter"/>
        <w:keepNext/>
        <w:keepLines/>
        <w:rPr>
          <w:i/>
        </w:rPr>
      </w:pPr>
      <w:r w:rsidRPr="009A04FB">
        <w:rPr>
          <w:i/>
          <w:vertAlign w:val="superscript"/>
        </w:rPr>
        <w:t>2</w:t>
      </w:r>
      <w:r w:rsidRPr="009A04FB">
        <w:rPr>
          <w:i/>
        </w:rPr>
        <w:t xml:space="preserve"> </w:t>
      </w:r>
      <w:r w:rsidR="00AB4720" w:rsidRPr="00AB4720">
        <w:rPr>
          <w:i/>
        </w:rPr>
        <w:t>$115,000 to &lt; $135,000</w:t>
      </w:r>
    </w:p>
    <w:p w14:paraId="651A68BB" w14:textId="6038B786" w:rsidR="00FC1AC6" w:rsidRPr="00FA0529" w:rsidRDefault="009A04FB" w:rsidP="009351CA">
      <w:pPr>
        <w:pStyle w:val="TableFigureFooter"/>
        <w:keepNext/>
        <w:keepLines/>
      </w:pPr>
      <w:r w:rsidRPr="009A04FB">
        <w:rPr>
          <w:i/>
          <w:vertAlign w:val="superscript"/>
        </w:rPr>
        <w:t>3</w:t>
      </w:r>
      <w:r w:rsidRPr="009A04FB">
        <w:rPr>
          <w:i/>
        </w:rPr>
        <w:t xml:space="preserve"> </w:t>
      </w:r>
      <w:r w:rsidR="00F44EE2" w:rsidRPr="00F44EE2">
        <w:rPr>
          <w:i/>
        </w:rPr>
        <w:t>$75,000 to &lt; $95,000</w:t>
      </w:r>
    </w:p>
    <w:p w14:paraId="3474DADF" w14:textId="1D2BD5C6" w:rsidR="00975B81" w:rsidRPr="00FA0529" w:rsidRDefault="00DE7EE1" w:rsidP="009D358A">
      <w:pPr>
        <w:pStyle w:val="Caption"/>
        <w:keepNext/>
        <w:keepLines/>
        <w:jc w:val="left"/>
        <w:rPr>
          <w:rFonts w:ascii="Arial Narrow" w:eastAsiaTheme="majorEastAsia" w:hAnsi="Arial Narrow" w:cstheme="majorBidi"/>
          <w:b/>
          <w:bCs/>
          <w:i w:val="0"/>
          <w:iCs w:val="0"/>
          <w:color w:val="auto"/>
          <w:sz w:val="20"/>
          <w:szCs w:val="24"/>
        </w:rPr>
      </w:pPr>
      <w:bookmarkStart w:id="15" w:name="_Ref201665582"/>
      <w:r w:rsidRPr="00E40CE9">
        <w:rPr>
          <w:spacing w:val="13"/>
          <w:shd w:val="solid" w:color="000000" w:fill="000000"/>
          <w:fitText w:val="372" w:id="-628460277"/>
          <w14:textFill>
            <w14:solidFill>
              <w14:schemeClr w14:val="tx2">
                <w14:alpha w14:val="100000"/>
              </w14:schemeClr>
            </w14:solidFill>
          </w14:textFill>
        </w:rPr>
        <w:t>|||</w:t>
      </w:r>
      <w:r w:rsidRPr="00E40CE9">
        <w:rPr>
          <w:spacing w:val="2"/>
          <w:shd w:val="solid" w:color="000000" w:fill="000000"/>
          <w:fitText w:val="372" w:id="-628460277"/>
          <w14:textFill>
            <w14:solidFill>
              <w14:schemeClr w14:val="tx2">
                <w14:alpha w14:val="100000"/>
              </w14:schemeClr>
            </w14:solidFill>
          </w14:textFill>
        </w:rPr>
        <w:t>|</w:t>
      </w:r>
      <w:r w:rsidR="00BB6B3A" w:rsidRPr="00FA0529">
        <w:rPr>
          <w:rFonts w:ascii="Arial Narrow" w:eastAsiaTheme="majorEastAsia" w:hAnsi="Arial Narrow" w:cstheme="majorBidi"/>
          <w:b/>
          <w:bCs/>
          <w:i w:val="0"/>
          <w:iCs w:val="0"/>
          <w:color w:val="auto"/>
          <w:sz w:val="20"/>
          <w:szCs w:val="24"/>
        </w:rPr>
        <w:t xml:space="preserve">Figure </w:t>
      </w:r>
      <w:r w:rsidR="00BB6B3A" w:rsidRPr="00FA0529">
        <w:rPr>
          <w:rFonts w:ascii="Arial Narrow" w:eastAsiaTheme="majorEastAsia" w:hAnsi="Arial Narrow" w:cstheme="majorBidi"/>
          <w:b/>
          <w:bCs/>
          <w:i w:val="0"/>
          <w:iCs w:val="0"/>
          <w:color w:val="auto"/>
          <w:sz w:val="20"/>
          <w:szCs w:val="24"/>
        </w:rPr>
        <w:fldChar w:fldCharType="begin"/>
      </w:r>
      <w:r w:rsidR="00BB6B3A" w:rsidRPr="00FA0529">
        <w:rPr>
          <w:rFonts w:ascii="Arial Narrow" w:eastAsiaTheme="majorEastAsia" w:hAnsi="Arial Narrow" w:cstheme="majorBidi"/>
          <w:b/>
          <w:bCs/>
          <w:i w:val="0"/>
          <w:iCs w:val="0"/>
          <w:color w:val="auto"/>
          <w:sz w:val="20"/>
          <w:szCs w:val="24"/>
        </w:rPr>
        <w:instrText xml:space="preserve"> SEQ Figure \* ARABIC </w:instrText>
      </w:r>
      <w:r w:rsidR="00BB6B3A" w:rsidRPr="00FA0529">
        <w:rPr>
          <w:rFonts w:ascii="Arial Narrow" w:eastAsiaTheme="majorEastAsia" w:hAnsi="Arial Narrow" w:cstheme="majorBidi"/>
          <w:b/>
          <w:bCs/>
          <w:i w:val="0"/>
          <w:iCs w:val="0"/>
          <w:color w:val="auto"/>
          <w:sz w:val="20"/>
          <w:szCs w:val="24"/>
        </w:rPr>
        <w:fldChar w:fldCharType="separate"/>
      </w:r>
      <w:r w:rsidR="00462AA0">
        <w:rPr>
          <w:rFonts w:ascii="Arial Narrow" w:eastAsiaTheme="majorEastAsia" w:hAnsi="Arial Narrow" w:cstheme="majorBidi"/>
          <w:b/>
          <w:bCs/>
          <w:i w:val="0"/>
          <w:iCs w:val="0"/>
          <w:noProof/>
          <w:color w:val="auto"/>
          <w:sz w:val="20"/>
          <w:szCs w:val="24"/>
        </w:rPr>
        <w:t>1</w:t>
      </w:r>
      <w:r w:rsidR="00BB6B3A" w:rsidRPr="00FA0529">
        <w:rPr>
          <w:rFonts w:ascii="Arial Narrow" w:eastAsiaTheme="majorEastAsia" w:hAnsi="Arial Narrow" w:cstheme="majorBidi"/>
          <w:b/>
          <w:bCs/>
          <w:i w:val="0"/>
          <w:iCs w:val="0"/>
          <w:color w:val="auto"/>
          <w:sz w:val="20"/>
          <w:szCs w:val="24"/>
        </w:rPr>
        <w:fldChar w:fldCharType="end"/>
      </w:r>
      <w:bookmarkEnd w:id="15"/>
      <w:r w:rsidR="00BB6B3A" w:rsidRPr="00FA0529">
        <w:rPr>
          <w:rFonts w:ascii="Arial Narrow" w:eastAsiaTheme="majorEastAsia" w:hAnsi="Arial Narrow" w:cstheme="majorBidi"/>
          <w:b/>
          <w:bCs/>
          <w:i w:val="0"/>
          <w:iCs w:val="0"/>
          <w:color w:val="auto"/>
          <w:sz w:val="20"/>
          <w:szCs w:val="24"/>
        </w:rPr>
        <w:t xml:space="preserve">: </w:t>
      </w:r>
      <w:r w:rsidR="005700B5" w:rsidRPr="00FA0529">
        <w:rPr>
          <w:rFonts w:ascii="Arial Narrow" w:eastAsiaTheme="majorEastAsia" w:hAnsi="Arial Narrow" w:cstheme="majorBidi"/>
          <w:b/>
          <w:bCs/>
          <w:i w:val="0"/>
          <w:iCs w:val="0"/>
          <w:color w:val="auto"/>
          <w:sz w:val="20"/>
          <w:szCs w:val="24"/>
        </w:rPr>
        <w:t>Survival curves of the base case economic model</w:t>
      </w:r>
    </w:p>
    <w:p w14:paraId="3018AFAA" w14:textId="09CA37A0" w:rsidR="00CC2902" w:rsidRPr="00FA0529" w:rsidRDefault="002B57AF" w:rsidP="009D358A">
      <w:pPr>
        <w:pStyle w:val="3-BodyText"/>
        <w:keepNext/>
        <w:keepLines/>
        <w:numPr>
          <w:ilvl w:val="0"/>
          <w:numId w:val="0"/>
        </w:numPr>
      </w:pPr>
      <w:r w:rsidRPr="00F6742D">
        <w:rPr>
          <w:noProof/>
        </w:rPr>
        <w:drawing>
          <wp:inline distT="0" distB="0" distL="0" distR="0" wp14:anchorId="2DC49A71" wp14:editId="68AF6FB9">
            <wp:extent cx="5731510" cy="2517775"/>
            <wp:effectExtent l="0" t="0" r="2540" b="0"/>
            <wp:docPr id="373385088" name="Picture 1" descr="Survival curves of the base cas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85088" name="Picture 1" descr="Survival curves of the base case economic model"/>
                    <pic:cNvPicPr/>
                  </pic:nvPicPr>
                  <pic:blipFill>
                    <a:blip r:embed="rId11"/>
                    <a:stretch>
                      <a:fillRect/>
                    </a:stretch>
                  </pic:blipFill>
                  <pic:spPr>
                    <a:xfrm>
                      <a:off x="0" y="0"/>
                      <a:ext cx="5731510" cy="2517775"/>
                    </a:xfrm>
                    <a:prstGeom prst="rect">
                      <a:avLst/>
                    </a:prstGeom>
                  </pic:spPr>
                </pic:pic>
              </a:graphicData>
            </a:graphic>
          </wp:inline>
        </w:drawing>
      </w:r>
    </w:p>
    <w:p w14:paraId="46FD274C" w14:textId="4282C520" w:rsidR="00CC2902" w:rsidRPr="00FA0529" w:rsidRDefault="00A375D6" w:rsidP="009D358A">
      <w:pPr>
        <w:pStyle w:val="3-BodyText"/>
        <w:keepNext/>
        <w:keepLines/>
        <w:numPr>
          <w:ilvl w:val="0"/>
          <w:numId w:val="0"/>
        </w:numPr>
        <w:rPr>
          <w:rFonts w:ascii="Arial Narrow" w:hAnsi="Arial Narrow"/>
          <w:sz w:val="18"/>
          <w:szCs w:val="16"/>
        </w:rPr>
      </w:pPr>
      <w:r w:rsidRPr="00FA0529">
        <w:rPr>
          <w:rFonts w:ascii="Arial Narrow" w:hAnsi="Arial Narrow"/>
          <w:sz w:val="18"/>
          <w:szCs w:val="16"/>
        </w:rPr>
        <w:t>Source:</w:t>
      </w:r>
      <w:r w:rsidR="00347E7A" w:rsidRPr="00FA0529">
        <w:rPr>
          <w:rFonts w:ascii="Arial Narrow" w:hAnsi="Arial Narrow"/>
          <w:sz w:val="18"/>
          <w:szCs w:val="16"/>
        </w:rPr>
        <w:t xml:space="preserve"> economic model provided with the early re-entry resubmission </w:t>
      </w:r>
    </w:p>
    <w:p w14:paraId="55F205CC" w14:textId="522332DB" w:rsidR="00F51AFC" w:rsidRPr="00FA0529" w:rsidRDefault="00F51AFC" w:rsidP="00F51AFC">
      <w:pPr>
        <w:pStyle w:val="3-BodyText"/>
      </w:pPr>
      <w:r w:rsidRPr="00FA0529">
        <w:t xml:space="preserve">The resubmission noted that the updated OS HR used in the resubmission (0.32) resulted in approximately 4% futibatinib of patients alive at 7 years. </w:t>
      </w:r>
    </w:p>
    <w:p w14:paraId="2A7167FC" w14:textId="67324F48" w:rsidR="003C04FD" w:rsidRPr="00FA0529" w:rsidRDefault="003C04FD">
      <w:pPr>
        <w:pStyle w:val="3-BodyText"/>
      </w:pPr>
      <w:r w:rsidRPr="00FA0529">
        <w:t>The revised model result</w:t>
      </w:r>
      <w:r w:rsidR="005B165B" w:rsidRPr="00FA0529">
        <w:t xml:space="preserve">ed in </w:t>
      </w:r>
      <w:r w:rsidRPr="00FA0529">
        <w:t>1.</w:t>
      </w:r>
      <w:r w:rsidR="00B64433" w:rsidRPr="00FA0529">
        <w:t>99</w:t>
      </w:r>
      <w:r w:rsidR="005B165B" w:rsidRPr="00FA0529">
        <w:t xml:space="preserve"> life years gained (LYG) (undiscounted</w:t>
      </w:r>
      <w:r w:rsidR="006E72F8" w:rsidRPr="00FA0529">
        <w:t>, over 7 years</w:t>
      </w:r>
      <w:r w:rsidR="005B165B" w:rsidRPr="00FA0529">
        <w:t xml:space="preserve">) </w:t>
      </w:r>
      <w:r w:rsidR="00666229" w:rsidRPr="00FA0529">
        <w:t xml:space="preserve">for futibatinib </w:t>
      </w:r>
      <w:r w:rsidR="005B165B" w:rsidRPr="00FA0529">
        <w:t xml:space="preserve">compared to </w:t>
      </w:r>
      <w:r w:rsidR="00702F87" w:rsidRPr="00FA0529">
        <w:t>2.48</w:t>
      </w:r>
      <w:r w:rsidR="005B165B" w:rsidRPr="00FA0529">
        <w:t xml:space="preserve"> LYG (undiscounted</w:t>
      </w:r>
      <w:r w:rsidR="006E72F8" w:rsidRPr="00FA0529">
        <w:t>, over 10 years</w:t>
      </w:r>
      <w:r w:rsidR="005B165B" w:rsidRPr="00FA0529">
        <w:t>) in the previous submission.</w:t>
      </w:r>
      <w:r w:rsidR="00A05A56">
        <w:t xml:space="preserve"> </w:t>
      </w:r>
    </w:p>
    <w:p w14:paraId="6B0D42EB" w14:textId="601A2068" w:rsidR="00DE495C" w:rsidRPr="00B2513B" w:rsidRDefault="0001486B" w:rsidP="00380138">
      <w:pPr>
        <w:pStyle w:val="3-BodyText"/>
      </w:pPr>
      <w:r w:rsidRPr="00FA0529">
        <w:t>Sensi</w:t>
      </w:r>
      <w:r w:rsidR="00A91D6A" w:rsidRPr="00FA0529">
        <w:t>ti</w:t>
      </w:r>
      <w:r w:rsidRPr="00FA0529">
        <w:t xml:space="preserve">vity analyses using parameters </w:t>
      </w:r>
      <w:r w:rsidR="00A91D6A" w:rsidRPr="00FA0529">
        <w:t xml:space="preserve">previously recommended by the PBAC </w:t>
      </w:r>
      <w:r w:rsidRPr="00FA0529">
        <w:t xml:space="preserve">are presented in </w:t>
      </w:r>
      <w:r w:rsidR="00A91D6A" w:rsidRPr="00FA0529">
        <w:fldChar w:fldCharType="begin"/>
      </w:r>
      <w:r w:rsidR="00A91D6A" w:rsidRPr="00FA0529">
        <w:instrText xml:space="preserve"> REF _Ref201660852 \h </w:instrText>
      </w:r>
      <w:r w:rsidR="002D1D17" w:rsidRPr="00617C7C">
        <w:instrText xml:space="preserve"> \* MERGEFORMAT </w:instrText>
      </w:r>
      <w:r w:rsidR="00A91D6A" w:rsidRPr="00FA0529">
        <w:fldChar w:fldCharType="separate"/>
      </w:r>
      <w:r w:rsidR="00462AA0" w:rsidRPr="00FA0529">
        <w:t xml:space="preserve">Table </w:t>
      </w:r>
      <w:r w:rsidR="00462AA0">
        <w:t>5</w:t>
      </w:r>
      <w:r w:rsidR="00A91D6A" w:rsidRPr="00FA0529">
        <w:fldChar w:fldCharType="end"/>
      </w:r>
      <w:r w:rsidR="0056664B" w:rsidRPr="00FA0529">
        <w:t xml:space="preserve">. </w:t>
      </w:r>
      <w:r w:rsidR="0056664B" w:rsidRPr="00617C7C">
        <w:t>The economic model was most sensitive to the OS HR applied.</w:t>
      </w:r>
      <w:r w:rsidR="00DB1B5E" w:rsidRPr="00FA0529">
        <w:t xml:space="preserve"> </w:t>
      </w:r>
      <w:r w:rsidR="002D1D17" w:rsidRPr="00FA0529">
        <w:lastRenderedPageBreak/>
        <w:t xml:space="preserve">The </w:t>
      </w:r>
      <w:r w:rsidR="006E0B47" w:rsidRPr="00FA0529">
        <w:t>submission overview</w:t>
      </w:r>
      <w:r w:rsidR="002D1D17" w:rsidRPr="00FA0529">
        <w:t xml:space="preserve"> noted that a</w:t>
      </w:r>
      <w:r w:rsidR="00FF79EF" w:rsidRPr="002312B9">
        <w:t xml:space="preserve"> multivariate </w:t>
      </w:r>
      <w:r w:rsidR="005840FD" w:rsidRPr="002312B9">
        <w:t>sensitivity</w:t>
      </w:r>
      <w:r w:rsidR="00FF79EF" w:rsidRPr="002312B9">
        <w:t xml:space="preserve"> analysis </w:t>
      </w:r>
      <w:r w:rsidR="00634341" w:rsidRPr="002312B9">
        <w:t xml:space="preserve">using inputs consistent with the previous PBAC recommendation resulted in an ICER of </w:t>
      </w:r>
      <w:r w:rsidR="003B2718" w:rsidRPr="003B2718">
        <w:t>$135,000 to &lt; $155,000</w:t>
      </w:r>
      <w:r w:rsidR="00634341" w:rsidRPr="002312B9">
        <w:t>per QALY</w:t>
      </w:r>
      <w:r w:rsidR="00300E95">
        <w:t xml:space="preserve"> gained</w:t>
      </w:r>
      <w:r w:rsidR="00712A10">
        <w:t xml:space="preserve">, or </w:t>
      </w:r>
      <w:r w:rsidR="003B2718" w:rsidRPr="003B2718">
        <w:rPr>
          <w:rFonts w:cs="Arial"/>
          <w:szCs w:val="20"/>
        </w:rPr>
        <w:t>$135,000 to &lt; $155,000</w:t>
      </w:r>
      <w:r w:rsidR="00712A10">
        <w:rPr>
          <w:rFonts w:cs="Arial"/>
          <w:szCs w:val="20"/>
        </w:rPr>
        <w:t xml:space="preserve"> using the price reduction </w:t>
      </w:r>
      <w:r w:rsidR="00213B0D">
        <w:rPr>
          <w:rFonts w:cs="Arial"/>
          <w:szCs w:val="20"/>
        </w:rPr>
        <w:t>offered</w:t>
      </w:r>
      <w:r w:rsidR="00712A10">
        <w:rPr>
          <w:rFonts w:cs="Arial"/>
          <w:szCs w:val="20"/>
        </w:rPr>
        <w:t xml:space="preserve"> in the Pre-PBAC response (see paragraph </w:t>
      </w:r>
      <w:r w:rsidR="00213B0D">
        <w:rPr>
          <w:rFonts w:cs="Arial"/>
          <w:szCs w:val="20"/>
        </w:rPr>
        <w:fldChar w:fldCharType="begin"/>
      </w:r>
      <w:r w:rsidR="00213B0D">
        <w:rPr>
          <w:rFonts w:cs="Arial"/>
          <w:szCs w:val="20"/>
        </w:rPr>
        <w:instrText xml:space="preserve"> REF _Ref204165956 \r \h </w:instrText>
      </w:r>
      <w:r w:rsidR="00213B0D">
        <w:rPr>
          <w:rFonts w:cs="Arial"/>
          <w:szCs w:val="20"/>
        </w:rPr>
      </w:r>
      <w:r w:rsidR="00213B0D">
        <w:rPr>
          <w:rFonts w:cs="Arial"/>
          <w:szCs w:val="20"/>
        </w:rPr>
        <w:fldChar w:fldCharType="separate"/>
      </w:r>
      <w:r w:rsidR="00462AA0">
        <w:rPr>
          <w:rFonts w:cs="Arial"/>
          <w:szCs w:val="20"/>
        </w:rPr>
        <w:t>4.16</w:t>
      </w:r>
      <w:r w:rsidR="00213B0D">
        <w:rPr>
          <w:rFonts w:cs="Arial"/>
          <w:szCs w:val="20"/>
        </w:rPr>
        <w:fldChar w:fldCharType="end"/>
      </w:r>
      <w:r w:rsidR="00712A10">
        <w:rPr>
          <w:rFonts w:cs="Arial"/>
          <w:szCs w:val="20"/>
        </w:rPr>
        <w:t>)</w:t>
      </w:r>
      <w:r w:rsidR="00634341" w:rsidRPr="00B2513B">
        <w:t>.</w:t>
      </w:r>
      <w:r w:rsidR="00A05A56">
        <w:t xml:space="preserve"> </w:t>
      </w:r>
    </w:p>
    <w:p w14:paraId="2136981D" w14:textId="196F147B" w:rsidR="00A91D6A" w:rsidRPr="00FA0529" w:rsidRDefault="00A91D6A" w:rsidP="00EA56F0">
      <w:pPr>
        <w:pStyle w:val="TableFigureHeading"/>
        <w:keepLines/>
      </w:pPr>
      <w:bookmarkStart w:id="16" w:name="_Ref201660852"/>
      <w:r w:rsidRPr="00FA0529">
        <w:t xml:space="preserve">Table </w:t>
      </w:r>
      <w:r w:rsidR="00CA5BC1">
        <w:fldChar w:fldCharType="begin"/>
      </w:r>
      <w:r w:rsidR="00CA5BC1">
        <w:instrText xml:space="preserve"> SEQ Table \* ARABIC </w:instrText>
      </w:r>
      <w:r w:rsidR="00CA5BC1">
        <w:fldChar w:fldCharType="separate"/>
      </w:r>
      <w:r w:rsidR="00462AA0">
        <w:rPr>
          <w:noProof/>
        </w:rPr>
        <w:t>5</w:t>
      </w:r>
      <w:r w:rsidR="00CA5BC1">
        <w:rPr>
          <w:noProof/>
        </w:rPr>
        <w:fldChar w:fldCharType="end"/>
      </w:r>
      <w:bookmarkEnd w:id="16"/>
      <w:r w:rsidRPr="00FA0529">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nsitivity analyses"/>
      </w:tblPr>
      <w:tblGrid>
        <w:gridCol w:w="3326"/>
        <w:gridCol w:w="1132"/>
        <w:gridCol w:w="115"/>
        <w:gridCol w:w="1221"/>
        <w:gridCol w:w="1612"/>
        <w:gridCol w:w="1610"/>
      </w:tblGrid>
      <w:tr w:rsidR="003529A0" w:rsidRPr="00FA0529" w14:paraId="53B05B30" w14:textId="0920A24D" w:rsidTr="00221DDA">
        <w:trPr>
          <w:tblHeader/>
        </w:trPr>
        <w:tc>
          <w:tcPr>
            <w:tcW w:w="1844" w:type="pct"/>
          </w:tcPr>
          <w:p w14:paraId="3A972DC2" w14:textId="77777777" w:rsidR="003529A0" w:rsidRPr="00B2513B" w:rsidRDefault="003529A0" w:rsidP="00EA56F0">
            <w:pPr>
              <w:pStyle w:val="TableText"/>
              <w:keepLines/>
              <w:rPr>
                <w:b/>
                <w:color w:val="0D0D0D" w:themeColor="text1" w:themeTint="F2"/>
                <w:szCs w:val="20"/>
              </w:rPr>
            </w:pPr>
          </w:p>
          <w:p w14:paraId="4A75ACE9" w14:textId="77777777" w:rsidR="00A91D6A" w:rsidRPr="00B2513B" w:rsidRDefault="00A91D6A" w:rsidP="00EA56F0">
            <w:pPr>
              <w:pStyle w:val="TableText"/>
              <w:keepLines/>
              <w:rPr>
                <w:b/>
                <w:color w:val="0D0D0D" w:themeColor="text1" w:themeTint="F2"/>
                <w:szCs w:val="20"/>
              </w:rPr>
            </w:pPr>
          </w:p>
          <w:p w14:paraId="54C32FA9" w14:textId="77777777" w:rsidR="003529A0" w:rsidRPr="00B2513B" w:rsidRDefault="003529A0" w:rsidP="00EA56F0">
            <w:pPr>
              <w:pStyle w:val="TableText"/>
              <w:keepLines/>
              <w:rPr>
                <w:b/>
                <w:bCs w:val="0"/>
                <w:color w:val="0D0D0D" w:themeColor="text1" w:themeTint="F2"/>
                <w:szCs w:val="20"/>
              </w:rPr>
            </w:pPr>
            <w:r w:rsidRPr="00B2513B">
              <w:rPr>
                <w:b/>
                <w:color w:val="0D0D0D" w:themeColor="text1" w:themeTint="F2"/>
                <w:szCs w:val="20"/>
              </w:rPr>
              <w:t>Analyses</w:t>
            </w:r>
          </w:p>
        </w:tc>
        <w:tc>
          <w:tcPr>
            <w:tcW w:w="692" w:type="pct"/>
            <w:gridSpan w:val="2"/>
          </w:tcPr>
          <w:p w14:paraId="5F084B79" w14:textId="77777777" w:rsidR="003529A0" w:rsidRPr="00B2513B" w:rsidRDefault="003529A0" w:rsidP="00EA56F0">
            <w:pPr>
              <w:pStyle w:val="TableText"/>
              <w:keepLines/>
              <w:jc w:val="center"/>
              <w:rPr>
                <w:b/>
                <w:bCs w:val="0"/>
                <w:color w:val="0D0D0D" w:themeColor="text1" w:themeTint="F2"/>
                <w:szCs w:val="20"/>
              </w:rPr>
            </w:pPr>
            <w:r w:rsidRPr="00B2513B">
              <w:rPr>
                <w:b/>
                <w:color w:val="0D0D0D" w:themeColor="text1" w:themeTint="F2"/>
                <w:szCs w:val="20"/>
              </w:rPr>
              <w:t>Incremental cost</w:t>
            </w:r>
          </w:p>
        </w:tc>
        <w:tc>
          <w:tcPr>
            <w:tcW w:w="677" w:type="pct"/>
          </w:tcPr>
          <w:p w14:paraId="5C443C12" w14:textId="77777777" w:rsidR="003529A0" w:rsidRPr="00B2513B" w:rsidRDefault="003529A0" w:rsidP="00EA56F0">
            <w:pPr>
              <w:pStyle w:val="TableText"/>
              <w:keepLines/>
              <w:jc w:val="center"/>
              <w:rPr>
                <w:b/>
                <w:bCs w:val="0"/>
                <w:color w:val="0D0D0D" w:themeColor="text1" w:themeTint="F2"/>
                <w:szCs w:val="20"/>
              </w:rPr>
            </w:pPr>
            <w:r w:rsidRPr="00B2513B">
              <w:rPr>
                <w:b/>
                <w:color w:val="0D0D0D" w:themeColor="text1" w:themeTint="F2"/>
                <w:szCs w:val="20"/>
              </w:rPr>
              <w:t>Incremental QALY</w:t>
            </w:r>
          </w:p>
        </w:tc>
        <w:tc>
          <w:tcPr>
            <w:tcW w:w="894" w:type="pct"/>
          </w:tcPr>
          <w:p w14:paraId="40C15395" w14:textId="77777777" w:rsidR="003529A0" w:rsidRPr="00B2513B" w:rsidRDefault="003529A0" w:rsidP="00EA56F0">
            <w:pPr>
              <w:pStyle w:val="TableText"/>
              <w:keepLines/>
              <w:jc w:val="center"/>
              <w:rPr>
                <w:b/>
                <w:bCs w:val="0"/>
                <w:color w:val="0D0D0D" w:themeColor="text1" w:themeTint="F2"/>
                <w:szCs w:val="20"/>
              </w:rPr>
            </w:pPr>
            <w:r w:rsidRPr="00B2513B">
              <w:rPr>
                <w:b/>
                <w:color w:val="0D0D0D" w:themeColor="text1" w:themeTint="F2"/>
                <w:szCs w:val="20"/>
              </w:rPr>
              <w:t>ICER</w:t>
            </w:r>
          </w:p>
        </w:tc>
        <w:tc>
          <w:tcPr>
            <w:tcW w:w="893" w:type="pct"/>
          </w:tcPr>
          <w:p w14:paraId="43FF16B3" w14:textId="13A0F11B" w:rsidR="003529A0" w:rsidRPr="00B2513B" w:rsidRDefault="003529A0" w:rsidP="00EA56F0">
            <w:pPr>
              <w:pStyle w:val="TableText"/>
              <w:keepLines/>
              <w:jc w:val="center"/>
              <w:rPr>
                <w:b/>
                <w:color w:val="0D0D0D" w:themeColor="text1" w:themeTint="F2"/>
                <w:szCs w:val="20"/>
              </w:rPr>
            </w:pPr>
            <w:r w:rsidRPr="00B2513B">
              <w:rPr>
                <w:b/>
                <w:color w:val="0D0D0D" w:themeColor="text1" w:themeTint="F2"/>
                <w:szCs w:val="20"/>
              </w:rPr>
              <w:t>% change from resubmission base case</w:t>
            </w:r>
          </w:p>
        </w:tc>
      </w:tr>
      <w:tr w:rsidR="003529A0" w:rsidRPr="00FA0529" w14:paraId="07B86FFD" w14:textId="7D0CD623" w:rsidTr="00221DDA">
        <w:tc>
          <w:tcPr>
            <w:tcW w:w="1844" w:type="pct"/>
          </w:tcPr>
          <w:p w14:paraId="2FA71508" w14:textId="1329B2AF" w:rsidR="003529A0" w:rsidRPr="00B2513B" w:rsidRDefault="003529A0" w:rsidP="00EA56F0">
            <w:pPr>
              <w:pStyle w:val="TableText"/>
              <w:keepLines/>
              <w:rPr>
                <w:b/>
                <w:color w:val="0D0D0D" w:themeColor="text1" w:themeTint="F2"/>
                <w:szCs w:val="20"/>
              </w:rPr>
            </w:pPr>
            <w:r w:rsidRPr="00B2513B">
              <w:rPr>
                <w:b/>
                <w:color w:val="0D0D0D" w:themeColor="text1" w:themeTint="F2"/>
                <w:szCs w:val="20"/>
              </w:rPr>
              <w:t>Resubmission base case</w:t>
            </w:r>
          </w:p>
        </w:tc>
        <w:tc>
          <w:tcPr>
            <w:tcW w:w="692" w:type="pct"/>
            <w:gridSpan w:val="2"/>
          </w:tcPr>
          <w:p w14:paraId="37DEB085" w14:textId="7C35848A" w:rsidR="003529A0" w:rsidRPr="00B2513B" w:rsidRDefault="003529A0" w:rsidP="00EA56F0">
            <w:pPr>
              <w:pStyle w:val="TableText"/>
              <w:keepLines/>
              <w:jc w:val="center"/>
              <w:rPr>
                <w:bCs w:val="0"/>
                <w:color w:val="0D0D0D" w:themeColor="text1" w:themeTint="F2"/>
              </w:rPr>
            </w:pPr>
            <w:r w:rsidRPr="00B2513B">
              <w:rPr>
                <w:bCs w:val="0"/>
                <w:color w:val="0D0D0D" w:themeColor="text1" w:themeTint="F2"/>
              </w:rPr>
              <w:t>$</w:t>
            </w:r>
            <w:r w:rsidR="00DE7EE1" w:rsidRPr="00E40CE9">
              <w:rPr>
                <w:bCs w:val="0"/>
                <w:color w:val="0D0D0D" w:themeColor="text1" w:themeTint="F2"/>
                <w:spacing w:val="51"/>
                <w:shd w:val="solid" w:color="000000" w:fill="000000"/>
                <w:fitText w:val="324" w:id="-628460276"/>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76"/>
                <w14:textFill>
                  <w14:solidFill>
                    <w14:schemeClr w14:val="tx1">
                      <w14:alpha w14:val="100000"/>
                      <w14:lumMod w14:val="95000"/>
                      <w14:lumOff w14:val="5000"/>
                    </w14:schemeClr>
                  </w14:solidFill>
                </w14:textFill>
              </w:rPr>
              <w:t>|</w:t>
            </w:r>
          </w:p>
        </w:tc>
        <w:tc>
          <w:tcPr>
            <w:tcW w:w="677" w:type="pct"/>
          </w:tcPr>
          <w:p w14:paraId="7526A545" w14:textId="4B1113FA" w:rsidR="003529A0" w:rsidRPr="00B2513B" w:rsidRDefault="003529A0" w:rsidP="00EA56F0">
            <w:pPr>
              <w:pStyle w:val="TableText"/>
              <w:keepLines/>
              <w:jc w:val="center"/>
              <w:rPr>
                <w:bCs w:val="0"/>
                <w:color w:val="0D0D0D" w:themeColor="text1" w:themeTint="F2"/>
              </w:rPr>
            </w:pPr>
            <w:r w:rsidRPr="00B2513B">
              <w:rPr>
                <w:bCs w:val="0"/>
                <w:color w:val="0D0D0D" w:themeColor="text1" w:themeTint="F2"/>
              </w:rPr>
              <w:t>0.91</w:t>
            </w:r>
          </w:p>
        </w:tc>
        <w:tc>
          <w:tcPr>
            <w:tcW w:w="894" w:type="pct"/>
          </w:tcPr>
          <w:p w14:paraId="669F48CB" w14:textId="5FFAB823" w:rsidR="003529A0" w:rsidRPr="00221DDA" w:rsidRDefault="003529A0" w:rsidP="00EA56F0">
            <w:pPr>
              <w:pStyle w:val="TableText"/>
              <w:keepLines/>
              <w:jc w:val="center"/>
              <w:rPr>
                <w:color w:val="0D0D0D" w:themeColor="text1" w:themeTint="F2"/>
                <w:szCs w:val="20"/>
                <w:vertAlign w:val="superscript"/>
              </w:rPr>
            </w:pPr>
            <w:r w:rsidRPr="00B2513B">
              <w:rPr>
                <w:bCs w:val="0"/>
                <w:color w:val="0D0D0D" w:themeColor="text1" w:themeTint="F2"/>
                <w:szCs w:val="20"/>
              </w:rPr>
              <w:t>$</w:t>
            </w:r>
            <w:r w:rsidR="00DE7EE1" w:rsidRPr="00E40CE9">
              <w:rPr>
                <w:bCs w:val="0"/>
                <w:color w:val="0D0D0D" w:themeColor="text1" w:themeTint="F2"/>
                <w:spacing w:val="55"/>
                <w:szCs w:val="20"/>
                <w:shd w:val="solid" w:color="000000" w:fill="000000"/>
                <w:fitText w:val="336" w:id="-628460275"/>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36" w:id="-628460275"/>
                <w14:textFill>
                  <w14:solidFill>
                    <w14:schemeClr w14:val="tx1">
                      <w14:alpha w14:val="100000"/>
                      <w14:lumMod w14:val="95000"/>
                      <w14:lumOff w14:val="5000"/>
                    </w14:schemeClr>
                  </w14:solidFill>
                </w14:textFill>
              </w:rPr>
              <w:t>|</w:t>
            </w:r>
            <w:r w:rsidR="00DB0631">
              <w:rPr>
                <w:bCs w:val="0"/>
                <w:color w:val="0D0D0D" w:themeColor="text1" w:themeTint="F2"/>
                <w:szCs w:val="20"/>
                <w:vertAlign w:val="superscript"/>
              </w:rPr>
              <w:t>1</w:t>
            </w:r>
          </w:p>
        </w:tc>
        <w:tc>
          <w:tcPr>
            <w:tcW w:w="893" w:type="pct"/>
          </w:tcPr>
          <w:p w14:paraId="707FF400" w14:textId="41DFEF15" w:rsidR="003529A0" w:rsidRPr="00B2513B" w:rsidRDefault="002C068D" w:rsidP="00EA56F0">
            <w:pPr>
              <w:pStyle w:val="TableText"/>
              <w:keepLines/>
              <w:jc w:val="center"/>
              <w:rPr>
                <w:bCs w:val="0"/>
                <w:color w:val="0D0D0D" w:themeColor="text1" w:themeTint="F2"/>
                <w:szCs w:val="20"/>
              </w:rPr>
            </w:pPr>
            <w:r w:rsidRPr="00B2513B">
              <w:rPr>
                <w:bCs w:val="0"/>
                <w:color w:val="0D0D0D" w:themeColor="text1" w:themeTint="F2"/>
                <w:szCs w:val="20"/>
              </w:rPr>
              <w:t>-</w:t>
            </w:r>
          </w:p>
        </w:tc>
      </w:tr>
      <w:tr w:rsidR="00A91D6A" w:rsidRPr="00FA0529" w14:paraId="7D4B704B" w14:textId="777F5C01" w:rsidTr="00221DDA">
        <w:tc>
          <w:tcPr>
            <w:tcW w:w="5000" w:type="pct"/>
            <w:gridSpan w:val="6"/>
          </w:tcPr>
          <w:p w14:paraId="6BF98467" w14:textId="14366E83" w:rsidR="00A91D6A" w:rsidRPr="00B2513B" w:rsidRDefault="00A91D6A" w:rsidP="00EA56F0">
            <w:pPr>
              <w:pStyle w:val="TableText"/>
              <w:keepLines/>
              <w:rPr>
                <w:rFonts w:cs="Arial"/>
                <w:szCs w:val="20"/>
              </w:rPr>
            </w:pPr>
            <w:r w:rsidRPr="00B2513B">
              <w:rPr>
                <w:b/>
                <w:color w:val="0D0D0D" w:themeColor="text1" w:themeTint="F2"/>
                <w:szCs w:val="20"/>
              </w:rPr>
              <w:t>Time horizon (base case 7 years)</w:t>
            </w:r>
          </w:p>
        </w:tc>
      </w:tr>
      <w:tr w:rsidR="003529A0" w:rsidRPr="00FA0529" w14:paraId="22C9FFD1" w14:textId="7349DDC2" w:rsidTr="00221DDA">
        <w:tc>
          <w:tcPr>
            <w:tcW w:w="1844" w:type="pct"/>
          </w:tcPr>
          <w:p w14:paraId="373C6E1D" w14:textId="46939033" w:rsidR="003529A0" w:rsidRPr="00B2513B" w:rsidRDefault="003529A0" w:rsidP="00EA56F0">
            <w:pPr>
              <w:pStyle w:val="TableText"/>
              <w:keepLines/>
              <w:rPr>
                <w:bCs w:val="0"/>
                <w:color w:val="0D0D0D" w:themeColor="text1" w:themeTint="F2"/>
                <w:szCs w:val="20"/>
              </w:rPr>
            </w:pPr>
            <w:r w:rsidRPr="00B2513B">
              <w:rPr>
                <w:bCs w:val="0"/>
                <w:color w:val="0D0D0D" w:themeColor="text1" w:themeTint="F2"/>
                <w:szCs w:val="20"/>
              </w:rPr>
              <w:t>5 years</w:t>
            </w:r>
            <w:r w:rsidR="00DD3EC0" w:rsidRPr="00B2513B">
              <w:rPr>
                <w:bCs w:val="0"/>
                <w:color w:val="0D0D0D" w:themeColor="text1" w:themeTint="F2"/>
                <w:szCs w:val="20"/>
              </w:rPr>
              <w:t xml:space="preserve"> </w:t>
            </w:r>
            <w:r w:rsidR="00BA7B83" w:rsidRPr="00B2513B">
              <w:rPr>
                <w:bCs w:val="0"/>
                <w:color w:val="0D0D0D" w:themeColor="text1" w:themeTint="F2"/>
                <w:szCs w:val="20"/>
              </w:rPr>
              <w:t>#1</w:t>
            </w:r>
          </w:p>
        </w:tc>
        <w:tc>
          <w:tcPr>
            <w:tcW w:w="628" w:type="pct"/>
          </w:tcPr>
          <w:p w14:paraId="24592C33" w14:textId="0FC30727" w:rsidR="003529A0" w:rsidRPr="00B2513B" w:rsidRDefault="003529A0" w:rsidP="00EA56F0">
            <w:pPr>
              <w:pStyle w:val="TableText"/>
              <w:keepLines/>
              <w:jc w:val="center"/>
            </w:pPr>
            <w:r w:rsidRPr="00B2513B">
              <w:t>$</w:t>
            </w:r>
            <w:r w:rsidR="00DE7EE1" w:rsidRPr="00E40CE9">
              <w:rPr>
                <w:color w:val="000000"/>
                <w:spacing w:val="51"/>
                <w:shd w:val="solid" w:color="000000" w:fill="000000"/>
                <w:fitText w:val="324" w:id="-628460274"/>
                <w14:textFill>
                  <w14:solidFill>
                    <w14:srgbClr w14:val="000000">
                      <w14:alpha w14:val="100000"/>
                    </w14:srgbClr>
                  </w14:solidFill>
                </w14:textFill>
              </w:rPr>
              <w:t>|||</w:t>
            </w:r>
            <w:r w:rsidR="00DE7EE1" w:rsidRPr="00E40CE9">
              <w:rPr>
                <w:color w:val="000000"/>
                <w:spacing w:val="1"/>
                <w:shd w:val="solid" w:color="000000" w:fill="000000"/>
                <w:fitText w:val="324" w:id="-628460274"/>
                <w14:textFill>
                  <w14:solidFill>
                    <w14:srgbClr w14:val="000000">
                      <w14:alpha w14:val="100000"/>
                    </w14:srgbClr>
                  </w14:solidFill>
                </w14:textFill>
              </w:rPr>
              <w:t>|</w:t>
            </w:r>
          </w:p>
        </w:tc>
        <w:tc>
          <w:tcPr>
            <w:tcW w:w="741" w:type="pct"/>
            <w:gridSpan w:val="2"/>
          </w:tcPr>
          <w:p w14:paraId="0C0155F4" w14:textId="0DE64D45" w:rsidR="003529A0" w:rsidRPr="00B2513B" w:rsidRDefault="003529A0" w:rsidP="00EA56F0">
            <w:pPr>
              <w:pStyle w:val="TableText"/>
              <w:keepLines/>
              <w:jc w:val="center"/>
            </w:pPr>
            <w:r w:rsidRPr="00B2513B">
              <w:t>0.85</w:t>
            </w:r>
          </w:p>
        </w:tc>
        <w:tc>
          <w:tcPr>
            <w:tcW w:w="894" w:type="pct"/>
          </w:tcPr>
          <w:p w14:paraId="2A4B38AD" w14:textId="490422AF" w:rsidR="003529A0" w:rsidRPr="00221DDA" w:rsidRDefault="003529A0" w:rsidP="00EA56F0">
            <w:pPr>
              <w:pStyle w:val="TableText"/>
              <w:keepLines/>
              <w:jc w:val="center"/>
              <w:rPr>
                <w:rFonts w:cs="Arial"/>
                <w:szCs w:val="20"/>
                <w:vertAlign w:val="superscript"/>
              </w:rPr>
            </w:pPr>
            <w:r w:rsidRPr="00B2513B">
              <w:rPr>
                <w:rFonts w:cs="Arial"/>
                <w:szCs w:val="20"/>
              </w:rPr>
              <w:t>$</w:t>
            </w:r>
            <w:r w:rsidR="00DE7EE1" w:rsidRPr="00E40CE9">
              <w:rPr>
                <w:rFonts w:cs="Arial"/>
                <w:color w:val="000000"/>
                <w:spacing w:val="55"/>
                <w:szCs w:val="20"/>
                <w:shd w:val="solid" w:color="000000" w:fill="000000"/>
                <w:fitText w:val="336" w:id="-628460273"/>
                <w14:textFill>
                  <w14:solidFill>
                    <w14:srgbClr w14:val="000000">
                      <w14:alpha w14:val="100000"/>
                    </w14:srgbClr>
                  </w14:solidFill>
                </w14:textFill>
              </w:rPr>
              <w:t>|||</w:t>
            </w:r>
            <w:r w:rsidR="00DE7EE1" w:rsidRPr="00E40CE9">
              <w:rPr>
                <w:rFonts w:cs="Arial"/>
                <w:color w:val="000000"/>
                <w:spacing w:val="1"/>
                <w:szCs w:val="20"/>
                <w:shd w:val="solid" w:color="000000" w:fill="000000"/>
                <w:fitText w:val="336" w:id="-628460273"/>
                <w14:textFill>
                  <w14:solidFill>
                    <w14:srgbClr w14:val="000000">
                      <w14:alpha w14:val="100000"/>
                    </w14:srgbClr>
                  </w14:solidFill>
                </w14:textFill>
              </w:rPr>
              <w:t>|</w:t>
            </w:r>
            <w:r w:rsidR="00DB0631">
              <w:rPr>
                <w:rFonts w:cs="Arial"/>
                <w:szCs w:val="20"/>
                <w:vertAlign w:val="superscript"/>
              </w:rPr>
              <w:t>1</w:t>
            </w:r>
          </w:p>
        </w:tc>
        <w:tc>
          <w:tcPr>
            <w:tcW w:w="893" w:type="pct"/>
          </w:tcPr>
          <w:p w14:paraId="73CD57A1" w14:textId="0DCAAF0B" w:rsidR="003529A0" w:rsidRPr="00B2513B" w:rsidRDefault="002C068D" w:rsidP="00EA56F0">
            <w:pPr>
              <w:pStyle w:val="TableText"/>
              <w:keepLines/>
              <w:jc w:val="center"/>
              <w:rPr>
                <w:rFonts w:cs="Arial"/>
                <w:szCs w:val="20"/>
              </w:rPr>
            </w:pPr>
            <w:r w:rsidRPr="00B2513B">
              <w:rPr>
                <w:rFonts w:cs="Arial"/>
                <w:szCs w:val="20"/>
              </w:rPr>
              <w:t>+</w:t>
            </w:r>
            <w:r w:rsidR="00DE7EE1" w:rsidRPr="00E40CE9">
              <w:rPr>
                <w:rFonts w:cs="Arial"/>
                <w:color w:val="000000"/>
                <w:spacing w:val="51"/>
                <w:szCs w:val="20"/>
                <w:shd w:val="solid" w:color="000000" w:fill="000000"/>
                <w:fitText w:val="324" w:id="-628460272"/>
                <w14:textFill>
                  <w14:solidFill>
                    <w14:srgbClr w14:val="000000">
                      <w14:alpha w14:val="100000"/>
                    </w14:srgbClr>
                  </w14:solidFill>
                </w14:textFill>
              </w:rPr>
              <w:t>|||</w:t>
            </w:r>
            <w:r w:rsidR="00DE7EE1" w:rsidRPr="00E40CE9">
              <w:rPr>
                <w:rFonts w:cs="Arial"/>
                <w:color w:val="000000"/>
                <w:spacing w:val="1"/>
                <w:szCs w:val="20"/>
                <w:shd w:val="solid" w:color="000000" w:fill="000000"/>
                <w:fitText w:val="324" w:id="-628460272"/>
                <w14:textFill>
                  <w14:solidFill>
                    <w14:srgbClr w14:val="000000">
                      <w14:alpha w14:val="100000"/>
                    </w14:srgbClr>
                  </w14:solidFill>
                </w14:textFill>
              </w:rPr>
              <w:t>|</w:t>
            </w:r>
            <w:r w:rsidRPr="00B2513B">
              <w:rPr>
                <w:rFonts w:cs="Arial"/>
                <w:szCs w:val="20"/>
              </w:rPr>
              <w:t>%</w:t>
            </w:r>
          </w:p>
        </w:tc>
      </w:tr>
      <w:tr w:rsidR="00A91D6A" w:rsidRPr="00FA0529" w14:paraId="255BB8BC" w14:textId="7D6A54CF" w:rsidTr="00221DDA">
        <w:tc>
          <w:tcPr>
            <w:tcW w:w="5000" w:type="pct"/>
            <w:gridSpan w:val="6"/>
          </w:tcPr>
          <w:p w14:paraId="734475EB" w14:textId="08DD65FD" w:rsidR="00A91D6A" w:rsidRPr="00B2513B" w:rsidRDefault="00A91D6A" w:rsidP="00EA56F0">
            <w:pPr>
              <w:pStyle w:val="TableText"/>
              <w:keepLines/>
              <w:rPr>
                <w:rFonts w:cs="Arial"/>
                <w:szCs w:val="20"/>
              </w:rPr>
            </w:pPr>
            <w:r w:rsidRPr="00B2513B">
              <w:rPr>
                <w:b/>
                <w:color w:val="0D0D0D" w:themeColor="text1" w:themeTint="F2"/>
                <w:szCs w:val="20"/>
              </w:rPr>
              <w:t>OS HR (base case 0.32)</w:t>
            </w:r>
          </w:p>
        </w:tc>
      </w:tr>
      <w:tr w:rsidR="003529A0" w:rsidRPr="00FA0529" w14:paraId="59307AE3" w14:textId="4A8937A7" w:rsidTr="00221DDA">
        <w:tc>
          <w:tcPr>
            <w:tcW w:w="1844" w:type="pct"/>
          </w:tcPr>
          <w:p w14:paraId="129E906B" w14:textId="5319EEB8" w:rsidR="003529A0" w:rsidRPr="00B2513B" w:rsidRDefault="003529A0" w:rsidP="00EA56F0">
            <w:pPr>
              <w:pStyle w:val="TableText"/>
              <w:keepLines/>
              <w:rPr>
                <w:bCs w:val="0"/>
                <w:color w:val="0D0D0D" w:themeColor="text1" w:themeTint="F2"/>
                <w:szCs w:val="20"/>
              </w:rPr>
            </w:pPr>
            <w:r w:rsidRPr="00B2513B">
              <w:rPr>
                <w:bCs w:val="0"/>
                <w:color w:val="0D0D0D" w:themeColor="text1" w:themeTint="F2"/>
                <w:szCs w:val="20"/>
              </w:rPr>
              <w:t>0.48</w:t>
            </w:r>
            <w:r w:rsidR="00DD3EC0" w:rsidRPr="00B2513B">
              <w:rPr>
                <w:bCs w:val="0"/>
                <w:color w:val="0D0D0D" w:themeColor="text1" w:themeTint="F2"/>
                <w:szCs w:val="20"/>
              </w:rPr>
              <w:t xml:space="preserve"> </w:t>
            </w:r>
            <w:r w:rsidR="00BA7B83" w:rsidRPr="00B2513B">
              <w:rPr>
                <w:bCs w:val="0"/>
                <w:color w:val="0D0D0D" w:themeColor="text1" w:themeTint="F2"/>
                <w:szCs w:val="20"/>
              </w:rPr>
              <w:t>#2</w:t>
            </w:r>
          </w:p>
        </w:tc>
        <w:tc>
          <w:tcPr>
            <w:tcW w:w="628" w:type="pct"/>
          </w:tcPr>
          <w:p w14:paraId="681715C9" w14:textId="535DDFE7" w:rsidR="003529A0" w:rsidRPr="00B2513B" w:rsidRDefault="006C2947" w:rsidP="00EA56F0">
            <w:pPr>
              <w:pStyle w:val="TableText"/>
              <w:keepLines/>
              <w:jc w:val="center"/>
            </w:pPr>
            <w:r w:rsidRPr="00B2513B">
              <w:t>$</w:t>
            </w:r>
            <w:r w:rsidR="00DE7EE1" w:rsidRPr="00E40CE9">
              <w:rPr>
                <w:color w:val="000000"/>
                <w:spacing w:val="51"/>
                <w:shd w:val="solid" w:color="000000" w:fill="000000"/>
                <w:fitText w:val="324" w:id="-628460288"/>
                <w14:textFill>
                  <w14:solidFill>
                    <w14:srgbClr w14:val="000000">
                      <w14:alpha w14:val="100000"/>
                    </w14:srgbClr>
                  </w14:solidFill>
                </w14:textFill>
              </w:rPr>
              <w:t>|||</w:t>
            </w:r>
            <w:r w:rsidR="00DE7EE1" w:rsidRPr="00E40CE9">
              <w:rPr>
                <w:color w:val="000000"/>
                <w:spacing w:val="1"/>
                <w:shd w:val="solid" w:color="000000" w:fill="000000"/>
                <w:fitText w:val="324" w:id="-628460288"/>
                <w14:textFill>
                  <w14:solidFill>
                    <w14:srgbClr w14:val="000000">
                      <w14:alpha w14:val="100000"/>
                    </w14:srgbClr>
                  </w14:solidFill>
                </w14:textFill>
              </w:rPr>
              <w:t>|</w:t>
            </w:r>
          </w:p>
        </w:tc>
        <w:tc>
          <w:tcPr>
            <w:tcW w:w="741" w:type="pct"/>
            <w:gridSpan w:val="2"/>
          </w:tcPr>
          <w:p w14:paraId="58ABB3B5" w14:textId="5AEF18DC" w:rsidR="003529A0" w:rsidRPr="00B2513B" w:rsidRDefault="006C2947" w:rsidP="00EA56F0">
            <w:pPr>
              <w:pStyle w:val="TableText"/>
              <w:keepLines/>
              <w:jc w:val="center"/>
            </w:pPr>
            <w:r w:rsidRPr="00B2513B">
              <w:t>0.59</w:t>
            </w:r>
          </w:p>
        </w:tc>
        <w:tc>
          <w:tcPr>
            <w:tcW w:w="894" w:type="pct"/>
          </w:tcPr>
          <w:p w14:paraId="4E1A11FA" w14:textId="71543BB8" w:rsidR="003529A0" w:rsidRPr="00221DDA" w:rsidRDefault="006C2947" w:rsidP="00EA56F0">
            <w:pPr>
              <w:pStyle w:val="TableText"/>
              <w:keepLines/>
              <w:jc w:val="center"/>
              <w:rPr>
                <w:rFonts w:cs="Arial"/>
                <w:szCs w:val="20"/>
                <w:vertAlign w:val="superscript"/>
              </w:rPr>
            </w:pPr>
            <w:r w:rsidRPr="00B2513B">
              <w:rPr>
                <w:rFonts w:cs="Arial"/>
                <w:szCs w:val="20"/>
              </w:rPr>
              <w:t>$</w:t>
            </w:r>
            <w:r w:rsidR="00DE7EE1" w:rsidRPr="00E40CE9">
              <w:rPr>
                <w:rFonts w:cs="Arial"/>
                <w:color w:val="000000"/>
                <w:spacing w:val="55"/>
                <w:szCs w:val="20"/>
                <w:shd w:val="solid" w:color="000000" w:fill="000000"/>
                <w:fitText w:val="336" w:id="-628460287"/>
                <w14:textFill>
                  <w14:solidFill>
                    <w14:srgbClr w14:val="000000">
                      <w14:alpha w14:val="100000"/>
                    </w14:srgbClr>
                  </w14:solidFill>
                </w14:textFill>
              </w:rPr>
              <w:t>|||</w:t>
            </w:r>
            <w:r w:rsidR="00DE7EE1" w:rsidRPr="00E40CE9">
              <w:rPr>
                <w:rFonts w:cs="Arial"/>
                <w:color w:val="000000"/>
                <w:spacing w:val="1"/>
                <w:szCs w:val="20"/>
                <w:shd w:val="solid" w:color="000000" w:fill="000000"/>
                <w:fitText w:val="336" w:id="-628460287"/>
                <w14:textFill>
                  <w14:solidFill>
                    <w14:srgbClr w14:val="000000">
                      <w14:alpha w14:val="100000"/>
                    </w14:srgbClr>
                  </w14:solidFill>
                </w14:textFill>
              </w:rPr>
              <w:t>|</w:t>
            </w:r>
            <w:r w:rsidR="00E02CEF" w:rsidRPr="00221DDA">
              <w:rPr>
                <w:rFonts w:cs="Arial"/>
                <w:szCs w:val="20"/>
                <w:vertAlign w:val="superscript"/>
              </w:rPr>
              <w:t>2</w:t>
            </w:r>
          </w:p>
        </w:tc>
        <w:tc>
          <w:tcPr>
            <w:tcW w:w="893" w:type="pct"/>
          </w:tcPr>
          <w:p w14:paraId="0D28EB18" w14:textId="0B239C1C" w:rsidR="003529A0" w:rsidRPr="00B2513B" w:rsidRDefault="002C068D" w:rsidP="00EA56F0">
            <w:pPr>
              <w:pStyle w:val="TableText"/>
              <w:keepLines/>
              <w:jc w:val="center"/>
              <w:rPr>
                <w:rFonts w:cs="Arial"/>
                <w:szCs w:val="20"/>
              </w:rPr>
            </w:pPr>
            <w:r w:rsidRPr="00B2513B">
              <w:rPr>
                <w:rFonts w:cs="Arial"/>
                <w:szCs w:val="20"/>
              </w:rPr>
              <w:t>+</w:t>
            </w:r>
            <w:r w:rsidR="00DE7EE1" w:rsidRPr="00E40CE9">
              <w:rPr>
                <w:rFonts w:cs="Arial"/>
                <w:color w:val="000000"/>
                <w:spacing w:val="51"/>
                <w:szCs w:val="20"/>
                <w:shd w:val="solid" w:color="000000" w:fill="000000"/>
                <w:fitText w:val="324" w:id="-628460286"/>
                <w14:textFill>
                  <w14:solidFill>
                    <w14:srgbClr w14:val="000000">
                      <w14:alpha w14:val="100000"/>
                    </w14:srgbClr>
                  </w14:solidFill>
                </w14:textFill>
              </w:rPr>
              <w:t>|||</w:t>
            </w:r>
            <w:r w:rsidR="00DE7EE1" w:rsidRPr="00E40CE9">
              <w:rPr>
                <w:rFonts w:cs="Arial"/>
                <w:color w:val="000000"/>
                <w:spacing w:val="1"/>
                <w:szCs w:val="20"/>
                <w:shd w:val="solid" w:color="000000" w:fill="000000"/>
                <w:fitText w:val="324" w:id="-628460286"/>
                <w14:textFill>
                  <w14:solidFill>
                    <w14:srgbClr w14:val="000000">
                      <w14:alpha w14:val="100000"/>
                    </w14:srgbClr>
                  </w14:solidFill>
                </w14:textFill>
              </w:rPr>
              <w:t>|</w:t>
            </w:r>
            <w:r w:rsidRPr="00B2513B">
              <w:rPr>
                <w:rFonts w:cs="Arial"/>
                <w:szCs w:val="20"/>
              </w:rPr>
              <w:t>%</w:t>
            </w:r>
          </w:p>
        </w:tc>
      </w:tr>
      <w:tr w:rsidR="00A91D6A" w:rsidRPr="00FA0529" w14:paraId="1321EE9A" w14:textId="359E3F64" w:rsidTr="00221DDA">
        <w:tc>
          <w:tcPr>
            <w:tcW w:w="5000" w:type="pct"/>
            <w:gridSpan w:val="6"/>
          </w:tcPr>
          <w:p w14:paraId="12F2AE75" w14:textId="4DCFF1E0" w:rsidR="00A91D6A" w:rsidRPr="00B2513B" w:rsidRDefault="00A91D6A" w:rsidP="00EA56F0">
            <w:pPr>
              <w:pStyle w:val="TableText"/>
              <w:keepLines/>
              <w:rPr>
                <w:rFonts w:cs="Arial"/>
                <w:szCs w:val="20"/>
              </w:rPr>
            </w:pPr>
            <w:r w:rsidRPr="00B2513B">
              <w:rPr>
                <w:b/>
                <w:color w:val="0D0D0D" w:themeColor="text1" w:themeTint="F2"/>
                <w:szCs w:val="20"/>
              </w:rPr>
              <w:t>Utilities (base case include</w:t>
            </w:r>
            <w:r w:rsidR="00AF2B04" w:rsidRPr="00B2513B">
              <w:rPr>
                <w:b/>
                <w:color w:val="0D0D0D" w:themeColor="text1" w:themeTint="F2"/>
                <w:szCs w:val="20"/>
              </w:rPr>
              <w:t>d</w:t>
            </w:r>
            <w:r w:rsidRPr="00B2513B">
              <w:rPr>
                <w:b/>
                <w:color w:val="0D0D0D" w:themeColor="text1" w:themeTint="F2"/>
                <w:szCs w:val="20"/>
              </w:rPr>
              <w:t xml:space="preserve"> disutility for FOLFOX administration)</w:t>
            </w:r>
          </w:p>
        </w:tc>
      </w:tr>
      <w:tr w:rsidR="003529A0" w:rsidRPr="00FA0529" w14:paraId="1B418E7E" w14:textId="2064A473" w:rsidTr="00221DDA">
        <w:tc>
          <w:tcPr>
            <w:tcW w:w="1844" w:type="pct"/>
          </w:tcPr>
          <w:p w14:paraId="532A1014" w14:textId="5E547EE1" w:rsidR="003529A0" w:rsidRPr="00B2513B" w:rsidRDefault="003529A0" w:rsidP="00EA56F0">
            <w:pPr>
              <w:pStyle w:val="TableText"/>
              <w:keepLines/>
              <w:rPr>
                <w:bCs w:val="0"/>
                <w:i/>
                <w:iCs/>
                <w:color w:val="0D0D0D" w:themeColor="text1" w:themeTint="F2"/>
                <w:szCs w:val="20"/>
              </w:rPr>
            </w:pPr>
            <w:r w:rsidRPr="00366EB1">
              <w:rPr>
                <w:bCs w:val="0"/>
                <w:color w:val="0D0D0D" w:themeColor="text1" w:themeTint="F2"/>
                <w:szCs w:val="20"/>
              </w:rPr>
              <w:t>Disutility</w:t>
            </w:r>
            <w:r w:rsidRPr="00B2513B">
              <w:rPr>
                <w:bCs w:val="0"/>
                <w:i/>
                <w:iCs/>
                <w:color w:val="0D0D0D" w:themeColor="text1" w:themeTint="F2"/>
                <w:szCs w:val="20"/>
              </w:rPr>
              <w:t xml:space="preserve"> removed</w:t>
            </w:r>
            <w:r w:rsidR="00DD3EC0" w:rsidRPr="00B2513B">
              <w:rPr>
                <w:bCs w:val="0"/>
                <w:i/>
                <w:iCs/>
                <w:color w:val="0D0D0D" w:themeColor="text1" w:themeTint="F2"/>
                <w:szCs w:val="20"/>
              </w:rPr>
              <w:t xml:space="preserve"> </w:t>
            </w:r>
            <w:r w:rsidR="00BA7B83" w:rsidRPr="00B2513B">
              <w:rPr>
                <w:bCs w:val="0"/>
                <w:i/>
                <w:iCs/>
                <w:color w:val="0D0D0D" w:themeColor="text1" w:themeTint="F2"/>
                <w:szCs w:val="20"/>
              </w:rPr>
              <w:t>#3</w:t>
            </w:r>
          </w:p>
        </w:tc>
        <w:tc>
          <w:tcPr>
            <w:tcW w:w="628" w:type="pct"/>
          </w:tcPr>
          <w:p w14:paraId="0FB7A822" w14:textId="758757E1" w:rsidR="003529A0" w:rsidRPr="00B2513B" w:rsidRDefault="00BD551F" w:rsidP="00EA56F0">
            <w:pPr>
              <w:pStyle w:val="TableText"/>
              <w:keepLines/>
              <w:jc w:val="center"/>
              <w:rPr>
                <w:i/>
                <w:iCs/>
              </w:rPr>
            </w:pPr>
            <w:r w:rsidRPr="00B2513B">
              <w:rPr>
                <w:i/>
                <w:iCs/>
              </w:rPr>
              <w:t>$</w:t>
            </w:r>
            <w:r w:rsidR="00DE7EE1" w:rsidRPr="00E40CE9">
              <w:rPr>
                <w:i/>
                <w:iCs/>
                <w:color w:val="000000"/>
                <w:spacing w:val="51"/>
                <w:shd w:val="solid" w:color="000000" w:fill="000000"/>
                <w:fitText w:val="324" w:id="-628460285"/>
                <w14:textFill>
                  <w14:solidFill>
                    <w14:srgbClr w14:val="000000">
                      <w14:alpha w14:val="100000"/>
                    </w14:srgbClr>
                  </w14:solidFill>
                </w14:textFill>
              </w:rPr>
              <w:t>|||</w:t>
            </w:r>
            <w:r w:rsidR="00DE7EE1" w:rsidRPr="00E40CE9">
              <w:rPr>
                <w:i/>
                <w:iCs/>
                <w:color w:val="000000"/>
                <w:spacing w:val="1"/>
                <w:shd w:val="solid" w:color="000000" w:fill="000000"/>
                <w:fitText w:val="324" w:id="-628460285"/>
                <w14:textFill>
                  <w14:solidFill>
                    <w14:srgbClr w14:val="000000">
                      <w14:alpha w14:val="100000"/>
                    </w14:srgbClr>
                  </w14:solidFill>
                </w14:textFill>
              </w:rPr>
              <w:t>|</w:t>
            </w:r>
          </w:p>
        </w:tc>
        <w:tc>
          <w:tcPr>
            <w:tcW w:w="741" w:type="pct"/>
            <w:gridSpan w:val="2"/>
          </w:tcPr>
          <w:p w14:paraId="13B9E42A" w14:textId="72CE3912" w:rsidR="003529A0" w:rsidRPr="00B2513B" w:rsidRDefault="00BD551F" w:rsidP="00EA56F0">
            <w:pPr>
              <w:pStyle w:val="TableText"/>
              <w:keepLines/>
              <w:jc w:val="center"/>
              <w:rPr>
                <w:i/>
                <w:iCs/>
              </w:rPr>
            </w:pPr>
            <w:r w:rsidRPr="00B2513B">
              <w:rPr>
                <w:i/>
                <w:iCs/>
              </w:rPr>
              <w:t>0.89</w:t>
            </w:r>
          </w:p>
        </w:tc>
        <w:tc>
          <w:tcPr>
            <w:tcW w:w="894" w:type="pct"/>
          </w:tcPr>
          <w:p w14:paraId="5D72E17E" w14:textId="2F435D4A" w:rsidR="003529A0" w:rsidRPr="00221DDA" w:rsidRDefault="00101F88" w:rsidP="00EA56F0">
            <w:pPr>
              <w:pStyle w:val="TableText"/>
              <w:keepLines/>
              <w:jc w:val="center"/>
              <w:rPr>
                <w:rFonts w:cs="Arial"/>
                <w:i/>
                <w:iCs/>
                <w:szCs w:val="20"/>
                <w:vertAlign w:val="superscript"/>
              </w:rPr>
            </w:pPr>
            <w:r w:rsidRPr="00B2513B">
              <w:rPr>
                <w:rFonts w:cs="Arial"/>
                <w:i/>
                <w:iCs/>
                <w:szCs w:val="20"/>
              </w:rPr>
              <w:t>$</w:t>
            </w:r>
            <w:r w:rsidR="00DE7EE1" w:rsidRPr="00E40CE9">
              <w:rPr>
                <w:rFonts w:cs="Arial"/>
                <w:i/>
                <w:iCs/>
                <w:color w:val="000000"/>
                <w:spacing w:val="55"/>
                <w:szCs w:val="20"/>
                <w:shd w:val="solid" w:color="000000" w:fill="000000"/>
                <w:fitText w:val="336" w:id="-628460284"/>
                <w14:textFill>
                  <w14:solidFill>
                    <w14:srgbClr w14:val="000000">
                      <w14:alpha w14:val="100000"/>
                    </w14:srgbClr>
                  </w14:solidFill>
                </w14:textFill>
              </w:rPr>
              <w:t>|||</w:t>
            </w:r>
            <w:r w:rsidR="00DE7EE1" w:rsidRPr="00E40CE9">
              <w:rPr>
                <w:rFonts w:cs="Arial"/>
                <w:i/>
                <w:iCs/>
                <w:color w:val="000000"/>
                <w:spacing w:val="1"/>
                <w:szCs w:val="20"/>
                <w:shd w:val="solid" w:color="000000" w:fill="000000"/>
                <w:fitText w:val="336" w:id="-628460284"/>
                <w14:textFill>
                  <w14:solidFill>
                    <w14:srgbClr w14:val="000000">
                      <w14:alpha w14:val="100000"/>
                    </w14:srgbClr>
                  </w14:solidFill>
                </w14:textFill>
              </w:rPr>
              <w:t>|</w:t>
            </w:r>
            <w:r w:rsidR="00DB0631">
              <w:rPr>
                <w:rFonts w:cs="Arial"/>
                <w:i/>
                <w:iCs/>
                <w:szCs w:val="20"/>
                <w:vertAlign w:val="superscript"/>
              </w:rPr>
              <w:t>1</w:t>
            </w:r>
          </w:p>
        </w:tc>
        <w:tc>
          <w:tcPr>
            <w:tcW w:w="893" w:type="pct"/>
          </w:tcPr>
          <w:p w14:paraId="5005910A" w14:textId="224ACA85" w:rsidR="003529A0" w:rsidRPr="00B2513B" w:rsidRDefault="002C068D" w:rsidP="00EA56F0">
            <w:pPr>
              <w:pStyle w:val="TableText"/>
              <w:keepLines/>
              <w:jc w:val="center"/>
              <w:rPr>
                <w:rFonts w:cs="Arial"/>
                <w:i/>
                <w:iCs/>
                <w:szCs w:val="20"/>
              </w:rPr>
            </w:pPr>
            <w:r w:rsidRPr="00B2513B">
              <w:rPr>
                <w:rFonts w:cs="Arial"/>
                <w:i/>
                <w:iCs/>
                <w:szCs w:val="20"/>
              </w:rPr>
              <w:t>+</w:t>
            </w:r>
            <w:r w:rsidR="00DE7EE1" w:rsidRPr="00E40CE9">
              <w:rPr>
                <w:rFonts w:cs="Arial"/>
                <w:i/>
                <w:iCs/>
                <w:color w:val="000000"/>
                <w:spacing w:val="51"/>
                <w:szCs w:val="20"/>
                <w:shd w:val="solid" w:color="000000" w:fill="000000"/>
                <w:fitText w:val="324" w:id="-628460283"/>
                <w14:textFill>
                  <w14:solidFill>
                    <w14:srgbClr w14:val="000000">
                      <w14:alpha w14:val="100000"/>
                    </w14:srgbClr>
                  </w14:solidFill>
                </w14:textFill>
              </w:rPr>
              <w:t>|||</w:t>
            </w:r>
            <w:r w:rsidR="00DE7EE1" w:rsidRPr="00E40CE9">
              <w:rPr>
                <w:rFonts w:cs="Arial"/>
                <w:i/>
                <w:iCs/>
                <w:color w:val="000000"/>
                <w:spacing w:val="1"/>
                <w:szCs w:val="20"/>
                <w:shd w:val="solid" w:color="000000" w:fill="000000"/>
                <w:fitText w:val="324" w:id="-628460283"/>
                <w14:textFill>
                  <w14:solidFill>
                    <w14:srgbClr w14:val="000000">
                      <w14:alpha w14:val="100000"/>
                    </w14:srgbClr>
                  </w14:solidFill>
                </w14:textFill>
              </w:rPr>
              <w:t>|</w:t>
            </w:r>
            <w:r w:rsidRPr="00B2513B">
              <w:rPr>
                <w:rFonts w:cs="Arial"/>
                <w:i/>
                <w:iCs/>
                <w:szCs w:val="20"/>
              </w:rPr>
              <w:t>%</w:t>
            </w:r>
          </w:p>
        </w:tc>
      </w:tr>
      <w:tr w:rsidR="00BA7B83" w:rsidRPr="00FA0529" w14:paraId="16DDC519" w14:textId="77777777" w:rsidTr="00221DDA">
        <w:tc>
          <w:tcPr>
            <w:tcW w:w="1844" w:type="pct"/>
          </w:tcPr>
          <w:p w14:paraId="36C0C3BE" w14:textId="4DA38907" w:rsidR="00BA7B83" w:rsidRPr="00B2513B" w:rsidRDefault="00BA7B83" w:rsidP="00EA56F0">
            <w:pPr>
              <w:pStyle w:val="TableText"/>
              <w:keepLines/>
              <w:rPr>
                <w:b/>
                <w:color w:val="0D0D0D" w:themeColor="text1" w:themeTint="F2"/>
                <w:szCs w:val="20"/>
              </w:rPr>
            </w:pPr>
            <w:r w:rsidRPr="00B2513B">
              <w:rPr>
                <w:b/>
                <w:color w:val="0D0D0D" w:themeColor="text1" w:themeTint="F2"/>
                <w:szCs w:val="20"/>
              </w:rPr>
              <w:t>Multivariate sensitivity analyses</w:t>
            </w:r>
          </w:p>
        </w:tc>
        <w:tc>
          <w:tcPr>
            <w:tcW w:w="628" w:type="pct"/>
          </w:tcPr>
          <w:p w14:paraId="1C22339B" w14:textId="77777777" w:rsidR="00BA7B83" w:rsidRPr="00B2513B" w:rsidRDefault="00BA7B83" w:rsidP="00EA56F0">
            <w:pPr>
              <w:pStyle w:val="TableText"/>
              <w:keepLines/>
              <w:jc w:val="center"/>
            </w:pPr>
          </w:p>
        </w:tc>
        <w:tc>
          <w:tcPr>
            <w:tcW w:w="741" w:type="pct"/>
            <w:gridSpan w:val="2"/>
          </w:tcPr>
          <w:p w14:paraId="67228424" w14:textId="77777777" w:rsidR="00BA7B83" w:rsidRPr="00B2513B" w:rsidRDefault="00BA7B83" w:rsidP="00EA56F0">
            <w:pPr>
              <w:pStyle w:val="TableText"/>
              <w:keepLines/>
              <w:jc w:val="center"/>
            </w:pPr>
          </w:p>
        </w:tc>
        <w:tc>
          <w:tcPr>
            <w:tcW w:w="894" w:type="pct"/>
          </w:tcPr>
          <w:p w14:paraId="32345A2E" w14:textId="77777777" w:rsidR="00BA7B83" w:rsidRPr="00B2513B" w:rsidRDefault="00BA7B83" w:rsidP="00EA56F0">
            <w:pPr>
              <w:pStyle w:val="TableText"/>
              <w:keepLines/>
              <w:jc w:val="center"/>
              <w:rPr>
                <w:rFonts w:cs="Arial"/>
                <w:szCs w:val="20"/>
              </w:rPr>
            </w:pPr>
          </w:p>
        </w:tc>
        <w:tc>
          <w:tcPr>
            <w:tcW w:w="893" w:type="pct"/>
          </w:tcPr>
          <w:p w14:paraId="1D746F47" w14:textId="77777777" w:rsidR="00BA7B83" w:rsidRPr="00B2513B" w:rsidRDefault="00BA7B83" w:rsidP="00EA56F0">
            <w:pPr>
              <w:pStyle w:val="TableText"/>
              <w:keepLines/>
              <w:jc w:val="center"/>
              <w:rPr>
                <w:rFonts w:cs="Arial"/>
                <w:szCs w:val="20"/>
              </w:rPr>
            </w:pPr>
          </w:p>
        </w:tc>
      </w:tr>
      <w:tr w:rsidR="00BA7B83" w:rsidRPr="00FA0529" w14:paraId="6538D26D" w14:textId="77777777" w:rsidTr="00221DDA">
        <w:tc>
          <w:tcPr>
            <w:tcW w:w="1844" w:type="pct"/>
          </w:tcPr>
          <w:p w14:paraId="4472947E" w14:textId="1B21A62C" w:rsidR="00BA7B83" w:rsidRPr="00B2513B" w:rsidRDefault="00BA7B83" w:rsidP="00EA56F0">
            <w:pPr>
              <w:pStyle w:val="TableText"/>
              <w:keepLines/>
              <w:rPr>
                <w:bCs w:val="0"/>
                <w:color w:val="0D0D0D" w:themeColor="text1" w:themeTint="F2"/>
                <w:szCs w:val="20"/>
              </w:rPr>
            </w:pPr>
            <w:r w:rsidRPr="00B2513B">
              <w:rPr>
                <w:bCs w:val="0"/>
                <w:color w:val="0D0D0D" w:themeColor="text1" w:themeTint="F2"/>
                <w:szCs w:val="20"/>
              </w:rPr>
              <w:t xml:space="preserve">#1 + #2 </w:t>
            </w:r>
          </w:p>
        </w:tc>
        <w:tc>
          <w:tcPr>
            <w:tcW w:w="628" w:type="pct"/>
          </w:tcPr>
          <w:p w14:paraId="7AB780CF" w14:textId="6335255F" w:rsidR="00BA7B83" w:rsidRPr="00B2513B" w:rsidRDefault="00B210D9" w:rsidP="00EA56F0">
            <w:pPr>
              <w:pStyle w:val="TableText"/>
              <w:keepLines/>
              <w:jc w:val="center"/>
            </w:pPr>
            <w:r w:rsidRPr="00B2513B">
              <w:t>$</w:t>
            </w:r>
            <w:r w:rsidR="00DE7EE1" w:rsidRPr="00E40CE9">
              <w:rPr>
                <w:color w:val="000000"/>
                <w:spacing w:val="51"/>
                <w:shd w:val="solid" w:color="000000" w:fill="000000"/>
                <w:fitText w:val="324" w:id="-628460282"/>
                <w14:textFill>
                  <w14:solidFill>
                    <w14:srgbClr w14:val="000000">
                      <w14:alpha w14:val="100000"/>
                    </w14:srgbClr>
                  </w14:solidFill>
                </w14:textFill>
              </w:rPr>
              <w:t>|||</w:t>
            </w:r>
            <w:r w:rsidR="00DE7EE1" w:rsidRPr="00E40CE9">
              <w:rPr>
                <w:color w:val="000000"/>
                <w:spacing w:val="1"/>
                <w:shd w:val="solid" w:color="000000" w:fill="000000"/>
                <w:fitText w:val="324" w:id="-628460282"/>
                <w14:textFill>
                  <w14:solidFill>
                    <w14:srgbClr w14:val="000000">
                      <w14:alpha w14:val="100000"/>
                    </w14:srgbClr>
                  </w14:solidFill>
                </w14:textFill>
              </w:rPr>
              <w:t>|</w:t>
            </w:r>
          </w:p>
        </w:tc>
        <w:tc>
          <w:tcPr>
            <w:tcW w:w="741" w:type="pct"/>
            <w:gridSpan w:val="2"/>
          </w:tcPr>
          <w:p w14:paraId="6CD579A3" w14:textId="3C7225A7" w:rsidR="00BA7B83" w:rsidRPr="00B2513B" w:rsidRDefault="00B210D9" w:rsidP="00EA56F0">
            <w:pPr>
              <w:pStyle w:val="TableText"/>
              <w:keepLines/>
              <w:jc w:val="center"/>
            </w:pPr>
            <w:r w:rsidRPr="00B2513B">
              <w:t>0.56</w:t>
            </w:r>
          </w:p>
        </w:tc>
        <w:tc>
          <w:tcPr>
            <w:tcW w:w="894" w:type="pct"/>
          </w:tcPr>
          <w:p w14:paraId="54A8468B" w14:textId="68A88F6C" w:rsidR="00BA7B83" w:rsidRPr="00221DDA" w:rsidRDefault="0066684D" w:rsidP="00EA56F0">
            <w:pPr>
              <w:pStyle w:val="TableText"/>
              <w:keepLines/>
              <w:jc w:val="center"/>
              <w:rPr>
                <w:rFonts w:cs="Arial"/>
                <w:szCs w:val="20"/>
                <w:vertAlign w:val="superscript"/>
              </w:rPr>
            </w:pPr>
            <w:r w:rsidRPr="00B2513B">
              <w:rPr>
                <w:rFonts w:cs="Arial"/>
                <w:szCs w:val="20"/>
              </w:rPr>
              <w:t>$</w:t>
            </w:r>
            <w:r w:rsidR="00DE7EE1" w:rsidRPr="00E40CE9">
              <w:rPr>
                <w:rFonts w:cs="Arial"/>
                <w:color w:val="000000"/>
                <w:spacing w:val="55"/>
                <w:szCs w:val="20"/>
                <w:shd w:val="solid" w:color="000000" w:fill="000000"/>
                <w:fitText w:val="336" w:id="-628460281"/>
                <w14:textFill>
                  <w14:solidFill>
                    <w14:srgbClr w14:val="000000">
                      <w14:alpha w14:val="100000"/>
                    </w14:srgbClr>
                  </w14:solidFill>
                </w14:textFill>
              </w:rPr>
              <w:t>|||</w:t>
            </w:r>
            <w:r w:rsidR="00DE7EE1" w:rsidRPr="00E40CE9">
              <w:rPr>
                <w:rFonts w:cs="Arial"/>
                <w:color w:val="000000"/>
                <w:spacing w:val="1"/>
                <w:szCs w:val="20"/>
                <w:shd w:val="solid" w:color="000000" w:fill="000000"/>
                <w:fitText w:val="336" w:id="-628460281"/>
                <w14:textFill>
                  <w14:solidFill>
                    <w14:srgbClr w14:val="000000">
                      <w14:alpha w14:val="100000"/>
                    </w14:srgbClr>
                  </w14:solidFill>
                </w14:textFill>
              </w:rPr>
              <w:t>|</w:t>
            </w:r>
            <w:r w:rsidR="00E02CEF">
              <w:rPr>
                <w:rFonts w:cs="Arial"/>
                <w:szCs w:val="20"/>
                <w:vertAlign w:val="superscript"/>
              </w:rPr>
              <w:t>2</w:t>
            </w:r>
          </w:p>
        </w:tc>
        <w:tc>
          <w:tcPr>
            <w:tcW w:w="893" w:type="pct"/>
          </w:tcPr>
          <w:p w14:paraId="56A724BA" w14:textId="434F1176" w:rsidR="00BA7B83" w:rsidRPr="00B2513B" w:rsidRDefault="00605A8D" w:rsidP="00EA56F0">
            <w:pPr>
              <w:pStyle w:val="TableText"/>
              <w:keepLines/>
              <w:jc w:val="center"/>
              <w:rPr>
                <w:rFonts w:cs="Arial"/>
                <w:szCs w:val="20"/>
              </w:rPr>
            </w:pPr>
            <w:r w:rsidRPr="00B2513B">
              <w:rPr>
                <w:rFonts w:cs="Arial"/>
                <w:szCs w:val="20"/>
              </w:rPr>
              <w:t>+</w:t>
            </w:r>
            <w:r w:rsidR="00DE7EE1" w:rsidRPr="00E40CE9">
              <w:rPr>
                <w:rFonts w:cs="Arial"/>
                <w:color w:val="000000"/>
                <w:spacing w:val="51"/>
                <w:szCs w:val="20"/>
                <w:shd w:val="solid" w:color="000000" w:fill="000000"/>
                <w:fitText w:val="324" w:id="-628460280"/>
                <w14:textFill>
                  <w14:solidFill>
                    <w14:srgbClr w14:val="000000">
                      <w14:alpha w14:val="100000"/>
                    </w14:srgbClr>
                  </w14:solidFill>
                </w14:textFill>
              </w:rPr>
              <w:t>|||</w:t>
            </w:r>
            <w:r w:rsidR="00DE7EE1" w:rsidRPr="00E40CE9">
              <w:rPr>
                <w:rFonts w:cs="Arial"/>
                <w:color w:val="000000"/>
                <w:spacing w:val="1"/>
                <w:szCs w:val="20"/>
                <w:shd w:val="solid" w:color="000000" w:fill="000000"/>
                <w:fitText w:val="324" w:id="-628460280"/>
                <w14:textFill>
                  <w14:solidFill>
                    <w14:srgbClr w14:val="000000">
                      <w14:alpha w14:val="100000"/>
                    </w14:srgbClr>
                  </w14:solidFill>
                </w14:textFill>
              </w:rPr>
              <w:t>|</w:t>
            </w:r>
            <w:r w:rsidRPr="00B2513B">
              <w:rPr>
                <w:rFonts w:cs="Arial"/>
                <w:szCs w:val="20"/>
              </w:rPr>
              <w:t>%</w:t>
            </w:r>
          </w:p>
        </w:tc>
      </w:tr>
      <w:tr w:rsidR="00BA7B83" w:rsidRPr="00FA0529" w14:paraId="496DCF10" w14:textId="77777777" w:rsidTr="00221DDA">
        <w:tc>
          <w:tcPr>
            <w:tcW w:w="1844" w:type="pct"/>
          </w:tcPr>
          <w:p w14:paraId="1355F0BF" w14:textId="5FA540A5" w:rsidR="00BA7B83" w:rsidRPr="00B2513B" w:rsidRDefault="00BA7B83" w:rsidP="00EA56F0">
            <w:pPr>
              <w:pStyle w:val="TableText"/>
              <w:keepLines/>
              <w:rPr>
                <w:bCs w:val="0"/>
                <w:color w:val="0D0D0D" w:themeColor="text1" w:themeTint="F2"/>
                <w:szCs w:val="20"/>
              </w:rPr>
            </w:pPr>
            <w:r w:rsidRPr="00B2513B">
              <w:rPr>
                <w:bCs w:val="0"/>
                <w:color w:val="0D0D0D" w:themeColor="text1" w:themeTint="F2"/>
                <w:szCs w:val="20"/>
              </w:rPr>
              <w:t>#1 + #2 + #3</w:t>
            </w:r>
          </w:p>
        </w:tc>
        <w:tc>
          <w:tcPr>
            <w:tcW w:w="628" w:type="pct"/>
          </w:tcPr>
          <w:p w14:paraId="63018209" w14:textId="30E2191B" w:rsidR="00BA7B83" w:rsidRPr="00B2513B" w:rsidRDefault="00CB1A20" w:rsidP="00EA56F0">
            <w:pPr>
              <w:pStyle w:val="TableText"/>
              <w:keepLines/>
              <w:jc w:val="center"/>
            </w:pPr>
            <w:r w:rsidRPr="00B2513B">
              <w:t>$</w:t>
            </w:r>
            <w:r w:rsidR="00DE7EE1" w:rsidRPr="00E40CE9">
              <w:rPr>
                <w:color w:val="000000"/>
                <w:spacing w:val="51"/>
                <w:shd w:val="solid" w:color="000000" w:fill="000000"/>
                <w:fitText w:val="324" w:id="-628460279"/>
                <w14:textFill>
                  <w14:solidFill>
                    <w14:srgbClr w14:val="000000">
                      <w14:alpha w14:val="100000"/>
                    </w14:srgbClr>
                  </w14:solidFill>
                </w14:textFill>
              </w:rPr>
              <w:t>|||</w:t>
            </w:r>
            <w:r w:rsidR="00DE7EE1" w:rsidRPr="00E40CE9">
              <w:rPr>
                <w:color w:val="000000"/>
                <w:spacing w:val="1"/>
                <w:shd w:val="solid" w:color="000000" w:fill="000000"/>
                <w:fitText w:val="324" w:id="-628460279"/>
                <w14:textFill>
                  <w14:solidFill>
                    <w14:srgbClr w14:val="000000">
                      <w14:alpha w14:val="100000"/>
                    </w14:srgbClr>
                  </w14:solidFill>
                </w14:textFill>
              </w:rPr>
              <w:t>|</w:t>
            </w:r>
          </w:p>
        </w:tc>
        <w:tc>
          <w:tcPr>
            <w:tcW w:w="741" w:type="pct"/>
            <w:gridSpan w:val="2"/>
          </w:tcPr>
          <w:p w14:paraId="4BE68B61" w14:textId="0A09074D" w:rsidR="00BA7B83" w:rsidRPr="00B2513B" w:rsidRDefault="00CB1A20" w:rsidP="00EA56F0">
            <w:pPr>
              <w:pStyle w:val="TableText"/>
              <w:keepLines/>
              <w:jc w:val="center"/>
            </w:pPr>
            <w:r w:rsidRPr="00B2513B">
              <w:t>0.54</w:t>
            </w:r>
          </w:p>
        </w:tc>
        <w:tc>
          <w:tcPr>
            <w:tcW w:w="894" w:type="pct"/>
          </w:tcPr>
          <w:p w14:paraId="667DE898" w14:textId="62BA4391" w:rsidR="00BA7B83" w:rsidRPr="00221DDA" w:rsidRDefault="00CB1A20" w:rsidP="00EA56F0">
            <w:pPr>
              <w:pStyle w:val="TableText"/>
              <w:keepLines/>
              <w:jc w:val="center"/>
              <w:rPr>
                <w:rFonts w:cs="Arial"/>
                <w:szCs w:val="20"/>
                <w:vertAlign w:val="superscript"/>
              </w:rPr>
            </w:pPr>
            <w:r w:rsidRPr="00B2513B">
              <w:rPr>
                <w:rFonts w:cs="Arial"/>
                <w:szCs w:val="20"/>
              </w:rPr>
              <w:t>$</w:t>
            </w:r>
            <w:r w:rsidR="00DE7EE1" w:rsidRPr="00E40CE9">
              <w:rPr>
                <w:rFonts w:cs="Arial"/>
                <w:color w:val="000000"/>
                <w:spacing w:val="55"/>
                <w:szCs w:val="20"/>
                <w:shd w:val="solid" w:color="000000" w:fill="000000"/>
                <w:fitText w:val="336" w:id="-628460278"/>
                <w14:textFill>
                  <w14:solidFill>
                    <w14:srgbClr w14:val="000000">
                      <w14:alpha w14:val="100000"/>
                    </w14:srgbClr>
                  </w14:solidFill>
                </w14:textFill>
              </w:rPr>
              <w:t>|||</w:t>
            </w:r>
            <w:r w:rsidR="00DE7EE1" w:rsidRPr="00E40CE9">
              <w:rPr>
                <w:rFonts w:cs="Arial"/>
                <w:color w:val="000000"/>
                <w:spacing w:val="1"/>
                <w:szCs w:val="20"/>
                <w:shd w:val="solid" w:color="000000" w:fill="000000"/>
                <w:fitText w:val="336" w:id="-628460278"/>
                <w14:textFill>
                  <w14:solidFill>
                    <w14:srgbClr w14:val="000000">
                      <w14:alpha w14:val="100000"/>
                    </w14:srgbClr>
                  </w14:solidFill>
                </w14:textFill>
              </w:rPr>
              <w:t>|</w:t>
            </w:r>
            <w:r w:rsidR="00E02CEF">
              <w:rPr>
                <w:rFonts w:cs="Arial"/>
                <w:szCs w:val="20"/>
                <w:vertAlign w:val="superscript"/>
              </w:rPr>
              <w:t>2</w:t>
            </w:r>
          </w:p>
        </w:tc>
        <w:tc>
          <w:tcPr>
            <w:tcW w:w="893" w:type="pct"/>
          </w:tcPr>
          <w:p w14:paraId="0750FFB1" w14:textId="0D7004C3" w:rsidR="00BA7B83" w:rsidRPr="00B2513B" w:rsidRDefault="00EF5610" w:rsidP="00EA56F0">
            <w:pPr>
              <w:pStyle w:val="TableText"/>
              <w:keepLines/>
              <w:jc w:val="center"/>
              <w:rPr>
                <w:rFonts w:cs="Arial"/>
                <w:szCs w:val="20"/>
              </w:rPr>
            </w:pPr>
            <w:r w:rsidRPr="00B2513B">
              <w:rPr>
                <w:rFonts w:cs="Arial"/>
                <w:szCs w:val="20"/>
              </w:rPr>
              <w:t>+</w:t>
            </w:r>
            <w:r w:rsidR="00DE7EE1" w:rsidRPr="00E40CE9">
              <w:rPr>
                <w:rFonts w:cs="Arial"/>
                <w:color w:val="000000"/>
                <w:spacing w:val="51"/>
                <w:szCs w:val="20"/>
                <w:shd w:val="solid" w:color="000000" w:fill="000000"/>
                <w:fitText w:val="324" w:id="-628460277"/>
                <w14:textFill>
                  <w14:solidFill>
                    <w14:srgbClr w14:val="000000">
                      <w14:alpha w14:val="100000"/>
                    </w14:srgbClr>
                  </w14:solidFill>
                </w14:textFill>
              </w:rPr>
              <w:t>|||</w:t>
            </w:r>
            <w:r w:rsidR="00DE7EE1" w:rsidRPr="00E40CE9">
              <w:rPr>
                <w:rFonts w:cs="Arial"/>
                <w:color w:val="000000"/>
                <w:spacing w:val="1"/>
                <w:szCs w:val="20"/>
                <w:shd w:val="solid" w:color="000000" w:fill="000000"/>
                <w:fitText w:val="324" w:id="-628460277"/>
                <w14:textFill>
                  <w14:solidFill>
                    <w14:srgbClr w14:val="000000">
                      <w14:alpha w14:val="100000"/>
                    </w14:srgbClr>
                  </w14:solidFill>
                </w14:textFill>
              </w:rPr>
              <w:t>|</w:t>
            </w:r>
            <w:r w:rsidRPr="00B2513B">
              <w:rPr>
                <w:rFonts w:cs="Arial"/>
                <w:szCs w:val="20"/>
              </w:rPr>
              <w:t>%</w:t>
            </w:r>
          </w:p>
        </w:tc>
      </w:tr>
      <w:tr w:rsidR="00C102DF" w:rsidRPr="00FA0529" w14:paraId="2B749920" w14:textId="77777777" w:rsidTr="00221DDA">
        <w:tc>
          <w:tcPr>
            <w:tcW w:w="1844" w:type="pct"/>
          </w:tcPr>
          <w:p w14:paraId="5FE9B223" w14:textId="5C446523" w:rsidR="00C102DF" w:rsidRPr="002B79FA" w:rsidRDefault="00C102DF" w:rsidP="00EA56F0">
            <w:pPr>
              <w:pStyle w:val="TableText"/>
              <w:keepLines/>
              <w:rPr>
                <w:bCs w:val="0"/>
                <w:color w:val="0D0D0D" w:themeColor="text1" w:themeTint="F2"/>
                <w:szCs w:val="20"/>
              </w:rPr>
            </w:pPr>
            <w:r w:rsidRPr="00A339A8">
              <w:rPr>
                <w:bCs w:val="0"/>
                <w:color w:val="0D0D0D" w:themeColor="text1" w:themeTint="F2"/>
                <w:szCs w:val="20"/>
              </w:rPr>
              <w:t>#1 + #2 + #3</w:t>
            </w:r>
            <w:r>
              <w:rPr>
                <w:bCs w:val="0"/>
                <w:color w:val="0D0D0D" w:themeColor="text1" w:themeTint="F2"/>
                <w:szCs w:val="20"/>
              </w:rPr>
              <w:t xml:space="preserve"> and Pre-PBAC price reduction</w:t>
            </w:r>
            <w:r w:rsidR="00901007">
              <w:rPr>
                <w:bCs w:val="0"/>
                <w:color w:val="0D0D0D" w:themeColor="text1" w:themeTint="F2"/>
                <w:szCs w:val="20"/>
              </w:rPr>
              <w:t xml:space="preserve"> </w:t>
            </w:r>
            <w:r w:rsidR="00901007" w:rsidRPr="00B2513B">
              <w:rPr>
                <w:bCs w:val="0"/>
                <w:color w:val="0D0D0D" w:themeColor="text1" w:themeTint="F2"/>
                <w:szCs w:val="20"/>
                <w:vertAlign w:val="superscript"/>
              </w:rPr>
              <w:t>a</w:t>
            </w:r>
          </w:p>
        </w:tc>
        <w:tc>
          <w:tcPr>
            <w:tcW w:w="628" w:type="pct"/>
          </w:tcPr>
          <w:p w14:paraId="2363DA02" w14:textId="214E399E" w:rsidR="00C102DF" w:rsidRPr="002B79FA" w:rsidRDefault="00C102DF" w:rsidP="00EA56F0">
            <w:pPr>
              <w:pStyle w:val="TableText"/>
              <w:keepLines/>
              <w:jc w:val="center"/>
            </w:pPr>
            <w:r>
              <w:t>$</w:t>
            </w:r>
            <w:r w:rsidR="00DE7EE1" w:rsidRPr="00E40CE9">
              <w:rPr>
                <w:color w:val="000000"/>
                <w:spacing w:val="51"/>
                <w:shd w:val="solid" w:color="000000" w:fill="000000"/>
                <w:fitText w:val="324" w:id="-628460276"/>
                <w14:textFill>
                  <w14:solidFill>
                    <w14:srgbClr w14:val="000000">
                      <w14:alpha w14:val="100000"/>
                    </w14:srgbClr>
                  </w14:solidFill>
                </w14:textFill>
              </w:rPr>
              <w:t>|||</w:t>
            </w:r>
            <w:r w:rsidR="00DE7EE1" w:rsidRPr="00E40CE9">
              <w:rPr>
                <w:color w:val="000000"/>
                <w:spacing w:val="1"/>
                <w:shd w:val="solid" w:color="000000" w:fill="000000"/>
                <w:fitText w:val="324" w:id="-628460276"/>
                <w14:textFill>
                  <w14:solidFill>
                    <w14:srgbClr w14:val="000000">
                      <w14:alpha w14:val="100000"/>
                    </w14:srgbClr>
                  </w14:solidFill>
                </w14:textFill>
              </w:rPr>
              <w:t>|</w:t>
            </w:r>
          </w:p>
        </w:tc>
        <w:tc>
          <w:tcPr>
            <w:tcW w:w="741" w:type="pct"/>
            <w:gridSpan w:val="2"/>
          </w:tcPr>
          <w:p w14:paraId="48AF4AC7" w14:textId="0E3DDCDC" w:rsidR="00C102DF" w:rsidRPr="002B79FA" w:rsidRDefault="00C102DF" w:rsidP="00EA56F0">
            <w:pPr>
              <w:pStyle w:val="TableText"/>
              <w:keepLines/>
              <w:jc w:val="center"/>
            </w:pPr>
            <w:r w:rsidRPr="00A339A8">
              <w:t>0.54</w:t>
            </w:r>
          </w:p>
        </w:tc>
        <w:tc>
          <w:tcPr>
            <w:tcW w:w="894" w:type="pct"/>
          </w:tcPr>
          <w:p w14:paraId="07D49C26" w14:textId="47F4B15E" w:rsidR="00C102DF" w:rsidRPr="00221DDA" w:rsidRDefault="00C102DF" w:rsidP="00EA56F0">
            <w:pPr>
              <w:pStyle w:val="TableText"/>
              <w:keepLines/>
              <w:jc w:val="center"/>
              <w:rPr>
                <w:rFonts w:cs="Arial"/>
                <w:szCs w:val="20"/>
                <w:vertAlign w:val="superscript"/>
              </w:rPr>
            </w:pPr>
            <w:r>
              <w:rPr>
                <w:rFonts w:cs="Arial"/>
                <w:szCs w:val="20"/>
              </w:rPr>
              <w:t>$</w:t>
            </w:r>
            <w:r w:rsidR="00DE7EE1" w:rsidRPr="00E40CE9">
              <w:rPr>
                <w:rFonts w:cs="Arial"/>
                <w:color w:val="000000"/>
                <w:spacing w:val="55"/>
                <w:szCs w:val="20"/>
                <w:shd w:val="solid" w:color="000000" w:fill="000000"/>
                <w:fitText w:val="336" w:id="-628460275"/>
                <w14:textFill>
                  <w14:solidFill>
                    <w14:srgbClr w14:val="000000">
                      <w14:alpha w14:val="100000"/>
                    </w14:srgbClr>
                  </w14:solidFill>
                </w14:textFill>
              </w:rPr>
              <w:t>|||</w:t>
            </w:r>
            <w:r w:rsidR="00DE7EE1" w:rsidRPr="00E40CE9">
              <w:rPr>
                <w:rFonts w:cs="Arial"/>
                <w:color w:val="000000"/>
                <w:spacing w:val="1"/>
                <w:szCs w:val="20"/>
                <w:shd w:val="solid" w:color="000000" w:fill="000000"/>
                <w:fitText w:val="336" w:id="-628460275"/>
                <w14:textFill>
                  <w14:solidFill>
                    <w14:srgbClr w14:val="000000">
                      <w14:alpha w14:val="100000"/>
                    </w14:srgbClr>
                  </w14:solidFill>
                </w14:textFill>
              </w:rPr>
              <w:t>|</w:t>
            </w:r>
            <w:r w:rsidR="00E02CEF">
              <w:rPr>
                <w:rFonts w:cs="Arial"/>
                <w:szCs w:val="20"/>
                <w:vertAlign w:val="superscript"/>
              </w:rPr>
              <w:t>2</w:t>
            </w:r>
          </w:p>
        </w:tc>
        <w:tc>
          <w:tcPr>
            <w:tcW w:w="893" w:type="pct"/>
          </w:tcPr>
          <w:p w14:paraId="027707D8" w14:textId="7F225206" w:rsidR="00C102DF" w:rsidRPr="002B79FA" w:rsidRDefault="00A55589" w:rsidP="00EA56F0">
            <w:pPr>
              <w:pStyle w:val="TableText"/>
              <w:keepLines/>
              <w:jc w:val="center"/>
              <w:rPr>
                <w:rFonts w:cs="Arial"/>
                <w:szCs w:val="20"/>
              </w:rPr>
            </w:pPr>
            <w:r>
              <w:rPr>
                <w:rFonts w:cs="Arial"/>
                <w:szCs w:val="20"/>
              </w:rPr>
              <w:t>+</w:t>
            </w:r>
            <w:r w:rsidR="00DE7EE1" w:rsidRPr="00E40CE9">
              <w:rPr>
                <w:rFonts w:cs="Arial"/>
                <w:color w:val="000000"/>
                <w:spacing w:val="51"/>
                <w:szCs w:val="20"/>
                <w:shd w:val="solid" w:color="000000" w:fill="000000"/>
                <w:fitText w:val="324" w:id="-628460274"/>
                <w14:textFill>
                  <w14:solidFill>
                    <w14:srgbClr w14:val="000000">
                      <w14:alpha w14:val="100000"/>
                    </w14:srgbClr>
                  </w14:solidFill>
                </w14:textFill>
              </w:rPr>
              <w:t>|||</w:t>
            </w:r>
            <w:r w:rsidR="00DE7EE1" w:rsidRPr="00E40CE9">
              <w:rPr>
                <w:rFonts w:cs="Arial"/>
                <w:color w:val="000000"/>
                <w:spacing w:val="1"/>
                <w:szCs w:val="20"/>
                <w:shd w:val="solid" w:color="000000" w:fill="000000"/>
                <w:fitText w:val="324" w:id="-628460274"/>
                <w14:textFill>
                  <w14:solidFill>
                    <w14:srgbClr w14:val="000000">
                      <w14:alpha w14:val="100000"/>
                    </w14:srgbClr>
                  </w14:solidFill>
                </w14:textFill>
              </w:rPr>
              <w:t>|</w:t>
            </w:r>
            <w:r>
              <w:rPr>
                <w:rFonts w:cs="Arial"/>
                <w:szCs w:val="20"/>
              </w:rPr>
              <w:t>%</w:t>
            </w:r>
          </w:p>
        </w:tc>
      </w:tr>
    </w:tbl>
    <w:p w14:paraId="403EFE32" w14:textId="5D5F42C1" w:rsidR="00EA1A03" w:rsidRDefault="00EA1A03" w:rsidP="00EA56F0">
      <w:pPr>
        <w:pStyle w:val="3-BodyText"/>
        <w:keepNext/>
        <w:keepLines/>
        <w:numPr>
          <w:ilvl w:val="0"/>
          <w:numId w:val="0"/>
        </w:numPr>
        <w:spacing w:after="0"/>
        <w:rPr>
          <w:rFonts w:ascii="Arial Narrow" w:hAnsi="Arial Narrow"/>
          <w:sz w:val="18"/>
          <w:szCs w:val="16"/>
        </w:rPr>
      </w:pPr>
      <w:bookmarkStart w:id="17" w:name="_Toc413139283"/>
      <w:bookmarkStart w:id="18" w:name="_Toc413139284"/>
      <w:r w:rsidRPr="00FA0529">
        <w:rPr>
          <w:rFonts w:ascii="Arial Narrow" w:hAnsi="Arial Narrow"/>
          <w:sz w:val="18"/>
          <w:szCs w:val="16"/>
        </w:rPr>
        <w:t xml:space="preserve">Source: economic model provided with the early re-entry resubmission </w:t>
      </w:r>
    </w:p>
    <w:p w14:paraId="4E6F82A6" w14:textId="7E7457FD" w:rsidR="00901007" w:rsidRDefault="00901007" w:rsidP="00EA56F0">
      <w:pPr>
        <w:pStyle w:val="3-BodyText"/>
        <w:keepNext/>
        <w:keepLines/>
        <w:numPr>
          <w:ilvl w:val="0"/>
          <w:numId w:val="0"/>
        </w:numPr>
        <w:spacing w:after="0"/>
        <w:rPr>
          <w:rFonts w:ascii="Arial Narrow" w:hAnsi="Arial Narrow"/>
          <w:sz w:val="18"/>
          <w:szCs w:val="16"/>
        </w:rPr>
      </w:pPr>
      <w:r w:rsidRPr="00B2513B">
        <w:rPr>
          <w:rFonts w:ascii="Arial Narrow" w:hAnsi="Arial Narrow"/>
          <w:sz w:val="18"/>
          <w:szCs w:val="16"/>
          <w:vertAlign w:val="superscript"/>
        </w:rPr>
        <w:t xml:space="preserve">a </w:t>
      </w:r>
      <w:r w:rsidR="00E32A17" w:rsidRPr="00B2513B">
        <w:rPr>
          <w:rFonts w:ascii="Arial Narrow" w:hAnsi="Arial Narrow"/>
          <w:sz w:val="18"/>
          <w:szCs w:val="16"/>
        </w:rPr>
        <w:t>Pre-PBAC response reduced the proposed AEMP to $</w:t>
      </w:r>
      <w:r w:rsidR="00DE7EE1" w:rsidRPr="00E40CE9">
        <w:rPr>
          <w:rFonts w:ascii="Arial Narrow" w:hAnsi="Arial Narrow"/>
          <w:color w:val="000000"/>
          <w:spacing w:val="40"/>
          <w:sz w:val="18"/>
          <w:szCs w:val="16"/>
          <w:shd w:val="solid" w:color="000000" w:fill="000000"/>
          <w:fitText w:val="280" w:id="-628460273"/>
          <w14:textFill>
            <w14:solidFill>
              <w14:srgbClr w14:val="000000">
                <w14:alpha w14:val="100000"/>
              </w14:srgbClr>
            </w14:solidFill>
          </w14:textFill>
        </w:rPr>
        <w:t xml:space="preserve">|  </w:t>
      </w:r>
      <w:r w:rsidR="00DE7EE1" w:rsidRPr="00E40CE9">
        <w:rPr>
          <w:rFonts w:ascii="Arial Narrow" w:hAnsi="Arial Narrow"/>
          <w:color w:val="000000"/>
          <w:spacing w:val="2"/>
          <w:sz w:val="18"/>
          <w:szCs w:val="16"/>
          <w:shd w:val="solid" w:color="000000" w:fill="000000"/>
          <w:fitText w:val="280" w:id="-628460273"/>
          <w14:textFill>
            <w14:solidFill>
              <w14:srgbClr w14:val="000000">
                <w14:alpha w14:val="100000"/>
              </w14:srgbClr>
            </w14:solidFill>
          </w14:textFill>
        </w:rPr>
        <w:t>|</w:t>
      </w:r>
      <w:r w:rsidR="00E32A17" w:rsidRPr="00B2513B">
        <w:rPr>
          <w:rFonts w:ascii="Arial Narrow" w:hAnsi="Arial Narrow"/>
          <w:sz w:val="18"/>
          <w:szCs w:val="16"/>
        </w:rPr>
        <w:t xml:space="preserve"> per pack.</w:t>
      </w:r>
    </w:p>
    <w:p w14:paraId="58D91D57" w14:textId="77777777" w:rsidR="0003681D" w:rsidRPr="009A04FB" w:rsidRDefault="0003681D" w:rsidP="0003681D">
      <w:pPr>
        <w:pStyle w:val="TableFigureFooter"/>
        <w:keepNext/>
        <w:keepLines/>
        <w:rPr>
          <w:i/>
        </w:rPr>
      </w:pPr>
      <w:r w:rsidRPr="009A04FB">
        <w:rPr>
          <w:i/>
        </w:rPr>
        <w:t xml:space="preserve">The redacted values correspond to the following ranges: </w:t>
      </w:r>
    </w:p>
    <w:p w14:paraId="1C47792F" w14:textId="5E6C247B" w:rsidR="0003681D" w:rsidRPr="009A04FB" w:rsidRDefault="0003681D" w:rsidP="0003681D">
      <w:pPr>
        <w:pStyle w:val="TableFigureFooter"/>
        <w:keepNext/>
        <w:keepLines/>
        <w:rPr>
          <w:i/>
        </w:rPr>
      </w:pPr>
      <w:r w:rsidRPr="009A04FB">
        <w:rPr>
          <w:i/>
          <w:vertAlign w:val="superscript"/>
        </w:rPr>
        <w:t>1</w:t>
      </w:r>
      <w:r w:rsidRPr="009A04FB">
        <w:rPr>
          <w:i/>
        </w:rPr>
        <w:t xml:space="preserve"> </w:t>
      </w:r>
      <w:r w:rsidRPr="0003681D">
        <w:rPr>
          <w:i/>
        </w:rPr>
        <w:t>$75,000 to &lt; $95,000</w:t>
      </w:r>
    </w:p>
    <w:p w14:paraId="19D0C70B" w14:textId="77777777" w:rsidR="00E02CEF" w:rsidRPr="00E02CEF" w:rsidRDefault="0003681D" w:rsidP="00E02CEF">
      <w:pPr>
        <w:pStyle w:val="TableFigureFooter"/>
        <w:keepNext/>
        <w:keepLines/>
        <w:rPr>
          <w:i/>
        </w:rPr>
      </w:pPr>
      <w:r w:rsidRPr="009A04FB">
        <w:rPr>
          <w:i/>
          <w:vertAlign w:val="superscript"/>
        </w:rPr>
        <w:t>2</w:t>
      </w:r>
      <w:r w:rsidRPr="009A04FB">
        <w:rPr>
          <w:i/>
        </w:rPr>
        <w:t xml:space="preserve"> </w:t>
      </w:r>
      <w:r w:rsidR="00E02CEF" w:rsidRPr="00E02CEF">
        <w:rPr>
          <w:i/>
        </w:rPr>
        <w:t>$135,000 to &lt; $155,000</w:t>
      </w:r>
    </w:p>
    <w:p w14:paraId="22C92DCC" w14:textId="23BB9B2D" w:rsidR="0003681D" w:rsidRPr="00FA0529" w:rsidRDefault="0003681D" w:rsidP="0003681D">
      <w:pPr>
        <w:pStyle w:val="TableFigureFooter"/>
        <w:keepNext/>
        <w:keepLines/>
      </w:pPr>
    </w:p>
    <w:p w14:paraId="22105DBB" w14:textId="77777777" w:rsidR="0003681D" w:rsidRPr="00901007" w:rsidRDefault="0003681D" w:rsidP="00EA56F0">
      <w:pPr>
        <w:pStyle w:val="3-BodyText"/>
        <w:keepNext/>
        <w:keepLines/>
        <w:numPr>
          <w:ilvl w:val="0"/>
          <w:numId w:val="0"/>
        </w:numPr>
        <w:spacing w:after="0"/>
        <w:rPr>
          <w:rFonts w:ascii="Arial Narrow" w:hAnsi="Arial Narrow"/>
          <w:sz w:val="18"/>
          <w:szCs w:val="16"/>
        </w:rPr>
      </w:pPr>
    </w:p>
    <w:p w14:paraId="3EE0FD82" w14:textId="25E794AA" w:rsidR="00B17771" w:rsidRPr="00FA0529" w:rsidRDefault="00B17771" w:rsidP="00B2513B">
      <w:pPr>
        <w:pStyle w:val="4-SubsectionHeading"/>
        <w:keepNext/>
      </w:pPr>
      <w:r w:rsidRPr="00FA0529">
        <w:t>Drug cost/patient/course</w:t>
      </w:r>
      <w:bookmarkEnd w:id="17"/>
    </w:p>
    <w:p w14:paraId="2FAE260D" w14:textId="6CF034C5" w:rsidR="00383C77" w:rsidRPr="00575F5C" w:rsidRDefault="00971EDA" w:rsidP="00383C77">
      <w:pPr>
        <w:pStyle w:val="3-BodyText"/>
      </w:pPr>
      <w:bookmarkStart w:id="19" w:name="_Ref201733364"/>
      <w:r w:rsidRPr="00FA0529">
        <w:t xml:space="preserve">The futibatinib drug cost per patient </w:t>
      </w:r>
      <w:r w:rsidR="00F468CB" w:rsidRPr="00FA0529">
        <w:t xml:space="preserve">per course </w:t>
      </w:r>
      <w:r w:rsidR="0007192B" w:rsidRPr="00FA0529">
        <w:t xml:space="preserve">in the economic model and financial </w:t>
      </w:r>
      <w:r w:rsidR="0007192B" w:rsidRPr="003445A7">
        <w:t xml:space="preserve">estimates is presented in </w:t>
      </w:r>
      <w:r w:rsidR="007F60D4" w:rsidRPr="003445A7">
        <w:fldChar w:fldCharType="begin"/>
      </w:r>
      <w:r w:rsidR="007F60D4" w:rsidRPr="003445A7">
        <w:instrText xml:space="preserve"> REF _Ref201659359 \h </w:instrText>
      </w:r>
      <w:r w:rsidR="008B613F" w:rsidRPr="003445A7">
        <w:instrText xml:space="preserve"> \* MERGEFORMAT </w:instrText>
      </w:r>
      <w:r w:rsidR="007F60D4" w:rsidRPr="003445A7">
        <w:fldChar w:fldCharType="separate"/>
      </w:r>
      <w:r w:rsidR="00462AA0" w:rsidRPr="00FA0529">
        <w:t xml:space="preserve">Table </w:t>
      </w:r>
      <w:r w:rsidR="00462AA0">
        <w:t>6</w:t>
      </w:r>
      <w:r w:rsidR="007F60D4" w:rsidRPr="003445A7">
        <w:fldChar w:fldCharType="end"/>
      </w:r>
      <w:r w:rsidR="0007192B" w:rsidRPr="003445A7">
        <w:t xml:space="preserve">. </w:t>
      </w:r>
      <w:r w:rsidR="003C2921" w:rsidRPr="003445A7">
        <w:t xml:space="preserve">The treatment duration </w:t>
      </w:r>
      <w:r w:rsidR="00AD4B03" w:rsidRPr="003445A7">
        <w:t xml:space="preserve">in the </w:t>
      </w:r>
      <w:r w:rsidR="00153F02" w:rsidRPr="003445A7">
        <w:t xml:space="preserve">resubmission’s </w:t>
      </w:r>
      <w:r w:rsidR="00AD4B03" w:rsidRPr="003445A7">
        <w:t xml:space="preserve">financials </w:t>
      </w:r>
      <w:r w:rsidR="00153F02" w:rsidRPr="003445A7">
        <w:t>w</w:t>
      </w:r>
      <w:r w:rsidR="00A4317F" w:rsidRPr="003445A7">
        <w:t>ere</w:t>
      </w:r>
      <w:r w:rsidR="00153F02" w:rsidRPr="003445A7">
        <w:t xml:space="preserve"> </w:t>
      </w:r>
      <w:r w:rsidR="003C2921" w:rsidRPr="003445A7">
        <w:t xml:space="preserve">not </w:t>
      </w:r>
      <w:r w:rsidR="00C36AC8" w:rsidRPr="003445A7">
        <w:t>updated to reflect the revised economic model.</w:t>
      </w:r>
      <w:bookmarkEnd w:id="19"/>
      <w:r w:rsidR="00C36AC8" w:rsidRPr="00575F5C">
        <w:t xml:space="preserve"> </w:t>
      </w:r>
      <w:r w:rsidR="00560EF3">
        <w:t xml:space="preserve">The </w:t>
      </w:r>
      <w:r w:rsidR="00E07F47">
        <w:t>cost per patient per course in the economic model using the price proposed in the pre-PBAC response was $</w:t>
      </w:r>
      <w:r w:rsidR="00DE7EE1" w:rsidRPr="00E40CE9">
        <w:rPr>
          <w:color w:val="000000"/>
          <w:w w:val="61"/>
          <w:shd w:val="solid" w:color="000000" w:fill="000000"/>
          <w:fitText w:val="472" w:id="-628460272"/>
          <w14:textFill>
            <w14:solidFill>
              <w14:srgbClr w14:val="000000">
                <w14:alpha w14:val="100000"/>
              </w14:srgbClr>
            </w14:solidFill>
          </w14:textFill>
        </w:rPr>
        <w:t>|||  |||</w:t>
      </w:r>
      <w:r w:rsidR="00C8623B">
        <w:t>.</w:t>
      </w:r>
      <w:r w:rsidR="00A05A56">
        <w:t xml:space="preserve"> </w:t>
      </w:r>
    </w:p>
    <w:p w14:paraId="7B76C6E4" w14:textId="252C9126" w:rsidR="009E4BE3" w:rsidRPr="00FA0529" w:rsidRDefault="000D1EA1" w:rsidP="000D1EA1">
      <w:pPr>
        <w:pStyle w:val="TableFigureHeading"/>
        <w:keepLines/>
      </w:pPr>
      <w:bookmarkStart w:id="20" w:name="_Ref201659359"/>
      <w:bookmarkStart w:id="21" w:name="_Ref201659333"/>
      <w:r w:rsidRPr="00FA0529">
        <w:t xml:space="preserve">Table </w:t>
      </w:r>
      <w:r w:rsidR="00CA5BC1">
        <w:fldChar w:fldCharType="begin"/>
      </w:r>
      <w:r w:rsidR="00CA5BC1">
        <w:instrText xml:space="preserve"> SEQ Table \* ARABIC </w:instrText>
      </w:r>
      <w:r w:rsidR="00CA5BC1">
        <w:fldChar w:fldCharType="separate"/>
      </w:r>
      <w:r w:rsidR="00462AA0">
        <w:rPr>
          <w:noProof/>
        </w:rPr>
        <w:t>6</w:t>
      </w:r>
      <w:r w:rsidR="00CA5BC1">
        <w:rPr>
          <w:noProof/>
        </w:rPr>
        <w:fldChar w:fldCharType="end"/>
      </w:r>
      <w:bookmarkEnd w:id="20"/>
      <w:r w:rsidRPr="00FA0529">
        <w:t>: Futibatinib cost per patient</w:t>
      </w:r>
      <w:bookmarkEnd w:id="21"/>
      <w:r w:rsidRPr="00FA0529">
        <w:t xml:space="preserve"> </w:t>
      </w:r>
      <w:r w:rsidR="00F468CB" w:rsidRPr="00FA0529">
        <w:t>per course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Futibatinib cost per patient per course"/>
      </w:tblPr>
      <w:tblGrid>
        <w:gridCol w:w="4223"/>
        <w:gridCol w:w="2577"/>
        <w:gridCol w:w="2216"/>
      </w:tblGrid>
      <w:tr w:rsidR="009E4BE3" w:rsidRPr="00FA0529" w14:paraId="4C4DBF81" w14:textId="77777777" w:rsidTr="009E4BE3">
        <w:trPr>
          <w:cantSplit/>
          <w:tblHeader/>
          <w:jc w:val="center"/>
        </w:trPr>
        <w:tc>
          <w:tcPr>
            <w:tcW w:w="2342" w:type="pct"/>
            <w:vMerge w:val="restart"/>
            <w:vAlign w:val="center"/>
          </w:tcPr>
          <w:p w14:paraId="486BC5CB" w14:textId="77777777" w:rsidR="009E4BE3" w:rsidRPr="00FA0529" w:rsidRDefault="009E4BE3">
            <w:pPr>
              <w:pStyle w:val="In-tableHeading"/>
              <w:keepLines/>
              <w:jc w:val="center"/>
              <w:rPr>
                <w:lang w:val="en-AU"/>
              </w:rPr>
            </w:pPr>
          </w:p>
        </w:tc>
        <w:tc>
          <w:tcPr>
            <w:tcW w:w="2658" w:type="pct"/>
            <w:gridSpan w:val="2"/>
            <w:vAlign w:val="center"/>
          </w:tcPr>
          <w:p w14:paraId="698FCA38" w14:textId="77777777" w:rsidR="009E4BE3" w:rsidRPr="00FA0529" w:rsidRDefault="009E4BE3">
            <w:pPr>
              <w:pStyle w:val="In-tableHeading"/>
              <w:keepLines/>
              <w:jc w:val="center"/>
              <w:rPr>
                <w:lang w:val="en-AU"/>
              </w:rPr>
            </w:pPr>
            <w:r w:rsidRPr="00FA0529">
              <w:rPr>
                <w:lang w:val="en-AU"/>
              </w:rPr>
              <w:t>Futibatinib</w:t>
            </w:r>
          </w:p>
        </w:tc>
      </w:tr>
      <w:tr w:rsidR="009E4BE3" w:rsidRPr="00FA0529" w14:paraId="08C7036A" w14:textId="77777777" w:rsidTr="007E0AE9">
        <w:trPr>
          <w:cantSplit/>
          <w:tblHeader/>
          <w:jc w:val="center"/>
        </w:trPr>
        <w:tc>
          <w:tcPr>
            <w:tcW w:w="2342" w:type="pct"/>
            <w:vMerge/>
            <w:vAlign w:val="center"/>
          </w:tcPr>
          <w:p w14:paraId="5DB886B0" w14:textId="77777777" w:rsidR="009E4BE3" w:rsidRPr="00FA0529" w:rsidRDefault="009E4BE3">
            <w:pPr>
              <w:pStyle w:val="In-tableHeading"/>
              <w:keepLines/>
              <w:jc w:val="center"/>
              <w:rPr>
                <w:lang w:val="en-AU"/>
              </w:rPr>
            </w:pPr>
          </w:p>
        </w:tc>
        <w:tc>
          <w:tcPr>
            <w:tcW w:w="1429" w:type="pct"/>
            <w:vAlign w:val="center"/>
          </w:tcPr>
          <w:p w14:paraId="162E0947" w14:textId="1839F9EF" w:rsidR="009E4BE3" w:rsidRPr="00FA0529" w:rsidRDefault="00B050BB">
            <w:pPr>
              <w:pStyle w:val="In-tableHeading"/>
              <w:keepLines/>
              <w:jc w:val="center"/>
              <w:rPr>
                <w:lang w:val="en-AU"/>
              </w:rPr>
            </w:pPr>
            <w:r w:rsidRPr="00FA0529">
              <w:rPr>
                <w:lang w:val="en-AU"/>
              </w:rPr>
              <w:t>Economic m</w:t>
            </w:r>
            <w:r w:rsidR="009E4BE3" w:rsidRPr="00FA0529">
              <w:rPr>
                <w:lang w:val="en-AU"/>
              </w:rPr>
              <w:t>odel</w:t>
            </w:r>
          </w:p>
        </w:tc>
        <w:tc>
          <w:tcPr>
            <w:tcW w:w="1229" w:type="pct"/>
            <w:vAlign w:val="center"/>
          </w:tcPr>
          <w:p w14:paraId="7F26A64E" w14:textId="77777777" w:rsidR="009E4BE3" w:rsidRPr="00FA0529" w:rsidRDefault="009E4BE3">
            <w:pPr>
              <w:pStyle w:val="In-tableHeading"/>
              <w:keepLines/>
              <w:jc w:val="center"/>
              <w:rPr>
                <w:lang w:val="en-AU"/>
              </w:rPr>
            </w:pPr>
            <w:r w:rsidRPr="00FA0529">
              <w:rPr>
                <w:lang w:val="en-AU"/>
              </w:rPr>
              <w:t>Financial estimates</w:t>
            </w:r>
          </w:p>
        </w:tc>
      </w:tr>
      <w:tr w:rsidR="00293877" w:rsidRPr="00FA0529" w14:paraId="0718BBE6" w14:textId="77777777" w:rsidTr="00BE3CE0">
        <w:trPr>
          <w:cantSplit/>
          <w:jc w:val="center"/>
        </w:trPr>
        <w:tc>
          <w:tcPr>
            <w:tcW w:w="2342" w:type="pct"/>
            <w:vAlign w:val="center"/>
          </w:tcPr>
          <w:p w14:paraId="02185446" w14:textId="01EDD7A4" w:rsidR="00293877" w:rsidRPr="00FA0529" w:rsidRDefault="003210FD">
            <w:pPr>
              <w:pStyle w:val="TableText"/>
              <w:keepLines/>
            </w:pPr>
            <w:r w:rsidRPr="00FA0529">
              <w:t xml:space="preserve">DPMQ </w:t>
            </w:r>
          </w:p>
        </w:tc>
        <w:tc>
          <w:tcPr>
            <w:tcW w:w="1429" w:type="pct"/>
            <w:vAlign w:val="center"/>
          </w:tcPr>
          <w:p w14:paraId="7A65BEA5" w14:textId="187AB55A" w:rsidR="00293877" w:rsidRPr="00FA0529" w:rsidRDefault="003210FD" w:rsidP="00AD4B03">
            <w:pPr>
              <w:pStyle w:val="TableText"/>
              <w:keepLines/>
              <w:jc w:val="center"/>
            </w:pPr>
            <w:r w:rsidRPr="00FA0529">
              <w:t>$</w:t>
            </w:r>
            <w:r w:rsidR="00DE7EE1" w:rsidRPr="00E40CE9">
              <w:rPr>
                <w:color w:val="000000"/>
                <w:spacing w:val="51"/>
                <w:shd w:val="solid" w:color="000000" w:fill="000000"/>
                <w:fitText w:val="324" w:id="-628460288"/>
                <w14:textFill>
                  <w14:solidFill>
                    <w14:srgbClr w14:val="000000">
                      <w14:alpha w14:val="100000"/>
                    </w14:srgbClr>
                  </w14:solidFill>
                </w14:textFill>
              </w:rPr>
              <w:t>|||</w:t>
            </w:r>
            <w:r w:rsidR="00DE7EE1" w:rsidRPr="00E40CE9">
              <w:rPr>
                <w:color w:val="000000"/>
                <w:spacing w:val="1"/>
                <w:shd w:val="solid" w:color="000000" w:fill="000000"/>
                <w:fitText w:val="324" w:id="-628460288"/>
                <w14:textFill>
                  <w14:solidFill>
                    <w14:srgbClr w14:val="000000">
                      <w14:alpha w14:val="100000"/>
                    </w14:srgbClr>
                  </w14:solidFill>
                </w14:textFill>
              </w:rPr>
              <w:t>|</w:t>
            </w:r>
          </w:p>
        </w:tc>
        <w:tc>
          <w:tcPr>
            <w:tcW w:w="1229" w:type="pct"/>
            <w:vAlign w:val="center"/>
          </w:tcPr>
          <w:p w14:paraId="2C4FA925" w14:textId="1EB9AD9E" w:rsidR="00293877" w:rsidRPr="00FA0529" w:rsidRDefault="00AD4B03">
            <w:pPr>
              <w:pStyle w:val="TableText"/>
              <w:keepLines/>
              <w:jc w:val="center"/>
            </w:pPr>
            <w:r w:rsidRPr="00FA0529">
              <w:t>$</w:t>
            </w:r>
            <w:r w:rsidR="00DE7EE1" w:rsidRPr="00E40CE9">
              <w:rPr>
                <w:color w:val="000000"/>
                <w:spacing w:val="51"/>
                <w:shd w:val="solid" w:color="000000" w:fill="000000"/>
                <w:fitText w:val="324" w:id="-628460287"/>
                <w14:textFill>
                  <w14:solidFill>
                    <w14:srgbClr w14:val="000000">
                      <w14:alpha w14:val="100000"/>
                    </w14:srgbClr>
                  </w14:solidFill>
                </w14:textFill>
              </w:rPr>
              <w:t>|||</w:t>
            </w:r>
            <w:r w:rsidR="00DE7EE1" w:rsidRPr="00E40CE9">
              <w:rPr>
                <w:color w:val="000000"/>
                <w:spacing w:val="1"/>
                <w:shd w:val="solid" w:color="000000" w:fill="000000"/>
                <w:fitText w:val="324" w:id="-628460287"/>
                <w14:textFill>
                  <w14:solidFill>
                    <w14:srgbClr w14:val="000000">
                      <w14:alpha w14:val="100000"/>
                    </w14:srgbClr>
                  </w14:solidFill>
                </w14:textFill>
              </w:rPr>
              <w:t>|</w:t>
            </w:r>
          </w:p>
        </w:tc>
      </w:tr>
      <w:tr w:rsidR="009E4BE3" w:rsidRPr="00FA0529" w14:paraId="50C3FB82" w14:textId="77777777" w:rsidTr="000D1EA1">
        <w:trPr>
          <w:cantSplit/>
          <w:jc w:val="center"/>
        </w:trPr>
        <w:tc>
          <w:tcPr>
            <w:tcW w:w="2342" w:type="pct"/>
            <w:vAlign w:val="center"/>
          </w:tcPr>
          <w:p w14:paraId="021E255B" w14:textId="77777777" w:rsidR="009E4BE3" w:rsidRPr="00FA0529" w:rsidRDefault="009E4BE3">
            <w:pPr>
              <w:pStyle w:val="TableText"/>
              <w:keepLines/>
            </w:pPr>
            <w:r w:rsidRPr="00FA0529">
              <w:t>Relative dose intensity</w:t>
            </w:r>
          </w:p>
        </w:tc>
        <w:tc>
          <w:tcPr>
            <w:tcW w:w="1429" w:type="pct"/>
            <w:vAlign w:val="center"/>
          </w:tcPr>
          <w:p w14:paraId="62FF7E1B" w14:textId="77777777" w:rsidR="009E4BE3" w:rsidRPr="00FA0529" w:rsidRDefault="009E4BE3">
            <w:pPr>
              <w:pStyle w:val="TableText"/>
              <w:keepLines/>
              <w:jc w:val="center"/>
            </w:pPr>
            <w:r w:rsidRPr="00FA0529">
              <w:t>83.26%</w:t>
            </w:r>
          </w:p>
        </w:tc>
        <w:tc>
          <w:tcPr>
            <w:tcW w:w="1229" w:type="pct"/>
            <w:vAlign w:val="center"/>
          </w:tcPr>
          <w:p w14:paraId="7E95B815" w14:textId="77777777" w:rsidR="009E4BE3" w:rsidRPr="00FA0529" w:rsidRDefault="009E4BE3">
            <w:pPr>
              <w:pStyle w:val="TableText"/>
              <w:keepLines/>
              <w:jc w:val="center"/>
            </w:pPr>
            <w:r w:rsidRPr="00FA0529">
              <w:t>83.26%</w:t>
            </w:r>
          </w:p>
        </w:tc>
      </w:tr>
      <w:tr w:rsidR="009E4BE3" w:rsidRPr="00FA0529" w14:paraId="67956ADA" w14:textId="77777777" w:rsidTr="000D1EA1">
        <w:trPr>
          <w:cantSplit/>
          <w:jc w:val="center"/>
        </w:trPr>
        <w:tc>
          <w:tcPr>
            <w:tcW w:w="2342" w:type="pct"/>
            <w:vAlign w:val="center"/>
          </w:tcPr>
          <w:p w14:paraId="1D99E809" w14:textId="77777777" w:rsidR="009E4BE3" w:rsidRPr="00FA0529" w:rsidRDefault="009E4BE3">
            <w:pPr>
              <w:pStyle w:val="TableText"/>
              <w:keepLines/>
            </w:pPr>
            <w:r w:rsidRPr="00FA0529">
              <w:t>Average weeks on treatment</w:t>
            </w:r>
          </w:p>
        </w:tc>
        <w:tc>
          <w:tcPr>
            <w:tcW w:w="1429" w:type="pct"/>
            <w:vAlign w:val="center"/>
          </w:tcPr>
          <w:p w14:paraId="7DCB96CB" w14:textId="15163571" w:rsidR="009E4BE3" w:rsidRPr="00FA0529" w:rsidRDefault="000E435E">
            <w:pPr>
              <w:pStyle w:val="TableText"/>
              <w:keepLines/>
              <w:jc w:val="center"/>
            </w:pPr>
            <w:r w:rsidRPr="00FA0529">
              <w:t>5</w:t>
            </w:r>
            <w:r w:rsidR="00B51D8C" w:rsidRPr="00FA0529">
              <w:t>5.99</w:t>
            </w:r>
          </w:p>
        </w:tc>
        <w:tc>
          <w:tcPr>
            <w:tcW w:w="1229" w:type="pct"/>
            <w:vAlign w:val="center"/>
          </w:tcPr>
          <w:p w14:paraId="0664E442" w14:textId="1541139C" w:rsidR="009E4BE3" w:rsidRPr="00FA0529" w:rsidRDefault="00B050BB">
            <w:pPr>
              <w:pStyle w:val="TableText"/>
              <w:keepLines/>
              <w:jc w:val="center"/>
            </w:pPr>
            <w:r w:rsidRPr="00FA0529">
              <w:t>57.</w:t>
            </w:r>
            <w:r w:rsidR="00453FE0" w:rsidRPr="00FA0529">
              <w:t>78</w:t>
            </w:r>
          </w:p>
        </w:tc>
      </w:tr>
      <w:tr w:rsidR="009E4BE3" w:rsidRPr="00FA0529" w14:paraId="373F8838" w14:textId="77777777" w:rsidTr="000D1EA1">
        <w:trPr>
          <w:cantSplit/>
          <w:jc w:val="center"/>
        </w:trPr>
        <w:tc>
          <w:tcPr>
            <w:tcW w:w="2342" w:type="pct"/>
            <w:vAlign w:val="center"/>
          </w:tcPr>
          <w:p w14:paraId="6A3113D8" w14:textId="77777777" w:rsidR="009E4BE3" w:rsidRPr="00FA0529" w:rsidRDefault="009E4BE3">
            <w:pPr>
              <w:pStyle w:val="TableText"/>
              <w:keepLines/>
            </w:pPr>
            <w:r w:rsidRPr="00FA0529">
              <w:t>Cost per course per patient</w:t>
            </w:r>
          </w:p>
        </w:tc>
        <w:tc>
          <w:tcPr>
            <w:tcW w:w="1429" w:type="pct"/>
            <w:vAlign w:val="center"/>
          </w:tcPr>
          <w:p w14:paraId="7E44733D" w14:textId="18830285" w:rsidR="009E4BE3" w:rsidRPr="00FA0529" w:rsidRDefault="00E20B77">
            <w:pPr>
              <w:pStyle w:val="TableText"/>
              <w:keepLines/>
              <w:jc w:val="center"/>
            </w:pPr>
            <w:r w:rsidRPr="00FA0529">
              <w:t>$</w:t>
            </w:r>
            <w:r w:rsidR="00DE7EE1" w:rsidRPr="00E40CE9">
              <w:rPr>
                <w:color w:val="000000"/>
                <w:spacing w:val="51"/>
                <w:shd w:val="solid" w:color="000000" w:fill="000000"/>
                <w:fitText w:val="324" w:id="-628460286"/>
                <w14:textFill>
                  <w14:solidFill>
                    <w14:srgbClr w14:val="000000">
                      <w14:alpha w14:val="100000"/>
                    </w14:srgbClr>
                  </w14:solidFill>
                </w14:textFill>
              </w:rPr>
              <w:t>|||</w:t>
            </w:r>
            <w:r w:rsidR="00DE7EE1" w:rsidRPr="00E40CE9">
              <w:rPr>
                <w:color w:val="000000"/>
                <w:spacing w:val="1"/>
                <w:shd w:val="solid" w:color="000000" w:fill="000000"/>
                <w:fitText w:val="324" w:id="-628460286"/>
                <w14:textFill>
                  <w14:solidFill>
                    <w14:srgbClr w14:val="000000">
                      <w14:alpha w14:val="100000"/>
                    </w14:srgbClr>
                  </w14:solidFill>
                </w14:textFill>
              </w:rPr>
              <w:t>|</w:t>
            </w:r>
          </w:p>
        </w:tc>
        <w:tc>
          <w:tcPr>
            <w:tcW w:w="1229" w:type="pct"/>
            <w:vAlign w:val="center"/>
          </w:tcPr>
          <w:p w14:paraId="2305F973" w14:textId="71AED7F3" w:rsidR="009E4BE3" w:rsidRPr="00FA0529" w:rsidRDefault="00E20B77">
            <w:pPr>
              <w:pStyle w:val="TableText"/>
              <w:keepLines/>
              <w:jc w:val="center"/>
            </w:pPr>
            <w:r w:rsidRPr="00FA0529">
              <w:t>$</w:t>
            </w:r>
            <w:r w:rsidR="00DE7EE1" w:rsidRPr="00E40CE9">
              <w:rPr>
                <w:color w:val="000000"/>
                <w:spacing w:val="51"/>
                <w:shd w:val="solid" w:color="000000" w:fill="000000"/>
                <w:fitText w:val="324" w:id="-628460285"/>
                <w14:textFill>
                  <w14:solidFill>
                    <w14:srgbClr w14:val="000000">
                      <w14:alpha w14:val="100000"/>
                    </w14:srgbClr>
                  </w14:solidFill>
                </w14:textFill>
              </w:rPr>
              <w:t>|||</w:t>
            </w:r>
            <w:r w:rsidR="00DE7EE1" w:rsidRPr="00E40CE9">
              <w:rPr>
                <w:color w:val="000000"/>
                <w:spacing w:val="1"/>
                <w:shd w:val="solid" w:color="000000" w:fill="000000"/>
                <w:fitText w:val="324" w:id="-628460285"/>
                <w14:textFill>
                  <w14:solidFill>
                    <w14:srgbClr w14:val="000000">
                      <w14:alpha w14:val="100000"/>
                    </w14:srgbClr>
                  </w14:solidFill>
                </w14:textFill>
              </w:rPr>
              <w:t>|</w:t>
            </w:r>
          </w:p>
        </w:tc>
      </w:tr>
    </w:tbl>
    <w:p w14:paraId="2C0ACB9E" w14:textId="7EF1C7BC" w:rsidR="009E4BE3" w:rsidRPr="00FA0529" w:rsidRDefault="009730A0" w:rsidP="00857FE7">
      <w:pPr>
        <w:pStyle w:val="3-BodyText"/>
        <w:numPr>
          <w:ilvl w:val="0"/>
          <w:numId w:val="0"/>
        </w:numPr>
        <w:rPr>
          <w:rFonts w:ascii="Arial Narrow" w:hAnsi="Arial Narrow"/>
          <w:sz w:val="20"/>
          <w:szCs w:val="18"/>
        </w:rPr>
      </w:pPr>
      <w:r w:rsidRPr="00FA0529">
        <w:rPr>
          <w:rFonts w:ascii="Arial Narrow" w:hAnsi="Arial Narrow"/>
          <w:sz w:val="20"/>
          <w:szCs w:val="18"/>
        </w:rPr>
        <w:t xml:space="preserve">DPMQ = dispensed price for maximum quantity </w:t>
      </w:r>
    </w:p>
    <w:p w14:paraId="78D168E9" w14:textId="675851F8" w:rsidR="00637A22" w:rsidRPr="00FA0529" w:rsidRDefault="00637A22" w:rsidP="00637A22">
      <w:pPr>
        <w:pStyle w:val="3-BodyText"/>
      </w:pPr>
      <w:r w:rsidRPr="00FA0529">
        <w:t xml:space="preserve">The drug cost per patient </w:t>
      </w:r>
      <w:r w:rsidR="00426CA5" w:rsidRPr="00FA0529">
        <w:t xml:space="preserve">per course </w:t>
      </w:r>
      <w:r w:rsidRPr="00FA0529">
        <w:t>in the previous submission was $</w:t>
      </w:r>
      <w:r w:rsidR="00DE7EE1" w:rsidRPr="00E40CE9">
        <w:rPr>
          <w:color w:val="000000"/>
          <w:w w:val="61"/>
          <w:shd w:val="solid" w:color="000000" w:fill="000000"/>
          <w:fitText w:val="472" w:id="-628460284"/>
          <w14:textFill>
            <w14:solidFill>
              <w14:srgbClr w14:val="000000">
                <w14:alpha w14:val="100000"/>
              </w14:srgbClr>
            </w14:solidFill>
          </w14:textFill>
        </w:rPr>
        <w:t>|||  |||</w:t>
      </w:r>
      <w:r w:rsidRPr="00FA0529">
        <w:t xml:space="preserve"> in the economic model and $</w:t>
      </w:r>
      <w:r w:rsidR="00DE7EE1" w:rsidRPr="00E40CE9">
        <w:rPr>
          <w:color w:val="000000"/>
          <w:w w:val="59"/>
          <w:shd w:val="solid" w:color="000000" w:fill="000000"/>
          <w:fitText w:val="460" w:id="-628460032"/>
          <w14:textFill>
            <w14:solidFill>
              <w14:srgbClr w14:val="000000">
                <w14:alpha w14:val="100000"/>
              </w14:srgbClr>
            </w14:solidFill>
          </w14:textFill>
        </w:rPr>
        <w:t>|||  |||</w:t>
      </w:r>
      <w:r w:rsidRPr="00FA0529">
        <w:t xml:space="preserve"> in the financial estimates. </w:t>
      </w:r>
    </w:p>
    <w:p w14:paraId="34E9523F" w14:textId="776DF044" w:rsidR="00977E3F" w:rsidRPr="00FA0529" w:rsidRDefault="00977E3F" w:rsidP="00977E3F">
      <w:pPr>
        <w:pStyle w:val="OutlineHeading2"/>
        <w:rPr>
          <w:rFonts w:asciiTheme="minorHAnsi" w:hAnsiTheme="minorHAnsi"/>
          <w:snapToGrid/>
          <w:color w:val="auto"/>
          <w:spacing w:val="5"/>
          <w:kern w:val="28"/>
          <w:szCs w:val="36"/>
        </w:rPr>
      </w:pPr>
      <w:r w:rsidRPr="00FA0529">
        <w:rPr>
          <w:rFonts w:asciiTheme="minorHAnsi" w:hAnsiTheme="minorHAnsi"/>
          <w:snapToGrid/>
          <w:color w:val="auto"/>
          <w:spacing w:val="5"/>
          <w:kern w:val="28"/>
          <w:szCs w:val="36"/>
        </w:rPr>
        <w:t>Estimated PBS usage &amp; financial implications</w:t>
      </w:r>
      <w:bookmarkEnd w:id="18"/>
    </w:p>
    <w:p w14:paraId="1A78A50D" w14:textId="200434AB" w:rsidR="00977E3F" w:rsidRPr="00FA0529" w:rsidRDefault="00B926F5" w:rsidP="00977E3F">
      <w:pPr>
        <w:pStyle w:val="3-BodyText"/>
        <w:rPr>
          <w:rFonts w:cstheme="majorBidi"/>
          <w:snapToGrid w:val="0"/>
        </w:rPr>
      </w:pPr>
      <w:r w:rsidRPr="00FA0529">
        <w:t xml:space="preserve">The key inputs </w:t>
      </w:r>
      <w:r w:rsidR="0039717F" w:rsidRPr="00FA0529">
        <w:t xml:space="preserve">for the financial estimates are provided in </w:t>
      </w:r>
      <w:r w:rsidR="0039717F" w:rsidRPr="00FA0529">
        <w:fldChar w:fldCharType="begin"/>
      </w:r>
      <w:r w:rsidR="0039717F" w:rsidRPr="00FA0529">
        <w:instrText xml:space="preserve"> REF _Ref188360199 \h </w:instrText>
      </w:r>
      <w:r w:rsidR="0039717F" w:rsidRPr="00FA0529">
        <w:fldChar w:fldCharType="separate"/>
      </w:r>
      <w:r w:rsidR="00462AA0" w:rsidRPr="00FA0529">
        <w:t xml:space="preserve">Table </w:t>
      </w:r>
      <w:r w:rsidR="00462AA0">
        <w:rPr>
          <w:noProof/>
        </w:rPr>
        <w:t>7</w:t>
      </w:r>
      <w:r w:rsidR="0039717F" w:rsidRPr="00FA0529">
        <w:fldChar w:fldCharType="end"/>
      </w:r>
      <w:r w:rsidR="0039717F" w:rsidRPr="00FA0529">
        <w:t>.</w:t>
      </w:r>
    </w:p>
    <w:p w14:paraId="0EF61E23" w14:textId="2AD400F9" w:rsidR="00DF77EE" w:rsidRPr="00FA0529" w:rsidRDefault="0039717F" w:rsidP="00D16B87">
      <w:pPr>
        <w:pStyle w:val="TableFigureHeading"/>
        <w:keepLines/>
      </w:pPr>
      <w:bookmarkStart w:id="22" w:name="_Ref188360199"/>
      <w:bookmarkStart w:id="23" w:name="_Ref184830831"/>
      <w:bookmarkStart w:id="24" w:name="Table_PBAC_23"/>
      <w:r w:rsidRPr="00FA0529">
        <w:lastRenderedPageBreak/>
        <w:t xml:space="preserve">Table </w:t>
      </w:r>
      <w:r w:rsidR="00CA5BC1">
        <w:fldChar w:fldCharType="begin"/>
      </w:r>
      <w:r w:rsidR="00CA5BC1">
        <w:instrText xml:space="preserve"> SEQ Table \* ARABIC </w:instrText>
      </w:r>
      <w:r w:rsidR="00CA5BC1">
        <w:fldChar w:fldCharType="separate"/>
      </w:r>
      <w:r w:rsidR="00462AA0">
        <w:rPr>
          <w:noProof/>
        </w:rPr>
        <w:t>7</w:t>
      </w:r>
      <w:r w:rsidR="00CA5BC1">
        <w:rPr>
          <w:noProof/>
        </w:rPr>
        <w:fldChar w:fldCharType="end"/>
      </w:r>
      <w:bookmarkEnd w:id="22"/>
      <w:r w:rsidRPr="00FA0529">
        <w:t xml:space="preserve">: </w:t>
      </w:r>
      <w:bookmarkEnd w:id="23"/>
      <w:bookmarkEnd w:id="24"/>
      <w:r w:rsidR="00DF77EE" w:rsidRPr="00FA0529">
        <w:t>Key inputs for financial estimates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Key inputs for financial estimates"/>
      </w:tblPr>
      <w:tblGrid>
        <w:gridCol w:w="1935"/>
        <w:gridCol w:w="2455"/>
        <w:gridCol w:w="4628"/>
      </w:tblGrid>
      <w:tr w:rsidR="00A92FE1" w:rsidRPr="00FA0529" w14:paraId="7521CF4E" w14:textId="77777777" w:rsidTr="00D16B87">
        <w:trPr>
          <w:cantSplit/>
          <w:tblHeader/>
        </w:trPr>
        <w:tc>
          <w:tcPr>
            <w:tcW w:w="1073" w:type="pct"/>
            <w:vAlign w:val="center"/>
          </w:tcPr>
          <w:p w14:paraId="12EEDF9D" w14:textId="77777777" w:rsidR="00A92FE1" w:rsidRPr="00FA0529" w:rsidRDefault="00A92FE1" w:rsidP="007B78B8">
            <w:pPr>
              <w:pStyle w:val="In-tableHeading"/>
              <w:jc w:val="center"/>
              <w:rPr>
                <w:lang w:val="en-AU"/>
              </w:rPr>
            </w:pPr>
            <w:r w:rsidRPr="00FA0529">
              <w:rPr>
                <w:lang w:val="en-AU"/>
              </w:rPr>
              <w:t>Data</w:t>
            </w:r>
          </w:p>
        </w:tc>
        <w:tc>
          <w:tcPr>
            <w:tcW w:w="1361" w:type="pct"/>
            <w:vAlign w:val="center"/>
          </w:tcPr>
          <w:p w14:paraId="710534AB" w14:textId="77777777" w:rsidR="00A92FE1" w:rsidRPr="00FA0529" w:rsidRDefault="00A92FE1" w:rsidP="007B78B8">
            <w:pPr>
              <w:pStyle w:val="In-tableHeading"/>
              <w:jc w:val="center"/>
              <w:rPr>
                <w:lang w:val="en-AU"/>
              </w:rPr>
            </w:pPr>
            <w:r w:rsidRPr="00FA0529">
              <w:rPr>
                <w:lang w:val="en-AU"/>
              </w:rPr>
              <w:t>Value</w:t>
            </w:r>
          </w:p>
        </w:tc>
        <w:tc>
          <w:tcPr>
            <w:tcW w:w="2566" w:type="pct"/>
            <w:vAlign w:val="center"/>
          </w:tcPr>
          <w:p w14:paraId="10A3C0A2" w14:textId="77777777" w:rsidR="00A92FE1" w:rsidRPr="00FA0529" w:rsidRDefault="00A92FE1" w:rsidP="007B78B8">
            <w:pPr>
              <w:pStyle w:val="In-tableHeading"/>
              <w:jc w:val="center"/>
              <w:rPr>
                <w:lang w:val="en-AU"/>
              </w:rPr>
            </w:pPr>
            <w:r w:rsidRPr="00FA0529">
              <w:rPr>
                <w:lang w:val="en-AU"/>
              </w:rPr>
              <w:t>Comment</w:t>
            </w:r>
          </w:p>
        </w:tc>
      </w:tr>
      <w:tr w:rsidR="00621AED" w:rsidRPr="00FA0529" w14:paraId="2B51B86E" w14:textId="77777777" w:rsidTr="00D16B87">
        <w:trPr>
          <w:cantSplit/>
        </w:trPr>
        <w:tc>
          <w:tcPr>
            <w:tcW w:w="5000" w:type="pct"/>
            <w:gridSpan w:val="3"/>
            <w:vAlign w:val="center"/>
          </w:tcPr>
          <w:p w14:paraId="4B12CD10" w14:textId="34C61DB5" w:rsidR="00621AED" w:rsidRPr="00FA0529" w:rsidRDefault="00621AED" w:rsidP="007B78B8">
            <w:pPr>
              <w:pStyle w:val="TableText"/>
              <w:rPr>
                <w:b/>
                <w:bCs w:val="0"/>
              </w:rPr>
            </w:pPr>
            <w:r w:rsidRPr="00FA0529">
              <w:rPr>
                <w:b/>
                <w:bCs w:val="0"/>
              </w:rPr>
              <w:t>Eligible population</w:t>
            </w:r>
          </w:p>
        </w:tc>
      </w:tr>
      <w:tr w:rsidR="00A92FE1" w:rsidRPr="00FA0529" w14:paraId="4771B14E" w14:textId="77777777" w:rsidTr="00D16B87">
        <w:trPr>
          <w:cantSplit/>
        </w:trPr>
        <w:tc>
          <w:tcPr>
            <w:tcW w:w="1073" w:type="pct"/>
            <w:vAlign w:val="center"/>
          </w:tcPr>
          <w:p w14:paraId="5EF7232B" w14:textId="0CD0E6E9" w:rsidR="00A92FE1" w:rsidRPr="00FA0529" w:rsidRDefault="00A22617" w:rsidP="007B78B8">
            <w:pPr>
              <w:pStyle w:val="TableText"/>
            </w:pPr>
            <w:r w:rsidRPr="00FA0529">
              <w:t>CCA incidence</w:t>
            </w:r>
          </w:p>
        </w:tc>
        <w:tc>
          <w:tcPr>
            <w:tcW w:w="1361" w:type="pct"/>
            <w:vAlign w:val="center"/>
          </w:tcPr>
          <w:p w14:paraId="644B1C84" w14:textId="5C68F6A0" w:rsidR="008F7C8C" w:rsidRPr="00221DDA" w:rsidRDefault="00D16B87" w:rsidP="007B78B8">
            <w:pPr>
              <w:pStyle w:val="TableText"/>
              <w:rPr>
                <w:vertAlign w:val="superscript"/>
              </w:rPr>
            </w:pPr>
            <w:r w:rsidRPr="00FA0529">
              <w:t>Year</w:t>
            </w:r>
            <w:r w:rsidR="007A7537" w:rsidRPr="00FA0529">
              <w:t xml:space="preserve"> 1</w:t>
            </w:r>
            <w:r w:rsidRPr="00FA0529">
              <w:t>:</w:t>
            </w:r>
            <w:r w:rsidR="007A7537" w:rsidRPr="00FA0529">
              <w:t xml:space="preserve"> </w:t>
            </w:r>
            <w:r w:rsidR="00DE7EE1" w:rsidRPr="00E40CE9">
              <w:rPr>
                <w:color w:val="000000"/>
                <w:spacing w:val="51"/>
                <w:shd w:val="solid" w:color="000000" w:fill="000000"/>
                <w:fitText w:val="324" w:id="-628460031"/>
                <w14:textFill>
                  <w14:solidFill>
                    <w14:srgbClr w14:val="000000">
                      <w14:alpha w14:val="100000"/>
                    </w14:srgbClr>
                  </w14:solidFill>
                </w14:textFill>
              </w:rPr>
              <w:t>|||</w:t>
            </w:r>
            <w:r w:rsidR="00DE7EE1" w:rsidRPr="00E40CE9">
              <w:rPr>
                <w:color w:val="000000"/>
                <w:spacing w:val="1"/>
                <w:shd w:val="solid" w:color="000000" w:fill="000000"/>
                <w:fitText w:val="324" w:id="-628460031"/>
                <w14:textFill>
                  <w14:solidFill>
                    <w14:srgbClr w14:val="000000">
                      <w14:alpha w14:val="100000"/>
                    </w14:srgbClr>
                  </w14:solidFill>
                </w14:textFill>
              </w:rPr>
              <w:t>|</w:t>
            </w:r>
            <w:r w:rsidR="007B7513">
              <w:rPr>
                <w:vertAlign w:val="superscript"/>
              </w:rPr>
              <w:t>1</w:t>
            </w:r>
          </w:p>
          <w:p w14:paraId="7D0B6AAB" w14:textId="0EA342CD" w:rsidR="008F7C8C" w:rsidRPr="00221DDA" w:rsidRDefault="008F7C8C" w:rsidP="007B78B8">
            <w:pPr>
              <w:pStyle w:val="TableText"/>
              <w:rPr>
                <w:vertAlign w:val="superscript"/>
              </w:rPr>
            </w:pPr>
            <w:r w:rsidRPr="00FA0529">
              <w:t xml:space="preserve">Year 2: </w:t>
            </w:r>
            <w:r w:rsidR="00DE7EE1" w:rsidRPr="00E40CE9">
              <w:rPr>
                <w:color w:val="000000"/>
                <w:spacing w:val="51"/>
                <w:shd w:val="solid" w:color="000000" w:fill="000000"/>
                <w:fitText w:val="324" w:id="-628460030"/>
                <w14:textFill>
                  <w14:solidFill>
                    <w14:srgbClr w14:val="000000">
                      <w14:alpha w14:val="100000"/>
                    </w14:srgbClr>
                  </w14:solidFill>
                </w14:textFill>
              </w:rPr>
              <w:t>|||</w:t>
            </w:r>
            <w:r w:rsidR="00DE7EE1" w:rsidRPr="00E40CE9">
              <w:rPr>
                <w:color w:val="000000"/>
                <w:spacing w:val="1"/>
                <w:shd w:val="solid" w:color="000000" w:fill="000000"/>
                <w:fitText w:val="324" w:id="-628460030"/>
                <w14:textFill>
                  <w14:solidFill>
                    <w14:srgbClr w14:val="000000">
                      <w14:alpha w14:val="100000"/>
                    </w14:srgbClr>
                  </w14:solidFill>
                </w14:textFill>
              </w:rPr>
              <w:t>|</w:t>
            </w:r>
            <w:r w:rsidR="007B7513">
              <w:rPr>
                <w:vertAlign w:val="superscript"/>
              </w:rPr>
              <w:t>1</w:t>
            </w:r>
          </w:p>
          <w:p w14:paraId="47F147F8" w14:textId="420439C4" w:rsidR="008F7C8C" w:rsidRPr="00221DDA" w:rsidRDefault="008F7C8C" w:rsidP="007B78B8">
            <w:pPr>
              <w:pStyle w:val="TableText"/>
              <w:rPr>
                <w:vertAlign w:val="superscript"/>
              </w:rPr>
            </w:pPr>
            <w:r w:rsidRPr="00FA0529">
              <w:t xml:space="preserve">Year 3: </w:t>
            </w:r>
            <w:r w:rsidR="00DE7EE1" w:rsidRPr="00E40CE9">
              <w:rPr>
                <w:color w:val="000000"/>
                <w:spacing w:val="51"/>
                <w:shd w:val="solid" w:color="000000" w:fill="000000"/>
                <w:fitText w:val="324" w:id="-628460029"/>
                <w14:textFill>
                  <w14:solidFill>
                    <w14:srgbClr w14:val="000000">
                      <w14:alpha w14:val="100000"/>
                    </w14:srgbClr>
                  </w14:solidFill>
                </w14:textFill>
              </w:rPr>
              <w:t>|||</w:t>
            </w:r>
            <w:r w:rsidR="00DE7EE1" w:rsidRPr="00E40CE9">
              <w:rPr>
                <w:color w:val="000000"/>
                <w:spacing w:val="1"/>
                <w:shd w:val="solid" w:color="000000" w:fill="000000"/>
                <w:fitText w:val="324" w:id="-628460029"/>
                <w14:textFill>
                  <w14:solidFill>
                    <w14:srgbClr w14:val="000000">
                      <w14:alpha w14:val="100000"/>
                    </w14:srgbClr>
                  </w14:solidFill>
                </w14:textFill>
              </w:rPr>
              <w:t>|</w:t>
            </w:r>
            <w:r w:rsidR="007B7513">
              <w:rPr>
                <w:vertAlign w:val="superscript"/>
              </w:rPr>
              <w:t>1</w:t>
            </w:r>
          </w:p>
          <w:p w14:paraId="29EFC5B5" w14:textId="40740CB9" w:rsidR="008F7C8C" w:rsidRPr="00221DDA" w:rsidRDefault="008F7C8C" w:rsidP="007B78B8">
            <w:pPr>
              <w:pStyle w:val="TableText"/>
              <w:rPr>
                <w:vertAlign w:val="superscript"/>
              </w:rPr>
            </w:pPr>
            <w:r w:rsidRPr="00FA0529">
              <w:t xml:space="preserve">Year 4: </w:t>
            </w:r>
            <w:r w:rsidR="00DE7EE1" w:rsidRPr="00E40CE9">
              <w:rPr>
                <w:color w:val="000000"/>
                <w:spacing w:val="51"/>
                <w:shd w:val="solid" w:color="000000" w:fill="000000"/>
                <w:fitText w:val="324" w:id="-628460028"/>
                <w14:textFill>
                  <w14:solidFill>
                    <w14:srgbClr w14:val="000000">
                      <w14:alpha w14:val="100000"/>
                    </w14:srgbClr>
                  </w14:solidFill>
                </w14:textFill>
              </w:rPr>
              <w:t>|||</w:t>
            </w:r>
            <w:r w:rsidR="00DE7EE1" w:rsidRPr="00E40CE9">
              <w:rPr>
                <w:color w:val="000000"/>
                <w:spacing w:val="1"/>
                <w:shd w:val="solid" w:color="000000" w:fill="000000"/>
                <w:fitText w:val="324" w:id="-628460028"/>
                <w14:textFill>
                  <w14:solidFill>
                    <w14:srgbClr w14:val="000000">
                      <w14:alpha w14:val="100000"/>
                    </w14:srgbClr>
                  </w14:solidFill>
                </w14:textFill>
              </w:rPr>
              <w:t>|</w:t>
            </w:r>
            <w:r w:rsidR="007B7513">
              <w:rPr>
                <w:vertAlign w:val="superscript"/>
              </w:rPr>
              <w:t>1</w:t>
            </w:r>
          </w:p>
          <w:p w14:paraId="34CD3552" w14:textId="5FE6E9F9" w:rsidR="008F7C8C" w:rsidRPr="00221DDA" w:rsidRDefault="008F7C8C" w:rsidP="007B78B8">
            <w:pPr>
              <w:pStyle w:val="TableText"/>
              <w:rPr>
                <w:vertAlign w:val="superscript"/>
              </w:rPr>
            </w:pPr>
            <w:r w:rsidRPr="00FA0529">
              <w:t xml:space="preserve">Year 5: </w:t>
            </w:r>
            <w:r w:rsidR="00DE7EE1" w:rsidRPr="00E40CE9">
              <w:rPr>
                <w:color w:val="000000"/>
                <w:spacing w:val="51"/>
                <w:shd w:val="solid" w:color="000000" w:fill="000000"/>
                <w:fitText w:val="324" w:id="-628460027"/>
                <w14:textFill>
                  <w14:solidFill>
                    <w14:srgbClr w14:val="000000">
                      <w14:alpha w14:val="100000"/>
                    </w14:srgbClr>
                  </w14:solidFill>
                </w14:textFill>
              </w:rPr>
              <w:t>|||</w:t>
            </w:r>
            <w:r w:rsidR="00DE7EE1" w:rsidRPr="00E40CE9">
              <w:rPr>
                <w:color w:val="000000"/>
                <w:spacing w:val="1"/>
                <w:shd w:val="solid" w:color="000000" w:fill="000000"/>
                <w:fitText w:val="324" w:id="-628460027"/>
                <w14:textFill>
                  <w14:solidFill>
                    <w14:srgbClr w14:val="000000">
                      <w14:alpha w14:val="100000"/>
                    </w14:srgbClr>
                  </w14:solidFill>
                </w14:textFill>
              </w:rPr>
              <w:t>|</w:t>
            </w:r>
            <w:r w:rsidR="007B7513">
              <w:rPr>
                <w:vertAlign w:val="superscript"/>
              </w:rPr>
              <w:t>1</w:t>
            </w:r>
          </w:p>
          <w:p w14:paraId="1C70691B" w14:textId="13B273C6" w:rsidR="00A92FE1" w:rsidRPr="00FA0529" w:rsidRDefault="008F7C8C" w:rsidP="007B78B8">
            <w:pPr>
              <w:pStyle w:val="TableText"/>
            </w:pPr>
            <w:r w:rsidRPr="00FA0529">
              <w:t xml:space="preserve">Year 6: </w:t>
            </w:r>
            <w:r w:rsidR="00DE7EE1" w:rsidRPr="00E40CE9">
              <w:rPr>
                <w:color w:val="000000"/>
                <w:spacing w:val="51"/>
                <w:shd w:val="solid" w:color="000000" w:fill="000000"/>
                <w:fitText w:val="324" w:id="-628460026"/>
                <w14:textFill>
                  <w14:solidFill>
                    <w14:srgbClr w14:val="000000">
                      <w14:alpha w14:val="100000"/>
                    </w14:srgbClr>
                  </w14:solidFill>
                </w14:textFill>
              </w:rPr>
              <w:t>|||</w:t>
            </w:r>
            <w:r w:rsidR="00DE7EE1" w:rsidRPr="00E40CE9">
              <w:rPr>
                <w:color w:val="000000"/>
                <w:spacing w:val="1"/>
                <w:shd w:val="solid" w:color="000000" w:fill="000000"/>
                <w:fitText w:val="324" w:id="-628460026"/>
                <w14:textFill>
                  <w14:solidFill>
                    <w14:srgbClr w14:val="000000">
                      <w14:alpha w14:val="100000"/>
                    </w14:srgbClr>
                  </w14:solidFill>
                </w14:textFill>
              </w:rPr>
              <w:t>|</w:t>
            </w:r>
            <w:r w:rsidR="007B7513">
              <w:rPr>
                <w:vertAlign w:val="superscript"/>
              </w:rPr>
              <w:t>1</w:t>
            </w:r>
          </w:p>
        </w:tc>
        <w:tc>
          <w:tcPr>
            <w:tcW w:w="2566" w:type="pct"/>
            <w:vAlign w:val="center"/>
          </w:tcPr>
          <w:p w14:paraId="2EA69367" w14:textId="4310F8BF" w:rsidR="00A92FE1" w:rsidRPr="00FA0529" w:rsidRDefault="00C701DA" w:rsidP="007B78B8">
            <w:pPr>
              <w:pStyle w:val="TableText"/>
              <w:rPr>
                <w:vertAlign w:val="superscript"/>
              </w:rPr>
            </w:pPr>
            <w:r w:rsidRPr="00FA0529">
              <w:t xml:space="preserve">Updated </w:t>
            </w:r>
            <w:r w:rsidRPr="00586C9B">
              <w:t>based on the more granular information available from AIHW</w:t>
            </w:r>
            <w:r w:rsidR="003B424B" w:rsidRPr="00586C9B">
              <w:t xml:space="preserve"> (consistent with DUSC advice)</w:t>
            </w:r>
          </w:p>
        </w:tc>
      </w:tr>
      <w:tr w:rsidR="00A92FE1" w:rsidRPr="00FA0529" w14:paraId="1A1965FC" w14:textId="77777777" w:rsidTr="00D16B87">
        <w:trPr>
          <w:cantSplit/>
        </w:trPr>
        <w:tc>
          <w:tcPr>
            <w:tcW w:w="1073" w:type="pct"/>
            <w:vAlign w:val="center"/>
          </w:tcPr>
          <w:p w14:paraId="3C49B2F1" w14:textId="2CCC0CBE" w:rsidR="00A92FE1" w:rsidRPr="00FA0529" w:rsidRDefault="00A92FE1" w:rsidP="007B78B8">
            <w:pPr>
              <w:pStyle w:val="TableText"/>
            </w:pPr>
            <w:r w:rsidRPr="00FA0529">
              <w:t>%</w:t>
            </w:r>
            <w:r w:rsidR="003B424B" w:rsidRPr="00FA0529">
              <w:t xml:space="preserve"> patients</w:t>
            </w:r>
            <w:r w:rsidR="005C6CE4" w:rsidRPr="00FA0529">
              <w:t xml:space="preserve"> </w:t>
            </w:r>
            <w:r w:rsidRPr="00FA0529">
              <w:t>diagnosed with advanced BTC (locally advanced, metastatic, recurrent</w:t>
            </w:r>
          </w:p>
        </w:tc>
        <w:tc>
          <w:tcPr>
            <w:tcW w:w="1361" w:type="pct"/>
            <w:vAlign w:val="center"/>
          </w:tcPr>
          <w:p w14:paraId="7262AE93" w14:textId="77777777" w:rsidR="00A92FE1" w:rsidRPr="00FA0529" w:rsidRDefault="00A92FE1" w:rsidP="007B78B8">
            <w:pPr>
              <w:pStyle w:val="TableText"/>
            </w:pPr>
            <w:r w:rsidRPr="00FA0529">
              <w:t>80%</w:t>
            </w:r>
          </w:p>
        </w:tc>
        <w:tc>
          <w:tcPr>
            <w:tcW w:w="2566" w:type="pct"/>
            <w:vAlign w:val="center"/>
          </w:tcPr>
          <w:p w14:paraId="2470E54C" w14:textId="1CF91D56" w:rsidR="00A92FE1" w:rsidRPr="00FA0529" w:rsidRDefault="00471093" w:rsidP="007B78B8">
            <w:pPr>
              <w:pStyle w:val="TableText"/>
            </w:pPr>
            <w:r w:rsidRPr="00FA0529">
              <w:t>Unchanged from previous submission</w:t>
            </w:r>
          </w:p>
        </w:tc>
      </w:tr>
      <w:tr w:rsidR="00A92FE1" w:rsidRPr="00FA0529" w14:paraId="040A210C" w14:textId="77777777" w:rsidTr="00D16B87">
        <w:trPr>
          <w:cantSplit/>
        </w:trPr>
        <w:tc>
          <w:tcPr>
            <w:tcW w:w="1073" w:type="pct"/>
            <w:vAlign w:val="center"/>
          </w:tcPr>
          <w:p w14:paraId="5B6A3210" w14:textId="77777777" w:rsidR="00A92FE1" w:rsidRPr="00FA0529" w:rsidRDefault="00A92FE1" w:rsidP="007B78B8">
            <w:pPr>
              <w:pStyle w:val="TableText"/>
            </w:pPr>
            <w:r w:rsidRPr="00FA0529">
              <w:t>% of patients taking 1st line durvalumab</w:t>
            </w:r>
          </w:p>
        </w:tc>
        <w:tc>
          <w:tcPr>
            <w:tcW w:w="1361" w:type="pct"/>
            <w:vAlign w:val="center"/>
          </w:tcPr>
          <w:p w14:paraId="140F6E86" w14:textId="77777777" w:rsidR="00A92FE1" w:rsidRPr="00FA0529" w:rsidRDefault="00A92FE1" w:rsidP="007B78B8">
            <w:pPr>
              <w:pStyle w:val="TableText"/>
            </w:pPr>
            <w:r w:rsidRPr="00FA0529">
              <w:t>70%</w:t>
            </w:r>
          </w:p>
        </w:tc>
        <w:tc>
          <w:tcPr>
            <w:tcW w:w="2566" w:type="pct"/>
            <w:vAlign w:val="center"/>
          </w:tcPr>
          <w:p w14:paraId="0D68AEE4" w14:textId="51B4F209" w:rsidR="00A92FE1" w:rsidRPr="00FA0529" w:rsidRDefault="00556C7C" w:rsidP="007B78B8">
            <w:pPr>
              <w:pStyle w:val="TableText"/>
            </w:pPr>
            <w:r w:rsidRPr="00FA0529">
              <w:t xml:space="preserve">Unchanged from previous submission. </w:t>
            </w:r>
          </w:p>
        </w:tc>
      </w:tr>
      <w:tr w:rsidR="00A92FE1" w:rsidRPr="00FA0529" w14:paraId="30867750" w14:textId="77777777" w:rsidTr="00D16B87">
        <w:trPr>
          <w:cantSplit/>
        </w:trPr>
        <w:tc>
          <w:tcPr>
            <w:tcW w:w="1073" w:type="pct"/>
            <w:vAlign w:val="center"/>
          </w:tcPr>
          <w:p w14:paraId="13A27007" w14:textId="720D236D" w:rsidR="00A92FE1" w:rsidRPr="00FA0529" w:rsidRDefault="003B424B" w:rsidP="007B78B8">
            <w:pPr>
              <w:pStyle w:val="TableText"/>
            </w:pPr>
            <w:r w:rsidRPr="00FA0529">
              <w:t>% patients treated with d</w:t>
            </w:r>
            <w:r w:rsidR="00A92FE1" w:rsidRPr="00FA0529">
              <w:t>urvalumab</w:t>
            </w:r>
            <w:r w:rsidRPr="00FA0529">
              <w:t xml:space="preserve"> </w:t>
            </w:r>
            <w:r w:rsidR="00A92FE1" w:rsidRPr="00FA0529">
              <w:t>progressing to 2L</w:t>
            </w:r>
          </w:p>
        </w:tc>
        <w:tc>
          <w:tcPr>
            <w:tcW w:w="1361" w:type="pct"/>
            <w:vAlign w:val="center"/>
          </w:tcPr>
          <w:p w14:paraId="59B06587" w14:textId="633F18F2" w:rsidR="00A92FE1" w:rsidRPr="00FA0529" w:rsidRDefault="00A22617" w:rsidP="007B78B8">
            <w:pPr>
              <w:pStyle w:val="TableText"/>
            </w:pPr>
            <w:r w:rsidRPr="00FA0529">
              <w:t>50%</w:t>
            </w:r>
          </w:p>
        </w:tc>
        <w:tc>
          <w:tcPr>
            <w:tcW w:w="2566" w:type="pct"/>
            <w:vAlign w:val="center"/>
          </w:tcPr>
          <w:p w14:paraId="6249491B" w14:textId="7E7F3C73" w:rsidR="00A92FE1" w:rsidRPr="00FA0529" w:rsidRDefault="00A22617" w:rsidP="007B78B8">
            <w:pPr>
              <w:pStyle w:val="TableText"/>
            </w:pPr>
            <w:r w:rsidRPr="00FA0529">
              <w:t>Reduced from 60</w:t>
            </w:r>
            <w:r w:rsidR="001749BE" w:rsidRPr="00FA0529">
              <w:t>%.</w:t>
            </w:r>
            <w:r w:rsidR="00A05A56">
              <w:t xml:space="preserve"> </w:t>
            </w:r>
            <w:r w:rsidR="00556C7C" w:rsidRPr="00A754D4">
              <w:t xml:space="preserve">Consistent with </w:t>
            </w:r>
            <w:r w:rsidR="00A754D4">
              <w:t xml:space="preserve">previous </w:t>
            </w:r>
            <w:r w:rsidR="00556C7C" w:rsidRPr="00A754D4">
              <w:t>DUSC advice.</w:t>
            </w:r>
            <w:r w:rsidR="00A05A56">
              <w:t xml:space="preserve"> </w:t>
            </w:r>
          </w:p>
        </w:tc>
      </w:tr>
      <w:tr w:rsidR="00A92FE1" w:rsidRPr="00FA0529" w14:paraId="3260F6FD" w14:textId="77777777" w:rsidTr="00D16B87">
        <w:trPr>
          <w:cantSplit/>
        </w:trPr>
        <w:tc>
          <w:tcPr>
            <w:tcW w:w="1073" w:type="pct"/>
            <w:tcBorders>
              <w:top w:val="single" w:sz="4" w:space="0" w:color="auto"/>
              <w:left w:val="single" w:sz="4" w:space="0" w:color="auto"/>
              <w:bottom w:val="single" w:sz="4" w:space="0" w:color="auto"/>
              <w:right w:val="single" w:sz="4" w:space="0" w:color="auto"/>
            </w:tcBorders>
            <w:vAlign w:val="center"/>
          </w:tcPr>
          <w:p w14:paraId="152D724E" w14:textId="77777777" w:rsidR="00A92FE1" w:rsidRPr="00FA0529" w:rsidRDefault="00A92FE1" w:rsidP="007B78B8">
            <w:pPr>
              <w:pStyle w:val="TableText"/>
            </w:pPr>
            <w:r w:rsidRPr="00FA0529">
              <w:rPr>
                <w:i/>
                <w:iCs/>
              </w:rPr>
              <w:t xml:space="preserve">FGFR2 </w:t>
            </w:r>
            <w:r w:rsidRPr="00FA0529">
              <w:t>aberrations/alterations</w:t>
            </w:r>
          </w:p>
        </w:tc>
        <w:tc>
          <w:tcPr>
            <w:tcW w:w="1361" w:type="pct"/>
            <w:tcBorders>
              <w:top w:val="single" w:sz="4" w:space="0" w:color="auto"/>
              <w:left w:val="single" w:sz="4" w:space="0" w:color="auto"/>
              <w:bottom w:val="single" w:sz="4" w:space="0" w:color="auto"/>
              <w:right w:val="single" w:sz="4" w:space="0" w:color="auto"/>
            </w:tcBorders>
            <w:vAlign w:val="center"/>
          </w:tcPr>
          <w:p w14:paraId="0B86DBFA" w14:textId="6FCB46A7" w:rsidR="00A92FE1" w:rsidRPr="00FA0529" w:rsidRDefault="00DE4F90" w:rsidP="007B78B8">
            <w:pPr>
              <w:pStyle w:val="TableText"/>
            </w:pPr>
            <w:r w:rsidRPr="00FA0529">
              <w:t>13.9</w:t>
            </w:r>
            <w:r w:rsidR="00A92FE1" w:rsidRPr="00FA0529">
              <w:t>%</w:t>
            </w:r>
          </w:p>
        </w:tc>
        <w:tc>
          <w:tcPr>
            <w:tcW w:w="2566" w:type="pct"/>
            <w:tcBorders>
              <w:top w:val="single" w:sz="4" w:space="0" w:color="auto"/>
              <w:left w:val="single" w:sz="4" w:space="0" w:color="auto"/>
              <w:bottom w:val="single" w:sz="4" w:space="0" w:color="auto"/>
              <w:right w:val="single" w:sz="4" w:space="0" w:color="auto"/>
            </w:tcBorders>
            <w:vAlign w:val="center"/>
          </w:tcPr>
          <w:p w14:paraId="70CAE285" w14:textId="74FCF28E" w:rsidR="00A92FE1" w:rsidRPr="00FA0529" w:rsidRDefault="00DE4F90" w:rsidP="007B78B8">
            <w:pPr>
              <w:pStyle w:val="TableText"/>
            </w:pPr>
            <w:r w:rsidRPr="00FA0529">
              <w:t>Reduced from 20%.</w:t>
            </w:r>
            <w:r w:rsidR="00A05A56">
              <w:t xml:space="preserve"> </w:t>
            </w:r>
            <w:r w:rsidR="00B00CD9" w:rsidRPr="00A754D4">
              <w:t xml:space="preserve">Consistent with </w:t>
            </w:r>
            <w:r w:rsidR="00A754D4">
              <w:t xml:space="preserve">previous </w:t>
            </w:r>
            <w:r w:rsidR="00B00CD9" w:rsidRPr="00A754D4">
              <w:t>PBAC advice.</w:t>
            </w:r>
            <w:r w:rsidR="00B00CD9" w:rsidRPr="00FA0529">
              <w:t xml:space="preserve"> </w:t>
            </w:r>
          </w:p>
        </w:tc>
      </w:tr>
      <w:tr w:rsidR="00D9090A" w:rsidRPr="00FA0529" w14:paraId="1DDED133" w14:textId="77777777" w:rsidTr="00D16B87">
        <w:trPr>
          <w:cantSplit/>
        </w:trPr>
        <w:tc>
          <w:tcPr>
            <w:tcW w:w="5000" w:type="pct"/>
            <w:gridSpan w:val="3"/>
            <w:vAlign w:val="center"/>
          </w:tcPr>
          <w:p w14:paraId="35C69214" w14:textId="77777777" w:rsidR="00D9090A" w:rsidRPr="00FA0529" w:rsidRDefault="00D9090A" w:rsidP="007B78B8">
            <w:pPr>
              <w:pStyle w:val="TableText"/>
              <w:rPr>
                <w:b/>
                <w:bCs w:val="0"/>
              </w:rPr>
            </w:pPr>
            <w:r w:rsidRPr="00FA0529">
              <w:rPr>
                <w:b/>
              </w:rPr>
              <w:t>Test utilisation</w:t>
            </w:r>
          </w:p>
        </w:tc>
      </w:tr>
      <w:tr w:rsidR="00A92FE1" w:rsidRPr="00FA0529" w14:paraId="13A3F84E" w14:textId="77777777" w:rsidTr="00D16B87">
        <w:trPr>
          <w:cantSplit/>
        </w:trPr>
        <w:tc>
          <w:tcPr>
            <w:tcW w:w="1073" w:type="pct"/>
            <w:vAlign w:val="center"/>
          </w:tcPr>
          <w:p w14:paraId="4CDE68A4" w14:textId="77777777" w:rsidR="00A92FE1" w:rsidRPr="00FA0529" w:rsidDel="003E5C46" w:rsidRDefault="00A92FE1" w:rsidP="007B78B8">
            <w:pPr>
              <w:pStyle w:val="TableText"/>
            </w:pPr>
            <w:r w:rsidRPr="00FA0529">
              <w:t>Number of tests</w:t>
            </w:r>
          </w:p>
        </w:tc>
        <w:tc>
          <w:tcPr>
            <w:tcW w:w="1361" w:type="pct"/>
            <w:vAlign w:val="center"/>
          </w:tcPr>
          <w:p w14:paraId="0B613A24" w14:textId="10E5343A" w:rsidR="00A92FE1" w:rsidRPr="00FA0529" w:rsidRDefault="003010C8" w:rsidP="007B78B8">
            <w:pPr>
              <w:pStyle w:val="TableText"/>
            </w:pPr>
            <w:r w:rsidRPr="00FA0529">
              <w:t>14.</w:t>
            </w:r>
            <w:r w:rsidR="00E63F81" w:rsidRPr="00FA0529">
              <w:t xml:space="preserve">4 </w:t>
            </w:r>
            <w:r w:rsidR="00714D35" w:rsidRPr="00FA0529">
              <w:t>tests per treated patient</w:t>
            </w:r>
          </w:p>
        </w:tc>
        <w:tc>
          <w:tcPr>
            <w:tcW w:w="2566" w:type="pct"/>
            <w:vAlign w:val="center"/>
          </w:tcPr>
          <w:p w14:paraId="38763CC2" w14:textId="319884B9" w:rsidR="00A92FE1" w:rsidRPr="00FA0529" w:rsidRDefault="00A54DDD" w:rsidP="007B78B8">
            <w:pPr>
              <w:pStyle w:val="TableText"/>
            </w:pPr>
            <w:r w:rsidRPr="00FA0529">
              <w:t>Increased from 5 tests per patient</w:t>
            </w:r>
            <w:r w:rsidR="00E02B83" w:rsidRPr="00FA0529">
              <w:t xml:space="preserve"> treated.</w:t>
            </w:r>
            <w:r w:rsidR="00A05A56">
              <w:t xml:space="preserve"> </w:t>
            </w:r>
            <w:r w:rsidR="003F253A" w:rsidRPr="00FA0529">
              <w:t>Amended to account for</w:t>
            </w:r>
            <w:r w:rsidR="00714D35" w:rsidRPr="00FA0529">
              <w:t xml:space="preserve"> (i) </w:t>
            </w:r>
            <w:r w:rsidRPr="00FA0529">
              <w:t xml:space="preserve">yield </w:t>
            </w:r>
            <w:r w:rsidR="00714D35" w:rsidRPr="00FA0529">
              <w:t xml:space="preserve">reduced from 20% to 13.9% and </w:t>
            </w:r>
            <w:r w:rsidR="000D5645" w:rsidRPr="00FA0529">
              <w:t xml:space="preserve">(ii) </w:t>
            </w:r>
            <w:r w:rsidRPr="00FA0529">
              <w:t xml:space="preserve">to reflect numbers </w:t>
            </w:r>
            <w:r w:rsidR="00900CC1" w:rsidRPr="00FA0529">
              <w:t xml:space="preserve">tested </w:t>
            </w:r>
            <w:r w:rsidRPr="00FA0529">
              <w:t>at 1</w:t>
            </w:r>
            <w:r w:rsidRPr="00FA0529">
              <w:rPr>
                <w:vertAlign w:val="superscript"/>
              </w:rPr>
              <w:t>st</w:t>
            </w:r>
            <w:r w:rsidRPr="00FA0529">
              <w:t xml:space="preserve"> line treatment</w:t>
            </w:r>
            <w:r w:rsidR="000D5645" w:rsidRPr="00FA0529">
              <w:t xml:space="preserve">. </w:t>
            </w:r>
          </w:p>
          <w:p w14:paraId="14D054DC" w14:textId="77777777" w:rsidR="006130FC" w:rsidRPr="00FA0529" w:rsidRDefault="006130FC" w:rsidP="007B78B8">
            <w:pPr>
              <w:pStyle w:val="TableText"/>
            </w:pPr>
          </w:p>
          <w:p w14:paraId="5BC79B77" w14:textId="2ADDD8E0" w:rsidR="006130FC" w:rsidRPr="00FA0529" w:rsidRDefault="006130FC" w:rsidP="007B78B8">
            <w:pPr>
              <w:pStyle w:val="TableText"/>
            </w:pPr>
            <w:r w:rsidRPr="00FA0529">
              <w:t>Cost of test = $350 (unchanged from previous submission)</w:t>
            </w:r>
          </w:p>
        </w:tc>
      </w:tr>
      <w:tr w:rsidR="00361506" w:rsidRPr="00FA0529" w14:paraId="12FD5D4B" w14:textId="77777777" w:rsidTr="00D16B87">
        <w:trPr>
          <w:cantSplit/>
        </w:trPr>
        <w:tc>
          <w:tcPr>
            <w:tcW w:w="5000" w:type="pct"/>
            <w:gridSpan w:val="3"/>
            <w:vAlign w:val="center"/>
          </w:tcPr>
          <w:p w14:paraId="35DA4E5F" w14:textId="7E61FE8A" w:rsidR="00361506" w:rsidRPr="00FA0529" w:rsidRDefault="00361506" w:rsidP="007B78B8">
            <w:pPr>
              <w:pStyle w:val="TableText"/>
            </w:pPr>
            <w:r w:rsidRPr="00FA0529">
              <w:rPr>
                <w:b/>
              </w:rPr>
              <w:t>Treatment utilisation</w:t>
            </w:r>
          </w:p>
        </w:tc>
      </w:tr>
      <w:tr w:rsidR="00A92FE1" w:rsidRPr="00FA0529" w14:paraId="69148FCD" w14:textId="77777777" w:rsidTr="00D16B87">
        <w:trPr>
          <w:cantSplit/>
        </w:trPr>
        <w:tc>
          <w:tcPr>
            <w:tcW w:w="1073" w:type="pct"/>
            <w:vAlign w:val="center"/>
          </w:tcPr>
          <w:p w14:paraId="19C12257" w14:textId="77777777" w:rsidR="00A92FE1" w:rsidRPr="00FA0529" w:rsidRDefault="00A92FE1" w:rsidP="007B78B8">
            <w:pPr>
              <w:pStyle w:val="TableText"/>
            </w:pPr>
            <w:r w:rsidRPr="00FA0529">
              <w:t>Patients electing treatment</w:t>
            </w:r>
          </w:p>
        </w:tc>
        <w:tc>
          <w:tcPr>
            <w:tcW w:w="1361" w:type="pct"/>
            <w:vAlign w:val="center"/>
          </w:tcPr>
          <w:p w14:paraId="214F31FC" w14:textId="32753AE8" w:rsidR="00A92FE1" w:rsidRPr="00FA0529" w:rsidRDefault="00DE7EE1" w:rsidP="007B78B8">
            <w:pPr>
              <w:pStyle w:val="TableText"/>
            </w:pPr>
            <w:r w:rsidRPr="00E40CE9">
              <w:rPr>
                <w:color w:val="000000"/>
                <w:spacing w:val="51"/>
                <w:shd w:val="solid" w:color="000000" w:fill="000000"/>
                <w:fitText w:val="324" w:id="-628460025"/>
                <w14:textFill>
                  <w14:solidFill>
                    <w14:srgbClr w14:val="000000">
                      <w14:alpha w14:val="100000"/>
                    </w14:srgbClr>
                  </w14:solidFill>
                </w14:textFill>
              </w:rPr>
              <w:t>|||</w:t>
            </w:r>
            <w:r w:rsidRPr="00E40CE9">
              <w:rPr>
                <w:color w:val="000000"/>
                <w:spacing w:val="1"/>
                <w:shd w:val="solid" w:color="000000" w:fill="000000"/>
                <w:fitText w:val="324" w:id="-628460025"/>
                <w14:textFill>
                  <w14:solidFill>
                    <w14:srgbClr w14:val="000000">
                      <w14:alpha w14:val="100000"/>
                    </w14:srgbClr>
                  </w14:solidFill>
                </w14:textFill>
              </w:rPr>
              <w:t>|</w:t>
            </w:r>
            <w:r w:rsidR="00A22617" w:rsidRPr="00FA0529">
              <w:t>%</w:t>
            </w:r>
          </w:p>
        </w:tc>
        <w:tc>
          <w:tcPr>
            <w:tcW w:w="2566" w:type="pct"/>
            <w:vAlign w:val="center"/>
          </w:tcPr>
          <w:p w14:paraId="2761AC1D" w14:textId="6DED45F4" w:rsidR="00A92FE1" w:rsidRPr="00FA0529" w:rsidRDefault="00A22617" w:rsidP="007B78B8">
            <w:pPr>
              <w:pStyle w:val="TableText"/>
            </w:pPr>
            <w:r w:rsidRPr="00FA0529">
              <w:t xml:space="preserve">Increased from </w:t>
            </w:r>
            <w:r w:rsidR="00DE7EE1" w:rsidRPr="00E40CE9">
              <w:rPr>
                <w:color w:val="000000"/>
                <w:spacing w:val="51"/>
                <w:shd w:val="solid" w:color="000000" w:fill="000000"/>
                <w:fitText w:val="324" w:id="-628460024"/>
                <w14:textFill>
                  <w14:solidFill>
                    <w14:srgbClr w14:val="000000">
                      <w14:alpha w14:val="100000"/>
                    </w14:srgbClr>
                  </w14:solidFill>
                </w14:textFill>
              </w:rPr>
              <w:t>|||</w:t>
            </w:r>
            <w:r w:rsidR="00DE7EE1" w:rsidRPr="00E40CE9">
              <w:rPr>
                <w:color w:val="000000"/>
                <w:spacing w:val="1"/>
                <w:shd w:val="solid" w:color="000000" w:fill="000000"/>
                <w:fitText w:val="324" w:id="-628460024"/>
                <w14:textFill>
                  <w14:solidFill>
                    <w14:srgbClr w14:val="000000">
                      <w14:alpha w14:val="100000"/>
                    </w14:srgbClr>
                  </w14:solidFill>
                </w14:textFill>
              </w:rPr>
              <w:t>|</w:t>
            </w:r>
            <w:r w:rsidRPr="00FA0529">
              <w:t>%.</w:t>
            </w:r>
            <w:r w:rsidR="00A05A56">
              <w:t xml:space="preserve"> </w:t>
            </w:r>
            <w:r w:rsidR="00B00CD9" w:rsidRPr="00A754D4">
              <w:t xml:space="preserve">Consistent with </w:t>
            </w:r>
            <w:r w:rsidR="00A754D4" w:rsidRPr="00A754D4">
              <w:t xml:space="preserve">previous </w:t>
            </w:r>
            <w:r w:rsidR="00B00CD9" w:rsidRPr="00A754D4">
              <w:t>DUSC advice.</w:t>
            </w:r>
            <w:r w:rsidR="00B00CD9" w:rsidRPr="00FA0529">
              <w:t xml:space="preserve"> </w:t>
            </w:r>
          </w:p>
        </w:tc>
      </w:tr>
      <w:tr w:rsidR="00A92FE1" w:rsidRPr="00FA0529" w14:paraId="4CE8FAF3" w14:textId="77777777" w:rsidTr="00D16B87">
        <w:trPr>
          <w:cantSplit/>
        </w:trPr>
        <w:tc>
          <w:tcPr>
            <w:tcW w:w="1073" w:type="pct"/>
            <w:vAlign w:val="center"/>
          </w:tcPr>
          <w:p w14:paraId="54DD9F50" w14:textId="77777777" w:rsidR="00A92FE1" w:rsidRPr="00FA0529" w:rsidRDefault="00A92FE1" w:rsidP="007B78B8">
            <w:pPr>
              <w:pStyle w:val="TableText"/>
            </w:pPr>
            <w:r w:rsidRPr="00FA0529">
              <w:t>Duration of futibatinib treatment</w:t>
            </w:r>
          </w:p>
        </w:tc>
        <w:tc>
          <w:tcPr>
            <w:tcW w:w="1361" w:type="pct"/>
            <w:vAlign w:val="center"/>
          </w:tcPr>
          <w:p w14:paraId="553592DB" w14:textId="71C363C8" w:rsidR="00A92FE1" w:rsidRPr="00FA0529" w:rsidRDefault="00377BC0" w:rsidP="007B78B8">
            <w:pPr>
              <w:pStyle w:val="TableText"/>
            </w:pPr>
            <w:r w:rsidRPr="00FA0529">
              <w:t>57.78 weeks</w:t>
            </w:r>
          </w:p>
        </w:tc>
        <w:tc>
          <w:tcPr>
            <w:tcW w:w="2566" w:type="pct"/>
            <w:vAlign w:val="center"/>
          </w:tcPr>
          <w:p w14:paraId="2B53E79B" w14:textId="03AB8458" w:rsidR="00A92FE1" w:rsidRPr="00FA0529" w:rsidRDefault="00377BC0" w:rsidP="007B78B8">
            <w:pPr>
              <w:pStyle w:val="TableText"/>
            </w:pPr>
            <w:r w:rsidRPr="00FA0529">
              <w:t>Increased from 56.0</w:t>
            </w:r>
            <w:r w:rsidR="005C5CC2" w:rsidRPr="00FA0529">
              <w:t>5</w:t>
            </w:r>
            <w:r w:rsidRPr="00FA0529">
              <w:t xml:space="preserve"> weeks.</w:t>
            </w:r>
            <w:r w:rsidR="004E0C14" w:rsidRPr="00FA0529">
              <w:t xml:space="preserve"> </w:t>
            </w:r>
            <w:r w:rsidR="00483380" w:rsidRPr="00967C6B">
              <w:t>Amended to be consistent with the economic model in the previous submission; h</w:t>
            </w:r>
            <w:r w:rsidR="004E0C14" w:rsidRPr="00967C6B">
              <w:t xml:space="preserve">owever, the mean duration of treatment in the economic model provided with the resubmission was </w:t>
            </w:r>
            <w:r w:rsidR="008C3966" w:rsidRPr="00967C6B">
              <w:t>5</w:t>
            </w:r>
            <w:r w:rsidR="00F1105A" w:rsidRPr="00967C6B">
              <w:t>5.99</w:t>
            </w:r>
            <w:r w:rsidR="004E0C14" w:rsidRPr="00967C6B">
              <w:t xml:space="preserve"> weeks. </w:t>
            </w:r>
          </w:p>
        </w:tc>
      </w:tr>
      <w:tr w:rsidR="002A1583" w:rsidRPr="00FA0529" w14:paraId="12D19084" w14:textId="77777777" w:rsidTr="00D16B87">
        <w:trPr>
          <w:cantSplit/>
        </w:trPr>
        <w:tc>
          <w:tcPr>
            <w:tcW w:w="1073" w:type="pct"/>
            <w:vAlign w:val="center"/>
          </w:tcPr>
          <w:p w14:paraId="16D64A5D" w14:textId="55465B83" w:rsidR="002A1583" w:rsidRPr="00FA0529" w:rsidRDefault="002A1583" w:rsidP="007B78B8">
            <w:pPr>
              <w:pStyle w:val="TableText"/>
            </w:pPr>
            <w:r w:rsidRPr="00FA0529">
              <w:t xml:space="preserve">Compliance </w:t>
            </w:r>
          </w:p>
        </w:tc>
        <w:tc>
          <w:tcPr>
            <w:tcW w:w="1361" w:type="pct"/>
            <w:vAlign w:val="center"/>
          </w:tcPr>
          <w:p w14:paraId="35EF8B68" w14:textId="451A9328" w:rsidR="002A1583" w:rsidRPr="00FA0529" w:rsidRDefault="00940E83" w:rsidP="007B78B8">
            <w:pPr>
              <w:pStyle w:val="TableText"/>
            </w:pPr>
            <w:r w:rsidRPr="00FA0529">
              <w:t>83.3%</w:t>
            </w:r>
          </w:p>
        </w:tc>
        <w:tc>
          <w:tcPr>
            <w:tcW w:w="2566" w:type="pct"/>
            <w:vAlign w:val="center"/>
          </w:tcPr>
          <w:p w14:paraId="41C3E268" w14:textId="6CBD746F" w:rsidR="002A1583" w:rsidRPr="00FA0529" w:rsidRDefault="00940E83" w:rsidP="007B78B8">
            <w:pPr>
              <w:pStyle w:val="TableText"/>
            </w:pPr>
            <w:r w:rsidRPr="00FA0529">
              <w:t xml:space="preserve">Unchanged from previous submission. </w:t>
            </w:r>
          </w:p>
        </w:tc>
      </w:tr>
      <w:tr w:rsidR="002637DA" w:rsidRPr="00FA0529" w14:paraId="33A309F6" w14:textId="77777777" w:rsidTr="00D16B87">
        <w:trPr>
          <w:cantSplit/>
        </w:trPr>
        <w:tc>
          <w:tcPr>
            <w:tcW w:w="1073" w:type="pct"/>
            <w:vAlign w:val="center"/>
          </w:tcPr>
          <w:p w14:paraId="3B78B077" w14:textId="63249C35" w:rsidR="002637DA" w:rsidRPr="00FA0529" w:rsidRDefault="002637DA" w:rsidP="007B78B8">
            <w:pPr>
              <w:pStyle w:val="TableText"/>
            </w:pPr>
            <w:r w:rsidRPr="00FA0529">
              <w:t>Grandfathered patients</w:t>
            </w:r>
          </w:p>
        </w:tc>
        <w:tc>
          <w:tcPr>
            <w:tcW w:w="1361" w:type="pct"/>
            <w:vAlign w:val="center"/>
          </w:tcPr>
          <w:p w14:paraId="2016A1D8" w14:textId="5C4FA17C" w:rsidR="002637DA" w:rsidRPr="00221DDA" w:rsidRDefault="00DE7EE1" w:rsidP="007B78B8">
            <w:pPr>
              <w:pStyle w:val="TableText"/>
              <w:rPr>
                <w:vertAlign w:val="superscript"/>
              </w:rPr>
            </w:pPr>
            <w:r w:rsidRPr="00E40CE9">
              <w:rPr>
                <w:color w:val="000000"/>
                <w:spacing w:val="51"/>
                <w:shd w:val="solid" w:color="000000" w:fill="000000"/>
                <w:fitText w:val="324" w:id="-628460023"/>
                <w14:textFill>
                  <w14:solidFill>
                    <w14:srgbClr w14:val="000000">
                      <w14:alpha w14:val="100000"/>
                    </w14:srgbClr>
                  </w14:solidFill>
                </w14:textFill>
              </w:rPr>
              <w:t>|||</w:t>
            </w:r>
            <w:r w:rsidRPr="00E40CE9">
              <w:rPr>
                <w:color w:val="000000"/>
                <w:spacing w:val="1"/>
                <w:shd w:val="solid" w:color="000000" w:fill="000000"/>
                <w:fitText w:val="324" w:id="-628460023"/>
                <w14:textFill>
                  <w14:solidFill>
                    <w14:srgbClr w14:val="000000">
                      <w14:alpha w14:val="100000"/>
                    </w14:srgbClr>
                  </w14:solidFill>
                </w14:textFill>
              </w:rPr>
              <w:t>|</w:t>
            </w:r>
            <w:r w:rsidR="00637D31">
              <w:rPr>
                <w:vertAlign w:val="superscript"/>
              </w:rPr>
              <w:t>2</w:t>
            </w:r>
          </w:p>
        </w:tc>
        <w:tc>
          <w:tcPr>
            <w:tcW w:w="2566" w:type="pct"/>
            <w:vAlign w:val="center"/>
          </w:tcPr>
          <w:p w14:paraId="1F4BA26E" w14:textId="4C509697" w:rsidR="002637DA" w:rsidRPr="00FA0529" w:rsidRDefault="002637DA" w:rsidP="007B78B8">
            <w:pPr>
              <w:pStyle w:val="TableText"/>
            </w:pPr>
            <w:r w:rsidRPr="00FA0529">
              <w:t>Treated duration = 6 months</w:t>
            </w:r>
            <w:r w:rsidR="009871C6" w:rsidRPr="00FA0529">
              <w:t xml:space="preserve">; unchanged from previous submission. </w:t>
            </w:r>
          </w:p>
        </w:tc>
      </w:tr>
    </w:tbl>
    <w:p w14:paraId="57A9D272" w14:textId="3EE544BC" w:rsidR="00DF77EE" w:rsidRPr="00FA0529" w:rsidRDefault="0030029F" w:rsidP="006375DF">
      <w:pPr>
        <w:pStyle w:val="TableFigureFooter"/>
      </w:pPr>
      <w:r w:rsidRPr="00FA0529">
        <w:t xml:space="preserve">Source: compiled during the evaluation using </w:t>
      </w:r>
      <w:r w:rsidR="003918B6" w:rsidRPr="00FA0529">
        <w:t>Table</w:t>
      </w:r>
      <w:r w:rsidR="001B72A8" w:rsidRPr="00FA0529">
        <w:t>s</w:t>
      </w:r>
      <w:r w:rsidR="003918B6" w:rsidRPr="00FA0529">
        <w:t xml:space="preserve"> 24 </w:t>
      </w:r>
      <w:r w:rsidR="001B72A8" w:rsidRPr="00FA0529">
        <w:t>and 4-1</w:t>
      </w:r>
      <w:r w:rsidR="006B160E" w:rsidRPr="00FA0529">
        <w:t xml:space="preserve"> </w:t>
      </w:r>
      <w:r w:rsidR="003918B6" w:rsidRPr="00FA0529">
        <w:t xml:space="preserve">of the </w:t>
      </w:r>
      <w:r w:rsidR="008F5AAE" w:rsidRPr="00FA0529">
        <w:t>March 2025 Futibatinib minutes</w:t>
      </w:r>
    </w:p>
    <w:p w14:paraId="741BC942" w14:textId="7423840F" w:rsidR="0030029F" w:rsidRDefault="00E2774A" w:rsidP="002B2CF8">
      <w:pPr>
        <w:pStyle w:val="TableFigureFooter"/>
      </w:pPr>
      <w:r w:rsidRPr="00FA0529">
        <w:t>DUSC</w:t>
      </w:r>
      <w:r w:rsidR="00E7455B" w:rsidRPr="00FA0529">
        <w:t xml:space="preserve">, </w:t>
      </w:r>
      <w:r w:rsidRPr="00FA0529">
        <w:t xml:space="preserve">drug utilisation sub-committee; </w:t>
      </w:r>
      <w:r w:rsidR="002B2CF8" w:rsidRPr="00FA0529">
        <w:t>FGFR2, Fibroblast Growth Factor Receptor 2</w:t>
      </w:r>
      <w:r w:rsidRPr="00FA0529">
        <w:t>; PBAC</w:t>
      </w:r>
      <w:r w:rsidR="00E7455B" w:rsidRPr="00FA0529">
        <w:t>, P</w:t>
      </w:r>
      <w:r w:rsidRPr="00FA0529">
        <w:t>harmaceutical Benefits Advisory Committee</w:t>
      </w:r>
    </w:p>
    <w:p w14:paraId="57AC0419" w14:textId="77777777" w:rsidR="000D45B4" w:rsidRPr="000D45B4" w:rsidRDefault="000D45B4" w:rsidP="000D45B4">
      <w:pPr>
        <w:pStyle w:val="TableFigureFooter"/>
        <w:rPr>
          <w:i/>
        </w:rPr>
      </w:pPr>
      <w:r w:rsidRPr="000D45B4">
        <w:rPr>
          <w:i/>
        </w:rPr>
        <w:t xml:space="preserve">The redacted values correspond to the following ranges: </w:t>
      </w:r>
    </w:p>
    <w:p w14:paraId="7D261CCD" w14:textId="756F4AF9" w:rsidR="000D45B4" w:rsidRPr="000D45B4" w:rsidRDefault="000D45B4" w:rsidP="000D45B4">
      <w:pPr>
        <w:pStyle w:val="TableFigureFooter"/>
        <w:rPr>
          <w:i/>
        </w:rPr>
      </w:pPr>
      <w:r w:rsidRPr="000D45B4">
        <w:rPr>
          <w:i/>
          <w:vertAlign w:val="superscript"/>
        </w:rPr>
        <w:t>1</w:t>
      </w:r>
      <w:r w:rsidRPr="000D45B4">
        <w:rPr>
          <w:i/>
        </w:rPr>
        <w:t xml:space="preserve"> </w:t>
      </w:r>
      <w:r w:rsidR="007B7513" w:rsidRPr="007B7513">
        <w:rPr>
          <w:i/>
        </w:rPr>
        <w:t>500 to &lt; 5,000</w:t>
      </w:r>
    </w:p>
    <w:p w14:paraId="3A2BEFFD" w14:textId="3119CE4E" w:rsidR="000D45B4" w:rsidRPr="000D45B4" w:rsidRDefault="000D45B4" w:rsidP="000D45B4">
      <w:pPr>
        <w:pStyle w:val="TableFigureFooter"/>
        <w:rPr>
          <w:i/>
        </w:rPr>
      </w:pPr>
      <w:r w:rsidRPr="000D45B4">
        <w:rPr>
          <w:i/>
          <w:vertAlign w:val="superscript"/>
        </w:rPr>
        <w:t>2</w:t>
      </w:r>
      <w:r w:rsidRPr="000D45B4">
        <w:rPr>
          <w:i/>
        </w:rPr>
        <w:t xml:space="preserve"> </w:t>
      </w:r>
      <w:r w:rsidR="007B7513">
        <w:rPr>
          <w:i/>
        </w:rPr>
        <w:t>&lt;</w:t>
      </w:r>
      <w:r w:rsidR="00637D31">
        <w:rPr>
          <w:i/>
        </w:rPr>
        <w:t xml:space="preserve"> </w:t>
      </w:r>
      <w:r w:rsidR="007B7513">
        <w:rPr>
          <w:i/>
        </w:rPr>
        <w:t>500</w:t>
      </w:r>
    </w:p>
    <w:p w14:paraId="1C505F17" w14:textId="77777777" w:rsidR="000D45B4" w:rsidRPr="00FA0529" w:rsidRDefault="000D45B4" w:rsidP="002B2CF8">
      <w:pPr>
        <w:pStyle w:val="TableFigureFooter"/>
      </w:pPr>
    </w:p>
    <w:p w14:paraId="52514107" w14:textId="469D51FC" w:rsidR="0055737F" w:rsidRPr="00FA0529" w:rsidRDefault="0055737F" w:rsidP="00977E3F">
      <w:pPr>
        <w:pStyle w:val="3-BodyText"/>
        <w:rPr>
          <w:rFonts w:cstheme="majorBidi"/>
          <w:snapToGrid w:val="0"/>
        </w:rPr>
      </w:pPr>
      <w:r w:rsidRPr="00FA0529">
        <w:t xml:space="preserve">The financial estimates </w:t>
      </w:r>
      <w:r w:rsidR="009855B6" w:rsidRPr="00FA0529">
        <w:t>assume</w:t>
      </w:r>
      <w:r w:rsidR="00781A71" w:rsidRPr="00FA0529">
        <w:t>d</w:t>
      </w:r>
      <w:r w:rsidR="009855B6" w:rsidRPr="00FA0529">
        <w:t xml:space="preserve"> 13.9% of patients have </w:t>
      </w:r>
      <w:r w:rsidR="009855B6" w:rsidRPr="00FA0529">
        <w:rPr>
          <w:i/>
          <w:iCs/>
        </w:rPr>
        <w:t>FGFR2</w:t>
      </w:r>
      <w:r w:rsidR="009855B6" w:rsidRPr="00FA0529">
        <w:t xml:space="preserve"> </w:t>
      </w:r>
      <w:r w:rsidR="0007399F" w:rsidRPr="00FA0529">
        <w:t>fusion or rearrangements</w:t>
      </w:r>
      <w:r w:rsidR="00280089" w:rsidRPr="00FA0529">
        <w:t xml:space="preserve">, </w:t>
      </w:r>
      <w:r w:rsidR="0007399F" w:rsidRPr="00FA0529">
        <w:t xml:space="preserve">calculated </w:t>
      </w:r>
      <w:r w:rsidR="00280089" w:rsidRPr="00FA0529">
        <w:t xml:space="preserve">as a weighted proportion using data presented </w:t>
      </w:r>
      <w:r w:rsidR="0007399F" w:rsidRPr="00FA0529">
        <w:t xml:space="preserve">in </w:t>
      </w:r>
      <w:r w:rsidR="00872744" w:rsidRPr="00FA0529">
        <w:fldChar w:fldCharType="begin"/>
      </w:r>
      <w:r w:rsidR="00872744" w:rsidRPr="00FA0529">
        <w:instrText xml:space="preserve"> REF _Ref201584676 \h </w:instrText>
      </w:r>
      <w:r w:rsidR="00872744" w:rsidRPr="00FA0529">
        <w:fldChar w:fldCharType="separate"/>
      </w:r>
      <w:r w:rsidR="00462AA0" w:rsidRPr="00FA0529">
        <w:t xml:space="preserve">Table </w:t>
      </w:r>
      <w:r w:rsidR="00462AA0">
        <w:rPr>
          <w:noProof/>
        </w:rPr>
        <w:t>8</w:t>
      </w:r>
      <w:r w:rsidR="00872744" w:rsidRPr="00FA0529">
        <w:fldChar w:fldCharType="end"/>
      </w:r>
      <w:r w:rsidR="0007399F" w:rsidRPr="00FA0529">
        <w:t xml:space="preserve">. </w:t>
      </w:r>
      <w:r w:rsidR="008E61D9" w:rsidRPr="00FA0529">
        <w:t xml:space="preserve">The resubmission </w:t>
      </w:r>
      <w:r w:rsidR="003B57CF" w:rsidRPr="00FA0529">
        <w:t xml:space="preserve">stated it had </w:t>
      </w:r>
      <w:r w:rsidR="004B4EAF" w:rsidRPr="00FA0529">
        <w:t xml:space="preserve">assumed patients would be tested at the </w:t>
      </w:r>
      <w:r w:rsidR="003B57CF" w:rsidRPr="00FA0529">
        <w:t>first line treatment setting</w:t>
      </w:r>
      <w:r w:rsidR="00EF13E0" w:rsidRPr="00FA0529">
        <w:t xml:space="preserve">, </w:t>
      </w:r>
      <w:r w:rsidR="003B57CF" w:rsidRPr="00FA0529">
        <w:t xml:space="preserve">rather than </w:t>
      </w:r>
      <w:r w:rsidR="00040293" w:rsidRPr="00FA0529">
        <w:t xml:space="preserve">after patients have progressed on first line treatment. </w:t>
      </w:r>
      <w:r w:rsidR="00653B19" w:rsidRPr="00FA0529">
        <w:t>The resubmission stated it had doubled the number of patients tested to reflect</w:t>
      </w:r>
      <w:r w:rsidR="00ED7448" w:rsidRPr="00FA0529">
        <w:t xml:space="preserve"> </w:t>
      </w:r>
      <w:r w:rsidR="002A7C33" w:rsidRPr="00FA0529">
        <w:t>this</w:t>
      </w:r>
      <w:r w:rsidR="002E6A14" w:rsidRPr="00FA0529">
        <w:t xml:space="preserve">; </w:t>
      </w:r>
      <w:r w:rsidR="002E6A14" w:rsidRPr="00F535E0">
        <w:lastRenderedPageBreak/>
        <w:t>however, the</w:t>
      </w:r>
      <w:r w:rsidR="008B613F" w:rsidRPr="00F535E0">
        <w:t xml:space="preserve"> </w:t>
      </w:r>
      <w:r w:rsidR="006E0B47" w:rsidRPr="00FA0529">
        <w:t xml:space="preserve">submission overview </w:t>
      </w:r>
      <w:r w:rsidR="008B613F" w:rsidRPr="00F535E0">
        <w:t>noted that the</w:t>
      </w:r>
      <w:r w:rsidR="002E6A14" w:rsidRPr="00F535E0">
        <w:t xml:space="preserve"> calculat</w:t>
      </w:r>
      <w:r w:rsidR="003F47C2" w:rsidRPr="00F535E0">
        <w:t>ion</w:t>
      </w:r>
      <w:r w:rsidR="003F47C2" w:rsidRPr="00F535E0">
        <w:rPr>
          <w:rStyle w:val="FootnoteReference"/>
        </w:rPr>
        <w:footnoteReference w:id="5"/>
      </w:r>
      <w:r w:rsidR="002E6A14" w:rsidRPr="00F535E0">
        <w:t xml:space="preserve"> </w:t>
      </w:r>
      <w:r w:rsidR="00AE1593" w:rsidRPr="00F535E0">
        <w:t xml:space="preserve">appeared to be </w:t>
      </w:r>
      <w:r w:rsidR="002E6A14" w:rsidRPr="00F535E0">
        <w:t xml:space="preserve">based on </w:t>
      </w:r>
      <w:r w:rsidR="00AE1593" w:rsidRPr="00F535E0">
        <w:t xml:space="preserve">the proportion of patients that progress </w:t>
      </w:r>
      <w:r w:rsidR="00A6767A" w:rsidRPr="00F535E0">
        <w:t xml:space="preserve">to second line </w:t>
      </w:r>
      <w:r w:rsidR="007B3640" w:rsidRPr="00F535E0">
        <w:t>treatment</w:t>
      </w:r>
      <w:r w:rsidR="00356F4F" w:rsidRPr="00F535E0">
        <w:t>.</w:t>
      </w:r>
      <w:r w:rsidR="000957D3">
        <w:t xml:space="preserve"> </w:t>
      </w:r>
    </w:p>
    <w:p w14:paraId="590D7732" w14:textId="105619BB" w:rsidR="0007399F" w:rsidRPr="00FA0529" w:rsidRDefault="006E2AFE" w:rsidP="006B160E">
      <w:pPr>
        <w:pStyle w:val="TableFigureHeading"/>
        <w:keepLines/>
      </w:pPr>
      <w:bookmarkStart w:id="25" w:name="_Ref201584676"/>
      <w:r w:rsidRPr="00FA0529">
        <w:t xml:space="preserve">Table </w:t>
      </w:r>
      <w:r w:rsidR="00CA5BC1">
        <w:fldChar w:fldCharType="begin"/>
      </w:r>
      <w:r w:rsidR="00CA5BC1">
        <w:instrText xml:space="preserve"> SEQ Table \* ARABIC </w:instrText>
      </w:r>
      <w:r w:rsidR="00CA5BC1">
        <w:fldChar w:fldCharType="separate"/>
      </w:r>
      <w:r w:rsidR="00462AA0">
        <w:rPr>
          <w:noProof/>
        </w:rPr>
        <w:t>8</w:t>
      </w:r>
      <w:r w:rsidR="00CA5BC1">
        <w:rPr>
          <w:noProof/>
        </w:rPr>
        <w:fldChar w:fldCharType="end"/>
      </w:r>
      <w:bookmarkEnd w:id="25"/>
      <w:r w:rsidRPr="00FA0529">
        <w:t xml:space="preserve">: </w:t>
      </w:r>
      <w:r w:rsidR="00CD3EEA" w:rsidRPr="00FA0529">
        <w:t>Weighted FGFR</w:t>
      </w:r>
      <w:r w:rsidR="00ED548E" w:rsidRPr="00FA0529">
        <w:t>2 fusion or rearrangement</w:t>
      </w:r>
    </w:p>
    <w:tbl>
      <w:tblPr>
        <w:tblStyle w:val="TableGrid"/>
        <w:tblW w:w="0" w:type="auto"/>
        <w:tblLook w:val="04A0" w:firstRow="1" w:lastRow="0" w:firstColumn="1" w:lastColumn="0" w:noHBand="0" w:noVBand="1"/>
        <w:tblCaption w:val="Weighted FGFR2 fusion or rearrangement"/>
      </w:tblPr>
      <w:tblGrid>
        <w:gridCol w:w="2254"/>
        <w:gridCol w:w="2254"/>
        <w:gridCol w:w="2254"/>
        <w:gridCol w:w="2254"/>
      </w:tblGrid>
      <w:tr w:rsidR="00CC6FC9" w:rsidRPr="00FA0529" w14:paraId="2E729475" w14:textId="77777777" w:rsidTr="00CC6FC9">
        <w:tc>
          <w:tcPr>
            <w:tcW w:w="2254" w:type="dxa"/>
          </w:tcPr>
          <w:p w14:paraId="798A5E4F" w14:textId="12EA2704" w:rsidR="00CC6FC9" w:rsidRPr="00FA0529" w:rsidRDefault="00214B92" w:rsidP="009771EA">
            <w:pPr>
              <w:pStyle w:val="3-BodyText"/>
              <w:keepNext/>
              <w:keepLines/>
              <w:numPr>
                <w:ilvl w:val="0"/>
                <w:numId w:val="0"/>
              </w:numPr>
              <w:spacing w:after="0"/>
              <w:rPr>
                <w:rFonts w:ascii="Arial Narrow" w:hAnsi="Arial Narrow" w:cstheme="majorBidi"/>
                <w:b/>
                <w:bCs/>
                <w:snapToGrid w:val="0"/>
                <w:sz w:val="20"/>
                <w:szCs w:val="18"/>
              </w:rPr>
            </w:pPr>
            <w:r w:rsidRPr="00FA0529">
              <w:rPr>
                <w:rFonts w:ascii="Arial Narrow" w:hAnsi="Arial Narrow" w:cstheme="majorBidi"/>
                <w:b/>
                <w:bCs/>
                <w:snapToGrid w:val="0"/>
                <w:sz w:val="20"/>
                <w:szCs w:val="18"/>
              </w:rPr>
              <w:t>CAA type</w:t>
            </w:r>
          </w:p>
        </w:tc>
        <w:tc>
          <w:tcPr>
            <w:tcW w:w="2254" w:type="dxa"/>
          </w:tcPr>
          <w:p w14:paraId="4C50F376" w14:textId="0D65E3EC" w:rsidR="00CC6FC9" w:rsidRPr="00FA0529" w:rsidRDefault="00CC6FC9" w:rsidP="009771EA">
            <w:pPr>
              <w:pStyle w:val="3-BodyText"/>
              <w:keepNext/>
              <w:keepLines/>
              <w:numPr>
                <w:ilvl w:val="0"/>
                <w:numId w:val="0"/>
              </w:numPr>
              <w:spacing w:after="0"/>
              <w:rPr>
                <w:rFonts w:ascii="Arial Narrow" w:hAnsi="Arial Narrow" w:cstheme="majorBidi"/>
                <w:b/>
                <w:bCs/>
                <w:snapToGrid w:val="0"/>
                <w:sz w:val="20"/>
                <w:szCs w:val="18"/>
              </w:rPr>
            </w:pPr>
            <w:r w:rsidRPr="00FA0529">
              <w:rPr>
                <w:rFonts w:ascii="Arial Narrow" w:hAnsi="Arial Narrow" w:cstheme="majorBidi"/>
                <w:b/>
                <w:bCs/>
                <w:snapToGrid w:val="0"/>
                <w:sz w:val="20"/>
                <w:szCs w:val="18"/>
              </w:rPr>
              <w:t>Number of people in 2024</w:t>
            </w:r>
          </w:p>
        </w:tc>
        <w:tc>
          <w:tcPr>
            <w:tcW w:w="2254" w:type="dxa"/>
          </w:tcPr>
          <w:p w14:paraId="5898CBF5" w14:textId="3079DF37" w:rsidR="00CC6FC9" w:rsidRPr="00FA0529" w:rsidRDefault="005429D6" w:rsidP="009771EA">
            <w:pPr>
              <w:pStyle w:val="3-BodyText"/>
              <w:keepNext/>
              <w:keepLines/>
              <w:numPr>
                <w:ilvl w:val="0"/>
                <w:numId w:val="0"/>
              </w:numPr>
              <w:spacing w:after="0"/>
              <w:rPr>
                <w:rFonts w:ascii="Arial Narrow" w:hAnsi="Arial Narrow" w:cstheme="majorBidi"/>
                <w:b/>
                <w:bCs/>
                <w:snapToGrid w:val="0"/>
                <w:sz w:val="20"/>
                <w:szCs w:val="18"/>
              </w:rPr>
            </w:pPr>
            <w:r w:rsidRPr="00FA0529">
              <w:rPr>
                <w:rFonts w:ascii="Arial Narrow" w:hAnsi="Arial Narrow" w:cstheme="majorBidi"/>
                <w:b/>
                <w:bCs/>
                <w:snapToGrid w:val="0"/>
                <w:sz w:val="20"/>
                <w:szCs w:val="18"/>
              </w:rPr>
              <w:t>Proportion</w:t>
            </w:r>
            <w:r w:rsidR="00214B92" w:rsidRPr="00FA0529">
              <w:rPr>
                <w:rFonts w:ascii="Arial Narrow" w:hAnsi="Arial Narrow" w:cstheme="majorBidi"/>
                <w:b/>
                <w:bCs/>
                <w:snapToGrid w:val="0"/>
                <w:sz w:val="20"/>
                <w:szCs w:val="18"/>
              </w:rPr>
              <w:t xml:space="preserve"> of CCA</w:t>
            </w:r>
          </w:p>
        </w:tc>
        <w:tc>
          <w:tcPr>
            <w:tcW w:w="2254" w:type="dxa"/>
          </w:tcPr>
          <w:p w14:paraId="78D56AE4" w14:textId="29100E65" w:rsidR="00CC6FC9" w:rsidRPr="00FA0529" w:rsidRDefault="005429D6" w:rsidP="009771EA">
            <w:pPr>
              <w:pStyle w:val="3-BodyText"/>
              <w:keepNext/>
              <w:keepLines/>
              <w:numPr>
                <w:ilvl w:val="0"/>
                <w:numId w:val="0"/>
              </w:numPr>
              <w:tabs>
                <w:tab w:val="left" w:pos="1276"/>
              </w:tabs>
              <w:spacing w:after="0"/>
              <w:rPr>
                <w:rFonts w:ascii="Arial Narrow" w:hAnsi="Arial Narrow" w:cstheme="majorBidi"/>
                <w:b/>
                <w:bCs/>
                <w:snapToGrid w:val="0"/>
                <w:sz w:val="20"/>
                <w:szCs w:val="18"/>
              </w:rPr>
            </w:pPr>
            <w:r w:rsidRPr="00FA0529">
              <w:rPr>
                <w:rFonts w:ascii="Arial Narrow" w:hAnsi="Arial Narrow" w:cstheme="majorBidi"/>
                <w:b/>
                <w:bCs/>
                <w:snapToGrid w:val="0"/>
                <w:sz w:val="20"/>
                <w:szCs w:val="18"/>
              </w:rPr>
              <w:t>% FGFR2</w:t>
            </w:r>
            <w:r w:rsidR="004528B3" w:rsidRPr="00FA0529">
              <w:rPr>
                <w:rFonts w:ascii="Arial Narrow" w:hAnsi="Arial Narrow" w:cstheme="majorBidi"/>
                <w:b/>
                <w:bCs/>
                <w:snapToGrid w:val="0"/>
                <w:sz w:val="20"/>
                <w:szCs w:val="18"/>
              </w:rPr>
              <w:tab/>
            </w:r>
          </w:p>
        </w:tc>
      </w:tr>
      <w:tr w:rsidR="00CC6FC9" w:rsidRPr="00FA0529" w14:paraId="6F910558" w14:textId="77777777" w:rsidTr="00CC6FC9">
        <w:tc>
          <w:tcPr>
            <w:tcW w:w="2254" w:type="dxa"/>
          </w:tcPr>
          <w:p w14:paraId="42B49FAF" w14:textId="00C939AC" w:rsidR="00CC6FC9" w:rsidRPr="00FA0529" w:rsidRDefault="005429D6"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Intrahepatic bile duct cancer</w:t>
            </w:r>
          </w:p>
        </w:tc>
        <w:tc>
          <w:tcPr>
            <w:tcW w:w="2254" w:type="dxa"/>
          </w:tcPr>
          <w:p w14:paraId="265EC841" w14:textId="13AAA333" w:rsidR="00CC6FC9" w:rsidRPr="00FA0529" w:rsidRDefault="002310CF"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719</w:t>
            </w:r>
          </w:p>
        </w:tc>
        <w:tc>
          <w:tcPr>
            <w:tcW w:w="2254" w:type="dxa"/>
          </w:tcPr>
          <w:p w14:paraId="1D352AA0" w14:textId="607142FA" w:rsidR="00CC6FC9"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47.4%</w:t>
            </w:r>
          </w:p>
        </w:tc>
        <w:tc>
          <w:tcPr>
            <w:tcW w:w="2254" w:type="dxa"/>
          </w:tcPr>
          <w:p w14:paraId="1BB0FAC5" w14:textId="0AE95928" w:rsidR="00CC6FC9"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20%</w:t>
            </w:r>
          </w:p>
        </w:tc>
      </w:tr>
      <w:tr w:rsidR="002310CF" w:rsidRPr="00FA0529" w14:paraId="3562D8B5" w14:textId="77777777" w:rsidTr="00CC6FC9">
        <w:tc>
          <w:tcPr>
            <w:tcW w:w="2254" w:type="dxa"/>
          </w:tcPr>
          <w:p w14:paraId="2D10DA56" w14:textId="671BD6E6" w:rsidR="002310CF" w:rsidRPr="00FA0529" w:rsidRDefault="002310CF"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 xml:space="preserve">Overlapping lesions of biliary tract </w:t>
            </w:r>
            <w:r w:rsidR="006E2AFE" w:rsidRPr="00FA0529">
              <w:rPr>
                <w:rFonts w:ascii="Arial Narrow" w:hAnsi="Arial Narrow" w:cstheme="majorBidi"/>
                <w:snapToGrid w:val="0"/>
                <w:sz w:val="20"/>
                <w:szCs w:val="18"/>
              </w:rPr>
              <w:t xml:space="preserve">and </w:t>
            </w:r>
            <w:r w:rsidR="00D56CA2" w:rsidRPr="00FA0529">
              <w:rPr>
                <w:rFonts w:ascii="Arial Narrow" w:hAnsi="Arial Narrow" w:cstheme="majorBidi"/>
                <w:snapToGrid w:val="0"/>
                <w:sz w:val="20"/>
                <w:szCs w:val="18"/>
              </w:rPr>
              <w:t>biliary</w:t>
            </w:r>
            <w:r w:rsidR="006E2AFE" w:rsidRPr="00FA0529">
              <w:rPr>
                <w:rFonts w:ascii="Arial Narrow" w:hAnsi="Arial Narrow" w:cstheme="majorBidi"/>
                <w:snapToGrid w:val="0"/>
                <w:sz w:val="20"/>
                <w:szCs w:val="18"/>
              </w:rPr>
              <w:t xml:space="preserve"> tract, unspecified</w:t>
            </w:r>
          </w:p>
        </w:tc>
        <w:tc>
          <w:tcPr>
            <w:tcW w:w="2254" w:type="dxa"/>
          </w:tcPr>
          <w:p w14:paraId="7A94E6D6" w14:textId="64B5B84C" w:rsidR="002310CF"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308</w:t>
            </w:r>
          </w:p>
        </w:tc>
        <w:tc>
          <w:tcPr>
            <w:tcW w:w="2254" w:type="dxa"/>
          </w:tcPr>
          <w:p w14:paraId="3D689887" w14:textId="04E5BF21" w:rsidR="002310CF"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20.3%</w:t>
            </w:r>
          </w:p>
        </w:tc>
        <w:tc>
          <w:tcPr>
            <w:tcW w:w="2254" w:type="dxa"/>
          </w:tcPr>
          <w:p w14:paraId="70B04563" w14:textId="78D2B82B" w:rsidR="002310CF"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20%</w:t>
            </w:r>
          </w:p>
        </w:tc>
      </w:tr>
      <w:tr w:rsidR="002310CF" w:rsidRPr="00FA0529" w14:paraId="7AB2DD5B" w14:textId="77777777" w:rsidTr="00CC6FC9">
        <w:tc>
          <w:tcPr>
            <w:tcW w:w="2254" w:type="dxa"/>
          </w:tcPr>
          <w:p w14:paraId="6C499A1F" w14:textId="233F0751" w:rsidR="002310CF" w:rsidRPr="00FA0529" w:rsidRDefault="002310CF"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Extrahepatic bile duct cancer</w:t>
            </w:r>
          </w:p>
        </w:tc>
        <w:tc>
          <w:tcPr>
            <w:tcW w:w="2254" w:type="dxa"/>
          </w:tcPr>
          <w:p w14:paraId="5EAA9B5C" w14:textId="6887DFC3" w:rsidR="002310CF"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490</w:t>
            </w:r>
          </w:p>
        </w:tc>
        <w:tc>
          <w:tcPr>
            <w:tcW w:w="2254" w:type="dxa"/>
          </w:tcPr>
          <w:p w14:paraId="5216FB40" w14:textId="11B77233" w:rsidR="002310CF"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32.3%</w:t>
            </w:r>
          </w:p>
        </w:tc>
        <w:tc>
          <w:tcPr>
            <w:tcW w:w="2254" w:type="dxa"/>
          </w:tcPr>
          <w:p w14:paraId="56B1B67E" w14:textId="6E9B0C97" w:rsidR="002310CF"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1%</w:t>
            </w:r>
          </w:p>
        </w:tc>
      </w:tr>
      <w:tr w:rsidR="00940150" w:rsidRPr="00FA0529" w14:paraId="26FC85E8" w14:textId="77777777">
        <w:tc>
          <w:tcPr>
            <w:tcW w:w="6762" w:type="dxa"/>
            <w:gridSpan w:val="3"/>
          </w:tcPr>
          <w:p w14:paraId="29D7259D" w14:textId="1E9899C8" w:rsidR="00940150" w:rsidRPr="00FA0529" w:rsidRDefault="00940150"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Weighted FGFR2 fusion or rearrangement:</w:t>
            </w:r>
          </w:p>
        </w:tc>
        <w:tc>
          <w:tcPr>
            <w:tcW w:w="2254" w:type="dxa"/>
          </w:tcPr>
          <w:p w14:paraId="3DCAC536" w14:textId="4F506CF7" w:rsidR="00940150" w:rsidRPr="00FA0529" w:rsidRDefault="00940150"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13.9%</w:t>
            </w:r>
          </w:p>
        </w:tc>
      </w:tr>
    </w:tbl>
    <w:p w14:paraId="13B7672B" w14:textId="2189ECB9" w:rsidR="00D944EA" w:rsidRPr="00FA0529" w:rsidRDefault="00D944EA" w:rsidP="009771EA">
      <w:pPr>
        <w:pStyle w:val="TableFigureFooter"/>
      </w:pPr>
      <w:r w:rsidRPr="00FA0529">
        <w:t>Source:</w:t>
      </w:r>
      <w:r w:rsidR="00A05A56">
        <w:t xml:space="preserve"> </w:t>
      </w:r>
      <w:r w:rsidRPr="00FA0529">
        <w:t>financial table workbook from the resubmission</w:t>
      </w:r>
    </w:p>
    <w:p w14:paraId="037E364A" w14:textId="4DE13974" w:rsidR="00D944EA" w:rsidRPr="00FA0529" w:rsidRDefault="00D944EA" w:rsidP="009771EA">
      <w:pPr>
        <w:pStyle w:val="TableFigureFooter"/>
      </w:pPr>
      <w:r w:rsidRPr="00FA0529">
        <w:t>CCA, cholangiocarcinoma</w:t>
      </w:r>
      <w:r w:rsidR="00535F65" w:rsidRPr="00FA0529">
        <w:t>; FGFR2, Fibroblast Growth Factor Receptor 2</w:t>
      </w:r>
    </w:p>
    <w:p w14:paraId="3FB2F16D" w14:textId="46C5384E" w:rsidR="00E3688D" w:rsidRPr="006930E6" w:rsidRDefault="008B613F" w:rsidP="00E3688D">
      <w:pPr>
        <w:pStyle w:val="3-BodyText"/>
        <w:rPr>
          <w:rFonts w:cstheme="majorBidi"/>
          <w:snapToGrid w:val="0"/>
        </w:rPr>
      </w:pPr>
      <w:bookmarkStart w:id="26" w:name="_Ref201733442"/>
      <w:bookmarkStart w:id="27" w:name="_Ref202972763"/>
      <w:bookmarkStart w:id="28" w:name="_Ref204864700"/>
      <w:r w:rsidRPr="00F535E0">
        <w:t xml:space="preserve">The </w:t>
      </w:r>
      <w:r w:rsidR="006E0B47" w:rsidRPr="006930E6">
        <w:t>submission overview</w:t>
      </w:r>
      <w:r w:rsidRPr="00F535E0">
        <w:t xml:space="preserve"> </w:t>
      </w:r>
      <w:r w:rsidR="00E8540C" w:rsidRPr="00F535E0">
        <w:t>identified</w:t>
      </w:r>
      <w:r w:rsidR="006F5AC2" w:rsidRPr="00F535E0">
        <w:t xml:space="preserve"> </w:t>
      </w:r>
      <w:r w:rsidR="00810112" w:rsidRPr="00F535E0">
        <w:t xml:space="preserve">an error </w:t>
      </w:r>
      <w:r w:rsidR="006F5AC2" w:rsidRPr="00F535E0">
        <w:t xml:space="preserve">in the </w:t>
      </w:r>
      <w:r w:rsidR="00E8540C" w:rsidRPr="00F535E0">
        <w:t xml:space="preserve">financial estimates workbook. </w:t>
      </w:r>
      <w:r w:rsidR="00B049DD" w:rsidRPr="00F535E0">
        <w:t xml:space="preserve">Given the average treatment duration </w:t>
      </w:r>
      <w:r w:rsidR="00185D27" w:rsidRPr="00F535E0">
        <w:t xml:space="preserve">for incident patients </w:t>
      </w:r>
      <w:r w:rsidR="00B049DD" w:rsidRPr="00F535E0">
        <w:t>is longer than 1 year, the workbook has correctly applied this in the DTG worksheet</w:t>
      </w:r>
      <w:r w:rsidR="00EE627E" w:rsidRPr="00F535E0">
        <w:t>. However,</w:t>
      </w:r>
      <w:r w:rsidR="00D82ECE" w:rsidRPr="00F535E0">
        <w:t xml:space="preserve"> the 3a.</w:t>
      </w:r>
      <w:r w:rsidR="002531B2" w:rsidRPr="00F535E0">
        <w:t xml:space="preserve"> Scripts-proposed worksheet should </w:t>
      </w:r>
      <w:r w:rsidR="00B63DD6" w:rsidRPr="00F535E0">
        <w:t>reflect</w:t>
      </w:r>
      <w:r w:rsidR="00864230" w:rsidRPr="00F535E0">
        <w:t xml:space="preserve"> a treatment duration of 52 weeks as the DTG worksheet has converted treated patient to patient years.</w:t>
      </w:r>
      <w:r w:rsidR="00A05A56">
        <w:t xml:space="preserve"> </w:t>
      </w:r>
      <w:r w:rsidR="00BB5D3B" w:rsidRPr="00F535E0">
        <w:t>As the treatment duration of grandfathered patients is less than 1 year, the DTG worksheet is not required and treatment duration can be included</w:t>
      </w:r>
      <w:r w:rsidR="0076630C" w:rsidRPr="00F535E0">
        <w:t xml:space="preserve"> on the 3a. Scripts-proposed worksheet. </w:t>
      </w:r>
      <w:r w:rsidR="004B65D6" w:rsidRPr="00F535E0">
        <w:t xml:space="preserve">Additionally, the </w:t>
      </w:r>
      <w:r w:rsidR="00C56290" w:rsidRPr="006930E6">
        <w:t xml:space="preserve">submission overview considered that the </w:t>
      </w:r>
      <w:r w:rsidR="004B65D6" w:rsidRPr="000C1BF7">
        <w:t xml:space="preserve">treatment duration should be reduced to be consistent with the </w:t>
      </w:r>
      <w:r w:rsidR="00A05EA6" w:rsidRPr="000C1BF7">
        <w:t xml:space="preserve">revised </w:t>
      </w:r>
      <w:r w:rsidR="004B65D6" w:rsidRPr="000C1BF7">
        <w:t xml:space="preserve">economic model (see paragraph </w:t>
      </w:r>
      <w:r w:rsidR="004B65D6" w:rsidRPr="000C1BF7">
        <w:fldChar w:fldCharType="begin"/>
      </w:r>
      <w:r w:rsidR="004B65D6" w:rsidRPr="000C1BF7">
        <w:instrText xml:space="preserve"> REF _Ref201733364 \r \h </w:instrText>
      </w:r>
      <w:r w:rsidR="00810112" w:rsidRPr="006930E6">
        <w:instrText xml:space="preserve"> \* MERGEFORMAT </w:instrText>
      </w:r>
      <w:r w:rsidR="004B65D6" w:rsidRPr="000C1BF7">
        <w:fldChar w:fldCharType="separate"/>
      </w:r>
      <w:r w:rsidR="00462AA0">
        <w:t>4.20</w:t>
      </w:r>
      <w:r w:rsidR="004B65D6" w:rsidRPr="000C1BF7">
        <w:fldChar w:fldCharType="end"/>
      </w:r>
      <w:r w:rsidR="004B65D6" w:rsidRPr="000C1BF7">
        <w:t>).</w:t>
      </w:r>
      <w:bookmarkEnd w:id="26"/>
      <w:bookmarkEnd w:id="27"/>
      <w:bookmarkEnd w:id="28"/>
      <w:r w:rsidR="00A05A56">
        <w:t xml:space="preserve"> </w:t>
      </w:r>
    </w:p>
    <w:p w14:paraId="16F40D17" w14:textId="44119207" w:rsidR="00977E3F" w:rsidRPr="00FA0529" w:rsidRDefault="00977E3F" w:rsidP="00977E3F">
      <w:pPr>
        <w:pStyle w:val="TableFigureHeading"/>
        <w:keepLines/>
      </w:pPr>
      <w:r w:rsidRPr="00FA0529">
        <w:lastRenderedPageBreak/>
        <w:t xml:space="preserve">Table </w:t>
      </w:r>
      <w:r w:rsidR="00BF2E32">
        <w:fldChar w:fldCharType="begin"/>
      </w:r>
      <w:r w:rsidR="00BF2E32">
        <w:instrText xml:space="preserve"> SEQ Table \* ARABIC </w:instrText>
      </w:r>
      <w:r w:rsidR="00BF2E32">
        <w:fldChar w:fldCharType="separate"/>
      </w:r>
      <w:r w:rsidR="00462AA0">
        <w:rPr>
          <w:noProof/>
        </w:rPr>
        <w:t>9</w:t>
      </w:r>
      <w:r w:rsidR="00BF2E32">
        <w:rPr>
          <w:noProof/>
        </w:rPr>
        <w:fldChar w:fldCharType="end"/>
      </w:r>
      <w:r w:rsidRPr="00FA0529">
        <w:t xml:space="preserve">: </w:t>
      </w:r>
      <w:r w:rsidR="001B7151" w:rsidRPr="00FA0529">
        <w:t>Estimated use and financial implications</w:t>
      </w:r>
    </w:p>
    <w:tbl>
      <w:tblPr>
        <w:tblStyle w:val="PBACTableStyle"/>
        <w:tblW w:w="4956" w:type="pct"/>
        <w:tblLook w:val="04A0" w:firstRow="1" w:lastRow="0" w:firstColumn="1" w:lastColumn="0" w:noHBand="0" w:noVBand="1"/>
        <w:tblCaption w:val="Estimated use and financial implications"/>
      </w:tblPr>
      <w:tblGrid>
        <w:gridCol w:w="2350"/>
        <w:gridCol w:w="1401"/>
        <w:gridCol w:w="1037"/>
        <w:gridCol w:w="1037"/>
        <w:gridCol w:w="1037"/>
        <w:gridCol w:w="1037"/>
        <w:gridCol w:w="1038"/>
      </w:tblGrid>
      <w:tr w:rsidR="00EA43EF" w:rsidRPr="00FA0529" w14:paraId="2BF1F653" w14:textId="77777777" w:rsidTr="009771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pct"/>
          </w:tcPr>
          <w:p w14:paraId="6DE25BA6" w14:textId="77777777" w:rsidR="00EA43EF" w:rsidRPr="00FA0529" w:rsidRDefault="00EA43EF" w:rsidP="006C3B62">
            <w:pPr>
              <w:pStyle w:val="TableText"/>
              <w:keepLines/>
              <w:rPr>
                <w:b w:val="0"/>
                <w:lang w:val="en-AU"/>
              </w:rPr>
            </w:pPr>
          </w:p>
        </w:tc>
        <w:tc>
          <w:tcPr>
            <w:tcW w:w="784" w:type="pct"/>
          </w:tcPr>
          <w:p w14:paraId="1FE2CF4A" w14:textId="77777777" w:rsidR="00EA43EF" w:rsidRPr="00FA0529" w:rsidRDefault="00EA43EF" w:rsidP="006C3B62">
            <w:pPr>
              <w:pStyle w:val="TableText"/>
              <w:keepLines/>
              <w:cnfStyle w:val="100000000000" w:firstRow="1" w:lastRow="0" w:firstColumn="0" w:lastColumn="0" w:oddVBand="0" w:evenVBand="0" w:oddHBand="0" w:evenHBand="0" w:firstRowFirstColumn="0" w:firstRowLastColumn="0" w:lastRowFirstColumn="0" w:lastRowLastColumn="0"/>
              <w:rPr>
                <w:b w:val="0"/>
                <w:lang w:val="en-AU"/>
              </w:rPr>
            </w:pPr>
            <w:r w:rsidRPr="00FA0529">
              <w:rPr>
                <w:lang w:val="en-AU"/>
              </w:rPr>
              <w:t>Year 1</w:t>
            </w:r>
          </w:p>
        </w:tc>
        <w:tc>
          <w:tcPr>
            <w:tcW w:w="580" w:type="pct"/>
          </w:tcPr>
          <w:p w14:paraId="5B371795" w14:textId="77777777" w:rsidR="00EA43EF" w:rsidRPr="00FA0529" w:rsidRDefault="00EA43EF" w:rsidP="006C3B62">
            <w:pPr>
              <w:pStyle w:val="TableText"/>
              <w:keepLines/>
              <w:cnfStyle w:val="100000000000" w:firstRow="1" w:lastRow="0" w:firstColumn="0" w:lastColumn="0" w:oddVBand="0" w:evenVBand="0" w:oddHBand="0" w:evenHBand="0" w:firstRowFirstColumn="0" w:firstRowLastColumn="0" w:lastRowFirstColumn="0" w:lastRowLastColumn="0"/>
              <w:rPr>
                <w:b w:val="0"/>
                <w:lang w:val="en-AU"/>
              </w:rPr>
            </w:pPr>
            <w:r w:rsidRPr="00FA0529">
              <w:rPr>
                <w:lang w:val="en-AU"/>
              </w:rPr>
              <w:t>Year 2</w:t>
            </w:r>
          </w:p>
        </w:tc>
        <w:tc>
          <w:tcPr>
            <w:tcW w:w="580" w:type="pct"/>
          </w:tcPr>
          <w:p w14:paraId="6B9096D4" w14:textId="77777777" w:rsidR="00EA43EF" w:rsidRPr="00FA0529" w:rsidRDefault="00EA43EF" w:rsidP="006C3B62">
            <w:pPr>
              <w:pStyle w:val="TableText"/>
              <w:keepLines/>
              <w:cnfStyle w:val="100000000000" w:firstRow="1" w:lastRow="0" w:firstColumn="0" w:lastColumn="0" w:oddVBand="0" w:evenVBand="0" w:oddHBand="0" w:evenHBand="0" w:firstRowFirstColumn="0" w:firstRowLastColumn="0" w:lastRowFirstColumn="0" w:lastRowLastColumn="0"/>
              <w:rPr>
                <w:b w:val="0"/>
                <w:lang w:val="en-AU"/>
              </w:rPr>
            </w:pPr>
            <w:r w:rsidRPr="00FA0529">
              <w:rPr>
                <w:lang w:val="en-AU"/>
              </w:rPr>
              <w:t>Year 3</w:t>
            </w:r>
          </w:p>
        </w:tc>
        <w:tc>
          <w:tcPr>
            <w:tcW w:w="580" w:type="pct"/>
          </w:tcPr>
          <w:p w14:paraId="24F72BD8" w14:textId="77777777" w:rsidR="00EA43EF" w:rsidRPr="00FA0529" w:rsidRDefault="00EA43EF" w:rsidP="006C3B62">
            <w:pPr>
              <w:pStyle w:val="TableText"/>
              <w:keepLines/>
              <w:cnfStyle w:val="100000000000" w:firstRow="1" w:lastRow="0" w:firstColumn="0" w:lastColumn="0" w:oddVBand="0" w:evenVBand="0" w:oddHBand="0" w:evenHBand="0" w:firstRowFirstColumn="0" w:firstRowLastColumn="0" w:lastRowFirstColumn="0" w:lastRowLastColumn="0"/>
              <w:rPr>
                <w:b w:val="0"/>
                <w:lang w:val="en-AU"/>
              </w:rPr>
            </w:pPr>
            <w:r w:rsidRPr="00FA0529">
              <w:rPr>
                <w:lang w:val="en-AU"/>
              </w:rPr>
              <w:t>Year 4</w:t>
            </w:r>
          </w:p>
        </w:tc>
        <w:tc>
          <w:tcPr>
            <w:tcW w:w="580" w:type="pct"/>
          </w:tcPr>
          <w:p w14:paraId="3959B571" w14:textId="77777777" w:rsidR="00EA43EF" w:rsidRPr="00FA0529" w:rsidRDefault="00EA43EF" w:rsidP="006C3B62">
            <w:pPr>
              <w:pStyle w:val="TableText"/>
              <w:keepLines/>
              <w:cnfStyle w:val="100000000000" w:firstRow="1" w:lastRow="0" w:firstColumn="0" w:lastColumn="0" w:oddVBand="0" w:evenVBand="0" w:oddHBand="0" w:evenHBand="0" w:firstRowFirstColumn="0" w:firstRowLastColumn="0" w:lastRowFirstColumn="0" w:lastRowLastColumn="0"/>
              <w:rPr>
                <w:b w:val="0"/>
                <w:lang w:val="en-AU"/>
              </w:rPr>
            </w:pPr>
            <w:r w:rsidRPr="00FA0529">
              <w:rPr>
                <w:lang w:val="en-AU"/>
              </w:rPr>
              <w:t>Year 5</w:t>
            </w:r>
          </w:p>
        </w:tc>
        <w:tc>
          <w:tcPr>
            <w:tcW w:w="581" w:type="pct"/>
          </w:tcPr>
          <w:p w14:paraId="41927DD4" w14:textId="77777777" w:rsidR="00EA43EF" w:rsidRPr="00FA0529" w:rsidRDefault="00EA43EF" w:rsidP="006C3B62">
            <w:pPr>
              <w:pStyle w:val="TableText"/>
              <w:keepLines/>
              <w:cnfStyle w:val="100000000000" w:firstRow="1" w:lastRow="0" w:firstColumn="0" w:lastColumn="0" w:oddVBand="0" w:evenVBand="0" w:oddHBand="0" w:evenHBand="0" w:firstRowFirstColumn="0" w:firstRowLastColumn="0" w:lastRowFirstColumn="0" w:lastRowLastColumn="0"/>
              <w:rPr>
                <w:b w:val="0"/>
                <w:lang w:val="en-AU"/>
              </w:rPr>
            </w:pPr>
            <w:r w:rsidRPr="00FA0529">
              <w:rPr>
                <w:lang w:val="en-AU"/>
              </w:rPr>
              <w:t>Year 6</w:t>
            </w:r>
          </w:p>
        </w:tc>
      </w:tr>
      <w:tr w:rsidR="008B0E34" w:rsidRPr="00FA0529" w14:paraId="780A823E" w14:textId="77777777" w:rsidTr="008B0E34">
        <w:tc>
          <w:tcPr>
            <w:cnfStyle w:val="001000000000" w:firstRow="0" w:lastRow="0" w:firstColumn="1" w:lastColumn="0" w:oddVBand="0" w:evenVBand="0" w:oddHBand="0" w:evenHBand="0" w:firstRowFirstColumn="0" w:firstRowLastColumn="0" w:lastRowFirstColumn="0" w:lastRowLastColumn="0"/>
            <w:tcW w:w="5000" w:type="pct"/>
            <w:gridSpan w:val="7"/>
          </w:tcPr>
          <w:p w14:paraId="62BC9770" w14:textId="3A373607" w:rsidR="008B0E34" w:rsidRPr="00FA0529" w:rsidRDefault="008B0E34" w:rsidP="006C3B62">
            <w:pPr>
              <w:pStyle w:val="TableText"/>
              <w:keepLines/>
              <w:tabs>
                <w:tab w:val="decimal" w:pos="0"/>
              </w:tabs>
              <w:rPr>
                <w:lang w:val="en-AU"/>
              </w:rPr>
            </w:pPr>
            <w:r w:rsidRPr="00FA0529">
              <w:rPr>
                <w:lang w:val="en-AU"/>
              </w:rPr>
              <w:t xml:space="preserve"> </w:t>
            </w:r>
            <w:r w:rsidRPr="00FA0529">
              <w:rPr>
                <w:b/>
                <w:lang w:val="en-AU"/>
              </w:rPr>
              <w:t>Estimated patient numbers</w:t>
            </w:r>
          </w:p>
        </w:tc>
      </w:tr>
      <w:tr w:rsidR="00A41F61" w:rsidRPr="00FA0529" w14:paraId="0094FD44"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10304DCF" w14:textId="1C337B80" w:rsidR="00A41F61" w:rsidRPr="00FA0529" w:rsidRDefault="00A41F61" w:rsidP="006C3B62">
            <w:pPr>
              <w:pStyle w:val="TableText"/>
              <w:keepLines/>
              <w:rPr>
                <w:lang w:val="en-AU"/>
              </w:rPr>
            </w:pPr>
            <w:r w:rsidRPr="00FA0529">
              <w:rPr>
                <w:lang w:val="en-AU"/>
              </w:rPr>
              <w:t>Total incident population</w:t>
            </w:r>
          </w:p>
        </w:tc>
        <w:tc>
          <w:tcPr>
            <w:tcW w:w="784" w:type="pct"/>
          </w:tcPr>
          <w:p w14:paraId="2825B712" w14:textId="1E7667E7" w:rsidR="00A41F61" w:rsidRPr="00221DDA" w:rsidRDefault="00DE7EE1" w:rsidP="006C3B62">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szCs w:val="20"/>
                <w:highlight w:val="darkGray"/>
                <w:vertAlign w:val="superscript"/>
                <w:lang w:val="en-AU"/>
              </w:rPr>
            </w:pPr>
            <w:r w:rsidRPr="00E40CE9">
              <w:rPr>
                <w:rFonts w:cs="Arial"/>
                <w:spacing w:val="55"/>
                <w:szCs w:val="20"/>
                <w:shd w:val="solid" w:color="000000" w:fill="000000"/>
                <w:fitText w:val="336" w:id="-628460022"/>
                <w14:textFill>
                  <w14:solidFill>
                    <w14:schemeClr w14:val="tx1">
                      <w14:alpha w14:val="100000"/>
                    </w14:schemeClr>
                  </w14:solidFill>
                </w14:textFill>
              </w:rPr>
              <w:t>|||</w:t>
            </w:r>
            <w:r w:rsidRPr="00E40CE9">
              <w:rPr>
                <w:rFonts w:cs="Arial"/>
                <w:spacing w:val="1"/>
                <w:szCs w:val="20"/>
                <w:shd w:val="solid" w:color="000000" w:fill="000000"/>
                <w:fitText w:val="336" w:id="-628460022"/>
                <w14:textFill>
                  <w14:solidFill>
                    <w14:schemeClr w14:val="tx1">
                      <w14:alpha w14:val="100000"/>
                    </w14:schemeClr>
                  </w14:solidFill>
                </w14:textFill>
              </w:rPr>
              <w:t>|</w:t>
            </w:r>
            <w:r w:rsidR="0051620D" w:rsidRPr="00221DDA">
              <w:rPr>
                <w:rFonts w:cs="Arial"/>
                <w:szCs w:val="20"/>
                <w:vertAlign w:val="superscript"/>
              </w:rPr>
              <w:t>1</w:t>
            </w:r>
          </w:p>
        </w:tc>
        <w:tc>
          <w:tcPr>
            <w:tcW w:w="580" w:type="pct"/>
          </w:tcPr>
          <w:p w14:paraId="49ED0235" w14:textId="7A1283F3" w:rsidR="00A41F61"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1"/>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1"/>
                <w:lang w:eastAsia="en-US"/>
                <w14:textFill>
                  <w14:solidFill>
                    <w14:schemeClr w14:val="tx1">
                      <w14:alpha w14:val="100000"/>
                    </w14:schemeClr>
                  </w14:solidFill>
                </w14:textFill>
              </w:rPr>
              <w:t>|</w:t>
            </w:r>
            <w:r w:rsidR="0051620D" w:rsidRPr="00221DDA">
              <w:rPr>
                <w:rFonts w:eastAsiaTheme="minorHAnsi" w:cs="Arial"/>
                <w:bCs w:val="0"/>
                <w:szCs w:val="20"/>
                <w:vertAlign w:val="superscript"/>
                <w:lang w:eastAsia="en-US"/>
              </w:rPr>
              <w:t>1</w:t>
            </w:r>
          </w:p>
        </w:tc>
        <w:tc>
          <w:tcPr>
            <w:tcW w:w="580" w:type="pct"/>
          </w:tcPr>
          <w:p w14:paraId="247A8ED6" w14:textId="5AE0900F" w:rsidR="00A41F61"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0"/>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0"/>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0CC66A95" w14:textId="59E6CA2A" w:rsidR="00A41F61"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1"/>
                <w:szCs w:val="20"/>
                <w:shd w:val="solid" w:color="000000" w:fill="000000"/>
                <w:fitText w:val="324" w:id="-628460019"/>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24" w:id="-628460019"/>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r w:rsidRPr="00E40CE9">
              <w:rPr>
                <w:rFonts w:eastAsiaTheme="minorHAnsi" w:cs="Arial"/>
                <w:bCs w:val="0"/>
                <w:spacing w:val="51"/>
                <w:szCs w:val="20"/>
                <w:shd w:val="solid" w:color="000000" w:fill="000000"/>
                <w:fitText w:val="324" w:id="-628460018"/>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24" w:id="-628460018"/>
                <w:lang w:eastAsia="en-US"/>
                <w14:textFill>
                  <w14:solidFill>
                    <w14:schemeClr w14:val="tx1">
                      <w14:alpha w14:val="100000"/>
                    </w14:schemeClr>
                  </w14:solidFill>
                </w14:textFill>
              </w:rPr>
              <w:t>|</w:t>
            </w:r>
          </w:p>
        </w:tc>
        <w:tc>
          <w:tcPr>
            <w:tcW w:w="580" w:type="pct"/>
          </w:tcPr>
          <w:p w14:paraId="32F38A81" w14:textId="1678C03E" w:rsidR="00A41F61"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1"/>
                <w:szCs w:val="20"/>
                <w:shd w:val="solid" w:color="000000" w:fill="000000"/>
                <w:fitText w:val="324" w:id="-628460017"/>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24" w:id="-628460017"/>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r w:rsidRPr="00E40CE9">
              <w:rPr>
                <w:rFonts w:eastAsiaTheme="minorHAnsi" w:cs="Arial"/>
                <w:bCs w:val="0"/>
                <w:spacing w:val="51"/>
                <w:szCs w:val="20"/>
                <w:shd w:val="solid" w:color="000000" w:fill="000000"/>
                <w:fitText w:val="324" w:id="-628460016"/>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24" w:id="-628460016"/>
                <w:lang w:eastAsia="en-US"/>
                <w14:textFill>
                  <w14:solidFill>
                    <w14:schemeClr w14:val="tx1">
                      <w14:alpha w14:val="100000"/>
                    </w14:schemeClr>
                  </w14:solidFill>
                </w14:textFill>
              </w:rPr>
              <w:t>|</w:t>
            </w:r>
          </w:p>
        </w:tc>
        <w:tc>
          <w:tcPr>
            <w:tcW w:w="581" w:type="pct"/>
          </w:tcPr>
          <w:p w14:paraId="44154F6E" w14:textId="273C45A7" w:rsidR="00A41F61"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1"/>
                <w:szCs w:val="20"/>
                <w:shd w:val="solid" w:color="000000" w:fill="000000"/>
                <w:fitText w:val="324" w:id="-628460032"/>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24" w:id="-628460032"/>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r w:rsidRPr="00E40CE9">
              <w:rPr>
                <w:rFonts w:eastAsiaTheme="minorHAnsi" w:cs="Arial"/>
                <w:bCs w:val="0"/>
                <w:spacing w:val="51"/>
                <w:szCs w:val="20"/>
                <w:shd w:val="solid" w:color="000000" w:fill="000000"/>
                <w:fitText w:val="324" w:id="-628460031"/>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24" w:id="-628460031"/>
                <w:lang w:eastAsia="en-US"/>
                <w14:textFill>
                  <w14:solidFill>
                    <w14:schemeClr w14:val="tx1">
                      <w14:alpha w14:val="100000"/>
                    </w14:schemeClr>
                  </w14:solidFill>
                </w14:textFill>
              </w:rPr>
              <w:t>|</w:t>
            </w:r>
          </w:p>
        </w:tc>
      </w:tr>
      <w:tr w:rsidR="00A20DCB" w:rsidRPr="00FA0529" w14:paraId="5027883D"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5FFB6F7D" w14:textId="372E8CEB" w:rsidR="00A20DCB" w:rsidRPr="00FA0529" w:rsidRDefault="00A20DCB" w:rsidP="006C3B62">
            <w:pPr>
              <w:pStyle w:val="TableText"/>
              <w:keepLines/>
              <w:rPr>
                <w:lang w:val="en-AU"/>
              </w:rPr>
            </w:pPr>
            <w:r w:rsidRPr="00FA0529">
              <w:rPr>
                <w:lang w:val="en-AU"/>
              </w:rPr>
              <w:t xml:space="preserve">Patients diagnosed with </w:t>
            </w:r>
            <w:r w:rsidR="005765F5" w:rsidRPr="00FA0529">
              <w:rPr>
                <w:lang w:val="en-AU"/>
              </w:rPr>
              <w:t xml:space="preserve">locally advanced, metastatic </w:t>
            </w:r>
            <w:r w:rsidRPr="00FA0529">
              <w:rPr>
                <w:lang w:val="en-AU"/>
              </w:rPr>
              <w:t>CCA</w:t>
            </w:r>
            <w:r w:rsidR="008F7C8C" w:rsidRPr="00FA0529">
              <w:rPr>
                <w:lang w:val="en-AU"/>
              </w:rPr>
              <w:t xml:space="preserve"> (80%)</w:t>
            </w:r>
            <w:r w:rsidRPr="00FA0529">
              <w:rPr>
                <w:lang w:val="en-AU"/>
              </w:rPr>
              <w:t xml:space="preserve"> </w:t>
            </w:r>
          </w:p>
        </w:tc>
        <w:tc>
          <w:tcPr>
            <w:tcW w:w="784" w:type="pct"/>
          </w:tcPr>
          <w:p w14:paraId="4BF1082B" w14:textId="460117B1" w:rsidR="00A20DCB" w:rsidRPr="00221DDA" w:rsidRDefault="00DE7EE1" w:rsidP="006C3B62">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E40CE9">
              <w:rPr>
                <w:rFonts w:cs="Arial"/>
                <w:spacing w:val="55"/>
                <w:szCs w:val="20"/>
                <w:shd w:val="solid" w:color="000000" w:fill="000000"/>
                <w:fitText w:val="336" w:id="-628460030"/>
                <w14:textFill>
                  <w14:solidFill>
                    <w14:schemeClr w14:val="tx1">
                      <w14:alpha w14:val="100000"/>
                    </w14:schemeClr>
                  </w14:solidFill>
                </w14:textFill>
              </w:rPr>
              <w:t>|||</w:t>
            </w:r>
            <w:r w:rsidRPr="00E40CE9">
              <w:rPr>
                <w:rFonts w:cs="Arial"/>
                <w:spacing w:val="1"/>
                <w:szCs w:val="20"/>
                <w:shd w:val="solid" w:color="000000" w:fill="000000"/>
                <w:fitText w:val="336" w:id="-628460030"/>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78D339D3" w14:textId="419DCD93"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9"/>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9"/>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5A5E5C8C" w14:textId="7C4A5A0C"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8"/>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8"/>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71113B4D" w14:textId="3410CF68"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7"/>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7"/>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3D1CEE03" w14:textId="44B8A9BE"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6"/>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6"/>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1" w:type="pct"/>
          </w:tcPr>
          <w:p w14:paraId="19E3B871" w14:textId="7F770D33"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5"/>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5"/>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r>
      <w:tr w:rsidR="00A20DCB" w:rsidRPr="00FA0529" w14:paraId="3AB3C57C"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3A606E92" w14:textId="55F830B4" w:rsidR="00A20DCB" w:rsidRPr="00FA0529" w:rsidRDefault="00A20DCB" w:rsidP="006C3B62">
            <w:pPr>
              <w:pStyle w:val="TableText"/>
              <w:keepLines/>
              <w:rPr>
                <w:lang w:val="en-AU"/>
              </w:rPr>
            </w:pPr>
            <w:r w:rsidRPr="00FA0529">
              <w:rPr>
                <w:lang w:val="en-AU"/>
              </w:rPr>
              <w:t>1st line treatment (durvalumab) for CCA</w:t>
            </w:r>
            <w:r w:rsidR="008F7C8C" w:rsidRPr="00FA0529">
              <w:rPr>
                <w:lang w:val="en-AU"/>
              </w:rPr>
              <w:t xml:space="preserve"> (70%)</w:t>
            </w:r>
          </w:p>
        </w:tc>
        <w:tc>
          <w:tcPr>
            <w:tcW w:w="784" w:type="pct"/>
          </w:tcPr>
          <w:p w14:paraId="207EAF9B" w14:textId="544EDD8A" w:rsidR="00A20DCB" w:rsidRPr="00221DDA" w:rsidRDefault="00DE7EE1" w:rsidP="006C3B62">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E40CE9">
              <w:rPr>
                <w:rFonts w:cs="Arial"/>
                <w:spacing w:val="55"/>
                <w:szCs w:val="20"/>
                <w:shd w:val="solid" w:color="000000" w:fill="000000"/>
                <w:fitText w:val="336" w:id="-628460024"/>
                <w14:textFill>
                  <w14:solidFill>
                    <w14:schemeClr w14:val="tx1">
                      <w14:alpha w14:val="100000"/>
                    </w14:schemeClr>
                  </w14:solidFill>
                </w14:textFill>
              </w:rPr>
              <w:t>|||</w:t>
            </w:r>
            <w:r w:rsidRPr="00E40CE9">
              <w:rPr>
                <w:rFonts w:cs="Arial"/>
                <w:spacing w:val="1"/>
                <w:szCs w:val="20"/>
                <w:shd w:val="solid" w:color="000000" w:fill="000000"/>
                <w:fitText w:val="336" w:id="-628460024"/>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37239B9C" w14:textId="50E6B120"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3"/>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3"/>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6C158264" w14:textId="1F2BABB0"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2"/>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2"/>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1038248D" w14:textId="544F7597"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1"/>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1"/>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54DEF031" w14:textId="6C876B09"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0"/>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0"/>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1" w:type="pct"/>
          </w:tcPr>
          <w:p w14:paraId="07B15FC5" w14:textId="6CCA61C6"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19"/>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19"/>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r>
      <w:tr w:rsidR="00A20DCB" w:rsidRPr="00FA0529" w14:paraId="5C0778C8"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22CF09E0" w14:textId="044FD239" w:rsidR="00A20DCB" w:rsidRPr="00FA0529" w:rsidRDefault="00A20DCB" w:rsidP="006C3B62">
            <w:pPr>
              <w:pStyle w:val="TableText"/>
              <w:keepLines/>
              <w:rPr>
                <w:lang w:val="en-AU"/>
              </w:rPr>
            </w:pPr>
            <w:r w:rsidRPr="00FA0529">
              <w:rPr>
                <w:lang w:val="en-AU"/>
              </w:rPr>
              <w:t>Progress to 2L ECOG PS 0 or 1</w:t>
            </w:r>
            <w:r w:rsidR="008F7C8C" w:rsidRPr="00FA0529">
              <w:rPr>
                <w:lang w:val="en-AU"/>
              </w:rPr>
              <w:t xml:space="preserve"> (50%)</w:t>
            </w:r>
          </w:p>
        </w:tc>
        <w:tc>
          <w:tcPr>
            <w:tcW w:w="784" w:type="pct"/>
          </w:tcPr>
          <w:p w14:paraId="7BBAAA4B" w14:textId="7A75BCEF" w:rsidR="00A20DCB" w:rsidRPr="00221DDA" w:rsidRDefault="00DE7EE1" w:rsidP="006C3B62">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szCs w:val="20"/>
                <w:highlight w:val="darkGray"/>
                <w:vertAlign w:val="superscript"/>
                <w:lang w:val="en-AU"/>
              </w:rPr>
            </w:pPr>
            <w:r w:rsidRPr="00DE7EE1">
              <w:rPr>
                <w:rFonts w:cs="Arial"/>
                <w:spacing w:val="55"/>
                <w:szCs w:val="20"/>
                <w:shd w:val="solid" w:color="000000" w:fill="000000"/>
                <w:fitText w:val="336" w:id="-628460018"/>
                <w14:textFill>
                  <w14:solidFill>
                    <w14:schemeClr w14:val="tx1">
                      <w14:alpha w14:val="100000"/>
                    </w14:schemeClr>
                  </w14:solidFill>
                </w14:textFill>
              </w:rPr>
              <w:t>|||</w:t>
            </w:r>
            <w:r w:rsidRPr="00DE7EE1">
              <w:rPr>
                <w:rFonts w:cs="Arial"/>
                <w:spacing w:val="1"/>
                <w:szCs w:val="20"/>
                <w:shd w:val="solid" w:color="000000" w:fill="000000"/>
                <w:fitText w:val="336" w:id="-628460018"/>
                <w14:textFill>
                  <w14:solidFill>
                    <w14:schemeClr w14:val="tx1">
                      <w14:alpha w14:val="100000"/>
                    </w14:schemeClr>
                  </w14:solidFill>
                </w14:textFill>
              </w:rPr>
              <w:t>|</w:t>
            </w:r>
            <w:r w:rsidR="00CC6295" w:rsidRPr="00221DDA">
              <w:rPr>
                <w:rFonts w:cs="Arial"/>
                <w:szCs w:val="20"/>
                <w:vertAlign w:val="superscript"/>
              </w:rPr>
              <w:t>2</w:t>
            </w:r>
          </w:p>
        </w:tc>
        <w:tc>
          <w:tcPr>
            <w:tcW w:w="580" w:type="pct"/>
          </w:tcPr>
          <w:p w14:paraId="4323E9DF" w14:textId="059D64C9"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17"/>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17"/>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0" w:type="pct"/>
          </w:tcPr>
          <w:p w14:paraId="53CFD5C5" w14:textId="7F704FA6"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16"/>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16"/>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0" w:type="pct"/>
          </w:tcPr>
          <w:p w14:paraId="6748C486" w14:textId="31CCC30D"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32"/>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32"/>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0" w:type="pct"/>
          </w:tcPr>
          <w:p w14:paraId="6DA84056" w14:textId="06553946"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31"/>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31"/>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1" w:type="pct"/>
          </w:tcPr>
          <w:p w14:paraId="6AB92684" w14:textId="485AD5F1"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30"/>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30"/>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r>
      <w:tr w:rsidR="00A20DCB" w:rsidRPr="00FA0529" w14:paraId="744561DA"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75A6A677" w14:textId="793472EB" w:rsidR="00A20DCB" w:rsidRPr="00FA0529" w:rsidRDefault="008F7C8C" w:rsidP="006C3B62">
            <w:pPr>
              <w:pStyle w:val="TableText"/>
              <w:keepLines/>
              <w:rPr>
                <w:lang w:val="en-AU"/>
              </w:rPr>
            </w:pPr>
            <w:r w:rsidRPr="00FA0529">
              <w:rPr>
                <w:color w:val="auto"/>
                <w:lang w:val="en-AU"/>
              </w:rPr>
              <w:t xml:space="preserve">FGFR alterations </w:t>
            </w:r>
            <w:r w:rsidR="00C724CF" w:rsidRPr="00FA0529">
              <w:rPr>
                <w:color w:val="auto"/>
                <w:lang w:val="en-AU"/>
              </w:rPr>
              <w:t>(</w:t>
            </w:r>
            <w:r w:rsidR="00A20DCB" w:rsidRPr="00FA0529">
              <w:rPr>
                <w:color w:val="auto"/>
                <w:lang w:val="en-AU"/>
              </w:rPr>
              <w:t>13.9%</w:t>
            </w:r>
            <w:r w:rsidR="00C724CF" w:rsidRPr="00FA0529">
              <w:rPr>
                <w:color w:val="auto"/>
                <w:lang w:val="en-AU"/>
              </w:rPr>
              <w:t>)</w:t>
            </w:r>
            <w:r w:rsidR="00042DB0" w:rsidRPr="00FA0529">
              <w:rPr>
                <w:color w:val="auto"/>
                <w:lang w:val="en-AU"/>
              </w:rPr>
              <w:t>; initiating patients</w:t>
            </w:r>
          </w:p>
        </w:tc>
        <w:tc>
          <w:tcPr>
            <w:tcW w:w="784" w:type="pct"/>
          </w:tcPr>
          <w:p w14:paraId="154D1C18" w14:textId="2831D07C" w:rsidR="00A20DCB" w:rsidRPr="00221DDA" w:rsidRDefault="00DE7EE1" w:rsidP="006C3B62">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highlight w:val="darkGray"/>
                <w:lang w:val="en-AU"/>
              </w:rPr>
            </w:pPr>
            <w:r w:rsidRPr="00DE7EE1">
              <w:rPr>
                <w:rFonts w:cs="Arial"/>
                <w:color w:val="000000"/>
                <w:spacing w:val="55"/>
                <w:szCs w:val="20"/>
                <w:shd w:val="solid" w:color="000000" w:fill="000000"/>
                <w:fitText w:val="336" w:id="-628460029"/>
                <w14:textFill>
                  <w14:solidFill>
                    <w14:srgbClr w14:val="000000">
                      <w14:alpha w14:val="100000"/>
                    </w14:srgbClr>
                  </w14:solidFill>
                </w14:textFill>
              </w:rPr>
              <w:t>|||</w:t>
            </w:r>
            <w:r w:rsidRPr="00DE7EE1">
              <w:rPr>
                <w:rFonts w:cs="Arial"/>
                <w:color w:val="000000"/>
                <w:spacing w:val="1"/>
                <w:szCs w:val="20"/>
                <w:shd w:val="solid" w:color="000000" w:fill="000000"/>
                <w:fitText w:val="336" w:id="-628460029"/>
                <w14:textFill>
                  <w14:solidFill>
                    <w14:srgbClr w14:val="000000">
                      <w14:alpha w14:val="100000"/>
                    </w14:srgbClr>
                  </w14:solidFill>
                </w14:textFill>
              </w:rPr>
              <w:t>|</w:t>
            </w:r>
            <w:r w:rsidR="00CC6295" w:rsidRPr="004F3B66">
              <w:rPr>
                <w:rFonts w:cs="Arial"/>
                <w:color w:val="auto"/>
                <w:szCs w:val="20"/>
                <w:vertAlign w:val="superscript"/>
                <w:lang w:val="en-AU"/>
              </w:rPr>
              <w:t>2</w:t>
            </w:r>
          </w:p>
        </w:tc>
        <w:tc>
          <w:tcPr>
            <w:tcW w:w="580" w:type="pct"/>
          </w:tcPr>
          <w:p w14:paraId="4A3B77BF" w14:textId="5A0FFE09"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color w:val="000000"/>
                <w:szCs w:val="20"/>
                <w:highlight w:val="darkGray"/>
                <w:lang w:val="en-AU" w:eastAsia="en-US"/>
              </w:rPr>
            </w:pPr>
            <w:r w:rsidRPr="00DE7EE1">
              <w:rPr>
                <w:rFonts w:eastAsiaTheme="minorHAnsi" w:cs="Arial"/>
                <w:bCs w:val="0"/>
                <w:color w:val="000000"/>
                <w:spacing w:val="55"/>
                <w:szCs w:val="20"/>
                <w:shd w:val="solid" w:color="000000" w:fill="000000"/>
                <w:fitText w:val="336" w:id="-628460028"/>
                <w:lang w:eastAsia="en-US"/>
                <w14:textFill>
                  <w14:solidFill>
                    <w14:srgbClr w14:val="000000">
                      <w14:alpha w14:val="100000"/>
                    </w14:srgbClr>
                  </w14:solidFill>
                </w14:textFill>
              </w:rPr>
              <w:t>|||</w:t>
            </w:r>
            <w:r w:rsidRPr="00DE7EE1">
              <w:rPr>
                <w:rFonts w:eastAsiaTheme="minorHAnsi" w:cs="Arial"/>
                <w:bCs w:val="0"/>
                <w:color w:val="000000"/>
                <w:spacing w:val="1"/>
                <w:szCs w:val="20"/>
                <w:shd w:val="solid" w:color="000000" w:fill="000000"/>
                <w:fitText w:val="336" w:id="-628460028"/>
                <w:lang w:eastAsia="en-US"/>
                <w14:textFill>
                  <w14:solidFill>
                    <w14:srgbClr w14:val="000000">
                      <w14:alpha w14:val="100000"/>
                    </w14:srgbClr>
                  </w14:solidFill>
                </w14:textFill>
              </w:rPr>
              <w:t>|</w:t>
            </w:r>
            <w:r w:rsidR="00CC6295" w:rsidRPr="004F3B66">
              <w:rPr>
                <w:rFonts w:cs="Arial"/>
                <w:color w:val="auto"/>
                <w:szCs w:val="20"/>
                <w:vertAlign w:val="superscript"/>
                <w:lang w:val="en-AU"/>
              </w:rPr>
              <w:t>2</w:t>
            </w:r>
          </w:p>
        </w:tc>
        <w:tc>
          <w:tcPr>
            <w:tcW w:w="580" w:type="pct"/>
          </w:tcPr>
          <w:p w14:paraId="666DA89C" w14:textId="33075D3D"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27"/>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27"/>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0" w:type="pct"/>
          </w:tcPr>
          <w:p w14:paraId="17EA5ACA" w14:textId="5C46D889"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26"/>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26"/>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0" w:type="pct"/>
          </w:tcPr>
          <w:p w14:paraId="14A9C35D" w14:textId="4C193CDE"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25"/>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25"/>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1" w:type="pct"/>
          </w:tcPr>
          <w:p w14:paraId="4FB8814E" w14:textId="3CA44E26"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24"/>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24"/>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r>
      <w:tr w:rsidR="00FB15E8" w:rsidRPr="00FA0529" w14:paraId="26105078"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305E06E7" w14:textId="7D7C312E" w:rsidR="00FB15E8" w:rsidRPr="00FA0529" w:rsidRDefault="00FB15E8" w:rsidP="006C3B62">
            <w:pPr>
              <w:pStyle w:val="TableText"/>
              <w:keepLines/>
              <w:rPr>
                <w:lang w:val="en-AU"/>
              </w:rPr>
            </w:pPr>
            <w:r w:rsidRPr="00FA0529">
              <w:rPr>
                <w:lang w:val="en-AU"/>
              </w:rPr>
              <w:t>Grandfathered patients</w:t>
            </w:r>
          </w:p>
        </w:tc>
        <w:tc>
          <w:tcPr>
            <w:tcW w:w="784" w:type="pct"/>
          </w:tcPr>
          <w:p w14:paraId="223BA203" w14:textId="72B75B9A" w:rsidR="00FB15E8" w:rsidRPr="00FA0529" w:rsidRDefault="00DE7EE1" w:rsidP="00D17F95">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lang w:val="en-AU"/>
              </w:rPr>
            </w:pPr>
            <w:r w:rsidRPr="00DE7EE1">
              <w:rPr>
                <w:rFonts w:cs="Arial"/>
                <w:color w:val="000000"/>
                <w:spacing w:val="55"/>
                <w:szCs w:val="20"/>
                <w:shd w:val="solid" w:color="000000" w:fill="000000"/>
                <w:fitText w:val="336" w:id="-628460023"/>
                <w14:textFill>
                  <w14:solidFill>
                    <w14:srgbClr w14:val="000000">
                      <w14:alpha w14:val="100000"/>
                    </w14:srgbClr>
                  </w14:solidFill>
                </w14:textFill>
              </w:rPr>
              <w:t>|||</w:t>
            </w:r>
            <w:r w:rsidRPr="00DE7EE1">
              <w:rPr>
                <w:rFonts w:cs="Arial"/>
                <w:color w:val="000000"/>
                <w:spacing w:val="1"/>
                <w:szCs w:val="20"/>
                <w:shd w:val="solid" w:color="000000" w:fill="000000"/>
                <w:fitText w:val="336" w:id="-628460023"/>
                <w14:textFill>
                  <w14:solidFill>
                    <w14:srgbClr w14:val="000000">
                      <w14:alpha w14:val="100000"/>
                    </w14:srgbClr>
                  </w14:solidFill>
                </w14:textFill>
              </w:rPr>
              <w:t>|</w:t>
            </w:r>
            <w:r w:rsidR="00CC6295" w:rsidRPr="004F3B66">
              <w:rPr>
                <w:rFonts w:cs="Arial"/>
                <w:color w:val="auto"/>
                <w:szCs w:val="20"/>
                <w:vertAlign w:val="superscript"/>
                <w:lang w:val="en-AU"/>
              </w:rPr>
              <w:t>2</w:t>
            </w:r>
          </w:p>
        </w:tc>
        <w:tc>
          <w:tcPr>
            <w:tcW w:w="580" w:type="pct"/>
          </w:tcPr>
          <w:p w14:paraId="64C31B9D" w14:textId="60435A38" w:rsidR="00FB15E8" w:rsidRPr="00FA0529" w:rsidRDefault="00FB15E8" w:rsidP="00D17F95">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color w:val="000000"/>
                <w:szCs w:val="20"/>
                <w:lang w:val="en-AU" w:eastAsia="en-US"/>
              </w:rPr>
            </w:pPr>
            <w:r w:rsidRPr="00FA0529">
              <w:rPr>
                <w:rFonts w:eastAsiaTheme="minorHAnsi" w:cs="Arial"/>
                <w:bCs w:val="0"/>
                <w:color w:val="000000"/>
                <w:szCs w:val="20"/>
                <w:lang w:val="en-AU" w:eastAsia="en-US"/>
              </w:rPr>
              <w:t>-</w:t>
            </w:r>
          </w:p>
        </w:tc>
        <w:tc>
          <w:tcPr>
            <w:tcW w:w="580" w:type="pct"/>
          </w:tcPr>
          <w:p w14:paraId="2C073DAA" w14:textId="588524D6" w:rsidR="00FB15E8" w:rsidRPr="00FA0529" w:rsidRDefault="00FB15E8" w:rsidP="006C3B62">
            <w:pPr>
              <w:pStyle w:val="TableText"/>
              <w:keepLines/>
              <w:tabs>
                <w:tab w:val="decimal" w:pos="0"/>
              </w:tabs>
              <w:cnfStyle w:val="000000000000" w:firstRow="0" w:lastRow="0" w:firstColumn="0" w:lastColumn="0" w:oddVBand="0" w:evenVBand="0" w:oddHBand="0" w:evenHBand="0" w:firstRowFirstColumn="0" w:firstRowLastColumn="0" w:lastRowFirstColumn="0" w:lastRowLastColumn="0"/>
              <w:rPr>
                <w:rFonts w:eastAsiaTheme="minorHAnsi" w:cs="Arial"/>
                <w:bCs w:val="0"/>
                <w:szCs w:val="20"/>
                <w:lang w:val="en-AU" w:eastAsia="en-US"/>
              </w:rPr>
            </w:pPr>
            <w:r w:rsidRPr="00FA0529">
              <w:rPr>
                <w:rFonts w:eastAsiaTheme="minorHAnsi" w:cs="Arial"/>
                <w:bCs w:val="0"/>
                <w:szCs w:val="20"/>
                <w:lang w:val="en-AU" w:eastAsia="en-US"/>
              </w:rPr>
              <w:t>-</w:t>
            </w:r>
          </w:p>
        </w:tc>
        <w:tc>
          <w:tcPr>
            <w:tcW w:w="580" w:type="pct"/>
          </w:tcPr>
          <w:p w14:paraId="2CD55E41" w14:textId="03F41162" w:rsidR="00FB15E8" w:rsidRPr="00FA0529" w:rsidRDefault="00FB15E8" w:rsidP="006C3B62">
            <w:pPr>
              <w:pStyle w:val="TableText"/>
              <w:keepLines/>
              <w:tabs>
                <w:tab w:val="decimal" w:pos="0"/>
              </w:tabs>
              <w:cnfStyle w:val="000000000000" w:firstRow="0" w:lastRow="0" w:firstColumn="0" w:lastColumn="0" w:oddVBand="0" w:evenVBand="0" w:oddHBand="0" w:evenHBand="0" w:firstRowFirstColumn="0" w:firstRowLastColumn="0" w:lastRowFirstColumn="0" w:lastRowLastColumn="0"/>
              <w:rPr>
                <w:rFonts w:eastAsiaTheme="minorHAnsi" w:cs="Arial"/>
                <w:bCs w:val="0"/>
                <w:szCs w:val="20"/>
                <w:lang w:val="en-AU" w:eastAsia="en-US"/>
              </w:rPr>
            </w:pPr>
            <w:r w:rsidRPr="00FA0529">
              <w:rPr>
                <w:rFonts w:eastAsiaTheme="minorHAnsi" w:cs="Arial"/>
                <w:bCs w:val="0"/>
                <w:szCs w:val="20"/>
                <w:lang w:val="en-AU" w:eastAsia="en-US"/>
              </w:rPr>
              <w:t>-</w:t>
            </w:r>
          </w:p>
        </w:tc>
        <w:tc>
          <w:tcPr>
            <w:tcW w:w="580" w:type="pct"/>
          </w:tcPr>
          <w:p w14:paraId="108D9FA2" w14:textId="148DECFB" w:rsidR="00FB15E8" w:rsidRPr="00FA0529" w:rsidRDefault="00FB15E8" w:rsidP="006C3B62">
            <w:pPr>
              <w:pStyle w:val="TableText"/>
              <w:keepLines/>
              <w:tabs>
                <w:tab w:val="decimal" w:pos="0"/>
              </w:tabs>
              <w:cnfStyle w:val="000000000000" w:firstRow="0" w:lastRow="0" w:firstColumn="0" w:lastColumn="0" w:oddVBand="0" w:evenVBand="0" w:oddHBand="0" w:evenHBand="0" w:firstRowFirstColumn="0" w:firstRowLastColumn="0" w:lastRowFirstColumn="0" w:lastRowLastColumn="0"/>
              <w:rPr>
                <w:rFonts w:eastAsiaTheme="minorHAnsi" w:cs="Arial"/>
                <w:bCs w:val="0"/>
                <w:szCs w:val="20"/>
                <w:lang w:val="en-AU" w:eastAsia="en-US"/>
              </w:rPr>
            </w:pPr>
            <w:r w:rsidRPr="00FA0529">
              <w:rPr>
                <w:rFonts w:eastAsiaTheme="minorHAnsi" w:cs="Arial"/>
                <w:bCs w:val="0"/>
                <w:szCs w:val="20"/>
                <w:lang w:val="en-AU" w:eastAsia="en-US"/>
              </w:rPr>
              <w:t>-</w:t>
            </w:r>
          </w:p>
        </w:tc>
        <w:tc>
          <w:tcPr>
            <w:tcW w:w="581" w:type="pct"/>
          </w:tcPr>
          <w:p w14:paraId="2431D049" w14:textId="0E5D32DE" w:rsidR="00FB15E8" w:rsidRPr="00FA0529" w:rsidRDefault="00FB15E8" w:rsidP="006C3B62">
            <w:pPr>
              <w:pStyle w:val="TableText"/>
              <w:keepLines/>
              <w:tabs>
                <w:tab w:val="decimal" w:pos="0"/>
              </w:tabs>
              <w:cnfStyle w:val="000000000000" w:firstRow="0" w:lastRow="0" w:firstColumn="0" w:lastColumn="0" w:oddVBand="0" w:evenVBand="0" w:oddHBand="0" w:evenHBand="0" w:firstRowFirstColumn="0" w:firstRowLastColumn="0" w:lastRowFirstColumn="0" w:lastRowLastColumn="0"/>
              <w:rPr>
                <w:rFonts w:eastAsiaTheme="minorHAnsi" w:cs="Arial"/>
                <w:bCs w:val="0"/>
                <w:szCs w:val="20"/>
                <w:lang w:val="en-AU" w:eastAsia="en-US"/>
              </w:rPr>
            </w:pPr>
            <w:r w:rsidRPr="00FA0529">
              <w:rPr>
                <w:rFonts w:eastAsiaTheme="minorHAnsi" w:cs="Arial"/>
                <w:bCs w:val="0"/>
                <w:szCs w:val="20"/>
                <w:lang w:val="en-AU" w:eastAsia="en-US"/>
              </w:rPr>
              <w:t>-</w:t>
            </w:r>
          </w:p>
        </w:tc>
      </w:tr>
      <w:tr w:rsidR="00FB15E8" w:rsidRPr="00FA0529" w14:paraId="12083016" w14:textId="77777777" w:rsidTr="00B26207">
        <w:tc>
          <w:tcPr>
            <w:cnfStyle w:val="001000000000" w:firstRow="0" w:lastRow="0" w:firstColumn="1" w:lastColumn="0" w:oddVBand="0" w:evenVBand="0" w:oddHBand="0" w:evenHBand="0" w:firstRowFirstColumn="0" w:firstRowLastColumn="0" w:lastRowFirstColumn="0" w:lastRowLastColumn="0"/>
            <w:tcW w:w="5000" w:type="pct"/>
            <w:gridSpan w:val="7"/>
          </w:tcPr>
          <w:p w14:paraId="01A42ABC" w14:textId="77777777" w:rsidR="00FB15E8" w:rsidRPr="00FA0529" w:rsidRDefault="00FB15E8" w:rsidP="00FB15E8">
            <w:pPr>
              <w:pStyle w:val="TableText"/>
              <w:keepLines/>
              <w:rPr>
                <w:b/>
                <w:bCs w:val="0"/>
                <w:lang w:val="en-AU"/>
              </w:rPr>
            </w:pPr>
            <w:r w:rsidRPr="00FA0529">
              <w:rPr>
                <w:b/>
                <w:bCs w:val="0"/>
                <w:lang w:val="en-AU"/>
              </w:rPr>
              <w:t>Estimated financial implications of futibatinib to the PBS/RPBS</w:t>
            </w:r>
          </w:p>
        </w:tc>
      </w:tr>
      <w:tr w:rsidR="00C82931" w:rsidRPr="00FA0529" w14:paraId="5100D99A"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657D297D" w14:textId="53BF63E3" w:rsidR="00C82931" w:rsidRPr="00FA0529" w:rsidRDefault="00C82931" w:rsidP="00C82931">
            <w:pPr>
              <w:pStyle w:val="TableText"/>
              <w:keepLines/>
              <w:rPr>
                <w:lang w:val="en-AU"/>
              </w:rPr>
            </w:pPr>
            <w:r w:rsidRPr="00FA0529">
              <w:rPr>
                <w:lang w:val="en-AU"/>
              </w:rPr>
              <w:t>Scripts</w:t>
            </w:r>
          </w:p>
        </w:tc>
        <w:tc>
          <w:tcPr>
            <w:tcW w:w="784" w:type="pct"/>
            <w:tcBorders>
              <w:top w:val="single" w:sz="4" w:space="0" w:color="auto"/>
              <w:left w:val="single" w:sz="4" w:space="0" w:color="auto"/>
              <w:bottom w:val="single" w:sz="4" w:space="0" w:color="auto"/>
              <w:right w:val="single" w:sz="4" w:space="0" w:color="auto"/>
            </w:tcBorders>
          </w:tcPr>
          <w:p w14:paraId="0DAD7ADA" w14:textId="3B1E8B29" w:rsidR="00C82931" w:rsidRPr="00221DDA" w:rsidRDefault="00DE7EE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DE7EE1">
              <w:rPr>
                <w:rFonts w:cs="Arial"/>
                <w:color w:val="000000"/>
                <w:spacing w:val="51"/>
                <w:szCs w:val="20"/>
                <w:shd w:val="solid" w:color="000000" w:fill="000000"/>
                <w:fitText w:val="324" w:id="-628460022"/>
                <w14:textFill>
                  <w14:solidFill>
                    <w14:srgbClr w14:val="000000">
                      <w14:alpha w14:val="100000"/>
                    </w14:srgbClr>
                  </w14:solidFill>
                </w14:textFill>
              </w:rPr>
              <w:t>|||</w:t>
            </w:r>
            <w:r w:rsidRPr="00DE7EE1">
              <w:rPr>
                <w:rFonts w:cs="Arial"/>
                <w:color w:val="000000"/>
                <w:spacing w:val="1"/>
                <w:szCs w:val="20"/>
                <w:shd w:val="solid" w:color="000000" w:fill="000000"/>
                <w:fitText w:val="324" w:id="-628460022"/>
                <w14:textFill>
                  <w14:solidFill>
                    <w14:srgbClr w14:val="000000">
                      <w14:alpha w14:val="100000"/>
                    </w14:srgbClr>
                  </w14:solidFill>
                </w14:textFill>
              </w:rPr>
              <w:t>|</w:t>
            </w:r>
            <w:r w:rsidR="00CC6295" w:rsidRPr="004F3B66">
              <w:rPr>
                <w:rFonts w:cs="Arial"/>
                <w:color w:val="auto"/>
                <w:szCs w:val="20"/>
                <w:vertAlign w:val="superscript"/>
                <w:lang w:val="en-AU"/>
              </w:rPr>
              <w:t>1</w:t>
            </w:r>
            <w:r w:rsidRPr="00DE7EE1">
              <w:rPr>
                <w:rFonts w:cs="Arial"/>
                <w:color w:val="000000"/>
                <w:spacing w:val="51"/>
                <w:szCs w:val="20"/>
                <w:shd w:val="solid" w:color="000000" w:fill="000000"/>
                <w:fitText w:val="324" w:id="-628460021"/>
                <w14:textFill>
                  <w14:solidFill>
                    <w14:srgbClr w14:val="000000">
                      <w14:alpha w14:val="100000"/>
                    </w14:srgbClr>
                  </w14:solidFill>
                </w14:textFill>
              </w:rPr>
              <w:t>|||</w:t>
            </w:r>
            <w:r w:rsidRPr="00DE7EE1">
              <w:rPr>
                <w:rFonts w:cs="Arial"/>
                <w:color w:val="000000"/>
                <w:spacing w:val="1"/>
                <w:szCs w:val="20"/>
                <w:shd w:val="solid" w:color="000000" w:fill="000000"/>
                <w:fitText w:val="324" w:id="-628460021"/>
                <w14:textFill>
                  <w14:solidFill>
                    <w14:srgbClr w14:val="000000">
                      <w14:alpha w14:val="100000"/>
                    </w14:srgbClr>
                  </w14:solidFill>
                </w14:textFill>
              </w:rPr>
              <w:t>|</w:t>
            </w:r>
          </w:p>
        </w:tc>
        <w:tc>
          <w:tcPr>
            <w:tcW w:w="580" w:type="pct"/>
            <w:tcBorders>
              <w:top w:val="single" w:sz="4" w:space="0" w:color="auto"/>
              <w:left w:val="nil"/>
              <w:bottom w:val="single" w:sz="4" w:space="0" w:color="auto"/>
              <w:right w:val="single" w:sz="4" w:space="0" w:color="auto"/>
            </w:tcBorders>
          </w:tcPr>
          <w:p w14:paraId="534EB9E3" w14:textId="4B32C8B1" w:rsidR="00C82931" w:rsidRPr="00221DDA" w:rsidRDefault="00DE7EE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DE7EE1">
              <w:rPr>
                <w:rFonts w:cs="Arial"/>
                <w:color w:val="000000"/>
                <w:spacing w:val="51"/>
                <w:szCs w:val="20"/>
                <w:shd w:val="solid" w:color="000000" w:fill="000000"/>
                <w:fitText w:val="324" w:id="-628460020"/>
                <w14:textFill>
                  <w14:solidFill>
                    <w14:srgbClr w14:val="000000">
                      <w14:alpha w14:val="100000"/>
                    </w14:srgbClr>
                  </w14:solidFill>
                </w14:textFill>
              </w:rPr>
              <w:t>|||</w:t>
            </w:r>
            <w:r w:rsidRPr="00DE7EE1">
              <w:rPr>
                <w:rFonts w:cs="Arial"/>
                <w:color w:val="000000"/>
                <w:spacing w:val="1"/>
                <w:szCs w:val="20"/>
                <w:shd w:val="solid" w:color="000000" w:fill="000000"/>
                <w:fitText w:val="324" w:id="-628460020"/>
                <w14:textFill>
                  <w14:solidFill>
                    <w14:srgbClr w14:val="000000">
                      <w14:alpha w14:val="100000"/>
                    </w14:srgbClr>
                  </w14:solidFill>
                </w14:textFill>
              </w:rPr>
              <w:t>|</w:t>
            </w:r>
            <w:r w:rsidR="00CC6295" w:rsidRPr="004F3B66">
              <w:rPr>
                <w:rFonts w:cs="Arial"/>
                <w:color w:val="auto"/>
                <w:szCs w:val="20"/>
                <w:vertAlign w:val="superscript"/>
                <w:lang w:val="en-AU"/>
              </w:rPr>
              <w:t>1</w:t>
            </w:r>
            <w:r w:rsidRPr="00DE7EE1">
              <w:rPr>
                <w:rFonts w:cs="Arial"/>
                <w:color w:val="000000"/>
                <w:spacing w:val="51"/>
                <w:szCs w:val="20"/>
                <w:shd w:val="solid" w:color="000000" w:fill="000000"/>
                <w:fitText w:val="324" w:id="-628460019"/>
                <w14:textFill>
                  <w14:solidFill>
                    <w14:srgbClr w14:val="000000">
                      <w14:alpha w14:val="100000"/>
                    </w14:srgbClr>
                  </w14:solidFill>
                </w14:textFill>
              </w:rPr>
              <w:t>|||</w:t>
            </w:r>
            <w:r w:rsidRPr="00DE7EE1">
              <w:rPr>
                <w:rFonts w:cs="Arial"/>
                <w:color w:val="000000"/>
                <w:spacing w:val="1"/>
                <w:szCs w:val="20"/>
                <w:shd w:val="solid" w:color="000000" w:fill="000000"/>
                <w:fitText w:val="324" w:id="-628460019"/>
                <w14:textFill>
                  <w14:solidFill>
                    <w14:srgbClr w14:val="000000">
                      <w14:alpha w14:val="100000"/>
                    </w14:srgbClr>
                  </w14:solidFill>
                </w14:textFill>
              </w:rPr>
              <w:t>|</w:t>
            </w:r>
          </w:p>
        </w:tc>
        <w:tc>
          <w:tcPr>
            <w:tcW w:w="580" w:type="pct"/>
            <w:tcBorders>
              <w:top w:val="single" w:sz="4" w:space="0" w:color="auto"/>
              <w:left w:val="nil"/>
              <w:bottom w:val="single" w:sz="4" w:space="0" w:color="auto"/>
              <w:right w:val="single" w:sz="4" w:space="0" w:color="auto"/>
            </w:tcBorders>
          </w:tcPr>
          <w:p w14:paraId="0E3E1841" w14:textId="77A3E0EA" w:rsidR="00C82931" w:rsidRPr="00221DDA" w:rsidRDefault="00DE7EE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DE7EE1">
              <w:rPr>
                <w:rFonts w:cs="Arial"/>
                <w:color w:val="000000"/>
                <w:spacing w:val="51"/>
                <w:szCs w:val="20"/>
                <w:shd w:val="solid" w:color="000000" w:fill="000000"/>
                <w:fitText w:val="324" w:id="-628460018"/>
                <w14:textFill>
                  <w14:solidFill>
                    <w14:srgbClr w14:val="000000">
                      <w14:alpha w14:val="100000"/>
                    </w14:srgbClr>
                  </w14:solidFill>
                </w14:textFill>
              </w:rPr>
              <w:t>|||</w:t>
            </w:r>
            <w:r w:rsidRPr="00DE7EE1">
              <w:rPr>
                <w:rFonts w:cs="Arial"/>
                <w:color w:val="000000"/>
                <w:spacing w:val="1"/>
                <w:szCs w:val="20"/>
                <w:shd w:val="solid" w:color="000000" w:fill="000000"/>
                <w:fitText w:val="324" w:id="-628460018"/>
                <w14:textFill>
                  <w14:solidFill>
                    <w14:srgbClr w14:val="000000">
                      <w14:alpha w14:val="100000"/>
                    </w14:srgbClr>
                  </w14:solidFill>
                </w14:textFill>
              </w:rPr>
              <w:t>|</w:t>
            </w:r>
            <w:r w:rsidR="00CC6295" w:rsidRPr="004F3B66">
              <w:rPr>
                <w:rFonts w:cs="Arial"/>
                <w:color w:val="auto"/>
                <w:szCs w:val="20"/>
                <w:vertAlign w:val="superscript"/>
                <w:lang w:val="en-AU"/>
              </w:rPr>
              <w:t>1</w:t>
            </w:r>
            <w:r w:rsidRPr="00DE7EE1">
              <w:rPr>
                <w:rFonts w:cs="Arial"/>
                <w:color w:val="000000"/>
                <w:spacing w:val="51"/>
                <w:szCs w:val="20"/>
                <w:shd w:val="solid" w:color="000000" w:fill="000000"/>
                <w:fitText w:val="324" w:id="-628460017"/>
                <w14:textFill>
                  <w14:solidFill>
                    <w14:srgbClr w14:val="000000">
                      <w14:alpha w14:val="100000"/>
                    </w14:srgbClr>
                  </w14:solidFill>
                </w14:textFill>
              </w:rPr>
              <w:t>|||</w:t>
            </w:r>
            <w:r w:rsidRPr="00DE7EE1">
              <w:rPr>
                <w:rFonts w:cs="Arial"/>
                <w:color w:val="000000"/>
                <w:spacing w:val="1"/>
                <w:szCs w:val="20"/>
                <w:shd w:val="solid" w:color="000000" w:fill="000000"/>
                <w:fitText w:val="324" w:id="-628460017"/>
                <w14:textFill>
                  <w14:solidFill>
                    <w14:srgbClr w14:val="000000">
                      <w14:alpha w14:val="100000"/>
                    </w14:srgbClr>
                  </w14:solidFill>
                </w14:textFill>
              </w:rPr>
              <w:t>|</w:t>
            </w:r>
          </w:p>
        </w:tc>
        <w:tc>
          <w:tcPr>
            <w:tcW w:w="580" w:type="pct"/>
            <w:tcBorders>
              <w:top w:val="single" w:sz="4" w:space="0" w:color="auto"/>
              <w:left w:val="nil"/>
              <w:bottom w:val="single" w:sz="4" w:space="0" w:color="auto"/>
              <w:right w:val="single" w:sz="4" w:space="0" w:color="auto"/>
            </w:tcBorders>
          </w:tcPr>
          <w:p w14:paraId="7F352078" w14:textId="729E9ABB" w:rsidR="00C82931" w:rsidRPr="00221DDA" w:rsidRDefault="00DE7EE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DE7EE1">
              <w:rPr>
                <w:rFonts w:cs="Arial"/>
                <w:color w:val="000000"/>
                <w:spacing w:val="51"/>
                <w:szCs w:val="20"/>
                <w:shd w:val="solid" w:color="000000" w:fill="000000"/>
                <w:fitText w:val="324" w:id="-628460016"/>
                <w14:textFill>
                  <w14:solidFill>
                    <w14:srgbClr w14:val="000000">
                      <w14:alpha w14:val="100000"/>
                    </w14:srgbClr>
                  </w14:solidFill>
                </w14:textFill>
              </w:rPr>
              <w:t>|||</w:t>
            </w:r>
            <w:r w:rsidRPr="00DE7EE1">
              <w:rPr>
                <w:rFonts w:cs="Arial"/>
                <w:color w:val="000000"/>
                <w:spacing w:val="1"/>
                <w:szCs w:val="20"/>
                <w:shd w:val="solid" w:color="000000" w:fill="000000"/>
                <w:fitText w:val="324" w:id="-628460016"/>
                <w14:textFill>
                  <w14:solidFill>
                    <w14:srgbClr w14:val="000000">
                      <w14:alpha w14:val="100000"/>
                    </w14:srgbClr>
                  </w14:solidFill>
                </w14:textFill>
              </w:rPr>
              <w:t>|</w:t>
            </w:r>
            <w:r w:rsidR="00CC6295" w:rsidRPr="004F3B66">
              <w:rPr>
                <w:rFonts w:cs="Arial"/>
                <w:color w:val="auto"/>
                <w:szCs w:val="20"/>
                <w:vertAlign w:val="superscript"/>
                <w:lang w:val="en-AU"/>
              </w:rPr>
              <w:t>1</w:t>
            </w:r>
            <w:r w:rsidRPr="00DE7EE1">
              <w:rPr>
                <w:rFonts w:cs="Arial"/>
                <w:color w:val="000000"/>
                <w:spacing w:val="51"/>
                <w:szCs w:val="20"/>
                <w:shd w:val="solid" w:color="000000" w:fill="000000"/>
                <w:fitText w:val="324" w:id="-628460032"/>
                <w14:textFill>
                  <w14:solidFill>
                    <w14:srgbClr w14:val="000000">
                      <w14:alpha w14:val="100000"/>
                    </w14:srgbClr>
                  </w14:solidFill>
                </w14:textFill>
              </w:rPr>
              <w:t>|||</w:t>
            </w:r>
            <w:r w:rsidRPr="00DE7EE1">
              <w:rPr>
                <w:rFonts w:cs="Arial"/>
                <w:color w:val="000000"/>
                <w:spacing w:val="1"/>
                <w:szCs w:val="20"/>
                <w:shd w:val="solid" w:color="000000" w:fill="000000"/>
                <w:fitText w:val="324" w:id="-628460032"/>
                <w14:textFill>
                  <w14:solidFill>
                    <w14:srgbClr w14:val="000000">
                      <w14:alpha w14:val="100000"/>
                    </w14:srgbClr>
                  </w14:solidFill>
                </w14:textFill>
              </w:rPr>
              <w:t>|</w:t>
            </w:r>
          </w:p>
        </w:tc>
        <w:tc>
          <w:tcPr>
            <w:tcW w:w="580" w:type="pct"/>
            <w:tcBorders>
              <w:top w:val="single" w:sz="4" w:space="0" w:color="auto"/>
              <w:left w:val="nil"/>
              <w:bottom w:val="single" w:sz="4" w:space="0" w:color="auto"/>
              <w:right w:val="single" w:sz="4" w:space="0" w:color="auto"/>
            </w:tcBorders>
          </w:tcPr>
          <w:p w14:paraId="342B97E7" w14:textId="207F3223" w:rsidR="00C82931" w:rsidRPr="00221DDA" w:rsidRDefault="00DE7EE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DE7EE1">
              <w:rPr>
                <w:rFonts w:cs="Arial"/>
                <w:color w:val="000000"/>
                <w:spacing w:val="51"/>
                <w:szCs w:val="20"/>
                <w:shd w:val="solid" w:color="000000" w:fill="000000"/>
                <w:fitText w:val="324" w:id="-628460031"/>
                <w14:textFill>
                  <w14:solidFill>
                    <w14:srgbClr w14:val="000000">
                      <w14:alpha w14:val="100000"/>
                    </w14:srgbClr>
                  </w14:solidFill>
                </w14:textFill>
              </w:rPr>
              <w:t>|||</w:t>
            </w:r>
            <w:r w:rsidRPr="00DE7EE1">
              <w:rPr>
                <w:rFonts w:cs="Arial"/>
                <w:color w:val="000000"/>
                <w:spacing w:val="1"/>
                <w:szCs w:val="20"/>
                <w:shd w:val="solid" w:color="000000" w:fill="000000"/>
                <w:fitText w:val="324" w:id="-628460031"/>
                <w14:textFill>
                  <w14:solidFill>
                    <w14:srgbClr w14:val="000000">
                      <w14:alpha w14:val="100000"/>
                    </w14:srgbClr>
                  </w14:solidFill>
                </w14:textFill>
              </w:rPr>
              <w:t>|</w:t>
            </w:r>
            <w:r w:rsidR="00CC6295" w:rsidRPr="004F3B66">
              <w:rPr>
                <w:rFonts w:cs="Arial"/>
                <w:color w:val="auto"/>
                <w:szCs w:val="20"/>
                <w:vertAlign w:val="superscript"/>
                <w:lang w:val="en-AU"/>
              </w:rPr>
              <w:t>1</w:t>
            </w:r>
            <w:r w:rsidRPr="00DE7EE1">
              <w:rPr>
                <w:rFonts w:cs="Arial"/>
                <w:color w:val="000000"/>
                <w:spacing w:val="51"/>
                <w:szCs w:val="20"/>
                <w:shd w:val="solid" w:color="000000" w:fill="000000"/>
                <w:fitText w:val="324" w:id="-628460030"/>
                <w14:textFill>
                  <w14:solidFill>
                    <w14:srgbClr w14:val="000000">
                      <w14:alpha w14:val="100000"/>
                    </w14:srgbClr>
                  </w14:solidFill>
                </w14:textFill>
              </w:rPr>
              <w:t>|||</w:t>
            </w:r>
            <w:r w:rsidRPr="00DE7EE1">
              <w:rPr>
                <w:rFonts w:cs="Arial"/>
                <w:color w:val="000000"/>
                <w:spacing w:val="1"/>
                <w:szCs w:val="20"/>
                <w:shd w:val="solid" w:color="000000" w:fill="000000"/>
                <w:fitText w:val="324" w:id="-628460030"/>
                <w14:textFill>
                  <w14:solidFill>
                    <w14:srgbClr w14:val="000000">
                      <w14:alpha w14:val="100000"/>
                    </w14:srgbClr>
                  </w14:solidFill>
                </w14:textFill>
              </w:rPr>
              <w:t>|</w:t>
            </w:r>
          </w:p>
        </w:tc>
        <w:tc>
          <w:tcPr>
            <w:tcW w:w="581" w:type="pct"/>
            <w:tcBorders>
              <w:top w:val="single" w:sz="4" w:space="0" w:color="auto"/>
              <w:left w:val="nil"/>
              <w:bottom w:val="single" w:sz="4" w:space="0" w:color="auto"/>
              <w:right w:val="single" w:sz="4" w:space="0" w:color="auto"/>
            </w:tcBorders>
          </w:tcPr>
          <w:p w14:paraId="076F3996" w14:textId="176350A2" w:rsidR="00C82931" w:rsidRPr="00221DDA" w:rsidRDefault="00DE7EE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DE7EE1">
              <w:rPr>
                <w:rFonts w:cs="Arial"/>
                <w:color w:val="000000"/>
                <w:spacing w:val="51"/>
                <w:szCs w:val="20"/>
                <w:shd w:val="solid" w:color="000000" w:fill="000000"/>
                <w:fitText w:val="324" w:id="-628460029"/>
                <w14:textFill>
                  <w14:solidFill>
                    <w14:srgbClr w14:val="000000">
                      <w14:alpha w14:val="100000"/>
                    </w14:srgbClr>
                  </w14:solidFill>
                </w14:textFill>
              </w:rPr>
              <w:t>|||</w:t>
            </w:r>
            <w:r w:rsidRPr="00DE7EE1">
              <w:rPr>
                <w:rFonts w:cs="Arial"/>
                <w:color w:val="000000"/>
                <w:spacing w:val="1"/>
                <w:szCs w:val="20"/>
                <w:shd w:val="solid" w:color="000000" w:fill="000000"/>
                <w:fitText w:val="324" w:id="-628460029"/>
                <w14:textFill>
                  <w14:solidFill>
                    <w14:srgbClr w14:val="000000">
                      <w14:alpha w14:val="100000"/>
                    </w14:srgbClr>
                  </w14:solidFill>
                </w14:textFill>
              </w:rPr>
              <w:t>|</w:t>
            </w:r>
            <w:r w:rsidR="00CC6295" w:rsidRPr="004F3B66">
              <w:rPr>
                <w:rFonts w:cs="Arial"/>
                <w:color w:val="auto"/>
                <w:szCs w:val="20"/>
                <w:vertAlign w:val="superscript"/>
                <w:lang w:val="en-AU"/>
              </w:rPr>
              <w:t>1</w:t>
            </w:r>
            <w:r w:rsidRPr="00DE7EE1">
              <w:rPr>
                <w:rFonts w:cs="Arial"/>
                <w:color w:val="000000"/>
                <w:spacing w:val="51"/>
                <w:szCs w:val="20"/>
                <w:shd w:val="solid" w:color="000000" w:fill="000000"/>
                <w:fitText w:val="324" w:id="-628460028"/>
                <w14:textFill>
                  <w14:solidFill>
                    <w14:srgbClr w14:val="000000">
                      <w14:alpha w14:val="100000"/>
                    </w14:srgbClr>
                  </w14:solidFill>
                </w14:textFill>
              </w:rPr>
              <w:t>|||</w:t>
            </w:r>
            <w:r w:rsidRPr="00DE7EE1">
              <w:rPr>
                <w:rFonts w:cs="Arial"/>
                <w:color w:val="000000"/>
                <w:spacing w:val="1"/>
                <w:szCs w:val="20"/>
                <w:shd w:val="solid" w:color="000000" w:fill="000000"/>
                <w:fitText w:val="324" w:id="-628460028"/>
                <w14:textFill>
                  <w14:solidFill>
                    <w14:srgbClr w14:val="000000">
                      <w14:alpha w14:val="100000"/>
                    </w14:srgbClr>
                  </w14:solidFill>
                </w14:textFill>
              </w:rPr>
              <w:t>|</w:t>
            </w:r>
          </w:p>
        </w:tc>
      </w:tr>
      <w:tr w:rsidR="00C82931" w:rsidRPr="00FA0529" w14:paraId="2F8A9B97"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5F2981E6" w14:textId="77777777" w:rsidR="00C82931" w:rsidRPr="00FA0529" w:rsidRDefault="00C82931" w:rsidP="00C82931">
            <w:pPr>
              <w:pStyle w:val="TableText"/>
              <w:keepLines/>
              <w:rPr>
                <w:lang w:val="en-AU"/>
              </w:rPr>
            </w:pPr>
            <w:r w:rsidRPr="00FA0529">
              <w:rPr>
                <w:lang w:val="en-AU"/>
              </w:rPr>
              <w:t>Cost to PBS/RPBS less copayments</w:t>
            </w:r>
          </w:p>
        </w:tc>
        <w:tc>
          <w:tcPr>
            <w:tcW w:w="784" w:type="pct"/>
          </w:tcPr>
          <w:p w14:paraId="56694BF4" w14:textId="0A04EE96" w:rsidR="00C82931" w:rsidRPr="00221DDA"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vertAlign w:val="superscript"/>
                <w:lang w:val="en-AU"/>
              </w:rPr>
            </w:pPr>
            <w:r w:rsidRPr="00FA0529">
              <w:rPr>
                <w:rFonts w:cs="Arial"/>
                <w:color w:val="000000"/>
                <w:szCs w:val="20"/>
                <w:lang w:val="en-AU"/>
              </w:rPr>
              <w:t>$</w:t>
            </w:r>
            <w:r w:rsidR="00DE7EE1" w:rsidRPr="00DE7EE1">
              <w:rPr>
                <w:rFonts w:cs="Arial"/>
                <w:color w:val="000000"/>
                <w:spacing w:val="51"/>
                <w:szCs w:val="20"/>
                <w:shd w:val="solid" w:color="000000" w:fill="000000"/>
                <w:fitText w:val="324" w:id="-628460027"/>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27"/>
                <w14:textFill>
                  <w14:solidFill>
                    <w14:srgbClr w14:val="000000">
                      <w14:alpha w14:val="100000"/>
                    </w14:srgbClr>
                  </w14:solidFill>
                </w14:textFill>
              </w:rPr>
              <w:t>|</w:t>
            </w:r>
            <w:r w:rsidR="00914AA8">
              <w:rPr>
                <w:rFonts w:cs="Arial"/>
                <w:color w:val="000000"/>
                <w:szCs w:val="20"/>
                <w:vertAlign w:val="superscript"/>
                <w:lang w:val="en-AU"/>
              </w:rPr>
              <w:t>3</w:t>
            </w:r>
          </w:p>
        </w:tc>
        <w:tc>
          <w:tcPr>
            <w:tcW w:w="580" w:type="pct"/>
          </w:tcPr>
          <w:p w14:paraId="2093A74F" w14:textId="7F197EA9" w:rsidR="00C82931" w:rsidRPr="00221DDA"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vertAlign w:val="superscript"/>
                <w:lang w:val="en-AU"/>
              </w:rPr>
            </w:pPr>
            <w:r w:rsidRPr="00FA0529">
              <w:rPr>
                <w:rFonts w:cs="Arial"/>
                <w:szCs w:val="20"/>
                <w:lang w:val="en-AU"/>
              </w:rPr>
              <w:t>$</w:t>
            </w:r>
            <w:r w:rsidR="00DE7EE1" w:rsidRPr="00DE7EE1">
              <w:rPr>
                <w:rFonts w:cs="Arial"/>
                <w:spacing w:val="51"/>
                <w:szCs w:val="20"/>
                <w:shd w:val="solid" w:color="000000" w:fill="000000"/>
                <w:fitText w:val="324" w:id="-628460026"/>
                <w14:textFill>
                  <w14:solidFill>
                    <w14:schemeClr w14:val="tx1">
                      <w14:alpha w14:val="100000"/>
                    </w14:schemeClr>
                  </w14:solidFill>
                </w14:textFill>
              </w:rPr>
              <w:t>|||</w:t>
            </w:r>
            <w:r w:rsidR="00DE7EE1" w:rsidRPr="00DE7EE1">
              <w:rPr>
                <w:rFonts w:cs="Arial"/>
                <w:spacing w:val="1"/>
                <w:szCs w:val="20"/>
                <w:shd w:val="solid" w:color="000000" w:fill="000000"/>
                <w:fitText w:val="324" w:id="-628460026"/>
                <w14:textFill>
                  <w14:solidFill>
                    <w14:schemeClr w14:val="tx1">
                      <w14:alpha w14:val="100000"/>
                    </w14:schemeClr>
                  </w14:solidFill>
                </w14:textFill>
              </w:rPr>
              <w:t>|</w:t>
            </w:r>
            <w:r w:rsidR="00366A7B">
              <w:rPr>
                <w:rFonts w:cs="Arial"/>
                <w:szCs w:val="20"/>
                <w:vertAlign w:val="superscript"/>
                <w:lang w:val="en-AU"/>
              </w:rPr>
              <w:t>3</w:t>
            </w:r>
          </w:p>
        </w:tc>
        <w:tc>
          <w:tcPr>
            <w:tcW w:w="580" w:type="pct"/>
          </w:tcPr>
          <w:p w14:paraId="5B86491B" w14:textId="699BF2BC" w:rsidR="00C82931" w:rsidRPr="00221DDA"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vertAlign w:val="superscript"/>
                <w:lang w:val="en-AU"/>
              </w:rPr>
            </w:pPr>
            <w:r w:rsidRPr="00FA0529">
              <w:rPr>
                <w:rFonts w:cs="Arial"/>
                <w:szCs w:val="20"/>
                <w:lang w:val="en-AU"/>
              </w:rPr>
              <w:t>$</w:t>
            </w:r>
            <w:r w:rsidR="00DE7EE1" w:rsidRPr="00DE7EE1">
              <w:rPr>
                <w:rFonts w:cs="Arial"/>
                <w:spacing w:val="51"/>
                <w:szCs w:val="20"/>
                <w:shd w:val="solid" w:color="000000" w:fill="000000"/>
                <w:fitText w:val="324" w:id="-628460025"/>
                <w14:textFill>
                  <w14:solidFill>
                    <w14:schemeClr w14:val="tx1">
                      <w14:alpha w14:val="100000"/>
                    </w14:schemeClr>
                  </w14:solidFill>
                </w14:textFill>
              </w:rPr>
              <w:t>|||</w:t>
            </w:r>
            <w:r w:rsidR="00DE7EE1" w:rsidRPr="00DE7EE1">
              <w:rPr>
                <w:rFonts w:cs="Arial"/>
                <w:spacing w:val="1"/>
                <w:szCs w:val="20"/>
                <w:shd w:val="solid" w:color="000000" w:fill="000000"/>
                <w:fitText w:val="324" w:id="-628460025"/>
                <w14:textFill>
                  <w14:solidFill>
                    <w14:schemeClr w14:val="tx1">
                      <w14:alpha w14:val="100000"/>
                    </w14:schemeClr>
                  </w14:solidFill>
                </w14:textFill>
              </w:rPr>
              <w:t>|</w:t>
            </w:r>
            <w:r w:rsidR="00366A7B">
              <w:rPr>
                <w:rFonts w:cs="Arial"/>
                <w:szCs w:val="20"/>
                <w:vertAlign w:val="superscript"/>
                <w:lang w:val="en-AU"/>
              </w:rPr>
              <w:t>3</w:t>
            </w:r>
          </w:p>
        </w:tc>
        <w:tc>
          <w:tcPr>
            <w:tcW w:w="580" w:type="pct"/>
          </w:tcPr>
          <w:p w14:paraId="49AF6E9E" w14:textId="6B909013" w:rsidR="00C82931" w:rsidRPr="00221DDA"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vertAlign w:val="superscript"/>
                <w:lang w:val="en-AU"/>
              </w:rPr>
            </w:pPr>
            <w:r w:rsidRPr="00FA0529">
              <w:rPr>
                <w:rFonts w:cs="Arial"/>
                <w:szCs w:val="20"/>
                <w:lang w:val="en-AU"/>
              </w:rPr>
              <w:t>$</w:t>
            </w:r>
            <w:r w:rsidR="00DE7EE1" w:rsidRPr="00DE7EE1">
              <w:rPr>
                <w:rFonts w:cs="Arial"/>
                <w:spacing w:val="51"/>
                <w:szCs w:val="20"/>
                <w:shd w:val="solid" w:color="000000" w:fill="000000"/>
                <w:fitText w:val="324" w:id="-628460024"/>
                <w14:textFill>
                  <w14:solidFill>
                    <w14:schemeClr w14:val="tx1">
                      <w14:alpha w14:val="100000"/>
                    </w14:schemeClr>
                  </w14:solidFill>
                </w14:textFill>
              </w:rPr>
              <w:t>|||</w:t>
            </w:r>
            <w:r w:rsidR="00DE7EE1" w:rsidRPr="00DE7EE1">
              <w:rPr>
                <w:rFonts w:cs="Arial"/>
                <w:spacing w:val="1"/>
                <w:szCs w:val="20"/>
                <w:shd w:val="solid" w:color="000000" w:fill="000000"/>
                <w:fitText w:val="324" w:id="-628460024"/>
                <w14:textFill>
                  <w14:solidFill>
                    <w14:schemeClr w14:val="tx1">
                      <w14:alpha w14:val="100000"/>
                    </w14:schemeClr>
                  </w14:solidFill>
                </w14:textFill>
              </w:rPr>
              <w:t>|</w:t>
            </w:r>
            <w:r w:rsidR="00366A7B">
              <w:rPr>
                <w:rFonts w:cs="Arial"/>
                <w:szCs w:val="20"/>
                <w:vertAlign w:val="superscript"/>
                <w:lang w:val="en-AU"/>
              </w:rPr>
              <w:t>3</w:t>
            </w:r>
          </w:p>
        </w:tc>
        <w:tc>
          <w:tcPr>
            <w:tcW w:w="580" w:type="pct"/>
          </w:tcPr>
          <w:p w14:paraId="6A338D1F" w14:textId="4AC1351D" w:rsidR="00C82931" w:rsidRPr="00221DDA"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vertAlign w:val="superscript"/>
                <w:lang w:val="en-AU"/>
              </w:rPr>
            </w:pPr>
            <w:r w:rsidRPr="00FA0529">
              <w:rPr>
                <w:rFonts w:cs="Arial"/>
                <w:szCs w:val="20"/>
                <w:lang w:val="en-AU"/>
              </w:rPr>
              <w:t>$</w:t>
            </w:r>
            <w:r w:rsidR="00DE7EE1" w:rsidRPr="00DE7EE1">
              <w:rPr>
                <w:rFonts w:cs="Arial"/>
                <w:spacing w:val="51"/>
                <w:szCs w:val="20"/>
                <w:shd w:val="solid" w:color="000000" w:fill="000000"/>
                <w:fitText w:val="324" w:id="-628460023"/>
                <w14:textFill>
                  <w14:solidFill>
                    <w14:schemeClr w14:val="tx1">
                      <w14:alpha w14:val="100000"/>
                    </w14:schemeClr>
                  </w14:solidFill>
                </w14:textFill>
              </w:rPr>
              <w:t>|||</w:t>
            </w:r>
            <w:r w:rsidR="00DE7EE1" w:rsidRPr="00DE7EE1">
              <w:rPr>
                <w:rFonts w:cs="Arial"/>
                <w:spacing w:val="1"/>
                <w:szCs w:val="20"/>
                <w:shd w:val="solid" w:color="000000" w:fill="000000"/>
                <w:fitText w:val="324" w:id="-628460023"/>
                <w14:textFill>
                  <w14:solidFill>
                    <w14:schemeClr w14:val="tx1">
                      <w14:alpha w14:val="100000"/>
                    </w14:schemeClr>
                  </w14:solidFill>
                </w14:textFill>
              </w:rPr>
              <w:t>|</w:t>
            </w:r>
            <w:r w:rsidR="00366A7B">
              <w:rPr>
                <w:rFonts w:cs="Arial"/>
                <w:szCs w:val="20"/>
                <w:vertAlign w:val="superscript"/>
                <w:lang w:val="en-AU"/>
              </w:rPr>
              <w:t>3</w:t>
            </w:r>
          </w:p>
        </w:tc>
        <w:tc>
          <w:tcPr>
            <w:tcW w:w="581" w:type="pct"/>
          </w:tcPr>
          <w:p w14:paraId="56B9C36A" w14:textId="1899116C" w:rsidR="00C82931" w:rsidRPr="00221DDA"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vertAlign w:val="superscript"/>
                <w:lang w:val="en-AU"/>
              </w:rPr>
            </w:pPr>
            <w:r w:rsidRPr="00FA0529">
              <w:rPr>
                <w:rFonts w:cs="Arial"/>
                <w:szCs w:val="20"/>
                <w:lang w:val="en-AU"/>
              </w:rPr>
              <w:t>$</w:t>
            </w:r>
            <w:r w:rsidR="00DE7EE1" w:rsidRPr="00DE7EE1">
              <w:rPr>
                <w:rFonts w:cs="Arial"/>
                <w:spacing w:val="51"/>
                <w:szCs w:val="20"/>
                <w:shd w:val="solid" w:color="000000" w:fill="000000"/>
                <w:fitText w:val="324" w:id="-628460022"/>
                <w14:textFill>
                  <w14:solidFill>
                    <w14:schemeClr w14:val="tx1">
                      <w14:alpha w14:val="100000"/>
                    </w14:schemeClr>
                  </w14:solidFill>
                </w14:textFill>
              </w:rPr>
              <w:t>|||</w:t>
            </w:r>
            <w:r w:rsidR="00DE7EE1" w:rsidRPr="00DE7EE1">
              <w:rPr>
                <w:rFonts w:cs="Arial"/>
                <w:spacing w:val="1"/>
                <w:szCs w:val="20"/>
                <w:shd w:val="solid" w:color="000000" w:fill="000000"/>
                <w:fitText w:val="324" w:id="-628460022"/>
                <w14:textFill>
                  <w14:solidFill>
                    <w14:schemeClr w14:val="tx1">
                      <w14:alpha w14:val="100000"/>
                    </w14:schemeClr>
                  </w14:solidFill>
                </w14:textFill>
              </w:rPr>
              <w:t>|</w:t>
            </w:r>
            <w:r w:rsidR="00366A7B">
              <w:rPr>
                <w:rFonts w:cs="Arial"/>
                <w:szCs w:val="20"/>
                <w:vertAlign w:val="superscript"/>
                <w:lang w:val="en-AU"/>
              </w:rPr>
              <w:t>3</w:t>
            </w:r>
          </w:p>
        </w:tc>
      </w:tr>
      <w:tr w:rsidR="00C82931" w:rsidRPr="00FA0529" w14:paraId="071372BB" w14:textId="77777777" w:rsidTr="00B26207">
        <w:tc>
          <w:tcPr>
            <w:cnfStyle w:val="001000000000" w:firstRow="0" w:lastRow="0" w:firstColumn="1" w:lastColumn="0" w:oddVBand="0" w:evenVBand="0" w:oddHBand="0" w:evenHBand="0" w:firstRowFirstColumn="0" w:firstRowLastColumn="0" w:lastRowFirstColumn="0" w:lastRowLastColumn="0"/>
            <w:tcW w:w="5000" w:type="pct"/>
            <w:gridSpan w:val="7"/>
          </w:tcPr>
          <w:p w14:paraId="737FC0C6" w14:textId="77777777" w:rsidR="00C82931" w:rsidRPr="00FA0529" w:rsidRDefault="00C82931" w:rsidP="00C82931">
            <w:pPr>
              <w:pStyle w:val="TableText"/>
              <w:keepLines/>
              <w:rPr>
                <w:b/>
                <w:bCs w:val="0"/>
                <w:lang w:val="en-AU"/>
              </w:rPr>
            </w:pPr>
            <w:r w:rsidRPr="00FA0529">
              <w:rPr>
                <w:b/>
                <w:bCs w:val="0"/>
                <w:lang w:val="en-AU"/>
              </w:rPr>
              <w:t>Estimated financial implications for reduction in FOLFOX use to the PBS/RPBS</w:t>
            </w:r>
          </w:p>
        </w:tc>
      </w:tr>
      <w:tr w:rsidR="00C82931" w:rsidRPr="00FA0529" w14:paraId="2F3C4896"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10251AB9" w14:textId="77777777" w:rsidR="00C82931" w:rsidRPr="00FA0529" w:rsidRDefault="00C82931" w:rsidP="00C82931">
            <w:pPr>
              <w:pStyle w:val="TableText"/>
              <w:keepLines/>
              <w:rPr>
                <w:lang w:val="en-AU"/>
              </w:rPr>
            </w:pPr>
            <w:r w:rsidRPr="00FA0529">
              <w:rPr>
                <w:lang w:val="en-AU"/>
              </w:rPr>
              <w:t>Cost to PBS/RPBS less copayments</w:t>
            </w:r>
          </w:p>
        </w:tc>
        <w:tc>
          <w:tcPr>
            <w:tcW w:w="784" w:type="pct"/>
          </w:tcPr>
          <w:p w14:paraId="7A7ED3D1" w14:textId="36A73420" w:rsidR="00C82931" w:rsidRPr="00221DDA"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vertAlign w:val="superscript"/>
                <w:lang w:val="en-AU"/>
              </w:rPr>
            </w:pPr>
            <w:r w:rsidRPr="00FA0529">
              <w:rPr>
                <w:rFonts w:cs="Arial"/>
                <w:color w:val="000000"/>
                <w:szCs w:val="20"/>
                <w:lang w:val="en-AU"/>
              </w:rPr>
              <w:t>-$</w:t>
            </w:r>
            <w:r w:rsidR="00DE7EE1" w:rsidRPr="00DE7EE1">
              <w:rPr>
                <w:rFonts w:cs="Arial"/>
                <w:color w:val="000000"/>
                <w:spacing w:val="55"/>
                <w:szCs w:val="20"/>
                <w:shd w:val="solid" w:color="000000" w:fill="000000"/>
                <w:fitText w:val="336" w:id="-628460021"/>
                <w14:textFill>
                  <w14:solidFill>
                    <w14:srgbClr w14:val="000000">
                      <w14:alpha w14:val="100000"/>
                    </w14:srgbClr>
                  </w14:solidFill>
                </w14:textFill>
              </w:rPr>
              <w:t>|||</w:t>
            </w:r>
            <w:r w:rsidR="00DE7EE1" w:rsidRPr="00DE7EE1">
              <w:rPr>
                <w:rFonts w:cs="Arial"/>
                <w:color w:val="000000"/>
                <w:spacing w:val="1"/>
                <w:szCs w:val="20"/>
                <w:shd w:val="solid" w:color="000000" w:fill="000000"/>
                <w:fitText w:val="336" w:id="-628460021"/>
                <w14:textFill>
                  <w14:solidFill>
                    <w14:srgbClr w14:val="000000">
                      <w14:alpha w14:val="100000"/>
                    </w14:srgbClr>
                  </w14:solidFill>
                </w14:textFill>
              </w:rPr>
              <w:t>|</w:t>
            </w:r>
            <w:r w:rsidR="00366A7B">
              <w:rPr>
                <w:rFonts w:cs="Arial"/>
                <w:color w:val="000000"/>
                <w:szCs w:val="20"/>
                <w:vertAlign w:val="superscript"/>
                <w:lang w:val="en-AU"/>
              </w:rPr>
              <w:t>3</w:t>
            </w:r>
          </w:p>
        </w:tc>
        <w:tc>
          <w:tcPr>
            <w:tcW w:w="580" w:type="pct"/>
          </w:tcPr>
          <w:p w14:paraId="6E90E3FF" w14:textId="667105CF"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0"/>
                <w14:textFill>
                  <w14:solidFill>
                    <w14:schemeClr w14:val="tx1">
                      <w14:alpha w14:val="100000"/>
                    </w14:schemeClr>
                  </w14:solidFill>
                </w14:textFill>
              </w:rPr>
              <w:t>|||</w:t>
            </w:r>
            <w:r w:rsidR="00DE7EE1" w:rsidRPr="00DE7EE1">
              <w:rPr>
                <w:rFonts w:cs="Arial"/>
                <w:spacing w:val="1"/>
                <w:szCs w:val="20"/>
                <w:shd w:val="solid" w:color="000000" w:fill="000000"/>
                <w:fitText w:val="336" w:id="-628460020"/>
                <w14:textFill>
                  <w14:solidFill>
                    <w14:schemeClr w14:val="tx1">
                      <w14:alpha w14:val="100000"/>
                    </w14:schemeClr>
                  </w14:solidFill>
                </w14:textFill>
              </w:rPr>
              <w:t>|</w:t>
            </w:r>
            <w:r w:rsidR="00366A7B">
              <w:rPr>
                <w:rFonts w:cs="Arial"/>
                <w:color w:val="000000"/>
                <w:szCs w:val="20"/>
                <w:vertAlign w:val="superscript"/>
                <w:lang w:val="en-AU"/>
              </w:rPr>
              <w:t>3</w:t>
            </w:r>
          </w:p>
        </w:tc>
        <w:tc>
          <w:tcPr>
            <w:tcW w:w="580" w:type="pct"/>
          </w:tcPr>
          <w:p w14:paraId="47879D34" w14:textId="0D67B95C"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9"/>
                <w14:textFill>
                  <w14:solidFill>
                    <w14:schemeClr w14:val="tx1">
                      <w14:alpha w14:val="100000"/>
                    </w14:schemeClr>
                  </w14:solidFill>
                </w14:textFill>
              </w:rPr>
              <w:t>|||</w:t>
            </w:r>
            <w:r w:rsidR="00DE7EE1" w:rsidRPr="00DE7EE1">
              <w:rPr>
                <w:rFonts w:cs="Arial"/>
                <w:spacing w:val="1"/>
                <w:szCs w:val="20"/>
                <w:shd w:val="solid" w:color="000000" w:fill="000000"/>
                <w:fitText w:val="336" w:id="-628460019"/>
                <w14:textFill>
                  <w14:solidFill>
                    <w14:schemeClr w14:val="tx1">
                      <w14:alpha w14:val="100000"/>
                    </w14:schemeClr>
                  </w14:solidFill>
                </w14:textFill>
              </w:rPr>
              <w:t>|</w:t>
            </w:r>
            <w:r w:rsidR="00366A7B">
              <w:rPr>
                <w:rFonts w:cs="Arial"/>
                <w:color w:val="000000"/>
                <w:szCs w:val="20"/>
                <w:vertAlign w:val="superscript"/>
                <w:lang w:val="en-AU"/>
              </w:rPr>
              <w:t>3</w:t>
            </w:r>
          </w:p>
        </w:tc>
        <w:tc>
          <w:tcPr>
            <w:tcW w:w="580" w:type="pct"/>
          </w:tcPr>
          <w:p w14:paraId="38A6BF90" w14:textId="1A680CFC"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8"/>
                <w14:textFill>
                  <w14:solidFill>
                    <w14:schemeClr w14:val="tx1">
                      <w14:alpha w14:val="100000"/>
                    </w14:schemeClr>
                  </w14:solidFill>
                </w14:textFill>
              </w:rPr>
              <w:t>|||</w:t>
            </w:r>
            <w:r w:rsidR="00DE7EE1" w:rsidRPr="00DE7EE1">
              <w:rPr>
                <w:rFonts w:cs="Arial"/>
                <w:spacing w:val="1"/>
                <w:szCs w:val="20"/>
                <w:shd w:val="solid" w:color="000000" w:fill="000000"/>
                <w:fitText w:val="336" w:id="-628460018"/>
                <w14:textFill>
                  <w14:solidFill>
                    <w14:schemeClr w14:val="tx1">
                      <w14:alpha w14:val="100000"/>
                    </w14:schemeClr>
                  </w14:solidFill>
                </w14:textFill>
              </w:rPr>
              <w:t>|</w:t>
            </w:r>
            <w:r w:rsidR="00366A7B">
              <w:rPr>
                <w:rFonts w:cs="Arial"/>
                <w:color w:val="000000"/>
                <w:szCs w:val="20"/>
                <w:vertAlign w:val="superscript"/>
                <w:lang w:val="en-AU"/>
              </w:rPr>
              <w:t>3</w:t>
            </w:r>
          </w:p>
        </w:tc>
        <w:tc>
          <w:tcPr>
            <w:tcW w:w="580" w:type="pct"/>
          </w:tcPr>
          <w:p w14:paraId="700FD1D3" w14:textId="4513AEBA"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7"/>
                <w14:textFill>
                  <w14:solidFill>
                    <w14:schemeClr w14:val="tx1">
                      <w14:alpha w14:val="100000"/>
                    </w14:schemeClr>
                  </w14:solidFill>
                </w14:textFill>
              </w:rPr>
              <w:t>|||</w:t>
            </w:r>
            <w:r w:rsidR="00DE7EE1" w:rsidRPr="00DE7EE1">
              <w:rPr>
                <w:rFonts w:cs="Arial"/>
                <w:spacing w:val="1"/>
                <w:szCs w:val="20"/>
                <w:shd w:val="solid" w:color="000000" w:fill="000000"/>
                <w:fitText w:val="336" w:id="-628460017"/>
                <w14:textFill>
                  <w14:solidFill>
                    <w14:schemeClr w14:val="tx1">
                      <w14:alpha w14:val="100000"/>
                    </w14:schemeClr>
                  </w14:solidFill>
                </w14:textFill>
              </w:rPr>
              <w:t>|</w:t>
            </w:r>
            <w:r w:rsidR="00366A7B">
              <w:rPr>
                <w:rFonts w:cs="Arial"/>
                <w:color w:val="000000"/>
                <w:szCs w:val="20"/>
                <w:vertAlign w:val="superscript"/>
                <w:lang w:val="en-AU"/>
              </w:rPr>
              <w:t>3</w:t>
            </w:r>
          </w:p>
        </w:tc>
        <w:tc>
          <w:tcPr>
            <w:tcW w:w="581" w:type="pct"/>
          </w:tcPr>
          <w:p w14:paraId="29F175AD" w14:textId="30EE7E2A"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6"/>
                <w14:textFill>
                  <w14:solidFill>
                    <w14:schemeClr w14:val="tx1">
                      <w14:alpha w14:val="100000"/>
                    </w14:schemeClr>
                  </w14:solidFill>
                </w14:textFill>
              </w:rPr>
              <w:t>|||</w:t>
            </w:r>
            <w:r w:rsidR="00DE7EE1" w:rsidRPr="00DE7EE1">
              <w:rPr>
                <w:rFonts w:cs="Arial"/>
                <w:spacing w:val="1"/>
                <w:szCs w:val="20"/>
                <w:shd w:val="solid" w:color="000000" w:fill="000000"/>
                <w:fitText w:val="336" w:id="-628460016"/>
                <w14:textFill>
                  <w14:solidFill>
                    <w14:schemeClr w14:val="tx1">
                      <w14:alpha w14:val="100000"/>
                    </w14:schemeClr>
                  </w14:solidFill>
                </w14:textFill>
              </w:rPr>
              <w:t>|</w:t>
            </w:r>
            <w:r w:rsidR="00366A7B">
              <w:rPr>
                <w:rFonts w:cs="Arial"/>
                <w:color w:val="000000"/>
                <w:szCs w:val="20"/>
                <w:vertAlign w:val="superscript"/>
                <w:lang w:val="en-AU"/>
              </w:rPr>
              <w:t>3</w:t>
            </w:r>
          </w:p>
        </w:tc>
      </w:tr>
      <w:tr w:rsidR="00C82931" w:rsidRPr="00FA0529" w14:paraId="2B50EE19" w14:textId="77777777" w:rsidTr="00B26207">
        <w:tc>
          <w:tcPr>
            <w:cnfStyle w:val="001000000000" w:firstRow="0" w:lastRow="0" w:firstColumn="1" w:lastColumn="0" w:oddVBand="0" w:evenVBand="0" w:oddHBand="0" w:evenHBand="0" w:firstRowFirstColumn="0" w:firstRowLastColumn="0" w:lastRowFirstColumn="0" w:lastRowLastColumn="0"/>
            <w:tcW w:w="5000" w:type="pct"/>
            <w:gridSpan w:val="7"/>
          </w:tcPr>
          <w:p w14:paraId="3FFB6B52" w14:textId="77777777" w:rsidR="00C82931" w:rsidRPr="00FA0529" w:rsidRDefault="00C82931" w:rsidP="00C82931">
            <w:pPr>
              <w:pStyle w:val="TableText"/>
              <w:keepLines/>
              <w:rPr>
                <w:b/>
                <w:bCs w:val="0"/>
                <w:lang w:val="en-AU"/>
              </w:rPr>
            </w:pPr>
            <w:r w:rsidRPr="00FA0529">
              <w:rPr>
                <w:b/>
                <w:bCs w:val="0"/>
                <w:lang w:val="en-AU"/>
              </w:rPr>
              <w:t xml:space="preserve">Estimated financial implications of the </w:t>
            </w:r>
            <w:r w:rsidRPr="00FA0529">
              <w:rPr>
                <w:b/>
                <w:bCs w:val="0"/>
                <w:i/>
                <w:iCs/>
                <w:lang w:val="en-AU"/>
              </w:rPr>
              <w:t>FGFR2</w:t>
            </w:r>
            <w:r w:rsidRPr="00FA0529">
              <w:rPr>
                <w:b/>
                <w:bCs w:val="0"/>
                <w:lang w:val="en-AU"/>
              </w:rPr>
              <w:t xml:space="preserve"> testing to the MBS</w:t>
            </w:r>
          </w:p>
        </w:tc>
      </w:tr>
      <w:tr w:rsidR="00C82931" w:rsidRPr="00FA0529" w14:paraId="5BC04F12" w14:textId="77777777" w:rsidTr="009771EA">
        <w:trPr>
          <w:trHeight w:val="224"/>
        </w:trPr>
        <w:tc>
          <w:tcPr>
            <w:cnfStyle w:val="001000000000" w:firstRow="0" w:lastRow="0" w:firstColumn="1" w:lastColumn="0" w:oddVBand="0" w:evenVBand="0" w:oddHBand="0" w:evenHBand="0" w:firstRowFirstColumn="0" w:firstRowLastColumn="0" w:lastRowFirstColumn="0" w:lastRowLastColumn="0"/>
            <w:tcW w:w="1315" w:type="pct"/>
          </w:tcPr>
          <w:p w14:paraId="5ACB0F98" w14:textId="77777777" w:rsidR="00C82931" w:rsidRPr="00FA0529" w:rsidRDefault="00C82931" w:rsidP="00C82931">
            <w:pPr>
              <w:pStyle w:val="TableText"/>
              <w:keepLines/>
              <w:rPr>
                <w:lang w:val="en-AU"/>
              </w:rPr>
            </w:pPr>
            <w:r w:rsidRPr="00FA0529">
              <w:rPr>
                <w:lang w:val="en-AU"/>
              </w:rPr>
              <w:t>Cost to MBS less co-payments (80% rebate)</w:t>
            </w:r>
          </w:p>
        </w:tc>
        <w:tc>
          <w:tcPr>
            <w:tcW w:w="784" w:type="pct"/>
          </w:tcPr>
          <w:p w14:paraId="3B22243E" w14:textId="182F0244" w:rsidR="00C82931" w:rsidRPr="00221DDA" w:rsidRDefault="00366A7B"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221DDA">
              <w:rPr>
                <w:rFonts w:cs="Arial"/>
                <w:color w:val="000000"/>
                <w:szCs w:val="20"/>
              </w:rPr>
              <w:t>$</w:t>
            </w:r>
            <w:r w:rsidR="00DE7EE1" w:rsidRPr="00DE7EE1">
              <w:rPr>
                <w:rFonts w:cs="Arial"/>
                <w:color w:val="000000"/>
                <w:spacing w:val="51"/>
                <w:szCs w:val="20"/>
                <w:shd w:val="solid" w:color="000000" w:fill="000000"/>
                <w:fitText w:val="324" w:id="-628460032"/>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32"/>
                <w14:textFill>
                  <w14:solidFill>
                    <w14:srgbClr w14:val="000000">
                      <w14:alpha w14:val="100000"/>
                    </w14:srgbClr>
                  </w14:solidFill>
                </w14:textFill>
              </w:rPr>
              <w:t>|</w:t>
            </w:r>
            <w:r>
              <w:rPr>
                <w:rFonts w:cs="Arial"/>
                <w:color w:val="000000"/>
                <w:szCs w:val="20"/>
                <w:vertAlign w:val="superscript"/>
                <w:lang w:val="en-AU"/>
              </w:rPr>
              <w:t>3</w:t>
            </w:r>
            <w:r w:rsidR="00DE7EE1" w:rsidRPr="00DE7EE1">
              <w:rPr>
                <w:rFonts w:cs="Arial"/>
                <w:spacing w:val="51"/>
                <w:szCs w:val="20"/>
                <w:shd w:val="solid" w:color="000000" w:fill="000000"/>
                <w:fitText w:val="324" w:id="-628460031"/>
                <w14:textFill>
                  <w14:solidFill>
                    <w14:schemeClr w14:val="tx1">
                      <w14:alpha w14:val="100000"/>
                    </w14:schemeClr>
                  </w14:solidFill>
                </w14:textFill>
              </w:rPr>
              <w:t>|||</w:t>
            </w:r>
            <w:r w:rsidR="00DE7EE1" w:rsidRPr="00DE7EE1">
              <w:rPr>
                <w:rFonts w:cs="Arial"/>
                <w:spacing w:val="1"/>
                <w:szCs w:val="20"/>
                <w:shd w:val="solid" w:color="000000" w:fill="000000"/>
                <w:fitText w:val="324" w:id="-628460031"/>
                <w14:textFill>
                  <w14:solidFill>
                    <w14:schemeClr w14:val="tx1">
                      <w14:alpha w14:val="100000"/>
                    </w14:schemeClr>
                  </w14:solidFill>
                </w14:textFill>
              </w:rPr>
              <w:t>|</w:t>
            </w:r>
          </w:p>
        </w:tc>
        <w:tc>
          <w:tcPr>
            <w:tcW w:w="580" w:type="pct"/>
          </w:tcPr>
          <w:p w14:paraId="27D53930" w14:textId="07897D6D" w:rsidR="00C82931" w:rsidRPr="00221DDA" w:rsidRDefault="00A909D5"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4F3B66">
              <w:rPr>
                <w:rFonts w:cs="Arial"/>
                <w:color w:val="000000"/>
                <w:szCs w:val="20"/>
                <w:lang w:val="en-AU"/>
              </w:rPr>
              <w:t>$</w:t>
            </w:r>
            <w:r w:rsidR="00DE7EE1" w:rsidRPr="00DE7EE1">
              <w:rPr>
                <w:rFonts w:cs="Arial"/>
                <w:spacing w:val="51"/>
                <w:szCs w:val="20"/>
                <w:shd w:val="solid" w:color="000000" w:fill="000000"/>
                <w:fitText w:val="324" w:id="-628460030"/>
                <w14:textFill>
                  <w14:solidFill>
                    <w14:schemeClr w14:val="tx1">
                      <w14:alpha w14:val="100000"/>
                    </w14:schemeClr>
                  </w14:solidFill>
                </w14:textFill>
              </w:rPr>
              <w:t>|||</w:t>
            </w:r>
            <w:r w:rsidR="00DE7EE1" w:rsidRPr="00DE7EE1">
              <w:rPr>
                <w:rFonts w:cs="Arial"/>
                <w:spacing w:val="1"/>
                <w:szCs w:val="20"/>
                <w:shd w:val="solid" w:color="000000" w:fill="000000"/>
                <w:fitText w:val="324" w:id="-628460030"/>
                <w14:textFill>
                  <w14:solidFill>
                    <w14:schemeClr w14:val="tx1">
                      <w14:alpha w14:val="100000"/>
                    </w14:schemeClr>
                  </w14:solidFill>
                </w14:textFill>
              </w:rPr>
              <w:t>|</w:t>
            </w:r>
            <w:r w:rsidR="00366A7B">
              <w:rPr>
                <w:rFonts w:cs="Arial"/>
                <w:color w:val="000000"/>
                <w:szCs w:val="20"/>
                <w:vertAlign w:val="superscript"/>
                <w:lang w:val="en-AU"/>
              </w:rPr>
              <w:t>3</w:t>
            </w:r>
            <w:r w:rsidR="00DE7EE1" w:rsidRPr="00DE7EE1">
              <w:rPr>
                <w:rFonts w:cs="Arial"/>
                <w:spacing w:val="51"/>
                <w:szCs w:val="20"/>
                <w:shd w:val="solid" w:color="000000" w:fill="000000"/>
                <w:fitText w:val="324" w:id="-628460029"/>
                <w14:textFill>
                  <w14:solidFill>
                    <w14:schemeClr w14:val="tx1">
                      <w14:alpha w14:val="100000"/>
                    </w14:schemeClr>
                  </w14:solidFill>
                </w14:textFill>
              </w:rPr>
              <w:t>|||</w:t>
            </w:r>
            <w:r w:rsidR="00DE7EE1" w:rsidRPr="00DE7EE1">
              <w:rPr>
                <w:rFonts w:cs="Arial"/>
                <w:spacing w:val="1"/>
                <w:szCs w:val="20"/>
                <w:shd w:val="solid" w:color="000000" w:fill="000000"/>
                <w:fitText w:val="324" w:id="-628460029"/>
                <w14:textFill>
                  <w14:solidFill>
                    <w14:schemeClr w14:val="tx1">
                      <w14:alpha w14:val="100000"/>
                    </w14:schemeClr>
                  </w14:solidFill>
                </w14:textFill>
              </w:rPr>
              <w:t>|</w:t>
            </w:r>
          </w:p>
        </w:tc>
        <w:tc>
          <w:tcPr>
            <w:tcW w:w="580" w:type="pct"/>
          </w:tcPr>
          <w:p w14:paraId="39FFB809" w14:textId="66A2C632" w:rsidR="00C82931" w:rsidRPr="00221DDA" w:rsidRDefault="00A909D5"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4F3B66">
              <w:rPr>
                <w:rFonts w:cs="Arial"/>
                <w:color w:val="000000"/>
                <w:szCs w:val="20"/>
                <w:lang w:val="en-AU"/>
              </w:rPr>
              <w:t>$</w:t>
            </w:r>
            <w:r w:rsidR="00DE7EE1" w:rsidRPr="00DE7EE1">
              <w:rPr>
                <w:rFonts w:cs="Arial"/>
                <w:spacing w:val="51"/>
                <w:szCs w:val="20"/>
                <w:shd w:val="solid" w:color="000000" w:fill="000000"/>
                <w:fitText w:val="324" w:id="-628460028"/>
                <w14:textFill>
                  <w14:solidFill>
                    <w14:schemeClr w14:val="tx1">
                      <w14:alpha w14:val="100000"/>
                    </w14:schemeClr>
                  </w14:solidFill>
                </w14:textFill>
              </w:rPr>
              <w:t>|||</w:t>
            </w:r>
            <w:r w:rsidR="00DE7EE1" w:rsidRPr="00DE7EE1">
              <w:rPr>
                <w:rFonts w:cs="Arial"/>
                <w:spacing w:val="1"/>
                <w:szCs w:val="20"/>
                <w:shd w:val="solid" w:color="000000" w:fill="000000"/>
                <w:fitText w:val="324" w:id="-628460028"/>
                <w14:textFill>
                  <w14:solidFill>
                    <w14:schemeClr w14:val="tx1">
                      <w14:alpha w14:val="100000"/>
                    </w14:schemeClr>
                  </w14:solidFill>
                </w14:textFill>
              </w:rPr>
              <w:t>|</w:t>
            </w:r>
            <w:r w:rsidR="00366A7B">
              <w:rPr>
                <w:rFonts w:cs="Arial"/>
                <w:color w:val="000000"/>
                <w:szCs w:val="20"/>
                <w:vertAlign w:val="superscript"/>
                <w:lang w:val="en-AU"/>
              </w:rPr>
              <w:t>3</w:t>
            </w:r>
            <w:r w:rsidR="00DE7EE1" w:rsidRPr="00DE7EE1">
              <w:rPr>
                <w:rFonts w:cs="Arial"/>
                <w:spacing w:val="51"/>
                <w:szCs w:val="20"/>
                <w:shd w:val="solid" w:color="000000" w:fill="000000"/>
                <w:fitText w:val="324" w:id="-628460027"/>
                <w14:textFill>
                  <w14:solidFill>
                    <w14:schemeClr w14:val="tx1">
                      <w14:alpha w14:val="100000"/>
                    </w14:schemeClr>
                  </w14:solidFill>
                </w14:textFill>
              </w:rPr>
              <w:t>|||</w:t>
            </w:r>
            <w:r w:rsidR="00DE7EE1" w:rsidRPr="00DE7EE1">
              <w:rPr>
                <w:rFonts w:cs="Arial"/>
                <w:spacing w:val="1"/>
                <w:szCs w:val="20"/>
                <w:shd w:val="solid" w:color="000000" w:fill="000000"/>
                <w:fitText w:val="324" w:id="-628460027"/>
                <w14:textFill>
                  <w14:solidFill>
                    <w14:schemeClr w14:val="tx1">
                      <w14:alpha w14:val="100000"/>
                    </w14:schemeClr>
                  </w14:solidFill>
                </w14:textFill>
              </w:rPr>
              <w:t>|</w:t>
            </w:r>
          </w:p>
        </w:tc>
        <w:tc>
          <w:tcPr>
            <w:tcW w:w="580" w:type="pct"/>
          </w:tcPr>
          <w:p w14:paraId="224403B1" w14:textId="40597DA3" w:rsidR="00C82931" w:rsidRPr="00221DDA" w:rsidRDefault="00A909D5"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4F3B66">
              <w:rPr>
                <w:rFonts w:cs="Arial"/>
                <w:color w:val="000000"/>
                <w:szCs w:val="20"/>
                <w:lang w:val="en-AU"/>
              </w:rPr>
              <w:t>$</w:t>
            </w:r>
            <w:r w:rsidR="00DE7EE1" w:rsidRPr="00DE7EE1">
              <w:rPr>
                <w:rFonts w:cs="Arial"/>
                <w:spacing w:val="51"/>
                <w:szCs w:val="20"/>
                <w:shd w:val="solid" w:color="000000" w:fill="000000"/>
                <w:fitText w:val="324" w:id="-628460026"/>
                <w14:textFill>
                  <w14:solidFill>
                    <w14:schemeClr w14:val="tx1">
                      <w14:alpha w14:val="100000"/>
                    </w14:schemeClr>
                  </w14:solidFill>
                </w14:textFill>
              </w:rPr>
              <w:t>|||</w:t>
            </w:r>
            <w:r w:rsidR="00DE7EE1" w:rsidRPr="00DE7EE1">
              <w:rPr>
                <w:rFonts w:cs="Arial"/>
                <w:spacing w:val="1"/>
                <w:szCs w:val="20"/>
                <w:shd w:val="solid" w:color="000000" w:fill="000000"/>
                <w:fitText w:val="324" w:id="-628460026"/>
                <w14:textFill>
                  <w14:solidFill>
                    <w14:schemeClr w14:val="tx1">
                      <w14:alpha w14:val="100000"/>
                    </w14:schemeClr>
                  </w14:solidFill>
                </w14:textFill>
              </w:rPr>
              <w:t>|</w:t>
            </w:r>
            <w:r w:rsidR="00366A7B">
              <w:rPr>
                <w:rFonts w:cs="Arial"/>
                <w:color w:val="000000"/>
                <w:szCs w:val="20"/>
                <w:vertAlign w:val="superscript"/>
                <w:lang w:val="en-AU"/>
              </w:rPr>
              <w:t>3</w:t>
            </w:r>
            <w:r w:rsidR="00DE7EE1" w:rsidRPr="00DE7EE1">
              <w:rPr>
                <w:rFonts w:cs="Arial"/>
                <w:spacing w:val="51"/>
                <w:szCs w:val="20"/>
                <w:shd w:val="solid" w:color="000000" w:fill="000000"/>
                <w:fitText w:val="324" w:id="-628460025"/>
                <w14:textFill>
                  <w14:solidFill>
                    <w14:schemeClr w14:val="tx1">
                      <w14:alpha w14:val="100000"/>
                    </w14:schemeClr>
                  </w14:solidFill>
                </w14:textFill>
              </w:rPr>
              <w:t>|||</w:t>
            </w:r>
            <w:r w:rsidR="00DE7EE1" w:rsidRPr="00DE7EE1">
              <w:rPr>
                <w:rFonts w:cs="Arial"/>
                <w:spacing w:val="1"/>
                <w:szCs w:val="20"/>
                <w:shd w:val="solid" w:color="000000" w:fill="000000"/>
                <w:fitText w:val="324" w:id="-628460025"/>
                <w14:textFill>
                  <w14:solidFill>
                    <w14:schemeClr w14:val="tx1">
                      <w14:alpha w14:val="100000"/>
                    </w14:schemeClr>
                  </w14:solidFill>
                </w14:textFill>
              </w:rPr>
              <w:t>|</w:t>
            </w:r>
          </w:p>
        </w:tc>
        <w:tc>
          <w:tcPr>
            <w:tcW w:w="580" w:type="pct"/>
          </w:tcPr>
          <w:p w14:paraId="264E6FA6" w14:textId="02DDCB3A" w:rsidR="00C82931" w:rsidRPr="00221DDA" w:rsidRDefault="00A909D5"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4F3B66">
              <w:rPr>
                <w:rFonts w:cs="Arial"/>
                <w:color w:val="000000"/>
                <w:szCs w:val="20"/>
                <w:lang w:val="en-AU"/>
              </w:rPr>
              <w:t>$</w:t>
            </w:r>
            <w:r w:rsidR="00DE7EE1" w:rsidRPr="00DE7EE1">
              <w:rPr>
                <w:rFonts w:cs="Arial"/>
                <w:spacing w:val="51"/>
                <w:szCs w:val="20"/>
                <w:shd w:val="solid" w:color="000000" w:fill="000000"/>
                <w:fitText w:val="324" w:id="-628460024"/>
                <w14:textFill>
                  <w14:solidFill>
                    <w14:schemeClr w14:val="tx1">
                      <w14:alpha w14:val="100000"/>
                    </w14:schemeClr>
                  </w14:solidFill>
                </w14:textFill>
              </w:rPr>
              <w:t>|||</w:t>
            </w:r>
            <w:r w:rsidR="00DE7EE1" w:rsidRPr="00DE7EE1">
              <w:rPr>
                <w:rFonts w:cs="Arial"/>
                <w:spacing w:val="1"/>
                <w:szCs w:val="20"/>
                <w:shd w:val="solid" w:color="000000" w:fill="000000"/>
                <w:fitText w:val="324" w:id="-628460024"/>
                <w14:textFill>
                  <w14:solidFill>
                    <w14:schemeClr w14:val="tx1">
                      <w14:alpha w14:val="100000"/>
                    </w14:schemeClr>
                  </w14:solidFill>
                </w14:textFill>
              </w:rPr>
              <w:t>|</w:t>
            </w:r>
            <w:r w:rsidR="00366A7B">
              <w:rPr>
                <w:rFonts w:cs="Arial"/>
                <w:color w:val="000000"/>
                <w:szCs w:val="20"/>
                <w:vertAlign w:val="superscript"/>
                <w:lang w:val="en-AU"/>
              </w:rPr>
              <w:t>3</w:t>
            </w:r>
            <w:r w:rsidR="00DE7EE1" w:rsidRPr="00DE7EE1">
              <w:rPr>
                <w:rFonts w:cs="Arial"/>
                <w:spacing w:val="51"/>
                <w:szCs w:val="20"/>
                <w:shd w:val="solid" w:color="000000" w:fill="000000"/>
                <w:fitText w:val="324" w:id="-628460023"/>
                <w14:textFill>
                  <w14:solidFill>
                    <w14:schemeClr w14:val="tx1">
                      <w14:alpha w14:val="100000"/>
                    </w14:schemeClr>
                  </w14:solidFill>
                </w14:textFill>
              </w:rPr>
              <w:t>|||</w:t>
            </w:r>
            <w:r w:rsidR="00DE7EE1" w:rsidRPr="00DE7EE1">
              <w:rPr>
                <w:rFonts w:cs="Arial"/>
                <w:spacing w:val="1"/>
                <w:szCs w:val="20"/>
                <w:shd w:val="solid" w:color="000000" w:fill="000000"/>
                <w:fitText w:val="324" w:id="-628460023"/>
                <w14:textFill>
                  <w14:solidFill>
                    <w14:schemeClr w14:val="tx1">
                      <w14:alpha w14:val="100000"/>
                    </w14:schemeClr>
                  </w14:solidFill>
                </w14:textFill>
              </w:rPr>
              <w:t>|</w:t>
            </w:r>
          </w:p>
        </w:tc>
        <w:tc>
          <w:tcPr>
            <w:tcW w:w="581" w:type="pct"/>
          </w:tcPr>
          <w:p w14:paraId="2A1DFEAF" w14:textId="2B056DFB" w:rsidR="00C82931" w:rsidRPr="00221DDA" w:rsidRDefault="00A909D5"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4F3B66">
              <w:rPr>
                <w:rFonts w:cs="Arial"/>
                <w:color w:val="000000"/>
                <w:szCs w:val="20"/>
                <w:lang w:val="en-AU"/>
              </w:rPr>
              <w:t>$</w:t>
            </w:r>
            <w:r w:rsidR="00DE7EE1" w:rsidRPr="00DE7EE1">
              <w:rPr>
                <w:rFonts w:cs="Arial"/>
                <w:spacing w:val="51"/>
                <w:szCs w:val="20"/>
                <w:shd w:val="solid" w:color="000000" w:fill="000000"/>
                <w:fitText w:val="324" w:id="-628460022"/>
                <w14:textFill>
                  <w14:solidFill>
                    <w14:schemeClr w14:val="tx1">
                      <w14:alpha w14:val="100000"/>
                    </w14:schemeClr>
                  </w14:solidFill>
                </w14:textFill>
              </w:rPr>
              <w:t>|||</w:t>
            </w:r>
            <w:r w:rsidR="00DE7EE1" w:rsidRPr="00DE7EE1">
              <w:rPr>
                <w:rFonts w:cs="Arial"/>
                <w:spacing w:val="1"/>
                <w:szCs w:val="20"/>
                <w:shd w:val="solid" w:color="000000" w:fill="000000"/>
                <w:fitText w:val="324" w:id="-628460022"/>
                <w14:textFill>
                  <w14:solidFill>
                    <w14:schemeClr w14:val="tx1">
                      <w14:alpha w14:val="100000"/>
                    </w14:schemeClr>
                  </w14:solidFill>
                </w14:textFill>
              </w:rPr>
              <w:t>|</w:t>
            </w:r>
            <w:r w:rsidR="00366A7B">
              <w:rPr>
                <w:rFonts w:cs="Arial"/>
                <w:color w:val="000000"/>
                <w:szCs w:val="20"/>
                <w:vertAlign w:val="superscript"/>
                <w:lang w:val="en-AU"/>
              </w:rPr>
              <w:t>3</w:t>
            </w:r>
            <w:r w:rsidR="00DE7EE1" w:rsidRPr="00DE7EE1">
              <w:rPr>
                <w:rFonts w:cs="Arial"/>
                <w:spacing w:val="51"/>
                <w:szCs w:val="20"/>
                <w:shd w:val="solid" w:color="000000" w:fill="000000"/>
                <w:fitText w:val="324" w:id="-628460021"/>
                <w14:textFill>
                  <w14:solidFill>
                    <w14:schemeClr w14:val="tx1">
                      <w14:alpha w14:val="100000"/>
                    </w14:schemeClr>
                  </w14:solidFill>
                </w14:textFill>
              </w:rPr>
              <w:t>|||</w:t>
            </w:r>
            <w:r w:rsidR="00DE7EE1" w:rsidRPr="00DE7EE1">
              <w:rPr>
                <w:rFonts w:cs="Arial"/>
                <w:spacing w:val="1"/>
                <w:szCs w:val="20"/>
                <w:shd w:val="solid" w:color="000000" w:fill="000000"/>
                <w:fitText w:val="324" w:id="-628460021"/>
                <w14:textFill>
                  <w14:solidFill>
                    <w14:schemeClr w14:val="tx1">
                      <w14:alpha w14:val="100000"/>
                    </w14:schemeClr>
                  </w14:solidFill>
                </w14:textFill>
              </w:rPr>
              <w:t>|</w:t>
            </w:r>
          </w:p>
        </w:tc>
      </w:tr>
      <w:tr w:rsidR="00C82931" w:rsidRPr="00FA0529" w14:paraId="37FEEE31" w14:textId="77777777" w:rsidTr="00B26207">
        <w:tc>
          <w:tcPr>
            <w:cnfStyle w:val="001000000000" w:firstRow="0" w:lastRow="0" w:firstColumn="1" w:lastColumn="0" w:oddVBand="0" w:evenVBand="0" w:oddHBand="0" w:evenHBand="0" w:firstRowFirstColumn="0" w:firstRowLastColumn="0" w:lastRowFirstColumn="0" w:lastRowLastColumn="0"/>
            <w:tcW w:w="5000" w:type="pct"/>
            <w:gridSpan w:val="7"/>
          </w:tcPr>
          <w:p w14:paraId="7BA65B06" w14:textId="77777777" w:rsidR="00C82931" w:rsidRPr="00FA0529" w:rsidRDefault="00C82931" w:rsidP="00C82931">
            <w:pPr>
              <w:pStyle w:val="TableText"/>
              <w:keepLines/>
              <w:rPr>
                <w:b/>
                <w:bCs w:val="0"/>
                <w:lang w:val="en-AU"/>
              </w:rPr>
            </w:pPr>
            <w:r w:rsidRPr="00FA0529">
              <w:rPr>
                <w:b/>
                <w:bCs w:val="0"/>
                <w:lang w:val="en-AU"/>
              </w:rPr>
              <w:t>Estimated financial implications of the Optical Coherence tomography (ophthalmological monitoring) to the MBS</w:t>
            </w:r>
          </w:p>
        </w:tc>
      </w:tr>
      <w:tr w:rsidR="00C82931" w:rsidRPr="00FA0529" w14:paraId="1B73F38D"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4A048EC3" w14:textId="77777777" w:rsidR="00C82931" w:rsidRPr="00FA0529" w:rsidRDefault="00C82931" w:rsidP="00C82931">
            <w:pPr>
              <w:pStyle w:val="TableText"/>
              <w:keepLines/>
              <w:rPr>
                <w:lang w:val="en-AU"/>
              </w:rPr>
            </w:pPr>
            <w:r w:rsidRPr="00FA0529">
              <w:rPr>
                <w:lang w:val="en-AU"/>
              </w:rPr>
              <w:t>Cost to MBS less co-payments (80% rebate)</w:t>
            </w:r>
          </w:p>
        </w:tc>
        <w:tc>
          <w:tcPr>
            <w:tcW w:w="784" w:type="pct"/>
          </w:tcPr>
          <w:p w14:paraId="2BE5BB30" w14:textId="7D1270D9" w:rsidR="00C82931" w:rsidRPr="00FA0529"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lang w:val="en-AU"/>
              </w:rPr>
            </w:pPr>
            <w:r w:rsidRPr="00FA0529">
              <w:rPr>
                <w:rFonts w:cs="Arial"/>
                <w:color w:val="000000"/>
                <w:szCs w:val="20"/>
                <w:lang w:val="en-AU"/>
              </w:rPr>
              <w:t>$</w:t>
            </w:r>
            <w:r w:rsidR="00DE7EE1" w:rsidRPr="00DE7EE1">
              <w:rPr>
                <w:rFonts w:cs="Arial"/>
                <w:color w:val="000000"/>
                <w:spacing w:val="51"/>
                <w:szCs w:val="20"/>
                <w:shd w:val="solid" w:color="000000" w:fill="000000"/>
                <w:fitText w:val="324" w:id="-628460020"/>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20"/>
                <w14:textFill>
                  <w14:solidFill>
                    <w14:srgbClr w14:val="000000">
                      <w14:alpha w14:val="100000"/>
                    </w14:srgbClr>
                  </w14:solidFill>
                </w14:textFill>
              </w:rPr>
              <w:t>|</w:t>
            </w:r>
            <w:r w:rsidR="00366A7B">
              <w:rPr>
                <w:rFonts w:cs="Arial"/>
                <w:color w:val="000000"/>
                <w:szCs w:val="20"/>
                <w:vertAlign w:val="superscript"/>
                <w:lang w:val="en-AU"/>
              </w:rPr>
              <w:t>3</w:t>
            </w:r>
          </w:p>
        </w:tc>
        <w:tc>
          <w:tcPr>
            <w:tcW w:w="580" w:type="pct"/>
          </w:tcPr>
          <w:p w14:paraId="274AECF1" w14:textId="11870A50"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9"/>
                <w14:textFill>
                  <w14:solidFill>
                    <w14:schemeClr w14:val="tx1">
                      <w14:alpha w14:val="100000"/>
                    </w14:schemeClr>
                  </w14:solidFill>
                </w14:textFill>
              </w:rPr>
              <w:t>|||</w:t>
            </w:r>
            <w:r w:rsidR="00DE7EE1" w:rsidRPr="00DE7EE1">
              <w:rPr>
                <w:rFonts w:cs="Arial"/>
                <w:spacing w:val="1"/>
                <w:szCs w:val="20"/>
                <w:shd w:val="solid" w:color="000000" w:fill="000000"/>
                <w:fitText w:val="336" w:id="-628460019"/>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00709E7D" w14:textId="362067FF"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8"/>
                <w14:textFill>
                  <w14:solidFill>
                    <w14:schemeClr w14:val="tx1">
                      <w14:alpha w14:val="100000"/>
                    </w14:schemeClr>
                  </w14:solidFill>
                </w14:textFill>
              </w:rPr>
              <w:t>|||</w:t>
            </w:r>
            <w:r w:rsidR="00DE7EE1" w:rsidRPr="00DE7EE1">
              <w:rPr>
                <w:rFonts w:cs="Arial"/>
                <w:spacing w:val="1"/>
                <w:szCs w:val="20"/>
                <w:shd w:val="solid" w:color="000000" w:fill="000000"/>
                <w:fitText w:val="336" w:id="-628460018"/>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7B7CD914" w14:textId="10DA5C81"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7"/>
                <w14:textFill>
                  <w14:solidFill>
                    <w14:schemeClr w14:val="tx1">
                      <w14:alpha w14:val="100000"/>
                    </w14:schemeClr>
                  </w14:solidFill>
                </w14:textFill>
              </w:rPr>
              <w:t>|||</w:t>
            </w:r>
            <w:r w:rsidR="00DE7EE1" w:rsidRPr="00DE7EE1">
              <w:rPr>
                <w:rFonts w:cs="Arial"/>
                <w:spacing w:val="1"/>
                <w:szCs w:val="20"/>
                <w:shd w:val="solid" w:color="000000" w:fill="000000"/>
                <w:fitText w:val="336" w:id="-628460017"/>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7FA0D2E4" w14:textId="5B268D4C"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6"/>
                <w14:textFill>
                  <w14:solidFill>
                    <w14:schemeClr w14:val="tx1">
                      <w14:alpha w14:val="100000"/>
                    </w14:schemeClr>
                  </w14:solidFill>
                </w14:textFill>
              </w:rPr>
              <w:t>|||</w:t>
            </w:r>
            <w:r w:rsidR="00DE7EE1" w:rsidRPr="00DE7EE1">
              <w:rPr>
                <w:rFonts w:cs="Arial"/>
                <w:spacing w:val="1"/>
                <w:szCs w:val="20"/>
                <w:shd w:val="solid" w:color="000000" w:fill="000000"/>
                <w:fitText w:val="336" w:id="-628460016"/>
                <w14:textFill>
                  <w14:solidFill>
                    <w14:schemeClr w14:val="tx1">
                      <w14:alpha w14:val="100000"/>
                    </w14:schemeClr>
                  </w14:solidFill>
                </w14:textFill>
              </w:rPr>
              <w:t>|</w:t>
            </w:r>
            <w:r w:rsidR="00522617">
              <w:rPr>
                <w:rFonts w:cs="Arial"/>
                <w:color w:val="000000"/>
                <w:szCs w:val="20"/>
                <w:vertAlign w:val="superscript"/>
                <w:lang w:val="en-AU"/>
              </w:rPr>
              <w:t>3</w:t>
            </w:r>
          </w:p>
        </w:tc>
        <w:tc>
          <w:tcPr>
            <w:tcW w:w="581" w:type="pct"/>
          </w:tcPr>
          <w:p w14:paraId="57C77F85" w14:textId="4E959DC0"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32"/>
                <w14:textFill>
                  <w14:solidFill>
                    <w14:schemeClr w14:val="tx1">
                      <w14:alpha w14:val="100000"/>
                    </w14:schemeClr>
                  </w14:solidFill>
                </w14:textFill>
              </w:rPr>
              <w:t>|||</w:t>
            </w:r>
            <w:r w:rsidR="00DE7EE1" w:rsidRPr="00DE7EE1">
              <w:rPr>
                <w:rFonts w:cs="Arial"/>
                <w:spacing w:val="1"/>
                <w:szCs w:val="20"/>
                <w:shd w:val="solid" w:color="000000" w:fill="000000"/>
                <w:fitText w:val="336" w:id="-628460032"/>
                <w14:textFill>
                  <w14:solidFill>
                    <w14:schemeClr w14:val="tx1">
                      <w14:alpha w14:val="100000"/>
                    </w14:schemeClr>
                  </w14:solidFill>
                </w14:textFill>
              </w:rPr>
              <w:t>|</w:t>
            </w:r>
            <w:r w:rsidR="00522617">
              <w:rPr>
                <w:rFonts w:cs="Arial"/>
                <w:color w:val="000000"/>
                <w:szCs w:val="20"/>
                <w:vertAlign w:val="superscript"/>
                <w:lang w:val="en-AU"/>
              </w:rPr>
              <w:t>3</w:t>
            </w:r>
          </w:p>
        </w:tc>
      </w:tr>
      <w:tr w:rsidR="00C82931" w:rsidRPr="00FA0529" w14:paraId="721B0B08" w14:textId="77777777" w:rsidTr="00B26207">
        <w:tc>
          <w:tcPr>
            <w:cnfStyle w:val="001000000000" w:firstRow="0" w:lastRow="0" w:firstColumn="1" w:lastColumn="0" w:oddVBand="0" w:evenVBand="0" w:oddHBand="0" w:evenHBand="0" w:firstRowFirstColumn="0" w:firstRowLastColumn="0" w:lastRowFirstColumn="0" w:lastRowLastColumn="0"/>
            <w:tcW w:w="5000" w:type="pct"/>
            <w:gridSpan w:val="7"/>
          </w:tcPr>
          <w:p w14:paraId="4A5320B8" w14:textId="77777777" w:rsidR="00C82931" w:rsidRPr="00FA0529" w:rsidRDefault="00C82931" w:rsidP="00C82931">
            <w:pPr>
              <w:pStyle w:val="TableText"/>
              <w:keepLines/>
              <w:rPr>
                <w:b/>
                <w:bCs w:val="0"/>
                <w:lang w:val="en-AU"/>
              </w:rPr>
            </w:pPr>
            <w:r w:rsidRPr="00FA0529">
              <w:rPr>
                <w:b/>
                <w:bCs w:val="0"/>
                <w:lang w:val="en-AU"/>
              </w:rPr>
              <w:t>Estimated financial implications for FOLFOX associated costs to the MBS</w:t>
            </w:r>
          </w:p>
        </w:tc>
      </w:tr>
      <w:tr w:rsidR="00C82931" w:rsidRPr="00FA0529" w14:paraId="059CA6EF"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12832A18" w14:textId="77777777" w:rsidR="00C82931" w:rsidRPr="00FA0529" w:rsidRDefault="00C82931" w:rsidP="00C82931">
            <w:pPr>
              <w:pStyle w:val="TableText"/>
              <w:keepLines/>
              <w:rPr>
                <w:lang w:val="en-AU"/>
              </w:rPr>
            </w:pPr>
            <w:r w:rsidRPr="00FA0529">
              <w:rPr>
                <w:lang w:val="en-AU"/>
              </w:rPr>
              <w:t>Cost to MBS less co-payments (80% rebate)</w:t>
            </w:r>
          </w:p>
        </w:tc>
        <w:tc>
          <w:tcPr>
            <w:tcW w:w="784" w:type="pct"/>
          </w:tcPr>
          <w:p w14:paraId="4CF29BAE" w14:textId="24D4A29C" w:rsidR="00C82931" w:rsidRPr="00FA0529"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lang w:val="en-AU"/>
              </w:rPr>
            </w:pPr>
            <w:r w:rsidRPr="00FA0529">
              <w:rPr>
                <w:rFonts w:cs="Arial"/>
                <w:color w:val="000000"/>
                <w:szCs w:val="20"/>
                <w:lang w:val="en-AU"/>
              </w:rPr>
              <w:t>-$</w:t>
            </w:r>
            <w:r w:rsidR="00DE7EE1" w:rsidRPr="00DE7EE1">
              <w:rPr>
                <w:rFonts w:cs="Arial"/>
                <w:color w:val="000000"/>
                <w:spacing w:val="51"/>
                <w:szCs w:val="20"/>
                <w:shd w:val="solid" w:color="000000" w:fill="000000"/>
                <w:fitText w:val="324" w:id="-628460031"/>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31"/>
                <w14:textFill>
                  <w14:solidFill>
                    <w14:srgbClr w14:val="000000">
                      <w14:alpha w14:val="100000"/>
                    </w14:srgbClr>
                  </w14:solidFill>
                </w14:textFill>
              </w:rPr>
              <w:t>|</w:t>
            </w:r>
            <w:r w:rsidR="00522617">
              <w:rPr>
                <w:rFonts w:cs="Arial"/>
                <w:color w:val="000000"/>
                <w:szCs w:val="20"/>
                <w:vertAlign w:val="superscript"/>
                <w:lang w:val="en-AU"/>
              </w:rPr>
              <w:t>3</w:t>
            </w:r>
          </w:p>
        </w:tc>
        <w:tc>
          <w:tcPr>
            <w:tcW w:w="580" w:type="pct"/>
          </w:tcPr>
          <w:p w14:paraId="124B4E8F" w14:textId="665EB057"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1"/>
                <w:szCs w:val="20"/>
                <w:shd w:val="solid" w:color="000000" w:fill="000000"/>
                <w:fitText w:val="324" w:id="-628460030"/>
                <w14:textFill>
                  <w14:solidFill>
                    <w14:schemeClr w14:val="tx1">
                      <w14:alpha w14:val="100000"/>
                    </w14:schemeClr>
                  </w14:solidFill>
                </w14:textFill>
              </w:rPr>
              <w:t>|||</w:t>
            </w:r>
            <w:r w:rsidR="00DE7EE1" w:rsidRPr="00DE7EE1">
              <w:rPr>
                <w:rFonts w:cs="Arial"/>
                <w:spacing w:val="1"/>
                <w:szCs w:val="20"/>
                <w:shd w:val="solid" w:color="000000" w:fill="000000"/>
                <w:fitText w:val="324" w:id="-628460030"/>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6E119073" w14:textId="1683CCB3"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1"/>
                <w:szCs w:val="20"/>
                <w:shd w:val="solid" w:color="000000" w:fill="000000"/>
                <w:fitText w:val="324" w:id="-628460029"/>
                <w14:textFill>
                  <w14:solidFill>
                    <w14:schemeClr w14:val="tx1">
                      <w14:alpha w14:val="100000"/>
                    </w14:schemeClr>
                  </w14:solidFill>
                </w14:textFill>
              </w:rPr>
              <w:t>|||</w:t>
            </w:r>
            <w:r w:rsidR="00DE7EE1" w:rsidRPr="00DE7EE1">
              <w:rPr>
                <w:rFonts w:cs="Arial"/>
                <w:spacing w:val="1"/>
                <w:szCs w:val="20"/>
                <w:shd w:val="solid" w:color="000000" w:fill="000000"/>
                <w:fitText w:val="324" w:id="-628460029"/>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32DF7713" w14:textId="7C6ACD08"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1"/>
                <w:szCs w:val="20"/>
                <w:shd w:val="solid" w:color="000000" w:fill="000000"/>
                <w:fitText w:val="324" w:id="-628460028"/>
                <w14:textFill>
                  <w14:solidFill>
                    <w14:schemeClr w14:val="tx1">
                      <w14:alpha w14:val="100000"/>
                    </w14:schemeClr>
                  </w14:solidFill>
                </w14:textFill>
              </w:rPr>
              <w:t>|||</w:t>
            </w:r>
            <w:r w:rsidR="00DE7EE1" w:rsidRPr="00DE7EE1">
              <w:rPr>
                <w:rFonts w:cs="Arial"/>
                <w:spacing w:val="1"/>
                <w:szCs w:val="20"/>
                <w:shd w:val="solid" w:color="000000" w:fill="000000"/>
                <w:fitText w:val="324" w:id="-628460028"/>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41E7F1F0" w14:textId="67AB5226"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1"/>
                <w:szCs w:val="20"/>
                <w:shd w:val="solid" w:color="000000" w:fill="000000"/>
                <w:fitText w:val="324" w:id="-628460027"/>
                <w14:textFill>
                  <w14:solidFill>
                    <w14:schemeClr w14:val="tx1">
                      <w14:alpha w14:val="100000"/>
                    </w14:schemeClr>
                  </w14:solidFill>
                </w14:textFill>
              </w:rPr>
              <w:t>|||</w:t>
            </w:r>
            <w:r w:rsidR="00DE7EE1" w:rsidRPr="00DE7EE1">
              <w:rPr>
                <w:rFonts w:cs="Arial"/>
                <w:spacing w:val="1"/>
                <w:szCs w:val="20"/>
                <w:shd w:val="solid" w:color="000000" w:fill="000000"/>
                <w:fitText w:val="324" w:id="-628460027"/>
                <w14:textFill>
                  <w14:solidFill>
                    <w14:schemeClr w14:val="tx1">
                      <w14:alpha w14:val="100000"/>
                    </w14:schemeClr>
                  </w14:solidFill>
                </w14:textFill>
              </w:rPr>
              <w:t>|</w:t>
            </w:r>
            <w:r w:rsidR="00522617">
              <w:rPr>
                <w:rFonts w:cs="Arial"/>
                <w:color w:val="000000"/>
                <w:szCs w:val="20"/>
                <w:vertAlign w:val="superscript"/>
                <w:lang w:val="en-AU"/>
              </w:rPr>
              <w:t>3</w:t>
            </w:r>
          </w:p>
        </w:tc>
        <w:tc>
          <w:tcPr>
            <w:tcW w:w="581" w:type="pct"/>
          </w:tcPr>
          <w:p w14:paraId="7A395C73" w14:textId="50A16148"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1"/>
                <w:szCs w:val="20"/>
                <w:shd w:val="solid" w:color="000000" w:fill="000000"/>
                <w:fitText w:val="324" w:id="-628460026"/>
                <w14:textFill>
                  <w14:solidFill>
                    <w14:schemeClr w14:val="tx1">
                      <w14:alpha w14:val="100000"/>
                    </w14:schemeClr>
                  </w14:solidFill>
                </w14:textFill>
              </w:rPr>
              <w:t>|||</w:t>
            </w:r>
            <w:r w:rsidR="00DE7EE1" w:rsidRPr="00DE7EE1">
              <w:rPr>
                <w:rFonts w:cs="Arial"/>
                <w:spacing w:val="1"/>
                <w:szCs w:val="20"/>
                <w:shd w:val="solid" w:color="000000" w:fill="000000"/>
                <w:fitText w:val="324" w:id="-628460026"/>
                <w14:textFill>
                  <w14:solidFill>
                    <w14:schemeClr w14:val="tx1">
                      <w14:alpha w14:val="100000"/>
                    </w14:schemeClr>
                  </w14:solidFill>
                </w14:textFill>
              </w:rPr>
              <w:t>|</w:t>
            </w:r>
            <w:r w:rsidR="00522617">
              <w:rPr>
                <w:rFonts w:cs="Arial"/>
                <w:color w:val="000000"/>
                <w:szCs w:val="20"/>
                <w:vertAlign w:val="superscript"/>
                <w:lang w:val="en-AU"/>
              </w:rPr>
              <w:t>3</w:t>
            </w:r>
          </w:p>
        </w:tc>
      </w:tr>
      <w:tr w:rsidR="00C82931" w:rsidRPr="00FA0529" w14:paraId="066C602E" w14:textId="77777777" w:rsidTr="00B26207">
        <w:tc>
          <w:tcPr>
            <w:cnfStyle w:val="001000000000" w:firstRow="0" w:lastRow="0" w:firstColumn="1" w:lastColumn="0" w:oddVBand="0" w:evenVBand="0" w:oddHBand="0" w:evenHBand="0" w:firstRowFirstColumn="0" w:firstRowLastColumn="0" w:lastRowFirstColumn="0" w:lastRowLastColumn="0"/>
            <w:tcW w:w="5000" w:type="pct"/>
            <w:gridSpan w:val="7"/>
          </w:tcPr>
          <w:p w14:paraId="28BA1961" w14:textId="77777777" w:rsidR="00C82931" w:rsidRPr="00FA0529" w:rsidRDefault="00C82931" w:rsidP="00C82931">
            <w:pPr>
              <w:pStyle w:val="TableText"/>
              <w:keepLines/>
              <w:rPr>
                <w:b/>
                <w:lang w:val="en-AU"/>
              </w:rPr>
            </w:pPr>
            <w:r w:rsidRPr="00FA0529">
              <w:rPr>
                <w:b/>
                <w:lang w:val="en-AU"/>
              </w:rPr>
              <w:t xml:space="preserve">Net financial implications </w:t>
            </w:r>
          </w:p>
        </w:tc>
      </w:tr>
      <w:tr w:rsidR="00C82931" w:rsidRPr="00FA0529" w14:paraId="6BFEBDA5"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06B27232" w14:textId="011452B6" w:rsidR="00C82931" w:rsidRPr="00FA0529" w:rsidRDefault="00C82931" w:rsidP="00C82931">
            <w:pPr>
              <w:pStyle w:val="TableText"/>
              <w:keepLines/>
              <w:rPr>
                <w:lang w:val="en-AU"/>
              </w:rPr>
            </w:pPr>
            <w:r w:rsidRPr="00FA0529">
              <w:rPr>
                <w:lang w:val="en-AU"/>
              </w:rPr>
              <w:t>Net cost to PBS/RPBS</w:t>
            </w:r>
          </w:p>
        </w:tc>
        <w:tc>
          <w:tcPr>
            <w:tcW w:w="784" w:type="pct"/>
          </w:tcPr>
          <w:p w14:paraId="06D3A576" w14:textId="30FBA7DB" w:rsidR="00C82931" w:rsidRPr="00FA0529"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lang w:val="en-AU"/>
              </w:rPr>
            </w:pPr>
            <w:r w:rsidRPr="00FA0529">
              <w:rPr>
                <w:rFonts w:cs="Arial"/>
                <w:color w:val="000000"/>
                <w:szCs w:val="20"/>
                <w:lang w:val="en-AU"/>
              </w:rPr>
              <w:t>$</w:t>
            </w:r>
            <w:r w:rsidR="00DE7EE1" w:rsidRPr="00DE7EE1">
              <w:rPr>
                <w:rFonts w:cs="Arial"/>
                <w:color w:val="000000"/>
                <w:spacing w:val="51"/>
                <w:szCs w:val="20"/>
                <w:shd w:val="solid" w:color="000000" w:fill="000000"/>
                <w:fitText w:val="324" w:id="-628460025"/>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25"/>
                <w14:textFill>
                  <w14:solidFill>
                    <w14:srgbClr w14:val="000000">
                      <w14:alpha w14:val="100000"/>
                    </w14:srgbClr>
                  </w14:solidFill>
                </w14:textFill>
              </w:rPr>
              <w:t>|</w:t>
            </w:r>
            <w:r w:rsidR="00522617">
              <w:rPr>
                <w:rFonts w:cs="Arial"/>
                <w:color w:val="000000"/>
                <w:szCs w:val="20"/>
                <w:vertAlign w:val="superscript"/>
                <w:lang w:val="en-AU"/>
              </w:rPr>
              <w:t>3</w:t>
            </w:r>
          </w:p>
        </w:tc>
        <w:tc>
          <w:tcPr>
            <w:tcW w:w="580" w:type="pct"/>
          </w:tcPr>
          <w:p w14:paraId="007F4350" w14:textId="12AA9373"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4"/>
                <w14:textFill>
                  <w14:solidFill>
                    <w14:schemeClr w14:val="tx1">
                      <w14:alpha w14:val="100000"/>
                    </w14:schemeClr>
                  </w14:solidFill>
                </w14:textFill>
              </w:rPr>
              <w:t>|||</w:t>
            </w:r>
            <w:r w:rsidR="00DE7EE1" w:rsidRPr="00DE7EE1">
              <w:rPr>
                <w:rFonts w:cs="Arial"/>
                <w:spacing w:val="1"/>
                <w:szCs w:val="20"/>
                <w:shd w:val="solid" w:color="000000" w:fill="000000"/>
                <w:fitText w:val="336" w:id="-628460024"/>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2D460451" w14:textId="0B29D667"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3"/>
                <w14:textFill>
                  <w14:solidFill>
                    <w14:schemeClr w14:val="tx1">
                      <w14:alpha w14:val="100000"/>
                    </w14:schemeClr>
                  </w14:solidFill>
                </w14:textFill>
              </w:rPr>
              <w:t>|||</w:t>
            </w:r>
            <w:r w:rsidR="00DE7EE1" w:rsidRPr="00DE7EE1">
              <w:rPr>
                <w:rFonts w:cs="Arial"/>
                <w:spacing w:val="1"/>
                <w:szCs w:val="20"/>
                <w:shd w:val="solid" w:color="000000" w:fill="000000"/>
                <w:fitText w:val="336" w:id="-628460023"/>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7220705D" w14:textId="792527C3"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2"/>
                <w14:textFill>
                  <w14:solidFill>
                    <w14:schemeClr w14:val="tx1">
                      <w14:alpha w14:val="100000"/>
                    </w14:schemeClr>
                  </w14:solidFill>
                </w14:textFill>
              </w:rPr>
              <w:t>|||</w:t>
            </w:r>
            <w:r w:rsidR="00DE7EE1" w:rsidRPr="00DE7EE1">
              <w:rPr>
                <w:rFonts w:cs="Arial"/>
                <w:spacing w:val="1"/>
                <w:szCs w:val="20"/>
                <w:shd w:val="solid" w:color="000000" w:fill="000000"/>
                <w:fitText w:val="336" w:id="-628460022"/>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61839C6D" w14:textId="5BAF137C"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1"/>
                <w14:textFill>
                  <w14:solidFill>
                    <w14:schemeClr w14:val="tx1">
                      <w14:alpha w14:val="100000"/>
                    </w14:schemeClr>
                  </w14:solidFill>
                </w14:textFill>
              </w:rPr>
              <w:t>|||</w:t>
            </w:r>
            <w:r w:rsidR="00DE7EE1" w:rsidRPr="00DE7EE1">
              <w:rPr>
                <w:rFonts w:cs="Arial"/>
                <w:spacing w:val="1"/>
                <w:szCs w:val="20"/>
                <w:shd w:val="solid" w:color="000000" w:fill="000000"/>
                <w:fitText w:val="336" w:id="-628460021"/>
                <w14:textFill>
                  <w14:solidFill>
                    <w14:schemeClr w14:val="tx1">
                      <w14:alpha w14:val="100000"/>
                    </w14:schemeClr>
                  </w14:solidFill>
                </w14:textFill>
              </w:rPr>
              <w:t>|</w:t>
            </w:r>
            <w:r w:rsidR="00522617">
              <w:rPr>
                <w:rFonts w:cs="Arial"/>
                <w:color w:val="000000"/>
                <w:szCs w:val="20"/>
                <w:vertAlign w:val="superscript"/>
                <w:lang w:val="en-AU"/>
              </w:rPr>
              <w:t>3</w:t>
            </w:r>
          </w:p>
        </w:tc>
        <w:tc>
          <w:tcPr>
            <w:tcW w:w="581" w:type="pct"/>
          </w:tcPr>
          <w:p w14:paraId="1114F4C4" w14:textId="3A2FA2CC"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0"/>
                <w14:textFill>
                  <w14:solidFill>
                    <w14:schemeClr w14:val="tx1">
                      <w14:alpha w14:val="100000"/>
                    </w14:schemeClr>
                  </w14:solidFill>
                </w14:textFill>
              </w:rPr>
              <w:t>|||</w:t>
            </w:r>
            <w:r w:rsidR="00DE7EE1" w:rsidRPr="00DE7EE1">
              <w:rPr>
                <w:rFonts w:cs="Arial"/>
                <w:spacing w:val="1"/>
                <w:szCs w:val="20"/>
                <w:shd w:val="solid" w:color="000000" w:fill="000000"/>
                <w:fitText w:val="336" w:id="-628460020"/>
                <w14:textFill>
                  <w14:solidFill>
                    <w14:schemeClr w14:val="tx1">
                      <w14:alpha w14:val="100000"/>
                    </w14:schemeClr>
                  </w14:solidFill>
                </w14:textFill>
              </w:rPr>
              <w:t>|</w:t>
            </w:r>
            <w:r w:rsidR="00522617">
              <w:rPr>
                <w:rFonts w:cs="Arial"/>
                <w:color w:val="000000"/>
                <w:szCs w:val="20"/>
                <w:vertAlign w:val="superscript"/>
                <w:lang w:val="en-AU"/>
              </w:rPr>
              <w:t>3</w:t>
            </w:r>
          </w:p>
        </w:tc>
      </w:tr>
      <w:tr w:rsidR="00C82931" w:rsidRPr="00FA0529" w14:paraId="39F261F2"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26BE56DB" w14:textId="3A5198D0" w:rsidR="00C82931" w:rsidRPr="00FA0529" w:rsidRDefault="00C82931" w:rsidP="00C82931">
            <w:pPr>
              <w:pStyle w:val="TableText"/>
              <w:keepLines/>
              <w:rPr>
                <w:rFonts w:ascii="Times" w:eastAsia="Times New Roman" w:hAnsi="Times" w:cs="Times New Roman"/>
                <w:lang w:val="en-AU"/>
              </w:rPr>
            </w:pPr>
            <w:r w:rsidRPr="00FA0529">
              <w:rPr>
                <w:lang w:val="en-AU"/>
              </w:rPr>
              <w:t>Net cost to MBS</w:t>
            </w:r>
          </w:p>
        </w:tc>
        <w:tc>
          <w:tcPr>
            <w:tcW w:w="784" w:type="pct"/>
          </w:tcPr>
          <w:p w14:paraId="6F16E965" w14:textId="505090FC" w:rsidR="00C82931" w:rsidRPr="00FA0529"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lang w:val="en-AU"/>
              </w:rPr>
            </w:pPr>
            <w:r w:rsidRPr="00FA0529">
              <w:rPr>
                <w:rFonts w:cs="Arial"/>
                <w:color w:val="000000"/>
                <w:szCs w:val="20"/>
                <w:lang w:val="en-AU"/>
              </w:rPr>
              <w:t>$</w:t>
            </w:r>
            <w:r w:rsidR="00DE7EE1" w:rsidRPr="00DE7EE1">
              <w:rPr>
                <w:rFonts w:cs="Arial"/>
                <w:color w:val="000000"/>
                <w:spacing w:val="51"/>
                <w:szCs w:val="20"/>
                <w:shd w:val="solid" w:color="000000" w:fill="000000"/>
                <w:fitText w:val="324" w:id="-628460019"/>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19"/>
                <w14:textFill>
                  <w14:solidFill>
                    <w14:srgbClr w14:val="000000">
                      <w14:alpha w14:val="100000"/>
                    </w14:srgbClr>
                  </w14:solidFill>
                </w14:textFill>
              </w:rPr>
              <w:t>|</w:t>
            </w:r>
            <w:r w:rsidR="00522617">
              <w:rPr>
                <w:rFonts w:cs="Arial"/>
                <w:color w:val="000000"/>
                <w:szCs w:val="20"/>
                <w:vertAlign w:val="superscript"/>
                <w:lang w:val="en-AU"/>
              </w:rPr>
              <w:t>3</w:t>
            </w:r>
          </w:p>
        </w:tc>
        <w:tc>
          <w:tcPr>
            <w:tcW w:w="580" w:type="pct"/>
          </w:tcPr>
          <w:p w14:paraId="5D04BFBA" w14:textId="729C35AD"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8"/>
                <w14:textFill>
                  <w14:solidFill>
                    <w14:schemeClr w14:val="tx1">
                      <w14:alpha w14:val="100000"/>
                    </w14:schemeClr>
                  </w14:solidFill>
                </w14:textFill>
              </w:rPr>
              <w:t>|||</w:t>
            </w:r>
            <w:r w:rsidR="00DE7EE1" w:rsidRPr="00DE7EE1">
              <w:rPr>
                <w:rFonts w:cs="Arial"/>
                <w:spacing w:val="1"/>
                <w:szCs w:val="20"/>
                <w:shd w:val="solid" w:color="000000" w:fill="000000"/>
                <w:fitText w:val="336" w:id="-628460018"/>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1A3C1C1D" w14:textId="538C2B92"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7"/>
                <w14:textFill>
                  <w14:solidFill>
                    <w14:schemeClr w14:val="tx1">
                      <w14:alpha w14:val="100000"/>
                    </w14:schemeClr>
                  </w14:solidFill>
                </w14:textFill>
              </w:rPr>
              <w:t>|||</w:t>
            </w:r>
            <w:r w:rsidR="00DE7EE1" w:rsidRPr="00DE7EE1">
              <w:rPr>
                <w:rFonts w:cs="Arial"/>
                <w:spacing w:val="1"/>
                <w:szCs w:val="20"/>
                <w:shd w:val="solid" w:color="000000" w:fill="000000"/>
                <w:fitText w:val="336" w:id="-628460017"/>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0F0F3A56" w14:textId="42EFF11D"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6"/>
                <w14:textFill>
                  <w14:solidFill>
                    <w14:schemeClr w14:val="tx1">
                      <w14:alpha w14:val="100000"/>
                    </w14:schemeClr>
                  </w14:solidFill>
                </w14:textFill>
              </w:rPr>
              <w:t>|||</w:t>
            </w:r>
            <w:r w:rsidR="00DE7EE1" w:rsidRPr="00DE7EE1">
              <w:rPr>
                <w:rFonts w:cs="Arial"/>
                <w:spacing w:val="1"/>
                <w:szCs w:val="20"/>
                <w:shd w:val="solid" w:color="000000" w:fill="000000"/>
                <w:fitText w:val="336" w:id="-628460016"/>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563DB8C0" w14:textId="65B30727"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32"/>
                <w14:textFill>
                  <w14:solidFill>
                    <w14:schemeClr w14:val="tx1">
                      <w14:alpha w14:val="100000"/>
                    </w14:schemeClr>
                  </w14:solidFill>
                </w14:textFill>
              </w:rPr>
              <w:t>|||</w:t>
            </w:r>
            <w:r w:rsidR="00DE7EE1" w:rsidRPr="00DE7EE1">
              <w:rPr>
                <w:rFonts w:cs="Arial"/>
                <w:spacing w:val="1"/>
                <w:szCs w:val="20"/>
                <w:shd w:val="solid" w:color="000000" w:fill="000000"/>
                <w:fitText w:val="336" w:id="-628460032"/>
                <w14:textFill>
                  <w14:solidFill>
                    <w14:schemeClr w14:val="tx1">
                      <w14:alpha w14:val="100000"/>
                    </w14:schemeClr>
                  </w14:solidFill>
                </w14:textFill>
              </w:rPr>
              <w:t>|</w:t>
            </w:r>
            <w:r w:rsidR="00522617">
              <w:rPr>
                <w:rFonts w:cs="Arial"/>
                <w:color w:val="000000"/>
                <w:szCs w:val="20"/>
                <w:vertAlign w:val="superscript"/>
                <w:lang w:val="en-AU"/>
              </w:rPr>
              <w:t>3</w:t>
            </w:r>
          </w:p>
        </w:tc>
        <w:tc>
          <w:tcPr>
            <w:tcW w:w="581" w:type="pct"/>
          </w:tcPr>
          <w:p w14:paraId="18E590D8" w14:textId="6CBD7583"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31"/>
                <w14:textFill>
                  <w14:solidFill>
                    <w14:schemeClr w14:val="tx1">
                      <w14:alpha w14:val="100000"/>
                    </w14:schemeClr>
                  </w14:solidFill>
                </w14:textFill>
              </w:rPr>
              <w:t>|||</w:t>
            </w:r>
            <w:r w:rsidR="00DE7EE1" w:rsidRPr="00DE7EE1">
              <w:rPr>
                <w:rFonts w:cs="Arial"/>
                <w:spacing w:val="1"/>
                <w:szCs w:val="20"/>
                <w:shd w:val="solid" w:color="000000" w:fill="000000"/>
                <w:fitText w:val="336" w:id="-628460031"/>
                <w14:textFill>
                  <w14:solidFill>
                    <w14:schemeClr w14:val="tx1">
                      <w14:alpha w14:val="100000"/>
                    </w14:schemeClr>
                  </w14:solidFill>
                </w14:textFill>
              </w:rPr>
              <w:t>|</w:t>
            </w:r>
            <w:r w:rsidR="00522617">
              <w:rPr>
                <w:rFonts w:cs="Arial"/>
                <w:color w:val="000000"/>
                <w:szCs w:val="20"/>
                <w:vertAlign w:val="superscript"/>
                <w:lang w:val="en-AU"/>
              </w:rPr>
              <w:t>3</w:t>
            </w:r>
          </w:p>
        </w:tc>
      </w:tr>
      <w:tr w:rsidR="00C82931" w:rsidRPr="00FA0529" w14:paraId="3D408D9F"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22A45297" w14:textId="676041AC" w:rsidR="00C82931" w:rsidRPr="00FA0529" w:rsidRDefault="00C82931" w:rsidP="00C82931">
            <w:pPr>
              <w:pStyle w:val="TableText"/>
              <w:keepLines/>
              <w:rPr>
                <w:b/>
                <w:bCs w:val="0"/>
                <w:lang w:val="en-AU"/>
              </w:rPr>
            </w:pPr>
            <w:r w:rsidRPr="00FA0529">
              <w:rPr>
                <w:b/>
                <w:lang w:val="en-AU"/>
              </w:rPr>
              <w:t>Net cost to PBS/RPBS/MBS</w:t>
            </w:r>
          </w:p>
        </w:tc>
        <w:tc>
          <w:tcPr>
            <w:tcW w:w="784" w:type="pct"/>
          </w:tcPr>
          <w:p w14:paraId="15011DE2" w14:textId="550DD3EC" w:rsidR="00C82931" w:rsidRPr="00FA0529"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lang w:val="en-AU"/>
              </w:rPr>
            </w:pPr>
            <w:r w:rsidRPr="00FA0529">
              <w:rPr>
                <w:rFonts w:cs="Arial"/>
                <w:color w:val="000000"/>
                <w:szCs w:val="20"/>
                <w:lang w:val="en-AU"/>
              </w:rPr>
              <w:t>$</w:t>
            </w:r>
            <w:r w:rsidR="00DE7EE1" w:rsidRPr="00DE7EE1">
              <w:rPr>
                <w:rFonts w:cs="Arial"/>
                <w:color w:val="000000"/>
                <w:spacing w:val="51"/>
                <w:szCs w:val="20"/>
                <w:shd w:val="solid" w:color="000000" w:fill="000000"/>
                <w:fitText w:val="324" w:id="-628460030"/>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30"/>
                <w14:textFill>
                  <w14:solidFill>
                    <w14:srgbClr w14:val="000000">
                      <w14:alpha w14:val="100000"/>
                    </w14:srgbClr>
                  </w14:solidFill>
                </w14:textFill>
              </w:rPr>
              <w:t>|</w:t>
            </w:r>
            <w:r w:rsidR="00522617">
              <w:rPr>
                <w:rFonts w:cs="Arial"/>
                <w:color w:val="000000"/>
                <w:szCs w:val="20"/>
                <w:vertAlign w:val="superscript"/>
                <w:lang w:val="en-AU"/>
              </w:rPr>
              <w:t>3</w:t>
            </w:r>
          </w:p>
        </w:tc>
        <w:tc>
          <w:tcPr>
            <w:tcW w:w="580" w:type="pct"/>
          </w:tcPr>
          <w:p w14:paraId="66E43553" w14:textId="5C83D622"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9"/>
                <w14:textFill>
                  <w14:solidFill>
                    <w14:schemeClr w14:val="tx1">
                      <w14:alpha w14:val="100000"/>
                    </w14:schemeClr>
                  </w14:solidFill>
                </w14:textFill>
              </w:rPr>
              <w:t>|||</w:t>
            </w:r>
            <w:r w:rsidR="00DE7EE1" w:rsidRPr="00DE7EE1">
              <w:rPr>
                <w:rFonts w:cs="Arial"/>
                <w:spacing w:val="1"/>
                <w:szCs w:val="20"/>
                <w:shd w:val="solid" w:color="000000" w:fill="000000"/>
                <w:fitText w:val="336" w:id="-628460029"/>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5BDEA344" w14:textId="7B8308AB"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8"/>
                <w14:textFill>
                  <w14:solidFill>
                    <w14:schemeClr w14:val="tx1">
                      <w14:alpha w14:val="100000"/>
                    </w14:schemeClr>
                  </w14:solidFill>
                </w14:textFill>
              </w:rPr>
              <w:t>|||</w:t>
            </w:r>
            <w:r w:rsidR="00DE7EE1" w:rsidRPr="00DE7EE1">
              <w:rPr>
                <w:rFonts w:cs="Arial"/>
                <w:spacing w:val="1"/>
                <w:szCs w:val="20"/>
                <w:shd w:val="solid" w:color="000000" w:fill="000000"/>
                <w:fitText w:val="336" w:id="-628460028"/>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072A5A0C" w14:textId="14BBA828"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7"/>
                <w14:textFill>
                  <w14:solidFill>
                    <w14:schemeClr w14:val="tx1">
                      <w14:alpha w14:val="100000"/>
                    </w14:schemeClr>
                  </w14:solidFill>
                </w14:textFill>
              </w:rPr>
              <w:t>|||</w:t>
            </w:r>
            <w:r w:rsidR="00DE7EE1" w:rsidRPr="00DE7EE1">
              <w:rPr>
                <w:rFonts w:cs="Arial"/>
                <w:spacing w:val="1"/>
                <w:szCs w:val="20"/>
                <w:shd w:val="solid" w:color="000000" w:fill="000000"/>
                <w:fitText w:val="336" w:id="-628460027"/>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7ECD38E0" w14:textId="4874BB7B"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6"/>
                <w14:textFill>
                  <w14:solidFill>
                    <w14:schemeClr w14:val="tx1">
                      <w14:alpha w14:val="100000"/>
                    </w14:schemeClr>
                  </w14:solidFill>
                </w14:textFill>
              </w:rPr>
              <w:t>|||</w:t>
            </w:r>
            <w:r w:rsidR="00DE7EE1" w:rsidRPr="00DE7EE1">
              <w:rPr>
                <w:rFonts w:cs="Arial"/>
                <w:spacing w:val="1"/>
                <w:szCs w:val="20"/>
                <w:shd w:val="solid" w:color="000000" w:fill="000000"/>
                <w:fitText w:val="336" w:id="-628460026"/>
                <w14:textFill>
                  <w14:solidFill>
                    <w14:schemeClr w14:val="tx1">
                      <w14:alpha w14:val="100000"/>
                    </w14:schemeClr>
                  </w14:solidFill>
                </w14:textFill>
              </w:rPr>
              <w:t>|</w:t>
            </w:r>
            <w:r w:rsidR="00522617">
              <w:rPr>
                <w:rFonts w:cs="Arial"/>
                <w:color w:val="000000"/>
                <w:szCs w:val="20"/>
                <w:vertAlign w:val="superscript"/>
                <w:lang w:val="en-AU"/>
              </w:rPr>
              <w:t>3</w:t>
            </w:r>
          </w:p>
        </w:tc>
        <w:tc>
          <w:tcPr>
            <w:tcW w:w="581" w:type="pct"/>
          </w:tcPr>
          <w:p w14:paraId="220BE442" w14:textId="26BADAB9"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Pr>
                <w:rFonts w:cs="Arial"/>
                <w:spacing w:val="54"/>
                <w:szCs w:val="20"/>
                <w:shd w:val="solid" w:color="000000" w:fill="000000"/>
                <w:fitText w:val="336" w:id="-628460025"/>
                <w14:textFill>
                  <w14:solidFill>
                    <w14:schemeClr w14:val="tx1">
                      <w14:alpha w14:val="100000"/>
                    </w14:schemeClr>
                  </w14:solidFill>
                </w14:textFill>
              </w:rPr>
              <w:t>|||</w:t>
            </w:r>
            <w:r w:rsidR="00DE7EE1">
              <w:rPr>
                <w:rFonts w:cs="Arial"/>
                <w:spacing w:val="2"/>
                <w:szCs w:val="20"/>
                <w:shd w:val="solid" w:color="000000" w:fill="000000"/>
                <w:fitText w:val="336" w:id="-628460025"/>
                <w14:textFill>
                  <w14:solidFill>
                    <w14:schemeClr w14:val="tx1">
                      <w14:alpha w14:val="100000"/>
                    </w14:schemeClr>
                  </w14:solidFill>
                </w14:textFill>
              </w:rPr>
              <w:t>|</w:t>
            </w:r>
            <w:r w:rsidR="00522617">
              <w:rPr>
                <w:rFonts w:cs="Arial"/>
                <w:color w:val="000000"/>
                <w:szCs w:val="20"/>
                <w:vertAlign w:val="superscript"/>
                <w:lang w:val="en-AU"/>
              </w:rPr>
              <w:t>3</w:t>
            </w:r>
          </w:p>
        </w:tc>
      </w:tr>
    </w:tbl>
    <w:p w14:paraId="23C2192C" w14:textId="77777777" w:rsidR="00202D71" w:rsidRPr="00FA0529" w:rsidRDefault="0071384C" w:rsidP="00620D01">
      <w:pPr>
        <w:pStyle w:val="TableFigureFooter"/>
      </w:pPr>
      <w:r w:rsidRPr="00FA0529">
        <w:t>Source: financial table workbook from the resubmission</w:t>
      </w:r>
    </w:p>
    <w:p w14:paraId="6F0E3907" w14:textId="0B327DB7" w:rsidR="008F6D4F" w:rsidRDefault="008F6D4F" w:rsidP="00677127">
      <w:pPr>
        <w:pStyle w:val="TableFigureFooter"/>
      </w:pPr>
      <w:r w:rsidRPr="00FA0529">
        <w:t>ECOG</w:t>
      </w:r>
      <w:r w:rsidR="00620D01" w:rsidRPr="00FA0529">
        <w:t xml:space="preserve"> PS</w:t>
      </w:r>
      <w:r w:rsidRPr="00FA0529">
        <w:t xml:space="preserve">, </w:t>
      </w:r>
      <w:r w:rsidR="002D7B4C" w:rsidRPr="00FA0529">
        <w:t xml:space="preserve">Eastern Cooperative Oncology Group </w:t>
      </w:r>
      <w:r w:rsidR="00620D01" w:rsidRPr="00FA0529">
        <w:t xml:space="preserve">Performance Status; </w:t>
      </w:r>
      <w:r w:rsidRPr="00FA0529">
        <w:t>FGFR, Fibroblast growth factor receptor</w:t>
      </w:r>
    </w:p>
    <w:p w14:paraId="35A17A43" w14:textId="77777777" w:rsidR="00C27885" w:rsidRPr="00C27885" w:rsidRDefault="00C27885" w:rsidP="00C27885">
      <w:pPr>
        <w:pStyle w:val="TableFigureFooter"/>
        <w:rPr>
          <w:i/>
        </w:rPr>
      </w:pPr>
      <w:r w:rsidRPr="00C27885">
        <w:rPr>
          <w:i/>
        </w:rPr>
        <w:t xml:space="preserve">The redacted values correspond to the following ranges: </w:t>
      </w:r>
    </w:p>
    <w:p w14:paraId="0EDC3270" w14:textId="3E2E30F3" w:rsidR="00C27885" w:rsidRPr="00C27885" w:rsidRDefault="00C27885" w:rsidP="00C27885">
      <w:pPr>
        <w:pStyle w:val="TableFigureFooter"/>
        <w:rPr>
          <w:i/>
        </w:rPr>
      </w:pPr>
      <w:r w:rsidRPr="00C27885">
        <w:rPr>
          <w:i/>
          <w:vertAlign w:val="superscript"/>
        </w:rPr>
        <w:t>1</w:t>
      </w:r>
      <w:r w:rsidRPr="00C27885">
        <w:rPr>
          <w:i/>
        </w:rPr>
        <w:t xml:space="preserve"> </w:t>
      </w:r>
      <w:r w:rsidR="0051620D" w:rsidRPr="0051620D">
        <w:rPr>
          <w:i/>
        </w:rPr>
        <w:t>500 to &lt; 5,000</w:t>
      </w:r>
    </w:p>
    <w:p w14:paraId="30879ADA" w14:textId="4D8D6282" w:rsidR="00C27885" w:rsidRPr="00C27885" w:rsidRDefault="00C27885" w:rsidP="00C27885">
      <w:pPr>
        <w:pStyle w:val="TableFigureFooter"/>
        <w:rPr>
          <w:i/>
        </w:rPr>
      </w:pPr>
      <w:r w:rsidRPr="00C27885">
        <w:rPr>
          <w:i/>
          <w:vertAlign w:val="superscript"/>
        </w:rPr>
        <w:t>2</w:t>
      </w:r>
      <w:r w:rsidRPr="00C27885">
        <w:rPr>
          <w:i/>
        </w:rPr>
        <w:t xml:space="preserve"> </w:t>
      </w:r>
      <w:r w:rsidR="00CC6295" w:rsidRPr="00CC6295">
        <w:rPr>
          <w:i/>
        </w:rPr>
        <w:t>&lt; 500</w:t>
      </w:r>
    </w:p>
    <w:p w14:paraId="0EED0DF2" w14:textId="6854D03D" w:rsidR="00C27885" w:rsidRPr="00FA0529" w:rsidRDefault="00C27885" w:rsidP="00677127">
      <w:pPr>
        <w:pStyle w:val="TableFigureFooter"/>
      </w:pPr>
      <w:r w:rsidRPr="00C27885">
        <w:rPr>
          <w:i/>
          <w:vertAlign w:val="superscript"/>
        </w:rPr>
        <w:t>3</w:t>
      </w:r>
      <w:r w:rsidRPr="00C27885">
        <w:rPr>
          <w:i/>
        </w:rPr>
        <w:t xml:space="preserve"> </w:t>
      </w:r>
      <w:r w:rsidR="00914AA8" w:rsidRPr="00914AA8">
        <w:rPr>
          <w:i/>
        </w:rPr>
        <w:t>$0 to &lt; $10 million</w:t>
      </w:r>
    </w:p>
    <w:p w14:paraId="64C77A44" w14:textId="77777777" w:rsidR="00257CFD" w:rsidRPr="00FA0529" w:rsidRDefault="00257CFD" w:rsidP="00257CFD"/>
    <w:p w14:paraId="013F961D" w14:textId="7D89E476" w:rsidR="00257CFD" w:rsidRDefault="00BA1AE7" w:rsidP="001F41C6">
      <w:pPr>
        <w:pStyle w:val="3-BodyText"/>
      </w:pPr>
      <w:r w:rsidRPr="008301C4">
        <w:t xml:space="preserve">The total net cost to the PBS/RPBS of listing futibatinib was estimated to be </w:t>
      </w:r>
      <w:r w:rsidR="004D6100" w:rsidRPr="004D6100">
        <w:t>$0 to &lt; $10 million</w:t>
      </w:r>
      <w:r w:rsidRPr="008301C4">
        <w:t xml:space="preserve"> in Year 1, increasing to </w:t>
      </w:r>
      <w:r w:rsidR="004D6100" w:rsidRPr="004D6100">
        <w:t>$0 to &lt; $10 million</w:t>
      </w:r>
      <w:r w:rsidRPr="008301C4">
        <w:t xml:space="preserve"> in Year 6, and a total of </w:t>
      </w:r>
      <w:r w:rsidR="00771392" w:rsidRPr="00771392">
        <w:t>$30 million to &lt; $40 million</w:t>
      </w:r>
      <w:r w:rsidRPr="008301C4">
        <w:t xml:space="preserve"> in the first six years of listing</w:t>
      </w:r>
      <w:r w:rsidR="00252D3F" w:rsidRPr="008301C4">
        <w:t xml:space="preserve">. </w:t>
      </w:r>
    </w:p>
    <w:p w14:paraId="19AF0FE6" w14:textId="565DA2BB" w:rsidR="00AE547A" w:rsidRPr="008301C4" w:rsidRDefault="00A20B00" w:rsidP="001F41C6">
      <w:pPr>
        <w:pStyle w:val="3-BodyText"/>
      </w:pPr>
      <w:r>
        <w:t xml:space="preserve">The pre-PBAC response provided revised financial estimates that corrected the errors identified </w:t>
      </w:r>
      <w:r w:rsidR="009C59CF">
        <w:t xml:space="preserve">in paragraph </w:t>
      </w:r>
      <w:r w:rsidR="009C59CF">
        <w:fldChar w:fldCharType="begin"/>
      </w:r>
      <w:r w:rsidR="009C59CF">
        <w:instrText xml:space="preserve"> REF _Ref204864700 \r \h </w:instrText>
      </w:r>
      <w:r w:rsidR="009C59CF">
        <w:fldChar w:fldCharType="separate"/>
      </w:r>
      <w:r w:rsidR="00462AA0">
        <w:t>4.24</w:t>
      </w:r>
      <w:r w:rsidR="009C59CF">
        <w:fldChar w:fldCharType="end"/>
      </w:r>
      <w:r w:rsidR="009C59CF">
        <w:t xml:space="preserve"> </w:t>
      </w:r>
      <w:r>
        <w:t xml:space="preserve">and </w:t>
      </w:r>
      <w:r w:rsidR="008D7C9D">
        <w:t xml:space="preserve">incorporated </w:t>
      </w:r>
      <w:r>
        <w:t>the revised price. The pre-PBAC response noted this reduced the</w:t>
      </w:r>
      <w:r w:rsidRPr="00356852">
        <w:t xml:space="preserve"> cost to the R/PBS </w:t>
      </w:r>
      <w:r>
        <w:t xml:space="preserve">over 6 years to </w:t>
      </w:r>
      <w:r w:rsidR="00771392" w:rsidRPr="00771392">
        <w:t>$30 million to &lt; $40 million</w:t>
      </w:r>
      <w:r>
        <w:t xml:space="preserve">. </w:t>
      </w:r>
    </w:p>
    <w:p w14:paraId="5183DDAF" w14:textId="0B4906B4" w:rsidR="008745B0" w:rsidRPr="00A20B00" w:rsidRDefault="008745B0" w:rsidP="00A20B00">
      <w:pPr>
        <w:pStyle w:val="3-BodyText"/>
        <w:numPr>
          <w:ilvl w:val="0"/>
          <w:numId w:val="0"/>
        </w:numPr>
        <w:rPr>
          <w:i/>
          <w:iCs/>
        </w:rPr>
      </w:pPr>
      <w:r w:rsidRPr="00A20B00">
        <w:rPr>
          <w:i/>
          <w:iCs/>
        </w:rPr>
        <w:t xml:space="preserve">For more detail on PBAC’s view, see section </w:t>
      </w:r>
      <w:r w:rsidR="00715A0C">
        <w:rPr>
          <w:i/>
          <w:iCs/>
        </w:rPr>
        <w:t>5</w:t>
      </w:r>
      <w:r w:rsidRPr="00A20B00">
        <w:rPr>
          <w:i/>
          <w:iCs/>
        </w:rPr>
        <w:t xml:space="preserve"> PBAC outcome.</w:t>
      </w:r>
    </w:p>
    <w:p w14:paraId="4FC52D34" w14:textId="3D0DA814" w:rsidR="00201FB8" w:rsidRPr="00FA0529" w:rsidRDefault="00201FB8" w:rsidP="00774465"/>
    <w:p w14:paraId="7648BCE0" w14:textId="77777777" w:rsidR="00240DE6" w:rsidRPr="00FA0529" w:rsidRDefault="00240DE6" w:rsidP="00A8791E">
      <w:pPr>
        <w:pStyle w:val="2-SectionHeading"/>
      </w:pPr>
      <w:bookmarkStart w:id="29" w:name="_Hlk76381249"/>
      <w:bookmarkStart w:id="30" w:name="_Hlk76377955"/>
      <w:r w:rsidRPr="00FA0529">
        <w:t>PBAC Outcome</w:t>
      </w:r>
    </w:p>
    <w:p w14:paraId="622DB98C" w14:textId="1BF404E8" w:rsidR="007A2775" w:rsidRDefault="009E5B0D" w:rsidP="00406728">
      <w:pPr>
        <w:pStyle w:val="3-BodyText"/>
      </w:pPr>
      <w:r w:rsidRPr="009E5B0D">
        <w:t>The PBAC did not recommended futibatinib for the treatment of patients with locally advanced or metastatic cholangiocarcinoma who have previously progressed on systemic therapy and have a fibroblast growth factor receptor 2 fusion or rearrangement. The PBAC considered the early re-entry resubmission did not adequately address the outstanding issues requested as part of its March 2025 PBAC consideration.</w:t>
      </w:r>
      <w:r w:rsidR="000372A2">
        <w:t xml:space="preserve"> </w:t>
      </w:r>
      <w:r w:rsidR="006B4727">
        <w:t xml:space="preserve">In particular, the </w:t>
      </w:r>
      <w:r w:rsidR="00FE1668">
        <w:t>PBAC</w:t>
      </w:r>
      <w:r w:rsidR="00820E5D">
        <w:t xml:space="preserve"> considered</w:t>
      </w:r>
      <w:r w:rsidR="00FE1668">
        <w:t xml:space="preserve"> the revised </w:t>
      </w:r>
      <w:r w:rsidR="00820E5D">
        <w:t xml:space="preserve">economic </w:t>
      </w:r>
      <w:r w:rsidR="00FE1668">
        <w:t>model remained highly optimistic</w:t>
      </w:r>
      <w:r w:rsidR="00AA412D">
        <w:t>.</w:t>
      </w:r>
      <w:r w:rsidR="00A05A56">
        <w:t xml:space="preserve"> </w:t>
      </w:r>
      <w:r w:rsidR="000B24A6" w:rsidRPr="000B24A6">
        <w:t xml:space="preserve">The PBAC considered the ICER was high and uncertain and that </w:t>
      </w:r>
      <w:r w:rsidR="000B24A6">
        <w:t xml:space="preserve">futibatinib </w:t>
      </w:r>
      <w:r w:rsidR="000B24A6" w:rsidRPr="000B24A6">
        <w:t>was not cost</w:t>
      </w:r>
      <w:r w:rsidR="00A2091E">
        <w:t>-</w:t>
      </w:r>
      <w:r w:rsidR="000B24A6" w:rsidRPr="000B24A6">
        <w:t>effective at the price proposed in the</w:t>
      </w:r>
      <w:r w:rsidR="000B24A6">
        <w:t xml:space="preserve"> pre-PBAC response</w:t>
      </w:r>
      <w:r w:rsidR="000B24A6" w:rsidRPr="000B24A6">
        <w:t xml:space="preserve">. </w:t>
      </w:r>
    </w:p>
    <w:p w14:paraId="18E42F39" w14:textId="1CCB4115" w:rsidR="005E369F" w:rsidRDefault="005E369F" w:rsidP="005E369F">
      <w:pPr>
        <w:pStyle w:val="3-BodyText"/>
      </w:pPr>
      <w:r w:rsidRPr="005E369F">
        <w:t xml:space="preserve">The PBAC </w:t>
      </w:r>
      <w:r>
        <w:t xml:space="preserve">recalled that it previously </w:t>
      </w:r>
      <w:r w:rsidRPr="005E369F">
        <w:t xml:space="preserve">considered there is a high clinical need for more effective therapies for CAA </w:t>
      </w:r>
      <w:r w:rsidR="00DC40EE">
        <w:t xml:space="preserve">and </w:t>
      </w:r>
      <w:r w:rsidRPr="005E369F">
        <w:t>no</w:t>
      </w:r>
      <w:r>
        <w:t>t</w:t>
      </w:r>
      <w:r w:rsidR="00DC40EE">
        <w:t xml:space="preserve">ed </w:t>
      </w:r>
      <w:r w:rsidRPr="005E369F">
        <w:t xml:space="preserve">that </w:t>
      </w:r>
      <w:r w:rsidR="00375B69">
        <w:t xml:space="preserve">consumer input </w:t>
      </w:r>
      <w:r w:rsidR="004674C5">
        <w:t>received for the March 2025 and July 2025 meeting</w:t>
      </w:r>
      <w:r w:rsidR="00557C73">
        <w:t>s</w:t>
      </w:r>
      <w:r w:rsidR="004674C5">
        <w:t xml:space="preserve"> </w:t>
      </w:r>
      <w:r w:rsidR="004428E7">
        <w:t>supported the availability of futibatinib.</w:t>
      </w:r>
      <w:r w:rsidR="00A05A56">
        <w:t xml:space="preserve"> </w:t>
      </w:r>
    </w:p>
    <w:p w14:paraId="4DFDEBA1" w14:textId="2F82D947" w:rsidR="00C015FF" w:rsidRDefault="00C015FF" w:rsidP="005E369F">
      <w:pPr>
        <w:pStyle w:val="3-BodyText"/>
      </w:pPr>
      <w:r w:rsidRPr="00C015FF">
        <w:t>In terms of the restriction, the PBAC noted that the requested changes were made and considered that the proposed restriction was reasonable.</w:t>
      </w:r>
    </w:p>
    <w:p w14:paraId="7A516FA9" w14:textId="1D0ABBC3" w:rsidR="00FC3DA8" w:rsidRPr="00FC3DA8" w:rsidRDefault="005F1881" w:rsidP="00BC4425">
      <w:pPr>
        <w:pStyle w:val="3-BodyText"/>
      </w:pPr>
      <w:r>
        <w:t>To address the PBAC’s</w:t>
      </w:r>
      <w:r w:rsidR="00593688">
        <w:t xml:space="preserve"> previous</w:t>
      </w:r>
      <w:r>
        <w:t xml:space="preserve"> concerns regarding the cost-effectiveness of futibatinib the resubmission presented an economic evaluation with revised inputs and a reduced price for futibatinib. The PBAC </w:t>
      </w:r>
      <w:r w:rsidR="00593688">
        <w:t xml:space="preserve">recalled it </w:t>
      </w:r>
      <w:r>
        <w:t xml:space="preserve">previously considered the </w:t>
      </w:r>
      <w:r w:rsidR="002201EB">
        <w:t xml:space="preserve">clinical benefit </w:t>
      </w:r>
      <w:r w:rsidR="0050062E">
        <w:t>associated with the submission</w:t>
      </w:r>
      <w:r w:rsidR="009B1C4C">
        <w:t>’</w:t>
      </w:r>
      <w:r w:rsidR="0050062E">
        <w:t xml:space="preserve">s matched adjusted indirect comparison (MAIC) to be uncertain, and </w:t>
      </w:r>
      <w:r w:rsidR="00A52381">
        <w:t xml:space="preserve">considered that the </w:t>
      </w:r>
      <w:r>
        <w:t>economic model should include a more conservative estimate of the modelled clinical benefit</w:t>
      </w:r>
      <w:r w:rsidR="00075785">
        <w:t xml:space="preserve"> (</w:t>
      </w:r>
      <w:r w:rsidR="00FC3DC8">
        <w:t>ie using</w:t>
      </w:r>
      <w:r w:rsidR="00FD678A">
        <w:t xml:space="preserve"> more conservative</w:t>
      </w:r>
      <w:r w:rsidR="00075785">
        <w:t xml:space="preserve"> hazard ratios</w:t>
      </w:r>
      <w:r w:rsidR="00513AA7">
        <w:t>, HRs</w:t>
      </w:r>
      <w:r w:rsidR="00075785">
        <w:t>)</w:t>
      </w:r>
      <w:r w:rsidR="00A52381">
        <w:t>. The PBAC noted</w:t>
      </w:r>
      <w:r w:rsidR="0056681F">
        <w:t xml:space="preserve"> </w:t>
      </w:r>
      <w:r w:rsidR="00C66296">
        <w:t xml:space="preserve">the </w:t>
      </w:r>
      <w:bookmarkStart w:id="31" w:name="_Ref204164729"/>
      <w:r w:rsidR="00513AA7">
        <w:t>overall survival (</w:t>
      </w:r>
      <w:r w:rsidR="0055420B">
        <w:t>OS</w:t>
      </w:r>
      <w:r w:rsidR="00513AA7">
        <w:t>)</w:t>
      </w:r>
      <w:r w:rsidR="0055420B">
        <w:t xml:space="preserve"> HR </w:t>
      </w:r>
      <w:r w:rsidR="00513AA7">
        <w:t>was</w:t>
      </w:r>
      <w:r w:rsidR="0055420B">
        <w:t xml:space="preserve"> amended to 0.32</w:t>
      </w:r>
      <w:r w:rsidR="00571BA8">
        <w:t xml:space="preserve"> (from </w:t>
      </w:r>
      <w:r w:rsidR="00124D7A">
        <w:t>0.24)</w:t>
      </w:r>
      <w:r w:rsidR="0055420B">
        <w:t xml:space="preserve">, </w:t>
      </w:r>
      <w:r w:rsidR="00FB2914">
        <w:t>rather than the more conservative value of 0.48-0.49, as previously requested.</w:t>
      </w:r>
      <w:r w:rsidR="001C0DD8">
        <w:t xml:space="preserve"> The PBAC noted the</w:t>
      </w:r>
      <w:r w:rsidR="002B0ED3">
        <w:t xml:space="preserve"> model </w:t>
      </w:r>
      <w:r w:rsidR="001952FF">
        <w:t>estimated an additional</w:t>
      </w:r>
      <w:r w:rsidR="004570CE">
        <w:t xml:space="preserve"> </w:t>
      </w:r>
      <w:r w:rsidR="001952FF">
        <w:t>1.99</w:t>
      </w:r>
      <w:r w:rsidR="004570CE">
        <w:t xml:space="preserve"> </w:t>
      </w:r>
      <w:r w:rsidR="002B0ED3">
        <w:t>life years gained (undiscounted)</w:t>
      </w:r>
      <w:r w:rsidR="003318C5">
        <w:t xml:space="preserve"> over the 7 year time horizon</w:t>
      </w:r>
      <w:r w:rsidR="002B0ED3">
        <w:t xml:space="preserve"> and considered this was </w:t>
      </w:r>
      <w:r w:rsidR="004570CE">
        <w:t xml:space="preserve">highly optimistic. </w:t>
      </w:r>
      <w:r w:rsidR="00792676">
        <w:t xml:space="preserve">The PBAC noted </w:t>
      </w:r>
      <w:r w:rsidR="00CA0CC5">
        <w:t xml:space="preserve">changing the HR to 0.48 increased the ICER from </w:t>
      </w:r>
      <w:r w:rsidR="001A3586" w:rsidRPr="001A3586">
        <w:t>$75,000 to &lt; $95,000</w:t>
      </w:r>
      <w:r w:rsidR="00CA0CC5">
        <w:t xml:space="preserve"> to </w:t>
      </w:r>
      <w:r w:rsidR="00A13173" w:rsidRPr="00A13173">
        <w:t>$135,000 to &lt; $155,000</w:t>
      </w:r>
      <w:r w:rsidR="00CA0CC5">
        <w:t xml:space="preserve"> per QALY</w:t>
      </w:r>
      <w:r w:rsidR="00B60F40">
        <w:t xml:space="preserve"> (using the price proposed in the submission)</w:t>
      </w:r>
      <w:r w:rsidR="00324B02">
        <w:t>.</w:t>
      </w:r>
      <w:r w:rsidR="00A05A56">
        <w:t xml:space="preserve"> </w:t>
      </w:r>
      <w:bookmarkEnd w:id="31"/>
    </w:p>
    <w:p w14:paraId="592D2862" w14:textId="662D01C5" w:rsidR="00DD0851" w:rsidRPr="001A5EDF" w:rsidRDefault="007624C0" w:rsidP="007624C0">
      <w:pPr>
        <w:pStyle w:val="3-BodyText"/>
      </w:pPr>
      <w:r w:rsidRPr="007624C0">
        <w:t xml:space="preserve">The PBAC </w:t>
      </w:r>
      <w:r w:rsidR="002672CD">
        <w:t xml:space="preserve">recalled that it previously </w:t>
      </w:r>
      <w:r w:rsidRPr="007624C0">
        <w:t xml:space="preserve">considered it would </w:t>
      </w:r>
      <w:r w:rsidR="0099352B">
        <w:t xml:space="preserve">be </w:t>
      </w:r>
      <w:r w:rsidRPr="007624C0">
        <w:t xml:space="preserve">appropriate to apply the same </w:t>
      </w:r>
      <w:r w:rsidR="00D87043" w:rsidRPr="00DD0851">
        <w:t>health state utility values</w:t>
      </w:r>
      <w:r w:rsidR="00D87043" w:rsidRPr="007624C0">
        <w:t xml:space="preserve"> </w:t>
      </w:r>
      <w:r w:rsidRPr="007624C0">
        <w:t xml:space="preserve">to the </w:t>
      </w:r>
      <w:r w:rsidR="002672CD">
        <w:t>progression free (</w:t>
      </w:r>
      <w:r w:rsidRPr="007624C0">
        <w:t>PF</w:t>
      </w:r>
      <w:r w:rsidR="002672CD">
        <w:t>)</w:t>
      </w:r>
      <w:r w:rsidRPr="007624C0">
        <w:t xml:space="preserve"> and </w:t>
      </w:r>
      <w:r w:rsidR="002672CD">
        <w:t xml:space="preserve">progressed </w:t>
      </w:r>
      <w:r w:rsidR="00322CAB">
        <w:t>disease (</w:t>
      </w:r>
      <w:r w:rsidRPr="007624C0">
        <w:t>PD</w:t>
      </w:r>
      <w:r w:rsidR="00322CAB">
        <w:t>)</w:t>
      </w:r>
      <w:r w:rsidRPr="007624C0">
        <w:t xml:space="preserve"> health states in each treatment arm</w:t>
      </w:r>
      <w:r w:rsidR="00601AE9">
        <w:t xml:space="preserve">. The PBAC </w:t>
      </w:r>
      <w:r w:rsidR="00A3541C">
        <w:t xml:space="preserve">noted that while the resubmission’s model </w:t>
      </w:r>
      <w:r w:rsidR="00DD0851">
        <w:t xml:space="preserve">applied </w:t>
      </w:r>
      <w:r w:rsidR="00D87043">
        <w:t>the same</w:t>
      </w:r>
      <w:r w:rsidR="00DD0851" w:rsidRPr="00DD0851">
        <w:t xml:space="preserve"> utilit</w:t>
      </w:r>
      <w:r w:rsidR="00D87043">
        <w:t>ies (</w:t>
      </w:r>
      <w:r w:rsidR="00DD0851" w:rsidRPr="00DD0851">
        <w:t>from the durvalumab PBAC submission</w:t>
      </w:r>
      <w:r w:rsidR="00D87043">
        <w:t xml:space="preserve">) to each arm, </w:t>
      </w:r>
      <w:r w:rsidR="00601AE9">
        <w:t xml:space="preserve">an additional </w:t>
      </w:r>
      <w:r w:rsidR="00255175">
        <w:t xml:space="preserve">“chemotherapy administration” </w:t>
      </w:r>
      <w:r w:rsidR="00601AE9">
        <w:t xml:space="preserve">utility decrement was applied to the chemotherapy </w:t>
      </w:r>
      <w:r w:rsidR="00255175">
        <w:t>arm</w:t>
      </w:r>
      <w:r w:rsidR="00615360">
        <w:t xml:space="preserve">, which the PBAC considered was </w:t>
      </w:r>
      <w:r w:rsidR="0099352B" w:rsidRPr="001A5EDF">
        <w:t>not</w:t>
      </w:r>
      <w:r w:rsidR="00832CDF" w:rsidRPr="001A5EDF">
        <w:t xml:space="preserve"> adequately supported</w:t>
      </w:r>
      <w:r w:rsidR="00615360" w:rsidRPr="001A5EDF">
        <w:t>.</w:t>
      </w:r>
    </w:p>
    <w:p w14:paraId="4B9A0AD8" w14:textId="6A1200CE" w:rsidR="0055420B" w:rsidRPr="001A5EDF" w:rsidRDefault="0029792C" w:rsidP="002D65B9">
      <w:pPr>
        <w:pStyle w:val="3-BodyText"/>
      </w:pPr>
      <w:bookmarkStart w:id="32" w:name="_Ref204164733"/>
      <w:r w:rsidRPr="001A5EDF">
        <w:t xml:space="preserve">The PBAC </w:t>
      </w:r>
      <w:r w:rsidR="00C14A41" w:rsidRPr="001A5EDF">
        <w:t>noted that the time horizon in the resubmission was updated to 7 years (from 10 years)</w:t>
      </w:r>
      <w:r w:rsidR="00274B41" w:rsidRPr="001A5EDF">
        <w:t>, rather than 5 years as previously requested</w:t>
      </w:r>
      <w:r w:rsidR="00677D85" w:rsidRPr="001A5EDF">
        <w:t xml:space="preserve"> </w:t>
      </w:r>
      <w:r w:rsidR="00C90DEC" w:rsidRPr="001A5EDF">
        <w:t xml:space="preserve">by the PBAC </w:t>
      </w:r>
      <w:r w:rsidR="00677D85" w:rsidRPr="001A5EDF">
        <w:t>to align with its previous consideration of ivosidenib</w:t>
      </w:r>
      <w:r w:rsidR="00005F69" w:rsidRPr="001A5EDF">
        <w:t xml:space="preserve">. The PBAC </w:t>
      </w:r>
      <w:r w:rsidR="00274B41" w:rsidRPr="001A5EDF">
        <w:t xml:space="preserve">considered </w:t>
      </w:r>
      <w:r w:rsidR="002354AE" w:rsidRPr="001A5EDF">
        <w:t xml:space="preserve">7 years to be </w:t>
      </w:r>
      <w:r w:rsidR="009C295D" w:rsidRPr="001A5EDF">
        <w:t>overly optimistic</w:t>
      </w:r>
      <w:r w:rsidR="006506E7" w:rsidRPr="001A5EDF">
        <w:t xml:space="preserve"> and </w:t>
      </w:r>
      <w:r w:rsidR="00832CDF" w:rsidRPr="001A5EDF">
        <w:t>maintained</w:t>
      </w:r>
      <w:r w:rsidR="006506E7" w:rsidRPr="001A5EDF">
        <w:t xml:space="preserve"> that 5 years </w:t>
      </w:r>
      <w:r w:rsidR="00832CDF" w:rsidRPr="001A5EDF">
        <w:t xml:space="preserve">would be </w:t>
      </w:r>
      <w:r w:rsidR="006506E7" w:rsidRPr="001A5EDF">
        <w:t>more appropriate</w:t>
      </w:r>
      <w:bookmarkEnd w:id="32"/>
      <w:r w:rsidR="003B2624">
        <w:t>.</w:t>
      </w:r>
      <w:r w:rsidR="009C295D" w:rsidRPr="001A5EDF">
        <w:t xml:space="preserve"> </w:t>
      </w:r>
    </w:p>
    <w:p w14:paraId="3EF9ACA7" w14:textId="04A74D24" w:rsidR="00C6221D" w:rsidRPr="002D65B9" w:rsidRDefault="00715F2C" w:rsidP="002D65B9">
      <w:pPr>
        <w:pStyle w:val="3-BodyText"/>
      </w:pPr>
      <w:r>
        <w:lastRenderedPageBreak/>
        <w:t xml:space="preserve">The PBAC noted that </w:t>
      </w:r>
      <w:r w:rsidR="005C278B">
        <w:t xml:space="preserve">using the PBAC’s preferred </w:t>
      </w:r>
      <w:r w:rsidR="00B476BE">
        <w:t xml:space="preserve">inputs of OS HR </w:t>
      </w:r>
      <w:r w:rsidR="00C5087B">
        <w:t>of</w:t>
      </w:r>
      <w:r w:rsidR="00B476BE">
        <w:t xml:space="preserve"> 0.48 (vs 0.32 in resubmission), </w:t>
      </w:r>
      <w:r w:rsidR="00C5087B">
        <w:t xml:space="preserve">5 year time horizon (vs 7 years in resubmission) and </w:t>
      </w:r>
      <w:r w:rsidR="00340111">
        <w:t xml:space="preserve">same utilities between arms (vs additionally disutility in </w:t>
      </w:r>
      <w:r w:rsidR="00F9626A">
        <w:t xml:space="preserve">chemotherapy arm) increased the resubmission’s base case ICER </w:t>
      </w:r>
      <w:r w:rsidR="006523FA">
        <w:t xml:space="preserve">from </w:t>
      </w:r>
      <w:r w:rsidR="0084460E" w:rsidRPr="0084460E">
        <w:t>$75,000 to &lt; $95,000</w:t>
      </w:r>
      <w:r w:rsidR="000532D4">
        <w:t xml:space="preserve"> per QALY</w:t>
      </w:r>
      <w:r w:rsidR="00830204">
        <w:t xml:space="preserve">, to </w:t>
      </w:r>
      <w:r w:rsidR="00A13173" w:rsidRPr="00A13173">
        <w:t>$135,000 to &lt; $155,000</w:t>
      </w:r>
      <w:r w:rsidR="00830204">
        <w:t xml:space="preserve"> per QALY</w:t>
      </w:r>
      <w:r w:rsidR="003C0851">
        <w:t xml:space="preserve">, or </w:t>
      </w:r>
      <w:r w:rsidR="00A13173" w:rsidRPr="00A13173">
        <w:t>$135,000 to &lt; $155,000</w:t>
      </w:r>
      <w:r w:rsidR="003C0851">
        <w:t xml:space="preserve"> per QALY </w:t>
      </w:r>
      <w:r w:rsidR="007B5391">
        <w:t xml:space="preserve">with </w:t>
      </w:r>
      <w:r w:rsidR="00984DAF">
        <w:t xml:space="preserve">the price reduction proposed </w:t>
      </w:r>
      <w:r w:rsidR="007B5391">
        <w:t>in the Pre-PBAC response</w:t>
      </w:r>
      <w:r w:rsidR="00830204">
        <w:t xml:space="preserve">. </w:t>
      </w:r>
      <w:r w:rsidR="000532D4">
        <w:t xml:space="preserve">The PBAC </w:t>
      </w:r>
      <w:r w:rsidR="00310131">
        <w:t xml:space="preserve">noted this is </w:t>
      </w:r>
      <w:r w:rsidR="000532D4">
        <w:t xml:space="preserve">well above </w:t>
      </w:r>
      <w:r w:rsidR="00310131">
        <w:t xml:space="preserve">the ICER of </w:t>
      </w:r>
      <w:r w:rsidR="001A2D21" w:rsidRPr="001A2D21">
        <w:t>$75,000 to &lt; $95,000</w:t>
      </w:r>
      <w:r w:rsidR="00310131">
        <w:t xml:space="preserve">, </w:t>
      </w:r>
      <w:r w:rsidR="007D262E">
        <w:t xml:space="preserve">per QALY </w:t>
      </w:r>
      <w:r w:rsidR="00310131">
        <w:t xml:space="preserve">which it previously considered to be acceptable. </w:t>
      </w:r>
    </w:p>
    <w:p w14:paraId="57FD3958" w14:textId="63ED3083" w:rsidR="0084229F" w:rsidRDefault="0027663A" w:rsidP="006930E6">
      <w:pPr>
        <w:pStyle w:val="3-BodyText"/>
      </w:pPr>
      <w:r>
        <w:t xml:space="preserve">The PBAC considered that the </w:t>
      </w:r>
      <w:r w:rsidR="00FB50FE">
        <w:t xml:space="preserve">utilisation estimates proposed in the pre-PBAC response (with errors corrected) </w:t>
      </w:r>
      <w:r w:rsidR="00AC7846">
        <w:t>addressed the Committee’s pre</w:t>
      </w:r>
      <w:r w:rsidR="00DB31A9">
        <w:t>vi</w:t>
      </w:r>
      <w:r w:rsidR="00AC7846">
        <w:t>o</w:t>
      </w:r>
      <w:r w:rsidR="00DB31A9">
        <w:t>u</w:t>
      </w:r>
      <w:r w:rsidR="00AC7846">
        <w:t>s concerns</w:t>
      </w:r>
      <w:r w:rsidR="00FB50FE">
        <w:t xml:space="preserve"> and were reasonable.</w:t>
      </w:r>
      <w:r w:rsidR="000957D3">
        <w:t xml:space="preserve"> </w:t>
      </w:r>
    </w:p>
    <w:p w14:paraId="30483404" w14:textId="0852E4C7" w:rsidR="006D3EA5" w:rsidRDefault="00491656" w:rsidP="00491656">
      <w:pPr>
        <w:pStyle w:val="3-BodyText"/>
      </w:pPr>
      <w:r>
        <w:t>The PBAC considered any resubmission needs to address the outstanding issues related to the economic evaluation</w:t>
      </w:r>
      <w:r w:rsidR="00967F17">
        <w:t>.</w:t>
      </w:r>
      <w:r w:rsidR="009D358A">
        <w:t xml:space="preserve"> </w:t>
      </w:r>
      <w:r>
        <w:t>The resubmission may be lodged at any future standard due date for PBAC submissions using the standard re-entry pathway.</w:t>
      </w:r>
    </w:p>
    <w:p w14:paraId="256974D1" w14:textId="40E9D698" w:rsidR="00240DE6" w:rsidRPr="00A8791E" w:rsidRDefault="00240DE6" w:rsidP="00A8791E">
      <w:pPr>
        <w:pStyle w:val="3-BodyText"/>
        <w:rPr>
          <w:rFonts w:cs="Arial"/>
          <w:bCs/>
          <w:snapToGrid w:val="0"/>
        </w:rPr>
      </w:pPr>
      <w:r w:rsidRPr="00A8791E">
        <w:t>The</w:t>
      </w:r>
      <w:r w:rsidRPr="00A8791E">
        <w:rPr>
          <w:rFonts w:cs="Arial"/>
          <w:bCs/>
          <w:snapToGrid w:val="0"/>
        </w:rPr>
        <w:t xml:space="preserve"> PBAC noted that this submission is eligible for an Independent Review. </w:t>
      </w:r>
    </w:p>
    <w:p w14:paraId="59B341C1" w14:textId="77777777" w:rsidR="00240DE6" w:rsidRPr="00343E14" w:rsidRDefault="00240DE6" w:rsidP="00240DE6">
      <w:pPr>
        <w:spacing w:before="240"/>
        <w:rPr>
          <w:rFonts w:asciiTheme="minorHAnsi" w:hAnsiTheme="minorHAnsi" w:cs="Arial"/>
          <w:b/>
          <w:bCs/>
          <w:snapToGrid w:val="0"/>
        </w:rPr>
      </w:pPr>
      <w:r w:rsidRPr="00343E14">
        <w:rPr>
          <w:rFonts w:asciiTheme="minorHAnsi" w:hAnsiTheme="minorHAnsi" w:cs="Arial"/>
          <w:b/>
          <w:bCs/>
          <w:snapToGrid w:val="0"/>
        </w:rPr>
        <w:t>Outcome:</w:t>
      </w:r>
    </w:p>
    <w:p w14:paraId="3CAE37EC" w14:textId="116E1E5A" w:rsidR="00240DE6" w:rsidRDefault="00240DE6" w:rsidP="00D84CB5">
      <w:pPr>
        <w:rPr>
          <w:rFonts w:asciiTheme="minorHAnsi" w:hAnsiTheme="minorHAnsi" w:cs="Arial"/>
          <w:bCs/>
          <w:snapToGrid w:val="0"/>
        </w:rPr>
      </w:pPr>
      <w:r w:rsidRPr="00A8791E">
        <w:rPr>
          <w:rFonts w:asciiTheme="minorHAnsi" w:hAnsiTheme="minorHAnsi" w:cs="Arial"/>
          <w:bCs/>
          <w:snapToGrid w:val="0"/>
        </w:rPr>
        <w:t>Not recommended</w:t>
      </w:r>
      <w:bookmarkEnd w:id="29"/>
      <w:bookmarkEnd w:id="30"/>
    </w:p>
    <w:p w14:paraId="415E0829" w14:textId="77777777" w:rsidR="00BC5010" w:rsidRPr="00BC5010" w:rsidRDefault="00BC5010" w:rsidP="00BC5010">
      <w:pPr>
        <w:keepNext/>
        <w:spacing w:before="240" w:after="120"/>
        <w:ind w:left="720" w:hanging="720"/>
        <w:jc w:val="left"/>
        <w:outlineLvl w:val="0"/>
        <w:rPr>
          <w:rFonts w:asciiTheme="minorHAnsi" w:hAnsiTheme="minorHAnsi" w:cs="Arial"/>
          <w:b/>
          <w:bCs/>
          <w:snapToGrid w:val="0"/>
          <w:sz w:val="32"/>
          <w:szCs w:val="32"/>
          <w:lang w:val="en-GB"/>
        </w:rPr>
      </w:pPr>
      <w:r w:rsidRPr="00BC5010">
        <w:rPr>
          <w:rFonts w:asciiTheme="minorHAnsi" w:hAnsiTheme="minorHAnsi" w:cs="Arial"/>
          <w:b/>
          <w:snapToGrid w:val="0"/>
          <w:sz w:val="32"/>
          <w:szCs w:val="32"/>
        </w:rPr>
        <w:t>9</w:t>
      </w:r>
      <w:r w:rsidRPr="00BC5010">
        <w:rPr>
          <w:rFonts w:asciiTheme="minorHAnsi" w:hAnsiTheme="minorHAnsi" w:cs="Arial"/>
          <w:b/>
          <w:snapToGrid w:val="0"/>
          <w:sz w:val="32"/>
          <w:szCs w:val="32"/>
        </w:rPr>
        <w:tab/>
        <w:t>Context for Decision</w:t>
      </w:r>
    </w:p>
    <w:p w14:paraId="4F6BED67" w14:textId="77777777" w:rsidR="00BC5010" w:rsidRPr="00BC5010" w:rsidRDefault="00BC5010" w:rsidP="00BC5010">
      <w:pPr>
        <w:spacing w:after="120"/>
        <w:ind w:left="720"/>
        <w:rPr>
          <w:rFonts w:asciiTheme="minorHAnsi" w:hAnsiTheme="minorHAnsi" w:cs="Arial"/>
          <w:bCs/>
          <w:lang w:val="en-GB"/>
        </w:rPr>
      </w:pPr>
      <w:r w:rsidRPr="00BC5010">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A7F6075" w14:textId="77777777" w:rsidR="00BC5010" w:rsidRPr="00BC5010" w:rsidRDefault="00BC5010" w:rsidP="00BC5010">
      <w:pPr>
        <w:keepNext/>
        <w:spacing w:before="240" w:after="120"/>
        <w:ind w:left="720" w:hanging="720"/>
        <w:jc w:val="left"/>
        <w:outlineLvl w:val="0"/>
        <w:rPr>
          <w:rFonts w:asciiTheme="minorHAnsi" w:hAnsiTheme="minorHAnsi" w:cs="Arial"/>
          <w:b/>
          <w:snapToGrid w:val="0"/>
          <w:sz w:val="32"/>
          <w:szCs w:val="32"/>
        </w:rPr>
      </w:pPr>
      <w:r w:rsidRPr="00BC5010">
        <w:rPr>
          <w:rFonts w:asciiTheme="minorHAnsi" w:hAnsiTheme="minorHAnsi" w:cs="Arial"/>
          <w:b/>
          <w:snapToGrid w:val="0"/>
          <w:sz w:val="32"/>
          <w:szCs w:val="32"/>
        </w:rPr>
        <w:t>10</w:t>
      </w:r>
      <w:r w:rsidRPr="00BC5010">
        <w:rPr>
          <w:rFonts w:asciiTheme="minorHAnsi" w:hAnsiTheme="minorHAnsi" w:cs="Arial"/>
          <w:b/>
          <w:snapToGrid w:val="0"/>
          <w:sz w:val="32"/>
          <w:szCs w:val="32"/>
        </w:rPr>
        <w:tab/>
        <w:t>Sponsor’s Comment</w:t>
      </w:r>
    </w:p>
    <w:p w14:paraId="52077F78" w14:textId="77777777" w:rsidR="00BC5010" w:rsidRPr="00BC5010" w:rsidRDefault="00BC5010" w:rsidP="00BC5010">
      <w:pPr>
        <w:spacing w:after="120" w:line="276" w:lineRule="auto"/>
        <w:ind w:left="720"/>
        <w:rPr>
          <w:rFonts w:asciiTheme="minorHAnsi" w:eastAsiaTheme="minorHAnsi" w:hAnsiTheme="minorHAnsi" w:cs="Arial"/>
          <w:bCs/>
          <w:szCs w:val="22"/>
          <w:lang w:eastAsia="en-US"/>
        </w:rPr>
      </w:pPr>
      <w:r w:rsidRPr="00BC5010">
        <w:rPr>
          <w:rFonts w:asciiTheme="minorHAnsi" w:eastAsiaTheme="minorHAnsi" w:hAnsiTheme="minorHAnsi" w:cs="Arial"/>
          <w:bCs/>
          <w:szCs w:val="22"/>
          <w:lang w:eastAsia="en-US"/>
        </w:rPr>
        <w:t>The sponsor had no comment.</w:t>
      </w:r>
    </w:p>
    <w:p w14:paraId="7389E20F" w14:textId="77777777" w:rsidR="00BC5010" w:rsidRPr="00D84CB5" w:rsidRDefault="00BC5010" w:rsidP="00D84CB5">
      <w:pPr>
        <w:rPr>
          <w:rFonts w:asciiTheme="minorHAnsi" w:hAnsiTheme="minorHAnsi" w:cs="Arial"/>
          <w:bCs/>
          <w:snapToGrid w:val="0"/>
        </w:rPr>
      </w:pPr>
    </w:p>
    <w:p w14:paraId="58F0724B" w14:textId="77777777" w:rsidR="00240DE6" w:rsidRPr="00872B3D" w:rsidRDefault="00240DE6" w:rsidP="00774465">
      <w:pPr>
        <w:rPr>
          <w:i/>
          <w:iCs/>
        </w:rPr>
      </w:pPr>
    </w:p>
    <w:sectPr w:rsidR="00240DE6" w:rsidRPr="00872B3D" w:rsidSect="00C27B5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6A7E" w14:textId="77777777" w:rsidR="00A134E8" w:rsidRPr="00FA0529" w:rsidRDefault="00A134E8">
      <w:r w:rsidRPr="00FA0529">
        <w:separator/>
      </w:r>
    </w:p>
    <w:p w14:paraId="3F8E153A" w14:textId="77777777" w:rsidR="00A134E8" w:rsidRPr="00FA0529" w:rsidRDefault="00A134E8"/>
    <w:p w14:paraId="48D1276A" w14:textId="77777777" w:rsidR="00A134E8" w:rsidRPr="00FA0529" w:rsidRDefault="00A134E8"/>
  </w:endnote>
  <w:endnote w:type="continuationSeparator" w:id="0">
    <w:p w14:paraId="66D13A60" w14:textId="77777777" w:rsidR="00A134E8" w:rsidRPr="00FA0529" w:rsidRDefault="00A134E8">
      <w:r w:rsidRPr="00FA0529">
        <w:continuationSeparator/>
      </w:r>
    </w:p>
    <w:p w14:paraId="03B952FD" w14:textId="77777777" w:rsidR="00A134E8" w:rsidRPr="00FA0529" w:rsidRDefault="00A134E8"/>
    <w:p w14:paraId="77B16CC7" w14:textId="77777777" w:rsidR="00A134E8" w:rsidRPr="00FA0529" w:rsidRDefault="00A134E8"/>
  </w:endnote>
  <w:endnote w:type="continuationNotice" w:id="1">
    <w:p w14:paraId="5F1D98E1" w14:textId="77777777" w:rsidR="00A134E8" w:rsidRPr="00FA0529" w:rsidRDefault="00A134E8"/>
    <w:p w14:paraId="0D7EE6F4" w14:textId="77777777" w:rsidR="00A134E8" w:rsidRPr="00FA0529" w:rsidRDefault="00A13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rsidRPr="00FA0529"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FA0529"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FA0529" w:rsidRDefault="00240165" w:rsidP="005A3173">
          <w:pPr>
            <w:spacing w:line="276" w:lineRule="auto"/>
            <w:rPr>
              <w:color w:val="365F91"/>
            </w:rPr>
          </w:pPr>
          <w:r w:rsidRPr="00FA0529">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FA0529" w:rsidRDefault="00240165" w:rsidP="005A3173">
          <w:pPr>
            <w:spacing w:line="276" w:lineRule="auto"/>
            <w:rPr>
              <w:rFonts w:eastAsia="MS Gothic"/>
              <w:b/>
              <w:bCs/>
              <w:color w:val="4F81BD"/>
            </w:rPr>
          </w:pPr>
        </w:p>
      </w:tc>
    </w:tr>
    <w:tr w:rsidR="00240165" w:rsidRPr="00FA0529"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FA0529"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FA0529"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FA0529" w:rsidRDefault="00240165" w:rsidP="005A3173">
          <w:pPr>
            <w:spacing w:line="276" w:lineRule="auto"/>
            <w:rPr>
              <w:rFonts w:eastAsia="MS Gothic"/>
              <w:b/>
              <w:bCs/>
              <w:color w:val="4F81BD"/>
            </w:rPr>
          </w:pPr>
        </w:p>
      </w:tc>
    </w:tr>
  </w:tbl>
  <w:p w14:paraId="21855C18" w14:textId="77777777" w:rsidR="00240165" w:rsidRPr="00FA0529" w:rsidRDefault="00240165" w:rsidP="00653D69">
    <w:pPr>
      <w:framePr w:wrap="around" w:vAnchor="text" w:hAnchor="margin" w:xAlign="center" w:y="1"/>
    </w:pPr>
    <w:r w:rsidRPr="00FA0529">
      <w:fldChar w:fldCharType="begin"/>
    </w:r>
    <w:r w:rsidRPr="00FA0529">
      <w:instrText xml:space="preserve">PAGE  </w:instrText>
    </w:r>
    <w:r w:rsidRPr="00FA0529">
      <w:fldChar w:fldCharType="end"/>
    </w:r>
  </w:p>
  <w:p w14:paraId="142ACCCE" w14:textId="77777777" w:rsidR="00240165" w:rsidRPr="00FA0529" w:rsidRDefault="00240165"/>
  <w:p w14:paraId="48FFA445" w14:textId="77777777" w:rsidR="00240165" w:rsidRPr="00FA0529" w:rsidRDefault="00240165"/>
  <w:p w14:paraId="49A45502" w14:textId="77777777" w:rsidR="00240165" w:rsidRPr="00FA0529"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4EC" w14:textId="77777777" w:rsidR="00774465" w:rsidRPr="00FA0529" w:rsidRDefault="00774465" w:rsidP="00774465">
    <w:pPr>
      <w:pStyle w:val="Footer"/>
    </w:pPr>
  </w:p>
  <w:sdt>
    <w:sdtPr>
      <w:id w:val="95759956"/>
      <w:docPartObj>
        <w:docPartGallery w:val="Page Numbers (Bottom of Page)"/>
        <w:docPartUnique/>
      </w:docPartObj>
    </w:sdtPr>
    <w:sdtEndPr>
      <w:rPr>
        <w:b/>
        <w:bCs/>
      </w:rPr>
    </w:sdtEndPr>
    <w:sdtContent>
      <w:p w14:paraId="07DAAF98" w14:textId="01A59AA0" w:rsidR="00CF066B" w:rsidRPr="00FA0529" w:rsidRDefault="00774465" w:rsidP="00774465">
        <w:pPr>
          <w:pStyle w:val="Footer"/>
          <w:rPr>
            <w:b/>
            <w:bCs/>
          </w:rPr>
        </w:pPr>
        <w:r w:rsidRPr="00FA0529">
          <w:rPr>
            <w:b/>
            <w:bCs/>
          </w:rPr>
          <w:fldChar w:fldCharType="begin"/>
        </w:r>
        <w:r w:rsidRPr="00FA0529">
          <w:rPr>
            <w:b/>
            <w:bCs/>
          </w:rPr>
          <w:instrText xml:space="preserve"> PAGE   \* MERGEFORMAT </w:instrText>
        </w:r>
        <w:r w:rsidRPr="00FA0529">
          <w:rPr>
            <w:b/>
            <w:bCs/>
          </w:rPr>
          <w:fldChar w:fldCharType="separate"/>
        </w:r>
        <w:r w:rsidRPr="00FA0529">
          <w:rPr>
            <w:b/>
            <w:bCs/>
          </w:rPr>
          <w:t>2</w:t>
        </w:r>
        <w:r w:rsidRPr="00FA0529">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39"/>
      <w:gridCol w:w="1347"/>
      <w:gridCol w:w="3840"/>
    </w:tblGrid>
    <w:tr w:rsidR="00240165" w:rsidRPr="00FA0529"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FA0529"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FA0529" w:rsidRDefault="00240165" w:rsidP="005A3173">
          <w:pPr>
            <w:spacing w:line="276" w:lineRule="auto"/>
            <w:rPr>
              <w:color w:val="365F91"/>
            </w:rPr>
          </w:pPr>
          <w:r w:rsidRPr="00FA0529">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FA0529" w:rsidRDefault="00240165" w:rsidP="005A3173">
          <w:pPr>
            <w:spacing w:line="276" w:lineRule="auto"/>
            <w:rPr>
              <w:rFonts w:eastAsia="MS Gothic"/>
              <w:b/>
              <w:bCs/>
              <w:color w:val="4F81BD"/>
            </w:rPr>
          </w:pPr>
        </w:p>
      </w:tc>
    </w:tr>
    <w:tr w:rsidR="00240165" w:rsidRPr="00FA0529"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FA0529"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FA0529"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FA0529"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rsidRPr="00FA0529"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FA0529"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FA0529" w:rsidRDefault="00240165" w:rsidP="005A3173">
          <w:pPr>
            <w:spacing w:line="276" w:lineRule="auto"/>
            <w:rPr>
              <w:color w:val="365F91"/>
            </w:rPr>
          </w:pPr>
          <w:r w:rsidRPr="00FA0529">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FA0529" w:rsidRDefault="00240165" w:rsidP="005A3173">
          <w:pPr>
            <w:spacing w:line="276" w:lineRule="auto"/>
            <w:rPr>
              <w:rFonts w:eastAsia="MS Gothic"/>
              <w:b/>
              <w:bCs/>
              <w:color w:val="4F81BD"/>
            </w:rPr>
          </w:pPr>
        </w:p>
      </w:tc>
    </w:tr>
    <w:tr w:rsidR="00240165" w:rsidRPr="00FA0529"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FA0529"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FA0529"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FA0529" w:rsidRDefault="00240165" w:rsidP="005A3173">
          <w:pPr>
            <w:spacing w:line="276" w:lineRule="auto"/>
            <w:rPr>
              <w:rFonts w:eastAsia="MS Gothic"/>
              <w:b/>
              <w:bCs/>
              <w:color w:val="4F81BD"/>
            </w:rPr>
          </w:pPr>
        </w:p>
      </w:tc>
    </w:tr>
  </w:tbl>
  <w:p w14:paraId="679BDCC0" w14:textId="77777777" w:rsidR="00240165" w:rsidRPr="00FA0529" w:rsidRDefault="00240165" w:rsidP="007C0F57">
    <w:pPr>
      <w:jc w:val="center"/>
      <w:rPr>
        <w:b/>
        <w:i/>
        <w:sz w:val="20"/>
        <w:szCs w:val="20"/>
      </w:rPr>
    </w:pPr>
    <w:r w:rsidRPr="00FA0529">
      <w:rPr>
        <w:b/>
        <w:i/>
        <w:sz w:val="20"/>
        <w:szCs w:val="20"/>
      </w:rPr>
      <w:t>Draft Minutes November 2011 P</w:t>
    </w:r>
    <w:r w:rsidRPr="00FA0529">
      <w:fldChar w:fldCharType="begin"/>
    </w:r>
    <w:r w:rsidRPr="00FA0529">
      <w:instrText xml:space="preserve"> PAGE </w:instrText>
    </w:r>
    <w:r w:rsidRPr="00FA0529">
      <w:fldChar w:fldCharType="separate"/>
    </w:r>
    <w:r w:rsidRPr="00FA0529">
      <w:t>1</w:t>
    </w:r>
    <w:r w:rsidRPr="00FA0529">
      <w:fldChar w:fldCharType="end"/>
    </w:r>
    <w:r w:rsidRPr="00FA0529">
      <w:rPr>
        <w:b/>
        <w:i/>
        <w:sz w:val="20"/>
        <w:szCs w:val="20"/>
      </w:rPr>
      <w:t>BAC Meeting</w:t>
    </w:r>
  </w:p>
  <w:p w14:paraId="617093FB" w14:textId="77777777" w:rsidR="00240165" w:rsidRPr="00FA0529" w:rsidRDefault="00240165" w:rsidP="007C0F57">
    <w:pPr>
      <w:jc w:val="center"/>
      <w:rPr>
        <w:b/>
        <w:i/>
        <w:sz w:val="20"/>
        <w:szCs w:val="20"/>
      </w:rPr>
    </w:pPr>
    <w:r w:rsidRPr="00FA0529">
      <w:rPr>
        <w:b/>
        <w:i/>
        <w:sz w:val="20"/>
        <w:szCs w:val="20"/>
      </w:rPr>
      <w:t>Commercial-in-Confidence</w:t>
    </w:r>
  </w:p>
  <w:p w14:paraId="36E9E30B" w14:textId="77777777" w:rsidR="00240165" w:rsidRPr="00FA0529" w:rsidRDefault="00240165"/>
  <w:p w14:paraId="419E5320" w14:textId="77777777" w:rsidR="00240165" w:rsidRPr="00FA0529"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86C7" w14:textId="77777777" w:rsidR="00A134E8" w:rsidRPr="00FA0529" w:rsidRDefault="00A134E8">
      <w:r w:rsidRPr="00FA0529">
        <w:separator/>
      </w:r>
    </w:p>
    <w:p w14:paraId="7D086D29" w14:textId="77777777" w:rsidR="00A134E8" w:rsidRPr="00FA0529" w:rsidRDefault="00A134E8"/>
    <w:p w14:paraId="4750BB40" w14:textId="77777777" w:rsidR="00A134E8" w:rsidRPr="00FA0529" w:rsidRDefault="00A134E8"/>
  </w:footnote>
  <w:footnote w:type="continuationSeparator" w:id="0">
    <w:p w14:paraId="63C86B87" w14:textId="77777777" w:rsidR="00A134E8" w:rsidRPr="00FA0529" w:rsidRDefault="00A134E8">
      <w:r w:rsidRPr="00FA0529">
        <w:continuationSeparator/>
      </w:r>
    </w:p>
    <w:p w14:paraId="1AD1FC47" w14:textId="77777777" w:rsidR="00A134E8" w:rsidRPr="00FA0529" w:rsidRDefault="00A134E8"/>
    <w:p w14:paraId="04C7E84B" w14:textId="77777777" w:rsidR="00A134E8" w:rsidRPr="00FA0529" w:rsidRDefault="00A134E8"/>
  </w:footnote>
  <w:footnote w:type="continuationNotice" w:id="1">
    <w:p w14:paraId="6F78A5B9" w14:textId="77777777" w:rsidR="00A134E8" w:rsidRPr="00FA0529" w:rsidRDefault="00A134E8"/>
    <w:p w14:paraId="027A918A" w14:textId="77777777" w:rsidR="00A134E8" w:rsidRPr="00FA0529" w:rsidRDefault="00A134E8"/>
  </w:footnote>
  <w:footnote w:id="2">
    <w:p w14:paraId="59E824E8" w14:textId="72ED9CA9" w:rsidR="00752ED7" w:rsidRPr="000D5F96" w:rsidRDefault="00752ED7">
      <w:pPr>
        <w:pStyle w:val="FootnoteText"/>
        <w:rPr>
          <w:i/>
          <w:iCs/>
        </w:rPr>
      </w:pPr>
      <w:r w:rsidRPr="000D5F96">
        <w:rPr>
          <w:rStyle w:val="FootnoteReference"/>
          <w:i/>
          <w:iCs/>
        </w:rPr>
        <w:footnoteRef/>
      </w:r>
      <w:r w:rsidRPr="000D5F96">
        <w:rPr>
          <w:i/>
          <w:iCs/>
        </w:rPr>
        <w:t xml:space="preserve"> </w:t>
      </w:r>
      <w:r w:rsidRPr="000D5F96">
        <w:t>Cherny NI, Dafni U, Bogaerts J, et al: ESMO-Magnitude of Clinical Benefit Scale version 1.1. Annals of Oncology 28:2340-2366, 2017]</w:t>
      </w:r>
    </w:p>
  </w:footnote>
  <w:footnote w:id="3">
    <w:p w14:paraId="234AC19B" w14:textId="0B823AD0" w:rsidR="002171D3" w:rsidRPr="002171D3" w:rsidRDefault="002171D3" w:rsidP="002171D3">
      <w:pPr>
        <w:pStyle w:val="FootnoteText"/>
      </w:pPr>
      <w:r>
        <w:rPr>
          <w:rStyle w:val="FootnoteReference"/>
        </w:rPr>
        <w:footnoteRef/>
      </w:r>
      <w:r>
        <w:t xml:space="preserve"> </w:t>
      </w:r>
      <w:r w:rsidRPr="002171D3">
        <w:t xml:space="preserve">Note that the results presented in this section 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 </w:t>
      </w:r>
    </w:p>
    <w:p w14:paraId="4D60C784" w14:textId="05F228C2" w:rsidR="002171D3" w:rsidRPr="002171D3" w:rsidRDefault="002171D3">
      <w:pPr>
        <w:pStyle w:val="FootnoteText"/>
      </w:pPr>
    </w:p>
  </w:footnote>
  <w:footnote w:id="4">
    <w:p w14:paraId="6162F123" w14:textId="1E16F4A3" w:rsidR="00700600" w:rsidRPr="002171D3" w:rsidRDefault="00700600" w:rsidP="00700600">
      <w:pPr>
        <w:pStyle w:val="FootnoteText"/>
      </w:pPr>
      <w:r>
        <w:rPr>
          <w:rStyle w:val="FootnoteReference"/>
        </w:rPr>
        <w:footnoteRef/>
      </w:r>
      <w:r w:rsidRPr="002171D3">
        <w:t xml:space="preserve">Note that the results presented in this section 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 </w:t>
      </w:r>
    </w:p>
    <w:p w14:paraId="359620D9" w14:textId="2BC9AB2D" w:rsidR="00700600" w:rsidRDefault="00700600">
      <w:pPr>
        <w:pStyle w:val="FootnoteText"/>
      </w:pPr>
    </w:p>
  </w:footnote>
  <w:footnote w:id="5">
    <w:p w14:paraId="064278A2" w14:textId="4D312818" w:rsidR="003F47C2" w:rsidRPr="00FA0529" w:rsidRDefault="003F47C2">
      <w:pPr>
        <w:pStyle w:val="FootnoteText"/>
      </w:pPr>
      <w:r w:rsidRPr="00FA0529">
        <w:rPr>
          <w:rStyle w:val="FootnoteReference"/>
        </w:rPr>
        <w:footnoteRef/>
      </w:r>
      <w:r w:rsidRPr="00FA0529">
        <w:t xml:space="preserve"> (1/13.</w:t>
      </w:r>
      <w:r w:rsidR="00423BB0" w:rsidRPr="00FA0529">
        <w:t>863</w:t>
      </w:r>
      <w:r w:rsidRPr="00FA0529">
        <w:t>%) x (1/50%)</w:t>
      </w:r>
      <w:r w:rsidR="005E11F7" w:rsidRPr="00FA0529">
        <w:t xml:space="preserve"> = </w:t>
      </w:r>
      <w:r w:rsidR="00FE025B" w:rsidRPr="00FA0529">
        <w:t>14.</w:t>
      </w:r>
      <w:r w:rsidR="00E63F81" w:rsidRPr="00FA0529">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FA0529" w14:paraId="263B07EE" w14:textId="77777777" w:rsidTr="00A06225">
      <w:trPr>
        <w:trHeight w:val="151"/>
      </w:trPr>
      <w:tc>
        <w:tcPr>
          <w:tcW w:w="2389" w:type="pct"/>
          <w:tcBorders>
            <w:top w:val="nil"/>
            <w:left w:val="nil"/>
            <w:bottom w:val="single" w:sz="4" w:space="0" w:color="4F81BD"/>
            <w:right w:val="nil"/>
          </w:tcBorders>
        </w:tcPr>
        <w:p w14:paraId="4C63CCAF" w14:textId="77777777" w:rsidR="00240165" w:rsidRPr="00FA0529" w:rsidRDefault="00240165">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40165" w:rsidRPr="00FA0529" w:rsidRDefault="00240165" w:rsidP="00A06225">
          <w:pPr>
            <w:rPr>
              <w:rFonts w:ascii="Cambria" w:hAnsi="Cambria"/>
              <w:color w:val="4F81BD"/>
              <w:szCs w:val="20"/>
            </w:rPr>
          </w:pPr>
          <w:r w:rsidRPr="00FA0529">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FA0529" w:rsidRDefault="00240165">
          <w:pPr>
            <w:spacing w:line="276" w:lineRule="auto"/>
            <w:rPr>
              <w:rFonts w:ascii="Cambria" w:eastAsia="MS Gothic" w:hAnsi="Cambria"/>
              <w:b/>
              <w:bCs/>
              <w:color w:val="4F81BD"/>
            </w:rPr>
          </w:pPr>
        </w:p>
      </w:tc>
    </w:tr>
    <w:tr w:rsidR="00240165" w:rsidRPr="00FA0529"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FA0529"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FA0529"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FA0529" w:rsidRDefault="00240165">
          <w:pPr>
            <w:spacing w:line="276" w:lineRule="auto"/>
            <w:rPr>
              <w:rFonts w:ascii="Cambria" w:eastAsia="MS Gothic" w:hAnsi="Cambria"/>
              <w:b/>
              <w:bCs/>
              <w:color w:val="4F81BD"/>
            </w:rPr>
          </w:pPr>
        </w:p>
      </w:tc>
    </w:tr>
  </w:tbl>
  <w:p w14:paraId="7DCC695F" w14:textId="77777777" w:rsidR="00240165" w:rsidRPr="00FA0529" w:rsidRDefault="00240165"/>
  <w:p w14:paraId="25F34A60" w14:textId="77777777" w:rsidR="00240165" w:rsidRPr="00FA0529" w:rsidRDefault="00240165"/>
  <w:p w14:paraId="571F4956" w14:textId="77777777" w:rsidR="00240165" w:rsidRPr="00FA0529"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45E5" w14:textId="2CC90FCF" w:rsidR="00774465" w:rsidRPr="00FA0529" w:rsidRDefault="000E7EDD" w:rsidP="00774465">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774465" w:rsidRPr="00FA0529">
      <w:rPr>
        <w:rFonts w:asciiTheme="minorHAnsi" w:eastAsiaTheme="minorEastAsia" w:hAnsiTheme="minorHAnsi" w:cstheme="minorHAnsi"/>
        <w:i/>
        <w:color w:val="808080"/>
      </w:rPr>
      <w:t xml:space="preserve">– </w:t>
    </w:r>
    <w:r w:rsidR="00AC7510" w:rsidRPr="00FA0529">
      <w:rPr>
        <w:rFonts w:asciiTheme="minorHAnsi" w:eastAsiaTheme="minorEastAsia" w:hAnsiTheme="minorHAnsi" w:cstheme="minorHAnsi"/>
        <w:i/>
        <w:color w:val="808080"/>
      </w:rPr>
      <w:t xml:space="preserve">July </w:t>
    </w:r>
    <w:r w:rsidR="00774465" w:rsidRPr="00FA0529">
      <w:rPr>
        <w:rFonts w:asciiTheme="minorHAnsi" w:eastAsiaTheme="minorEastAsia" w:hAnsiTheme="minorHAnsi" w:cstheme="minorHAnsi"/>
        <w:i/>
        <w:color w:val="808080"/>
      </w:rPr>
      <w:t>202</w:t>
    </w:r>
    <w:r w:rsidR="00AC7510" w:rsidRPr="00FA0529">
      <w:rPr>
        <w:rFonts w:asciiTheme="minorHAnsi" w:eastAsiaTheme="minorEastAsia" w:hAnsiTheme="minorHAnsi" w:cstheme="minorHAnsi"/>
        <w:i/>
        <w:color w:val="808080"/>
      </w:rPr>
      <w:t>5</w:t>
    </w:r>
    <w:r w:rsidR="00774465" w:rsidRPr="00FA0529">
      <w:rPr>
        <w:rFonts w:asciiTheme="minorHAnsi" w:eastAsiaTheme="minorEastAsia" w:hAnsiTheme="minorHAnsi" w:cstheme="minorHAnsi"/>
        <w:i/>
        <w:color w:val="808080"/>
      </w:rPr>
      <w:t xml:space="preserve"> PBAC Meeting</w:t>
    </w:r>
  </w:p>
  <w:p w14:paraId="74A766A4" w14:textId="77777777" w:rsidR="00240165" w:rsidRPr="00FA0529" w:rsidRDefault="00240165" w:rsidP="00774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47B7" w14:textId="77777777" w:rsidR="00DE7EE1" w:rsidRDefault="00DE7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617EAECC"/>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C06548"/>
    <w:multiLevelType w:val="hybridMultilevel"/>
    <w:tmpl w:val="B238B7CA"/>
    <w:lvl w:ilvl="0" w:tplc="3B3E43B8">
      <w:start w:val="1"/>
      <w:numFmt w:val="bullet"/>
      <w:lvlText w:val=""/>
      <w:lvlJc w:val="left"/>
      <w:pPr>
        <w:ind w:left="1080" w:hanging="360"/>
      </w:pPr>
      <w:rPr>
        <w:rFonts w:ascii="Symbol" w:hAnsi="Symbol"/>
      </w:rPr>
    </w:lvl>
    <w:lvl w:ilvl="1" w:tplc="6B9CA956">
      <w:start w:val="1"/>
      <w:numFmt w:val="bullet"/>
      <w:lvlText w:val=""/>
      <w:lvlJc w:val="left"/>
      <w:pPr>
        <w:ind w:left="1080" w:hanging="360"/>
      </w:pPr>
      <w:rPr>
        <w:rFonts w:ascii="Symbol" w:hAnsi="Symbol"/>
      </w:rPr>
    </w:lvl>
    <w:lvl w:ilvl="2" w:tplc="B324ED6E">
      <w:start w:val="1"/>
      <w:numFmt w:val="bullet"/>
      <w:lvlText w:val=""/>
      <w:lvlJc w:val="left"/>
      <w:pPr>
        <w:ind w:left="1080" w:hanging="360"/>
      </w:pPr>
      <w:rPr>
        <w:rFonts w:ascii="Symbol" w:hAnsi="Symbol"/>
      </w:rPr>
    </w:lvl>
    <w:lvl w:ilvl="3" w:tplc="5C56A68E">
      <w:start w:val="1"/>
      <w:numFmt w:val="bullet"/>
      <w:lvlText w:val=""/>
      <w:lvlJc w:val="left"/>
      <w:pPr>
        <w:ind w:left="1080" w:hanging="360"/>
      </w:pPr>
      <w:rPr>
        <w:rFonts w:ascii="Symbol" w:hAnsi="Symbol"/>
      </w:rPr>
    </w:lvl>
    <w:lvl w:ilvl="4" w:tplc="171CD362">
      <w:start w:val="1"/>
      <w:numFmt w:val="bullet"/>
      <w:lvlText w:val=""/>
      <w:lvlJc w:val="left"/>
      <w:pPr>
        <w:ind w:left="1080" w:hanging="360"/>
      </w:pPr>
      <w:rPr>
        <w:rFonts w:ascii="Symbol" w:hAnsi="Symbol"/>
      </w:rPr>
    </w:lvl>
    <w:lvl w:ilvl="5" w:tplc="08BA0316">
      <w:start w:val="1"/>
      <w:numFmt w:val="bullet"/>
      <w:lvlText w:val=""/>
      <w:lvlJc w:val="left"/>
      <w:pPr>
        <w:ind w:left="1080" w:hanging="360"/>
      </w:pPr>
      <w:rPr>
        <w:rFonts w:ascii="Symbol" w:hAnsi="Symbol"/>
      </w:rPr>
    </w:lvl>
    <w:lvl w:ilvl="6" w:tplc="A7B2E77C">
      <w:start w:val="1"/>
      <w:numFmt w:val="bullet"/>
      <w:lvlText w:val=""/>
      <w:lvlJc w:val="left"/>
      <w:pPr>
        <w:ind w:left="1080" w:hanging="360"/>
      </w:pPr>
      <w:rPr>
        <w:rFonts w:ascii="Symbol" w:hAnsi="Symbol"/>
      </w:rPr>
    </w:lvl>
    <w:lvl w:ilvl="7" w:tplc="1C8218C4">
      <w:start w:val="1"/>
      <w:numFmt w:val="bullet"/>
      <w:lvlText w:val=""/>
      <w:lvlJc w:val="left"/>
      <w:pPr>
        <w:ind w:left="1080" w:hanging="360"/>
      </w:pPr>
      <w:rPr>
        <w:rFonts w:ascii="Symbol" w:hAnsi="Symbol"/>
      </w:rPr>
    </w:lvl>
    <w:lvl w:ilvl="8" w:tplc="7660C8CA">
      <w:start w:val="1"/>
      <w:numFmt w:val="bullet"/>
      <w:lvlText w:val=""/>
      <w:lvlJc w:val="left"/>
      <w:pPr>
        <w:ind w:left="1080" w:hanging="360"/>
      </w:pPr>
      <w:rPr>
        <w:rFonts w:ascii="Symbol" w:hAnsi="Symbol"/>
      </w:rPr>
    </w:lvl>
  </w:abstractNum>
  <w:abstractNum w:abstractNumId="4" w15:restartNumberingAfterBreak="0">
    <w:nsid w:val="04E86482"/>
    <w:multiLevelType w:val="hybridMultilevel"/>
    <w:tmpl w:val="48C4FF56"/>
    <w:lvl w:ilvl="0" w:tplc="66BA8BDE">
      <w:numFmt w:val="bullet"/>
      <w:lvlText w:val="•"/>
      <w:lvlJc w:val="left"/>
      <w:pPr>
        <w:ind w:left="720" w:hanging="720"/>
      </w:pPr>
      <w:rPr>
        <w:rFonts w:ascii="Arial Narrow" w:eastAsiaTheme="majorEastAsia" w:hAnsi="Arial Narrow" w:cstheme="maj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384E13"/>
    <w:multiLevelType w:val="hybridMultilevel"/>
    <w:tmpl w:val="E668BF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8648FF"/>
    <w:multiLevelType w:val="hybridMultilevel"/>
    <w:tmpl w:val="245AD4B0"/>
    <w:lvl w:ilvl="0" w:tplc="0FDA68D8">
      <w:start w:val="1"/>
      <w:numFmt w:val="bullet"/>
      <w:lvlText w:val=""/>
      <w:lvlJc w:val="left"/>
      <w:pPr>
        <w:ind w:left="1800" w:hanging="360"/>
      </w:pPr>
      <w:rPr>
        <w:rFonts w:ascii="Symbol" w:hAnsi="Symbol"/>
      </w:rPr>
    </w:lvl>
    <w:lvl w:ilvl="1" w:tplc="C74A1BE4">
      <w:start w:val="1"/>
      <w:numFmt w:val="bullet"/>
      <w:lvlText w:val=""/>
      <w:lvlJc w:val="left"/>
      <w:pPr>
        <w:ind w:left="1800" w:hanging="360"/>
      </w:pPr>
      <w:rPr>
        <w:rFonts w:ascii="Symbol" w:hAnsi="Symbol"/>
      </w:rPr>
    </w:lvl>
    <w:lvl w:ilvl="2" w:tplc="5A1660F0">
      <w:start w:val="1"/>
      <w:numFmt w:val="bullet"/>
      <w:lvlText w:val=""/>
      <w:lvlJc w:val="left"/>
      <w:pPr>
        <w:ind w:left="1800" w:hanging="360"/>
      </w:pPr>
      <w:rPr>
        <w:rFonts w:ascii="Symbol" w:hAnsi="Symbol"/>
      </w:rPr>
    </w:lvl>
    <w:lvl w:ilvl="3" w:tplc="510CCF62">
      <w:start w:val="1"/>
      <w:numFmt w:val="bullet"/>
      <w:lvlText w:val=""/>
      <w:lvlJc w:val="left"/>
      <w:pPr>
        <w:ind w:left="1800" w:hanging="360"/>
      </w:pPr>
      <w:rPr>
        <w:rFonts w:ascii="Symbol" w:hAnsi="Symbol"/>
      </w:rPr>
    </w:lvl>
    <w:lvl w:ilvl="4" w:tplc="83EC5572">
      <w:start w:val="1"/>
      <w:numFmt w:val="bullet"/>
      <w:lvlText w:val=""/>
      <w:lvlJc w:val="left"/>
      <w:pPr>
        <w:ind w:left="1800" w:hanging="360"/>
      </w:pPr>
      <w:rPr>
        <w:rFonts w:ascii="Symbol" w:hAnsi="Symbol"/>
      </w:rPr>
    </w:lvl>
    <w:lvl w:ilvl="5" w:tplc="46F44CE2">
      <w:start w:val="1"/>
      <w:numFmt w:val="bullet"/>
      <w:lvlText w:val=""/>
      <w:lvlJc w:val="left"/>
      <w:pPr>
        <w:ind w:left="1800" w:hanging="360"/>
      </w:pPr>
      <w:rPr>
        <w:rFonts w:ascii="Symbol" w:hAnsi="Symbol"/>
      </w:rPr>
    </w:lvl>
    <w:lvl w:ilvl="6" w:tplc="C756CF1E">
      <w:start w:val="1"/>
      <w:numFmt w:val="bullet"/>
      <w:lvlText w:val=""/>
      <w:lvlJc w:val="left"/>
      <w:pPr>
        <w:ind w:left="1800" w:hanging="360"/>
      </w:pPr>
      <w:rPr>
        <w:rFonts w:ascii="Symbol" w:hAnsi="Symbol"/>
      </w:rPr>
    </w:lvl>
    <w:lvl w:ilvl="7" w:tplc="4ADE89B0">
      <w:start w:val="1"/>
      <w:numFmt w:val="bullet"/>
      <w:lvlText w:val=""/>
      <w:lvlJc w:val="left"/>
      <w:pPr>
        <w:ind w:left="1800" w:hanging="360"/>
      </w:pPr>
      <w:rPr>
        <w:rFonts w:ascii="Symbol" w:hAnsi="Symbol"/>
      </w:rPr>
    </w:lvl>
    <w:lvl w:ilvl="8" w:tplc="8B769B78">
      <w:start w:val="1"/>
      <w:numFmt w:val="bullet"/>
      <w:lvlText w:val=""/>
      <w:lvlJc w:val="left"/>
      <w:pPr>
        <w:ind w:left="1800" w:hanging="360"/>
      </w:pPr>
      <w:rPr>
        <w:rFonts w:ascii="Symbol" w:hAnsi="Symbol"/>
      </w:rPr>
    </w:lvl>
  </w:abstractNum>
  <w:abstractNum w:abstractNumId="9" w15:restartNumberingAfterBreak="0">
    <w:nsid w:val="1B1D67DC"/>
    <w:multiLevelType w:val="hybridMultilevel"/>
    <w:tmpl w:val="74B60F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03B3835"/>
    <w:multiLevelType w:val="hybridMultilevel"/>
    <w:tmpl w:val="EC36695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826466"/>
    <w:multiLevelType w:val="hybridMultilevel"/>
    <w:tmpl w:val="4CB2D8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5843BD1"/>
    <w:multiLevelType w:val="hybridMultilevel"/>
    <w:tmpl w:val="12BE5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42AE5A1B"/>
    <w:multiLevelType w:val="multilevel"/>
    <w:tmpl w:val="93128B2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AC5FFD"/>
    <w:multiLevelType w:val="multilevel"/>
    <w:tmpl w:val="0CAA3C6C"/>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945511A"/>
    <w:multiLevelType w:val="hybridMultilevel"/>
    <w:tmpl w:val="46663C72"/>
    <w:lvl w:ilvl="0" w:tplc="2BA6E7EA">
      <w:start w:val="1"/>
      <w:numFmt w:val="lowerRoman"/>
      <w:lvlText w:val="%1."/>
      <w:lvlJc w:val="left"/>
      <w:pPr>
        <w:ind w:left="1440" w:hanging="360"/>
      </w:pPr>
      <w:rPr>
        <w:rFonts w:asciiTheme="minorHAnsi" w:eastAsia="Times New Roman" w:hAnsiTheme="minorHAnsi" w:cs="Arial"/>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BBC6A5D"/>
    <w:multiLevelType w:val="multilevel"/>
    <w:tmpl w:val="89DC5A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EC02A8"/>
    <w:multiLevelType w:val="hybridMultilevel"/>
    <w:tmpl w:val="BFE2F65C"/>
    <w:lvl w:ilvl="0" w:tplc="E9804FB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BB7FF1"/>
    <w:multiLevelType w:val="hybridMultilevel"/>
    <w:tmpl w:val="2D0EB5F2"/>
    <w:lvl w:ilvl="0" w:tplc="B716613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80194493">
    <w:abstractNumId w:val="29"/>
  </w:num>
  <w:num w:numId="2" w16cid:durableId="1882206996">
    <w:abstractNumId w:val="0"/>
  </w:num>
  <w:num w:numId="3" w16cid:durableId="1742173966">
    <w:abstractNumId w:val="23"/>
  </w:num>
  <w:num w:numId="4" w16cid:durableId="558178083">
    <w:abstractNumId w:val="30"/>
  </w:num>
  <w:num w:numId="5" w16cid:durableId="444814543">
    <w:abstractNumId w:val="28"/>
  </w:num>
  <w:num w:numId="6" w16cid:durableId="856234780">
    <w:abstractNumId w:val="19"/>
  </w:num>
  <w:num w:numId="7" w16cid:durableId="1011836811">
    <w:abstractNumId w:val="17"/>
  </w:num>
  <w:num w:numId="8" w16cid:durableId="1603219091">
    <w:abstractNumId w:val="1"/>
  </w:num>
  <w:num w:numId="9" w16cid:durableId="848836742">
    <w:abstractNumId w:val="29"/>
  </w:num>
  <w:num w:numId="10" w16cid:durableId="1220363501">
    <w:abstractNumId w:val="25"/>
  </w:num>
  <w:num w:numId="11" w16cid:durableId="126514491">
    <w:abstractNumId w:val="14"/>
  </w:num>
  <w:num w:numId="12" w16cid:durableId="1661041264">
    <w:abstractNumId w:val="15"/>
  </w:num>
  <w:num w:numId="13" w16cid:durableId="1284578124">
    <w:abstractNumId w:val="29"/>
  </w:num>
  <w:num w:numId="14" w16cid:durableId="637803714">
    <w:abstractNumId w:val="29"/>
  </w:num>
  <w:num w:numId="15" w16cid:durableId="1724140396">
    <w:abstractNumId w:val="23"/>
  </w:num>
  <w:num w:numId="16" w16cid:durableId="203056355">
    <w:abstractNumId w:val="23"/>
  </w:num>
  <w:num w:numId="17" w16cid:durableId="14112514">
    <w:abstractNumId w:val="23"/>
  </w:num>
  <w:num w:numId="18" w16cid:durableId="1254437608">
    <w:abstractNumId w:val="16"/>
  </w:num>
  <w:num w:numId="19" w16cid:durableId="1816213838">
    <w:abstractNumId w:val="4"/>
  </w:num>
  <w:num w:numId="20" w16cid:durableId="1264267935">
    <w:abstractNumId w:val="26"/>
  </w:num>
  <w:num w:numId="21" w16cid:durableId="2098357730">
    <w:abstractNumId w:val="29"/>
    <w:lvlOverride w:ilvl="4">
      <w:lvl w:ilvl="4">
        <w:start w:val="1"/>
        <w:numFmt w:val="decimal"/>
        <w:lvlRestart w:val="1"/>
        <w:lvlText w:val="%1.%5"/>
        <w:lvlJc w:val="left"/>
        <w:pPr>
          <w:ind w:left="720" w:hanging="720"/>
        </w:pPr>
        <w:rPr>
          <w:rFonts w:hint="default"/>
          <w:b w:val="0"/>
          <w:bCs w:val="0"/>
          <w:i w:val="0"/>
          <w:iCs w:val="0"/>
          <w:color w:val="auto"/>
        </w:rPr>
      </w:lvl>
    </w:lvlOverride>
  </w:num>
  <w:num w:numId="22" w16cid:durableId="1230001781">
    <w:abstractNumId w:val="5"/>
  </w:num>
  <w:num w:numId="23" w16cid:durableId="42101459">
    <w:abstractNumId w:val="10"/>
  </w:num>
  <w:num w:numId="24" w16cid:durableId="52896212">
    <w:abstractNumId w:val="23"/>
  </w:num>
  <w:num w:numId="25" w16cid:durableId="1573005167">
    <w:abstractNumId w:val="20"/>
  </w:num>
  <w:num w:numId="26" w16cid:durableId="1660116426">
    <w:abstractNumId w:val="6"/>
  </w:num>
  <w:num w:numId="27" w16cid:durableId="1560625235">
    <w:abstractNumId w:val="23"/>
  </w:num>
  <w:num w:numId="28" w16cid:durableId="408699874">
    <w:abstractNumId w:val="21"/>
  </w:num>
  <w:num w:numId="29" w16cid:durableId="1569418770">
    <w:abstractNumId w:val="7"/>
  </w:num>
  <w:num w:numId="30" w16cid:durableId="705176722">
    <w:abstractNumId w:val="2"/>
  </w:num>
  <w:num w:numId="31" w16cid:durableId="1926569401">
    <w:abstractNumId w:val="12"/>
  </w:num>
  <w:num w:numId="32" w16cid:durableId="1979457665">
    <w:abstractNumId w:val="13"/>
  </w:num>
  <w:num w:numId="33" w16cid:durableId="2038313566">
    <w:abstractNumId w:val="11"/>
  </w:num>
  <w:num w:numId="34" w16cid:durableId="129744317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997201">
    <w:abstractNumId w:val="27"/>
  </w:num>
  <w:num w:numId="36" w16cid:durableId="1838960676">
    <w:abstractNumId w:val="23"/>
  </w:num>
  <w:num w:numId="37" w16cid:durableId="210963631">
    <w:abstractNumId w:val="23"/>
  </w:num>
  <w:num w:numId="38" w16cid:durableId="2123376608">
    <w:abstractNumId w:val="23"/>
  </w:num>
  <w:num w:numId="39" w16cid:durableId="212933137">
    <w:abstractNumId w:val="23"/>
  </w:num>
  <w:num w:numId="40" w16cid:durableId="1987513786">
    <w:abstractNumId w:val="23"/>
  </w:num>
  <w:num w:numId="41" w16cid:durableId="494566805">
    <w:abstractNumId w:val="23"/>
  </w:num>
  <w:num w:numId="42" w16cid:durableId="1953437675">
    <w:abstractNumId w:val="18"/>
  </w:num>
  <w:num w:numId="43" w16cid:durableId="64381374">
    <w:abstractNumId w:val="23"/>
  </w:num>
  <w:num w:numId="44" w16cid:durableId="342900146">
    <w:abstractNumId w:val="23"/>
  </w:num>
  <w:num w:numId="45" w16cid:durableId="1379158708">
    <w:abstractNumId w:val="23"/>
  </w:num>
  <w:num w:numId="46" w16cid:durableId="548032061">
    <w:abstractNumId w:val="23"/>
  </w:num>
  <w:num w:numId="47" w16cid:durableId="752436613">
    <w:abstractNumId w:val="23"/>
  </w:num>
  <w:num w:numId="48" w16cid:durableId="1119836982">
    <w:abstractNumId w:val="22"/>
  </w:num>
  <w:num w:numId="49" w16cid:durableId="1320883097">
    <w:abstractNumId w:val="3"/>
  </w:num>
  <w:num w:numId="50" w16cid:durableId="1655721332">
    <w:abstractNumId w:val="8"/>
  </w:num>
  <w:num w:numId="51" w16cid:durableId="135878650">
    <w:abstractNumId w:val="23"/>
  </w:num>
  <w:num w:numId="52" w16cid:durableId="920212614">
    <w:abstractNumId w:val="23"/>
  </w:num>
  <w:num w:numId="53" w16cid:durableId="1214122313">
    <w:abstractNumId w:val="23"/>
  </w:num>
  <w:num w:numId="54" w16cid:durableId="986592873">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413"/>
    <w:rsid w:val="000004E5"/>
    <w:rsid w:val="0000080A"/>
    <w:rsid w:val="00001663"/>
    <w:rsid w:val="000016C6"/>
    <w:rsid w:val="000025AD"/>
    <w:rsid w:val="000026A5"/>
    <w:rsid w:val="00002BD3"/>
    <w:rsid w:val="000030C8"/>
    <w:rsid w:val="0000335D"/>
    <w:rsid w:val="0000372B"/>
    <w:rsid w:val="000043DD"/>
    <w:rsid w:val="0000502D"/>
    <w:rsid w:val="000056A9"/>
    <w:rsid w:val="00005F69"/>
    <w:rsid w:val="000068C5"/>
    <w:rsid w:val="00007F36"/>
    <w:rsid w:val="00010CFC"/>
    <w:rsid w:val="000117FF"/>
    <w:rsid w:val="00011A59"/>
    <w:rsid w:val="000120C5"/>
    <w:rsid w:val="00012BED"/>
    <w:rsid w:val="000132F6"/>
    <w:rsid w:val="00013654"/>
    <w:rsid w:val="000144F6"/>
    <w:rsid w:val="0001486B"/>
    <w:rsid w:val="00014F7E"/>
    <w:rsid w:val="00015364"/>
    <w:rsid w:val="0001536D"/>
    <w:rsid w:val="00015459"/>
    <w:rsid w:val="000159BB"/>
    <w:rsid w:val="00016310"/>
    <w:rsid w:val="00016A41"/>
    <w:rsid w:val="0001718C"/>
    <w:rsid w:val="000205AF"/>
    <w:rsid w:val="000208B5"/>
    <w:rsid w:val="000214D1"/>
    <w:rsid w:val="00022381"/>
    <w:rsid w:val="0002249E"/>
    <w:rsid w:val="0002464A"/>
    <w:rsid w:val="00024A73"/>
    <w:rsid w:val="000250FE"/>
    <w:rsid w:val="000252D5"/>
    <w:rsid w:val="00025A04"/>
    <w:rsid w:val="00025CEC"/>
    <w:rsid w:val="0003050E"/>
    <w:rsid w:val="0003106B"/>
    <w:rsid w:val="0003173A"/>
    <w:rsid w:val="000321DE"/>
    <w:rsid w:val="00033C1D"/>
    <w:rsid w:val="00034765"/>
    <w:rsid w:val="00034905"/>
    <w:rsid w:val="00035291"/>
    <w:rsid w:val="0003681D"/>
    <w:rsid w:val="0003720C"/>
    <w:rsid w:val="000372A2"/>
    <w:rsid w:val="0003751D"/>
    <w:rsid w:val="00037D95"/>
    <w:rsid w:val="00040293"/>
    <w:rsid w:val="000404A2"/>
    <w:rsid w:val="000421A1"/>
    <w:rsid w:val="00042362"/>
    <w:rsid w:val="0004240E"/>
    <w:rsid w:val="0004293F"/>
    <w:rsid w:val="00042DB0"/>
    <w:rsid w:val="00043A8E"/>
    <w:rsid w:val="00043F21"/>
    <w:rsid w:val="00044EC4"/>
    <w:rsid w:val="00045E26"/>
    <w:rsid w:val="0004685C"/>
    <w:rsid w:val="00047FC0"/>
    <w:rsid w:val="000514B5"/>
    <w:rsid w:val="000515A8"/>
    <w:rsid w:val="00051BC9"/>
    <w:rsid w:val="00051F90"/>
    <w:rsid w:val="00052BF9"/>
    <w:rsid w:val="00052E75"/>
    <w:rsid w:val="00052F67"/>
    <w:rsid w:val="0005322E"/>
    <w:rsid w:val="000532D4"/>
    <w:rsid w:val="00053C69"/>
    <w:rsid w:val="00054E2B"/>
    <w:rsid w:val="00055E29"/>
    <w:rsid w:val="0005614E"/>
    <w:rsid w:val="000567E8"/>
    <w:rsid w:val="00056BE0"/>
    <w:rsid w:val="00057E42"/>
    <w:rsid w:val="000603FE"/>
    <w:rsid w:val="00060E64"/>
    <w:rsid w:val="0006159C"/>
    <w:rsid w:val="00061663"/>
    <w:rsid w:val="0006238A"/>
    <w:rsid w:val="00063ECE"/>
    <w:rsid w:val="000647D6"/>
    <w:rsid w:val="00064876"/>
    <w:rsid w:val="00064B17"/>
    <w:rsid w:val="0006595B"/>
    <w:rsid w:val="00065987"/>
    <w:rsid w:val="00065CE2"/>
    <w:rsid w:val="00066193"/>
    <w:rsid w:val="00066755"/>
    <w:rsid w:val="00066B33"/>
    <w:rsid w:val="00066CD5"/>
    <w:rsid w:val="00067B6B"/>
    <w:rsid w:val="00070D3C"/>
    <w:rsid w:val="0007192B"/>
    <w:rsid w:val="00071A5B"/>
    <w:rsid w:val="00071C05"/>
    <w:rsid w:val="00071D32"/>
    <w:rsid w:val="000720F6"/>
    <w:rsid w:val="000724FE"/>
    <w:rsid w:val="00072A11"/>
    <w:rsid w:val="0007337F"/>
    <w:rsid w:val="0007399F"/>
    <w:rsid w:val="00073C9D"/>
    <w:rsid w:val="00074177"/>
    <w:rsid w:val="000749A4"/>
    <w:rsid w:val="000751E1"/>
    <w:rsid w:val="000754DC"/>
    <w:rsid w:val="00075785"/>
    <w:rsid w:val="00075A22"/>
    <w:rsid w:val="00076151"/>
    <w:rsid w:val="000763D5"/>
    <w:rsid w:val="00076C38"/>
    <w:rsid w:val="00077143"/>
    <w:rsid w:val="00077C7E"/>
    <w:rsid w:val="00077DF7"/>
    <w:rsid w:val="0008050C"/>
    <w:rsid w:val="00080A12"/>
    <w:rsid w:val="00081956"/>
    <w:rsid w:val="00082169"/>
    <w:rsid w:val="00083385"/>
    <w:rsid w:val="000834BE"/>
    <w:rsid w:val="00083F01"/>
    <w:rsid w:val="0008460A"/>
    <w:rsid w:val="00084EE8"/>
    <w:rsid w:val="00085018"/>
    <w:rsid w:val="000852BE"/>
    <w:rsid w:val="000858A9"/>
    <w:rsid w:val="000878E1"/>
    <w:rsid w:val="00087C4C"/>
    <w:rsid w:val="00090B08"/>
    <w:rsid w:val="000918CB"/>
    <w:rsid w:val="00091B06"/>
    <w:rsid w:val="0009293A"/>
    <w:rsid w:val="00093757"/>
    <w:rsid w:val="00093AE6"/>
    <w:rsid w:val="00093DF9"/>
    <w:rsid w:val="000942AC"/>
    <w:rsid w:val="000951C4"/>
    <w:rsid w:val="000957D3"/>
    <w:rsid w:val="00095ADA"/>
    <w:rsid w:val="00095EBE"/>
    <w:rsid w:val="000965EF"/>
    <w:rsid w:val="000969AD"/>
    <w:rsid w:val="000975FB"/>
    <w:rsid w:val="00097714"/>
    <w:rsid w:val="00097A25"/>
    <w:rsid w:val="00097A3D"/>
    <w:rsid w:val="000A139E"/>
    <w:rsid w:val="000A2B64"/>
    <w:rsid w:val="000A3AA2"/>
    <w:rsid w:val="000A3CD5"/>
    <w:rsid w:val="000A44B2"/>
    <w:rsid w:val="000A52F6"/>
    <w:rsid w:val="000A64EC"/>
    <w:rsid w:val="000A7CB5"/>
    <w:rsid w:val="000B05BB"/>
    <w:rsid w:val="000B24A6"/>
    <w:rsid w:val="000B24AF"/>
    <w:rsid w:val="000B2581"/>
    <w:rsid w:val="000B2A32"/>
    <w:rsid w:val="000B387E"/>
    <w:rsid w:val="000B40E8"/>
    <w:rsid w:val="000B44C3"/>
    <w:rsid w:val="000B4DFC"/>
    <w:rsid w:val="000B558D"/>
    <w:rsid w:val="000B5883"/>
    <w:rsid w:val="000B5A89"/>
    <w:rsid w:val="000B5C7F"/>
    <w:rsid w:val="000B65F6"/>
    <w:rsid w:val="000B7767"/>
    <w:rsid w:val="000C0BAB"/>
    <w:rsid w:val="000C1BF7"/>
    <w:rsid w:val="000C2560"/>
    <w:rsid w:val="000C327C"/>
    <w:rsid w:val="000C4B3E"/>
    <w:rsid w:val="000C5F95"/>
    <w:rsid w:val="000C6996"/>
    <w:rsid w:val="000C6D99"/>
    <w:rsid w:val="000C72C8"/>
    <w:rsid w:val="000C74FA"/>
    <w:rsid w:val="000C7C46"/>
    <w:rsid w:val="000D09E9"/>
    <w:rsid w:val="000D0C2C"/>
    <w:rsid w:val="000D113F"/>
    <w:rsid w:val="000D13C6"/>
    <w:rsid w:val="000D1EA1"/>
    <w:rsid w:val="000D23BA"/>
    <w:rsid w:val="000D28B9"/>
    <w:rsid w:val="000D2DBC"/>
    <w:rsid w:val="000D3F86"/>
    <w:rsid w:val="000D45B4"/>
    <w:rsid w:val="000D47F8"/>
    <w:rsid w:val="000D4995"/>
    <w:rsid w:val="000D5645"/>
    <w:rsid w:val="000D5B40"/>
    <w:rsid w:val="000D5F96"/>
    <w:rsid w:val="000D6183"/>
    <w:rsid w:val="000E18EC"/>
    <w:rsid w:val="000E19B7"/>
    <w:rsid w:val="000E20FC"/>
    <w:rsid w:val="000E2266"/>
    <w:rsid w:val="000E3462"/>
    <w:rsid w:val="000E3506"/>
    <w:rsid w:val="000E3DFB"/>
    <w:rsid w:val="000E435E"/>
    <w:rsid w:val="000E4C56"/>
    <w:rsid w:val="000E4E64"/>
    <w:rsid w:val="000E5B54"/>
    <w:rsid w:val="000E5B96"/>
    <w:rsid w:val="000E5E4C"/>
    <w:rsid w:val="000E5EA1"/>
    <w:rsid w:val="000E681E"/>
    <w:rsid w:val="000E6C42"/>
    <w:rsid w:val="000E6F4F"/>
    <w:rsid w:val="000E7DD1"/>
    <w:rsid w:val="000E7E52"/>
    <w:rsid w:val="000E7EDD"/>
    <w:rsid w:val="000F0003"/>
    <w:rsid w:val="000F3384"/>
    <w:rsid w:val="000F34E3"/>
    <w:rsid w:val="000F4C03"/>
    <w:rsid w:val="000F4E6A"/>
    <w:rsid w:val="000F57AC"/>
    <w:rsid w:val="000F5BB3"/>
    <w:rsid w:val="000F6323"/>
    <w:rsid w:val="000F7354"/>
    <w:rsid w:val="00100CE0"/>
    <w:rsid w:val="00100CE6"/>
    <w:rsid w:val="00101725"/>
    <w:rsid w:val="00101A97"/>
    <w:rsid w:val="00101ABE"/>
    <w:rsid w:val="00101F88"/>
    <w:rsid w:val="00102202"/>
    <w:rsid w:val="00102700"/>
    <w:rsid w:val="0010289B"/>
    <w:rsid w:val="00102A78"/>
    <w:rsid w:val="00103109"/>
    <w:rsid w:val="00103118"/>
    <w:rsid w:val="00103445"/>
    <w:rsid w:val="00104227"/>
    <w:rsid w:val="00104587"/>
    <w:rsid w:val="00104CDB"/>
    <w:rsid w:val="00104FBF"/>
    <w:rsid w:val="0010629E"/>
    <w:rsid w:val="00107057"/>
    <w:rsid w:val="001072C1"/>
    <w:rsid w:val="0011000A"/>
    <w:rsid w:val="001107BF"/>
    <w:rsid w:val="0011126D"/>
    <w:rsid w:val="001114A1"/>
    <w:rsid w:val="00111A70"/>
    <w:rsid w:val="00111E79"/>
    <w:rsid w:val="00112372"/>
    <w:rsid w:val="00113649"/>
    <w:rsid w:val="00113D5C"/>
    <w:rsid w:val="001142EF"/>
    <w:rsid w:val="001147A3"/>
    <w:rsid w:val="00114B44"/>
    <w:rsid w:val="001156FB"/>
    <w:rsid w:val="001167A3"/>
    <w:rsid w:val="001169F9"/>
    <w:rsid w:val="0012077B"/>
    <w:rsid w:val="0012171F"/>
    <w:rsid w:val="0012224E"/>
    <w:rsid w:val="00122F90"/>
    <w:rsid w:val="00123682"/>
    <w:rsid w:val="00123A2A"/>
    <w:rsid w:val="0012417C"/>
    <w:rsid w:val="00124BF2"/>
    <w:rsid w:val="00124D7A"/>
    <w:rsid w:val="00124FD3"/>
    <w:rsid w:val="00124FEF"/>
    <w:rsid w:val="00124FF5"/>
    <w:rsid w:val="0012597F"/>
    <w:rsid w:val="00125B1B"/>
    <w:rsid w:val="0012749D"/>
    <w:rsid w:val="001306A5"/>
    <w:rsid w:val="001310BC"/>
    <w:rsid w:val="001311AE"/>
    <w:rsid w:val="001349E8"/>
    <w:rsid w:val="00134A60"/>
    <w:rsid w:val="001358C0"/>
    <w:rsid w:val="00136C41"/>
    <w:rsid w:val="00137438"/>
    <w:rsid w:val="001408D8"/>
    <w:rsid w:val="00140B74"/>
    <w:rsid w:val="00140D94"/>
    <w:rsid w:val="00141916"/>
    <w:rsid w:val="0014194D"/>
    <w:rsid w:val="00141FD6"/>
    <w:rsid w:val="00142395"/>
    <w:rsid w:val="00142431"/>
    <w:rsid w:val="0014245A"/>
    <w:rsid w:val="00142714"/>
    <w:rsid w:val="00142C71"/>
    <w:rsid w:val="00144555"/>
    <w:rsid w:val="00144D09"/>
    <w:rsid w:val="001452ED"/>
    <w:rsid w:val="00147566"/>
    <w:rsid w:val="00147D84"/>
    <w:rsid w:val="00152652"/>
    <w:rsid w:val="00152C76"/>
    <w:rsid w:val="001536B9"/>
    <w:rsid w:val="001536FA"/>
    <w:rsid w:val="00153B2F"/>
    <w:rsid w:val="00153BD7"/>
    <w:rsid w:val="00153F02"/>
    <w:rsid w:val="00154442"/>
    <w:rsid w:val="001549C1"/>
    <w:rsid w:val="00154AD6"/>
    <w:rsid w:val="00154F9E"/>
    <w:rsid w:val="00155835"/>
    <w:rsid w:val="00155F48"/>
    <w:rsid w:val="001564E1"/>
    <w:rsid w:val="001568F3"/>
    <w:rsid w:val="00156C8D"/>
    <w:rsid w:val="0016061E"/>
    <w:rsid w:val="00160A9F"/>
    <w:rsid w:val="00160B7D"/>
    <w:rsid w:val="00160DAF"/>
    <w:rsid w:val="00160F4D"/>
    <w:rsid w:val="00161B02"/>
    <w:rsid w:val="001628DE"/>
    <w:rsid w:val="00162BDD"/>
    <w:rsid w:val="00162D4E"/>
    <w:rsid w:val="00162ED0"/>
    <w:rsid w:val="00163092"/>
    <w:rsid w:val="00163329"/>
    <w:rsid w:val="001642AA"/>
    <w:rsid w:val="00164623"/>
    <w:rsid w:val="001652DE"/>
    <w:rsid w:val="00165A19"/>
    <w:rsid w:val="00165B64"/>
    <w:rsid w:val="0016650B"/>
    <w:rsid w:val="0016776E"/>
    <w:rsid w:val="00167813"/>
    <w:rsid w:val="00167858"/>
    <w:rsid w:val="00167C5D"/>
    <w:rsid w:val="001712C5"/>
    <w:rsid w:val="00171824"/>
    <w:rsid w:val="00171B99"/>
    <w:rsid w:val="00172200"/>
    <w:rsid w:val="0017337C"/>
    <w:rsid w:val="00174302"/>
    <w:rsid w:val="001749BE"/>
    <w:rsid w:val="00175C4F"/>
    <w:rsid w:val="00176B9D"/>
    <w:rsid w:val="00180713"/>
    <w:rsid w:val="00180720"/>
    <w:rsid w:val="001813F1"/>
    <w:rsid w:val="00182594"/>
    <w:rsid w:val="0018267E"/>
    <w:rsid w:val="0018303A"/>
    <w:rsid w:val="001830CE"/>
    <w:rsid w:val="001836E3"/>
    <w:rsid w:val="00183C05"/>
    <w:rsid w:val="001846C4"/>
    <w:rsid w:val="00184C39"/>
    <w:rsid w:val="001857F1"/>
    <w:rsid w:val="00185D27"/>
    <w:rsid w:val="00186400"/>
    <w:rsid w:val="0018643B"/>
    <w:rsid w:val="001864A8"/>
    <w:rsid w:val="0018681F"/>
    <w:rsid w:val="00186F40"/>
    <w:rsid w:val="001873AA"/>
    <w:rsid w:val="00187740"/>
    <w:rsid w:val="001909F5"/>
    <w:rsid w:val="00192397"/>
    <w:rsid w:val="00192661"/>
    <w:rsid w:val="00193011"/>
    <w:rsid w:val="00193DDE"/>
    <w:rsid w:val="00193FE7"/>
    <w:rsid w:val="001941A1"/>
    <w:rsid w:val="001952FF"/>
    <w:rsid w:val="0019574E"/>
    <w:rsid w:val="00195EA8"/>
    <w:rsid w:val="00196307"/>
    <w:rsid w:val="00196B4F"/>
    <w:rsid w:val="00196DFD"/>
    <w:rsid w:val="00196E19"/>
    <w:rsid w:val="00196ED8"/>
    <w:rsid w:val="001A0D10"/>
    <w:rsid w:val="001A129E"/>
    <w:rsid w:val="001A2D21"/>
    <w:rsid w:val="001A33EA"/>
    <w:rsid w:val="001A3586"/>
    <w:rsid w:val="001A4413"/>
    <w:rsid w:val="001A4C4F"/>
    <w:rsid w:val="001A5518"/>
    <w:rsid w:val="001A5A2B"/>
    <w:rsid w:val="001A5EA2"/>
    <w:rsid w:val="001A5EDF"/>
    <w:rsid w:val="001A5F8E"/>
    <w:rsid w:val="001A67F1"/>
    <w:rsid w:val="001A76FB"/>
    <w:rsid w:val="001A7F68"/>
    <w:rsid w:val="001B017F"/>
    <w:rsid w:val="001B0B79"/>
    <w:rsid w:val="001B15C3"/>
    <w:rsid w:val="001B26FB"/>
    <w:rsid w:val="001B2BBC"/>
    <w:rsid w:val="001B3315"/>
    <w:rsid w:val="001B3A40"/>
    <w:rsid w:val="001B3FFE"/>
    <w:rsid w:val="001B41DA"/>
    <w:rsid w:val="001B4F10"/>
    <w:rsid w:val="001B5129"/>
    <w:rsid w:val="001B6D6B"/>
    <w:rsid w:val="001B7151"/>
    <w:rsid w:val="001B72A8"/>
    <w:rsid w:val="001B742C"/>
    <w:rsid w:val="001B742D"/>
    <w:rsid w:val="001C035C"/>
    <w:rsid w:val="001C0931"/>
    <w:rsid w:val="001C0ADB"/>
    <w:rsid w:val="001C0B4C"/>
    <w:rsid w:val="001C0DD8"/>
    <w:rsid w:val="001C0EC4"/>
    <w:rsid w:val="001C10EB"/>
    <w:rsid w:val="001C1195"/>
    <w:rsid w:val="001C11E5"/>
    <w:rsid w:val="001C12AE"/>
    <w:rsid w:val="001C1E84"/>
    <w:rsid w:val="001C2553"/>
    <w:rsid w:val="001C2E42"/>
    <w:rsid w:val="001C436F"/>
    <w:rsid w:val="001C5400"/>
    <w:rsid w:val="001C6862"/>
    <w:rsid w:val="001C758C"/>
    <w:rsid w:val="001D00BD"/>
    <w:rsid w:val="001D094C"/>
    <w:rsid w:val="001D0C89"/>
    <w:rsid w:val="001D15BB"/>
    <w:rsid w:val="001D1F5F"/>
    <w:rsid w:val="001D3CCF"/>
    <w:rsid w:val="001D3EEC"/>
    <w:rsid w:val="001D49BF"/>
    <w:rsid w:val="001D5824"/>
    <w:rsid w:val="001D6194"/>
    <w:rsid w:val="001D77EA"/>
    <w:rsid w:val="001E01D6"/>
    <w:rsid w:val="001E06D2"/>
    <w:rsid w:val="001E07BE"/>
    <w:rsid w:val="001E0D5F"/>
    <w:rsid w:val="001E1295"/>
    <w:rsid w:val="001E17C4"/>
    <w:rsid w:val="001E1F86"/>
    <w:rsid w:val="001E4070"/>
    <w:rsid w:val="001E47A8"/>
    <w:rsid w:val="001E528E"/>
    <w:rsid w:val="001E57AE"/>
    <w:rsid w:val="001E6424"/>
    <w:rsid w:val="001E6BBE"/>
    <w:rsid w:val="001F005B"/>
    <w:rsid w:val="001F0083"/>
    <w:rsid w:val="001F090A"/>
    <w:rsid w:val="001F0AF5"/>
    <w:rsid w:val="001F1850"/>
    <w:rsid w:val="001F1C54"/>
    <w:rsid w:val="001F1D9C"/>
    <w:rsid w:val="001F1FBF"/>
    <w:rsid w:val="001F2063"/>
    <w:rsid w:val="001F2F1C"/>
    <w:rsid w:val="001F3189"/>
    <w:rsid w:val="001F41C6"/>
    <w:rsid w:val="001F461A"/>
    <w:rsid w:val="001F4B1F"/>
    <w:rsid w:val="001F5527"/>
    <w:rsid w:val="001F68D4"/>
    <w:rsid w:val="002005E6"/>
    <w:rsid w:val="002015EE"/>
    <w:rsid w:val="00201A75"/>
    <w:rsid w:val="00201E0C"/>
    <w:rsid w:val="00201FB8"/>
    <w:rsid w:val="002025D2"/>
    <w:rsid w:val="00202B4D"/>
    <w:rsid w:val="00202CEF"/>
    <w:rsid w:val="00202D71"/>
    <w:rsid w:val="002032A7"/>
    <w:rsid w:val="0020394E"/>
    <w:rsid w:val="00203CF9"/>
    <w:rsid w:val="00203FAC"/>
    <w:rsid w:val="002040A3"/>
    <w:rsid w:val="0020520E"/>
    <w:rsid w:val="002057BB"/>
    <w:rsid w:val="00207338"/>
    <w:rsid w:val="002123EE"/>
    <w:rsid w:val="00213B0D"/>
    <w:rsid w:val="00213CFB"/>
    <w:rsid w:val="00213EAC"/>
    <w:rsid w:val="00214367"/>
    <w:rsid w:val="00214B92"/>
    <w:rsid w:val="0021553C"/>
    <w:rsid w:val="0021557B"/>
    <w:rsid w:val="0021581C"/>
    <w:rsid w:val="00215CF5"/>
    <w:rsid w:val="00215E92"/>
    <w:rsid w:val="002171D3"/>
    <w:rsid w:val="002174FD"/>
    <w:rsid w:val="002178B6"/>
    <w:rsid w:val="00217BE1"/>
    <w:rsid w:val="00217BE6"/>
    <w:rsid w:val="00217C08"/>
    <w:rsid w:val="00220197"/>
    <w:rsid w:val="002201EB"/>
    <w:rsid w:val="002209AD"/>
    <w:rsid w:val="002214B9"/>
    <w:rsid w:val="00221547"/>
    <w:rsid w:val="00221C30"/>
    <w:rsid w:val="00221DDA"/>
    <w:rsid w:val="00224A92"/>
    <w:rsid w:val="002251EC"/>
    <w:rsid w:val="00227339"/>
    <w:rsid w:val="00227EE0"/>
    <w:rsid w:val="00230B66"/>
    <w:rsid w:val="00230F63"/>
    <w:rsid w:val="002310CF"/>
    <w:rsid w:val="002312B9"/>
    <w:rsid w:val="002329D7"/>
    <w:rsid w:val="00232DDF"/>
    <w:rsid w:val="00234252"/>
    <w:rsid w:val="0023466E"/>
    <w:rsid w:val="002354AE"/>
    <w:rsid w:val="00235594"/>
    <w:rsid w:val="0023584E"/>
    <w:rsid w:val="00235904"/>
    <w:rsid w:val="00236302"/>
    <w:rsid w:val="00236D04"/>
    <w:rsid w:val="00237195"/>
    <w:rsid w:val="0023783F"/>
    <w:rsid w:val="00237AC6"/>
    <w:rsid w:val="00240165"/>
    <w:rsid w:val="00240240"/>
    <w:rsid w:val="00240C35"/>
    <w:rsid w:val="00240DE6"/>
    <w:rsid w:val="00241634"/>
    <w:rsid w:val="00242A43"/>
    <w:rsid w:val="0024334E"/>
    <w:rsid w:val="00244139"/>
    <w:rsid w:val="00244490"/>
    <w:rsid w:val="0024491A"/>
    <w:rsid w:val="00245B9C"/>
    <w:rsid w:val="00245E0A"/>
    <w:rsid w:val="00247550"/>
    <w:rsid w:val="0024770A"/>
    <w:rsid w:val="00247B90"/>
    <w:rsid w:val="00251CA7"/>
    <w:rsid w:val="00252D3F"/>
    <w:rsid w:val="002531B2"/>
    <w:rsid w:val="00253499"/>
    <w:rsid w:val="00255175"/>
    <w:rsid w:val="002551A4"/>
    <w:rsid w:val="002558E2"/>
    <w:rsid w:val="00255BC2"/>
    <w:rsid w:val="00256C07"/>
    <w:rsid w:val="00257664"/>
    <w:rsid w:val="00257CFD"/>
    <w:rsid w:val="002600FE"/>
    <w:rsid w:val="002637DA"/>
    <w:rsid w:val="00263AD8"/>
    <w:rsid w:val="0026449F"/>
    <w:rsid w:val="00265151"/>
    <w:rsid w:val="00265865"/>
    <w:rsid w:val="00265C2C"/>
    <w:rsid w:val="00265D29"/>
    <w:rsid w:val="00265FBE"/>
    <w:rsid w:val="00266509"/>
    <w:rsid w:val="00266773"/>
    <w:rsid w:val="00267204"/>
    <w:rsid w:val="002672CD"/>
    <w:rsid w:val="002679A1"/>
    <w:rsid w:val="00267CF1"/>
    <w:rsid w:val="00270862"/>
    <w:rsid w:val="002712DB"/>
    <w:rsid w:val="00271BA1"/>
    <w:rsid w:val="0027258F"/>
    <w:rsid w:val="002726EF"/>
    <w:rsid w:val="00272C27"/>
    <w:rsid w:val="00273AC5"/>
    <w:rsid w:val="00273B6F"/>
    <w:rsid w:val="00274455"/>
    <w:rsid w:val="002744C7"/>
    <w:rsid w:val="00274818"/>
    <w:rsid w:val="00274823"/>
    <w:rsid w:val="00274B41"/>
    <w:rsid w:val="00275A7B"/>
    <w:rsid w:val="00275CF1"/>
    <w:rsid w:val="002762FA"/>
    <w:rsid w:val="0027663A"/>
    <w:rsid w:val="00277505"/>
    <w:rsid w:val="00280089"/>
    <w:rsid w:val="00280D3A"/>
    <w:rsid w:val="00281462"/>
    <w:rsid w:val="0028158C"/>
    <w:rsid w:val="002821BC"/>
    <w:rsid w:val="002823B6"/>
    <w:rsid w:val="00282B7D"/>
    <w:rsid w:val="002831CE"/>
    <w:rsid w:val="002835AF"/>
    <w:rsid w:val="002835CE"/>
    <w:rsid w:val="0028453C"/>
    <w:rsid w:val="002845CA"/>
    <w:rsid w:val="00285D6B"/>
    <w:rsid w:val="00285D9D"/>
    <w:rsid w:val="002869EB"/>
    <w:rsid w:val="00286B87"/>
    <w:rsid w:val="00290C03"/>
    <w:rsid w:val="0029108F"/>
    <w:rsid w:val="002916FC"/>
    <w:rsid w:val="00291C5B"/>
    <w:rsid w:val="00291ED4"/>
    <w:rsid w:val="002927DB"/>
    <w:rsid w:val="002928A5"/>
    <w:rsid w:val="00293396"/>
    <w:rsid w:val="0029340E"/>
    <w:rsid w:val="00293877"/>
    <w:rsid w:val="00294274"/>
    <w:rsid w:val="0029458F"/>
    <w:rsid w:val="002952F9"/>
    <w:rsid w:val="00296FBE"/>
    <w:rsid w:val="00297108"/>
    <w:rsid w:val="0029792C"/>
    <w:rsid w:val="002A018F"/>
    <w:rsid w:val="002A0E04"/>
    <w:rsid w:val="002A0EDC"/>
    <w:rsid w:val="002A104C"/>
    <w:rsid w:val="002A1583"/>
    <w:rsid w:val="002A1EF7"/>
    <w:rsid w:val="002A1F22"/>
    <w:rsid w:val="002A2E29"/>
    <w:rsid w:val="002A32E7"/>
    <w:rsid w:val="002A4929"/>
    <w:rsid w:val="002A494D"/>
    <w:rsid w:val="002A4960"/>
    <w:rsid w:val="002A636A"/>
    <w:rsid w:val="002A73EF"/>
    <w:rsid w:val="002A7BE7"/>
    <w:rsid w:val="002A7C33"/>
    <w:rsid w:val="002A7D9F"/>
    <w:rsid w:val="002B017F"/>
    <w:rsid w:val="002B0AE0"/>
    <w:rsid w:val="002B0B4B"/>
    <w:rsid w:val="002B0ED3"/>
    <w:rsid w:val="002B12FE"/>
    <w:rsid w:val="002B1AE6"/>
    <w:rsid w:val="002B1D51"/>
    <w:rsid w:val="002B2314"/>
    <w:rsid w:val="002B28C9"/>
    <w:rsid w:val="002B2C33"/>
    <w:rsid w:val="002B2CF8"/>
    <w:rsid w:val="002B2DE8"/>
    <w:rsid w:val="002B2E37"/>
    <w:rsid w:val="002B30F8"/>
    <w:rsid w:val="002B37F5"/>
    <w:rsid w:val="002B388A"/>
    <w:rsid w:val="002B451E"/>
    <w:rsid w:val="002B460A"/>
    <w:rsid w:val="002B5596"/>
    <w:rsid w:val="002B57AF"/>
    <w:rsid w:val="002B5E8B"/>
    <w:rsid w:val="002B692F"/>
    <w:rsid w:val="002B6952"/>
    <w:rsid w:val="002B77D7"/>
    <w:rsid w:val="002B79FA"/>
    <w:rsid w:val="002C01A8"/>
    <w:rsid w:val="002C068D"/>
    <w:rsid w:val="002C0965"/>
    <w:rsid w:val="002C0A67"/>
    <w:rsid w:val="002C0DA6"/>
    <w:rsid w:val="002C159F"/>
    <w:rsid w:val="002C212F"/>
    <w:rsid w:val="002C27F6"/>
    <w:rsid w:val="002C2F35"/>
    <w:rsid w:val="002C326A"/>
    <w:rsid w:val="002C40C7"/>
    <w:rsid w:val="002C4203"/>
    <w:rsid w:val="002C4CD0"/>
    <w:rsid w:val="002C4D49"/>
    <w:rsid w:val="002C4EC7"/>
    <w:rsid w:val="002C633F"/>
    <w:rsid w:val="002C6AA9"/>
    <w:rsid w:val="002C6D7E"/>
    <w:rsid w:val="002C7485"/>
    <w:rsid w:val="002C7908"/>
    <w:rsid w:val="002D0F22"/>
    <w:rsid w:val="002D147F"/>
    <w:rsid w:val="002D1D17"/>
    <w:rsid w:val="002D2641"/>
    <w:rsid w:val="002D283A"/>
    <w:rsid w:val="002D2EF0"/>
    <w:rsid w:val="002D3A52"/>
    <w:rsid w:val="002D4543"/>
    <w:rsid w:val="002D5D4D"/>
    <w:rsid w:val="002D6069"/>
    <w:rsid w:val="002D6523"/>
    <w:rsid w:val="002D6542"/>
    <w:rsid w:val="002D65B9"/>
    <w:rsid w:val="002D6A12"/>
    <w:rsid w:val="002D6EBD"/>
    <w:rsid w:val="002D7B4C"/>
    <w:rsid w:val="002E0317"/>
    <w:rsid w:val="002E0C62"/>
    <w:rsid w:val="002E1176"/>
    <w:rsid w:val="002E12E1"/>
    <w:rsid w:val="002E245E"/>
    <w:rsid w:val="002E3153"/>
    <w:rsid w:val="002E31A5"/>
    <w:rsid w:val="002E3A29"/>
    <w:rsid w:val="002E4115"/>
    <w:rsid w:val="002E4164"/>
    <w:rsid w:val="002E5292"/>
    <w:rsid w:val="002E60F9"/>
    <w:rsid w:val="002E67A2"/>
    <w:rsid w:val="002E69E2"/>
    <w:rsid w:val="002E6A14"/>
    <w:rsid w:val="002E6FC7"/>
    <w:rsid w:val="002E72CA"/>
    <w:rsid w:val="002E74BA"/>
    <w:rsid w:val="002F0F92"/>
    <w:rsid w:val="002F1D07"/>
    <w:rsid w:val="002F2B59"/>
    <w:rsid w:val="002F5737"/>
    <w:rsid w:val="002F5E40"/>
    <w:rsid w:val="002F600D"/>
    <w:rsid w:val="002F660C"/>
    <w:rsid w:val="002F7104"/>
    <w:rsid w:val="002F7970"/>
    <w:rsid w:val="002F7E47"/>
    <w:rsid w:val="002F7EF3"/>
    <w:rsid w:val="0030029F"/>
    <w:rsid w:val="00300681"/>
    <w:rsid w:val="00300AD6"/>
    <w:rsid w:val="00300B1B"/>
    <w:rsid w:val="00300E95"/>
    <w:rsid w:val="003010C8"/>
    <w:rsid w:val="003019D0"/>
    <w:rsid w:val="00304C43"/>
    <w:rsid w:val="0030621C"/>
    <w:rsid w:val="003064AF"/>
    <w:rsid w:val="00306A21"/>
    <w:rsid w:val="00310131"/>
    <w:rsid w:val="00310390"/>
    <w:rsid w:val="00310412"/>
    <w:rsid w:val="003104CC"/>
    <w:rsid w:val="003104F1"/>
    <w:rsid w:val="00310A8B"/>
    <w:rsid w:val="00310B68"/>
    <w:rsid w:val="00310C1C"/>
    <w:rsid w:val="00310C90"/>
    <w:rsid w:val="0031236D"/>
    <w:rsid w:val="00312410"/>
    <w:rsid w:val="00313082"/>
    <w:rsid w:val="00314407"/>
    <w:rsid w:val="003146D2"/>
    <w:rsid w:val="003156B5"/>
    <w:rsid w:val="00315C99"/>
    <w:rsid w:val="003160D2"/>
    <w:rsid w:val="0031668A"/>
    <w:rsid w:val="00316707"/>
    <w:rsid w:val="003173FC"/>
    <w:rsid w:val="00317C6C"/>
    <w:rsid w:val="00317FA6"/>
    <w:rsid w:val="00320B80"/>
    <w:rsid w:val="00320CD3"/>
    <w:rsid w:val="003210FD"/>
    <w:rsid w:val="00321369"/>
    <w:rsid w:val="00321E05"/>
    <w:rsid w:val="00322115"/>
    <w:rsid w:val="00322CAB"/>
    <w:rsid w:val="00323F25"/>
    <w:rsid w:val="003240B9"/>
    <w:rsid w:val="00324B02"/>
    <w:rsid w:val="003262F1"/>
    <w:rsid w:val="003266B9"/>
    <w:rsid w:val="00326CBD"/>
    <w:rsid w:val="00326E79"/>
    <w:rsid w:val="0032748A"/>
    <w:rsid w:val="003301B1"/>
    <w:rsid w:val="00330348"/>
    <w:rsid w:val="00330437"/>
    <w:rsid w:val="00330F6D"/>
    <w:rsid w:val="00331189"/>
    <w:rsid w:val="003318C5"/>
    <w:rsid w:val="003319A5"/>
    <w:rsid w:val="00331CEB"/>
    <w:rsid w:val="00331DBF"/>
    <w:rsid w:val="0033263D"/>
    <w:rsid w:val="00332AC8"/>
    <w:rsid w:val="00332E91"/>
    <w:rsid w:val="003333C5"/>
    <w:rsid w:val="0033400F"/>
    <w:rsid w:val="00334CF0"/>
    <w:rsid w:val="00334EA2"/>
    <w:rsid w:val="0033518A"/>
    <w:rsid w:val="00335535"/>
    <w:rsid w:val="003367EF"/>
    <w:rsid w:val="00337659"/>
    <w:rsid w:val="00340111"/>
    <w:rsid w:val="00340A99"/>
    <w:rsid w:val="00341AE4"/>
    <w:rsid w:val="003428CE"/>
    <w:rsid w:val="00343E14"/>
    <w:rsid w:val="003445A7"/>
    <w:rsid w:val="00344D82"/>
    <w:rsid w:val="003476EE"/>
    <w:rsid w:val="00347C9D"/>
    <w:rsid w:val="00347E7A"/>
    <w:rsid w:val="00347EC4"/>
    <w:rsid w:val="00347F91"/>
    <w:rsid w:val="00347FC0"/>
    <w:rsid w:val="0035230D"/>
    <w:rsid w:val="00352804"/>
    <w:rsid w:val="003529A0"/>
    <w:rsid w:val="00352DE8"/>
    <w:rsid w:val="0035363A"/>
    <w:rsid w:val="003541DD"/>
    <w:rsid w:val="0035444B"/>
    <w:rsid w:val="00354D3B"/>
    <w:rsid w:val="00356852"/>
    <w:rsid w:val="003568C8"/>
    <w:rsid w:val="00356DCA"/>
    <w:rsid w:val="00356E5B"/>
    <w:rsid w:val="00356F4F"/>
    <w:rsid w:val="00357524"/>
    <w:rsid w:val="003577E6"/>
    <w:rsid w:val="00361506"/>
    <w:rsid w:val="00361814"/>
    <w:rsid w:val="003622FC"/>
    <w:rsid w:val="00363A1B"/>
    <w:rsid w:val="00364EF4"/>
    <w:rsid w:val="00366A15"/>
    <w:rsid w:val="00366A7B"/>
    <w:rsid w:val="00366D74"/>
    <w:rsid w:val="00366EB1"/>
    <w:rsid w:val="00366F4E"/>
    <w:rsid w:val="00367968"/>
    <w:rsid w:val="003706E6"/>
    <w:rsid w:val="00370A5A"/>
    <w:rsid w:val="00370B1E"/>
    <w:rsid w:val="00371FA5"/>
    <w:rsid w:val="003721D1"/>
    <w:rsid w:val="00372E52"/>
    <w:rsid w:val="003736C9"/>
    <w:rsid w:val="00374856"/>
    <w:rsid w:val="00374AA6"/>
    <w:rsid w:val="00375357"/>
    <w:rsid w:val="00375B69"/>
    <w:rsid w:val="003763C9"/>
    <w:rsid w:val="00376BCC"/>
    <w:rsid w:val="00377420"/>
    <w:rsid w:val="00377433"/>
    <w:rsid w:val="003775F1"/>
    <w:rsid w:val="00377BC0"/>
    <w:rsid w:val="00380038"/>
    <w:rsid w:val="00380138"/>
    <w:rsid w:val="00381704"/>
    <w:rsid w:val="00381E96"/>
    <w:rsid w:val="00382274"/>
    <w:rsid w:val="003830C6"/>
    <w:rsid w:val="00383B77"/>
    <w:rsid w:val="00383C77"/>
    <w:rsid w:val="00383E60"/>
    <w:rsid w:val="00384988"/>
    <w:rsid w:val="00384EC7"/>
    <w:rsid w:val="00385A58"/>
    <w:rsid w:val="00386094"/>
    <w:rsid w:val="00387299"/>
    <w:rsid w:val="003872CF"/>
    <w:rsid w:val="00387CE2"/>
    <w:rsid w:val="003904CE"/>
    <w:rsid w:val="003906C6"/>
    <w:rsid w:val="003918B6"/>
    <w:rsid w:val="00391DAF"/>
    <w:rsid w:val="0039253E"/>
    <w:rsid w:val="003936D8"/>
    <w:rsid w:val="00393F99"/>
    <w:rsid w:val="003946B0"/>
    <w:rsid w:val="00395F0E"/>
    <w:rsid w:val="0039675A"/>
    <w:rsid w:val="003970D6"/>
    <w:rsid w:val="0039717F"/>
    <w:rsid w:val="0039782C"/>
    <w:rsid w:val="00397B0A"/>
    <w:rsid w:val="003A02CD"/>
    <w:rsid w:val="003A13A6"/>
    <w:rsid w:val="003A26BA"/>
    <w:rsid w:val="003A374D"/>
    <w:rsid w:val="003A39EC"/>
    <w:rsid w:val="003A540C"/>
    <w:rsid w:val="003A5B3F"/>
    <w:rsid w:val="003A5B4A"/>
    <w:rsid w:val="003A5C29"/>
    <w:rsid w:val="003A5D95"/>
    <w:rsid w:val="003A60C1"/>
    <w:rsid w:val="003A64BC"/>
    <w:rsid w:val="003A6E85"/>
    <w:rsid w:val="003A7075"/>
    <w:rsid w:val="003A7438"/>
    <w:rsid w:val="003B0050"/>
    <w:rsid w:val="003B0123"/>
    <w:rsid w:val="003B0D3A"/>
    <w:rsid w:val="003B1FDF"/>
    <w:rsid w:val="003B2302"/>
    <w:rsid w:val="003B23C5"/>
    <w:rsid w:val="003B2624"/>
    <w:rsid w:val="003B2718"/>
    <w:rsid w:val="003B2A75"/>
    <w:rsid w:val="003B2B64"/>
    <w:rsid w:val="003B3033"/>
    <w:rsid w:val="003B3C42"/>
    <w:rsid w:val="003B424B"/>
    <w:rsid w:val="003B49B2"/>
    <w:rsid w:val="003B57CF"/>
    <w:rsid w:val="003B5E68"/>
    <w:rsid w:val="003B6124"/>
    <w:rsid w:val="003B7774"/>
    <w:rsid w:val="003B7960"/>
    <w:rsid w:val="003C04FD"/>
    <w:rsid w:val="003C05FC"/>
    <w:rsid w:val="003C0851"/>
    <w:rsid w:val="003C093A"/>
    <w:rsid w:val="003C1355"/>
    <w:rsid w:val="003C1413"/>
    <w:rsid w:val="003C1A4A"/>
    <w:rsid w:val="003C1ECF"/>
    <w:rsid w:val="003C214A"/>
    <w:rsid w:val="003C285E"/>
    <w:rsid w:val="003C2921"/>
    <w:rsid w:val="003C2FB5"/>
    <w:rsid w:val="003C3E25"/>
    <w:rsid w:val="003C3E2E"/>
    <w:rsid w:val="003C4440"/>
    <w:rsid w:val="003C52C5"/>
    <w:rsid w:val="003C5C15"/>
    <w:rsid w:val="003C6A90"/>
    <w:rsid w:val="003C6AFB"/>
    <w:rsid w:val="003C6F9D"/>
    <w:rsid w:val="003C7831"/>
    <w:rsid w:val="003D0FE0"/>
    <w:rsid w:val="003D1615"/>
    <w:rsid w:val="003D24C5"/>
    <w:rsid w:val="003D25E4"/>
    <w:rsid w:val="003D3605"/>
    <w:rsid w:val="003D3A34"/>
    <w:rsid w:val="003D441E"/>
    <w:rsid w:val="003D4594"/>
    <w:rsid w:val="003D4AC4"/>
    <w:rsid w:val="003D5416"/>
    <w:rsid w:val="003D5ED9"/>
    <w:rsid w:val="003D62E7"/>
    <w:rsid w:val="003D63B7"/>
    <w:rsid w:val="003D6B73"/>
    <w:rsid w:val="003D74C5"/>
    <w:rsid w:val="003D7C2A"/>
    <w:rsid w:val="003E0D0A"/>
    <w:rsid w:val="003E1211"/>
    <w:rsid w:val="003E14F8"/>
    <w:rsid w:val="003E1A22"/>
    <w:rsid w:val="003E1B6E"/>
    <w:rsid w:val="003E2A08"/>
    <w:rsid w:val="003E35D6"/>
    <w:rsid w:val="003E3A26"/>
    <w:rsid w:val="003E3AB6"/>
    <w:rsid w:val="003E3C10"/>
    <w:rsid w:val="003E3F09"/>
    <w:rsid w:val="003E4374"/>
    <w:rsid w:val="003E468B"/>
    <w:rsid w:val="003E4DF8"/>
    <w:rsid w:val="003E4EFC"/>
    <w:rsid w:val="003E5759"/>
    <w:rsid w:val="003E62BD"/>
    <w:rsid w:val="003E6F27"/>
    <w:rsid w:val="003E7CED"/>
    <w:rsid w:val="003F000A"/>
    <w:rsid w:val="003F03E4"/>
    <w:rsid w:val="003F044F"/>
    <w:rsid w:val="003F0C3A"/>
    <w:rsid w:val="003F0F8A"/>
    <w:rsid w:val="003F11EA"/>
    <w:rsid w:val="003F15F0"/>
    <w:rsid w:val="003F2310"/>
    <w:rsid w:val="003F253A"/>
    <w:rsid w:val="003F2579"/>
    <w:rsid w:val="003F2B46"/>
    <w:rsid w:val="003F3228"/>
    <w:rsid w:val="003F3DEF"/>
    <w:rsid w:val="003F47C2"/>
    <w:rsid w:val="003F4886"/>
    <w:rsid w:val="003F59B9"/>
    <w:rsid w:val="003F5C8C"/>
    <w:rsid w:val="003F63CE"/>
    <w:rsid w:val="003F63CF"/>
    <w:rsid w:val="003F6D55"/>
    <w:rsid w:val="003F775A"/>
    <w:rsid w:val="00400E55"/>
    <w:rsid w:val="0040128E"/>
    <w:rsid w:val="0040216B"/>
    <w:rsid w:val="00402547"/>
    <w:rsid w:val="00402BB3"/>
    <w:rsid w:val="004054DA"/>
    <w:rsid w:val="00405C6A"/>
    <w:rsid w:val="00406728"/>
    <w:rsid w:val="0040681E"/>
    <w:rsid w:val="00407663"/>
    <w:rsid w:val="00407BC6"/>
    <w:rsid w:val="00407EBA"/>
    <w:rsid w:val="0041058A"/>
    <w:rsid w:val="004107F5"/>
    <w:rsid w:val="00410A6D"/>
    <w:rsid w:val="004123A6"/>
    <w:rsid w:val="004143DE"/>
    <w:rsid w:val="00414511"/>
    <w:rsid w:val="00416391"/>
    <w:rsid w:val="00417545"/>
    <w:rsid w:val="00420096"/>
    <w:rsid w:val="00420400"/>
    <w:rsid w:val="004227CD"/>
    <w:rsid w:val="004232CD"/>
    <w:rsid w:val="00423BB0"/>
    <w:rsid w:val="004252EC"/>
    <w:rsid w:val="00425994"/>
    <w:rsid w:val="00426ACD"/>
    <w:rsid w:val="00426C8D"/>
    <w:rsid w:val="00426CA5"/>
    <w:rsid w:val="00430B50"/>
    <w:rsid w:val="00430D39"/>
    <w:rsid w:val="00431405"/>
    <w:rsid w:val="004317DF"/>
    <w:rsid w:val="00432B9F"/>
    <w:rsid w:val="00433844"/>
    <w:rsid w:val="0043412C"/>
    <w:rsid w:val="004404A0"/>
    <w:rsid w:val="004406DF"/>
    <w:rsid w:val="004406FE"/>
    <w:rsid w:val="00442459"/>
    <w:rsid w:val="004428E7"/>
    <w:rsid w:val="00442C91"/>
    <w:rsid w:val="0044349C"/>
    <w:rsid w:val="004439E8"/>
    <w:rsid w:val="004440C4"/>
    <w:rsid w:val="00445010"/>
    <w:rsid w:val="00445449"/>
    <w:rsid w:val="0044553B"/>
    <w:rsid w:val="004465BD"/>
    <w:rsid w:val="00446938"/>
    <w:rsid w:val="0044716A"/>
    <w:rsid w:val="00447187"/>
    <w:rsid w:val="0045067E"/>
    <w:rsid w:val="00451BF9"/>
    <w:rsid w:val="004528B3"/>
    <w:rsid w:val="004528FA"/>
    <w:rsid w:val="00453FE0"/>
    <w:rsid w:val="00454436"/>
    <w:rsid w:val="00455B52"/>
    <w:rsid w:val="00456106"/>
    <w:rsid w:val="00456FD9"/>
    <w:rsid w:val="004570CE"/>
    <w:rsid w:val="0046184E"/>
    <w:rsid w:val="00461A44"/>
    <w:rsid w:val="00462AA0"/>
    <w:rsid w:val="00462CF4"/>
    <w:rsid w:val="00462D26"/>
    <w:rsid w:val="0046385A"/>
    <w:rsid w:val="00463F88"/>
    <w:rsid w:val="004641F1"/>
    <w:rsid w:val="00464F48"/>
    <w:rsid w:val="00465B4B"/>
    <w:rsid w:val="00466068"/>
    <w:rsid w:val="00466255"/>
    <w:rsid w:val="00466556"/>
    <w:rsid w:val="00466ADA"/>
    <w:rsid w:val="00466D84"/>
    <w:rsid w:val="004674C5"/>
    <w:rsid w:val="004702BB"/>
    <w:rsid w:val="00470FC4"/>
    <w:rsid w:val="00471093"/>
    <w:rsid w:val="00471504"/>
    <w:rsid w:val="004730F9"/>
    <w:rsid w:val="00473815"/>
    <w:rsid w:val="004746EE"/>
    <w:rsid w:val="0047494B"/>
    <w:rsid w:val="004753EF"/>
    <w:rsid w:val="004754F5"/>
    <w:rsid w:val="004755D5"/>
    <w:rsid w:val="00476178"/>
    <w:rsid w:val="00476245"/>
    <w:rsid w:val="00476BC3"/>
    <w:rsid w:val="0047798A"/>
    <w:rsid w:val="00477A9B"/>
    <w:rsid w:val="004808E0"/>
    <w:rsid w:val="004811C3"/>
    <w:rsid w:val="00481E1D"/>
    <w:rsid w:val="0048209C"/>
    <w:rsid w:val="00483035"/>
    <w:rsid w:val="00483074"/>
    <w:rsid w:val="00483380"/>
    <w:rsid w:val="004837FA"/>
    <w:rsid w:val="00485940"/>
    <w:rsid w:val="00486B9C"/>
    <w:rsid w:val="00486C95"/>
    <w:rsid w:val="004870C2"/>
    <w:rsid w:val="004877C2"/>
    <w:rsid w:val="00487FA9"/>
    <w:rsid w:val="004904B9"/>
    <w:rsid w:val="00490CD4"/>
    <w:rsid w:val="00490EB6"/>
    <w:rsid w:val="00491656"/>
    <w:rsid w:val="00491E48"/>
    <w:rsid w:val="004941D9"/>
    <w:rsid w:val="004945DC"/>
    <w:rsid w:val="00494A98"/>
    <w:rsid w:val="00495F61"/>
    <w:rsid w:val="00496662"/>
    <w:rsid w:val="004A036A"/>
    <w:rsid w:val="004A0494"/>
    <w:rsid w:val="004A0A40"/>
    <w:rsid w:val="004A108D"/>
    <w:rsid w:val="004A2301"/>
    <w:rsid w:val="004A242A"/>
    <w:rsid w:val="004A2484"/>
    <w:rsid w:val="004A248F"/>
    <w:rsid w:val="004A2A54"/>
    <w:rsid w:val="004A2CE6"/>
    <w:rsid w:val="004A376B"/>
    <w:rsid w:val="004A3DD4"/>
    <w:rsid w:val="004A4944"/>
    <w:rsid w:val="004A5143"/>
    <w:rsid w:val="004A5A85"/>
    <w:rsid w:val="004A71D1"/>
    <w:rsid w:val="004A74EE"/>
    <w:rsid w:val="004A7A9B"/>
    <w:rsid w:val="004A7B7C"/>
    <w:rsid w:val="004A7C5B"/>
    <w:rsid w:val="004B0588"/>
    <w:rsid w:val="004B0DCE"/>
    <w:rsid w:val="004B0FE7"/>
    <w:rsid w:val="004B1522"/>
    <w:rsid w:val="004B1845"/>
    <w:rsid w:val="004B1ACB"/>
    <w:rsid w:val="004B2348"/>
    <w:rsid w:val="004B2B49"/>
    <w:rsid w:val="004B2E01"/>
    <w:rsid w:val="004B2E98"/>
    <w:rsid w:val="004B37E0"/>
    <w:rsid w:val="004B44D5"/>
    <w:rsid w:val="004B4EAF"/>
    <w:rsid w:val="004B5640"/>
    <w:rsid w:val="004B57F7"/>
    <w:rsid w:val="004B6084"/>
    <w:rsid w:val="004B65D6"/>
    <w:rsid w:val="004BCF29"/>
    <w:rsid w:val="004C030A"/>
    <w:rsid w:val="004C0358"/>
    <w:rsid w:val="004C03D0"/>
    <w:rsid w:val="004C14A8"/>
    <w:rsid w:val="004C1919"/>
    <w:rsid w:val="004C1BD7"/>
    <w:rsid w:val="004C1C67"/>
    <w:rsid w:val="004C20FA"/>
    <w:rsid w:val="004C239C"/>
    <w:rsid w:val="004C2E86"/>
    <w:rsid w:val="004C31FE"/>
    <w:rsid w:val="004C34D2"/>
    <w:rsid w:val="004C3C99"/>
    <w:rsid w:val="004C5136"/>
    <w:rsid w:val="004C524C"/>
    <w:rsid w:val="004C5FFA"/>
    <w:rsid w:val="004C644E"/>
    <w:rsid w:val="004C691D"/>
    <w:rsid w:val="004C6C07"/>
    <w:rsid w:val="004C7E15"/>
    <w:rsid w:val="004D0341"/>
    <w:rsid w:val="004D1125"/>
    <w:rsid w:val="004D206B"/>
    <w:rsid w:val="004D282C"/>
    <w:rsid w:val="004D2C37"/>
    <w:rsid w:val="004D2CAD"/>
    <w:rsid w:val="004D2CD1"/>
    <w:rsid w:val="004D4A8A"/>
    <w:rsid w:val="004D4B7F"/>
    <w:rsid w:val="004D4D81"/>
    <w:rsid w:val="004D4FF6"/>
    <w:rsid w:val="004D5ADD"/>
    <w:rsid w:val="004D6100"/>
    <w:rsid w:val="004D664A"/>
    <w:rsid w:val="004D6AAD"/>
    <w:rsid w:val="004D7B82"/>
    <w:rsid w:val="004E04DE"/>
    <w:rsid w:val="004E062A"/>
    <w:rsid w:val="004E0C14"/>
    <w:rsid w:val="004E0ECD"/>
    <w:rsid w:val="004E1760"/>
    <w:rsid w:val="004E1B22"/>
    <w:rsid w:val="004E256B"/>
    <w:rsid w:val="004E2BE9"/>
    <w:rsid w:val="004E2ED9"/>
    <w:rsid w:val="004E3F5E"/>
    <w:rsid w:val="004E5026"/>
    <w:rsid w:val="004E5BD7"/>
    <w:rsid w:val="004E637B"/>
    <w:rsid w:val="004E692D"/>
    <w:rsid w:val="004E7230"/>
    <w:rsid w:val="004E7540"/>
    <w:rsid w:val="004E7C2C"/>
    <w:rsid w:val="004E7D87"/>
    <w:rsid w:val="004F11C4"/>
    <w:rsid w:val="004F1420"/>
    <w:rsid w:val="004F1CE6"/>
    <w:rsid w:val="004F2553"/>
    <w:rsid w:val="004F306A"/>
    <w:rsid w:val="004F4B9B"/>
    <w:rsid w:val="004F5C3B"/>
    <w:rsid w:val="004F5E57"/>
    <w:rsid w:val="004F5F19"/>
    <w:rsid w:val="004F6160"/>
    <w:rsid w:val="004F63ED"/>
    <w:rsid w:val="004F6BD0"/>
    <w:rsid w:val="004F77BD"/>
    <w:rsid w:val="004F7886"/>
    <w:rsid w:val="004F7AC0"/>
    <w:rsid w:val="004F7B05"/>
    <w:rsid w:val="004F7D35"/>
    <w:rsid w:val="004F7F0A"/>
    <w:rsid w:val="004F7FC0"/>
    <w:rsid w:val="0050062E"/>
    <w:rsid w:val="00500633"/>
    <w:rsid w:val="00500BBD"/>
    <w:rsid w:val="00501554"/>
    <w:rsid w:val="00501D24"/>
    <w:rsid w:val="00501D9E"/>
    <w:rsid w:val="00502854"/>
    <w:rsid w:val="00502AFE"/>
    <w:rsid w:val="00502E64"/>
    <w:rsid w:val="00503AD7"/>
    <w:rsid w:val="00504459"/>
    <w:rsid w:val="00504B92"/>
    <w:rsid w:val="00504E0C"/>
    <w:rsid w:val="00504E13"/>
    <w:rsid w:val="00505605"/>
    <w:rsid w:val="005059FA"/>
    <w:rsid w:val="00505AE6"/>
    <w:rsid w:val="00506255"/>
    <w:rsid w:val="00506CD8"/>
    <w:rsid w:val="005109D4"/>
    <w:rsid w:val="00511234"/>
    <w:rsid w:val="00511A1A"/>
    <w:rsid w:val="00511A5B"/>
    <w:rsid w:val="00511E84"/>
    <w:rsid w:val="0051206D"/>
    <w:rsid w:val="00512225"/>
    <w:rsid w:val="0051224B"/>
    <w:rsid w:val="00512E36"/>
    <w:rsid w:val="0051325A"/>
    <w:rsid w:val="005139E1"/>
    <w:rsid w:val="00513AA7"/>
    <w:rsid w:val="00514CD7"/>
    <w:rsid w:val="00514DF2"/>
    <w:rsid w:val="00515108"/>
    <w:rsid w:val="00515755"/>
    <w:rsid w:val="0051620D"/>
    <w:rsid w:val="005166BE"/>
    <w:rsid w:val="005167EC"/>
    <w:rsid w:val="00516DBF"/>
    <w:rsid w:val="005170DA"/>
    <w:rsid w:val="00517E87"/>
    <w:rsid w:val="0052092B"/>
    <w:rsid w:val="00520B66"/>
    <w:rsid w:val="00520D4C"/>
    <w:rsid w:val="00520D6A"/>
    <w:rsid w:val="00521711"/>
    <w:rsid w:val="00521AA1"/>
    <w:rsid w:val="00522617"/>
    <w:rsid w:val="00522AD2"/>
    <w:rsid w:val="00522DB6"/>
    <w:rsid w:val="005244C8"/>
    <w:rsid w:val="005252D6"/>
    <w:rsid w:val="005264A7"/>
    <w:rsid w:val="0052792D"/>
    <w:rsid w:val="00527DC6"/>
    <w:rsid w:val="005306E8"/>
    <w:rsid w:val="0053126B"/>
    <w:rsid w:val="005317EC"/>
    <w:rsid w:val="005319B2"/>
    <w:rsid w:val="00531C69"/>
    <w:rsid w:val="005323BE"/>
    <w:rsid w:val="005323C5"/>
    <w:rsid w:val="00532402"/>
    <w:rsid w:val="00532C74"/>
    <w:rsid w:val="00532D49"/>
    <w:rsid w:val="00533D83"/>
    <w:rsid w:val="00534018"/>
    <w:rsid w:val="00534E2E"/>
    <w:rsid w:val="00535430"/>
    <w:rsid w:val="005355A7"/>
    <w:rsid w:val="00535F65"/>
    <w:rsid w:val="00536026"/>
    <w:rsid w:val="005362CB"/>
    <w:rsid w:val="0054064C"/>
    <w:rsid w:val="00540C23"/>
    <w:rsid w:val="00541330"/>
    <w:rsid w:val="00541809"/>
    <w:rsid w:val="005429D6"/>
    <w:rsid w:val="00543FE5"/>
    <w:rsid w:val="005443AE"/>
    <w:rsid w:val="00544552"/>
    <w:rsid w:val="00545130"/>
    <w:rsid w:val="00545324"/>
    <w:rsid w:val="00546F34"/>
    <w:rsid w:val="00546FF7"/>
    <w:rsid w:val="00547101"/>
    <w:rsid w:val="00547BED"/>
    <w:rsid w:val="0055116E"/>
    <w:rsid w:val="005517B1"/>
    <w:rsid w:val="0055286A"/>
    <w:rsid w:val="00553407"/>
    <w:rsid w:val="0055420B"/>
    <w:rsid w:val="00555745"/>
    <w:rsid w:val="0055692A"/>
    <w:rsid w:val="00556C7C"/>
    <w:rsid w:val="0055737F"/>
    <w:rsid w:val="00557C73"/>
    <w:rsid w:val="00557D4F"/>
    <w:rsid w:val="00557F48"/>
    <w:rsid w:val="005600C1"/>
    <w:rsid w:val="00560EF3"/>
    <w:rsid w:val="0056122E"/>
    <w:rsid w:val="00563092"/>
    <w:rsid w:val="00563104"/>
    <w:rsid w:val="00563495"/>
    <w:rsid w:val="00563809"/>
    <w:rsid w:val="00563B2B"/>
    <w:rsid w:val="0056484E"/>
    <w:rsid w:val="00564C90"/>
    <w:rsid w:val="00564DE5"/>
    <w:rsid w:val="0056664B"/>
    <w:rsid w:val="005666B3"/>
    <w:rsid w:val="0056681F"/>
    <w:rsid w:val="005669A6"/>
    <w:rsid w:val="00566B22"/>
    <w:rsid w:val="0056724A"/>
    <w:rsid w:val="0056751F"/>
    <w:rsid w:val="00567B21"/>
    <w:rsid w:val="00567D8A"/>
    <w:rsid w:val="005700B5"/>
    <w:rsid w:val="00571BA8"/>
    <w:rsid w:val="00573082"/>
    <w:rsid w:val="005745F7"/>
    <w:rsid w:val="00574B45"/>
    <w:rsid w:val="005754FF"/>
    <w:rsid w:val="00575F5C"/>
    <w:rsid w:val="005764CD"/>
    <w:rsid w:val="005765F5"/>
    <w:rsid w:val="00577548"/>
    <w:rsid w:val="00577C4D"/>
    <w:rsid w:val="00577E8D"/>
    <w:rsid w:val="00580532"/>
    <w:rsid w:val="0058099E"/>
    <w:rsid w:val="00580A6C"/>
    <w:rsid w:val="00580C48"/>
    <w:rsid w:val="00581932"/>
    <w:rsid w:val="00581A92"/>
    <w:rsid w:val="005840FD"/>
    <w:rsid w:val="005847A8"/>
    <w:rsid w:val="00584887"/>
    <w:rsid w:val="005853C0"/>
    <w:rsid w:val="00585CB2"/>
    <w:rsid w:val="00586C9B"/>
    <w:rsid w:val="005872D2"/>
    <w:rsid w:val="00587F20"/>
    <w:rsid w:val="0059137B"/>
    <w:rsid w:val="00592C97"/>
    <w:rsid w:val="00593688"/>
    <w:rsid w:val="00594698"/>
    <w:rsid w:val="00594D95"/>
    <w:rsid w:val="00595A1C"/>
    <w:rsid w:val="005963BB"/>
    <w:rsid w:val="00596F5B"/>
    <w:rsid w:val="00597C09"/>
    <w:rsid w:val="005A0A00"/>
    <w:rsid w:val="005A294A"/>
    <w:rsid w:val="005A3173"/>
    <w:rsid w:val="005A3223"/>
    <w:rsid w:val="005A378D"/>
    <w:rsid w:val="005A3796"/>
    <w:rsid w:val="005A3DA3"/>
    <w:rsid w:val="005A4EE3"/>
    <w:rsid w:val="005A52C4"/>
    <w:rsid w:val="005A53D7"/>
    <w:rsid w:val="005A55C6"/>
    <w:rsid w:val="005A63A1"/>
    <w:rsid w:val="005A66C4"/>
    <w:rsid w:val="005A7E54"/>
    <w:rsid w:val="005B075A"/>
    <w:rsid w:val="005B1543"/>
    <w:rsid w:val="005B165B"/>
    <w:rsid w:val="005B2A33"/>
    <w:rsid w:val="005B31FB"/>
    <w:rsid w:val="005B325E"/>
    <w:rsid w:val="005B34B4"/>
    <w:rsid w:val="005B3933"/>
    <w:rsid w:val="005B4436"/>
    <w:rsid w:val="005B467E"/>
    <w:rsid w:val="005B5B80"/>
    <w:rsid w:val="005B5F25"/>
    <w:rsid w:val="005C1939"/>
    <w:rsid w:val="005C278B"/>
    <w:rsid w:val="005C44ED"/>
    <w:rsid w:val="005C4933"/>
    <w:rsid w:val="005C4F73"/>
    <w:rsid w:val="005C5385"/>
    <w:rsid w:val="005C5CC2"/>
    <w:rsid w:val="005C6500"/>
    <w:rsid w:val="005C6528"/>
    <w:rsid w:val="005C6CE4"/>
    <w:rsid w:val="005C73D5"/>
    <w:rsid w:val="005C7735"/>
    <w:rsid w:val="005C790A"/>
    <w:rsid w:val="005C7B58"/>
    <w:rsid w:val="005C7D0A"/>
    <w:rsid w:val="005D014A"/>
    <w:rsid w:val="005D03AB"/>
    <w:rsid w:val="005D0F8B"/>
    <w:rsid w:val="005D298D"/>
    <w:rsid w:val="005D401D"/>
    <w:rsid w:val="005D5017"/>
    <w:rsid w:val="005D599A"/>
    <w:rsid w:val="005D609C"/>
    <w:rsid w:val="005D63FA"/>
    <w:rsid w:val="005D73C7"/>
    <w:rsid w:val="005E0274"/>
    <w:rsid w:val="005E097E"/>
    <w:rsid w:val="005E0C2D"/>
    <w:rsid w:val="005E0D82"/>
    <w:rsid w:val="005E11F7"/>
    <w:rsid w:val="005E1333"/>
    <w:rsid w:val="005E278A"/>
    <w:rsid w:val="005E2EA2"/>
    <w:rsid w:val="005E3131"/>
    <w:rsid w:val="005E3136"/>
    <w:rsid w:val="005E369F"/>
    <w:rsid w:val="005E4B87"/>
    <w:rsid w:val="005E507D"/>
    <w:rsid w:val="005E7042"/>
    <w:rsid w:val="005E7861"/>
    <w:rsid w:val="005E7947"/>
    <w:rsid w:val="005F01D2"/>
    <w:rsid w:val="005F0AD0"/>
    <w:rsid w:val="005F0F78"/>
    <w:rsid w:val="005F160A"/>
    <w:rsid w:val="005F1881"/>
    <w:rsid w:val="005F28B6"/>
    <w:rsid w:val="005F2E8C"/>
    <w:rsid w:val="005F45FA"/>
    <w:rsid w:val="005F46DA"/>
    <w:rsid w:val="005F5B47"/>
    <w:rsid w:val="005F5EDB"/>
    <w:rsid w:val="005F6542"/>
    <w:rsid w:val="005F694E"/>
    <w:rsid w:val="00601A91"/>
    <w:rsid w:val="00601AE9"/>
    <w:rsid w:val="00602BA3"/>
    <w:rsid w:val="00602C2C"/>
    <w:rsid w:val="00602D31"/>
    <w:rsid w:val="00603C13"/>
    <w:rsid w:val="00604683"/>
    <w:rsid w:val="006052F2"/>
    <w:rsid w:val="00605647"/>
    <w:rsid w:val="00605A8D"/>
    <w:rsid w:val="00605B63"/>
    <w:rsid w:val="00605F9A"/>
    <w:rsid w:val="00606442"/>
    <w:rsid w:val="00606EED"/>
    <w:rsid w:val="00607424"/>
    <w:rsid w:val="0060764A"/>
    <w:rsid w:val="0060787A"/>
    <w:rsid w:val="006101B3"/>
    <w:rsid w:val="00610F5E"/>
    <w:rsid w:val="00611F6C"/>
    <w:rsid w:val="00612275"/>
    <w:rsid w:val="00612A95"/>
    <w:rsid w:val="00612D21"/>
    <w:rsid w:val="00612E34"/>
    <w:rsid w:val="006130FC"/>
    <w:rsid w:val="00614159"/>
    <w:rsid w:val="006144D2"/>
    <w:rsid w:val="006152AD"/>
    <w:rsid w:val="00615360"/>
    <w:rsid w:val="006158A3"/>
    <w:rsid w:val="006158B1"/>
    <w:rsid w:val="00616016"/>
    <w:rsid w:val="00616828"/>
    <w:rsid w:val="00616C5F"/>
    <w:rsid w:val="00616D0A"/>
    <w:rsid w:val="00616DAC"/>
    <w:rsid w:val="00617725"/>
    <w:rsid w:val="00617C00"/>
    <w:rsid w:val="00617C18"/>
    <w:rsid w:val="00617C7C"/>
    <w:rsid w:val="00617CC2"/>
    <w:rsid w:val="00620418"/>
    <w:rsid w:val="00620D01"/>
    <w:rsid w:val="00621AED"/>
    <w:rsid w:val="0062316A"/>
    <w:rsid w:val="00623C69"/>
    <w:rsid w:val="006251EE"/>
    <w:rsid w:val="006258B8"/>
    <w:rsid w:val="00625B8A"/>
    <w:rsid w:val="006263BF"/>
    <w:rsid w:val="00626F24"/>
    <w:rsid w:val="00626F71"/>
    <w:rsid w:val="0062748A"/>
    <w:rsid w:val="00627D56"/>
    <w:rsid w:val="00627E95"/>
    <w:rsid w:val="0063018A"/>
    <w:rsid w:val="00630884"/>
    <w:rsid w:val="00630A2C"/>
    <w:rsid w:val="00631F25"/>
    <w:rsid w:val="006327E1"/>
    <w:rsid w:val="00632CE1"/>
    <w:rsid w:val="00633680"/>
    <w:rsid w:val="006339B2"/>
    <w:rsid w:val="00634341"/>
    <w:rsid w:val="00634B68"/>
    <w:rsid w:val="00635A76"/>
    <w:rsid w:val="00636178"/>
    <w:rsid w:val="006365B2"/>
    <w:rsid w:val="0063682E"/>
    <w:rsid w:val="00637014"/>
    <w:rsid w:val="006370BE"/>
    <w:rsid w:val="006375DF"/>
    <w:rsid w:val="00637A22"/>
    <w:rsid w:val="00637D31"/>
    <w:rsid w:val="00640088"/>
    <w:rsid w:val="006407FB"/>
    <w:rsid w:val="0064184A"/>
    <w:rsid w:val="006418BC"/>
    <w:rsid w:val="00641F8B"/>
    <w:rsid w:val="006423A6"/>
    <w:rsid w:val="00642672"/>
    <w:rsid w:val="00642DA8"/>
    <w:rsid w:val="00643126"/>
    <w:rsid w:val="006436CD"/>
    <w:rsid w:val="006445FA"/>
    <w:rsid w:val="0064465E"/>
    <w:rsid w:val="006447B2"/>
    <w:rsid w:val="0064493A"/>
    <w:rsid w:val="00645404"/>
    <w:rsid w:val="0064555B"/>
    <w:rsid w:val="00645F34"/>
    <w:rsid w:val="00646528"/>
    <w:rsid w:val="00646DC0"/>
    <w:rsid w:val="00647A18"/>
    <w:rsid w:val="006502BF"/>
    <w:rsid w:val="006506E7"/>
    <w:rsid w:val="00651169"/>
    <w:rsid w:val="00651E46"/>
    <w:rsid w:val="006523FA"/>
    <w:rsid w:val="00652878"/>
    <w:rsid w:val="006536C2"/>
    <w:rsid w:val="00653766"/>
    <w:rsid w:val="00653983"/>
    <w:rsid w:val="00653B19"/>
    <w:rsid w:val="00653D69"/>
    <w:rsid w:val="006545F9"/>
    <w:rsid w:val="00654A34"/>
    <w:rsid w:val="006552E6"/>
    <w:rsid w:val="006554A1"/>
    <w:rsid w:val="00655794"/>
    <w:rsid w:val="006568AA"/>
    <w:rsid w:val="006571FB"/>
    <w:rsid w:val="00657C63"/>
    <w:rsid w:val="00660FBC"/>
    <w:rsid w:val="00661620"/>
    <w:rsid w:val="00661CBC"/>
    <w:rsid w:val="0066212F"/>
    <w:rsid w:val="0066237A"/>
    <w:rsid w:val="00662B85"/>
    <w:rsid w:val="00663D72"/>
    <w:rsid w:val="00663DE6"/>
    <w:rsid w:val="006640C7"/>
    <w:rsid w:val="00664C51"/>
    <w:rsid w:val="0066610D"/>
    <w:rsid w:val="00666229"/>
    <w:rsid w:val="0066684D"/>
    <w:rsid w:val="00666C49"/>
    <w:rsid w:val="006670BE"/>
    <w:rsid w:val="006701B6"/>
    <w:rsid w:val="00670A76"/>
    <w:rsid w:val="00670D50"/>
    <w:rsid w:val="006711AA"/>
    <w:rsid w:val="00672B57"/>
    <w:rsid w:val="00672FEA"/>
    <w:rsid w:val="006739DE"/>
    <w:rsid w:val="00673CDC"/>
    <w:rsid w:val="00673F1F"/>
    <w:rsid w:val="00675622"/>
    <w:rsid w:val="00675D36"/>
    <w:rsid w:val="00676762"/>
    <w:rsid w:val="00677127"/>
    <w:rsid w:val="0067747D"/>
    <w:rsid w:val="00677790"/>
    <w:rsid w:val="00677D85"/>
    <w:rsid w:val="00677E2C"/>
    <w:rsid w:val="0068013D"/>
    <w:rsid w:val="006818D5"/>
    <w:rsid w:val="00681CA4"/>
    <w:rsid w:val="00681DD1"/>
    <w:rsid w:val="006836C7"/>
    <w:rsid w:val="00683E1E"/>
    <w:rsid w:val="006855B8"/>
    <w:rsid w:val="00687BC0"/>
    <w:rsid w:val="00690109"/>
    <w:rsid w:val="0069039D"/>
    <w:rsid w:val="0069046C"/>
    <w:rsid w:val="0069050D"/>
    <w:rsid w:val="006906DB"/>
    <w:rsid w:val="00690D2C"/>
    <w:rsid w:val="00691900"/>
    <w:rsid w:val="00691E6C"/>
    <w:rsid w:val="006930E6"/>
    <w:rsid w:val="0069342D"/>
    <w:rsid w:val="00693DFB"/>
    <w:rsid w:val="00693EBC"/>
    <w:rsid w:val="006947D6"/>
    <w:rsid w:val="0069501D"/>
    <w:rsid w:val="00695488"/>
    <w:rsid w:val="00696129"/>
    <w:rsid w:val="00696922"/>
    <w:rsid w:val="00696E68"/>
    <w:rsid w:val="00697CF2"/>
    <w:rsid w:val="006A05F5"/>
    <w:rsid w:val="006A12A5"/>
    <w:rsid w:val="006A1D42"/>
    <w:rsid w:val="006A2515"/>
    <w:rsid w:val="006A285C"/>
    <w:rsid w:val="006A2CED"/>
    <w:rsid w:val="006A3614"/>
    <w:rsid w:val="006A581A"/>
    <w:rsid w:val="006A5939"/>
    <w:rsid w:val="006A5E20"/>
    <w:rsid w:val="006A700E"/>
    <w:rsid w:val="006A7762"/>
    <w:rsid w:val="006B0D94"/>
    <w:rsid w:val="006B10C5"/>
    <w:rsid w:val="006B159F"/>
    <w:rsid w:val="006B160E"/>
    <w:rsid w:val="006B2571"/>
    <w:rsid w:val="006B40B9"/>
    <w:rsid w:val="006B4727"/>
    <w:rsid w:val="006B485D"/>
    <w:rsid w:val="006B4E0A"/>
    <w:rsid w:val="006B6F5C"/>
    <w:rsid w:val="006C0135"/>
    <w:rsid w:val="006C02F6"/>
    <w:rsid w:val="006C09B1"/>
    <w:rsid w:val="006C0A4E"/>
    <w:rsid w:val="006C0C45"/>
    <w:rsid w:val="006C19A9"/>
    <w:rsid w:val="006C2947"/>
    <w:rsid w:val="006C29AC"/>
    <w:rsid w:val="006C3193"/>
    <w:rsid w:val="006C334C"/>
    <w:rsid w:val="006C33ED"/>
    <w:rsid w:val="006C3B62"/>
    <w:rsid w:val="006C3D74"/>
    <w:rsid w:val="006C4364"/>
    <w:rsid w:val="006C4EE0"/>
    <w:rsid w:val="006C5004"/>
    <w:rsid w:val="006C5B33"/>
    <w:rsid w:val="006C6089"/>
    <w:rsid w:val="006C6C10"/>
    <w:rsid w:val="006C708E"/>
    <w:rsid w:val="006C73AF"/>
    <w:rsid w:val="006C78A2"/>
    <w:rsid w:val="006D14E7"/>
    <w:rsid w:val="006D291B"/>
    <w:rsid w:val="006D3EA5"/>
    <w:rsid w:val="006D4444"/>
    <w:rsid w:val="006D4DBC"/>
    <w:rsid w:val="006D6493"/>
    <w:rsid w:val="006D6EC7"/>
    <w:rsid w:val="006D73B1"/>
    <w:rsid w:val="006D77EA"/>
    <w:rsid w:val="006E0561"/>
    <w:rsid w:val="006E0B47"/>
    <w:rsid w:val="006E0D17"/>
    <w:rsid w:val="006E1822"/>
    <w:rsid w:val="006E1BCD"/>
    <w:rsid w:val="006E221F"/>
    <w:rsid w:val="006E2494"/>
    <w:rsid w:val="006E2732"/>
    <w:rsid w:val="006E2AFE"/>
    <w:rsid w:val="006E3231"/>
    <w:rsid w:val="006E377B"/>
    <w:rsid w:val="006E3EBA"/>
    <w:rsid w:val="006E439C"/>
    <w:rsid w:val="006E4478"/>
    <w:rsid w:val="006E4EF3"/>
    <w:rsid w:val="006E521D"/>
    <w:rsid w:val="006E59CD"/>
    <w:rsid w:val="006E6376"/>
    <w:rsid w:val="006E6E84"/>
    <w:rsid w:val="006E72F8"/>
    <w:rsid w:val="006E7963"/>
    <w:rsid w:val="006F0959"/>
    <w:rsid w:val="006F0A71"/>
    <w:rsid w:val="006F111F"/>
    <w:rsid w:val="006F1BDC"/>
    <w:rsid w:val="006F1E6C"/>
    <w:rsid w:val="006F40C2"/>
    <w:rsid w:val="006F5125"/>
    <w:rsid w:val="006F5637"/>
    <w:rsid w:val="006F5A50"/>
    <w:rsid w:val="006F5AC2"/>
    <w:rsid w:val="006F733D"/>
    <w:rsid w:val="006F75C6"/>
    <w:rsid w:val="006F7631"/>
    <w:rsid w:val="007000C6"/>
    <w:rsid w:val="00700600"/>
    <w:rsid w:val="00701785"/>
    <w:rsid w:val="0070233F"/>
    <w:rsid w:val="007026B9"/>
    <w:rsid w:val="00702B6F"/>
    <w:rsid w:val="00702F87"/>
    <w:rsid w:val="00703DBC"/>
    <w:rsid w:val="00704069"/>
    <w:rsid w:val="007041C0"/>
    <w:rsid w:val="00704304"/>
    <w:rsid w:val="0070569E"/>
    <w:rsid w:val="00705DDB"/>
    <w:rsid w:val="0070661A"/>
    <w:rsid w:val="00706A2F"/>
    <w:rsid w:val="00706EEE"/>
    <w:rsid w:val="0070718E"/>
    <w:rsid w:val="00707E52"/>
    <w:rsid w:val="00710259"/>
    <w:rsid w:val="0071031F"/>
    <w:rsid w:val="007110E0"/>
    <w:rsid w:val="00712489"/>
    <w:rsid w:val="00712A10"/>
    <w:rsid w:val="0071340B"/>
    <w:rsid w:val="0071384C"/>
    <w:rsid w:val="007139D3"/>
    <w:rsid w:val="0071436D"/>
    <w:rsid w:val="00714D35"/>
    <w:rsid w:val="00715A0C"/>
    <w:rsid w:val="00715A0E"/>
    <w:rsid w:val="00715BBB"/>
    <w:rsid w:val="00715E7A"/>
    <w:rsid w:val="00715F2C"/>
    <w:rsid w:val="00716E85"/>
    <w:rsid w:val="00716FAF"/>
    <w:rsid w:val="0071712E"/>
    <w:rsid w:val="007174BB"/>
    <w:rsid w:val="00717F90"/>
    <w:rsid w:val="0072025D"/>
    <w:rsid w:val="00722B84"/>
    <w:rsid w:val="00723328"/>
    <w:rsid w:val="00723CFC"/>
    <w:rsid w:val="00725CCC"/>
    <w:rsid w:val="00726133"/>
    <w:rsid w:val="00726BF2"/>
    <w:rsid w:val="00726EFD"/>
    <w:rsid w:val="0072745F"/>
    <w:rsid w:val="00730AE6"/>
    <w:rsid w:val="00731113"/>
    <w:rsid w:val="0073137C"/>
    <w:rsid w:val="007315BD"/>
    <w:rsid w:val="00731A2F"/>
    <w:rsid w:val="00732713"/>
    <w:rsid w:val="00733184"/>
    <w:rsid w:val="007340B9"/>
    <w:rsid w:val="007353D3"/>
    <w:rsid w:val="00736D6F"/>
    <w:rsid w:val="00737B40"/>
    <w:rsid w:val="007402DF"/>
    <w:rsid w:val="00740623"/>
    <w:rsid w:val="00740D78"/>
    <w:rsid w:val="0074156B"/>
    <w:rsid w:val="00741619"/>
    <w:rsid w:val="00741717"/>
    <w:rsid w:val="00742F5A"/>
    <w:rsid w:val="0074336C"/>
    <w:rsid w:val="00746054"/>
    <w:rsid w:val="007463E6"/>
    <w:rsid w:val="00747092"/>
    <w:rsid w:val="00747D01"/>
    <w:rsid w:val="007507BF"/>
    <w:rsid w:val="00750A85"/>
    <w:rsid w:val="00750AC1"/>
    <w:rsid w:val="007513D4"/>
    <w:rsid w:val="007519FC"/>
    <w:rsid w:val="007526E6"/>
    <w:rsid w:val="00752ED7"/>
    <w:rsid w:val="00753799"/>
    <w:rsid w:val="00754DF9"/>
    <w:rsid w:val="007555E8"/>
    <w:rsid w:val="00755CC5"/>
    <w:rsid w:val="007612D3"/>
    <w:rsid w:val="00761FDF"/>
    <w:rsid w:val="007620BE"/>
    <w:rsid w:val="0076225F"/>
    <w:rsid w:val="007624C0"/>
    <w:rsid w:val="00762930"/>
    <w:rsid w:val="00763624"/>
    <w:rsid w:val="00763B46"/>
    <w:rsid w:val="00763FE8"/>
    <w:rsid w:val="00764204"/>
    <w:rsid w:val="0076420C"/>
    <w:rsid w:val="00765435"/>
    <w:rsid w:val="00765AE4"/>
    <w:rsid w:val="00765D74"/>
    <w:rsid w:val="00766026"/>
    <w:rsid w:val="007662B2"/>
    <w:rsid w:val="0076630C"/>
    <w:rsid w:val="007671DA"/>
    <w:rsid w:val="00770151"/>
    <w:rsid w:val="00771392"/>
    <w:rsid w:val="00771D07"/>
    <w:rsid w:val="00772054"/>
    <w:rsid w:val="007729C2"/>
    <w:rsid w:val="00773BE3"/>
    <w:rsid w:val="00773DEF"/>
    <w:rsid w:val="007743DD"/>
    <w:rsid w:val="00774465"/>
    <w:rsid w:val="007748A8"/>
    <w:rsid w:val="00774E2C"/>
    <w:rsid w:val="0077518D"/>
    <w:rsid w:val="00775354"/>
    <w:rsid w:val="007753C2"/>
    <w:rsid w:val="00775537"/>
    <w:rsid w:val="007761D9"/>
    <w:rsid w:val="0077687F"/>
    <w:rsid w:val="0077705F"/>
    <w:rsid w:val="0077761F"/>
    <w:rsid w:val="00781A71"/>
    <w:rsid w:val="00782DB9"/>
    <w:rsid w:val="0078313E"/>
    <w:rsid w:val="007838B8"/>
    <w:rsid w:val="0078570B"/>
    <w:rsid w:val="0079033D"/>
    <w:rsid w:val="007908EA"/>
    <w:rsid w:val="00791297"/>
    <w:rsid w:val="007915BA"/>
    <w:rsid w:val="00791844"/>
    <w:rsid w:val="00792676"/>
    <w:rsid w:val="007928C2"/>
    <w:rsid w:val="007929D5"/>
    <w:rsid w:val="00792D0D"/>
    <w:rsid w:val="007961C1"/>
    <w:rsid w:val="007979BD"/>
    <w:rsid w:val="007A03C6"/>
    <w:rsid w:val="007A0F71"/>
    <w:rsid w:val="007A112E"/>
    <w:rsid w:val="007A2775"/>
    <w:rsid w:val="007A2784"/>
    <w:rsid w:val="007A292F"/>
    <w:rsid w:val="007A3C92"/>
    <w:rsid w:val="007A4709"/>
    <w:rsid w:val="007A4EFD"/>
    <w:rsid w:val="007A6A2F"/>
    <w:rsid w:val="007A7537"/>
    <w:rsid w:val="007B024E"/>
    <w:rsid w:val="007B0839"/>
    <w:rsid w:val="007B110A"/>
    <w:rsid w:val="007B13A5"/>
    <w:rsid w:val="007B1C01"/>
    <w:rsid w:val="007B2348"/>
    <w:rsid w:val="007B237C"/>
    <w:rsid w:val="007B3149"/>
    <w:rsid w:val="007B33F1"/>
    <w:rsid w:val="007B3640"/>
    <w:rsid w:val="007B3BEA"/>
    <w:rsid w:val="007B3DDC"/>
    <w:rsid w:val="007B3E8A"/>
    <w:rsid w:val="007B4A26"/>
    <w:rsid w:val="007B4C42"/>
    <w:rsid w:val="007B5023"/>
    <w:rsid w:val="007B5391"/>
    <w:rsid w:val="007B62F1"/>
    <w:rsid w:val="007B646A"/>
    <w:rsid w:val="007B6EDD"/>
    <w:rsid w:val="007B72A6"/>
    <w:rsid w:val="007B7513"/>
    <w:rsid w:val="007B78B8"/>
    <w:rsid w:val="007B7C77"/>
    <w:rsid w:val="007C06D2"/>
    <w:rsid w:val="007C08E0"/>
    <w:rsid w:val="007C0C0E"/>
    <w:rsid w:val="007C0F57"/>
    <w:rsid w:val="007C36E7"/>
    <w:rsid w:val="007C40B6"/>
    <w:rsid w:val="007C6878"/>
    <w:rsid w:val="007C6CD6"/>
    <w:rsid w:val="007C729F"/>
    <w:rsid w:val="007C78BD"/>
    <w:rsid w:val="007D01D6"/>
    <w:rsid w:val="007D262E"/>
    <w:rsid w:val="007D2DFD"/>
    <w:rsid w:val="007D3CE9"/>
    <w:rsid w:val="007D503D"/>
    <w:rsid w:val="007D5766"/>
    <w:rsid w:val="007D59E7"/>
    <w:rsid w:val="007D5F2A"/>
    <w:rsid w:val="007D61DB"/>
    <w:rsid w:val="007D6800"/>
    <w:rsid w:val="007D6934"/>
    <w:rsid w:val="007D6BD8"/>
    <w:rsid w:val="007D6C56"/>
    <w:rsid w:val="007D7BA9"/>
    <w:rsid w:val="007D7FC7"/>
    <w:rsid w:val="007E0159"/>
    <w:rsid w:val="007E0AE9"/>
    <w:rsid w:val="007E0C40"/>
    <w:rsid w:val="007E1127"/>
    <w:rsid w:val="007E1540"/>
    <w:rsid w:val="007E1C1B"/>
    <w:rsid w:val="007E1D28"/>
    <w:rsid w:val="007E5844"/>
    <w:rsid w:val="007E63D9"/>
    <w:rsid w:val="007E715F"/>
    <w:rsid w:val="007F0021"/>
    <w:rsid w:val="007F0C39"/>
    <w:rsid w:val="007F1440"/>
    <w:rsid w:val="007F1735"/>
    <w:rsid w:val="007F2641"/>
    <w:rsid w:val="007F2AEB"/>
    <w:rsid w:val="007F33F2"/>
    <w:rsid w:val="007F5EFE"/>
    <w:rsid w:val="007F5F6C"/>
    <w:rsid w:val="007F5FAD"/>
    <w:rsid w:val="007F60D4"/>
    <w:rsid w:val="007F7C36"/>
    <w:rsid w:val="008016FB"/>
    <w:rsid w:val="00801C31"/>
    <w:rsid w:val="00802158"/>
    <w:rsid w:val="00802D35"/>
    <w:rsid w:val="00803BB0"/>
    <w:rsid w:val="00804058"/>
    <w:rsid w:val="008055AF"/>
    <w:rsid w:val="008057CD"/>
    <w:rsid w:val="00805DE4"/>
    <w:rsid w:val="00806796"/>
    <w:rsid w:val="00810112"/>
    <w:rsid w:val="00810167"/>
    <w:rsid w:val="00811073"/>
    <w:rsid w:val="00811851"/>
    <w:rsid w:val="00811B5A"/>
    <w:rsid w:val="00811CC0"/>
    <w:rsid w:val="00813AD9"/>
    <w:rsid w:val="008147AE"/>
    <w:rsid w:val="00814BC6"/>
    <w:rsid w:val="008151D6"/>
    <w:rsid w:val="008153A4"/>
    <w:rsid w:val="00815ABB"/>
    <w:rsid w:val="00815B02"/>
    <w:rsid w:val="00817338"/>
    <w:rsid w:val="0082049B"/>
    <w:rsid w:val="00820543"/>
    <w:rsid w:val="00820E10"/>
    <w:rsid w:val="00820E5D"/>
    <w:rsid w:val="008211C3"/>
    <w:rsid w:val="00821527"/>
    <w:rsid w:val="008215A3"/>
    <w:rsid w:val="00821950"/>
    <w:rsid w:val="00821A82"/>
    <w:rsid w:val="00821EDA"/>
    <w:rsid w:val="00822099"/>
    <w:rsid w:val="00822175"/>
    <w:rsid w:val="00822696"/>
    <w:rsid w:val="0082276B"/>
    <w:rsid w:val="0082317A"/>
    <w:rsid w:val="00823549"/>
    <w:rsid w:val="00824CBB"/>
    <w:rsid w:val="00825A6C"/>
    <w:rsid w:val="0082617E"/>
    <w:rsid w:val="008265BB"/>
    <w:rsid w:val="008268BB"/>
    <w:rsid w:val="00826DA1"/>
    <w:rsid w:val="00826F6D"/>
    <w:rsid w:val="00827806"/>
    <w:rsid w:val="00827AF2"/>
    <w:rsid w:val="00827C8F"/>
    <w:rsid w:val="008301C4"/>
    <w:rsid w:val="00830204"/>
    <w:rsid w:val="00830366"/>
    <w:rsid w:val="008306F3"/>
    <w:rsid w:val="0083088C"/>
    <w:rsid w:val="00830E40"/>
    <w:rsid w:val="00831686"/>
    <w:rsid w:val="00831785"/>
    <w:rsid w:val="008325ED"/>
    <w:rsid w:val="00832CDF"/>
    <w:rsid w:val="00832D9A"/>
    <w:rsid w:val="00833215"/>
    <w:rsid w:val="0083404C"/>
    <w:rsid w:val="00835704"/>
    <w:rsid w:val="00835B60"/>
    <w:rsid w:val="00835C62"/>
    <w:rsid w:val="00836021"/>
    <w:rsid w:val="008368A1"/>
    <w:rsid w:val="00836CD0"/>
    <w:rsid w:val="00840A39"/>
    <w:rsid w:val="00840C40"/>
    <w:rsid w:val="00840EF7"/>
    <w:rsid w:val="00841CE2"/>
    <w:rsid w:val="0084229F"/>
    <w:rsid w:val="008445D9"/>
    <w:rsid w:val="0084460E"/>
    <w:rsid w:val="00844C0A"/>
    <w:rsid w:val="008455F4"/>
    <w:rsid w:val="00846056"/>
    <w:rsid w:val="0084681F"/>
    <w:rsid w:val="00847EC0"/>
    <w:rsid w:val="008500DA"/>
    <w:rsid w:val="008504DF"/>
    <w:rsid w:val="00850B06"/>
    <w:rsid w:val="00850BB3"/>
    <w:rsid w:val="008524F8"/>
    <w:rsid w:val="0085289E"/>
    <w:rsid w:val="00852E69"/>
    <w:rsid w:val="0085313D"/>
    <w:rsid w:val="008537C1"/>
    <w:rsid w:val="00853EA1"/>
    <w:rsid w:val="008555AC"/>
    <w:rsid w:val="008559BF"/>
    <w:rsid w:val="00855FD6"/>
    <w:rsid w:val="0085659B"/>
    <w:rsid w:val="00856DDD"/>
    <w:rsid w:val="00857A4E"/>
    <w:rsid w:val="00857FE7"/>
    <w:rsid w:val="008602A7"/>
    <w:rsid w:val="00860A02"/>
    <w:rsid w:val="0086169C"/>
    <w:rsid w:val="008621D3"/>
    <w:rsid w:val="00863E68"/>
    <w:rsid w:val="00863F2E"/>
    <w:rsid w:val="00864230"/>
    <w:rsid w:val="008647B5"/>
    <w:rsid w:val="00864905"/>
    <w:rsid w:val="00864D51"/>
    <w:rsid w:val="00865954"/>
    <w:rsid w:val="0086716B"/>
    <w:rsid w:val="00867969"/>
    <w:rsid w:val="00867D64"/>
    <w:rsid w:val="0087129C"/>
    <w:rsid w:val="008723BA"/>
    <w:rsid w:val="00872744"/>
    <w:rsid w:val="00872B3D"/>
    <w:rsid w:val="008731B0"/>
    <w:rsid w:val="00873C66"/>
    <w:rsid w:val="008745B0"/>
    <w:rsid w:val="00875DCB"/>
    <w:rsid w:val="00875DF9"/>
    <w:rsid w:val="0087755A"/>
    <w:rsid w:val="0087797B"/>
    <w:rsid w:val="00877AFB"/>
    <w:rsid w:val="0088022A"/>
    <w:rsid w:val="008803EC"/>
    <w:rsid w:val="008815CD"/>
    <w:rsid w:val="0088193A"/>
    <w:rsid w:val="008819B6"/>
    <w:rsid w:val="00882085"/>
    <w:rsid w:val="00882282"/>
    <w:rsid w:val="00883188"/>
    <w:rsid w:val="008838B5"/>
    <w:rsid w:val="00884A0C"/>
    <w:rsid w:val="0088517E"/>
    <w:rsid w:val="008853A9"/>
    <w:rsid w:val="0088559A"/>
    <w:rsid w:val="00885CDB"/>
    <w:rsid w:val="00886271"/>
    <w:rsid w:val="00886928"/>
    <w:rsid w:val="00886ACA"/>
    <w:rsid w:val="00886E59"/>
    <w:rsid w:val="0089031E"/>
    <w:rsid w:val="0089088F"/>
    <w:rsid w:val="008911EB"/>
    <w:rsid w:val="0089232A"/>
    <w:rsid w:val="0089396D"/>
    <w:rsid w:val="00893DE9"/>
    <w:rsid w:val="00894005"/>
    <w:rsid w:val="008942F5"/>
    <w:rsid w:val="0089460B"/>
    <w:rsid w:val="008956BF"/>
    <w:rsid w:val="0089782B"/>
    <w:rsid w:val="00897CF2"/>
    <w:rsid w:val="00897D58"/>
    <w:rsid w:val="00897F22"/>
    <w:rsid w:val="008A0B39"/>
    <w:rsid w:val="008A15E5"/>
    <w:rsid w:val="008A17A3"/>
    <w:rsid w:val="008A1956"/>
    <w:rsid w:val="008A1D74"/>
    <w:rsid w:val="008A1E85"/>
    <w:rsid w:val="008A2148"/>
    <w:rsid w:val="008A2419"/>
    <w:rsid w:val="008A2888"/>
    <w:rsid w:val="008A4314"/>
    <w:rsid w:val="008A4937"/>
    <w:rsid w:val="008A50F1"/>
    <w:rsid w:val="008A59D9"/>
    <w:rsid w:val="008A643E"/>
    <w:rsid w:val="008A6819"/>
    <w:rsid w:val="008A6FBC"/>
    <w:rsid w:val="008B0B0E"/>
    <w:rsid w:val="008B0D27"/>
    <w:rsid w:val="008B0E34"/>
    <w:rsid w:val="008B160A"/>
    <w:rsid w:val="008B2140"/>
    <w:rsid w:val="008B2224"/>
    <w:rsid w:val="008B2EC0"/>
    <w:rsid w:val="008B3DCF"/>
    <w:rsid w:val="008B42E2"/>
    <w:rsid w:val="008B4718"/>
    <w:rsid w:val="008B4848"/>
    <w:rsid w:val="008B4D56"/>
    <w:rsid w:val="008B613F"/>
    <w:rsid w:val="008B6DCF"/>
    <w:rsid w:val="008C0074"/>
    <w:rsid w:val="008C174C"/>
    <w:rsid w:val="008C30A3"/>
    <w:rsid w:val="008C3960"/>
    <w:rsid w:val="008C3966"/>
    <w:rsid w:val="008C3E86"/>
    <w:rsid w:val="008C5AB0"/>
    <w:rsid w:val="008C5C8A"/>
    <w:rsid w:val="008D0945"/>
    <w:rsid w:val="008D0CA0"/>
    <w:rsid w:val="008D1409"/>
    <w:rsid w:val="008D15CC"/>
    <w:rsid w:val="008D1729"/>
    <w:rsid w:val="008D1B5C"/>
    <w:rsid w:val="008D21AA"/>
    <w:rsid w:val="008D3AE9"/>
    <w:rsid w:val="008D3C82"/>
    <w:rsid w:val="008D417C"/>
    <w:rsid w:val="008D447E"/>
    <w:rsid w:val="008D5210"/>
    <w:rsid w:val="008D59ED"/>
    <w:rsid w:val="008D6864"/>
    <w:rsid w:val="008D6ACF"/>
    <w:rsid w:val="008D7A41"/>
    <w:rsid w:val="008D7C9D"/>
    <w:rsid w:val="008E0570"/>
    <w:rsid w:val="008E06F8"/>
    <w:rsid w:val="008E0C68"/>
    <w:rsid w:val="008E2C72"/>
    <w:rsid w:val="008E2F50"/>
    <w:rsid w:val="008E3565"/>
    <w:rsid w:val="008E3680"/>
    <w:rsid w:val="008E45EC"/>
    <w:rsid w:val="008E5870"/>
    <w:rsid w:val="008E61D9"/>
    <w:rsid w:val="008E65DD"/>
    <w:rsid w:val="008E77E4"/>
    <w:rsid w:val="008E7DA5"/>
    <w:rsid w:val="008F0213"/>
    <w:rsid w:val="008F0294"/>
    <w:rsid w:val="008F07ED"/>
    <w:rsid w:val="008F102C"/>
    <w:rsid w:val="008F11F8"/>
    <w:rsid w:val="008F1434"/>
    <w:rsid w:val="008F25B5"/>
    <w:rsid w:val="008F298C"/>
    <w:rsid w:val="008F2BB9"/>
    <w:rsid w:val="008F30A7"/>
    <w:rsid w:val="008F3460"/>
    <w:rsid w:val="008F3D6A"/>
    <w:rsid w:val="008F3E2F"/>
    <w:rsid w:val="008F4A2D"/>
    <w:rsid w:val="008F4DBC"/>
    <w:rsid w:val="008F54C3"/>
    <w:rsid w:val="008F5595"/>
    <w:rsid w:val="008F5AAE"/>
    <w:rsid w:val="008F5B2F"/>
    <w:rsid w:val="008F5B6C"/>
    <w:rsid w:val="008F5FB1"/>
    <w:rsid w:val="008F6D4F"/>
    <w:rsid w:val="008F7251"/>
    <w:rsid w:val="008F7355"/>
    <w:rsid w:val="008F759E"/>
    <w:rsid w:val="008F7C8C"/>
    <w:rsid w:val="008F7EAB"/>
    <w:rsid w:val="00900CC1"/>
    <w:rsid w:val="00901007"/>
    <w:rsid w:val="00901A9E"/>
    <w:rsid w:val="009023DC"/>
    <w:rsid w:val="009027C5"/>
    <w:rsid w:val="00902D10"/>
    <w:rsid w:val="009033A6"/>
    <w:rsid w:val="0090396D"/>
    <w:rsid w:val="009039A7"/>
    <w:rsid w:val="00903FDB"/>
    <w:rsid w:val="00904413"/>
    <w:rsid w:val="00904C37"/>
    <w:rsid w:val="00905BB7"/>
    <w:rsid w:val="009060E5"/>
    <w:rsid w:val="009067B7"/>
    <w:rsid w:val="00907578"/>
    <w:rsid w:val="0090775A"/>
    <w:rsid w:val="00907929"/>
    <w:rsid w:val="00907DFD"/>
    <w:rsid w:val="00910388"/>
    <w:rsid w:val="00910CBC"/>
    <w:rsid w:val="0091204E"/>
    <w:rsid w:val="00913CCC"/>
    <w:rsid w:val="00914AA8"/>
    <w:rsid w:val="00914F1A"/>
    <w:rsid w:val="0091547C"/>
    <w:rsid w:val="009157DE"/>
    <w:rsid w:val="00917D69"/>
    <w:rsid w:val="00920B6D"/>
    <w:rsid w:val="00922CEE"/>
    <w:rsid w:val="009230F4"/>
    <w:rsid w:val="00924C37"/>
    <w:rsid w:val="00925A85"/>
    <w:rsid w:val="00926560"/>
    <w:rsid w:val="0092662B"/>
    <w:rsid w:val="0092668C"/>
    <w:rsid w:val="00926B15"/>
    <w:rsid w:val="00926CE3"/>
    <w:rsid w:val="009277D1"/>
    <w:rsid w:val="00930291"/>
    <w:rsid w:val="009304A2"/>
    <w:rsid w:val="00930601"/>
    <w:rsid w:val="00930937"/>
    <w:rsid w:val="00931480"/>
    <w:rsid w:val="009317AE"/>
    <w:rsid w:val="009324A6"/>
    <w:rsid w:val="00932833"/>
    <w:rsid w:val="00932BC8"/>
    <w:rsid w:val="0093329A"/>
    <w:rsid w:val="0093357E"/>
    <w:rsid w:val="00933E6C"/>
    <w:rsid w:val="009351CA"/>
    <w:rsid w:val="00935363"/>
    <w:rsid w:val="00935A6E"/>
    <w:rsid w:val="00937958"/>
    <w:rsid w:val="00940150"/>
    <w:rsid w:val="00940541"/>
    <w:rsid w:val="009406E5"/>
    <w:rsid w:val="009408B0"/>
    <w:rsid w:val="00940C40"/>
    <w:rsid w:val="00940E83"/>
    <w:rsid w:val="00941602"/>
    <w:rsid w:val="00941DE9"/>
    <w:rsid w:val="00942160"/>
    <w:rsid w:val="00942FF5"/>
    <w:rsid w:val="00945BE5"/>
    <w:rsid w:val="00945CCE"/>
    <w:rsid w:val="00945E1D"/>
    <w:rsid w:val="00946254"/>
    <w:rsid w:val="00946921"/>
    <w:rsid w:val="009503AC"/>
    <w:rsid w:val="0095146F"/>
    <w:rsid w:val="0095277E"/>
    <w:rsid w:val="00953ADC"/>
    <w:rsid w:val="009543A1"/>
    <w:rsid w:val="00954AD2"/>
    <w:rsid w:val="0095541C"/>
    <w:rsid w:val="00956CD2"/>
    <w:rsid w:val="00956D7F"/>
    <w:rsid w:val="00957944"/>
    <w:rsid w:val="00957E11"/>
    <w:rsid w:val="009602C5"/>
    <w:rsid w:val="00961501"/>
    <w:rsid w:val="00962223"/>
    <w:rsid w:val="0096252B"/>
    <w:rsid w:val="00962E6A"/>
    <w:rsid w:val="009656C7"/>
    <w:rsid w:val="0096699C"/>
    <w:rsid w:val="00966D0D"/>
    <w:rsid w:val="00967732"/>
    <w:rsid w:val="0096783C"/>
    <w:rsid w:val="009678B1"/>
    <w:rsid w:val="00967C6B"/>
    <w:rsid w:val="00967F17"/>
    <w:rsid w:val="0097036C"/>
    <w:rsid w:val="00970918"/>
    <w:rsid w:val="009714D4"/>
    <w:rsid w:val="00971D2A"/>
    <w:rsid w:val="00971EDA"/>
    <w:rsid w:val="00972071"/>
    <w:rsid w:val="009722B3"/>
    <w:rsid w:val="00972451"/>
    <w:rsid w:val="009730A0"/>
    <w:rsid w:val="00973E24"/>
    <w:rsid w:val="00974222"/>
    <w:rsid w:val="00974C21"/>
    <w:rsid w:val="00975948"/>
    <w:rsid w:val="00975A9A"/>
    <w:rsid w:val="00975B81"/>
    <w:rsid w:val="00975B83"/>
    <w:rsid w:val="00975EA8"/>
    <w:rsid w:val="00976004"/>
    <w:rsid w:val="009771EA"/>
    <w:rsid w:val="00977BF3"/>
    <w:rsid w:val="00977E07"/>
    <w:rsid w:val="00977E3F"/>
    <w:rsid w:val="00977F6C"/>
    <w:rsid w:val="009803E4"/>
    <w:rsid w:val="00980B0E"/>
    <w:rsid w:val="00980FEE"/>
    <w:rsid w:val="00981005"/>
    <w:rsid w:val="00981A93"/>
    <w:rsid w:val="00981B80"/>
    <w:rsid w:val="009836A3"/>
    <w:rsid w:val="00984A23"/>
    <w:rsid w:val="00984DAF"/>
    <w:rsid w:val="0098518C"/>
    <w:rsid w:val="009855A8"/>
    <w:rsid w:val="009855B6"/>
    <w:rsid w:val="009858C7"/>
    <w:rsid w:val="00985D1A"/>
    <w:rsid w:val="00985E4D"/>
    <w:rsid w:val="0098619C"/>
    <w:rsid w:val="009861F1"/>
    <w:rsid w:val="00987057"/>
    <w:rsid w:val="00987064"/>
    <w:rsid w:val="009871C6"/>
    <w:rsid w:val="00987CE3"/>
    <w:rsid w:val="00987D4A"/>
    <w:rsid w:val="00987E74"/>
    <w:rsid w:val="00990C8F"/>
    <w:rsid w:val="009913F4"/>
    <w:rsid w:val="00991782"/>
    <w:rsid w:val="00992680"/>
    <w:rsid w:val="00992889"/>
    <w:rsid w:val="00992F3E"/>
    <w:rsid w:val="0099352B"/>
    <w:rsid w:val="009937F7"/>
    <w:rsid w:val="00993A25"/>
    <w:rsid w:val="00993AC9"/>
    <w:rsid w:val="0099465B"/>
    <w:rsid w:val="00994D2A"/>
    <w:rsid w:val="009951A1"/>
    <w:rsid w:val="00995B04"/>
    <w:rsid w:val="00995FA3"/>
    <w:rsid w:val="00997656"/>
    <w:rsid w:val="00997A44"/>
    <w:rsid w:val="00997E57"/>
    <w:rsid w:val="009A0160"/>
    <w:rsid w:val="009A04FB"/>
    <w:rsid w:val="009A0CDD"/>
    <w:rsid w:val="009A0DE8"/>
    <w:rsid w:val="009A12D4"/>
    <w:rsid w:val="009A19BC"/>
    <w:rsid w:val="009A1B8B"/>
    <w:rsid w:val="009A1E32"/>
    <w:rsid w:val="009A1E81"/>
    <w:rsid w:val="009A2A82"/>
    <w:rsid w:val="009A2C0F"/>
    <w:rsid w:val="009A3168"/>
    <w:rsid w:val="009A3282"/>
    <w:rsid w:val="009A38B2"/>
    <w:rsid w:val="009A3AA7"/>
    <w:rsid w:val="009A4E2A"/>
    <w:rsid w:val="009A51B6"/>
    <w:rsid w:val="009A5570"/>
    <w:rsid w:val="009A5D04"/>
    <w:rsid w:val="009A61CA"/>
    <w:rsid w:val="009A6C3B"/>
    <w:rsid w:val="009A7903"/>
    <w:rsid w:val="009A7DA0"/>
    <w:rsid w:val="009B0C64"/>
    <w:rsid w:val="009B0D31"/>
    <w:rsid w:val="009B0EB8"/>
    <w:rsid w:val="009B0F67"/>
    <w:rsid w:val="009B1C4C"/>
    <w:rsid w:val="009B381A"/>
    <w:rsid w:val="009B383C"/>
    <w:rsid w:val="009B3F8C"/>
    <w:rsid w:val="009B44D7"/>
    <w:rsid w:val="009B47E8"/>
    <w:rsid w:val="009B4D43"/>
    <w:rsid w:val="009B506E"/>
    <w:rsid w:val="009B54B4"/>
    <w:rsid w:val="009B5F39"/>
    <w:rsid w:val="009B6526"/>
    <w:rsid w:val="009B7124"/>
    <w:rsid w:val="009B750F"/>
    <w:rsid w:val="009C0964"/>
    <w:rsid w:val="009C295D"/>
    <w:rsid w:val="009C2C38"/>
    <w:rsid w:val="009C4034"/>
    <w:rsid w:val="009C59CF"/>
    <w:rsid w:val="009C5B72"/>
    <w:rsid w:val="009C703C"/>
    <w:rsid w:val="009C77F7"/>
    <w:rsid w:val="009C7BBD"/>
    <w:rsid w:val="009D030B"/>
    <w:rsid w:val="009D03BB"/>
    <w:rsid w:val="009D0BCE"/>
    <w:rsid w:val="009D206E"/>
    <w:rsid w:val="009D2074"/>
    <w:rsid w:val="009D2849"/>
    <w:rsid w:val="009D320C"/>
    <w:rsid w:val="009D34D2"/>
    <w:rsid w:val="009D358A"/>
    <w:rsid w:val="009D3CAA"/>
    <w:rsid w:val="009D3CC4"/>
    <w:rsid w:val="009D4690"/>
    <w:rsid w:val="009D4FF8"/>
    <w:rsid w:val="009D55E2"/>
    <w:rsid w:val="009D61A0"/>
    <w:rsid w:val="009D6532"/>
    <w:rsid w:val="009D6D08"/>
    <w:rsid w:val="009D70F3"/>
    <w:rsid w:val="009D71FD"/>
    <w:rsid w:val="009E0178"/>
    <w:rsid w:val="009E1D22"/>
    <w:rsid w:val="009E1EB7"/>
    <w:rsid w:val="009E2588"/>
    <w:rsid w:val="009E2E8E"/>
    <w:rsid w:val="009E4085"/>
    <w:rsid w:val="009E40E1"/>
    <w:rsid w:val="009E42D7"/>
    <w:rsid w:val="009E4BE3"/>
    <w:rsid w:val="009E5B0D"/>
    <w:rsid w:val="009F0EFA"/>
    <w:rsid w:val="009F1BE2"/>
    <w:rsid w:val="009F3D79"/>
    <w:rsid w:val="009F449A"/>
    <w:rsid w:val="009F48B9"/>
    <w:rsid w:val="009F4E46"/>
    <w:rsid w:val="009F512B"/>
    <w:rsid w:val="009F5B65"/>
    <w:rsid w:val="009F5E25"/>
    <w:rsid w:val="009F5F2E"/>
    <w:rsid w:val="009F632B"/>
    <w:rsid w:val="009F6896"/>
    <w:rsid w:val="009F72A6"/>
    <w:rsid w:val="009F7588"/>
    <w:rsid w:val="009F7C8A"/>
    <w:rsid w:val="009F7D9C"/>
    <w:rsid w:val="00A01432"/>
    <w:rsid w:val="00A0283F"/>
    <w:rsid w:val="00A031C2"/>
    <w:rsid w:val="00A0389A"/>
    <w:rsid w:val="00A03DA8"/>
    <w:rsid w:val="00A03FD8"/>
    <w:rsid w:val="00A043ED"/>
    <w:rsid w:val="00A047DE"/>
    <w:rsid w:val="00A05A56"/>
    <w:rsid w:val="00A05EA6"/>
    <w:rsid w:val="00A06100"/>
    <w:rsid w:val="00A06225"/>
    <w:rsid w:val="00A063D3"/>
    <w:rsid w:val="00A0658C"/>
    <w:rsid w:val="00A0796B"/>
    <w:rsid w:val="00A07C4C"/>
    <w:rsid w:val="00A110D1"/>
    <w:rsid w:val="00A11A3A"/>
    <w:rsid w:val="00A12587"/>
    <w:rsid w:val="00A128E6"/>
    <w:rsid w:val="00A12B5D"/>
    <w:rsid w:val="00A13173"/>
    <w:rsid w:val="00A134E8"/>
    <w:rsid w:val="00A1369B"/>
    <w:rsid w:val="00A13D81"/>
    <w:rsid w:val="00A14145"/>
    <w:rsid w:val="00A144D3"/>
    <w:rsid w:val="00A1480A"/>
    <w:rsid w:val="00A14AC2"/>
    <w:rsid w:val="00A15E92"/>
    <w:rsid w:val="00A17C6A"/>
    <w:rsid w:val="00A2038F"/>
    <w:rsid w:val="00A2091E"/>
    <w:rsid w:val="00A20A07"/>
    <w:rsid w:val="00A20B00"/>
    <w:rsid w:val="00A20DCB"/>
    <w:rsid w:val="00A22617"/>
    <w:rsid w:val="00A228D1"/>
    <w:rsid w:val="00A22AC3"/>
    <w:rsid w:val="00A2317F"/>
    <w:rsid w:val="00A2380F"/>
    <w:rsid w:val="00A23BC6"/>
    <w:rsid w:val="00A23F3F"/>
    <w:rsid w:val="00A24067"/>
    <w:rsid w:val="00A24A4B"/>
    <w:rsid w:val="00A25171"/>
    <w:rsid w:val="00A26CA0"/>
    <w:rsid w:val="00A2744D"/>
    <w:rsid w:val="00A27F67"/>
    <w:rsid w:val="00A3076C"/>
    <w:rsid w:val="00A30C54"/>
    <w:rsid w:val="00A30D16"/>
    <w:rsid w:val="00A31D74"/>
    <w:rsid w:val="00A328F5"/>
    <w:rsid w:val="00A34E6C"/>
    <w:rsid w:val="00A34FD0"/>
    <w:rsid w:val="00A3541C"/>
    <w:rsid w:val="00A358D6"/>
    <w:rsid w:val="00A36398"/>
    <w:rsid w:val="00A365D0"/>
    <w:rsid w:val="00A375D6"/>
    <w:rsid w:val="00A37C8D"/>
    <w:rsid w:val="00A4020E"/>
    <w:rsid w:val="00A40FB5"/>
    <w:rsid w:val="00A41265"/>
    <w:rsid w:val="00A41F61"/>
    <w:rsid w:val="00A42826"/>
    <w:rsid w:val="00A429B3"/>
    <w:rsid w:val="00A4317F"/>
    <w:rsid w:val="00A448D1"/>
    <w:rsid w:val="00A44D5D"/>
    <w:rsid w:val="00A44EC1"/>
    <w:rsid w:val="00A4535D"/>
    <w:rsid w:val="00A45807"/>
    <w:rsid w:val="00A45C4C"/>
    <w:rsid w:val="00A460C0"/>
    <w:rsid w:val="00A4619B"/>
    <w:rsid w:val="00A46A4D"/>
    <w:rsid w:val="00A47969"/>
    <w:rsid w:val="00A479FD"/>
    <w:rsid w:val="00A50F45"/>
    <w:rsid w:val="00A510E4"/>
    <w:rsid w:val="00A5192E"/>
    <w:rsid w:val="00A51CDB"/>
    <w:rsid w:val="00A52381"/>
    <w:rsid w:val="00A5273B"/>
    <w:rsid w:val="00A52E3C"/>
    <w:rsid w:val="00A53A9D"/>
    <w:rsid w:val="00A53CC2"/>
    <w:rsid w:val="00A53FC1"/>
    <w:rsid w:val="00A54DDD"/>
    <w:rsid w:val="00A55589"/>
    <w:rsid w:val="00A55FEE"/>
    <w:rsid w:val="00A56D2D"/>
    <w:rsid w:val="00A57422"/>
    <w:rsid w:val="00A57B8B"/>
    <w:rsid w:val="00A57EDA"/>
    <w:rsid w:val="00A61FD0"/>
    <w:rsid w:val="00A6203A"/>
    <w:rsid w:val="00A62C1A"/>
    <w:rsid w:val="00A632A5"/>
    <w:rsid w:val="00A6333F"/>
    <w:rsid w:val="00A6426D"/>
    <w:rsid w:val="00A645EE"/>
    <w:rsid w:val="00A6502D"/>
    <w:rsid w:val="00A65946"/>
    <w:rsid w:val="00A665C1"/>
    <w:rsid w:val="00A66B41"/>
    <w:rsid w:val="00A67301"/>
    <w:rsid w:val="00A673A4"/>
    <w:rsid w:val="00A6767A"/>
    <w:rsid w:val="00A7001A"/>
    <w:rsid w:val="00A70622"/>
    <w:rsid w:val="00A70977"/>
    <w:rsid w:val="00A70D58"/>
    <w:rsid w:val="00A71B73"/>
    <w:rsid w:val="00A7212E"/>
    <w:rsid w:val="00A72435"/>
    <w:rsid w:val="00A72D6A"/>
    <w:rsid w:val="00A737B4"/>
    <w:rsid w:val="00A7445A"/>
    <w:rsid w:val="00A744F9"/>
    <w:rsid w:val="00A74954"/>
    <w:rsid w:val="00A754D4"/>
    <w:rsid w:val="00A756B5"/>
    <w:rsid w:val="00A75D6C"/>
    <w:rsid w:val="00A77033"/>
    <w:rsid w:val="00A77613"/>
    <w:rsid w:val="00A779CE"/>
    <w:rsid w:val="00A77B87"/>
    <w:rsid w:val="00A8154F"/>
    <w:rsid w:val="00A81851"/>
    <w:rsid w:val="00A830CE"/>
    <w:rsid w:val="00A8390C"/>
    <w:rsid w:val="00A8567D"/>
    <w:rsid w:val="00A867BF"/>
    <w:rsid w:val="00A86AE0"/>
    <w:rsid w:val="00A8791E"/>
    <w:rsid w:val="00A87CAA"/>
    <w:rsid w:val="00A909D5"/>
    <w:rsid w:val="00A91362"/>
    <w:rsid w:val="00A9151C"/>
    <w:rsid w:val="00A919C6"/>
    <w:rsid w:val="00A91AB1"/>
    <w:rsid w:val="00A91CF5"/>
    <w:rsid w:val="00A91D6A"/>
    <w:rsid w:val="00A928BD"/>
    <w:rsid w:val="00A92B56"/>
    <w:rsid w:val="00A92FE1"/>
    <w:rsid w:val="00A93124"/>
    <w:rsid w:val="00A93E03"/>
    <w:rsid w:val="00A94CF7"/>
    <w:rsid w:val="00A95620"/>
    <w:rsid w:val="00A97B45"/>
    <w:rsid w:val="00A97DE9"/>
    <w:rsid w:val="00AA0B6E"/>
    <w:rsid w:val="00AA0B9F"/>
    <w:rsid w:val="00AA12CD"/>
    <w:rsid w:val="00AA1418"/>
    <w:rsid w:val="00AA16B9"/>
    <w:rsid w:val="00AA16EA"/>
    <w:rsid w:val="00AA1B01"/>
    <w:rsid w:val="00AA2540"/>
    <w:rsid w:val="00AA412D"/>
    <w:rsid w:val="00AA4CB9"/>
    <w:rsid w:val="00AA4D1C"/>
    <w:rsid w:val="00AA52FD"/>
    <w:rsid w:val="00AA606F"/>
    <w:rsid w:val="00AA68A1"/>
    <w:rsid w:val="00AA6B5E"/>
    <w:rsid w:val="00AA6C05"/>
    <w:rsid w:val="00AA6E89"/>
    <w:rsid w:val="00AA7006"/>
    <w:rsid w:val="00AA7BFD"/>
    <w:rsid w:val="00AB0110"/>
    <w:rsid w:val="00AB16E1"/>
    <w:rsid w:val="00AB22A5"/>
    <w:rsid w:val="00AB4720"/>
    <w:rsid w:val="00AB5121"/>
    <w:rsid w:val="00AB5388"/>
    <w:rsid w:val="00AB5856"/>
    <w:rsid w:val="00AB5E5F"/>
    <w:rsid w:val="00AB620C"/>
    <w:rsid w:val="00AB7B1F"/>
    <w:rsid w:val="00AB7CC2"/>
    <w:rsid w:val="00AC02BA"/>
    <w:rsid w:val="00AC05E7"/>
    <w:rsid w:val="00AC11D6"/>
    <w:rsid w:val="00AC193C"/>
    <w:rsid w:val="00AC2244"/>
    <w:rsid w:val="00AC30C1"/>
    <w:rsid w:val="00AC455C"/>
    <w:rsid w:val="00AC49F5"/>
    <w:rsid w:val="00AC4DE5"/>
    <w:rsid w:val="00AC5206"/>
    <w:rsid w:val="00AC5EF6"/>
    <w:rsid w:val="00AC7510"/>
    <w:rsid w:val="00AC7846"/>
    <w:rsid w:val="00AD1D56"/>
    <w:rsid w:val="00AD3106"/>
    <w:rsid w:val="00AD33CF"/>
    <w:rsid w:val="00AD3D6E"/>
    <w:rsid w:val="00AD3E5F"/>
    <w:rsid w:val="00AD4322"/>
    <w:rsid w:val="00AD4B03"/>
    <w:rsid w:val="00AD68D6"/>
    <w:rsid w:val="00AD6A3B"/>
    <w:rsid w:val="00AD722B"/>
    <w:rsid w:val="00AD7ED2"/>
    <w:rsid w:val="00AE11A5"/>
    <w:rsid w:val="00AE1286"/>
    <w:rsid w:val="00AE13E2"/>
    <w:rsid w:val="00AE1593"/>
    <w:rsid w:val="00AE2017"/>
    <w:rsid w:val="00AE22D3"/>
    <w:rsid w:val="00AE27AC"/>
    <w:rsid w:val="00AE3450"/>
    <w:rsid w:val="00AE3FB7"/>
    <w:rsid w:val="00AE445E"/>
    <w:rsid w:val="00AE547A"/>
    <w:rsid w:val="00AE59BE"/>
    <w:rsid w:val="00AE5A49"/>
    <w:rsid w:val="00AE6752"/>
    <w:rsid w:val="00AE680A"/>
    <w:rsid w:val="00AE6E54"/>
    <w:rsid w:val="00AE6F87"/>
    <w:rsid w:val="00AE6FB2"/>
    <w:rsid w:val="00AE717A"/>
    <w:rsid w:val="00AE7229"/>
    <w:rsid w:val="00AE73C4"/>
    <w:rsid w:val="00AF09EE"/>
    <w:rsid w:val="00AF11D8"/>
    <w:rsid w:val="00AF1ACB"/>
    <w:rsid w:val="00AF2B04"/>
    <w:rsid w:val="00AF3737"/>
    <w:rsid w:val="00AF3A46"/>
    <w:rsid w:val="00AF4F8B"/>
    <w:rsid w:val="00AF5174"/>
    <w:rsid w:val="00AF5644"/>
    <w:rsid w:val="00AF5867"/>
    <w:rsid w:val="00AF62DF"/>
    <w:rsid w:val="00AF68CC"/>
    <w:rsid w:val="00AF70D7"/>
    <w:rsid w:val="00AF78BF"/>
    <w:rsid w:val="00B000FD"/>
    <w:rsid w:val="00B00B2D"/>
    <w:rsid w:val="00B00CD9"/>
    <w:rsid w:val="00B01FF4"/>
    <w:rsid w:val="00B0326D"/>
    <w:rsid w:val="00B049DD"/>
    <w:rsid w:val="00B04B80"/>
    <w:rsid w:val="00B050BB"/>
    <w:rsid w:val="00B062F9"/>
    <w:rsid w:val="00B06478"/>
    <w:rsid w:val="00B064DC"/>
    <w:rsid w:val="00B07533"/>
    <w:rsid w:val="00B07CFB"/>
    <w:rsid w:val="00B10281"/>
    <w:rsid w:val="00B1059E"/>
    <w:rsid w:val="00B11331"/>
    <w:rsid w:val="00B12618"/>
    <w:rsid w:val="00B14A36"/>
    <w:rsid w:val="00B14D5A"/>
    <w:rsid w:val="00B16273"/>
    <w:rsid w:val="00B1645E"/>
    <w:rsid w:val="00B164B5"/>
    <w:rsid w:val="00B166ED"/>
    <w:rsid w:val="00B168B9"/>
    <w:rsid w:val="00B170A5"/>
    <w:rsid w:val="00B176C8"/>
    <w:rsid w:val="00B17771"/>
    <w:rsid w:val="00B17EE5"/>
    <w:rsid w:val="00B20295"/>
    <w:rsid w:val="00B205AA"/>
    <w:rsid w:val="00B20F5F"/>
    <w:rsid w:val="00B210D9"/>
    <w:rsid w:val="00B2205E"/>
    <w:rsid w:val="00B220D6"/>
    <w:rsid w:val="00B22873"/>
    <w:rsid w:val="00B22E84"/>
    <w:rsid w:val="00B233AD"/>
    <w:rsid w:val="00B23B30"/>
    <w:rsid w:val="00B23E25"/>
    <w:rsid w:val="00B24929"/>
    <w:rsid w:val="00B2513B"/>
    <w:rsid w:val="00B25F75"/>
    <w:rsid w:val="00B26031"/>
    <w:rsid w:val="00B26207"/>
    <w:rsid w:val="00B26940"/>
    <w:rsid w:val="00B26B3F"/>
    <w:rsid w:val="00B26B6B"/>
    <w:rsid w:val="00B2778F"/>
    <w:rsid w:val="00B30335"/>
    <w:rsid w:val="00B303C6"/>
    <w:rsid w:val="00B30B08"/>
    <w:rsid w:val="00B322CA"/>
    <w:rsid w:val="00B327E2"/>
    <w:rsid w:val="00B33635"/>
    <w:rsid w:val="00B33B85"/>
    <w:rsid w:val="00B34762"/>
    <w:rsid w:val="00B35648"/>
    <w:rsid w:val="00B366E1"/>
    <w:rsid w:val="00B36735"/>
    <w:rsid w:val="00B369E9"/>
    <w:rsid w:val="00B375B7"/>
    <w:rsid w:val="00B40E29"/>
    <w:rsid w:val="00B412F4"/>
    <w:rsid w:val="00B42AF4"/>
    <w:rsid w:val="00B4305E"/>
    <w:rsid w:val="00B43412"/>
    <w:rsid w:val="00B43E90"/>
    <w:rsid w:val="00B4472B"/>
    <w:rsid w:val="00B45C7B"/>
    <w:rsid w:val="00B46799"/>
    <w:rsid w:val="00B467DC"/>
    <w:rsid w:val="00B46D05"/>
    <w:rsid w:val="00B476BE"/>
    <w:rsid w:val="00B47F81"/>
    <w:rsid w:val="00B51D8C"/>
    <w:rsid w:val="00B5392A"/>
    <w:rsid w:val="00B54B3C"/>
    <w:rsid w:val="00B54C48"/>
    <w:rsid w:val="00B55534"/>
    <w:rsid w:val="00B55CB3"/>
    <w:rsid w:val="00B56118"/>
    <w:rsid w:val="00B566E1"/>
    <w:rsid w:val="00B567AE"/>
    <w:rsid w:val="00B5773F"/>
    <w:rsid w:val="00B60178"/>
    <w:rsid w:val="00B60462"/>
    <w:rsid w:val="00B60AB6"/>
    <w:rsid w:val="00B60B98"/>
    <w:rsid w:val="00B60F40"/>
    <w:rsid w:val="00B63DD6"/>
    <w:rsid w:val="00B64433"/>
    <w:rsid w:val="00B64A5C"/>
    <w:rsid w:val="00B64F91"/>
    <w:rsid w:val="00B65DE2"/>
    <w:rsid w:val="00B66AC0"/>
    <w:rsid w:val="00B66D55"/>
    <w:rsid w:val="00B66D5C"/>
    <w:rsid w:val="00B6773F"/>
    <w:rsid w:val="00B678F0"/>
    <w:rsid w:val="00B70EB3"/>
    <w:rsid w:val="00B717D8"/>
    <w:rsid w:val="00B7286D"/>
    <w:rsid w:val="00B728F5"/>
    <w:rsid w:val="00B72906"/>
    <w:rsid w:val="00B741C8"/>
    <w:rsid w:val="00B74F2E"/>
    <w:rsid w:val="00B7525E"/>
    <w:rsid w:val="00B760FB"/>
    <w:rsid w:val="00B767AB"/>
    <w:rsid w:val="00B76A92"/>
    <w:rsid w:val="00B77314"/>
    <w:rsid w:val="00B801BA"/>
    <w:rsid w:val="00B80351"/>
    <w:rsid w:val="00B805D0"/>
    <w:rsid w:val="00B80A0B"/>
    <w:rsid w:val="00B812D6"/>
    <w:rsid w:val="00B81D3F"/>
    <w:rsid w:val="00B8281F"/>
    <w:rsid w:val="00B83370"/>
    <w:rsid w:val="00B83CC3"/>
    <w:rsid w:val="00B83F7D"/>
    <w:rsid w:val="00B8465A"/>
    <w:rsid w:val="00B84D5C"/>
    <w:rsid w:val="00B8565D"/>
    <w:rsid w:val="00B85AAB"/>
    <w:rsid w:val="00B85AF6"/>
    <w:rsid w:val="00B863D5"/>
    <w:rsid w:val="00B8642C"/>
    <w:rsid w:val="00B86D7C"/>
    <w:rsid w:val="00B86E94"/>
    <w:rsid w:val="00B86FDC"/>
    <w:rsid w:val="00B8778E"/>
    <w:rsid w:val="00B87AEA"/>
    <w:rsid w:val="00B908E3"/>
    <w:rsid w:val="00B926F5"/>
    <w:rsid w:val="00B92F9C"/>
    <w:rsid w:val="00B94039"/>
    <w:rsid w:val="00B956ED"/>
    <w:rsid w:val="00B95766"/>
    <w:rsid w:val="00B9624F"/>
    <w:rsid w:val="00B97924"/>
    <w:rsid w:val="00B97AED"/>
    <w:rsid w:val="00BA0EE2"/>
    <w:rsid w:val="00BA1A7E"/>
    <w:rsid w:val="00BA1AE7"/>
    <w:rsid w:val="00BA2C14"/>
    <w:rsid w:val="00BA2DA8"/>
    <w:rsid w:val="00BA347C"/>
    <w:rsid w:val="00BA4E7A"/>
    <w:rsid w:val="00BA5F16"/>
    <w:rsid w:val="00BA6200"/>
    <w:rsid w:val="00BA652F"/>
    <w:rsid w:val="00BA7B83"/>
    <w:rsid w:val="00BB06F9"/>
    <w:rsid w:val="00BB0737"/>
    <w:rsid w:val="00BB0C4A"/>
    <w:rsid w:val="00BB0ED4"/>
    <w:rsid w:val="00BB1C83"/>
    <w:rsid w:val="00BB3469"/>
    <w:rsid w:val="00BB41A5"/>
    <w:rsid w:val="00BB5C49"/>
    <w:rsid w:val="00BB5D3B"/>
    <w:rsid w:val="00BB6240"/>
    <w:rsid w:val="00BB6285"/>
    <w:rsid w:val="00BB696A"/>
    <w:rsid w:val="00BB69F5"/>
    <w:rsid w:val="00BB6B3A"/>
    <w:rsid w:val="00BB7EC3"/>
    <w:rsid w:val="00BC0014"/>
    <w:rsid w:val="00BC14A8"/>
    <w:rsid w:val="00BC176D"/>
    <w:rsid w:val="00BC1CF6"/>
    <w:rsid w:val="00BC20B9"/>
    <w:rsid w:val="00BC288A"/>
    <w:rsid w:val="00BC2D96"/>
    <w:rsid w:val="00BC4425"/>
    <w:rsid w:val="00BC470E"/>
    <w:rsid w:val="00BC4A26"/>
    <w:rsid w:val="00BC4B9A"/>
    <w:rsid w:val="00BC4F6B"/>
    <w:rsid w:val="00BC5010"/>
    <w:rsid w:val="00BC5258"/>
    <w:rsid w:val="00BC5784"/>
    <w:rsid w:val="00BC6538"/>
    <w:rsid w:val="00BC6769"/>
    <w:rsid w:val="00BC6E83"/>
    <w:rsid w:val="00BD02C3"/>
    <w:rsid w:val="00BD0AAB"/>
    <w:rsid w:val="00BD0AE8"/>
    <w:rsid w:val="00BD1156"/>
    <w:rsid w:val="00BD13EC"/>
    <w:rsid w:val="00BD17C2"/>
    <w:rsid w:val="00BD1962"/>
    <w:rsid w:val="00BD1D47"/>
    <w:rsid w:val="00BD24D0"/>
    <w:rsid w:val="00BD3E47"/>
    <w:rsid w:val="00BD460A"/>
    <w:rsid w:val="00BD4B3B"/>
    <w:rsid w:val="00BD4F14"/>
    <w:rsid w:val="00BD523F"/>
    <w:rsid w:val="00BD551F"/>
    <w:rsid w:val="00BD5985"/>
    <w:rsid w:val="00BD5ED5"/>
    <w:rsid w:val="00BD604A"/>
    <w:rsid w:val="00BD60DC"/>
    <w:rsid w:val="00BD711A"/>
    <w:rsid w:val="00BD7483"/>
    <w:rsid w:val="00BD784C"/>
    <w:rsid w:val="00BD799E"/>
    <w:rsid w:val="00BE020A"/>
    <w:rsid w:val="00BE0467"/>
    <w:rsid w:val="00BE04B7"/>
    <w:rsid w:val="00BE07E4"/>
    <w:rsid w:val="00BE1339"/>
    <w:rsid w:val="00BE13DF"/>
    <w:rsid w:val="00BE1C43"/>
    <w:rsid w:val="00BE25D7"/>
    <w:rsid w:val="00BE3CE0"/>
    <w:rsid w:val="00BE501C"/>
    <w:rsid w:val="00BE53FE"/>
    <w:rsid w:val="00BE58C7"/>
    <w:rsid w:val="00BE7787"/>
    <w:rsid w:val="00BE7CEE"/>
    <w:rsid w:val="00BF092C"/>
    <w:rsid w:val="00BF12AA"/>
    <w:rsid w:val="00BF180E"/>
    <w:rsid w:val="00BF27A0"/>
    <w:rsid w:val="00BF2E32"/>
    <w:rsid w:val="00BF30C7"/>
    <w:rsid w:val="00BF4CB6"/>
    <w:rsid w:val="00BF573B"/>
    <w:rsid w:val="00BF585E"/>
    <w:rsid w:val="00C00DA7"/>
    <w:rsid w:val="00C015FF"/>
    <w:rsid w:val="00C026F5"/>
    <w:rsid w:val="00C0295B"/>
    <w:rsid w:val="00C038C0"/>
    <w:rsid w:val="00C04A26"/>
    <w:rsid w:val="00C04CDE"/>
    <w:rsid w:val="00C04DFF"/>
    <w:rsid w:val="00C054ED"/>
    <w:rsid w:val="00C0638B"/>
    <w:rsid w:val="00C068A6"/>
    <w:rsid w:val="00C075C1"/>
    <w:rsid w:val="00C0779A"/>
    <w:rsid w:val="00C07BEB"/>
    <w:rsid w:val="00C10092"/>
    <w:rsid w:val="00C102DF"/>
    <w:rsid w:val="00C10770"/>
    <w:rsid w:val="00C11612"/>
    <w:rsid w:val="00C11BFA"/>
    <w:rsid w:val="00C11F65"/>
    <w:rsid w:val="00C12768"/>
    <w:rsid w:val="00C12862"/>
    <w:rsid w:val="00C12D70"/>
    <w:rsid w:val="00C13B40"/>
    <w:rsid w:val="00C13DDC"/>
    <w:rsid w:val="00C14A41"/>
    <w:rsid w:val="00C15A61"/>
    <w:rsid w:val="00C165FC"/>
    <w:rsid w:val="00C16724"/>
    <w:rsid w:val="00C170F9"/>
    <w:rsid w:val="00C17200"/>
    <w:rsid w:val="00C17F91"/>
    <w:rsid w:val="00C200A9"/>
    <w:rsid w:val="00C2079F"/>
    <w:rsid w:val="00C21312"/>
    <w:rsid w:val="00C21B09"/>
    <w:rsid w:val="00C22740"/>
    <w:rsid w:val="00C23CC1"/>
    <w:rsid w:val="00C24B47"/>
    <w:rsid w:val="00C256CF"/>
    <w:rsid w:val="00C2673A"/>
    <w:rsid w:val="00C27885"/>
    <w:rsid w:val="00C27B58"/>
    <w:rsid w:val="00C27FFC"/>
    <w:rsid w:val="00C30219"/>
    <w:rsid w:val="00C31899"/>
    <w:rsid w:val="00C319EC"/>
    <w:rsid w:val="00C32909"/>
    <w:rsid w:val="00C32E4A"/>
    <w:rsid w:val="00C33186"/>
    <w:rsid w:val="00C34063"/>
    <w:rsid w:val="00C343CF"/>
    <w:rsid w:val="00C34611"/>
    <w:rsid w:val="00C34897"/>
    <w:rsid w:val="00C34AF2"/>
    <w:rsid w:val="00C34DA4"/>
    <w:rsid w:val="00C3520A"/>
    <w:rsid w:val="00C35314"/>
    <w:rsid w:val="00C35996"/>
    <w:rsid w:val="00C363C7"/>
    <w:rsid w:val="00C36AC8"/>
    <w:rsid w:val="00C372DD"/>
    <w:rsid w:val="00C402A8"/>
    <w:rsid w:val="00C40820"/>
    <w:rsid w:val="00C415E4"/>
    <w:rsid w:val="00C41D39"/>
    <w:rsid w:val="00C429E2"/>
    <w:rsid w:val="00C4404B"/>
    <w:rsid w:val="00C4747E"/>
    <w:rsid w:val="00C5087B"/>
    <w:rsid w:val="00C50D22"/>
    <w:rsid w:val="00C50D96"/>
    <w:rsid w:val="00C5151E"/>
    <w:rsid w:val="00C51DEA"/>
    <w:rsid w:val="00C520B3"/>
    <w:rsid w:val="00C527DA"/>
    <w:rsid w:val="00C52F61"/>
    <w:rsid w:val="00C53123"/>
    <w:rsid w:val="00C5342C"/>
    <w:rsid w:val="00C53B2B"/>
    <w:rsid w:val="00C541D3"/>
    <w:rsid w:val="00C56221"/>
    <w:rsid w:val="00C56290"/>
    <w:rsid w:val="00C56932"/>
    <w:rsid w:val="00C5733B"/>
    <w:rsid w:val="00C57465"/>
    <w:rsid w:val="00C577AC"/>
    <w:rsid w:val="00C60272"/>
    <w:rsid w:val="00C603D4"/>
    <w:rsid w:val="00C603D8"/>
    <w:rsid w:val="00C60530"/>
    <w:rsid w:val="00C60C84"/>
    <w:rsid w:val="00C60D03"/>
    <w:rsid w:val="00C610EC"/>
    <w:rsid w:val="00C61482"/>
    <w:rsid w:val="00C61D40"/>
    <w:rsid w:val="00C61F25"/>
    <w:rsid w:val="00C62203"/>
    <w:rsid w:val="00C6221D"/>
    <w:rsid w:val="00C6256A"/>
    <w:rsid w:val="00C633D9"/>
    <w:rsid w:val="00C63F44"/>
    <w:rsid w:val="00C6470F"/>
    <w:rsid w:val="00C64954"/>
    <w:rsid w:val="00C64EBC"/>
    <w:rsid w:val="00C66296"/>
    <w:rsid w:val="00C664D2"/>
    <w:rsid w:val="00C679B7"/>
    <w:rsid w:val="00C701DA"/>
    <w:rsid w:val="00C703E9"/>
    <w:rsid w:val="00C710E2"/>
    <w:rsid w:val="00C71791"/>
    <w:rsid w:val="00C71AA9"/>
    <w:rsid w:val="00C71C3F"/>
    <w:rsid w:val="00C724CF"/>
    <w:rsid w:val="00C732EE"/>
    <w:rsid w:val="00C733EF"/>
    <w:rsid w:val="00C73743"/>
    <w:rsid w:val="00C7409E"/>
    <w:rsid w:val="00C74A74"/>
    <w:rsid w:val="00C74C7D"/>
    <w:rsid w:val="00C74D6D"/>
    <w:rsid w:val="00C76215"/>
    <w:rsid w:val="00C76657"/>
    <w:rsid w:val="00C76C44"/>
    <w:rsid w:val="00C76E76"/>
    <w:rsid w:val="00C77891"/>
    <w:rsid w:val="00C80337"/>
    <w:rsid w:val="00C81A53"/>
    <w:rsid w:val="00C81B17"/>
    <w:rsid w:val="00C824A4"/>
    <w:rsid w:val="00C82931"/>
    <w:rsid w:val="00C829A9"/>
    <w:rsid w:val="00C850BD"/>
    <w:rsid w:val="00C85163"/>
    <w:rsid w:val="00C8599F"/>
    <w:rsid w:val="00C8623B"/>
    <w:rsid w:val="00C86BC4"/>
    <w:rsid w:val="00C87B80"/>
    <w:rsid w:val="00C87FC6"/>
    <w:rsid w:val="00C905AC"/>
    <w:rsid w:val="00C90DEC"/>
    <w:rsid w:val="00C91449"/>
    <w:rsid w:val="00C91ADE"/>
    <w:rsid w:val="00C9274C"/>
    <w:rsid w:val="00C92D10"/>
    <w:rsid w:val="00C93999"/>
    <w:rsid w:val="00C94756"/>
    <w:rsid w:val="00C95066"/>
    <w:rsid w:val="00C958F0"/>
    <w:rsid w:val="00C95EE0"/>
    <w:rsid w:val="00C979AD"/>
    <w:rsid w:val="00CA0CC5"/>
    <w:rsid w:val="00CA0D26"/>
    <w:rsid w:val="00CA1900"/>
    <w:rsid w:val="00CA22B0"/>
    <w:rsid w:val="00CA2378"/>
    <w:rsid w:val="00CA2884"/>
    <w:rsid w:val="00CA42AD"/>
    <w:rsid w:val="00CA48D9"/>
    <w:rsid w:val="00CA5522"/>
    <w:rsid w:val="00CA5BC1"/>
    <w:rsid w:val="00CA5CC4"/>
    <w:rsid w:val="00CB0F78"/>
    <w:rsid w:val="00CB118A"/>
    <w:rsid w:val="00CB1193"/>
    <w:rsid w:val="00CB1A20"/>
    <w:rsid w:val="00CB1A3D"/>
    <w:rsid w:val="00CB1CB3"/>
    <w:rsid w:val="00CB1DA2"/>
    <w:rsid w:val="00CB2961"/>
    <w:rsid w:val="00CB420D"/>
    <w:rsid w:val="00CB44D9"/>
    <w:rsid w:val="00CB4767"/>
    <w:rsid w:val="00CB493D"/>
    <w:rsid w:val="00CB4B5D"/>
    <w:rsid w:val="00CB4C0B"/>
    <w:rsid w:val="00CB4E85"/>
    <w:rsid w:val="00CB5C3B"/>
    <w:rsid w:val="00CB68DF"/>
    <w:rsid w:val="00CC02A0"/>
    <w:rsid w:val="00CC02B8"/>
    <w:rsid w:val="00CC2253"/>
    <w:rsid w:val="00CC2902"/>
    <w:rsid w:val="00CC3A79"/>
    <w:rsid w:val="00CC3AD2"/>
    <w:rsid w:val="00CC3B97"/>
    <w:rsid w:val="00CC3CA3"/>
    <w:rsid w:val="00CC6295"/>
    <w:rsid w:val="00CC639E"/>
    <w:rsid w:val="00CC6638"/>
    <w:rsid w:val="00CC6E1B"/>
    <w:rsid w:val="00CC6FC9"/>
    <w:rsid w:val="00CC7A19"/>
    <w:rsid w:val="00CD0836"/>
    <w:rsid w:val="00CD0A6C"/>
    <w:rsid w:val="00CD0AC7"/>
    <w:rsid w:val="00CD17DD"/>
    <w:rsid w:val="00CD1B9E"/>
    <w:rsid w:val="00CD2020"/>
    <w:rsid w:val="00CD28DE"/>
    <w:rsid w:val="00CD2BCD"/>
    <w:rsid w:val="00CD3498"/>
    <w:rsid w:val="00CD3C12"/>
    <w:rsid w:val="00CD3E7C"/>
    <w:rsid w:val="00CD3EEA"/>
    <w:rsid w:val="00CD526E"/>
    <w:rsid w:val="00CD7C0B"/>
    <w:rsid w:val="00CE029A"/>
    <w:rsid w:val="00CE10C4"/>
    <w:rsid w:val="00CE27B5"/>
    <w:rsid w:val="00CE29D5"/>
    <w:rsid w:val="00CE307C"/>
    <w:rsid w:val="00CE30AC"/>
    <w:rsid w:val="00CE3885"/>
    <w:rsid w:val="00CE5F67"/>
    <w:rsid w:val="00CE6724"/>
    <w:rsid w:val="00CE6DAF"/>
    <w:rsid w:val="00CE6EE9"/>
    <w:rsid w:val="00CE77EF"/>
    <w:rsid w:val="00CE7B2D"/>
    <w:rsid w:val="00CE7C62"/>
    <w:rsid w:val="00CF066B"/>
    <w:rsid w:val="00CF0E9B"/>
    <w:rsid w:val="00CF1A73"/>
    <w:rsid w:val="00CF1DDD"/>
    <w:rsid w:val="00CF265C"/>
    <w:rsid w:val="00CF2B4B"/>
    <w:rsid w:val="00CF3A17"/>
    <w:rsid w:val="00CF3EA3"/>
    <w:rsid w:val="00CF410A"/>
    <w:rsid w:val="00CF419E"/>
    <w:rsid w:val="00CF4205"/>
    <w:rsid w:val="00D00D8B"/>
    <w:rsid w:val="00D0130C"/>
    <w:rsid w:val="00D01F03"/>
    <w:rsid w:val="00D02AFA"/>
    <w:rsid w:val="00D0321E"/>
    <w:rsid w:val="00D0425D"/>
    <w:rsid w:val="00D046BB"/>
    <w:rsid w:val="00D04947"/>
    <w:rsid w:val="00D069EB"/>
    <w:rsid w:val="00D06EA0"/>
    <w:rsid w:val="00D06EE7"/>
    <w:rsid w:val="00D0764E"/>
    <w:rsid w:val="00D076FC"/>
    <w:rsid w:val="00D07A8A"/>
    <w:rsid w:val="00D07DC0"/>
    <w:rsid w:val="00D101DC"/>
    <w:rsid w:val="00D11162"/>
    <w:rsid w:val="00D11199"/>
    <w:rsid w:val="00D114BB"/>
    <w:rsid w:val="00D117D2"/>
    <w:rsid w:val="00D13AE8"/>
    <w:rsid w:val="00D1455A"/>
    <w:rsid w:val="00D14A70"/>
    <w:rsid w:val="00D14D49"/>
    <w:rsid w:val="00D14E89"/>
    <w:rsid w:val="00D14F15"/>
    <w:rsid w:val="00D15899"/>
    <w:rsid w:val="00D15CB1"/>
    <w:rsid w:val="00D16B87"/>
    <w:rsid w:val="00D1793A"/>
    <w:rsid w:val="00D17F95"/>
    <w:rsid w:val="00D20368"/>
    <w:rsid w:val="00D20D5B"/>
    <w:rsid w:val="00D22093"/>
    <w:rsid w:val="00D224B3"/>
    <w:rsid w:val="00D234F8"/>
    <w:rsid w:val="00D24C42"/>
    <w:rsid w:val="00D25434"/>
    <w:rsid w:val="00D25E88"/>
    <w:rsid w:val="00D261FD"/>
    <w:rsid w:val="00D27FC8"/>
    <w:rsid w:val="00D30DA7"/>
    <w:rsid w:val="00D30E7B"/>
    <w:rsid w:val="00D31150"/>
    <w:rsid w:val="00D3138B"/>
    <w:rsid w:val="00D31FCE"/>
    <w:rsid w:val="00D32035"/>
    <w:rsid w:val="00D32455"/>
    <w:rsid w:val="00D3280C"/>
    <w:rsid w:val="00D3297F"/>
    <w:rsid w:val="00D34011"/>
    <w:rsid w:val="00D3406A"/>
    <w:rsid w:val="00D34A17"/>
    <w:rsid w:val="00D34AF8"/>
    <w:rsid w:val="00D40B11"/>
    <w:rsid w:val="00D4140E"/>
    <w:rsid w:val="00D414E4"/>
    <w:rsid w:val="00D4160F"/>
    <w:rsid w:val="00D429EC"/>
    <w:rsid w:val="00D43065"/>
    <w:rsid w:val="00D43328"/>
    <w:rsid w:val="00D43F05"/>
    <w:rsid w:val="00D441F1"/>
    <w:rsid w:val="00D448A8"/>
    <w:rsid w:val="00D44CF2"/>
    <w:rsid w:val="00D453F8"/>
    <w:rsid w:val="00D4572C"/>
    <w:rsid w:val="00D4625E"/>
    <w:rsid w:val="00D46508"/>
    <w:rsid w:val="00D465DC"/>
    <w:rsid w:val="00D467C6"/>
    <w:rsid w:val="00D469B2"/>
    <w:rsid w:val="00D46A2C"/>
    <w:rsid w:val="00D50A97"/>
    <w:rsid w:val="00D50C3F"/>
    <w:rsid w:val="00D5100A"/>
    <w:rsid w:val="00D51D87"/>
    <w:rsid w:val="00D5250D"/>
    <w:rsid w:val="00D53A49"/>
    <w:rsid w:val="00D54B09"/>
    <w:rsid w:val="00D54C11"/>
    <w:rsid w:val="00D550DC"/>
    <w:rsid w:val="00D554C6"/>
    <w:rsid w:val="00D55C0A"/>
    <w:rsid w:val="00D56CA2"/>
    <w:rsid w:val="00D611D2"/>
    <w:rsid w:val="00D61848"/>
    <w:rsid w:val="00D61F58"/>
    <w:rsid w:val="00D6243E"/>
    <w:rsid w:val="00D63E72"/>
    <w:rsid w:val="00D64EA1"/>
    <w:rsid w:val="00D65658"/>
    <w:rsid w:val="00D65926"/>
    <w:rsid w:val="00D67891"/>
    <w:rsid w:val="00D67EB2"/>
    <w:rsid w:val="00D67EFE"/>
    <w:rsid w:val="00D70C22"/>
    <w:rsid w:val="00D72772"/>
    <w:rsid w:val="00D729A3"/>
    <w:rsid w:val="00D72B6F"/>
    <w:rsid w:val="00D741EB"/>
    <w:rsid w:val="00D74EC0"/>
    <w:rsid w:val="00D7679C"/>
    <w:rsid w:val="00D76C3B"/>
    <w:rsid w:val="00D76FAB"/>
    <w:rsid w:val="00D77AC4"/>
    <w:rsid w:val="00D77D8B"/>
    <w:rsid w:val="00D77FD8"/>
    <w:rsid w:val="00D803C4"/>
    <w:rsid w:val="00D8047F"/>
    <w:rsid w:val="00D81A06"/>
    <w:rsid w:val="00D81EB5"/>
    <w:rsid w:val="00D820F3"/>
    <w:rsid w:val="00D82C59"/>
    <w:rsid w:val="00D82ECE"/>
    <w:rsid w:val="00D831E6"/>
    <w:rsid w:val="00D83605"/>
    <w:rsid w:val="00D84934"/>
    <w:rsid w:val="00D84CB5"/>
    <w:rsid w:val="00D866EB"/>
    <w:rsid w:val="00D87043"/>
    <w:rsid w:val="00D87D1A"/>
    <w:rsid w:val="00D9090A"/>
    <w:rsid w:val="00D91117"/>
    <w:rsid w:val="00D911F5"/>
    <w:rsid w:val="00D91271"/>
    <w:rsid w:val="00D9146F"/>
    <w:rsid w:val="00D91817"/>
    <w:rsid w:val="00D919F5"/>
    <w:rsid w:val="00D9261C"/>
    <w:rsid w:val="00D9346E"/>
    <w:rsid w:val="00D93FE0"/>
    <w:rsid w:val="00D944EA"/>
    <w:rsid w:val="00D945F6"/>
    <w:rsid w:val="00D9489F"/>
    <w:rsid w:val="00D94F03"/>
    <w:rsid w:val="00D94F6F"/>
    <w:rsid w:val="00D95161"/>
    <w:rsid w:val="00D958AE"/>
    <w:rsid w:val="00D96681"/>
    <w:rsid w:val="00D96D24"/>
    <w:rsid w:val="00D977AD"/>
    <w:rsid w:val="00D97CC5"/>
    <w:rsid w:val="00DA0393"/>
    <w:rsid w:val="00DA072C"/>
    <w:rsid w:val="00DA0A82"/>
    <w:rsid w:val="00DA0D14"/>
    <w:rsid w:val="00DA1190"/>
    <w:rsid w:val="00DA1FC9"/>
    <w:rsid w:val="00DA2106"/>
    <w:rsid w:val="00DA24CA"/>
    <w:rsid w:val="00DA2CB5"/>
    <w:rsid w:val="00DA3717"/>
    <w:rsid w:val="00DA4BAC"/>
    <w:rsid w:val="00DA5A26"/>
    <w:rsid w:val="00DA5C9C"/>
    <w:rsid w:val="00DA6884"/>
    <w:rsid w:val="00DA6AAB"/>
    <w:rsid w:val="00DB0151"/>
    <w:rsid w:val="00DB0631"/>
    <w:rsid w:val="00DB112D"/>
    <w:rsid w:val="00DB13D5"/>
    <w:rsid w:val="00DB1B5E"/>
    <w:rsid w:val="00DB1F84"/>
    <w:rsid w:val="00DB31A9"/>
    <w:rsid w:val="00DB40EB"/>
    <w:rsid w:val="00DB4996"/>
    <w:rsid w:val="00DB50E1"/>
    <w:rsid w:val="00DB51E3"/>
    <w:rsid w:val="00DB7748"/>
    <w:rsid w:val="00DC0566"/>
    <w:rsid w:val="00DC0F27"/>
    <w:rsid w:val="00DC0FB1"/>
    <w:rsid w:val="00DC1499"/>
    <w:rsid w:val="00DC23D5"/>
    <w:rsid w:val="00DC2409"/>
    <w:rsid w:val="00DC2C3E"/>
    <w:rsid w:val="00DC3137"/>
    <w:rsid w:val="00DC39D9"/>
    <w:rsid w:val="00DC3CFB"/>
    <w:rsid w:val="00DC40EE"/>
    <w:rsid w:val="00DC4707"/>
    <w:rsid w:val="00DC4880"/>
    <w:rsid w:val="00DC4A3F"/>
    <w:rsid w:val="00DC4E7F"/>
    <w:rsid w:val="00DC4ECF"/>
    <w:rsid w:val="00DC5147"/>
    <w:rsid w:val="00DC534B"/>
    <w:rsid w:val="00DC549F"/>
    <w:rsid w:val="00DC5B40"/>
    <w:rsid w:val="00DC77BC"/>
    <w:rsid w:val="00DC7F6B"/>
    <w:rsid w:val="00DD00B9"/>
    <w:rsid w:val="00DD0851"/>
    <w:rsid w:val="00DD1A48"/>
    <w:rsid w:val="00DD2081"/>
    <w:rsid w:val="00DD2105"/>
    <w:rsid w:val="00DD22A5"/>
    <w:rsid w:val="00DD2487"/>
    <w:rsid w:val="00DD2907"/>
    <w:rsid w:val="00DD2973"/>
    <w:rsid w:val="00DD2C67"/>
    <w:rsid w:val="00DD354A"/>
    <w:rsid w:val="00DD3BA0"/>
    <w:rsid w:val="00DD3EC0"/>
    <w:rsid w:val="00DD42AB"/>
    <w:rsid w:val="00DE06AF"/>
    <w:rsid w:val="00DE183B"/>
    <w:rsid w:val="00DE38EE"/>
    <w:rsid w:val="00DE3EE5"/>
    <w:rsid w:val="00DE423F"/>
    <w:rsid w:val="00DE495C"/>
    <w:rsid w:val="00DE49ED"/>
    <w:rsid w:val="00DE4F90"/>
    <w:rsid w:val="00DE4FA5"/>
    <w:rsid w:val="00DE5C43"/>
    <w:rsid w:val="00DE625B"/>
    <w:rsid w:val="00DE6CF2"/>
    <w:rsid w:val="00DE6D27"/>
    <w:rsid w:val="00DE7774"/>
    <w:rsid w:val="00DE7EE1"/>
    <w:rsid w:val="00DE7F82"/>
    <w:rsid w:val="00DF01F8"/>
    <w:rsid w:val="00DF021D"/>
    <w:rsid w:val="00DF07E4"/>
    <w:rsid w:val="00DF217D"/>
    <w:rsid w:val="00DF26A7"/>
    <w:rsid w:val="00DF2771"/>
    <w:rsid w:val="00DF2A16"/>
    <w:rsid w:val="00DF3277"/>
    <w:rsid w:val="00DF420B"/>
    <w:rsid w:val="00DF4567"/>
    <w:rsid w:val="00DF4821"/>
    <w:rsid w:val="00DF48C3"/>
    <w:rsid w:val="00DF77A1"/>
    <w:rsid w:val="00DF77EE"/>
    <w:rsid w:val="00DF7919"/>
    <w:rsid w:val="00DF7AEA"/>
    <w:rsid w:val="00E0207E"/>
    <w:rsid w:val="00E02785"/>
    <w:rsid w:val="00E0296E"/>
    <w:rsid w:val="00E02AE6"/>
    <w:rsid w:val="00E02B83"/>
    <w:rsid w:val="00E02CEF"/>
    <w:rsid w:val="00E0336B"/>
    <w:rsid w:val="00E0382D"/>
    <w:rsid w:val="00E0389E"/>
    <w:rsid w:val="00E03912"/>
    <w:rsid w:val="00E04748"/>
    <w:rsid w:val="00E04FB7"/>
    <w:rsid w:val="00E056F9"/>
    <w:rsid w:val="00E0579F"/>
    <w:rsid w:val="00E05B1E"/>
    <w:rsid w:val="00E06608"/>
    <w:rsid w:val="00E068F8"/>
    <w:rsid w:val="00E06EE8"/>
    <w:rsid w:val="00E078D9"/>
    <w:rsid w:val="00E07F47"/>
    <w:rsid w:val="00E10293"/>
    <w:rsid w:val="00E103A0"/>
    <w:rsid w:val="00E10985"/>
    <w:rsid w:val="00E12A76"/>
    <w:rsid w:val="00E12B11"/>
    <w:rsid w:val="00E12BD7"/>
    <w:rsid w:val="00E130B3"/>
    <w:rsid w:val="00E13E60"/>
    <w:rsid w:val="00E141B5"/>
    <w:rsid w:val="00E149C0"/>
    <w:rsid w:val="00E15627"/>
    <w:rsid w:val="00E15D22"/>
    <w:rsid w:val="00E164B3"/>
    <w:rsid w:val="00E16910"/>
    <w:rsid w:val="00E16C00"/>
    <w:rsid w:val="00E172E9"/>
    <w:rsid w:val="00E173BB"/>
    <w:rsid w:val="00E17CF4"/>
    <w:rsid w:val="00E20951"/>
    <w:rsid w:val="00E20B77"/>
    <w:rsid w:val="00E2244A"/>
    <w:rsid w:val="00E229E8"/>
    <w:rsid w:val="00E22C93"/>
    <w:rsid w:val="00E23976"/>
    <w:rsid w:val="00E239E2"/>
    <w:rsid w:val="00E23BFE"/>
    <w:rsid w:val="00E24E09"/>
    <w:rsid w:val="00E27234"/>
    <w:rsid w:val="00E27352"/>
    <w:rsid w:val="00E2774A"/>
    <w:rsid w:val="00E27928"/>
    <w:rsid w:val="00E3047F"/>
    <w:rsid w:val="00E313AF"/>
    <w:rsid w:val="00E32690"/>
    <w:rsid w:val="00E32A17"/>
    <w:rsid w:val="00E331A9"/>
    <w:rsid w:val="00E33735"/>
    <w:rsid w:val="00E33845"/>
    <w:rsid w:val="00E33BC4"/>
    <w:rsid w:val="00E344E0"/>
    <w:rsid w:val="00E346DA"/>
    <w:rsid w:val="00E3495C"/>
    <w:rsid w:val="00E34ADF"/>
    <w:rsid w:val="00E34D39"/>
    <w:rsid w:val="00E35619"/>
    <w:rsid w:val="00E365BA"/>
    <w:rsid w:val="00E3688A"/>
    <w:rsid w:val="00E3688D"/>
    <w:rsid w:val="00E371BA"/>
    <w:rsid w:val="00E371DE"/>
    <w:rsid w:val="00E40080"/>
    <w:rsid w:val="00E40CE9"/>
    <w:rsid w:val="00E41B53"/>
    <w:rsid w:val="00E42137"/>
    <w:rsid w:val="00E426FD"/>
    <w:rsid w:val="00E42B03"/>
    <w:rsid w:val="00E42BDB"/>
    <w:rsid w:val="00E43AED"/>
    <w:rsid w:val="00E457EC"/>
    <w:rsid w:val="00E45833"/>
    <w:rsid w:val="00E46636"/>
    <w:rsid w:val="00E467BA"/>
    <w:rsid w:val="00E47772"/>
    <w:rsid w:val="00E47CF7"/>
    <w:rsid w:val="00E51520"/>
    <w:rsid w:val="00E525F3"/>
    <w:rsid w:val="00E529F6"/>
    <w:rsid w:val="00E52CBF"/>
    <w:rsid w:val="00E54349"/>
    <w:rsid w:val="00E57113"/>
    <w:rsid w:val="00E5726D"/>
    <w:rsid w:val="00E57E58"/>
    <w:rsid w:val="00E57EEB"/>
    <w:rsid w:val="00E60C45"/>
    <w:rsid w:val="00E61645"/>
    <w:rsid w:val="00E62D94"/>
    <w:rsid w:val="00E63F81"/>
    <w:rsid w:val="00E64F37"/>
    <w:rsid w:val="00E65091"/>
    <w:rsid w:val="00E65E54"/>
    <w:rsid w:val="00E65F97"/>
    <w:rsid w:val="00E661C7"/>
    <w:rsid w:val="00E674D9"/>
    <w:rsid w:val="00E67BFC"/>
    <w:rsid w:val="00E67CEB"/>
    <w:rsid w:val="00E7042A"/>
    <w:rsid w:val="00E70BA8"/>
    <w:rsid w:val="00E711C5"/>
    <w:rsid w:val="00E72B84"/>
    <w:rsid w:val="00E73EE3"/>
    <w:rsid w:val="00E74498"/>
    <w:rsid w:val="00E7455B"/>
    <w:rsid w:val="00E74E41"/>
    <w:rsid w:val="00E772A3"/>
    <w:rsid w:val="00E80155"/>
    <w:rsid w:val="00E801C9"/>
    <w:rsid w:val="00E809B6"/>
    <w:rsid w:val="00E8134B"/>
    <w:rsid w:val="00E815F5"/>
    <w:rsid w:val="00E81A36"/>
    <w:rsid w:val="00E81E0D"/>
    <w:rsid w:val="00E81F28"/>
    <w:rsid w:val="00E82583"/>
    <w:rsid w:val="00E826F4"/>
    <w:rsid w:val="00E82EEF"/>
    <w:rsid w:val="00E83F92"/>
    <w:rsid w:val="00E848C0"/>
    <w:rsid w:val="00E8540C"/>
    <w:rsid w:val="00E85BDD"/>
    <w:rsid w:val="00E907CD"/>
    <w:rsid w:val="00E91B96"/>
    <w:rsid w:val="00E92666"/>
    <w:rsid w:val="00E92667"/>
    <w:rsid w:val="00E93033"/>
    <w:rsid w:val="00E935DA"/>
    <w:rsid w:val="00E93D1E"/>
    <w:rsid w:val="00E941A1"/>
    <w:rsid w:val="00E95114"/>
    <w:rsid w:val="00E95CE3"/>
    <w:rsid w:val="00E9694D"/>
    <w:rsid w:val="00EA00F9"/>
    <w:rsid w:val="00EA0856"/>
    <w:rsid w:val="00EA1A03"/>
    <w:rsid w:val="00EA1E7C"/>
    <w:rsid w:val="00EA252F"/>
    <w:rsid w:val="00EA2825"/>
    <w:rsid w:val="00EA3975"/>
    <w:rsid w:val="00EA43EF"/>
    <w:rsid w:val="00EA45DC"/>
    <w:rsid w:val="00EA56F0"/>
    <w:rsid w:val="00EA6518"/>
    <w:rsid w:val="00EA70FF"/>
    <w:rsid w:val="00EA71A2"/>
    <w:rsid w:val="00EA7466"/>
    <w:rsid w:val="00EA76DC"/>
    <w:rsid w:val="00EA77F2"/>
    <w:rsid w:val="00EA7E08"/>
    <w:rsid w:val="00EA7EDE"/>
    <w:rsid w:val="00EB0241"/>
    <w:rsid w:val="00EB0B63"/>
    <w:rsid w:val="00EB1936"/>
    <w:rsid w:val="00EB23AA"/>
    <w:rsid w:val="00EB23E1"/>
    <w:rsid w:val="00EB2A7C"/>
    <w:rsid w:val="00EB3545"/>
    <w:rsid w:val="00EB37BE"/>
    <w:rsid w:val="00EB3DA8"/>
    <w:rsid w:val="00EB4BEE"/>
    <w:rsid w:val="00EB5088"/>
    <w:rsid w:val="00EB5A2D"/>
    <w:rsid w:val="00EB663D"/>
    <w:rsid w:val="00EB69EC"/>
    <w:rsid w:val="00EB795B"/>
    <w:rsid w:val="00EC04AB"/>
    <w:rsid w:val="00EC146F"/>
    <w:rsid w:val="00EC174E"/>
    <w:rsid w:val="00EC2726"/>
    <w:rsid w:val="00EC2916"/>
    <w:rsid w:val="00EC3997"/>
    <w:rsid w:val="00EC5B8C"/>
    <w:rsid w:val="00EC5ECF"/>
    <w:rsid w:val="00EC612E"/>
    <w:rsid w:val="00EC716B"/>
    <w:rsid w:val="00EC7ACA"/>
    <w:rsid w:val="00EC7B2B"/>
    <w:rsid w:val="00EC7D56"/>
    <w:rsid w:val="00ED0461"/>
    <w:rsid w:val="00ED0950"/>
    <w:rsid w:val="00ED1644"/>
    <w:rsid w:val="00ED206D"/>
    <w:rsid w:val="00ED2593"/>
    <w:rsid w:val="00ED429E"/>
    <w:rsid w:val="00ED4338"/>
    <w:rsid w:val="00ED5438"/>
    <w:rsid w:val="00ED548E"/>
    <w:rsid w:val="00ED5694"/>
    <w:rsid w:val="00ED59FA"/>
    <w:rsid w:val="00ED6637"/>
    <w:rsid w:val="00ED7448"/>
    <w:rsid w:val="00ED7D55"/>
    <w:rsid w:val="00ED7D9C"/>
    <w:rsid w:val="00EE0DA7"/>
    <w:rsid w:val="00EE1351"/>
    <w:rsid w:val="00EE23B7"/>
    <w:rsid w:val="00EE2889"/>
    <w:rsid w:val="00EE2DBF"/>
    <w:rsid w:val="00EE2F90"/>
    <w:rsid w:val="00EE31A2"/>
    <w:rsid w:val="00EE3363"/>
    <w:rsid w:val="00EE3624"/>
    <w:rsid w:val="00EE391A"/>
    <w:rsid w:val="00EE3E7A"/>
    <w:rsid w:val="00EE4990"/>
    <w:rsid w:val="00EE4EC4"/>
    <w:rsid w:val="00EE60F9"/>
    <w:rsid w:val="00EE627E"/>
    <w:rsid w:val="00EE6794"/>
    <w:rsid w:val="00EE6A19"/>
    <w:rsid w:val="00EE71F3"/>
    <w:rsid w:val="00EE74DD"/>
    <w:rsid w:val="00EE7601"/>
    <w:rsid w:val="00EE7AB0"/>
    <w:rsid w:val="00EE7B23"/>
    <w:rsid w:val="00EF0069"/>
    <w:rsid w:val="00EF0DB9"/>
    <w:rsid w:val="00EF0DC9"/>
    <w:rsid w:val="00EF13E0"/>
    <w:rsid w:val="00EF1E3A"/>
    <w:rsid w:val="00EF204D"/>
    <w:rsid w:val="00EF44A0"/>
    <w:rsid w:val="00EF4580"/>
    <w:rsid w:val="00EF4CC7"/>
    <w:rsid w:val="00EF4FED"/>
    <w:rsid w:val="00EF5610"/>
    <w:rsid w:val="00EF5F45"/>
    <w:rsid w:val="00EF63AD"/>
    <w:rsid w:val="00EF6843"/>
    <w:rsid w:val="00EF6FB3"/>
    <w:rsid w:val="00EF77BD"/>
    <w:rsid w:val="00F007C6"/>
    <w:rsid w:val="00F00EEA"/>
    <w:rsid w:val="00F0172E"/>
    <w:rsid w:val="00F02242"/>
    <w:rsid w:val="00F02908"/>
    <w:rsid w:val="00F034B7"/>
    <w:rsid w:val="00F03627"/>
    <w:rsid w:val="00F03DE7"/>
    <w:rsid w:val="00F03F05"/>
    <w:rsid w:val="00F050BD"/>
    <w:rsid w:val="00F05363"/>
    <w:rsid w:val="00F0553E"/>
    <w:rsid w:val="00F05657"/>
    <w:rsid w:val="00F05AB0"/>
    <w:rsid w:val="00F0674C"/>
    <w:rsid w:val="00F06895"/>
    <w:rsid w:val="00F06FBD"/>
    <w:rsid w:val="00F07FA0"/>
    <w:rsid w:val="00F10EED"/>
    <w:rsid w:val="00F1105A"/>
    <w:rsid w:val="00F11FCD"/>
    <w:rsid w:val="00F1559A"/>
    <w:rsid w:val="00F15A9A"/>
    <w:rsid w:val="00F169B2"/>
    <w:rsid w:val="00F17ED6"/>
    <w:rsid w:val="00F20676"/>
    <w:rsid w:val="00F209E2"/>
    <w:rsid w:val="00F20EC5"/>
    <w:rsid w:val="00F212CB"/>
    <w:rsid w:val="00F21580"/>
    <w:rsid w:val="00F21907"/>
    <w:rsid w:val="00F21A50"/>
    <w:rsid w:val="00F23090"/>
    <w:rsid w:val="00F23D9E"/>
    <w:rsid w:val="00F241BA"/>
    <w:rsid w:val="00F24522"/>
    <w:rsid w:val="00F2545C"/>
    <w:rsid w:val="00F25578"/>
    <w:rsid w:val="00F258E5"/>
    <w:rsid w:val="00F25B9C"/>
    <w:rsid w:val="00F26247"/>
    <w:rsid w:val="00F2675A"/>
    <w:rsid w:val="00F26CC6"/>
    <w:rsid w:val="00F2759E"/>
    <w:rsid w:val="00F27758"/>
    <w:rsid w:val="00F300B3"/>
    <w:rsid w:val="00F300BC"/>
    <w:rsid w:val="00F300F4"/>
    <w:rsid w:val="00F30248"/>
    <w:rsid w:val="00F318C0"/>
    <w:rsid w:val="00F3217F"/>
    <w:rsid w:val="00F3263C"/>
    <w:rsid w:val="00F3334E"/>
    <w:rsid w:val="00F3372F"/>
    <w:rsid w:val="00F34455"/>
    <w:rsid w:val="00F35068"/>
    <w:rsid w:val="00F3512F"/>
    <w:rsid w:val="00F35563"/>
    <w:rsid w:val="00F3589E"/>
    <w:rsid w:val="00F35A40"/>
    <w:rsid w:val="00F36648"/>
    <w:rsid w:val="00F366BB"/>
    <w:rsid w:val="00F36735"/>
    <w:rsid w:val="00F36AF7"/>
    <w:rsid w:val="00F36CCB"/>
    <w:rsid w:val="00F374E5"/>
    <w:rsid w:val="00F3773E"/>
    <w:rsid w:val="00F37B93"/>
    <w:rsid w:val="00F37BAD"/>
    <w:rsid w:val="00F37D9C"/>
    <w:rsid w:val="00F37ECA"/>
    <w:rsid w:val="00F40A1C"/>
    <w:rsid w:val="00F40CF2"/>
    <w:rsid w:val="00F42A57"/>
    <w:rsid w:val="00F43AF2"/>
    <w:rsid w:val="00F43EF3"/>
    <w:rsid w:val="00F44266"/>
    <w:rsid w:val="00F44352"/>
    <w:rsid w:val="00F44EE2"/>
    <w:rsid w:val="00F45216"/>
    <w:rsid w:val="00F45587"/>
    <w:rsid w:val="00F45E6D"/>
    <w:rsid w:val="00F468CB"/>
    <w:rsid w:val="00F46FDA"/>
    <w:rsid w:val="00F5007E"/>
    <w:rsid w:val="00F50DD8"/>
    <w:rsid w:val="00F50EC4"/>
    <w:rsid w:val="00F51015"/>
    <w:rsid w:val="00F514B0"/>
    <w:rsid w:val="00F51AFC"/>
    <w:rsid w:val="00F51BB2"/>
    <w:rsid w:val="00F52232"/>
    <w:rsid w:val="00F523C7"/>
    <w:rsid w:val="00F52880"/>
    <w:rsid w:val="00F52DC2"/>
    <w:rsid w:val="00F52DEA"/>
    <w:rsid w:val="00F535E0"/>
    <w:rsid w:val="00F53F4E"/>
    <w:rsid w:val="00F53F65"/>
    <w:rsid w:val="00F550CF"/>
    <w:rsid w:val="00F553D2"/>
    <w:rsid w:val="00F55783"/>
    <w:rsid w:val="00F55AC1"/>
    <w:rsid w:val="00F55D91"/>
    <w:rsid w:val="00F56721"/>
    <w:rsid w:val="00F57122"/>
    <w:rsid w:val="00F57214"/>
    <w:rsid w:val="00F57A6D"/>
    <w:rsid w:val="00F62681"/>
    <w:rsid w:val="00F62F19"/>
    <w:rsid w:val="00F6366B"/>
    <w:rsid w:val="00F638CC"/>
    <w:rsid w:val="00F63EB0"/>
    <w:rsid w:val="00F63EDE"/>
    <w:rsid w:val="00F64BA4"/>
    <w:rsid w:val="00F64C9E"/>
    <w:rsid w:val="00F64CC1"/>
    <w:rsid w:val="00F65023"/>
    <w:rsid w:val="00F6742D"/>
    <w:rsid w:val="00F7182C"/>
    <w:rsid w:val="00F71BDE"/>
    <w:rsid w:val="00F7218F"/>
    <w:rsid w:val="00F72317"/>
    <w:rsid w:val="00F72BCC"/>
    <w:rsid w:val="00F73DC1"/>
    <w:rsid w:val="00F7499A"/>
    <w:rsid w:val="00F75BB8"/>
    <w:rsid w:val="00F75EB4"/>
    <w:rsid w:val="00F771DF"/>
    <w:rsid w:val="00F80475"/>
    <w:rsid w:val="00F80BE6"/>
    <w:rsid w:val="00F81390"/>
    <w:rsid w:val="00F81F7A"/>
    <w:rsid w:val="00F8247A"/>
    <w:rsid w:val="00F82E5C"/>
    <w:rsid w:val="00F83F58"/>
    <w:rsid w:val="00F848B9"/>
    <w:rsid w:val="00F854F7"/>
    <w:rsid w:val="00F8782C"/>
    <w:rsid w:val="00F87CEA"/>
    <w:rsid w:val="00F9163A"/>
    <w:rsid w:val="00F92F97"/>
    <w:rsid w:val="00F933CA"/>
    <w:rsid w:val="00F93AFC"/>
    <w:rsid w:val="00F93CA5"/>
    <w:rsid w:val="00F93E67"/>
    <w:rsid w:val="00F94008"/>
    <w:rsid w:val="00F944F2"/>
    <w:rsid w:val="00F94FCA"/>
    <w:rsid w:val="00F9626A"/>
    <w:rsid w:val="00F9629A"/>
    <w:rsid w:val="00F97EFC"/>
    <w:rsid w:val="00FA03B9"/>
    <w:rsid w:val="00FA0529"/>
    <w:rsid w:val="00FA0C7C"/>
    <w:rsid w:val="00FA1BDD"/>
    <w:rsid w:val="00FA28EB"/>
    <w:rsid w:val="00FA2A57"/>
    <w:rsid w:val="00FA305C"/>
    <w:rsid w:val="00FA3568"/>
    <w:rsid w:val="00FA3BF8"/>
    <w:rsid w:val="00FA3C24"/>
    <w:rsid w:val="00FA462E"/>
    <w:rsid w:val="00FA4DD5"/>
    <w:rsid w:val="00FA5535"/>
    <w:rsid w:val="00FA581D"/>
    <w:rsid w:val="00FA5883"/>
    <w:rsid w:val="00FA5EF8"/>
    <w:rsid w:val="00FA6055"/>
    <w:rsid w:val="00FA7578"/>
    <w:rsid w:val="00FA784B"/>
    <w:rsid w:val="00FA7D28"/>
    <w:rsid w:val="00FB0B39"/>
    <w:rsid w:val="00FB10F7"/>
    <w:rsid w:val="00FB1512"/>
    <w:rsid w:val="00FB15E8"/>
    <w:rsid w:val="00FB18FF"/>
    <w:rsid w:val="00FB2345"/>
    <w:rsid w:val="00FB2914"/>
    <w:rsid w:val="00FB322F"/>
    <w:rsid w:val="00FB3232"/>
    <w:rsid w:val="00FB337A"/>
    <w:rsid w:val="00FB3A39"/>
    <w:rsid w:val="00FB3A6C"/>
    <w:rsid w:val="00FB3D33"/>
    <w:rsid w:val="00FB442F"/>
    <w:rsid w:val="00FB473F"/>
    <w:rsid w:val="00FB50FE"/>
    <w:rsid w:val="00FB521B"/>
    <w:rsid w:val="00FB578F"/>
    <w:rsid w:val="00FB673A"/>
    <w:rsid w:val="00FB6A58"/>
    <w:rsid w:val="00FB7B6B"/>
    <w:rsid w:val="00FC056A"/>
    <w:rsid w:val="00FC0DAD"/>
    <w:rsid w:val="00FC112B"/>
    <w:rsid w:val="00FC118C"/>
    <w:rsid w:val="00FC1929"/>
    <w:rsid w:val="00FC1A90"/>
    <w:rsid w:val="00FC1AC6"/>
    <w:rsid w:val="00FC20BB"/>
    <w:rsid w:val="00FC221B"/>
    <w:rsid w:val="00FC2E36"/>
    <w:rsid w:val="00FC2F24"/>
    <w:rsid w:val="00FC3DA8"/>
    <w:rsid w:val="00FC3DC8"/>
    <w:rsid w:val="00FC42E3"/>
    <w:rsid w:val="00FC5213"/>
    <w:rsid w:val="00FC5B46"/>
    <w:rsid w:val="00FC6705"/>
    <w:rsid w:val="00FC6814"/>
    <w:rsid w:val="00FC710F"/>
    <w:rsid w:val="00FC74D9"/>
    <w:rsid w:val="00FC7A9D"/>
    <w:rsid w:val="00FD0059"/>
    <w:rsid w:val="00FD0DDE"/>
    <w:rsid w:val="00FD1930"/>
    <w:rsid w:val="00FD1D4F"/>
    <w:rsid w:val="00FD24BF"/>
    <w:rsid w:val="00FD27CB"/>
    <w:rsid w:val="00FD35CC"/>
    <w:rsid w:val="00FD3B6E"/>
    <w:rsid w:val="00FD47B3"/>
    <w:rsid w:val="00FD4D2C"/>
    <w:rsid w:val="00FD57EB"/>
    <w:rsid w:val="00FD598B"/>
    <w:rsid w:val="00FD678A"/>
    <w:rsid w:val="00FD6B6A"/>
    <w:rsid w:val="00FD6D8E"/>
    <w:rsid w:val="00FD7A8D"/>
    <w:rsid w:val="00FE025B"/>
    <w:rsid w:val="00FE031B"/>
    <w:rsid w:val="00FE0663"/>
    <w:rsid w:val="00FE0E94"/>
    <w:rsid w:val="00FE1668"/>
    <w:rsid w:val="00FE20B5"/>
    <w:rsid w:val="00FE369C"/>
    <w:rsid w:val="00FE3C05"/>
    <w:rsid w:val="00FE3CD9"/>
    <w:rsid w:val="00FE3D7A"/>
    <w:rsid w:val="00FE4176"/>
    <w:rsid w:val="00FE4555"/>
    <w:rsid w:val="00FE4FCE"/>
    <w:rsid w:val="00FE5060"/>
    <w:rsid w:val="00FE70E0"/>
    <w:rsid w:val="00FF00BD"/>
    <w:rsid w:val="00FF0B13"/>
    <w:rsid w:val="00FF1ED4"/>
    <w:rsid w:val="00FF2801"/>
    <w:rsid w:val="00FF2B47"/>
    <w:rsid w:val="00FF41AE"/>
    <w:rsid w:val="00FF4A6B"/>
    <w:rsid w:val="00FF50FE"/>
    <w:rsid w:val="00FF5281"/>
    <w:rsid w:val="00FF54BA"/>
    <w:rsid w:val="00FF5CC1"/>
    <w:rsid w:val="00FF79EF"/>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15:docId w15:val="{CAB4EBEB-2F2E-443C-9080-D809EBD3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PBAC ES Paragraph,Styl moj,Akapit z listą11,ES Paragraph,PBAC normal points,Bullet List,Figure_name,l"/>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PBAC ES Paragraph Char,Styl moj Char,l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new style,ASD Table,HTAtableplain,CMA Table Template,MSD Table Grid,RTI AMCP Table,HealthConsult,PBAC table,Dossier table,Summary Table,PHE Table Grid,Lash Style Table,Section 3- footnotes,Header 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Table HEADER PBAC,-H18"/>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NoSpacing">
    <w:name w:val="No Spacing"/>
    <w:basedOn w:val="Normal"/>
    <w:link w:val="NoSpacingChar"/>
    <w:uiPriority w:val="1"/>
    <w:qFormat/>
    <w:rsid w:val="00774465"/>
    <w:rPr>
      <w:rFonts w:ascii="Arial" w:hAnsi="Arial"/>
      <w:sz w:val="22"/>
      <w:szCs w:val="22"/>
    </w:rPr>
  </w:style>
  <w:style w:type="character" w:customStyle="1" w:styleId="NoSpacingChar">
    <w:name w:val="No Spacing Char"/>
    <w:basedOn w:val="DefaultParagraphFont"/>
    <w:link w:val="NoSpacing"/>
    <w:uiPriority w:val="1"/>
    <w:rsid w:val="00774465"/>
    <w:rPr>
      <w:rFonts w:ascii="Arial" w:hAnsi="Arial"/>
      <w:sz w:val="22"/>
      <w:szCs w:val="22"/>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APTION"/>
    <w:basedOn w:val="Normal"/>
    <w:next w:val="Normal"/>
    <w:link w:val="CaptionChar"/>
    <w:unhideWhenUsed/>
    <w:qFormat/>
    <w:rsid w:val="001712C5"/>
    <w:pPr>
      <w:spacing w:after="200"/>
    </w:pPr>
    <w:rPr>
      <w:i/>
      <w:iCs/>
      <w:color w:val="1F497D" w:themeColor="text2"/>
      <w:sz w:val="18"/>
      <w:szCs w:val="18"/>
    </w:rPr>
  </w:style>
  <w:style w:type="character" w:customStyle="1" w:styleId="CaptionFootnoteChar">
    <w:name w:val="Caption Footnote Char"/>
    <w:basedOn w:val="DefaultParagraphFont"/>
    <w:link w:val="CaptionFootnote"/>
    <w:rsid w:val="00654A34"/>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654A34"/>
    <w:rPr>
      <w:rFonts w:asciiTheme="minorHAnsi" w:hAnsiTheme="minorHAnsi"/>
      <w:kern w:val="28"/>
      <w:sz w:val="16"/>
      <w:lang w:eastAsia="en-GB"/>
    </w:rPr>
  </w:style>
  <w:style w:type="character" w:styleId="FootnoteReference">
    <w:name w:val="footnote reference"/>
    <w:basedOn w:val="DefaultParagraphFont"/>
    <w:uiPriority w:val="99"/>
    <w:unhideWhenUsed/>
    <w:rsid w:val="00654A34"/>
    <w:rPr>
      <w:vertAlign w:val="superscript"/>
    </w:rPr>
  </w:style>
  <w:style w:type="paragraph" w:customStyle="1" w:styleId="TableFooter">
    <w:name w:val="Table Footer"/>
    <w:basedOn w:val="Normal"/>
    <w:link w:val="TableFooterChar"/>
    <w:qFormat/>
    <w:rsid w:val="009F1BE2"/>
    <w:pPr>
      <w:widowControl w:val="0"/>
      <w:contextualSpacing/>
    </w:pPr>
    <w:rPr>
      <w:rFonts w:ascii="Arial Narrow" w:hAnsi="Arial Narrow" w:cs="Arial"/>
      <w:snapToGrid w:val="0"/>
      <w:sz w:val="18"/>
      <w:szCs w:val="20"/>
      <w:lang w:eastAsia="en-US"/>
    </w:rPr>
  </w:style>
  <w:style w:type="character" w:customStyle="1" w:styleId="TableFooterChar">
    <w:name w:val="Table Footer Char"/>
    <w:link w:val="TableFooter"/>
    <w:rsid w:val="009F1BE2"/>
    <w:rPr>
      <w:rFonts w:ascii="Arial Narrow" w:hAnsi="Arial Narrow" w:cs="Arial"/>
      <w:snapToGrid w:val="0"/>
      <w:sz w:val="18"/>
      <w:lang w:eastAsia="en-US"/>
    </w:rPr>
  </w:style>
  <w:style w:type="table" w:customStyle="1" w:styleId="PBACTableStyle">
    <w:name w:val="PBAC Table Style"/>
    <w:basedOn w:val="TableGrid1"/>
    <w:uiPriority w:val="99"/>
    <w:rsid w:val="009F1BE2"/>
    <w:pPr>
      <w:widowControl w:val="0"/>
      <w:spacing w:before="120"/>
      <w:contextualSpacing/>
      <w:jc w:val="center"/>
    </w:pPr>
    <w:rPr>
      <w:rFonts w:ascii="Arial Narrow" w:eastAsiaTheme="minorHAnsi" w:hAnsi="Arial Narrow" w:cstheme="minorBidi"/>
      <w:color w:val="000000" w:themeColor="text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Yu Gothic Light" w:hAnsi="Yu Gothic Light"/>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Yu Gothic Light" w:hAnsi="Yu Gothic Light"/>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Yu Gothic Light" w:hAnsi="Yu Gothic Light"/>
        <w:i/>
        <w:iCs/>
        <w:sz w:val="20"/>
      </w:rPr>
      <w:tblPr/>
      <w:tcPr>
        <w:tcBorders>
          <w:tl2br w:val="none" w:sz="0" w:space="0" w:color="auto"/>
          <w:tr2bl w:val="none" w:sz="0" w:space="0" w:color="auto"/>
        </w:tcBorders>
      </w:tcPr>
    </w:tblStylePr>
  </w:style>
  <w:style w:type="table" w:styleId="TableGrid1">
    <w:name w:val="Table Grid 1"/>
    <w:basedOn w:val="TableNormal"/>
    <w:semiHidden/>
    <w:unhideWhenUsed/>
    <w:rsid w:val="009F1BE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EA43EF"/>
    <w:pPr>
      <w:keepNext w:val="0"/>
      <w:widowControl w:val="0"/>
      <w:tabs>
        <w:tab w:val="decimal" w:pos="396"/>
      </w:tabs>
      <w:jc w:val="center"/>
    </w:pPr>
    <w:rPr>
      <w:rFonts w:eastAsiaTheme="minorHAnsi" w:cstheme="minorBidi"/>
      <w:bCs w:val="0"/>
      <w:szCs w:val="22"/>
      <w:lang w:eastAsia="en-US"/>
    </w:rPr>
  </w:style>
  <w:style w:type="character" w:customStyle="1" w:styleId="TableNumberChar">
    <w:name w:val="Table Number Char"/>
    <w:basedOn w:val="TableTextChar"/>
    <w:link w:val="TableNumber"/>
    <w:rsid w:val="00EA43EF"/>
    <w:rPr>
      <w:rFonts w:ascii="Arial Narrow" w:eastAsiaTheme="minorHAnsi" w:hAnsi="Arial Narrow" w:cstheme="minorBidi"/>
      <w:bCs w:val="0"/>
      <w:szCs w:val="22"/>
      <w:lang w:eastAsia="en-US"/>
    </w:rPr>
  </w:style>
  <w:style w:type="paragraph" w:customStyle="1" w:styleId="OutlineHeading2">
    <w:name w:val="Outline Heading 2"/>
    <w:basedOn w:val="Heading2"/>
    <w:link w:val="OutlineHeading2Char"/>
    <w:uiPriority w:val="3"/>
    <w:qFormat/>
    <w:rsid w:val="00977E3F"/>
    <w:pPr>
      <w:spacing w:before="360" w:after="120"/>
    </w:pPr>
    <w:rPr>
      <w:rFonts w:ascii="Arial" w:hAnsi="Arial"/>
      <w:b/>
      <w:i/>
      <w:snapToGrid w:val="0"/>
      <w:sz w:val="28"/>
      <w:szCs w:val="28"/>
    </w:rPr>
  </w:style>
  <w:style w:type="character" w:customStyle="1" w:styleId="OutlineHeading2Char">
    <w:name w:val="Outline Heading 2 Char"/>
    <w:basedOn w:val="Heading2Char"/>
    <w:link w:val="OutlineHeading2"/>
    <w:uiPriority w:val="3"/>
    <w:rsid w:val="00977E3F"/>
    <w:rPr>
      <w:rFonts w:ascii="Arial" w:eastAsiaTheme="majorEastAsia" w:hAnsi="Arial" w:cstheme="majorBidi"/>
      <w:b/>
      <w:i/>
      <w:snapToGrid w:val="0"/>
      <w:color w:val="365F91" w:themeColor="accent1" w:themeShade="BF"/>
      <w:sz w:val="28"/>
      <w:szCs w:val="28"/>
      <w:lang w:eastAsia="en-US"/>
    </w:rPr>
  </w:style>
  <w:style w:type="paragraph" w:customStyle="1" w:styleId="PBACESHeading1">
    <w:name w:val="PBAC ES Heading 1"/>
    <w:basedOn w:val="Heading1"/>
    <w:next w:val="ListParagraph"/>
    <w:uiPriority w:val="1"/>
    <w:qFormat/>
    <w:rsid w:val="00B17771"/>
    <w:pPr>
      <w:tabs>
        <w:tab w:val="left" w:pos="1077"/>
      </w:tabs>
      <w:spacing w:before="240" w:after="120"/>
      <w:ind w:left="720" w:hanging="720"/>
    </w:pPr>
    <w:rPr>
      <w:rFonts w:asciiTheme="minorHAnsi" w:eastAsia="Times New Roman" w:hAnsiTheme="minorHAnsi" w:cs="Arial"/>
      <w:b/>
      <w:snapToGrid w:val="0"/>
      <w:color w:val="auto"/>
      <w:sz w:val="32"/>
      <w:szCs w:val="32"/>
    </w:rPr>
  </w:style>
  <w:style w:type="paragraph" w:customStyle="1" w:styleId="PBACESHeading2">
    <w:name w:val="PBAC ES Heading 2"/>
    <w:basedOn w:val="Heading2"/>
    <w:uiPriority w:val="1"/>
    <w:qFormat/>
    <w:rsid w:val="00B17771"/>
    <w:pPr>
      <w:spacing w:before="360" w:after="120"/>
      <w:ind w:left="720" w:hanging="720"/>
    </w:pPr>
    <w:rPr>
      <w:b/>
      <w:i/>
      <w:snapToGrid w:val="0"/>
      <w:color w:val="auto"/>
      <w:sz w:val="28"/>
      <w:szCs w:val="28"/>
    </w:rPr>
  </w:style>
  <w:style w:type="paragraph" w:customStyle="1" w:styleId="PBACESHeadingCAPS">
    <w:name w:val="PBAC ES Heading CAPS"/>
    <w:basedOn w:val="PBACESHeading2"/>
    <w:uiPriority w:val="1"/>
    <w:qFormat/>
    <w:rsid w:val="00B17771"/>
    <w:rPr>
      <w:i w:val="0"/>
      <w:smallCaps/>
      <w:sz w:val="32"/>
    </w:rPr>
  </w:style>
  <w:style w:type="paragraph" w:customStyle="1" w:styleId="PBACESHeading3">
    <w:name w:val="PBAC ES Heading 3"/>
    <w:basedOn w:val="PBACESHeading2"/>
    <w:uiPriority w:val="1"/>
    <w:qFormat/>
    <w:rsid w:val="00B17771"/>
    <w:pPr>
      <w:ind w:left="1080" w:hanging="1080"/>
    </w:pPr>
    <w:rPr>
      <w:i w:val="0"/>
      <w:sz w:val="24"/>
    </w:rPr>
  </w:style>
  <w:style w:type="paragraph" w:customStyle="1" w:styleId="MSACHeading1">
    <w:name w:val="MSAC Heading 1"/>
    <w:basedOn w:val="Heading1"/>
    <w:next w:val="Normal"/>
    <w:uiPriority w:val="1"/>
    <w:qFormat/>
    <w:rsid w:val="00B17771"/>
    <w:pPr>
      <w:spacing w:before="160" w:after="240" w:line="259" w:lineRule="auto"/>
      <w:ind w:left="720" w:hanging="720"/>
    </w:pPr>
    <w:rPr>
      <w:rFonts w:ascii="Arial" w:hAnsi="Arial"/>
      <w:b/>
      <w:color w:val="auto"/>
      <w:sz w:val="24"/>
      <w:szCs w:val="28"/>
    </w:rPr>
  </w:style>
  <w:style w:type="paragraph" w:customStyle="1" w:styleId="MSACESHeading2">
    <w:name w:val="MSAC ES Heading 2"/>
    <w:basedOn w:val="Heading2"/>
    <w:next w:val="Normal"/>
    <w:uiPriority w:val="1"/>
    <w:qFormat/>
    <w:rsid w:val="00B17771"/>
    <w:pPr>
      <w:spacing w:before="360" w:after="120"/>
      <w:ind w:left="720" w:hanging="720"/>
    </w:pPr>
    <w:rPr>
      <w:rFonts w:ascii="Cambria" w:hAnsi="Cambria"/>
      <w:b/>
      <w:snapToGrid w:val="0"/>
      <w:color w:val="auto"/>
      <w:sz w:val="24"/>
      <w:szCs w:val="28"/>
    </w:rPr>
  </w:style>
  <w:style w:type="numbering" w:customStyle="1" w:styleId="Style3">
    <w:name w:val="Style3"/>
    <w:uiPriority w:val="99"/>
    <w:rsid w:val="00B17771"/>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w:link w:val="Caption"/>
    <w:qFormat/>
    <w:rsid w:val="00DF77EE"/>
    <w:rPr>
      <w:rFonts w:ascii="Calibri" w:hAnsi="Calibri"/>
      <w:i/>
      <w:iCs/>
      <w:color w:val="1F497D" w:themeColor="text2"/>
      <w:sz w:val="18"/>
      <w:szCs w:val="18"/>
    </w:rPr>
  </w:style>
  <w:style w:type="paragraph" w:styleId="FootnoteText">
    <w:name w:val="footnote text"/>
    <w:basedOn w:val="Normal"/>
    <w:link w:val="FootnoteTextChar"/>
    <w:rsid w:val="006A2CED"/>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rsid w:val="006A2CED"/>
    <w:rPr>
      <w:rFonts w:asciiTheme="minorHAnsi" w:eastAsiaTheme="minorHAnsi" w:hAnsiTheme="minorHAnsi" w:cstheme="minorBidi"/>
      <w:sz w:val="18"/>
      <w:lang w:eastAsia="en-US"/>
    </w:rPr>
  </w:style>
  <w:style w:type="character" w:styleId="Mention">
    <w:name w:val="Mention"/>
    <w:basedOn w:val="DefaultParagraphFont"/>
    <w:uiPriority w:val="99"/>
    <w:unhideWhenUsed/>
    <w:rsid w:val="004A2A54"/>
    <w:rPr>
      <w:color w:val="2B579A"/>
      <w:shd w:val="clear" w:color="auto" w:fill="E1DFDD"/>
    </w:rPr>
  </w:style>
  <w:style w:type="paragraph" w:customStyle="1" w:styleId="3-SubsectionHeading">
    <w:name w:val="3-Subsection Heading"/>
    <w:basedOn w:val="Heading2"/>
    <w:next w:val="Normal"/>
    <w:link w:val="3-SubsectionHeadingChar"/>
    <w:qFormat/>
    <w:rsid w:val="00E65F97"/>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E65F97"/>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PBACESParagraphBulletPoint">
    <w:name w:val="PBAC ES Paragraph Bullet Point"/>
    <w:basedOn w:val="ListParagraph"/>
    <w:link w:val="PBACESParagraphBulletPointChar"/>
    <w:uiPriority w:val="1"/>
    <w:qFormat/>
    <w:rsid w:val="00EE7B23"/>
    <w:pPr>
      <w:numPr>
        <w:numId w:val="48"/>
      </w:numPr>
      <w:spacing w:before="120"/>
      <w:ind w:left="1491" w:hanging="357"/>
      <w:jc w:val="both"/>
    </w:pPr>
    <w:rPr>
      <w:rFonts w:eastAsiaTheme="minorHAnsi" w:cstheme="minorBidi"/>
      <w:snapToGrid/>
      <w:color w:val="000000" w:themeColor="text1"/>
      <w:szCs w:val="22"/>
      <w:lang w:eastAsia="en-US"/>
    </w:rPr>
  </w:style>
  <w:style w:type="character" w:customStyle="1" w:styleId="PBACESParagraphBulletPointChar">
    <w:name w:val="PBAC ES Paragraph Bullet Point Char"/>
    <w:basedOn w:val="ListParagraphChar"/>
    <w:link w:val="PBACESParagraphBulletPoint"/>
    <w:uiPriority w:val="1"/>
    <w:rsid w:val="00EE7B23"/>
    <w:rPr>
      <w:rFonts w:asciiTheme="minorHAnsi" w:eastAsiaTheme="minorHAnsi" w:hAnsiTheme="minorHAnsi" w:cstheme="minorBidi"/>
      <w:snapToGrid/>
      <w:color w:val="000000" w:themeColor="text1"/>
      <w:sz w:val="24"/>
      <w:szCs w:val="22"/>
      <w:lang w:eastAsia="en-US"/>
    </w:rPr>
  </w:style>
  <w:style w:type="character" w:styleId="UnresolvedMention">
    <w:name w:val="Unresolved Mention"/>
    <w:basedOn w:val="DefaultParagraphFont"/>
    <w:uiPriority w:val="99"/>
    <w:semiHidden/>
    <w:unhideWhenUsed/>
    <w:rsid w:val="00380038"/>
    <w:rPr>
      <w:color w:val="605E5C"/>
      <w:shd w:val="clear" w:color="auto" w:fill="E1DFDD"/>
    </w:rPr>
  </w:style>
  <w:style w:type="paragraph" w:styleId="ListBullet">
    <w:name w:val="List Bullet"/>
    <w:basedOn w:val="Normal"/>
    <w:autoRedefine/>
    <w:rsid w:val="006C73AF"/>
    <w:pPr>
      <w:jc w:val="left"/>
    </w:pPr>
    <w:rPr>
      <w:rFonts w:ascii="Arial" w:hAnsi="Arial" w:cs="Arial"/>
      <w:snapToGrid w:val="0"/>
      <w:color w:val="FF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9033068">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539977266">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2D5D9-05C6-49DC-AD54-69279CE4CC92}">
  <ds:schemaRefs>
    <ds:schemaRef ds:uri="http://schemas.microsoft.com/sharepoint/v3/contenttype/forms"/>
  </ds:schemaRefs>
</ds:datastoreItem>
</file>

<file path=customXml/itemProps2.xml><?xml version="1.0" encoding="utf-8"?>
<ds:datastoreItem xmlns:ds="http://schemas.openxmlformats.org/officeDocument/2006/customXml" ds:itemID="{A5A67CFD-CE90-4940-8A47-D115C42C786F}">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8C4EC02D-CBB1-439C-8FA6-96B7D8582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5678</Words>
  <Characters>31233</Characters>
  <Application>Microsoft Office Word</Application>
  <DocSecurity>0</DocSecurity>
  <Lines>946</Lines>
  <Paragraphs>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TRAORE, Amadou</cp:lastModifiedBy>
  <cp:revision>6</cp:revision>
  <cp:lastPrinted>2025-10-29T22:41:00Z</cp:lastPrinted>
  <dcterms:created xsi:type="dcterms:W3CDTF">2025-10-27T00:28:00Z</dcterms:created>
  <dcterms:modified xsi:type="dcterms:W3CDTF">2025-10-29T22:41:00Z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MSIP_Label_7cd3e8b9-ffed-43a8-b7f4-cc2fa0382d36_Enabled">
    <vt:lpwstr>True</vt:lpwstr>
  </property>
  <property fmtid="{D5CDD505-2E9C-101B-9397-08002B2CF9AE}" pid="5" name="MSIP_Label_7cd3e8b9-ffed-43a8-b7f4-cc2fa0382d36_SiteId">
    <vt:lpwstr>34a3929c-73cf-4954-abfe-147dc3517892</vt:lpwstr>
  </property>
  <property fmtid="{D5CDD505-2E9C-101B-9397-08002B2CF9AE}" pid="6" name="MSIP_Label_7cd3e8b9-ffed-43a8-b7f4-cc2fa0382d36_SetDate">
    <vt:lpwstr>2025-09-16T08:09:08Z</vt:lpwstr>
  </property>
  <property fmtid="{D5CDD505-2E9C-101B-9397-08002B2CF9AE}" pid="7" name="MSIP_Label_7cd3e8b9-ffed-43a8-b7f4-cc2fa0382d36_Name">
    <vt:lpwstr>OFFICIAL</vt:lpwstr>
  </property>
  <property fmtid="{D5CDD505-2E9C-101B-9397-08002B2CF9AE}" pid="8" name="MSIP_Label_7cd3e8b9-ffed-43a8-b7f4-cc2fa0382d36_ActionId">
    <vt:lpwstr>270a5bea-25ff-4398-9b2f-4237248e7620</vt:lpwstr>
  </property>
  <property fmtid="{D5CDD505-2E9C-101B-9397-08002B2CF9AE}" pid="9" name="MSIP_Label_7cd3e8b9-ffed-43a8-b7f4-cc2fa0382d36_Removed">
    <vt:lpwstr>False</vt:lpwstr>
  </property>
  <property fmtid="{D5CDD505-2E9C-101B-9397-08002B2CF9AE}" pid="10" name="MSIP_Label_7cd3e8b9-ffed-43a8-b7f4-cc2fa0382d36_Extended_MSFT_Method">
    <vt:lpwstr>Standard</vt:lpwstr>
  </property>
  <property fmtid="{D5CDD505-2E9C-101B-9397-08002B2CF9AE}" pid="11" name="Sensitivity">
    <vt:lpwstr>OFFICIAL</vt:lpwstr>
  </property>
  <property fmtid="{D5CDD505-2E9C-101B-9397-08002B2CF9AE}" pid="12" name="docLang">
    <vt:lpwstr>en</vt:lpwstr>
  </property>
</Properties>
</file>