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E0FE" w14:textId="00EBEA16" w:rsidR="00B46A58" w:rsidRPr="004A6040" w:rsidRDefault="00F5675D" w:rsidP="00B46A58">
      <w:pPr>
        <w:pStyle w:val="1-MainHeading"/>
      </w:pPr>
      <w:bookmarkStart w:id="0" w:name="_Toc198715624"/>
      <w:bookmarkStart w:id="1" w:name="_Toc22897637"/>
      <w:r>
        <w:t xml:space="preserve">5.06 </w:t>
      </w:r>
      <w:r w:rsidR="00B46A58">
        <w:tab/>
        <w:t>GUSELKUMAB,</w:t>
      </w:r>
      <w:r w:rsidR="00B46A58">
        <w:br/>
        <w:t>Solution for I.V. infusion 200 mg in 20 mL vial,</w:t>
      </w:r>
      <w:r w:rsidR="00B46A58">
        <w:br/>
        <w:t>Injection 100 mg in 1 mL single use pre-filled pen,</w:t>
      </w:r>
      <w:r w:rsidR="00B46A58">
        <w:br/>
        <w:t>Injection 200 mg in 2 mL single use pre-filled pen,</w:t>
      </w:r>
      <w:r w:rsidR="00B46A58">
        <w:br/>
        <w:t>Injection 100 mg in 1 mL single use pre-filled syringe,</w:t>
      </w:r>
      <w:r w:rsidR="00B46A58">
        <w:br/>
        <w:t>Injection 200 mg in 2 mL single use pre-filled syringe,</w:t>
      </w:r>
      <w:r w:rsidR="00B46A58">
        <w:br/>
        <w:t>Tremfya</w:t>
      </w:r>
      <w:r w:rsidR="00B46A58" w:rsidRPr="004A6040">
        <w:rPr>
          <w:vertAlign w:val="superscript"/>
        </w:rPr>
        <w:t>®</w:t>
      </w:r>
      <w:r w:rsidR="00B46A58" w:rsidRPr="004A6040">
        <w:t>,</w:t>
      </w:r>
      <w:r w:rsidR="00B46A58" w:rsidRPr="004A6040">
        <w:br/>
      </w:r>
      <w:r w:rsidR="00B46A58">
        <w:t>Janssen-Cilag Pty Ltd</w:t>
      </w:r>
      <w:r w:rsidR="00B46A58" w:rsidRPr="004A6040">
        <w:t>.</w:t>
      </w:r>
      <w:bookmarkEnd w:id="0"/>
    </w:p>
    <w:p w14:paraId="11C00795" w14:textId="3DFB6D23" w:rsidR="00B50DB8" w:rsidRPr="00407F2D" w:rsidRDefault="00B50DB8" w:rsidP="004A6040">
      <w:pPr>
        <w:pStyle w:val="2-SectionHeading"/>
      </w:pPr>
      <w:bookmarkStart w:id="2" w:name="_Toc198715626"/>
      <w:bookmarkEnd w:id="1"/>
      <w:r w:rsidRPr="00407F2D">
        <w:t xml:space="preserve">Purpose of </w:t>
      </w:r>
      <w:r w:rsidR="00CD7193">
        <w:t>s</w:t>
      </w:r>
      <w:r w:rsidR="00BB3A45">
        <w:t>ubmission</w:t>
      </w:r>
      <w:bookmarkEnd w:id="2"/>
    </w:p>
    <w:p w14:paraId="4FF0FD7D" w14:textId="51B6482A" w:rsidR="006049BB" w:rsidRPr="00F97BAD" w:rsidRDefault="006049BB" w:rsidP="00B46A58">
      <w:pPr>
        <w:pStyle w:val="3-BodyText"/>
      </w:pPr>
      <w:r>
        <w:t xml:space="preserve">The Category 2 submission requested </w:t>
      </w:r>
      <w:r w:rsidRPr="006049BB">
        <w:t>Section 100 (Highly Specialised Drugs Program)</w:t>
      </w:r>
      <w:r>
        <w:t xml:space="preserve"> and General </w:t>
      </w:r>
      <w:r w:rsidRPr="006049BB">
        <w:t>Schedule Authority Required (in writing) Pharmaceutical Benefits Scheme (PBS) listings</w:t>
      </w:r>
      <w:r>
        <w:t xml:space="preserve"> of guselkumab (GUS) </w:t>
      </w:r>
      <w:r w:rsidR="00B46A58">
        <w:t xml:space="preserve">– </w:t>
      </w:r>
      <w:r w:rsidR="005D139D">
        <w:t>for</w:t>
      </w:r>
      <w:r w:rsidR="00B46A58">
        <w:t xml:space="preserve"> one dose formulation administered via intravenous (IV) infusion and four dose formulations administered via subcutaneous (SC) injection – </w:t>
      </w:r>
      <w:r>
        <w:t>for the treatment of adults with severe Crohn’s disease (CD).</w:t>
      </w:r>
      <w:r w:rsidRPr="006049BB">
        <w:t xml:space="preserve"> </w:t>
      </w:r>
      <w:r w:rsidRPr="00F97BAD">
        <w:t>If recommended, GUS would be the second interleukin (IL) inhibitor and the sixth treatment option available on the PBS for severe CD.</w:t>
      </w:r>
    </w:p>
    <w:p w14:paraId="258D3622" w14:textId="520236A1" w:rsidR="00060123" w:rsidRDefault="006049BB" w:rsidP="00FE67C6">
      <w:pPr>
        <w:pStyle w:val="3-BodyText"/>
      </w:pPr>
      <w:r>
        <w:t xml:space="preserve">Listing was </w:t>
      </w:r>
      <w:proofErr w:type="gramStart"/>
      <w:r>
        <w:t>on the basis of</w:t>
      </w:r>
      <w:proofErr w:type="gramEnd"/>
      <w:r>
        <w:t xml:space="preserve"> cost-utility analysis against all PBS-listed </w:t>
      </w:r>
      <w:r w:rsidRPr="006049BB">
        <w:t>biologic</w:t>
      </w:r>
      <w:r>
        <w:t>/targeted synthetic</w:t>
      </w:r>
      <w:r w:rsidRPr="006049BB">
        <w:t xml:space="preserve"> disease modifying anti-rheumatic drug (b</w:t>
      </w:r>
      <w:r>
        <w:t>/</w:t>
      </w:r>
      <w:proofErr w:type="spellStart"/>
      <w:r>
        <w:t>ts</w:t>
      </w:r>
      <w:r w:rsidRPr="006049BB">
        <w:t>DMARD</w:t>
      </w:r>
      <w:proofErr w:type="spellEnd"/>
      <w:r w:rsidRPr="006049BB">
        <w:t>)</w:t>
      </w:r>
      <w:r>
        <w:t xml:space="preserve">, </w:t>
      </w:r>
      <w:r w:rsidRPr="006049BB">
        <w:t>which include</w:t>
      </w:r>
      <w:r w:rsidR="00772EF6">
        <w:t>d</w:t>
      </w:r>
      <w:r w:rsidRPr="006049BB">
        <w:t xml:space="preserve"> adalimumab (ADA), infliximab (IFX), upadacitinib (UPA), </w:t>
      </w:r>
      <w:r w:rsidR="007F7F8C">
        <w:t>ustekinumab (</w:t>
      </w:r>
      <w:r w:rsidRPr="006049BB">
        <w:t>UST</w:t>
      </w:r>
      <w:r w:rsidR="007F7F8C">
        <w:t>)</w:t>
      </w:r>
      <w:r w:rsidRPr="006049BB">
        <w:t xml:space="preserve"> and vedolizumab (VDZ).</w:t>
      </w:r>
    </w:p>
    <w:p w14:paraId="39F69269" w14:textId="77777777" w:rsidR="00060123" w:rsidRDefault="00060123">
      <w:pPr>
        <w:jc w:val="left"/>
        <w:rPr>
          <w:rFonts w:asciiTheme="minorHAnsi" w:hAnsiTheme="minorHAnsi"/>
          <w:snapToGrid w:val="0"/>
        </w:rPr>
      </w:pPr>
      <w:r>
        <w:br w:type="page"/>
      </w:r>
    </w:p>
    <w:p w14:paraId="015AE6D1" w14:textId="4EC749ED" w:rsidR="006049BB" w:rsidRPr="00E55915" w:rsidRDefault="005F4460" w:rsidP="005F4460">
      <w:pPr>
        <w:pStyle w:val="Caption"/>
        <w:jc w:val="left"/>
      </w:pPr>
      <w:bookmarkStart w:id="3" w:name="_Ref201308781"/>
      <w:r>
        <w:lastRenderedPageBreak/>
        <w:t xml:space="preserve">Table </w:t>
      </w:r>
      <w:r w:rsidR="00DC5F25">
        <w:fldChar w:fldCharType="begin"/>
      </w:r>
      <w:r w:rsidR="00DC5F25">
        <w:instrText xml:space="preserve"> SEQ Table \* ARABIC </w:instrText>
      </w:r>
      <w:r w:rsidR="00DC5F25">
        <w:fldChar w:fldCharType="separate"/>
      </w:r>
      <w:r w:rsidR="000756FD">
        <w:rPr>
          <w:noProof/>
        </w:rPr>
        <w:t>1</w:t>
      </w:r>
      <w:r w:rsidR="00DC5F25">
        <w:rPr>
          <w:noProof/>
        </w:rPr>
        <w:fldChar w:fldCharType="end"/>
      </w:r>
      <w:bookmarkEnd w:id="3"/>
      <w:r>
        <w:t>:</w:t>
      </w:r>
      <w:r w:rsidR="006049BB" w:rsidRPr="00E55915">
        <w:rPr>
          <w:rStyle w:val="CommentReference"/>
          <w:b/>
          <w:szCs w:val="24"/>
        </w:rPr>
        <w:t xml:space="preserve"> Key components of the clinical issue addressed by the submission</w:t>
      </w:r>
    </w:p>
    <w:tbl>
      <w:tblPr>
        <w:tblStyle w:val="PBAClayout"/>
        <w:tblW w:w="5000" w:type="pct"/>
        <w:tblLook w:val="04A0" w:firstRow="1" w:lastRow="0" w:firstColumn="1" w:lastColumn="0" w:noHBand="0" w:noVBand="1"/>
        <w:tblCaption w:val="Table 1: Key components of the clinical issue addressed by the submission"/>
      </w:tblPr>
      <w:tblGrid>
        <w:gridCol w:w="1113"/>
        <w:gridCol w:w="7904"/>
      </w:tblGrid>
      <w:tr w:rsidR="006049BB" w:rsidRPr="00A518F3" w14:paraId="6020B8CC" w14:textId="77777777" w:rsidTr="007F7F8C">
        <w:tc>
          <w:tcPr>
            <w:tcW w:w="617" w:type="pct"/>
          </w:tcPr>
          <w:p w14:paraId="1755A16A" w14:textId="77777777" w:rsidR="006049BB" w:rsidRPr="00A518F3" w:rsidRDefault="006049BB" w:rsidP="00286E68">
            <w:pPr>
              <w:pStyle w:val="In-tableHeading"/>
              <w:keepNext w:val="0"/>
            </w:pPr>
            <w:r w:rsidRPr="00A518F3">
              <w:t>Component</w:t>
            </w:r>
          </w:p>
        </w:tc>
        <w:tc>
          <w:tcPr>
            <w:tcW w:w="4383" w:type="pct"/>
          </w:tcPr>
          <w:p w14:paraId="4B1E2FE8" w14:textId="77777777" w:rsidR="006049BB" w:rsidRPr="00A518F3" w:rsidRDefault="006049BB" w:rsidP="00286E68">
            <w:pPr>
              <w:pStyle w:val="In-tableHeading"/>
              <w:keepNext w:val="0"/>
            </w:pPr>
            <w:r w:rsidRPr="00A518F3">
              <w:t>Description</w:t>
            </w:r>
          </w:p>
        </w:tc>
      </w:tr>
      <w:tr w:rsidR="006049BB" w14:paraId="0CA8D10C" w14:textId="77777777" w:rsidTr="007F7F8C">
        <w:tc>
          <w:tcPr>
            <w:tcW w:w="617" w:type="pct"/>
          </w:tcPr>
          <w:p w14:paraId="625E66A3" w14:textId="77777777" w:rsidR="006049BB" w:rsidRDefault="006049BB" w:rsidP="00286E68">
            <w:pPr>
              <w:pStyle w:val="TableText0"/>
              <w:keepNext w:val="0"/>
            </w:pPr>
            <w:r>
              <w:t>Population</w:t>
            </w:r>
          </w:p>
        </w:tc>
        <w:tc>
          <w:tcPr>
            <w:tcW w:w="4383" w:type="pct"/>
          </w:tcPr>
          <w:p w14:paraId="5A947712" w14:textId="64A50D43" w:rsidR="006049BB" w:rsidRDefault="006049BB" w:rsidP="00286E68">
            <w:pPr>
              <w:pStyle w:val="TableText0"/>
              <w:keepNext w:val="0"/>
            </w:pPr>
            <w:r w:rsidRPr="00610E7D">
              <w:t>Adults with severe Crohn’s disease</w:t>
            </w:r>
            <w:r w:rsidR="007F7F8C">
              <w:t xml:space="preserve"> (CD)</w:t>
            </w:r>
            <w:r w:rsidRPr="00610E7D">
              <w:t>. The requested listing is consistent with the other biologics listed on the PBS for the treatment of severe CD.</w:t>
            </w:r>
          </w:p>
        </w:tc>
      </w:tr>
      <w:tr w:rsidR="006049BB" w14:paraId="22F2CC6D" w14:textId="77777777" w:rsidTr="007F7F8C">
        <w:tc>
          <w:tcPr>
            <w:tcW w:w="617" w:type="pct"/>
          </w:tcPr>
          <w:p w14:paraId="4368753A" w14:textId="77777777" w:rsidR="006049BB" w:rsidRDefault="006049BB" w:rsidP="00286E68">
            <w:pPr>
              <w:pStyle w:val="TableText0"/>
              <w:keepNext w:val="0"/>
            </w:pPr>
            <w:r>
              <w:t>Intervention</w:t>
            </w:r>
          </w:p>
        </w:tc>
        <w:tc>
          <w:tcPr>
            <w:tcW w:w="4383" w:type="pct"/>
          </w:tcPr>
          <w:p w14:paraId="196610EF" w14:textId="77777777" w:rsidR="006049BB" w:rsidRDefault="006049BB" w:rsidP="00286E68">
            <w:pPr>
              <w:pStyle w:val="TableText0"/>
              <w:keepNext w:val="0"/>
            </w:pPr>
            <w:r>
              <w:t>Induction regimen</w:t>
            </w:r>
          </w:p>
          <w:p w14:paraId="7BA452A6" w14:textId="7DAC5F17" w:rsidR="006049BB" w:rsidRDefault="006049BB" w:rsidP="00096092">
            <w:pPr>
              <w:pStyle w:val="TableText0"/>
              <w:keepNext w:val="0"/>
              <w:numPr>
                <w:ilvl w:val="0"/>
                <w:numId w:val="10"/>
              </w:numPr>
              <w:ind w:left="112" w:hanging="112"/>
            </w:pPr>
            <w:r>
              <w:t>Guselkumab 200</w:t>
            </w:r>
            <w:r w:rsidR="00E03056">
              <w:t xml:space="preserve"> </w:t>
            </w:r>
            <w:r>
              <w:t>mg intravenously (IV) at week 0, 4, and 8, or</w:t>
            </w:r>
          </w:p>
          <w:p w14:paraId="6A03A27D" w14:textId="668708C0" w:rsidR="006049BB" w:rsidRDefault="006049BB" w:rsidP="00096092">
            <w:pPr>
              <w:pStyle w:val="TableText0"/>
              <w:keepNext w:val="0"/>
              <w:numPr>
                <w:ilvl w:val="0"/>
                <w:numId w:val="10"/>
              </w:numPr>
              <w:ind w:left="112" w:hanging="112"/>
            </w:pPr>
            <w:r>
              <w:t>Guselkumab 400</w:t>
            </w:r>
            <w:r w:rsidR="00E03056">
              <w:t xml:space="preserve"> </w:t>
            </w:r>
            <w:r>
              <w:t>mg subcutaneously (SC) at week 0, 4, and 8</w:t>
            </w:r>
          </w:p>
          <w:p w14:paraId="287D7CBD" w14:textId="77777777" w:rsidR="006049BB" w:rsidRDefault="006049BB" w:rsidP="00286E68">
            <w:pPr>
              <w:pStyle w:val="TableText0"/>
              <w:keepNext w:val="0"/>
            </w:pPr>
            <w:r>
              <w:t>Maintenance regimen</w:t>
            </w:r>
          </w:p>
          <w:p w14:paraId="712724A4" w14:textId="727DD645" w:rsidR="006049BB" w:rsidRDefault="006049BB" w:rsidP="00096092">
            <w:pPr>
              <w:pStyle w:val="TableText0"/>
              <w:keepNext w:val="0"/>
              <w:numPr>
                <w:ilvl w:val="0"/>
                <w:numId w:val="10"/>
              </w:numPr>
              <w:ind w:left="112" w:hanging="112"/>
            </w:pPr>
            <w:r>
              <w:t>Guselkumab 200</w:t>
            </w:r>
            <w:r w:rsidR="00E03056">
              <w:t xml:space="preserve"> </w:t>
            </w:r>
            <w:r>
              <w:t>mg SC at week 12, and then every 4 weeks, or</w:t>
            </w:r>
          </w:p>
          <w:p w14:paraId="05B59A72" w14:textId="43DCE9A4" w:rsidR="006049BB" w:rsidRDefault="006049BB" w:rsidP="00096092">
            <w:pPr>
              <w:pStyle w:val="TableText0"/>
              <w:keepNext w:val="0"/>
              <w:numPr>
                <w:ilvl w:val="0"/>
                <w:numId w:val="10"/>
              </w:numPr>
              <w:ind w:left="112" w:hanging="112"/>
            </w:pPr>
            <w:r>
              <w:t>Guselkumab 100</w:t>
            </w:r>
            <w:r w:rsidR="00E03056">
              <w:t xml:space="preserve"> </w:t>
            </w:r>
            <w:r>
              <w:t>mg SC at week 16 and then every 8 weeks</w:t>
            </w:r>
          </w:p>
        </w:tc>
      </w:tr>
      <w:tr w:rsidR="006049BB" w14:paraId="649A5180" w14:textId="77777777" w:rsidTr="007F7F8C">
        <w:tc>
          <w:tcPr>
            <w:tcW w:w="617" w:type="pct"/>
          </w:tcPr>
          <w:p w14:paraId="5799303D" w14:textId="77777777" w:rsidR="006049BB" w:rsidRDefault="006049BB" w:rsidP="00286E68">
            <w:pPr>
              <w:pStyle w:val="TableText0"/>
              <w:keepNext w:val="0"/>
            </w:pPr>
            <w:r>
              <w:t>Comparator</w:t>
            </w:r>
          </w:p>
        </w:tc>
        <w:tc>
          <w:tcPr>
            <w:tcW w:w="4383" w:type="pct"/>
          </w:tcPr>
          <w:p w14:paraId="2ADC684E" w14:textId="680B8B81" w:rsidR="006049BB" w:rsidRDefault="006049BB" w:rsidP="00286E68">
            <w:pPr>
              <w:pStyle w:val="TableText0"/>
              <w:keepNext w:val="0"/>
            </w:pPr>
            <w:r>
              <w:t>A</w:t>
            </w:r>
            <w:r w:rsidRPr="00610E7D">
              <w:t>ll currently PBS listed biologics used in the treatment of severe CD (infliximab, adalimumab, vedolizumab, ustekinumab and upadacitinib</w:t>
            </w:r>
            <w:r w:rsidR="007F7F8C">
              <w:t>)</w:t>
            </w:r>
          </w:p>
        </w:tc>
      </w:tr>
      <w:tr w:rsidR="006049BB" w14:paraId="31D9EE1E" w14:textId="77777777" w:rsidTr="007F7F8C">
        <w:tc>
          <w:tcPr>
            <w:tcW w:w="617" w:type="pct"/>
          </w:tcPr>
          <w:p w14:paraId="0F357B30" w14:textId="77777777" w:rsidR="006049BB" w:rsidRDefault="006049BB" w:rsidP="00286E68">
            <w:pPr>
              <w:pStyle w:val="TableText0"/>
              <w:keepNext w:val="0"/>
            </w:pPr>
            <w:r>
              <w:t>Outcomes</w:t>
            </w:r>
          </w:p>
        </w:tc>
        <w:tc>
          <w:tcPr>
            <w:tcW w:w="4383" w:type="pct"/>
          </w:tcPr>
          <w:p w14:paraId="11C39231" w14:textId="77777777" w:rsidR="006049BB" w:rsidRDefault="006049BB" w:rsidP="00286E68">
            <w:pPr>
              <w:pStyle w:val="TableText0"/>
              <w:keepNext w:val="0"/>
            </w:pPr>
            <w:r>
              <w:t>Primary outcomes: clinical outcomes (clinical response and clinical remission)</w:t>
            </w:r>
            <w:proofErr w:type="gramStart"/>
            <w:r w:rsidRPr="00610E7D">
              <w:rPr>
                <w:vertAlign w:val="superscript"/>
              </w:rPr>
              <w:t>a</w:t>
            </w:r>
            <w:r>
              <w:t xml:space="preserve"> and</w:t>
            </w:r>
            <w:proofErr w:type="gramEnd"/>
            <w:r>
              <w:t xml:space="preserve"> safety (any AE, SAEs, serious infection and discontinuation due to AE)</w:t>
            </w:r>
          </w:p>
          <w:p w14:paraId="16CC2CA8" w14:textId="0FA5D871" w:rsidR="006049BB" w:rsidRDefault="006049BB" w:rsidP="00286E68">
            <w:pPr>
              <w:pStyle w:val="TableText0"/>
              <w:keepNext w:val="0"/>
            </w:pPr>
            <w:r>
              <w:t>Supportive outcomes: endoscopic outcomes (endoscopic response and endoscopic remission)</w:t>
            </w:r>
            <w:r w:rsidR="007F7F8C">
              <w:rPr>
                <w:vertAlign w:val="superscript"/>
              </w:rPr>
              <w:t>b</w:t>
            </w:r>
          </w:p>
        </w:tc>
      </w:tr>
      <w:tr w:rsidR="006049BB" w14:paraId="30D9953D" w14:textId="77777777" w:rsidTr="007F7F8C">
        <w:tc>
          <w:tcPr>
            <w:tcW w:w="617" w:type="pct"/>
          </w:tcPr>
          <w:p w14:paraId="1090BA83" w14:textId="77777777" w:rsidR="006049BB" w:rsidRDefault="006049BB" w:rsidP="00286E68">
            <w:pPr>
              <w:pStyle w:val="TableText0"/>
              <w:keepNext w:val="0"/>
            </w:pPr>
            <w:r>
              <w:t>Clinical claim</w:t>
            </w:r>
          </w:p>
        </w:tc>
        <w:tc>
          <w:tcPr>
            <w:tcW w:w="4383" w:type="pct"/>
          </w:tcPr>
          <w:p w14:paraId="1B4FDD41" w14:textId="77777777" w:rsidR="006049BB" w:rsidRDefault="006049BB" w:rsidP="00286E68">
            <w:pPr>
              <w:pStyle w:val="TableText0"/>
              <w:keepNext w:val="0"/>
            </w:pPr>
            <w:r>
              <w:t>On the totality of the evidence presented in the submission:</w:t>
            </w:r>
          </w:p>
          <w:p w14:paraId="61E7B9CA" w14:textId="17648A2B" w:rsidR="006049BB" w:rsidRDefault="006049BB" w:rsidP="00096092">
            <w:pPr>
              <w:pStyle w:val="TableText0"/>
              <w:keepNext w:val="0"/>
              <w:numPr>
                <w:ilvl w:val="0"/>
                <w:numId w:val="10"/>
              </w:numPr>
              <w:ind w:left="112" w:hanging="112"/>
            </w:pPr>
            <w:r>
              <w:t>In the induction phase, guselkumab 200</w:t>
            </w:r>
            <w:r w:rsidR="004B07A0">
              <w:t xml:space="preserve"> </w:t>
            </w:r>
            <w:r>
              <w:t>mg IV is non-inferior to guselkumab 400</w:t>
            </w:r>
            <w:r w:rsidR="004B07A0">
              <w:t xml:space="preserve"> </w:t>
            </w:r>
            <w:r>
              <w:t>mg SC in terms of efficacy and safety.</w:t>
            </w:r>
          </w:p>
          <w:p w14:paraId="11CF568C" w14:textId="77777777" w:rsidR="006049BB" w:rsidRDefault="006049BB" w:rsidP="00096092">
            <w:pPr>
              <w:pStyle w:val="TableText0"/>
              <w:keepNext w:val="0"/>
              <w:numPr>
                <w:ilvl w:val="0"/>
                <w:numId w:val="10"/>
              </w:numPr>
              <w:ind w:left="112" w:hanging="112"/>
            </w:pPr>
            <w:r>
              <w:t>Guselkumab is superior to infliximab, adalimumab, vedolizumab, ustekinumab and upadacitinib in terms of efficacy.</w:t>
            </w:r>
          </w:p>
          <w:p w14:paraId="5A37FC5E" w14:textId="77777777" w:rsidR="006049BB" w:rsidRDefault="006049BB" w:rsidP="00096092">
            <w:pPr>
              <w:pStyle w:val="TableText0"/>
              <w:keepNext w:val="0"/>
              <w:numPr>
                <w:ilvl w:val="0"/>
                <w:numId w:val="10"/>
              </w:numPr>
              <w:ind w:left="112" w:hanging="112"/>
            </w:pPr>
            <w:r>
              <w:t xml:space="preserve">Guselkumab is superior to infliximab and non-inferior to adalimumab, vedolizumab, ustekinumab and upadacitinib in terms of safety. </w:t>
            </w:r>
          </w:p>
        </w:tc>
      </w:tr>
    </w:tbl>
    <w:p w14:paraId="263F1F00" w14:textId="77777777" w:rsidR="006049BB" w:rsidRDefault="006049BB" w:rsidP="006049BB">
      <w:pPr>
        <w:pStyle w:val="FooterTableFigure"/>
      </w:pPr>
      <w:r>
        <w:t xml:space="preserve">Source: Table 1.1, p24 of the submission. </w:t>
      </w:r>
    </w:p>
    <w:p w14:paraId="5E9514AC" w14:textId="77777777" w:rsidR="006049BB" w:rsidRDefault="006049BB" w:rsidP="006049BB">
      <w:pPr>
        <w:pStyle w:val="FooterTableFigure"/>
      </w:pPr>
      <w:r w:rsidRPr="00610E7D">
        <w:t>AE</w:t>
      </w:r>
      <w:r>
        <w:t>=</w:t>
      </w:r>
      <w:r w:rsidRPr="00610E7D">
        <w:t>adverse events; CDAI</w:t>
      </w:r>
      <w:r>
        <w:t>=</w:t>
      </w:r>
      <w:r w:rsidRPr="00610E7D">
        <w:t>Crohn’s disease Activity Index;</w:t>
      </w:r>
      <w:r>
        <w:t xml:space="preserve"> </w:t>
      </w:r>
      <w:r w:rsidRPr="00610E7D">
        <w:t>SAE</w:t>
      </w:r>
      <w:r>
        <w:t>=</w:t>
      </w:r>
      <w:r w:rsidRPr="00610E7D">
        <w:t>serious adverse events; SES-CD</w:t>
      </w:r>
      <w:r>
        <w:t>=</w:t>
      </w:r>
      <w:r w:rsidRPr="00610E7D">
        <w:t>simplified endoscopic activity score for CD</w:t>
      </w:r>
      <w:r>
        <w:t>;</w:t>
      </w:r>
    </w:p>
    <w:p w14:paraId="1F559DB3" w14:textId="6AA1B679" w:rsidR="006049BB" w:rsidRDefault="006049BB" w:rsidP="00286E68">
      <w:pPr>
        <w:pStyle w:val="FooterTableFigure"/>
        <w:ind w:left="165" w:hanging="165"/>
      </w:pPr>
      <w:proofErr w:type="spellStart"/>
      <w:r>
        <w:t>a</w:t>
      </w:r>
      <w:proofErr w:type="spellEnd"/>
      <w:r>
        <w:tab/>
      </w:r>
      <w:r w:rsidR="007F7F8C">
        <w:t xml:space="preserve">In the GALAXI trials: </w:t>
      </w:r>
      <w:r>
        <w:t>Clinical response</w:t>
      </w:r>
      <w:r w:rsidR="007F7F8C">
        <w:t xml:space="preserve"> was defined as</w:t>
      </w:r>
      <w:r w:rsidR="004A4BBC">
        <w:t xml:space="preserve"> a</w:t>
      </w:r>
      <w:r>
        <w:t xml:space="preserve"> CDAI reduction of ≥100 points from baseline</w:t>
      </w:r>
      <w:r w:rsidR="007F7F8C">
        <w:t xml:space="preserve">; </w:t>
      </w:r>
      <w:r>
        <w:t>Clinical remission</w:t>
      </w:r>
      <w:r w:rsidR="007F7F8C">
        <w:t xml:space="preserve"> was defined as</w:t>
      </w:r>
      <w:r>
        <w:t xml:space="preserve"> CDAI points &lt;150</w:t>
      </w:r>
    </w:p>
    <w:p w14:paraId="4C2FEF1E" w14:textId="50802B0D" w:rsidR="006049BB" w:rsidRDefault="007F7F8C" w:rsidP="00286E68">
      <w:pPr>
        <w:pStyle w:val="FooterTableFigure"/>
        <w:ind w:left="165" w:hanging="165"/>
      </w:pPr>
      <w:r>
        <w:t>b</w:t>
      </w:r>
      <w:r>
        <w:tab/>
        <w:t xml:space="preserve">In the GALAXI trials: </w:t>
      </w:r>
      <w:r w:rsidR="006049BB">
        <w:t>Endoscopic response</w:t>
      </w:r>
      <w:r>
        <w:t xml:space="preserve"> was defined as a </w:t>
      </w:r>
      <w:r w:rsidR="006049BB">
        <w:t>≥50% improvement from baseline in the SES-CD or SES-CD score≤2</w:t>
      </w:r>
      <w:r>
        <w:t xml:space="preserve">; </w:t>
      </w:r>
      <w:r w:rsidR="006049BB">
        <w:t>Endoscopic remission</w:t>
      </w:r>
      <w:r>
        <w:t xml:space="preserve"> was defined as</w:t>
      </w:r>
      <w:r w:rsidR="006049BB">
        <w:t xml:space="preserve"> SES-CD ≤ 4 and a ≥2-point reduction from baseline and no </w:t>
      </w:r>
      <w:proofErr w:type="spellStart"/>
      <w:r w:rsidR="006049BB">
        <w:t>subscore</w:t>
      </w:r>
      <w:proofErr w:type="spellEnd"/>
      <w:r w:rsidR="006049BB">
        <w:t xml:space="preserve"> &gt;1 in any individual component</w:t>
      </w:r>
    </w:p>
    <w:p w14:paraId="6B4AB6C2" w14:textId="7F01D731" w:rsidR="005C25FF" w:rsidRPr="00407F2D" w:rsidRDefault="005C25FF" w:rsidP="004A6040">
      <w:pPr>
        <w:pStyle w:val="2-SectionHeading"/>
      </w:pPr>
      <w:bookmarkStart w:id="4" w:name="_Toc198715627"/>
      <w:r w:rsidRPr="00407F2D">
        <w:t>Background</w:t>
      </w:r>
      <w:bookmarkEnd w:id="4"/>
    </w:p>
    <w:p w14:paraId="2C521D6D" w14:textId="78CF03EE" w:rsidR="005C25FF" w:rsidRPr="004151CF" w:rsidRDefault="005C25FF" w:rsidP="004A6040">
      <w:pPr>
        <w:pStyle w:val="4-SubsectionHeading"/>
      </w:pPr>
      <w:bookmarkStart w:id="5" w:name="_Toc22897638"/>
      <w:bookmarkStart w:id="6" w:name="_Toc198715628"/>
      <w:r w:rsidRPr="004151CF">
        <w:t>Registration status</w:t>
      </w:r>
      <w:bookmarkEnd w:id="5"/>
      <w:bookmarkEnd w:id="6"/>
    </w:p>
    <w:p w14:paraId="304AD7BE" w14:textId="1085F33D" w:rsidR="00AB357B" w:rsidRPr="00F97BAD" w:rsidRDefault="001814CA" w:rsidP="00286E68">
      <w:pPr>
        <w:pStyle w:val="3-BodyText"/>
      </w:pPr>
      <w:r w:rsidRPr="00B57E5F">
        <w:rPr>
          <w:rFonts w:ascii="Calibri" w:eastAsia="Calibri" w:hAnsi="Calibri"/>
          <w:b/>
          <w:i/>
          <w:iCs/>
          <w:szCs w:val="22"/>
        </w:rPr>
        <w:t>TGA status at time of</w:t>
      </w:r>
      <w:r w:rsidR="002451AA">
        <w:rPr>
          <w:rFonts w:ascii="Calibri" w:eastAsia="Calibri" w:hAnsi="Calibri"/>
          <w:b/>
          <w:i/>
          <w:iCs/>
          <w:szCs w:val="22"/>
        </w:rPr>
        <w:t xml:space="preserve"> PBAC consideration</w:t>
      </w:r>
      <w:r w:rsidRPr="00B57E5F">
        <w:rPr>
          <w:rFonts w:ascii="Calibri" w:eastAsia="Calibri" w:hAnsi="Calibri"/>
          <w:i/>
          <w:iCs/>
          <w:szCs w:val="22"/>
        </w:rPr>
        <w:t xml:space="preserve">: </w:t>
      </w:r>
      <w:r w:rsidR="00B57E5F" w:rsidRPr="0069754C">
        <w:rPr>
          <w:rFonts w:ascii="Calibri" w:eastAsia="Calibri" w:hAnsi="Calibri"/>
          <w:szCs w:val="22"/>
        </w:rPr>
        <w:t>not registered</w:t>
      </w:r>
      <w:r w:rsidRPr="00B57E5F">
        <w:t>.</w:t>
      </w:r>
      <w:r w:rsidR="002B4C8A">
        <w:t xml:space="preserve"> </w:t>
      </w:r>
      <w:r w:rsidR="00F7289A" w:rsidRPr="00F7289A">
        <w:t xml:space="preserve">The </w:t>
      </w:r>
      <w:r w:rsidR="00AB357B">
        <w:t xml:space="preserve">submission was made </w:t>
      </w:r>
      <w:r w:rsidR="00F7289A" w:rsidRPr="00F7289A">
        <w:t xml:space="preserve">under the Therapeutic Goods Administration (TGA) and PBAC </w:t>
      </w:r>
      <w:r w:rsidR="00B57E5F" w:rsidRPr="00F7289A">
        <w:t xml:space="preserve">parallel </w:t>
      </w:r>
      <w:r w:rsidR="00F7289A" w:rsidRPr="00F7289A">
        <w:t>process</w:t>
      </w:r>
      <w:r w:rsidR="00AB357B">
        <w:t xml:space="preserve"> for the treatment of CD</w:t>
      </w:r>
      <w:r w:rsidR="00F7289A" w:rsidRPr="00F7289A">
        <w:t>. The proposed TGA indication is as follows: “TREMFYA is indicated for the treatment of adult patients with moderately to severely active Crohn’s disease who have had an inadequate response, lost response, or were intolerant to either conventional therapy or a biologic treatment.”</w:t>
      </w:r>
      <w:r w:rsidR="00AB357B">
        <w:t xml:space="preserve"> </w:t>
      </w:r>
      <w:r w:rsidR="00AB357B" w:rsidRPr="00F97BAD">
        <w:t xml:space="preserve">The TGA clinical evaluation report (CER) </w:t>
      </w:r>
      <w:r w:rsidR="00CD17AC" w:rsidRPr="00F97BAD">
        <w:t>and Delegate’s overview</w:t>
      </w:r>
      <w:r w:rsidR="00AB357B" w:rsidRPr="00F97BAD">
        <w:t xml:space="preserve"> </w:t>
      </w:r>
      <w:r w:rsidR="00CD17AC" w:rsidRPr="00F97BAD">
        <w:t xml:space="preserve">were </w:t>
      </w:r>
      <w:r w:rsidR="00AB357B" w:rsidRPr="00F97BAD">
        <w:t xml:space="preserve">available at the time of the evaluation, which indicated </w:t>
      </w:r>
      <w:r w:rsidR="005D139D" w:rsidRPr="00F97BAD">
        <w:t xml:space="preserve">that </w:t>
      </w:r>
      <w:r w:rsidR="003B4C41" w:rsidRPr="00F97BAD">
        <w:t xml:space="preserve">the magnitude of the treatment benefit, across a range of efficacy endpoints, indicated that GUS treatment, in both the induction and maintenance phases, were generally comparable to other Australia approved </w:t>
      </w:r>
      <w:r w:rsidR="0004680B" w:rsidRPr="00F97BAD">
        <w:t>anti-interleukin-23 (</w:t>
      </w:r>
      <w:r w:rsidR="003B4C41" w:rsidRPr="00F97BAD">
        <w:t>IL-23</w:t>
      </w:r>
      <w:r w:rsidR="0004680B" w:rsidRPr="00F97BAD">
        <w:t>)</w:t>
      </w:r>
      <w:r w:rsidR="003B4C41" w:rsidRPr="00F97BAD">
        <w:t xml:space="preserve"> inhibitors </w:t>
      </w:r>
      <w:r w:rsidR="00A03452" w:rsidRPr="00F97BAD">
        <w:t>[</w:t>
      </w:r>
      <w:r w:rsidR="00DC0C60" w:rsidRPr="00F97BAD">
        <w:t>e.g. UST</w:t>
      </w:r>
      <w:r w:rsidR="00A03452" w:rsidRPr="00F97BAD">
        <w:t>]</w:t>
      </w:r>
      <w:r w:rsidR="00DC0C60" w:rsidRPr="00F97BAD">
        <w:t xml:space="preserve"> </w:t>
      </w:r>
      <w:r w:rsidR="003B4C41" w:rsidRPr="00F97BAD">
        <w:t xml:space="preserve">for the treatment of adults with moderately to severely </w:t>
      </w:r>
      <w:r w:rsidR="000844AC" w:rsidRPr="00F97BAD">
        <w:t>CD</w:t>
      </w:r>
      <w:r w:rsidR="00A03452" w:rsidRPr="00F97BAD">
        <w:t xml:space="preserve"> ( TGA CER first round 09 January 2025</w:t>
      </w:r>
      <w:r w:rsidR="00CD17AC" w:rsidRPr="00F97BAD">
        <w:t>, TGA Delegate’s overview 5 May 2025</w:t>
      </w:r>
      <w:r w:rsidR="00A03452" w:rsidRPr="00F97BAD">
        <w:t>)</w:t>
      </w:r>
      <w:r w:rsidR="00AB357B" w:rsidRPr="00F97BAD">
        <w:t>.</w:t>
      </w:r>
    </w:p>
    <w:p w14:paraId="17ED9B02" w14:textId="207198BD" w:rsidR="006049BB" w:rsidRPr="00AB357B" w:rsidRDefault="00AB357B" w:rsidP="004E18E9">
      <w:pPr>
        <w:pStyle w:val="3-BodyText"/>
      </w:pPr>
      <w:r w:rsidRPr="00AB357B">
        <w:t xml:space="preserve">GUS is currently TGA approved for the treatment of psoriatic arthritis and psoriasis. The submission noted that TGA approval was also concurrently sought for the treatment of ulcerative colitis, but this submission </w:t>
      </w:r>
      <w:r w:rsidR="00772EF6">
        <w:t xml:space="preserve">did not </w:t>
      </w:r>
      <w:r w:rsidRPr="00AB357B">
        <w:t>request PBS listing for that indication.</w:t>
      </w:r>
    </w:p>
    <w:p w14:paraId="3E2A6EAB" w14:textId="469C8C0C" w:rsidR="005C25FF" w:rsidRPr="00621ADA" w:rsidRDefault="005C25FF" w:rsidP="004E18E9">
      <w:pPr>
        <w:pStyle w:val="4-SubsectionHeading"/>
      </w:pPr>
      <w:bookmarkStart w:id="7" w:name="_Toc22897639"/>
      <w:bookmarkStart w:id="8" w:name="_Toc198715629"/>
      <w:r w:rsidRPr="00621ADA">
        <w:lastRenderedPageBreak/>
        <w:t>Previous PBAC consideration</w:t>
      </w:r>
      <w:bookmarkEnd w:id="7"/>
      <w:bookmarkEnd w:id="8"/>
    </w:p>
    <w:p w14:paraId="739E0155" w14:textId="1E920D47" w:rsidR="00F7289A" w:rsidRPr="00F7289A" w:rsidRDefault="00F7289A" w:rsidP="002E4F02">
      <w:pPr>
        <w:pStyle w:val="3-BodyText"/>
      </w:pPr>
      <w:r>
        <w:t xml:space="preserve">The PBAC has not previously considered GUS for severe CD. GUS is </w:t>
      </w:r>
      <w:r w:rsidRPr="00F7289A">
        <w:t>currently listed on the PBS for treatment of chronic plaque psoriasis and psoriatic arthritis</w:t>
      </w:r>
      <w:r>
        <w:t>.</w:t>
      </w:r>
    </w:p>
    <w:p w14:paraId="76E4EF3C" w14:textId="2156A7F6" w:rsidR="00B60939" w:rsidRDefault="00B50DB8" w:rsidP="004E18E9">
      <w:pPr>
        <w:pStyle w:val="2-SectionHeading"/>
      </w:pPr>
      <w:bookmarkStart w:id="9" w:name="_Toc107902078"/>
      <w:bookmarkStart w:id="10" w:name="_Toc198715630"/>
      <w:bookmarkEnd w:id="9"/>
      <w:r w:rsidRPr="00407F2D">
        <w:t>Requested listing</w:t>
      </w:r>
      <w:bookmarkEnd w:id="10"/>
    </w:p>
    <w:p w14:paraId="147655FF" w14:textId="2E922440" w:rsidR="00F71152" w:rsidRPr="00882085" w:rsidRDefault="00F71152" w:rsidP="00F71152">
      <w:pPr>
        <w:pStyle w:val="3-BodyText"/>
      </w:pPr>
      <w:r w:rsidRPr="00F71152">
        <w:t xml:space="preserve">An abbreviated version of the requested restrictions for initial and continuing treatment is presented below.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Requested listing"/>
      </w:tblPr>
      <w:tblGrid>
        <w:gridCol w:w="2973"/>
        <w:gridCol w:w="2420"/>
        <w:gridCol w:w="805"/>
        <w:gridCol w:w="805"/>
        <w:gridCol w:w="805"/>
        <w:gridCol w:w="1214"/>
      </w:tblGrid>
      <w:tr w:rsidR="00F7289A" w:rsidRPr="001428E9" w14:paraId="2E95FC48" w14:textId="77777777" w:rsidTr="003B4C41">
        <w:trPr>
          <w:cantSplit/>
          <w:trHeight w:val="20"/>
        </w:trPr>
        <w:tc>
          <w:tcPr>
            <w:tcW w:w="1647" w:type="pct"/>
            <w:vAlign w:val="center"/>
          </w:tcPr>
          <w:p w14:paraId="4CD96AF7" w14:textId="77777777" w:rsidR="00F7289A" w:rsidRPr="001428E9" w:rsidRDefault="00F7289A" w:rsidP="00286E68">
            <w:pPr>
              <w:rPr>
                <w:rFonts w:ascii="Arial Narrow" w:hAnsi="Arial Narrow"/>
                <w:b/>
                <w:bCs/>
                <w:sz w:val="20"/>
                <w:szCs w:val="20"/>
              </w:rPr>
            </w:pPr>
            <w:r w:rsidRPr="001428E9">
              <w:rPr>
                <w:rFonts w:ascii="Arial Narrow" w:hAnsi="Arial Narrow"/>
                <w:b/>
                <w:bCs/>
                <w:sz w:val="20"/>
                <w:szCs w:val="20"/>
              </w:rPr>
              <w:t>MEDICINAL PRODUCT</w:t>
            </w:r>
          </w:p>
          <w:p w14:paraId="4BE96F27" w14:textId="77777777" w:rsidR="00F7289A" w:rsidRPr="001428E9" w:rsidRDefault="00F7289A" w:rsidP="00286E68">
            <w:pPr>
              <w:rPr>
                <w:rFonts w:ascii="Arial Narrow" w:hAnsi="Arial Narrow"/>
                <w:b/>
                <w:sz w:val="20"/>
                <w:szCs w:val="20"/>
              </w:rPr>
            </w:pPr>
            <w:r w:rsidRPr="001428E9">
              <w:rPr>
                <w:rFonts w:ascii="Arial Narrow" w:hAnsi="Arial Narrow"/>
                <w:b/>
                <w:bCs/>
                <w:sz w:val="20"/>
                <w:szCs w:val="20"/>
              </w:rPr>
              <w:t>medicinal product pack</w:t>
            </w:r>
          </w:p>
        </w:tc>
        <w:tc>
          <w:tcPr>
            <w:tcW w:w="1341" w:type="pct"/>
            <w:vAlign w:val="center"/>
          </w:tcPr>
          <w:p w14:paraId="555A1ACF" w14:textId="77777777" w:rsidR="00F7289A" w:rsidRPr="00C61A59" w:rsidRDefault="00F7289A" w:rsidP="00286E68">
            <w:pPr>
              <w:pStyle w:val="TableText0"/>
              <w:keepNext w:val="0"/>
              <w:rPr>
                <w:b/>
                <w:bCs w:val="0"/>
                <w:szCs w:val="20"/>
              </w:rPr>
            </w:pPr>
            <w:r w:rsidRPr="00C61A59">
              <w:rPr>
                <w:b/>
                <w:bCs w:val="0"/>
                <w:snapToGrid w:val="0"/>
              </w:rPr>
              <w:t xml:space="preserve">Dispensed Price for Max. Qty </w:t>
            </w:r>
          </w:p>
        </w:tc>
        <w:tc>
          <w:tcPr>
            <w:tcW w:w="446" w:type="pct"/>
            <w:vAlign w:val="center"/>
          </w:tcPr>
          <w:p w14:paraId="7CC369C3" w14:textId="77777777" w:rsidR="00F7289A" w:rsidRPr="001428E9" w:rsidRDefault="00F7289A" w:rsidP="00286E68">
            <w:pPr>
              <w:jc w:val="center"/>
              <w:rPr>
                <w:rFonts w:ascii="Arial Narrow" w:hAnsi="Arial Narrow"/>
                <w:b/>
                <w:sz w:val="20"/>
                <w:szCs w:val="20"/>
              </w:rPr>
            </w:pPr>
            <w:r w:rsidRPr="001428E9">
              <w:rPr>
                <w:rFonts w:ascii="Arial Narrow" w:hAnsi="Arial Narrow"/>
                <w:b/>
                <w:sz w:val="20"/>
                <w:szCs w:val="20"/>
              </w:rPr>
              <w:t>Max. qty packs</w:t>
            </w:r>
          </w:p>
        </w:tc>
        <w:tc>
          <w:tcPr>
            <w:tcW w:w="446" w:type="pct"/>
            <w:vAlign w:val="center"/>
          </w:tcPr>
          <w:p w14:paraId="6FBD53A0" w14:textId="77777777" w:rsidR="00F7289A" w:rsidRPr="001428E9" w:rsidRDefault="00F7289A" w:rsidP="00286E68">
            <w:pPr>
              <w:jc w:val="center"/>
              <w:rPr>
                <w:rFonts w:ascii="Arial Narrow" w:hAnsi="Arial Narrow"/>
                <w:b/>
                <w:sz w:val="20"/>
                <w:szCs w:val="20"/>
              </w:rPr>
            </w:pPr>
            <w:r w:rsidRPr="001428E9">
              <w:rPr>
                <w:rFonts w:ascii="Arial Narrow" w:hAnsi="Arial Narrow"/>
                <w:b/>
                <w:sz w:val="20"/>
                <w:szCs w:val="20"/>
              </w:rPr>
              <w:t>Max. qty units</w:t>
            </w:r>
          </w:p>
        </w:tc>
        <w:tc>
          <w:tcPr>
            <w:tcW w:w="446" w:type="pct"/>
            <w:vAlign w:val="center"/>
          </w:tcPr>
          <w:p w14:paraId="4D3E0FA5" w14:textId="77777777" w:rsidR="00F7289A" w:rsidRPr="001428E9" w:rsidRDefault="00F7289A" w:rsidP="00286E68">
            <w:pPr>
              <w:jc w:val="center"/>
              <w:rPr>
                <w:rFonts w:ascii="Arial Narrow" w:hAnsi="Arial Narrow"/>
                <w:b/>
                <w:sz w:val="20"/>
                <w:szCs w:val="20"/>
              </w:rPr>
            </w:pPr>
            <w:r w:rsidRPr="001428E9">
              <w:rPr>
                <w:rFonts w:ascii="Arial Narrow" w:hAnsi="Arial Narrow"/>
                <w:b/>
                <w:sz w:val="20"/>
                <w:szCs w:val="20"/>
              </w:rPr>
              <w:t>№.of</w:t>
            </w:r>
          </w:p>
          <w:p w14:paraId="60EB03C8" w14:textId="77777777" w:rsidR="00F7289A" w:rsidRPr="001428E9" w:rsidRDefault="00F7289A" w:rsidP="00286E68">
            <w:pPr>
              <w:jc w:val="center"/>
              <w:rPr>
                <w:rFonts w:ascii="Arial Narrow" w:hAnsi="Arial Narrow"/>
                <w:b/>
                <w:sz w:val="20"/>
                <w:szCs w:val="20"/>
              </w:rPr>
            </w:pPr>
            <w:r w:rsidRPr="001428E9">
              <w:rPr>
                <w:rFonts w:ascii="Arial Narrow" w:hAnsi="Arial Narrow"/>
                <w:b/>
                <w:sz w:val="20"/>
                <w:szCs w:val="20"/>
              </w:rPr>
              <w:t>Rpts</w:t>
            </w:r>
          </w:p>
        </w:tc>
        <w:tc>
          <w:tcPr>
            <w:tcW w:w="673" w:type="pct"/>
            <w:vAlign w:val="center"/>
          </w:tcPr>
          <w:p w14:paraId="32FCFD81" w14:textId="77777777" w:rsidR="00F7289A" w:rsidRPr="001428E9" w:rsidRDefault="00F7289A" w:rsidP="00286E68">
            <w:pPr>
              <w:rPr>
                <w:rFonts w:ascii="Arial Narrow" w:hAnsi="Arial Narrow"/>
                <w:b/>
                <w:sz w:val="20"/>
                <w:szCs w:val="20"/>
                <w:lang w:val="fr-FR"/>
              </w:rPr>
            </w:pPr>
            <w:r w:rsidRPr="001428E9">
              <w:rPr>
                <w:rFonts w:ascii="Arial Narrow" w:hAnsi="Arial Narrow"/>
                <w:b/>
                <w:sz w:val="20"/>
                <w:szCs w:val="20"/>
              </w:rPr>
              <w:t>Available brands</w:t>
            </w:r>
          </w:p>
        </w:tc>
      </w:tr>
      <w:tr w:rsidR="00F7289A" w:rsidRPr="001428E9" w14:paraId="43CDA938" w14:textId="77777777" w:rsidTr="003B4C41">
        <w:trPr>
          <w:cantSplit/>
          <w:trHeight w:val="20"/>
        </w:trPr>
        <w:tc>
          <w:tcPr>
            <w:tcW w:w="4997" w:type="pct"/>
            <w:gridSpan w:val="6"/>
            <w:vAlign w:val="center"/>
          </w:tcPr>
          <w:p w14:paraId="4AFC1565" w14:textId="77777777" w:rsidR="00F7289A" w:rsidRPr="001428E9" w:rsidRDefault="00F7289A" w:rsidP="00286E68">
            <w:pPr>
              <w:pStyle w:val="TableText0"/>
              <w:keepNext w:val="0"/>
              <w:rPr>
                <w:rFonts w:cs="Arial"/>
                <w:szCs w:val="20"/>
              </w:rPr>
            </w:pPr>
            <w:r>
              <w:rPr>
                <w:smallCaps/>
              </w:rPr>
              <w:t>Guselkumab</w:t>
            </w:r>
          </w:p>
        </w:tc>
      </w:tr>
      <w:tr w:rsidR="00F7289A" w:rsidRPr="003A4C14" w14:paraId="09CCEB52" w14:textId="77777777" w:rsidTr="003B4C41">
        <w:trPr>
          <w:cantSplit/>
          <w:trHeight w:val="20"/>
        </w:trPr>
        <w:tc>
          <w:tcPr>
            <w:tcW w:w="1647" w:type="pct"/>
            <w:vAlign w:val="center"/>
          </w:tcPr>
          <w:p w14:paraId="43E1A7E7" w14:textId="77777777" w:rsidR="00F7289A" w:rsidRPr="0044742D" w:rsidRDefault="00F7289A" w:rsidP="00286E68">
            <w:pPr>
              <w:pStyle w:val="TableText0"/>
              <w:keepNext w:val="0"/>
              <w:rPr>
                <w:b/>
                <w:bCs w:val="0"/>
              </w:rPr>
            </w:pPr>
            <w:r w:rsidRPr="0044742D">
              <w:rPr>
                <w:b/>
                <w:bCs w:val="0"/>
              </w:rPr>
              <w:t>Initial treatment</w:t>
            </w:r>
          </w:p>
          <w:p w14:paraId="42F32B99" w14:textId="77777777" w:rsidR="00F7289A" w:rsidRPr="00EF1E37" w:rsidRDefault="00F7289A" w:rsidP="00286E68">
            <w:pPr>
              <w:pStyle w:val="TableText0"/>
              <w:keepNext w:val="0"/>
            </w:pPr>
            <w:r>
              <w:t>200 mg / 20 mL, solution for IV infusion</w:t>
            </w:r>
          </w:p>
        </w:tc>
        <w:tc>
          <w:tcPr>
            <w:tcW w:w="1341" w:type="pct"/>
            <w:vAlign w:val="center"/>
          </w:tcPr>
          <w:p w14:paraId="05DC6EE4" w14:textId="77777777" w:rsidR="00F7289A" w:rsidRPr="00565C79" w:rsidRDefault="00F7289A" w:rsidP="00286E68">
            <w:pPr>
              <w:pStyle w:val="TableText0"/>
              <w:keepNext w:val="0"/>
              <w:jc w:val="center"/>
            </w:pPr>
            <w:r w:rsidRPr="0002023D">
              <w:rPr>
                <w:u w:val="single"/>
              </w:rPr>
              <w:t>Published</w:t>
            </w:r>
            <w:r w:rsidRPr="00222F00">
              <w:t>:</w:t>
            </w:r>
            <w:r>
              <w:t xml:space="preserve"> </w:t>
            </w:r>
            <w:r w:rsidRPr="00565C79">
              <w:t>$</w:t>
            </w:r>
            <w:r w:rsidRPr="00EF1E37">
              <w:t>3,452.89</w:t>
            </w:r>
            <w:r>
              <w:t xml:space="preserve"> (public); </w:t>
            </w:r>
            <w:r w:rsidRPr="0002023D">
              <w:t>$3,501.56</w:t>
            </w:r>
            <w:r>
              <w:t xml:space="preserve"> (private)</w:t>
            </w:r>
          </w:p>
          <w:p w14:paraId="7496E04A" w14:textId="5049A48C" w:rsidR="00F7289A" w:rsidRPr="001428E9" w:rsidRDefault="00F7289A" w:rsidP="00286E68">
            <w:pPr>
              <w:pStyle w:val="TableText0"/>
              <w:keepNext w:val="0"/>
              <w:jc w:val="center"/>
              <w:rPr>
                <w:szCs w:val="20"/>
              </w:rPr>
            </w:pPr>
            <w:r w:rsidRPr="0002023D">
              <w:rPr>
                <w:u w:val="single"/>
              </w:rPr>
              <w:t>Effective</w:t>
            </w:r>
            <w:r>
              <w:t xml:space="preserve">: </w:t>
            </w:r>
            <w:r w:rsidRPr="00565C79">
              <w:t>$</w:t>
            </w:r>
            <w:r w:rsidR="00E77A69" w:rsidRPr="00E77A69">
              <w:rPr>
                <w:color w:val="000000"/>
                <w:spacing w:val="48"/>
                <w:shd w:val="solid" w:color="000000" w:fill="000000"/>
                <w:fitText w:val="315" w:id="-628921600"/>
                <w14:textFill>
                  <w14:solidFill>
                    <w14:srgbClr w14:val="000000">
                      <w14:alpha w14:val="100000"/>
                    </w14:srgbClr>
                  </w14:solidFill>
                </w14:textFill>
              </w:rPr>
              <w:t>|||</w:t>
            </w:r>
            <w:r w:rsidR="00E77A69" w:rsidRPr="00E77A69">
              <w:rPr>
                <w:color w:val="000000"/>
                <w:spacing w:val="1"/>
                <w:shd w:val="solid" w:color="000000" w:fill="000000"/>
                <w:fitText w:val="315" w:id="-628921600"/>
                <w14:textFill>
                  <w14:solidFill>
                    <w14:srgbClr w14:val="000000">
                      <w14:alpha w14:val="100000"/>
                    </w14:srgbClr>
                  </w14:solidFill>
                </w14:textFill>
              </w:rPr>
              <w:t>|</w:t>
            </w:r>
            <w:r>
              <w:t xml:space="preserve"> (public);</w:t>
            </w:r>
            <w:r w:rsidRPr="0002023D">
              <w:rPr>
                <w:szCs w:val="20"/>
              </w:rPr>
              <w:t xml:space="preserve"> $</w:t>
            </w:r>
            <w:r w:rsidR="00E77A69" w:rsidRPr="00E77A69">
              <w:rPr>
                <w:color w:val="000000"/>
                <w:spacing w:val="48"/>
                <w:szCs w:val="20"/>
                <w:shd w:val="solid" w:color="000000" w:fill="000000"/>
                <w:fitText w:val="315" w:id="-628921599"/>
                <w14:textFill>
                  <w14:solidFill>
                    <w14:srgbClr w14:val="000000">
                      <w14:alpha w14:val="100000"/>
                    </w14:srgbClr>
                  </w14:solidFill>
                </w14:textFill>
              </w:rPr>
              <w:t>|||</w:t>
            </w:r>
            <w:r w:rsidR="00E77A69" w:rsidRPr="00E77A69">
              <w:rPr>
                <w:color w:val="000000"/>
                <w:spacing w:val="1"/>
                <w:szCs w:val="20"/>
                <w:shd w:val="solid" w:color="000000" w:fill="000000"/>
                <w:fitText w:val="315" w:id="-628921599"/>
                <w14:textFill>
                  <w14:solidFill>
                    <w14:srgbClr w14:val="000000">
                      <w14:alpha w14:val="100000"/>
                    </w14:srgbClr>
                  </w14:solidFill>
                </w14:textFill>
              </w:rPr>
              <w:t>|</w:t>
            </w:r>
            <w:r>
              <w:rPr>
                <w:szCs w:val="20"/>
              </w:rPr>
              <w:t xml:space="preserve"> (private)</w:t>
            </w:r>
          </w:p>
        </w:tc>
        <w:tc>
          <w:tcPr>
            <w:tcW w:w="446" w:type="pct"/>
            <w:vAlign w:val="center"/>
          </w:tcPr>
          <w:p w14:paraId="5B277150" w14:textId="77777777" w:rsidR="00F7289A" w:rsidRPr="001428E9" w:rsidRDefault="00F7289A" w:rsidP="00286E68">
            <w:pPr>
              <w:jc w:val="center"/>
              <w:rPr>
                <w:rFonts w:ascii="Arial Narrow" w:hAnsi="Arial Narrow"/>
                <w:sz w:val="20"/>
                <w:szCs w:val="20"/>
              </w:rPr>
            </w:pPr>
            <w:r>
              <w:rPr>
                <w:rFonts w:ascii="Arial Narrow" w:hAnsi="Arial Narrow"/>
                <w:sz w:val="20"/>
              </w:rPr>
              <w:t>1</w:t>
            </w:r>
          </w:p>
        </w:tc>
        <w:tc>
          <w:tcPr>
            <w:tcW w:w="446" w:type="pct"/>
            <w:vAlign w:val="center"/>
          </w:tcPr>
          <w:p w14:paraId="133302C6" w14:textId="77777777" w:rsidR="00F7289A" w:rsidRPr="001428E9" w:rsidRDefault="00F7289A" w:rsidP="00286E68">
            <w:pPr>
              <w:jc w:val="center"/>
              <w:rPr>
                <w:rFonts w:ascii="Arial Narrow" w:hAnsi="Arial Narrow"/>
                <w:sz w:val="20"/>
                <w:szCs w:val="20"/>
              </w:rPr>
            </w:pPr>
            <w:r>
              <w:rPr>
                <w:rFonts w:ascii="Arial Narrow" w:hAnsi="Arial Narrow"/>
                <w:sz w:val="20"/>
              </w:rPr>
              <w:t>1</w:t>
            </w:r>
          </w:p>
        </w:tc>
        <w:tc>
          <w:tcPr>
            <w:tcW w:w="446" w:type="pct"/>
            <w:vAlign w:val="center"/>
          </w:tcPr>
          <w:p w14:paraId="26FE314F" w14:textId="77777777" w:rsidR="00F7289A" w:rsidRPr="001428E9" w:rsidRDefault="00F7289A" w:rsidP="00286E68">
            <w:pPr>
              <w:jc w:val="center"/>
              <w:rPr>
                <w:rFonts w:ascii="Arial Narrow" w:hAnsi="Arial Narrow"/>
                <w:sz w:val="20"/>
                <w:szCs w:val="20"/>
              </w:rPr>
            </w:pPr>
            <w:r>
              <w:rPr>
                <w:rFonts w:ascii="Arial Narrow" w:hAnsi="Arial Narrow"/>
                <w:sz w:val="20"/>
                <w:szCs w:val="20"/>
              </w:rPr>
              <w:t>2</w:t>
            </w:r>
          </w:p>
        </w:tc>
        <w:tc>
          <w:tcPr>
            <w:tcW w:w="673" w:type="pct"/>
            <w:vMerge w:val="restart"/>
            <w:vAlign w:val="center"/>
          </w:tcPr>
          <w:p w14:paraId="00B67334" w14:textId="77777777" w:rsidR="00F7289A" w:rsidRPr="00E12BB2" w:rsidRDefault="00F7289A" w:rsidP="00286E68">
            <w:pPr>
              <w:rPr>
                <w:rFonts w:ascii="Arial Narrow" w:hAnsi="Arial Narrow"/>
                <w:sz w:val="20"/>
                <w:szCs w:val="20"/>
              </w:rPr>
            </w:pPr>
            <w:r w:rsidRPr="00E12BB2">
              <w:rPr>
                <w:rFonts w:ascii="Arial Narrow" w:hAnsi="Arial Narrow"/>
                <w:sz w:val="20"/>
                <w:szCs w:val="20"/>
              </w:rPr>
              <w:t>TREMFYA®</w:t>
            </w:r>
          </w:p>
          <w:p w14:paraId="726E3AA6" w14:textId="77777777" w:rsidR="00F7289A" w:rsidRPr="00E12BB2" w:rsidRDefault="00F7289A" w:rsidP="00286E68">
            <w:pPr>
              <w:rPr>
                <w:rFonts w:ascii="Arial Narrow" w:hAnsi="Arial Narrow"/>
                <w:sz w:val="20"/>
                <w:szCs w:val="20"/>
              </w:rPr>
            </w:pPr>
            <w:r w:rsidRPr="00E12BB2">
              <w:rPr>
                <w:rFonts w:ascii="Arial Narrow" w:hAnsi="Arial Narrow"/>
                <w:sz w:val="20"/>
                <w:szCs w:val="20"/>
              </w:rPr>
              <w:t>Janssen-Cilag Pty Ltd</w:t>
            </w:r>
          </w:p>
        </w:tc>
      </w:tr>
      <w:tr w:rsidR="00F7289A" w:rsidRPr="003A4C14" w14:paraId="7C7CA614" w14:textId="77777777" w:rsidTr="003B4C41">
        <w:trPr>
          <w:cantSplit/>
          <w:trHeight w:val="20"/>
        </w:trPr>
        <w:tc>
          <w:tcPr>
            <w:tcW w:w="1647" w:type="pct"/>
            <w:vAlign w:val="center"/>
          </w:tcPr>
          <w:p w14:paraId="156C4EEE"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Initial treatment</w:t>
            </w:r>
          </w:p>
          <w:p w14:paraId="771CC564" w14:textId="77777777" w:rsidR="00F7289A" w:rsidRPr="00EF1E37" w:rsidRDefault="00F7289A" w:rsidP="00286E68">
            <w:pPr>
              <w:rPr>
                <w:rFonts w:ascii="Arial Narrow" w:hAnsi="Arial Narrow"/>
                <w:sz w:val="20"/>
                <w:szCs w:val="20"/>
              </w:rPr>
            </w:pPr>
            <w:r>
              <w:rPr>
                <w:rFonts w:ascii="Arial Narrow" w:hAnsi="Arial Narrow"/>
                <w:sz w:val="20"/>
                <w:szCs w:val="20"/>
              </w:rPr>
              <w:t>200 mg / 2 mL, solution for injection in pre-filled pen (</w:t>
            </w:r>
            <w:proofErr w:type="spellStart"/>
            <w:r>
              <w:rPr>
                <w:rFonts w:ascii="Arial Narrow" w:hAnsi="Arial Narrow"/>
                <w:sz w:val="20"/>
                <w:szCs w:val="20"/>
              </w:rPr>
              <w:t>Ypsomate</w:t>
            </w:r>
            <w:proofErr w:type="spellEnd"/>
            <w:r>
              <w:rPr>
                <w:rFonts w:ascii="Arial Narrow" w:hAnsi="Arial Narrow"/>
                <w:sz w:val="20"/>
                <w:szCs w:val="20"/>
              </w:rPr>
              <w:t>® 2mL)</w:t>
            </w:r>
          </w:p>
        </w:tc>
        <w:tc>
          <w:tcPr>
            <w:tcW w:w="1341" w:type="pct"/>
            <w:vAlign w:val="center"/>
          </w:tcPr>
          <w:p w14:paraId="25CD91BA" w14:textId="08B5A9BF" w:rsidR="00F7289A" w:rsidRPr="003B4C41" w:rsidRDefault="00F7289A" w:rsidP="00286E68">
            <w:pPr>
              <w:pStyle w:val="TableText0"/>
              <w:keepNext w:val="0"/>
              <w:jc w:val="center"/>
              <w:rPr>
                <w:szCs w:val="20"/>
              </w:rPr>
            </w:pPr>
            <w:r w:rsidRPr="00DB0BBC">
              <w:rPr>
                <w:szCs w:val="20"/>
                <w:u w:val="single"/>
              </w:rPr>
              <w:t>Published</w:t>
            </w:r>
            <w:r w:rsidRPr="00DB0BBC">
              <w:rPr>
                <w:szCs w:val="20"/>
              </w:rPr>
              <w:t>: $7,06</w:t>
            </w:r>
            <w:r w:rsidR="00811F05" w:rsidRPr="00DB0BBC">
              <w:rPr>
                <w:szCs w:val="20"/>
              </w:rPr>
              <w:t>8</w:t>
            </w:r>
            <w:r w:rsidRPr="00DB0BBC">
              <w:rPr>
                <w:szCs w:val="20"/>
              </w:rPr>
              <w:t>.</w:t>
            </w:r>
            <w:r w:rsidR="00811F05" w:rsidRPr="00DB0BBC">
              <w:rPr>
                <w:szCs w:val="20"/>
              </w:rPr>
              <w:t>53</w:t>
            </w:r>
          </w:p>
          <w:p w14:paraId="5A5C64E9" w14:textId="57797A10" w:rsidR="00F7289A" w:rsidRPr="003B4C41" w:rsidRDefault="00F7289A" w:rsidP="00286E68">
            <w:pPr>
              <w:pStyle w:val="TableText0"/>
              <w:keepNext w:val="0"/>
              <w:jc w:val="center"/>
              <w:rPr>
                <w:szCs w:val="20"/>
              </w:rPr>
            </w:pPr>
            <w:r w:rsidRPr="003B4C41">
              <w:rPr>
                <w:szCs w:val="20"/>
                <w:u w:val="single"/>
              </w:rPr>
              <w:t>Effective</w:t>
            </w:r>
            <w:r w:rsidRPr="003B4C41">
              <w:rPr>
                <w:szCs w:val="20"/>
              </w:rPr>
              <w:t>: $</w:t>
            </w:r>
            <w:r w:rsidR="00E77A69" w:rsidRPr="00E77A69">
              <w:rPr>
                <w:i/>
                <w:iCs/>
                <w:color w:val="000000"/>
                <w:spacing w:val="48"/>
                <w:szCs w:val="20"/>
                <w:shd w:val="solid" w:color="000000" w:fill="000000"/>
                <w:fitText w:val="315" w:id="-628921598"/>
                <w14:textFill>
                  <w14:solidFill>
                    <w14:srgbClr w14:val="000000">
                      <w14:alpha w14:val="100000"/>
                    </w14:srgbClr>
                  </w14:solidFill>
                </w14:textFill>
              </w:rPr>
              <w:t>|||</w:t>
            </w:r>
            <w:r w:rsidR="00E77A69" w:rsidRPr="00E77A69">
              <w:rPr>
                <w:i/>
                <w:iCs/>
                <w:color w:val="000000"/>
                <w:spacing w:val="1"/>
                <w:szCs w:val="20"/>
                <w:shd w:val="solid" w:color="000000" w:fill="000000"/>
                <w:fitText w:val="315" w:id="-628921598"/>
                <w14:textFill>
                  <w14:solidFill>
                    <w14:srgbClr w14:val="000000">
                      <w14:alpha w14:val="100000"/>
                    </w14:srgbClr>
                  </w14:solidFill>
                </w14:textFill>
              </w:rPr>
              <w:t>|</w:t>
            </w:r>
            <w:r w:rsidR="0080085A" w:rsidRPr="0080085A">
              <w:rPr>
                <w:i/>
                <w:iCs/>
                <w:szCs w:val="20"/>
                <w:vertAlign w:val="superscript"/>
              </w:rPr>
              <w:t>a</w:t>
            </w:r>
          </w:p>
        </w:tc>
        <w:tc>
          <w:tcPr>
            <w:tcW w:w="446" w:type="pct"/>
            <w:vAlign w:val="center"/>
          </w:tcPr>
          <w:p w14:paraId="25981E68" w14:textId="77777777" w:rsidR="00F7289A" w:rsidRPr="001428E9" w:rsidRDefault="00F7289A" w:rsidP="00286E68">
            <w:pPr>
              <w:jc w:val="center"/>
              <w:rPr>
                <w:rFonts w:ascii="Arial Narrow" w:hAnsi="Arial Narrow"/>
                <w:sz w:val="20"/>
                <w:szCs w:val="20"/>
              </w:rPr>
            </w:pPr>
            <w:r>
              <w:rPr>
                <w:rFonts w:ascii="Arial Narrow" w:hAnsi="Arial Narrow"/>
                <w:sz w:val="20"/>
                <w:szCs w:val="20"/>
              </w:rPr>
              <w:t>1</w:t>
            </w:r>
          </w:p>
        </w:tc>
        <w:tc>
          <w:tcPr>
            <w:tcW w:w="446" w:type="pct"/>
            <w:vAlign w:val="center"/>
          </w:tcPr>
          <w:p w14:paraId="57D33480" w14:textId="77777777" w:rsidR="00F7289A" w:rsidRPr="001428E9" w:rsidRDefault="00F7289A" w:rsidP="00286E68">
            <w:pPr>
              <w:jc w:val="center"/>
              <w:rPr>
                <w:rFonts w:ascii="Arial Narrow" w:hAnsi="Arial Narrow"/>
                <w:sz w:val="20"/>
                <w:szCs w:val="20"/>
              </w:rPr>
            </w:pPr>
            <w:r>
              <w:rPr>
                <w:rFonts w:ascii="Arial Narrow" w:hAnsi="Arial Narrow"/>
                <w:sz w:val="20"/>
                <w:szCs w:val="20"/>
              </w:rPr>
              <w:t>2</w:t>
            </w:r>
          </w:p>
        </w:tc>
        <w:tc>
          <w:tcPr>
            <w:tcW w:w="446" w:type="pct"/>
            <w:vAlign w:val="center"/>
          </w:tcPr>
          <w:p w14:paraId="5C91FF98" w14:textId="77777777" w:rsidR="00F7289A" w:rsidRPr="001428E9" w:rsidRDefault="00F7289A" w:rsidP="00286E68">
            <w:pPr>
              <w:jc w:val="center"/>
              <w:rPr>
                <w:rFonts w:ascii="Arial Narrow" w:hAnsi="Arial Narrow"/>
                <w:sz w:val="20"/>
                <w:szCs w:val="20"/>
              </w:rPr>
            </w:pPr>
            <w:r>
              <w:rPr>
                <w:rFonts w:ascii="Arial Narrow" w:hAnsi="Arial Narrow"/>
                <w:sz w:val="20"/>
                <w:szCs w:val="20"/>
              </w:rPr>
              <w:t>2</w:t>
            </w:r>
          </w:p>
        </w:tc>
        <w:tc>
          <w:tcPr>
            <w:tcW w:w="673" w:type="pct"/>
            <w:vMerge/>
            <w:vAlign w:val="center"/>
          </w:tcPr>
          <w:p w14:paraId="6807560A" w14:textId="77777777" w:rsidR="00F7289A" w:rsidRPr="003A4C14" w:rsidRDefault="00F7289A" w:rsidP="00286E68">
            <w:pPr>
              <w:rPr>
                <w:rFonts w:ascii="Arial Narrow" w:hAnsi="Arial Narrow"/>
                <w:color w:val="0066FF"/>
                <w:sz w:val="20"/>
                <w:szCs w:val="20"/>
              </w:rPr>
            </w:pPr>
          </w:p>
        </w:tc>
      </w:tr>
      <w:tr w:rsidR="00F7289A" w:rsidRPr="003A4C14" w14:paraId="089CDA27" w14:textId="77777777" w:rsidTr="003B4C41">
        <w:trPr>
          <w:cantSplit/>
          <w:trHeight w:val="20"/>
        </w:trPr>
        <w:tc>
          <w:tcPr>
            <w:tcW w:w="1647" w:type="pct"/>
            <w:vAlign w:val="center"/>
          </w:tcPr>
          <w:p w14:paraId="54FC5569"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Initial treatment</w:t>
            </w:r>
          </w:p>
          <w:p w14:paraId="6F6578A1" w14:textId="77777777" w:rsidR="00F7289A" w:rsidRPr="00EF1E37" w:rsidRDefault="00F7289A" w:rsidP="00286E68">
            <w:pPr>
              <w:rPr>
                <w:rFonts w:ascii="Arial Narrow" w:hAnsi="Arial Narrow"/>
                <w:sz w:val="20"/>
                <w:szCs w:val="20"/>
              </w:rPr>
            </w:pPr>
            <w:r>
              <w:rPr>
                <w:rFonts w:ascii="Arial Narrow" w:hAnsi="Arial Narrow"/>
                <w:sz w:val="20"/>
                <w:szCs w:val="20"/>
              </w:rPr>
              <w:t>200 mg / 2 mL, solution for injection in pre-filled syringe (Ultrasafe® 2mL)</w:t>
            </w:r>
          </w:p>
        </w:tc>
        <w:tc>
          <w:tcPr>
            <w:tcW w:w="1341" w:type="pct"/>
            <w:vAlign w:val="center"/>
          </w:tcPr>
          <w:p w14:paraId="22D1B060" w14:textId="5FB2E581" w:rsidR="00F7289A" w:rsidRPr="003B4C41" w:rsidRDefault="00F7289A" w:rsidP="00286E68">
            <w:pPr>
              <w:pStyle w:val="TableText0"/>
              <w:keepNext w:val="0"/>
              <w:jc w:val="center"/>
              <w:rPr>
                <w:szCs w:val="20"/>
              </w:rPr>
            </w:pPr>
            <w:r w:rsidRPr="00DB0BBC">
              <w:rPr>
                <w:szCs w:val="20"/>
                <w:u w:val="single"/>
              </w:rPr>
              <w:t>Published</w:t>
            </w:r>
            <w:r w:rsidRPr="00DB0BBC">
              <w:rPr>
                <w:szCs w:val="20"/>
              </w:rPr>
              <w:t>: $7,06</w:t>
            </w:r>
            <w:r w:rsidR="00811F05" w:rsidRPr="00DB0BBC">
              <w:rPr>
                <w:szCs w:val="20"/>
              </w:rPr>
              <w:t>8</w:t>
            </w:r>
            <w:r w:rsidRPr="00DB0BBC">
              <w:rPr>
                <w:szCs w:val="20"/>
              </w:rPr>
              <w:t>.</w:t>
            </w:r>
            <w:r w:rsidR="00811F05" w:rsidRPr="00DB0BBC">
              <w:rPr>
                <w:szCs w:val="20"/>
              </w:rPr>
              <w:t>53</w:t>
            </w:r>
          </w:p>
          <w:p w14:paraId="61681E53" w14:textId="5BAAF630" w:rsidR="00F7289A" w:rsidRPr="003B4C41" w:rsidRDefault="00F7289A" w:rsidP="00286E68">
            <w:pPr>
              <w:pStyle w:val="TableText0"/>
              <w:keepNext w:val="0"/>
              <w:jc w:val="center"/>
            </w:pPr>
            <w:r w:rsidRPr="003B4C41">
              <w:rPr>
                <w:szCs w:val="20"/>
                <w:u w:val="single"/>
              </w:rPr>
              <w:t>Effective</w:t>
            </w:r>
            <w:r w:rsidRPr="003B4C41">
              <w:rPr>
                <w:szCs w:val="20"/>
              </w:rPr>
              <w:t>: $</w:t>
            </w:r>
            <w:r w:rsidR="00E77A69" w:rsidRPr="00E77A69">
              <w:rPr>
                <w:i/>
                <w:iCs/>
                <w:color w:val="000000"/>
                <w:spacing w:val="48"/>
                <w:szCs w:val="20"/>
                <w:shd w:val="solid" w:color="000000" w:fill="000000"/>
                <w:fitText w:val="315" w:id="-628921344"/>
                <w14:textFill>
                  <w14:solidFill>
                    <w14:srgbClr w14:val="000000">
                      <w14:alpha w14:val="100000"/>
                    </w14:srgbClr>
                  </w14:solidFill>
                </w14:textFill>
              </w:rPr>
              <w:t>|||</w:t>
            </w:r>
            <w:r w:rsidR="00E77A69" w:rsidRPr="00E77A69">
              <w:rPr>
                <w:i/>
                <w:iCs/>
                <w:color w:val="000000"/>
                <w:spacing w:val="1"/>
                <w:szCs w:val="20"/>
                <w:shd w:val="solid" w:color="000000" w:fill="000000"/>
                <w:fitText w:val="315" w:id="-628921344"/>
                <w14:textFill>
                  <w14:solidFill>
                    <w14:srgbClr w14:val="000000">
                      <w14:alpha w14:val="100000"/>
                    </w14:srgbClr>
                  </w14:solidFill>
                </w14:textFill>
              </w:rPr>
              <w:t>|</w:t>
            </w:r>
            <w:r w:rsidR="0080085A">
              <w:rPr>
                <w:i/>
                <w:iCs/>
                <w:szCs w:val="20"/>
                <w:vertAlign w:val="superscript"/>
              </w:rPr>
              <w:t>a</w:t>
            </w:r>
          </w:p>
        </w:tc>
        <w:tc>
          <w:tcPr>
            <w:tcW w:w="446" w:type="pct"/>
            <w:vAlign w:val="center"/>
          </w:tcPr>
          <w:p w14:paraId="726052FB" w14:textId="77777777" w:rsidR="00F7289A" w:rsidRPr="00AD4FDC" w:rsidRDefault="00F7289A" w:rsidP="00286E68">
            <w:pPr>
              <w:jc w:val="center"/>
              <w:rPr>
                <w:rFonts w:ascii="Arial Narrow" w:hAnsi="Arial Narrow"/>
                <w:sz w:val="20"/>
              </w:rPr>
            </w:pPr>
            <w:r>
              <w:rPr>
                <w:rFonts w:ascii="Arial Narrow" w:hAnsi="Arial Narrow"/>
                <w:sz w:val="20"/>
                <w:szCs w:val="20"/>
              </w:rPr>
              <w:t>1</w:t>
            </w:r>
          </w:p>
        </w:tc>
        <w:tc>
          <w:tcPr>
            <w:tcW w:w="446" w:type="pct"/>
            <w:vAlign w:val="center"/>
          </w:tcPr>
          <w:p w14:paraId="745C588C" w14:textId="77777777" w:rsidR="00F7289A" w:rsidRPr="00AD4FDC" w:rsidRDefault="00F7289A" w:rsidP="00286E68">
            <w:pPr>
              <w:jc w:val="center"/>
              <w:rPr>
                <w:rFonts w:ascii="Arial Narrow" w:hAnsi="Arial Narrow"/>
                <w:sz w:val="20"/>
              </w:rPr>
            </w:pPr>
            <w:r>
              <w:rPr>
                <w:rFonts w:ascii="Arial Narrow" w:hAnsi="Arial Narrow"/>
                <w:sz w:val="20"/>
                <w:szCs w:val="20"/>
              </w:rPr>
              <w:t>2</w:t>
            </w:r>
          </w:p>
        </w:tc>
        <w:tc>
          <w:tcPr>
            <w:tcW w:w="446" w:type="pct"/>
            <w:vAlign w:val="center"/>
          </w:tcPr>
          <w:p w14:paraId="15BDEC52" w14:textId="77777777" w:rsidR="00F7289A" w:rsidRPr="00AD4FDC" w:rsidRDefault="00F7289A" w:rsidP="00286E68">
            <w:pPr>
              <w:jc w:val="center"/>
              <w:rPr>
                <w:rFonts w:ascii="Arial Narrow" w:hAnsi="Arial Narrow"/>
                <w:sz w:val="20"/>
              </w:rPr>
            </w:pPr>
            <w:r>
              <w:rPr>
                <w:rFonts w:ascii="Arial Narrow" w:hAnsi="Arial Narrow"/>
                <w:sz w:val="20"/>
                <w:szCs w:val="20"/>
              </w:rPr>
              <w:t>2</w:t>
            </w:r>
          </w:p>
        </w:tc>
        <w:tc>
          <w:tcPr>
            <w:tcW w:w="673" w:type="pct"/>
            <w:vMerge/>
            <w:vAlign w:val="center"/>
          </w:tcPr>
          <w:p w14:paraId="321FCA33" w14:textId="77777777" w:rsidR="00F7289A" w:rsidRPr="003A4C14" w:rsidRDefault="00F7289A" w:rsidP="00286E68">
            <w:pPr>
              <w:rPr>
                <w:rFonts w:ascii="Arial Narrow" w:hAnsi="Arial Narrow"/>
                <w:sz w:val="20"/>
                <w:szCs w:val="20"/>
              </w:rPr>
            </w:pPr>
          </w:p>
        </w:tc>
      </w:tr>
      <w:tr w:rsidR="00F7289A" w:rsidRPr="003A4C14" w14:paraId="1CC33AE6" w14:textId="77777777" w:rsidTr="003B4C41">
        <w:trPr>
          <w:cantSplit/>
          <w:trHeight w:val="20"/>
        </w:trPr>
        <w:tc>
          <w:tcPr>
            <w:tcW w:w="1647" w:type="pct"/>
            <w:vAlign w:val="center"/>
          </w:tcPr>
          <w:p w14:paraId="0469B28F"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Continuing</w:t>
            </w:r>
          </w:p>
          <w:p w14:paraId="65F3C7C0" w14:textId="77777777" w:rsidR="00F7289A" w:rsidRPr="00EF1E37" w:rsidRDefault="00F7289A" w:rsidP="00286E68">
            <w:pPr>
              <w:rPr>
                <w:rFonts w:ascii="Arial Narrow" w:hAnsi="Arial Narrow"/>
                <w:sz w:val="20"/>
                <w:szCs w:val="20"/>
              </w:rPr>
            </w:pPr>
            <w:r w:rsidRPr="0002023D">
              <w:rPr>
                <w:rFonts w:ascii="Arial Narrow" w:hAnsi="Arial Narrow"/>
                <w:sz w:val="20"/>
                <w:szCs w:val="20"/>
              </w:rPr>
              <w:t>100 mg / 1 mL</w:t>
            </w:r>
            <w:r>
              <w:rPr>
                <w:rFonts w:ascii="Arial Narrow" w:hAnsi="Arial Narrow"/>
                <w:sz w:val="20"/>
                <w:szCs w:val="20"/>
              </w:rPr>
              <w:t>, solution for injection in pre-filled pen (One Press® 1mL)</w:t>
            </w:r>
          </w:p>
        </w:tc>
        <w:tc>
          <w:tcPr>
            <w:tcW w:w="1341" w:type="pct"/>
            <w:vAlign w:val="center"/>
          </w:tcPr>
          <w:p w14:paraId="54430C9B" w14:textId="5DDCB9AF" w:rsidR="00F7289A" w:rsidRDefault="00F7289A" w:rsidP="00286E68">
            <w:pPr>
              <w:pStyle w:val="TableText0"/>
              <w:keepNext w:val="0"/>
              <w:jc w:val="center"/>
            </w:pPr>
            <w:r w:rsidRPr="00DB0BBC">
              <w:rPr>
                <w:szCs w:val="20"/>
                <w:u w:val="single"/>
              </w:rPr>
              <w:t>Published</w:t>
            </w:r>
            <w:r w:rsidRPr="00DB0BBC">
              <w:rPr>
                <w:szCs w:val="20"/>
              </w:rPr>
              <w:t xml:space="preserve">: </w:t>
            </w:r>
            <w:r w:rsidRPr="00DB0BBC">
              <w:t>$3,61</w:t>
            </w:r>
            <w:r w:rsidR="00811F05" w:rsidRPr="00DB0BBC">
              <w:t>5</w:t>
            </w:r>
            <w:r w:rsidRPr="00DB0BBC">
              <w:t>.</w:t>
            </w:r>
            <w:r w:rsidR="00811F05" w:rsidRPr="00DB0BBC">
              <w:t>49</w:t>
            </w:r>
          </w:p>
          <w:p w14:paraId="2B4779D1" w14:textId="3843EC0B" w:rsidR="00F7289A" w:rsidRPr="00565C79" w:rsidRDefault="00F7289A" w:rsidP="00286E68">
            <w:pPr>
              <w:pStyle w:val="TableText0"/>
              <w:keepNext w:val="0"/>
              <w:jc w:val="center"/>
            </w:pPr>
            <w:r w:rsidRPr="0044742D">
              <w:rPr>
                <w:szCs w:val="20"/>
                <w:u w:val="single"/>
              </w:rPr>
              <w:t>Effective</w:t>
            </w:r>
            <w:r>
              <w:rPr>
                <w:szCs w:val="20"/>
              </w:rPr>
              <w:t xml:space="preserve">: </w:t>
            </w:r>
            <w:r w:rsidRPr="0044742D">
              <w:t>$</w:t>
            </w:r>
            <w:r w:rsidR="00E77A69" w:rsidRPr="00E77A69">
              <w:rPr>
                <w:color w:val="000000"/>
                <w:spacing w:val="48"/>
                <w:shd w:val="solid" w:color="000000" w:fill="000000"/>
                <w:fitText w:val="315" w:id="-628921343"/>
                <w14:textFill>
                  <w14:solidFill>
                    <w14:srgbClr w14:val="000000">
                      <w14:alpha w14:val="100000"/>
                    </w14:srgbClr>
                  </w14:solidFill>
                </w14:textFill>
              </w:rPr>
              <w:t>|||</w:t>
            </w:r>
            <w:r w:rsidR="00E77A69" w:rsidRPr="00E77A69">
              <w:rPr>
                <w:color w:val="000000"/>
                <w:spacing w:val="1"/>
                <w:shd w:val="solid" w:color="000000" w:fill="000000"/>
                <w:fitText w:val="315" w:id="-628921343"/>
                <w14:textFill>
                  <w14:solidFill>
                    <w14:srgbClr w14:val="000000">
                      <w14:alpha w14:val="100000"/>
                    </w14:srgbClr>
                  </w14:solidFill>
                </w14:textFill>
              </w:rPr>
              <w:t>|</w:t>
            </w:r>
          </w:p>
        </w:tc>
        <w:tc>
          <w:tcPr>
            <w:tcW w:w="446" w:type="pct"/>
            <w:vAlign w:val="center"/>
          </w:tcPr>
          <w:p w14:paraId="701902CA"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0A8D049C"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5EF686A6" w14:textId="77777777" w:rsidR="00F7289A" w:rsidRPr="00AD4FDC" w:rsidRDefault="00F7289A" w:rsidP="00286E68">
            <w:pPr>
              <w:jc w:val="center"/>
              <w:rPr>
                <w:rFonts w:ascii="Arial Narrow" w:hAnsi="Arial Narrow"/>
                <w:sz w:val="20"/>
              </w:rPr>
            </w:pPr>
            <w:r>
              <w:rPr>
                <w:rFonts w:ascii="Arial Narrow" w:hAnsi="Arial Narrow"/>
                <w:sz w:val="20"/>
              </w:rPr>
              <w:t>2</w:t>
            </w:r>
          </w:p>
        </w:tc>
        <w:tc>
          <w:tcPr>
            <w:tcW w:w="673" w:type="pct"/>
            <w:vMerge/>
            <w:vAlign w:val="center"/>
          </w:tcPr>
          <w:p w14:paraId="32986E10" w14:textId="77777777" w:rsidR="00F7289A" w:rsidRPr="003A4C14" w:rsidRDefault="00F7289A" w:rsidP="00286E68">
            <w:pPr>
              <w:rPr>
                <w:rFonts w:ascii="Arial Narrow" w:hAnsi="Arial Narrow"/>
                <w:sz w:val="20"/>
                <w:szCs w:val="20"/>
              </w:rPr>
            </w:pPr>
          </w:p>
        </w:tc>
      </w:tr>
      <w:tr w:rsidR="00F7289A" w:rsidRPr="003A4C14" w14:paraId="3A9E1E50" w14:textId="77777777" w:rsidTr="003B4C41">
        <w:trPr>
          <w:cantSplit/>
          <w:trHeight w:val="20"/>
        </w:trPr>
        <w:tc>
          <w:tcPr>
            <w:tcW w:w="1647" w:type="pct"/>
            <w:vAlign w:val="center"/>
          </w:tcPr>
          <w:p w14:paraId="08B7504A"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Continuing</w:t>
            </w:r>
          </w:p>
          <w:p w14:paraId="7B8FEC57" w14:textId="77777777" w:rsidR="00F7289A" w:rsidRPr="00EF1E37" w:rsidRDefault="00F7289A" w:rsidP="00286E68">
            <w:pPr>
              <w:rPr>
                <w:rFonts w:ascii="Arial Narrow" w:hAnsi="Arial Narrow"/>
                <w:sz w:val="20"/>
                <w:szCs w:val="20"/>
              </w:rPr>
            </w:pPr>
            <w:r w:rsidRPr="0002023D">
              <w:rPr>
                <w:rFonts w:ascii="Arial Narrow" w:hAnsi="Arial Narrow"/>
                <w:sz w:val="20"/>
                <w:szCs w:val="20"/>
              </w:rPr>
              <w:t>100 mg / 1 mL</w:t>
            </w:r>
            <w:r>
              <w:rPr>
                <w:rFonts w:ascii="Arial Narrow" w:hAnsi="Arial Narrow"/>
                <w:sz w:val="20"/>
                <w:szCs w:val="20"/>
              </w:rPr>
              <w:t>, solution for injection in pre-filled syringe (Ultrasafe® 1mL)</w:t>
            </w:r>
          </w:p>
        </w:tc>
        <w:tc>
          <w:tcPr>
            <w:tcW w:w="1341" w:type="pct"/>
            <w:vAlign w:val="center"/>
          </w:tcPr>
          <w:p w14:paraId="5B6AAE0E" w14:textId="22F577A3" w:rsidR="00F7289A" w:rsidRDefault="00F7289A" w:rsidP="00286E68">
            <w:pPr>
              <w:pStyle w:val="TableText0"/>
              <w:keepNext w:val="0"/>
              <w:jc w:val="center"/>
            </w:pPr>
            <w:r w:rsidRPr="00357B99">
              <w:rPr>
                <w:szCs w:val="20"/>
                <w:u w:val="single"/>
              </w:rPr>
              <w:t>Published</w:t>
            </w:r>
            <w:r>
              <w:rPr>
                <w:szCs w:val="20"/>
              </w:rPr>
              <w:t xml:space="preserve">: </w:t>
            </w:r>
            <w:r>
              <w:t>$3,</w:t>
            </w:r>
            <w:r w:rsidRPr="0080085A">
              <w:t>61</w:t>
            </w:r>
            <w:r w:rsidR="00811F05" w:rsidRPr="0080085A">
              <w:t>5</w:t>
            </w:r>
            <w:r w:rsidRPr="0080085A">
              <w:t>.</w:t>
            </w:r>
            <w:r w:rsidR="00811F05" w:rsidRPr="0080085A">
              <w:t>49</w:t>
            </w:r>
          </w:p>
          <w:p w14:paraId="26A43105" w14:textId="67794F90" w:rsidR="00F7289A" w:rsidRPr="00565C79" w:rsidRDefault="00F7289A" w:rsidP="00286E68">
            <w:pPr>
              <w:pStyle w:val="TableText0"/>
              <w:keepNext w:val="0"/>
              <w:jc w:val="center"/>
            </w:pPr>
            <w:r w:rsidRPr="0044742D">
              <w:rPr>
                <w:szCs w:val="20"/>
                <w:u w:val="single"/>
              </w:rPr>
              <w:t>Effective</w:t>
            </w:r>
            <w:r>
              <w:rPr>
                <w:szCs w:val="20"/>
              </w:rPr>
              <w:t xml:space="preserve">: </w:t>
            </w:r>
            <w:r w:rsidRPr="0044742D">
              <w:t>$</w:t>
            </w:r>
            <w:r w:rsidR="00E77A69" w:rsidRPr="00E77A69">
              <w:rPr>
                <w:color w:val="000000"/>
                <w:spacing w:val="48"/>
                <w:shd w:val="solid" w:color="000000" w:fill="000000"/>
                <w:fitText w:val="315" w:id="-628921342"/>
                <w14:textFill>
                  <w14:solidFill>
                    <w14:srgbClr w14:val="000000">
                      <w14:alpha w14:val="100000"/>
                    </w14:srgbClr>
                  </w14:solidFill>
                </w14:textFill>
              </w:rPr>
              <w:t>|||</w:t>
            </w:r>
            <w:r w:rsidR="00E77A69" w:rsidRPr="00E77A69">
              <w:rPr>
                <w:color w:val="000000"/>
                <w:spacing w:val="1"/>
                <w:shd w:val="solid" w:color="000000" w:fill="000000"/>
                <w:fitText w:val="315" w:id="-628921342"/>
                <w14:textFill>
                  <w14:solidFill>
                    <w14:srgbClr w14:val="000000">
                      <w14:alpha w14:val="100000"/>
                    </w14:srgbClr>
                  </w14:solidFill>
                </w14:textFill>
              </w:rPr>
              <w:t>|</w:t>
            </w:r>
          </w:p>
        </w:tc>
        <w:tc>
          <w:tcPr>
            <w:tcW w:w="446" w:type="pct"/>
            <w:vAlign w:val="center"/>
          </w:tcPr>
          <w:p w14:paraId="03F94FCE"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0E775427"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12E40622" w14:textId="77777777" w:rsidR="00F7289A" w:rsidRPr="00AD4FDC" w:rsidRDefault="00F7289A" w:rsidP="00286E68">
            <w:pPr>
              <w:jc w:val="center"/>
              <w:rPr>
                <w:rFonts w:ascii="Arial Narrow" w:hAnsi="Arial Narrow"/>
                <w:sz w:val="20"/>
              </w:rPr>
            </w:pPr>
            <w:r>
              <w:rPr>
                <w:rFonts w:ascii="Arial Narrow" w:hAnsi="Arial Narrow"/>
                <w:sz w:val="20"/>
              </w:rPr>
              <w:t>2</w:t>
            </w:r>
          </w:p>
        </w:tc>
        <w:tc>
          <w:tcPr>
            <w:tcW w:w="673" w:type="pct"/>
            <w:vMerge/>
            <w:vAlign w:val="center"/>
          </w:tcPr>
          <w:p w14:paraId="50CBEF09" w14:textId="77777777" w:rsidR="00F7289A" w:rsidRPr="003A4C14" w:rsidRDefault="00F7289A" w:rsidP="00286E68">
            <w:pPr>
              <w:rPr>
                <w:rFonts w:ascii="Arial Narrow" w:hAnsi="Arial Narrow"/>
                <w:sz w:val="20"/>
                <w:szCs w:val="20"/>
              </w:rPr>
            </w:pPr>
          </w:p>
        </w:tc>
      </w:tr>
      <w:tr w:rsidR="00F7289A" w:rsidRPr="003A4C14" w14:paraId="00B09CA6" w14:textId="77777777" w:rsidTr="003B4C41">
        <w:trPr>
          <w:cantSplit/>
          <w:trHeight w:val="20"/>
        </w:trPr>
        <w:tc>
          <w:tcPr>
            <w:tcW w:w="1647" w:type="pct"/>
            <w:vAlign w:val="center"/>
          </w:tcPr>
          <w:p w14:paraId="5EFDA812"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Continuing</w:t>
            </w:r>
          </w:p>
          <w:p w14:paraId="44259F8B" w14:textId="77777777" w:rsidR="00F7289A" w:rsidRPr="00EF1E37" w:rsidRDefault="00F7289A" w:rsidP="00286E68">
            <w:pPr>
              <w:rPr>
                <w:rFonts w:ascii="Arial Narrow" w:hAnsi="Arial Narrow"/>
                <w:sz w:val="20"/>
                <w:szCs w:val="20"/>
              </w:rPr>
            </w:pPr>
            <w:r>
              <w:rPr>
                <w:rFonts w:ascii="Arial Narrow" w:hAnsi="Arial Narrow"/>
                <w:sz w:val="20"/>
                <w:szCs w:val="20"/>
              </w:rPr>
              <w:t>2</w:t>
            </w:r>
            <w:r w:rsidRPr="0002023D">
              <w:rPr>
                <w:rFonts w:ascii="Arial Narrow" w:hAnsi="Arial Narrow"/>
                <w:sz w:val="20"/>
                <w:szCs w:val="20"/>
              </w:rPr>
              <w:t xml:space="preserve">00 mg / </w:t>
            </w:r>
            <w:r>
              <w:rPr>
                <w:rFonts w:ascii="Arial Narrow" w:hAnsi="Arial Narrow"/>
                <w:sz w:val="20"/>
                <w:szCs w:val="20"/>
              </w:rPr>
              <w:t>2</w:t>
            </w:r>
            <w:r w:rsidRPr="0002023D">
              <w:rPr>
                <w:rFonts w:ascii="Arial Narrow" w:hAnsi="Arial Narrow"/>
                <w:sz w:val="20"/>
                <w:szCs w:val="20"/>
              </w:rPr>
              <w:t xml:space="preserve"> mL</w:t>
            </w:r>
            <w:r>
              <w:rPr>
                <w:rFonts w:ascii="Arial Narrow" w:hAnsi="Arial Narrow"/>
                <w:sz w:val="20"/>
                <w:szCs w:val="20"/>
              </w:rPr>
              <w:t>, solution for injection in pre-filled pen (</w:t>
            </w:r>
            <w:proofErr w:type="spellStart"/>
            <w:r>
              <w:rPr>
                <w:rFonts w:ascii="Arial Narrow" w:hAnsi="Arial Narrow"/>
                <w:sz w:val="20"/>
                <w:szCs w:val="20"/>
              </w:rPr>
              <w:t>Ypsomate</w:t>
            </w:r>
            <w:proofErr w:type="spellEnd"/>
            <w:r>
              <w:rPr>
                <w:rFonts w:ascii="Arial Narrow" w:hAnsi="Arial Narrow"/>
                <w:sz w:val="20"/>
                <w:szCs w:val="20"/>
              </w:rPr>
              <w:t>® 2mL)</w:t>
            </w:r>
          </w:p>
        </w:tc>
        <w:tc>
          <w:tcPr>
            <w:tcW w:w="1341" w:type="pct"/>
            <w:vAlign w:val="center"/>
          </w:tcPr>
          <w:p w14:paraId="72666BA3" w14:textId="14D92F61" w:rsidR="00F7289A" w:rsidRDefault="00F7289A" w:rsidP="00286E68">
            <w:pPr>
              <w:pStyle w:val="TableText0"/>
              <w:keepNext w:val="0"/>
              <w:jc w:val="center"/>
            </w:pPr>
            <w:r w:rsidRPr="00357B99">
              <w:rPr>
                <w:szCs w:val="20"/>
                <w:u w:val="single"/>
              </w:rPr>
              <w:t>Published</w:t>
            </w:r>
            <w:r>
              <w:rPr>
                <w:szCs w:val="20"/>
              </w:rPr>
              <w:t xml:space="preserve">: </w:t>
            </w:r>
            <w:r>
              <w:t>$3,61</w:t>
            </w:r>
            <w:r w:rsidR="00811F05" w:rsidRPr="0080085A">
              <w:t>5</w:t>
            </w:r>
            <w:r w:rsidRPr="0080085A">
              <w:t>.</w:t>
            </w:r>
            <w:r w:rsidR="00811F05" w:rsidRPr="0080085A">
              <w:t>49</w:t>
            </w:r>
          </w:p>
          <w:p w14:paraId="5E3C4BBE" w14:textId="79BCCC5F" w:rsidR="00F7289A" w:rsidRPr="00565C79" w:rsidRDefault="00F7289A" w:rsidP="00286E68">
            <w:pPr>
              <w:pStyle w:val="TableText0"/>
              <w:keepNext w:val="0"/>
              <w:jc w:val="center"/>
            </w:pPr>
            <w:r w:rsidRPr="0044742D">
              <w:rPr>
                <w:szCs w:val="20"/>
                <w:u w:val="single"/>
              </w:rPr>
              <w:t>Effective</w:t>
            </w:r>
            <w:r>
              <w:rPr>
                <w:szCs w:val="20"/>
              </w:rPr>
              <w:t xml:space="preserve">: </w:t>
            </w:r>
            <w:r w:rsidRPr="0044742D">
              <w:t>$</w:t>
            </w:r>
            <w:r w:rsidR="00E77A69" w:rsidRPr="00E77A69">
              <w:rPr>
                <w:color w:val="000000"/>
                <w:spacing w:val="48"/>
                <w:shd w:val="solid" w:color="000000" w:fill="000000"/>
                <w:fitText w:val="315" w:id="-628921341"/>
                <w14:textFill>
                  <w14:solidFill>
                    <w14:srgbClr w14:val="000000">
                      <w14:alpha w14:val="100000"/>
                    </w14:srgbClr>
                  </w14:solidFill>
                </w14:textFill>
              </w:rPr>
              <w:t>|||</w:t>
            </w:r>
            <w:r w:rsidR="00E77A69" w:rsidRPr="00E77A69">
              <w:rPr>
                <w:color w:val="000000"/>
                <w:spacing w:val="1"/>
                <w:shd w:val="solid" w:color="000000" w:fill="000000"/>
                <w:fitText w:val="315" w:id="-628921341"/>
                <w14:textFill>
                  <w14:solidFill>
                    <w14:srgbClr w14:val="000000">
                      <w14:alpha w14:val="100000"/>
                    </w14:srgbClr>
                  </w14:solidFill>
                </w14:textFill>
              </w:rPr>
              <w:t>|</w:t>
            </w:r>
          </w:p>
        </w:tc>
        <w:tc>
          <w:tcPr>
            <w:tcW w:w="446" w:type="pct"/>
            <w:vAlign w:val="center"/>
          </w:tcPr>
          <w:p w14:paraId="4A3297DB"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11F8929D"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081D53A6" w14:textId="77777777" w:rsidR="00F7289A" w:rsidRPr="00AD4FDC" w:rsidRDefault="00F7289A" w:rsidP="00286E68">
            <w:pPr>
              <w:jc w:val="center"/>
              <w:rPr>
                <w:rFonts w:ascii="Arial Narrow" w:hAnsi="Arial Narrow"/>
                <w:sz w:val="20"/>
              </w:rPr>
            </w:pPr>
            <w:r>
              <w:rPr>
                <w:rFonts w:ascii="Arial Narrow" w:hAnsi="Arial Narrow"/>
                <w:sz w:val="20"/>
              </w:rPr>
              <w:t>5</w:t>
            </w:r>
          </w:p>
        </w:tc>
        <w:tc>
          <w:tcPr>
            <w:tcW w:w="673" w:type="pct"/>
            <w:vMerge/>
            <w:vAlign w:val="center"/>
          </w:tcPr>
          <w:p w14:paraId="681ECD23" w14:textId="77777777" w:rsidR="00F7289A" w:rsidRPr="003A4C14" w:rsidRDefault="00F7289A" w:rsidP="00286E68">
            <w:pPr>
              <w:rPr>
                <w:rFonts w:ascii="Arial Narrow" w:hAnsi="Arial Narrow"/>
                <w:sz w:val="20"/>
                <w:szCs w:val="20"/>
              </w:rPr>
            </w:pPr>
          </w:p>
        </w:tc>
      </w:tr>
      <w:tr w:rsidR="00F7289A" w:rsidRPr="003A4C14" w14:paraId="482C03A1" w14:textId="77777777" w:rsidTr="003B4C41">
        <w:trPr>
          <w:cantSplit/>
          <w:trHeight w:val="20"/>
        </w:trPr>
        <w:tc>
          <w:tcPr>
            <w:tcW w:w="1647" w:type="pct"/>
            <w:vAlign w:val="center"/>
          </w:tcPr>
          <w:p w14:paraId="1276331F"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Continuing</w:t>
            </w:r>
          </w:p>
          <w:p w14:paraId="5B93E32F" w14:textId="77777777" w:rsidR="00F7289A" w:rsidRPr="00EF1E37" w:rsidRDefault="00F7289A" w:rsidP="00286E68">
            <w:pPr>
              <w:rPr>
                <w:rFonts w:ascii="Arial Narrow" w:hAnsi="Arial Narrow"/>
                <w:sz w:val="20"/>
                <w:szCs w:val="20"/>
              </w:rPr>
            </w:pPr>
            <w:r>
              <w:rPr>
                <w:rFonts w:ascii="Arial Narrow" w:hAnsi="Arial Narrow"/>
                <w:sz w:val="20"/>
                <w:szCs w:val="20"/>
              </w:rPr>
              <w:t>2</w:t>
            </w:r>
            <w:r w:rsidRPr="0002023D">
              <w:rPr>
                <w:rFonts w:ascii="Arial Narrow" w:hAnsi="Arial Narrow"/>
                <w:sz w:val="20"/>
                <w:szCs w:val="20"/>
              </w:rPr>
              <w:t xml:space="preserve">00 mg / </w:t>
            </w:r>
            <w:r>
              <w:rPr>
                <w:rFonts w:ascii="Arial Narrow" w:hAnsi="Arial Narrow"/>
                <w:sz w:val="20"/>
                <w:szCs w:val="20"/>
              </w:rPr>
              <w:t>2</w:t>
            </w:r>
            <w:r w:rsidRPr="0002023D">
              <w:rPr>
                <w:rFonts w:ascii="Arial Narrow" w:hAnsi="Arial Narrow"/>
                <w:sz w:val="20"/>
                <w:szCs w:val="20"/>
              </w:rPr>
              <w:t xml:space="preserve"> mL</w:t>
            </w:r>
            <w:r>
              <w:rPr>
                <w:rFonts w:ascii="Arial Narrow" w:hAnsi="Arial Narrow"/>
                <w:sz w:val="20"/>
                <w:szCs w:val="20"/>
              </w:rPr>
              <w:t>, solution for injection in pre-filled syringe (Ultrasafe® 2mL)</w:t>
            </w:r>
          </w:p>
        </w:tc>
        <w:tc>
          <w:tcPr>
            <w:tcW w:w="1341" w:type="pct"/>
            <w:vAlign w:val="center"/>
          </w:tcPr>
          <w:p w14:paraId="537F6CE2" w14:textId="1E298C43" w:rsidR="00F7289A" w:rsidRDefault="00F7289A" w:rsidP="00286E68">
            <w:pPr>
              <w:pStyle w:val="TableText0"/>
              <w:keepNext w:val="0"/>
              <w:jc w:val="center"/>
            </w:pPr>
            <w:r w:rsidRPr="00357B99">
              <w:rPr>
                <w:szCs w:val="20"/>
                <w:u w:val="single"/>
              </w:rPr>
              <w:t>Published</w:t>
            </w:r>
            <w:r>
              <w:rPr>
                <w:szCs w:val="20"/>
              </w:rPr>
              <w:t xml:space="preserve">: </w:t>
            </w:r>
            <w:r>
              <w:t>$3,615.49</w:t>
            </w:r>
          </w:p>
          <w:p w14:paraId="5A810459" w14:textId="015989EF" w:rsidR="00F7289A" w:rsidRPr="00565C79" w:rsidRDefault="00F7289A" w:rsidP="00286E68">
            <w:pPr>
              <w:pStyle w:val="TableText0"/>
              <w:keepNext w:val="0"/>
              <w:jc w:val="center"/>
            </w:pPr>
            <w:r w:rsidRPr="0044742D">
              <w:rPr>
                <w:szCs w:val="20"/>
                <w:u w:val="single"/>
              </w:rPr>
              <w:t>Effective</w:t>
            </w:r>
            <w:r>
              <w:rPr>
                <w:szCs w:val="20"/>
              </w:rPr>
              <w:t xml:space="preserve">: </w:t>
            </w:r>
            <w:r w:rsidRPr="0044742D">
              <w:t>$</w:t>
            </w:r>
            <w:r w:rsidR="00E77A69" w:rsidRPr="00E77A69">
              <w:rPr>
                <w:color w:val="000000"/>
                <w:spacing w:val="48"/>
                <w:shd w:val="solid" w:color="000000" w:fill="000000"/>
                <w:fitText w:val="315" w:id="-628921340"/>
                <w14:textFill>
                  <w14:solidFill>
                    <w14:srgbClr w14:val="000000">
                      <w14:alpha w14:val="100000"/>
                    </w14:srgbClr>
                  </w14:solidFill>
                </w14:textFill>
              </w:rPr>
              <w:t>|||</w:t>
            </w:r>
            <w:r w:rsidR="00E77A69" w:rsidRPr="00E77A69">
              <w:rPr>
                <w:color w:val="000000"/>
                <w:spacing w:val="1"/>
                <w:shd w:val="solid" w:color="000000" w:fill="000000"/>
                <w:fitText w:val="315" w:id="-628921340"/>
                <w14:textFill>
                  <w14:solidFill>
                    <w14:srgbClr w14:val="000000">
                      <w14:alpha w14:val="100000"/>
                    </w14:srgbClr>
                  </w14:solidFill>
                </w14:textFill>
              </w:rPr>
              <w:t>|</w:t>
            </w:r>
          </w:p>
        </w:tc>
        <w:tc>
          <w:tcPr>
            <w:tcW w:w="446" w:type="pct"/>
            <w:vAlign w:val="center"/>
          </w:tcPr>
          <w:p w14:paraId="2290B9E7"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25389827"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0731E3B8" w14:textId="77777777" w:rsidR="00F7289A" w:rsidRPr="00AD4FDC" w:rsidRDefault="00F7289A" w:rsidP="00286E68">
            <w:pPr>
              <w:jc w:val="center"/>
              <w:rPr>
                <w:rFonts w:ascii="Arial Narrow" w:hAnsi="Arial Narrow"/>
                <w:sz w:val="20"/>
              </w:rPr>
            </w:pPr>
            <w:r>
              <w:rPr>
                <w:rFonts w:ascii="Arial Narrow" w:hAnsi="Arial Narrow"/>
                <w:sz w:val="20"/>
              </w:rPr>
              <w:t>5</w:t>
            </w:r>
          </w:p>
        </w:tc>
        <w:tc>
          <w:tcPr>
            <w:tcW w:w="673" w:type="pct"/>
            <w:vMerge/>
            <w:vAlign w:val="center"/>
          </w:tcPr>
          <w:p w14:paraId="1FF9AB44" w14:textId="77777777" w:rsidR="00F7289A" w:rsidRPr="003A4C14" w:rsidRDefault="00F7289A" w:rsidP="00286E68">
            <w:pPr>
              <w:rPr>
                <w:rFonts w:ascii="Arial Narrow" w:hAnsi="Arial Narrow"/>
                <w:sz w:val="20"/>
                <w:szCs w:val="20"/>
              </w:rPr>
            </w:pPr>
          </w:p>
        </w:tc>
      </w:tr>
      <w:tr w:rsidR="00F7289A" w:rsidRPr="00046D64" w14:paraId="610D661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47EA0501" w14:textId="77777777" w:rsidR="00F7289A" w:rsidRDefault="00F7289A" w:rsidP="00286E68">
            <w:pPr>
              <w:pStyle w:val="TableText0"/>
              <w:keepNext w:val="0"/>
              <w:rPr>
                <w:b/>
              </w:rPr>
            </w:pPr>
            <w:r w:rsidRPr="00046D64">
              <w:rPr>
                <w:b/>
              </w:rPr>
              <w:t xml:space="preserve">Category / Program: </w:t>
            </w:r>
          </w:p>
          <w:p w14:paraId="77CEC403" w14:textId="77777777" w:rsidR="00F7289A" w:rsidRPr="00DE5290" w:rsidRDefault="00F7289A" w:rsidP="00286E68">
            <w:pPr>
              <w:pStyle w:val="TableText0"/>
              <w:keepNext w:val="0"/>
              <w:rPr>
                <w:bCs w:val="0"/>
              </w:rPr>
            </w:pPr>
            <w:r w:rsidRPr="00DE5290">
              <w:rPr>
                <w:bCs w:val="0"/>
              </w:rPr>
              <w:t>Section 100 - Highly Specialised Drugs (public/private), IV infusion</w:t>
            </w:r>
          </w:p>
          <w:p w14:paraId="5242A053" w14:textId="77777777" w:rsidR="00F7289A" w:rsidRPr="00046D64" w:rsidRDefault="00F7289A" w:rsidP="00286E68">
            <w:pPr>
              <w:pStyle w:val="TableText0"/>
              <w:keepNext w:val="0"/>
            </w:pPr>
            <w:r w:rsidRPr="00DE5290">
              <w:rPr>
                <w:bCs w:val="0"/>
              </w:rPr>
              <w:t>Section 85 – General Schedule, SC injection</w:t>
            </w:r>
          </w:p>
        </w:tc>
      </w:tr>
      <w:tr w:rsidR="00F7289A" w:rsidRPr="00046D64" w14:paraId="14D1C8FE"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A128DAB" w14:textId="77777777" w:rsidR="00F7289A" w:rsidRPr="00046D64" w:rsidRDefault="00F7289A" w:rsidP="00286E68">
            <w:pPr>
              <w:pStyle w:val="TableText0"/>
              <w:keepNext w:val="0"/>
              <w:rPr>
                <w:rFonts w:eastAsia="Times New Roman"/>
              </w:rPr>
            </w:pPr>
            <w:r w:rsidRPr="00046D64">
              <w:rPr>
                <w:b/>
              </w:rPr>
              <w:t xml:space="preserve">Restriction type: </w:t>
            </w:r>
            <w:r>
              <w:rPr>
                <w:rFonts w:eastAsia="Times New Roman"/>
              </w:rPr>
              <w:fldChar w:fldCharType="begin">
                <w:ffData>
                  <w:name w:val=""/>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046D64">
              <w:rPr>
                <w:rFonts w:eastAsia="Times New Roman"/>
              </w:rPr>
              <w:t>Authority Required (in writing)</w:t>
            </w:r>
          </w:p>
        </w:tc>
      </w:tr>
      <w:tr w:rsidR="00F7289A" w:rsidRPr="00046D64" w14:paraId="780149E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4F187304" w14:textId="77777777" w:rsidR="00F7289A" w:rsidRPr="00046D64" w:rsidRDefault="00F7289A" w:rsidP="00286E68">
            <w:pPr>
              <w:pStyle w:val="TableText0"/>
              <w:keepNext w:val="0"/>
            </w:pPr>
            <w:r w:rsidRPr="00046D64">
              <w:rPr>
                <w:b/>
              </w:rPr>
              <w:t>Indication:</w:t>
            </w:r>
            <w:r w:rsidRPr="00046D64">
              <w:t xml:space="preserve"> </w:t>
            </w:r>
            <w:r w:rsidRPr="00DE5290">
              <w:t>Severe Crohn disease</w:t>
            </w:r>
          </w:p>
        </w:tc>
      </w:tr>
      <w:tr w:rsidR="00F7289A" w:rsidRPr="00046D64" w14:paraId="04FFBA2C"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647C0604" w14:textId="77777777" w:rsidR="00F7289A" w:rsidRPr="00046D64" w:rsidRDefault="00F7289A" w:rsidP="00286E68">
            <w:pPr>
              <w:pStyle w:val="TableText0"/>
              <w:keepNext w:val="0"/>
            </w:pPr>
            <w:r w:rsidRPr="00046D64">
              <w:rPr>
                <w:b/>
              </w:rPr>
              <w:t>Treatment Phase:</w:t>
            </w:r>
            <w:r w:rsidRPr="00046D64">
              <w:t xml:space="preserve"> </w:t>
            </w:r>
            <w:r w:rsidRPr="002F5EC4">
              <w:rPr>
                <w:b/>
                <w:bCs w:val="0"/>
              </w:rPr>
              <w:t>Initial 1 (new patient)</w:t>
            </w:r>
          </w:p>
        </w:tc>
      </w:tr>
      <w:tr w:rsidR="00F7289A" w:rsidRPr="00046D64" w14:paraId="4DE4E376"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6195E0FB" w14:textId="77777777" w:rsidR="00F7289A" w:rsidRPr="00046D64" w:rsidRDefault="00F7289A" w:rsidP="00286E68">
            <w:pPr>
              <w:pStyle w:val="TableText0"/>
              <w:keepNext w:val="0"/>
            </w:pPr>
            <w:r w:rsidRPr="00046D64">
              <w:rPr>
                <w:b/>
              </w:rPr>
              <w:t>Clinical criteria:</w:t>
            </w:r>
          </w:p>
        </w:tc>
      </w:tr>
      <w:tr w:rsidR="00F7289A" w:rsidRPr="00046D64" w14:paraId="7E63786E"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tcPr>
          <w:p w14:paraId="60F6FD62" w14:textId="77777777" w:rsidR="00F7289A" w:rsidRPr="00046D64" w:rsidRDefault="00F7289A" w:rsidP="00286E68">
            <w:pPr>
              <w:pStyle w:val="TableText0"/>
              <w:keepNext w:val="0"/>
            </w:pPr>
            <w:r>
              <w:t>Patient must have confirmed severe Crohn disease</w:t>
            </w:r>
          </w:p>
        </w:tc>
      </w:tr>
      <w:tr w:rsidR="00F7289A" w:rsidRPr="00046D64" w14:paraId="0AB6EC0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49102060" w14:textId="77777777" w:rsidR="00F7289A" w:rsidRPr="00DE5290" w:rsidRDefault="00F7289A" w:rsidP="00286E68">
            <w:pPr>
              <w:pStyle w:val="TableText0"/>
              <w:keepNext w:val="0"/>
              <w:rPr>
                <w:b/>
                <w:bCs w:val="0"/>
              </w:rPr>
            </w:pPr>
            <w:r w:rsidRPr="00DE5290">
              <w:rPr>
                <w:b/>
                <w:bCs w:val="0"/>
              </w:rPr>
              <w:t>AND</w:t>
            </w:r>
          </w:p>
        </w:tc>
      </w:tr>
      <w:tr w:rsidR="00F7289A" w:rsidRPr="00046D64" w14:paraId="6000554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26888FC6" w14:textId="77777777" w:rsidR="00F7289A" w:rsidRPr="00046D64" w:rsidRDefault="00F7289A" w:rsidP="00286E68">
            <w:pPr>
              <w:pStyle w:val="TableText0"/>
              <w:keepNext w:val="0"/>
            </w:pPr>
            <w:r w:rsidRPr="00E334C9">
              <w:t>Patient must have failed to achieve an adequate response to prior systemic therapy (corticosteroids and at least 3 months of immunosuppressive therapy)</w:t>
            </w:r>
          </w:p>
        </w:tc>
      </w:tr>
      <w:tr w:rsidR="00F7289A" w:rsidRPr="00046D64" w14:paraId="54F7C06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07D36C8B" w14:textId="77777777" w:rsidR="00F7289A" w:rsidRPr="00DE5290" w:rsidRDefault="00F7289A" w:rsidP="00286E68">
            <w:pPr>
              <w:pStyle w:val="TableText0"/>
              <w:keepNext w:val="0"/>
              <w:rPr>
                <w:b/>
                <w:bCs w:val="0"/>
              </w:rPr>
            </w:pPr>
            <w:r w:rsidRPr="00DE5290">
              <w:rPr>
                <w:b/>
                <w:bCs w:val="0"/>
              </w:rPr>
              <w:t>AND</w:t>
            </w:r>
          </w:p>
        </w:tc>
      </w:tr>
      <w:tr w:rsidR="00F7289A" w:rsidRPr="00046D64" w14:paraId="5E9F65A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3F9BFF56" w14:textId="77777777" w:rsidR="00F7289A" w:rsidRPr="00046D64" w:rsidRDefault="00F7289A" w:rsidP="00286E68">
            <w:pPr>
              <w:pStyle w:val="TableText0"/>
              <w:keepNext w:val="0"/>
            </w:pPr>
            <w:r w:rsidRPr="00D03F78">
              <w:t>Patient must have severity of disease activity with CDAI ≥300; OR CDAI ≥220 with extensive small intestine disease</w:t>
            </w:r>
          </w:p>
        </w:tc>
      </w:tr>
      <w:tr w:rsidR="00F7289A" w:rsidRPr="00046D64" w14:paraId="43EC1A45"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240A8DBC" w14:textId="77777777" w:rsidR="00F7289A" w:rsidRPr="00DE5290" w:rsidRDefault="00F7289A" w:rsidP="00286E68">
            <w:pPr>
              <w:pStyle w:val="TableText0"/>
              <w:keepNext w:val="0"/>
              <w:rPr>
                <w:b/>
                <w:bCs w:val="0"/>
              </w:rPr>
            </w:pPr>
            <w:r w:rsidRPr="00DE5290">
              <w:rPr>
                <w:b/>
                <w:bCs w:val="0"/>
              </w:rPr>
              <w:t>AND</w:t>
            </w:r>
          </w:p>
        </w:tc>
      </w:tr>
      <w:tr w:rsidR="00F7289A" w:rsidRPr="00046D64" w14:paraId="6FB87425"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3B8B304" w14:textId="77777777" w:rsidR="00F7289A" w:rsidRPr="00046D64" w:rsidRDefault="00F7289A" w:rsidP="00286E68">
            <w:pPr>
              <w:pStyle w:val="TableText0"/>
              <w:keepNext w:val="0"/>
            </w:pPr>
            <w:r w:rsidRPr="00673BA1">
              <w:t>Evidence of intestinal inflammation; OR in high faecal output state; OR require surgery or total parenteral nutrition as the next therapeutic option</w:t>
            </w:r>
          </w:p>
        </w:tc>
      </w:tr>
      <w:tr w:rsidR="00F7289A" w:rsidRPr="00046D64" w14:paraId="225D05BA"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124CAB87" w14:textId="77777777" w:rsidR="00F7289A" w:rsidRPr="00DE5290" w:rsidRDefault="00F7289A" w:rsidP="00286E68">
            <w:pPr>
              <w:pStyle w:val="TableText0"/>
              <w:keepNext w:val="0"/>
              <w:rPr>
                <w:b/>
                <w:bCs w:val="0"/>
              </w:rPr>
            </w:pPr>
            <w:r w:rsidRPr="00DE5290">
              <w:rPr>
                <w:b/>
                <w:bCs w:val="0"/>
              </w:rPr>
              <w:t>AND</w:t>
            </w:r>
          </w:p>
        </w:tc>
      </w:tr>
      <w:tr w:rsidR="00F7289A" w:rsidRPr="00046D64" w14:paraId="667F56A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bottom w:val="single" w:sz="4" w:space="0" w:color="auto"/>
            </w:tcBorders>
          </w:tcPr>
          <w:p w14:paraId="65B18670" w14:textId="77777777" w:rsidR="00F7289A" w:rsidRPr="00046D64" w:rsidRDefault="00F7289A" w:rsidP="00286E68">
            <w:pPr>
              <w:pStyle w:val="TableText0"/>
              <w:keepNext w:val="0"/>
            </w:pPr>
            <w:r w:rsidRPr="00ED441E">
              <w:lastRenderedPageBreak/>
              <w:t>The treatment must not exceed a total of 3 doses to be administered at weeks 0, 4 and 8 under this restriction</w:t>
            </w:r>
          </w:p>
        </w:tc>
      </w:tr>
      <w:tr w:rsidR="00F7289A" w:rsidRPr="00046D64" w14:paraId="58855CE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3E2CD21C" w14:textId="77777777" w:rsidR="00F7289A" w:rsidRPr="00046D64" w:rsidRDefault="00F7289A" w:rsidP="00286E68">
            <w:pPr>
              <w:pStyle w:val="TableText0"/>
              <w:keepNext w:val="0"/>
            </w:pPr>
            <w:r w:rsidRPr="00046D64">
              <w:rPr>
                <w:b/>
              </w:rPr>
              <w:t>Treatment criteria:</w:t>
            </w:r>
          </w:p>
        </w:tc>
      </w:tr>
      <w:tr w:rsidR="00F7289A" w:rsidRPr="00046D64" w14:paraId="23905A2C"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0F49F6DE" w14:textId="77777777" w:rsidR="00F7289A" w:rsidRPr="00DE5290" w:rsidRDefault="00F7289A" w:rsidP="00286E68">
            <w:pPr>
              <w:pStyle w:val="TableText0"/>
              <w:keepNext w:val="0"/>
            </w:pPr>
            <w:r w:rsidRPr="00DE5290">
              <w:t>Must be treated by a gastroenterologist or consultant physician [specialising in gastroenterology]</w:t>
            </w:r>
          </w:p>
        </w:tc>
      </w:tr>
      <w:tr w:rsidR="00F7289A" w:rsidRPr="00046D64" w14:paraId="7678221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73E0144F" w14:textId="77777777" w:rsidR="00F7289A" w:rsidRPr="00046D64" w:rsidRDefault="00F7289A" w:rsidP="00286E68">
            <w:pPr>
              <w:pStyle w:val="TableText0"/>
              <w:keepNext w:val="0"/>
            </w:pPr>
            <w:r w:rsidRPr="00046D64">
              <w:rPr>
                <w:b/>
              </w:rPr>
              <w:t>Population criteria:</w:t>
            </w:r>
          </w:p>
        </w:tc>
      </w:tr>
      <w:tr w:rsidR="00F7289A" w:rsidRPr="00046D64" w14:paraId="75C1CCB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bottom w:val="double" w:sz="4" w:space="0" w:color="auto"/>
            </w:tcBorders>
            <w:vAlign w:val="center"/>
          </w:tcPr>
          <w:p w14:paraId="79C0D53F" w14:textId="77777777" w:rsidR="00F7289A" w:rsidRPr="00E8505D" w:rsidRDefault="00F7289A" w:rsidP="00286E68">
            <w:pPr>
              <w:pStyle w:val="TableText0"/>
              <w:keepNext w:val="0"/>
            </w:pPr>
            <w:r w:rsidRPr="00E8505D">
              <w:t>Patient must be aged 18 years or older</w:t>
            </w:r>
          </w:p>
        </w:tc>
      </w:tr>
      <w:tr w:rsidR="00F7289A" w:rsidRPr="002F5EC4" w14:paraId="117B93C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tcBorders>
          </w:tcPr>
          <w:p w14:paraId="26D6976A" w14:textId="77777777" w:rsidR="00F7289A" w:rsidRPr="002F5EC4" w:rsidRDefault="00F7289A" w:rsidP="00286E68">
            <w:pPr>
              <w:pStyle w:val="TableText0"/>
              <w:keepNext w:val="0"/>
              <w:rPr>
                <w:b/>
              </w:rPr>
            </w:pPr>
            <w:r w:rsidRPr="002F5EC4">
              <w:rPr>
                <w:b/>
              </w:rPr>
              <w:t>Treatment Phase: Initial 2 (change or recommencement of treatment after a break in biological medicine of less than 5 years)</w:t>
            </w:r>
          </w:p>
        </w:tc>
      </w:tr>
      <w:tr w:rsidR="00F7289A" w:rsidRPr="00046D64" w14:paraId="49CE3C0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4CE00936" w14:textId="77777777" w:rsidR="00F7289A" w:rsidRPr="00046D64" w:rsidRDefault="00F7289A" w:rsidP="00286E68">
            <w:pPr>
              <w:pStyle w:val="TableText0"/>
              <w:keepNext w:val="0"/>
            </w:pPr>
            <w:r w:rsidRPr="00046D64">
              <w:rPr>
                <w:b/>
              </w:rPr>
              <w:t>Clinical criteria:</w:t>
            </w:r>
          </w:p>
        </w:tc>
      </w:tr>
      <w:tr w:rsidR="00F7289A" w:rsidRPr="00046D64" w14:paraId="51974BA5"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07E0AE9C" w14:textId="77777777" w:rsidR="00F7289A" w:rsidRPr="00DE5290" w:rsidRDefault="00F7289A" w:rsidP="00286E68">
            <w:pPr>
              <w:pStyle w:val="TableText0"/>
              <w:keepNext w:val="0"/>
              <w:rPr>
                <w:bCs w:val="0"/>
              </w:rPr>
            </w:pPr>
            <w:r w:rsidRPr="00AE74AF">
              <w:t>Patient must have received prior PBS-subsidised treatment with a biologic for this condition in this treatment cycle</w:t>
            </w:r>
          </w:p>
        </w:tc>
      </w:tr>
      <w:tr w:rsidR="00F7289A" w:rsidRPr="00046D64" w14:paraId="45361886"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343DE2E4" w14:textId="77777777" w:rsidR="00F7289A" w:rsidRPr="00DE5290" w:rsidRDefault="00F7289A" w:rsidP="00286E68">
            <w:pPr>
              <w:pStyle w:val="TableText0"/>
              <w:keepNext w:val="0"/>
              <w:rPr>
                <w:b/>
                <w:bCs w:val="0"/>
              </w:rPr>
            </w:pPr>
            <w:r w:rsidRPr="00DE5290">
              <w:rPr>
                <w:b/>
                <w:bCs w:val="0"/>
              </w:rPr>
              <w:t>AND</w:t>
            </w:r>
          </w:p>
        </w:tc>
      </w:tr>
      <w:tr w:rsidR="00F7289A" w:rsidRPr="00046D64" w14:paraId="07FDF51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4757A266" w14:textId="77777777" w:rsidR="00F7289A" w:rsidRPr="00DE5290" w:rsidRDefault="00F7289A" w:rsidP="00286E68">
            <w:pPr>
              <w:pStyle w:val="TableText0"/>
              <w:keepNext w:val="0"/>
              <w:rPr>
                <w:bCs w:val="0"/>
              </w:rPr>
            </w:pPr>
            <w:r w:rsidRPr="00AE74AF">
              <w:t>Patient must not have failed PBS-subsidised therapy with this drug for this condition more than once in the current treatment cycle</w:t>
            </w:r>
          </w:p>
        </w:tc>
      </w:tr>
      <w:tr w:rsidR="00F7289A" w:rsidRPr="00046D64" w14:paraId="7B35290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34B0BC50" w14:textId="77777777" w:rsidR="00F7289A" w:rsidRPr="00DE5290" w:rsidRDefault="00F7289A" w:rsidP="00286E68">
            <w:pPr>
              <w:pStyle w:val="TableText0"/>
              <w:keepNext w:val="0"/>
              <w:rPr>
                <w:b/>
                <w:bCs w:val="0"/>
              </w:rPr>
            </w:pPr>
            <w:r w:rsidRPr="00DE5290">
              <w:rPr>
                <w:b/>
                <w:bCs w:val="0"/>
              </w:rPr>
              <w:t>AND</w:t>
            </w:r>
          </w:p>
        </w:tc>
      </w:tr>
      <w:tr w:rsidR="00F7289A" w:rsidRPr="00046D64" w14:paraId="2D386A4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bottom w:val="double" w:sz="4" w:space="0" w:color="auto"/>
            </w:tcBorders>
          </w:tcPr>
          <w:p w14:paraId="41747EFC" w14:textId="77777777" w:rsidR="00F7289A" w:rsidRPr="00DE5290" w:rsidRDefault="00F7289A" w:rsidP="00286E68">
            <w:pPr>
              <w:pStyle w:val="TableText0"/>
              <w:keepNext w:val="0"/>
              <w:rPr>
                <w:bCs w:val="0"/>
              </w:rPr>
            </w:pPr>
            <w:r w:rsidRPr="00AE74AF">
              <w:t>The treatment must not exceed a total of 3 doses to be administered at weeks 0, 4 and 8 under this restriction</w:t>
            </w:r>
          </w:p>
        </w:tc>
      </w:tr>
      <w:tr w:rsidR="00F7289A" w:rsidRPr="002F5EC4" w14:paraId="2FA5BA8C"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tcBorders>
          </w:tcPr>
          <w:p w14:paraId="685212BD" w14:textId="77777777" w:rsidR="00F7289A" w:rsidRPr="002F5EC4" w:rsidRDefault="00F7289A" w:rsidP="00286E68">
            <w:pPr>
              <w:pStyle w:val="TableText0"/>
              <w:keepNext w:val="0"/>
              <w:rPr>
                <w:b/>
              </w:rPr>
            </w:pPr>
            <w:r w:rsidRPr="002F5EC4">
              <w:rPr>
                <w:b/>
              </w:rPr>
              <w:t>Treatment Phase: Initial 3 (recommencement of treatment after a break in biological medicine of more than 5 years)</w:t>
            </w:r>
          </w:p>
        </w:tc>
      </w:tr>
      <w:tr w:rsidR="00F7289A" w:rsidRPr="00046D64" w14:paraId="0307AD79"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tcPr>
          <w:p w14:paraId="03F25731" w14:textId="77777777" w:rsidR="00F7289A" w:rsidRPr="00DE5290" w:rsidRDefault="00F7289A" w:rsidP="00286E68">
            <w:pPr>
              <w:pStyle w:val="TableText0"/>
              <w:keepNext w:val="0"/>
              <w:rPr>
                <w:bCs w:val="0"/>
              </w:rPr>
            </w:pPr>
            <w:r w:rsidRPr="00046D64">
              <w:rPr>
                <w:b/>
              </w:rPr>
              <w:t>Clinical criteria:</w:t>
            </w:r>
          </w:p>
        </w:tc>
      </w:tr>
      <w:tr w:rsidR="00F7289A" w:rsidRPr="00046D64" w14:paraId="28F93B2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896B70C" w14:textId="77777777" w:rsidR="00F7289A" w:rsidRPr="00DE5290" w:rsidRDefault="00F7289A" w:rsidP="00286E68">
            <w:pPr>
              <w:pStyle w:val="TableText0"/>
              <w:keepNext w:val="0"/>
              <w:rPr>
                <w:bCs w:val="0"/>
              </w:rPr>
            </w:pPr>
            <w:r w:rsidRPr="008833F7">
              <w:t>Patient must have received treatment with this drug for this PBS indication prior to [PBS listing date]</w:t>
            </w:r>
          </w:p>
        </w:tc>
      </w:tr>
      <w:tr w:rsidR="00F7289A" w:rsidRPr="00046D64" w14:paraId="419CDB62"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7C5E1D74" w14:textId="77777777" w:rsidR="00F7289A" w:rsidRPr="002F5EC4" w:rsidRDefault="00F7289A" w:rsidP="00286E68">
            <w:pPr>
              <w:pStyle w:val="TableText0"/>
              <w:keepNext w:val="0"/>
              <w:rPr>
                <w:b/>
                <w:bCs w:val="0"/>
              </w:rPr>
            </w:pPr>
            <w:r w:rsidRPr="002F5EC4">
              <w:rPr>
                <w:b/>
                <w:bCs w:val="0"/>
              </w:rPr>
              <w:t>AND</w:t>
            </w:r>
          </w:p>
        </w:tc>
      </w:tr>
      <w:tr w:rsidR="00F7289A" w:rsidRPr="00046D64" w14:paraId="41E0F1FF"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39991C56" w14:textId="77777777" w:rsidR="00F7289A" w:rsidRPr="00DE5290" w:rsidRDefault="00F7289A" w:rsidP="00286E68">
            <w:pPr>
              <w:pStyle w:val="TableText0"/>
              <w:keepNext w:val="0"/>
              <w:rPr>
                <w:bCs w:val="0"/>
              </w:rPr>
            </w:pPr>
            <w:r w:rsidRPr="008833F7">
              <w:t>Patient must have confirmed severe Crohn disease</w:t>
            </w:r>
          </w:p>
        </w:tc>
      </w:tr>
      <w:tr w:rsidR="00F7289A" w:rsidRPr="00046D64" w14:paraId="2DE6485A"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6DB0ACE9" w14:textId="77777777" w:rsidR="00F7289A" w:rsidRPr="002F5EC4" w:rsidRDefault="00F7289A" w:rsidP="00286E68">
            <w:pPr>
              <w:pStyle w:val="TableText0"/>
              <w:keepNext w:val="0"/>
              <w:rPr>
                <w:b/>
                <w:bCs w:val="0"/>
              </w:rPr>
            </w:pPr>
            <w:r w:rsidRPr="002F5EC4">
              <w:rPr>
                <w:b/>
                <w:bCs w:val="0"/>
              </w:rPr>
              <w:t>AND</w:t>
            </w:r>
          </w:p>
        </w:tc>
      </w:tr>
      <w:tr w:rsidR="00F7289A" w:rsidRPr="00046D64" w14:paraId="209E28C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76727923" w14:textId="77777777" w:rsidR="00F7289A" w:rsidRPr="00DE5290" w:rsidRDefault="00F7289A" w:rsidP="00286E68">
            <w:pPr>
              <w:pStyle w:val="TableText0"/>
              <w:keepNext w:val="0"/>
              <w:rPr>
                <w:bCs w:val="0"/>
              </w:rPr>
            </w:pPr>
            <w:r w:rsidRPr="00262AD9">
              <w:t>Patient must have, prior to initiating treatment with this drug for this condition, failed to achieve an adequate response to prior systemic therapy (corticosteroids and at least 3 months of immunosuppressive therapy)</w:t>
            </w:r>
          </w:p>
        </w:tc>
      </w:tr>
      <w:tr w:rsidR="00F7289A" w:rsidRPr="00046D64" w14:paraId="62BEED6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6E8E4376" w14:textId="77777777" w:rsidR="00F7289A" w:rsidRPr="002F5EC4" w:rsidRDefault="00F7289A" w:rsidP="00286E68">
            <w:pPr>
              <w:pStyle w:val="TableText0"/>
              <w:keepNext w:val="0"/>
              <w:rPr>
                <w:b/>
                <w:bCs w:val="0"/>
              </w:rPr>
            </w:pPr>
            <w:r w:rsidRPr="002F5EC4">
              <w:rPr>
                <w:b/>
                <w:bCs w:val="0"/>
              </w:rPr>
              <w:t>AND</w:t>
            </w:r>
          </w:p>
        </w:tc>
      </w:tr>
      <w:tr w:rsidR="00F7289A" w:rsidRPr="00046D64" w14:paraId="0E4144B9"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1A6FCE9" w14:textId="77777777" w:rsidR="00F7289A" w:rsidRPr="00DE5290" w:rsidRDefault="00F7289A" w:rsidP="00286E68">
            <w:pPr>
              <w:pStyle w:val="TableText0"/>
              <w:keepNext w:val="0"/>
              <w:rPr>
                <w:bCs w:val="0"/>
              </w:rPr>
            </w:pPr>
            <w:r w:rsidRPr="00262AD9">
              <w:t>Patient must have had, prior to initiating treatment with this drug for this condition, severity of disease activity with CDAI ≥300; OR CDAI ≥220 with extensive small intestine disease</w:t>
            </w:r>
          </w:p>
        </w:tc>
      </w:tr>
      <w:tr w:rsidR="00F7289A" w:rsidRPr="00046D64" w14:paraId="16DD596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78F62B05" w14:textId="77777777" w:rsidR="00F7289A" w:rsidRPr="002F5EC4" w:rsidRDefault="00F7289A" w:rsidP="00286E68">
            <w:pPr>
              <w:pStyle w:val="TableText0"/>
              <w:keepNext w:val="0"/>
              <w:rPr>
                <w:b/>
                <w:bCs w:val="0"/>
              </w:rPr>
            </w:pPr>
            <w:r w:rsidRPr="002F5EC4">
              <w:rPr>
                <w:b/>
                <w:bCs w:val="0"/>
              </w:rPr>
              <w:t>AND</w:t>
            </w:r>
          </w:p>
        </w:tc>
      </w:tr>
      <w:tr w:rsidR="00F7289A" w:rsidRPr="00046D64" w14:paraId="67E4D2FF"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44BB7E30" w14:textId="77777777" w:rsidR="00F7289A" w:rsidRPr="00DE5290" w:rsidRDefault="00F7289A" w:rsidP="00286E68">
            <w:pPr>
              <w:pStyle w:val="TableText0"/>
              <w:keepNext w:val="0"/>
              <w:rPr>
                <w:bCs w:val="0"/>
              </w:rPr>
            </w:pPr>
            <w:r w:rsidRPr="00262AD9">
              <w:t>Evidence of intestinal inflammation; OR in high faecal output state; OR require surgery or total parenteral nutrition as the next therapeutic option</w:t>
            </w:r>
          </w:p>
        </w:tc>
      </w:tr>
      <w:tr w:rsidR="00F7289A" w:rsidRPr="00046D64" w14:paraId="464ACC1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07F7F7D" w14:textId="77777777" w:rsidR="00F7289A" w:rsidRPr="002F5EC4" w:rsidRDefault="00F7289A" w:rsidP="00286E68">
            <w:pPr>
              <w:pStyle w:val="TableText0"/>
              <w:keepNext w:val="0"/>
              <w:rPr>
                <w:b/>
                <w:bCs w:val="0"/>
              </w:rPr>
            </w:pPr>
            <w:r w:rsidRPr="002F5EC4">
              <w:rPr>
                <w:b/>
                <w:bCs w:val="0"/>
              </w:rPr>
              <w:t>AND</w:t>
            </w:r>
          </w:p>
        </w:tc>
      </w:tr>
      <w:tr w:rsidR="00F7289A" w:rsidRPr="00046D64" w14:paraId="0F2A142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bottom w:val="double" w:sz="4" w:space="0" w:color="auto"/>
            </w:tcBorders>
          </w:tcPr>
          <w:p w14:paraId="3E84FEA7" w14:textId="77777777" w:rsidR="00F7289A" w:rsidRPr="00DE5290" w:rsidRDefault="00F7289A" w:rsidP="00286E68">
            <w:pPr>
              <w:pStyle w:val="TableText0"/>
              <w:keepNext w:val="0"/>
              <w:rPr>
                <w:bCs w:val="0"/>
              </w:rPr>
            </w:pPr>
            <w:r w:rsidRPr="00262AD9">
              <w:t>The treatment must not exceed a total of 3 doses to be administered at weeks 0, 4 and 8 under this restriction</w:t>
            </w:r>
          </w:p>
        </w:tc>
      </w:tr>
      <w:tr w:rsidR="00F7289A" w:rsidRPr="00046D64" w14:paraId="55DA782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left w:val="single" w:sz="4" w:space="0" w:color="auto"/>
              <w:bottom w:val="single" w:sz="4" w:space="0" w:color="auto"/>
              <w:right w:val="single" w:sz="4" w:space="0" w:color="auto"/>
            </w:tcBorders>
          </w:tcPr>
          <w:p w14:paraId="1CBE9157" w14:textId="77777777" w:rsidR="00F7289A" w:rsidRPr="00046D64" w:rsidRDefault="00F7289A" w:rsidP="00286E68">
            <w:pPr>
              <w:pStyle w:val="TableText0"/>
              <w:keepNext w:val="0"/>
            </w:pPr>
            <w:r w:rsidRPr="00F71152">
              <w:rPr>
                <w:b/>
                <w:bCs w:val="0"/>
              </w:rPr>
              <w:t>Category / Program:</w:t>
            </w:r>
            <w:r w:rsidRPr="00F7289A">
              <w:t xml:space="preserve"> Section 85 – General Schedule, SC injection</w:t>
            </w:r>
          </w:p>
        </w:tc>
      </w:tr>
      <w:tr w:rsidR="00F7289A" w:rsidRPr="00046D64" w14:paraId="09041BCF"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3940E0FD" w14:textId="77777777" w:rsidR="00F7289A" w:rsidRPr="00F7289A" w:rsidRDefault="00F7289A" w:rsidP="00286E68">
            <w:pPr>
              <w:pStyle w:val="TableText0"/>
              <w:keepNext w:val="0"/>
            </w:pPr>
            <w:r w:rsidRPr="00F71152">
              <w:rPr>
                <w:b/>
                <w:bCs w:val="0"/>
              </w:rPr>
              <w:t>Restriction type:</w:t>
            </w:r>
            <w:r w:rsidRPr="00F7289A">
              <w:t xml:space="preserve"> </w:t>
            </w:r>
            <w:r w:rsidRPr="00F7289A">
              <w:fldChar w:fldCharType="begin">
                <w:ffData>
                  <w:name w:val=""/>
                  <w:enabled/>
                  <w:calcOnExit w:val="0"/>
                  <w:checkBox>
                    <w:sizeAuto/>
                    <w:default w:val="1"/>
                  </w:checkBox>
                </w:ffData>
              </w:fldChar>
            </w:r>
            <w:r w:rsidRPr="00F7289A">
              <w:instrText xml:space="preserve"> FORMCHECKBOX </w:instrText>
            </w:r>
            <w:r w:rsidRPr="00F7289A">
              <w:fldChar w:fldCharType="separate"/>
            </w:r>
            <w:r w:rsidRPr="00F7289A">
              <w:fldChar w:fldCharType="end"/>
            </w:r>
            <w:r w:rsidRPr="00F7289A">
              <w:t>Authority Required (in writing)</w:t>
            </w:r>
          </w:p>
        </w:tc>
      </w:tr>
      <w:tr w:rsidR="00F7289A" w:rsidRPr="00046D64" w14:paraId="3B91863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DAB9C20" w14:textId="77777777" w:rsidR="00F7289A" w:rsidRPr="00046D64" w:rsidRDefault="00F7289A" w:rsidP="00286E68">
            <w:pPr>
              <w:pStyle w:val="TableText0"/>
              <w:keepNext w:val="0"/>
            </w:pPr>
            <w:r w:rsidRPr="00F71152">
              <w:rPr>
                <w:b/>
                <w:bCs w:val="0"/>
              </w:rPr>
              <w:t>Indication:</w:t>
            </w:r>
            <w:r w:rsidRPr="00046D64">
              <w:t xml:space="preserve"> </w:t>
            </w:r>
            <w:r w:rsidRPr="00DE5290">
              <w:t>Severe Crohn disease</w:t>
            </w:r>
          </w:p>
        </w:tc>
      </w:tr>
      <w:tr w:rsidR="00F7289A" w:rsidRPr="00046D64" w14:paraId="40817135"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58D6B8EE" w14:textId="77777777" w:rsidR="00F7289A" w:rsidRPr="00046D64" w:rsidRDefault="00F7289A" w:rsidP="00286E68">
            <w:pPr>
              <w:pStyle w:val="TableText0"/>
              <w:keepNext w:val="0"/>
            </w:pPr>
            <w:r w:rsidRPr="00F71152">
              <w:rPr>
                <w:b/>
                <w:bCs w:val="0"/>
              </w:rPr>
              <w:t>Treatment Phase:</w:t>
            </w:r>
            <w:r w:rsidRPr="00046D64">
              <w:t xml:space="preserve"> </w:t>
            </w:r>
            <w:r w:rsidRPr="00F7289A">
              <w:t>Continuing</w:t>
            </w:r>
          </w:p>
        </w:tc>
      </w:tr>
      <w:tr w:rsidR="00F7289A" w:rsidRPr="00046D64" w14:paraId="09BB45D4"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40E0C390" w14:textId="77777777" w:rsidR="00F7289A" w:rsidRPr="00F71152" w:rsidRDefault="00F7289A" w:rsidP="00286E68">
            <w:pPr>
              <w:pStyle w:val="TableText0"/>
              <w:keepNext w:val="0"/>
              <w:rPr>
                <w:b/>
                <w:bCs w:val="0"/>
              </w:rPr>
            </w:pPr>
            <w:r w:rsidRPr="00F71152">
              <w:rPr>
                <w:b/>
                <w:bCs w:val="0"/>
              </w:rPr>
              <w:t>Clinical criteria:</w:t>
            </w:r>
          </w:p>
        </w:tc>
      </w:tr>
      <w:tr w:rsidR="00F7289A" w:rsidRPr="00046D64" w14:paraId="777E5C82"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07299AC" w14:textId="77777777" w:rsidR="00F7289A" w:rsidRPr="00F7289A" w:rsidRDefault="00F7289A" w:rsidP="00286E68">
            <w:pPr>
              <w:pStyle w:val="TableText0"/>
              <w:keepNext w:val="0"/>
            </w:pPr>
            <w:r w:rsidRPr="0053275C">
              <w:t>Patient must have previously received PBS-subsidised treatment with this drug for this condition</w:t>
            </w:r>
          </w:p>
        </w:tc>
      </w:tr>
      <w:tr w:rsidR="00F7289A" w:rsidRPr="00046D64" w14:paraId="0717C6AE"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45AFDF56" w14:textId="77777777" w:rsidR="00F7289A" w:rsidRPr="00F71152" w:rsidRDefault="00F7289A" w:rsidP="00286E68">
            <w:pPr>
              <w:pStyle w:val="TableText0"/>
              <w:keepNext w:val="0"/>
              <w:rPr>
                <w:b/>
                <w:bCs w:val="0"/>
              </w:rPr>
            </w:pPr>
            <w:r w:rsidRPr="00F71152">
              <w:rPr>
                <w:b/>
                <w:bCs w:val="0"/>
              </w:rPr>
              <w:t>AND</w:t>
            </w:r>
          </w:p>
        </w:tc>
      </w:tr>
      <w:tr w:rsidR="00F7289A" w:rsidRPr="00046D64" w14:paraId="112944BE"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362DABEC" w14:textId="77777777" w:rsidR="00F7289A" w:rsidRPr="00F7289A" w:rsidRDefault="00F7289A" w:rsidP="00286E68">
            <w:pPr>
              <w:pStyle w:val="TableText0"/>
              <w:keepNext w:val="0"/>
            </w:pPr>
            <w:r w:rsidRPr="0053275C">
              <w:t>Patient must have shown adequate response as CDAI &lt;150; OR show an improvement of intestinal inflammation/ reversal of high faecal output state/avoidance of TPN</w:t>
            </w:r>
          </w:p>
        </w:tc>
      </w:tr>
      <w:tr w:rsidR="00F7289A" w:rsidRPr="00046D64" w14:paraId="456A9B5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73EF5DA" w14:textId="77777777" w:rsidR="00F7289A" w:rsidRPr="00F71152" w:rsidRDefault="00F7289A" w:rsidP="00286E68">
            <w:pPr>
              <w:pStyle w:val="TableText0"/>
              <w:keepNext w:val="0"/>
              <w:rPr>
                <w:b/>
                <w:bCs w:val="0"/>
              </w:rPr>
            </w:pPr>
            <w:r w:rsidRPr="00F71152">
              <w:rPr>
                <w:b/>
                <w:bCs w:val="0"/>
              </w:rPr>
              <w:t>AND</w:t>
            </w:r>
          </w:p>
        </w:tc>
      </w:tr>
      <w:tr w:rsidR="00F7289A" w:rsidRPr="00046D64" w14:paraId="7F43C7C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25D5344A" w14:textId="77777777" w:rsidR="00F7289A" w:rsidRPr="00F7289A" w:rsidRDefault="00F7289A" w:rsidP="00286E68">
            <w:pPr>
              <w:pStyle w:val="TableText0"/>
              <w:keepNext w:val="0"/>
            </w:pPr>
            <w:r w:rsidRPr="0053275C">
              <w:t>Patient must not receive &gt;24 weeks of treatment</w:t>
            </w:r>
          </w:p>
        </w:tc>
      </w:tr>
      <w:tr w:rsidR="00F7289A" w:rsidRPr="00046D64" w14:paraId="2394981F"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66534540" w14:textId="77777777" w:rsidR="00F7289A" w:rsidRPr="00F71152" w:rsidRDefault="00F7289A" w:rsidP="00286E68">
            <w:pPr>
              <w:pStyle w:val="TableText0"/>
              <w:keepNext w:val="0"/>
              <w:rPr>
                <w:b/>
                <w:bCs w:val="0"/>
              </w:rPr>
            </w:pPr>
            <w:r w:rsidRPr="00F71152">
              <w:rPr>
                <w:b/>
                <w:bCs w:val="0"/>
              </w:rPr>
              <w:t>Prescribing Instructions:</w:t>
            </w:r>
          </w:p>
        </w:tc>
      </w:tr>
      <w:tr w:rsidR="00F7289A" w:rsidRPr="00046D64" w14:paraId="108047CA"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double" w:sz="4" w:space="0" w:color="auto"/>
              <w:right w:val="single" w:sz="4" w:space="0" w:color="auto"/>
            </w:tcBorders>
          </w:tcPr>
          <w:p w14:paraId="169C9802" w14:textId="77777777" w:rsidR="00F7289A" w:rsidRPr="0053275C" w:rsidRDefault="00F7289A" w:rsidP="00286E68">
            <w:pPr>
              <w:pStyle w:val="TableText0"/>
              <w:keepNext w:val="0"/>
            </w:pPr>
            <w:r w:rsidRPr="0063176A">
              <w:t>An application for continuing treatment with this drug must include a measurement of response to the most recent course of PBS-subsidised therapy. This assessment must be conducted no later than 4 weeks from the cessation of that treatment course. If the application is the first application for continuing treatment with this drug, it must be accompanied by an assessment of response to a minimum of 12 weeks of treatment with the initial treatment course.</w:t>
            </w:r>
          </w:p>
        </w:tc>
      </w:tr>
      <w:tr w:rsidR="00F7289A" w:rsidRPr="00046D64" w14:paraId="12CE19E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left w:val="single" w:sz="4" w:space="0" w:color="auto"/>
              <w:bottom w:val="single" w:sz="4" w:space="0" w:color="auto"/>
              <w:right w:val="single" w:sz="4" w:space="0" w:color="auto"/>
            </w:tcBorders>
          </w:tcPr>
          <w:p w14:paraId="244ED9AA" w14:textId="77777777" w:rsidR="00F7289A" w:rsidRPr="00F71152" w:rsidRDefault="00F7289A" w:rsidP="00286E68">
            <w:pPr>
              <w:pStyle w:val="TableText0"/>
              <w:keepNext w:val="0"/>
              <w:rPr>
                <w:b/>
                <w:bCs w:val="0"/>
              </w:rPr>
            </w:pPr>
            <w:r w:rsidRPr="00F71152">
              <w:rPr>
                <w:b/>
                <w:bCs w:val="0"/>
              </w:rPr>
              <w:lastRenderedPageBreak/>
              <w:t xml:space="preserve">Category / Program: </w:t>
            </w:r>
          </w:p>
          <w:p w14:paraId="00011AF7" w14:textId="77777777" w:rsidR="00F7289A" w:rsidRPr="00F7289A" w:rsidRDefault="00F7289A" w:rsidP="00286E68">
            <w:pPr>
              <w:pStyle w:val="TableText0"/>
              <w:keepNext w:val="0"/>
            </w:pPr>
            <w:r w:rsidRPr="00F7289A">
              <w:t>Section 100 - Highly Specialised Drugs (public/private), IV infusion</w:t>
            </w:r>
          </w:p>
          <w:p w14:paraId="45741ECB" w14:textId="77777777" w:rsidR="00F7289A" w:rsidRPr="00F7289A" w:rsidRDefault="00F7289A" w:rsidP="00286E68">
            <w:pPr>
              <w:pStyle w:val="TableText0"/>
              <w:keepNext w:val="0"/>
            </w:pPr>
            <w:r w:rsidRPr="00F7289A">
              <w:t>Section 85 – General Schedule, SC injection</w:t>
            </w:r>
          </w:p>
        </w:tc>
      </w:tr>
      <w:tr w:rsidR="00F7289A" w:rsidRPr="00046D64" w14:paraId="1BF6AD8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07C4978D" w14:textId="77777777" w:rsidR="00F7289A" w:rsidRPr="00F7289A" w:rsidRDefault="00F7289A" w:rsidP="00286E68">
            <w:pPr>
              <w:pStyle w:val="TableText0"/>
              <w:keepNext w:val="0"/>
            </w:pPr>
            <w:r w:rsidRPr="00F71152">
              <w:rPr>
                <w:b/>
                <w:bCs w:val="0"/>
              </w:rPr>
              <w:t>Treatment Phase:</w:t>
            </w:r>
            <w:r w:rsidRPr="00046D64">
              <w:t xml:space="preserve"> </w:t>
            </w:r>
            <w:r w:rsidRPr="00F7289A">
              <w:t xml:space="preserve">Grandfather </w:t>
            </w:r>
          </w:p>
        </w:tc>
      </w:tr>
      <w:tr w:rsidR="00F7289A" w:rsidRPr="00046D64" w14:paraId="01CEA89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616BDB73" w14:textId="77777777" w:rsidR="00F7289A" w:rsidRPr="00F71152" w:rsidRDefault="00F7289A" w:rsidP="00286E68">
            <w:pPr>
              <w:pStyle w:val="TableText0"/>
              <w:keepNext w:val="0"/>
              <w:rPr>
                <w:b/>
                <w:bCs w:val="0"/>
              </w:rPr>
            </w:pPr>
            <w:r w:rsidRPr="00F71152">
              <w:rPr>
                <w:b/>
                <w:bCs w:val="0"/>
              </w:rPr>
              <w:t>Clinical criteria:</w:t>
            </w:r>
          </w:p>
        </w:tc>
      </w:tr>
      <w:tr w:rsidR="00F7289A" w:rsidRPr="00046D64" w14:paraId="0D125F24"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0266C37" w14:textId="77777777" w:rsidR="00F7289A" w:rsidRPr="00F7289A" w:rsidRDefault="00F7289A" w:rsidP="00286E68">
            <w:pPr>
              <w:pStyle w:val="TableText0"/>
              <w:keepNext w:val="0"/>
            </w:pPr>
            <w:r w:rsidRPr="0063612D">
              <w:t>Patient must have confirmed severe Crohn disease</w:t>
            </w:r>
          </w:p>
        </w:tc>
      </w:tr>
      <w:tr w:rsidR="00F7289A" w:rsidRPr="00046D64" w14:paraId="53C6346A"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14D89483" w14:textId="77777777" w:rsidR="00F7289A" w:rsidRPr="00F71152" w:rsidRDefault="00F7289A" w:rsidP="00286E68">
            <w:pPr>
              <w:pStyle w:val="TableText0"/>
              <w:keepNext w:val="0"/>
              <w:rPr>
                <w:b/>
                <w:bCs w:val="0"/>
              </w:rPr>
            </w:pPr>
            <w:r w:rsidRPr="00F71152">
              <w:rPr>
                <w:b/>
                <w:bCs w:val="0"/>
              </w:rPr>
              <w:t>AND</w:t>
            </w:r>
          </w:p>
        </w:tc>
      </w:tr>
      <w:tr w:rsidR="00F7289A" w:rsidRPr="00046D64" w14:paraId="1FF3C25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5D5A3A4" w14:textId="77777777" w:rsidR="00F7289A" w:rsidRPr="00F7289A" w:rsidRDefault="00F7289A" w:rsidP="00286E68">
            <w:pPr>
              <w:pStyle w:val="TableText0"/>
              <w:keepNext w:val="0"/>
            </w:pPr>
            <w:r w:rsidRPr="0063612D">
              <w:t>Patient must have previously received non-PBS-subsidised treatment with this drug for this condition prior to [LISTING DATE]</w:t>
            </w:r>
          </w:p>
        </w:tc>
      </w:tr>
      <w:tr w:rsidR="00F7289A" w:rsidRPr="00046D64" w14:paraId="6F1D6E0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65725B17" w14:textId="77777777" w:rsidR="00F7289A" w:rsidRPr="00F71152" w:rsidRDefault="00F7289A" w:rsidP="00286E68">
            <w:pPr>
              <w:pStyle w:val="TableText0"/>
              <w:keepNext w:val="0"/>
              <w:rPr>
                <w:b/>
                <w:bCs w:val="0"/>
              </w:rPr>
            </w:pPr>
            <w:r w:rsidRPr="00F71152">
              <w:rPr>
                <w:b/>
                <w:bCs w:val="0"/>
              </w:rPr>
              <w:t>AND</w:t>
            </w:r>
          </w:p>
        </w:tc>
      </w:tr>
      <w:tr w:rsidR="00F7289A" w:rsidRPr="00046D64" w14:paraId="638CE3C3"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5711DE60" w14:textId="77777777" w:rsidR="00F7289A" w:rsidRPr="00F7289A" w:rsidRDefault="00F7289A" w:rsidP="00286E68">
            <w:pPr>
              <w:pStyle w:val="TableText0"/>
              <w:keepNext w:val="0"/>
            </w:pPr>
            <w:r w:rsidRPr="0063612D">
              <w:t>Patient must be receiving treatment with this drug for this condition at the time of application</w:t>
            </w:r>
          </w:p>
        </w:tc>
      </w:tr>
      <w:tr w:rsidR="00F7289A" w:rsidRPr="00046D64" w14:paraId="4436740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2F0A9658" w14:textId="77777777" w:rsidR="00F7289A" w:rsidRPr="00F71152" w:rsidRDefault="00F7289A" w:rsidP="00286E68">
            <w:pPr>
              <w:pStyle w:val="TableText0"/>
              <w:keepNext w:val="0"/>
              <w:rPr>
                <w:b/>
                <w:bCs w:val="0"/>
              </w:rPr>
            </w:pPr>
            <w:r w:rsidRPr="00F71152">
              <w:rPr>
                <w:b/>
                <w:bCs w:val="0"/>
              </w:rPr>
              <w:t>AND</w:t>
            </w:r>
          </w:p>
        </w:tc>
      </w:tr>
      <w:tr w:rsidR="00F7289A" w:rsidRPr="00046D64" w14:paraId="4CBCCE44"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80E0403" w14:textId="77777777" w:rsidR="00F7289A" w:rsidRPr="00F7289A" w:rsidRDefault="00F7289A" w:rsidP="00286E68">
            <w:pPr>
              <w:pStyle w:val="TableText0"/>
              <w:keepNext w:val="0"/>
            </w:pPr>
            <w:r w:rsidRPr="00F5323D">
              <w:t>Patient must have had a severity of disease activity with CDAI ≥300; OR CDAI ≥220 with extensive small intestine disease</w:t>
            </w:r>
          </w:p>
        </w:tc>
      </w:tr>
      <w:tr w:rsidR="00F7289A" w:rsidRPr="00046D64" w14:paraId="35023E2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0241E531" w14:textId="77777777" w:rsidR="00F7289A" w:rsidRPr="00F71152" w:rsidRDefault="00F7289A" w:rsidP="00286E68">
            <w:pPr>
              <w:pStyle w:val="TableText0"/>
              <w:keepNext w:val="0"/>
              <w:rPr>
                <w:b/>
                <w:bCs w:val="0"/>
              </w:rPr>
            </w:pPr>
            <w:r w:rsidRPr="00F71152">
              <w:rPr>
                <w:b/>
                <w:bCs w:val="0"/>
              </w:rPr>
              <w:t>AND</w:t>
            </w:r>
          </w:p>
        </w:tc>
      </w:tr>
      <w:tr w:rsidR="00F7289A" w:rsidRPr="00046D64" w14:paraId="3BEFB9E4"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32171E3C" w14:textId="77777777" w:rsidR="00F7289A" w:rsidRPr="00F7289A" w:rsidRDefault="00F7289A" w:rsidP="00286E68">
            <w:pPr>
              <w:pStyle w:val="TableText0"/>
              <w:keepNext w:val="0"/>
            </w:pPr>
            <w:r w:rsidRPr="00F5323D">
              <w:t>Evidence of intestinal inflammation; OR in high faecal output state; OR require surgery or total parenteral nutrition as the next therapeutic option</w:t>
            </w:r>
          </w:p>
        </w:tc>
      </w:tr>
      <w:tr w:rsidR="00F7289A" w:rsidRPr="00046D64" w14:paraId="05EE1A53"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6BB2E5A" w14:textId="77777777" w:rsidR="00F7289A" w:rsidRPr="00F71152" w:rsidRDefault="00F7289A" w:rsidP="00286E68">
            <w:pPr>
              <w:pStyle w:val="TableText0"/>
              <w:keepNext w:val="0"/>
              <w:rPr>
                <w:b/>
                <w:bCs w:val="0"/>
              </w:rPr>
            </w:pPr>
            <w:r w:rsidRPr="00F71152">
              <w:rPr>
                <w:b/>
                <w:bCs w:val="0"/>
              </w:rPr>
              <w:t>AND</w:t>
            </w:r>
          </w:p>
        </w:tc>
      </w:tr>
      <w:tr w:rsidR="00F7289A" w:rsidRPr="00046D64" w14:paraId="7BA99179"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double" w:sz="4" w:space="0" w:color="auto"/>
              <w:right w:val="single" w:sz="4" w:space="0" w:color="auto"/>
            </w:tcBorders>
          </w:tcPr>
          <w:p w14:paraId="1A749DB9" w14:textId="77777777" w:rsidR="00F7289A" w:rsidRDefault="00F7289A" w:rsidP="00286E68">
            <w:pPr>
              <w:pStyle w:val="TableText0"/>
              <w:keepNext w:val="0"/>
            </w:pPr>
            <w:r w:rsidRPr="00F5323D">
              <w:t>(for maintenance)</w:t>
            </w:r>
          </w:p>
          <w:p w14:paraId="06D38532" w14:textId="77777777" w:rsidR="00F7289A" w:rsidRPr="00F7289A" w:rsidRDefault="00F7289A" w:rsidP="00286E68">
            <w:pPr>
              <w:pStyle w:val="TableText0"/>
              <w:keepNext w:val="0"/>
            </w:pPr>
            <w:r w:rsidRPr="00F5323D">
              <w:t>Patient must have shown adequate response as CDAI &lt;150; OR show an improvement of intestinal inflammation/ reversal of high faecal output state/avoidance of TPN from previous non-PBS-subsidised treatment with this drug for this condition</w:t>
            </w:r>
          </w:p>
        </w:tc>
      </w:tr>
      <w:tr w:rsidR="00F7289A" w:rsidRPr="00046D64" w14:paraId="702E85A6"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left w:val="single" w:sz="4" w:space="0" w:color="auto"/>
              <w:bottom w:val="single" w:sz="4" w:space="0" w:color="auto"/>
              <w:right w:val="single" w:sz="4" w:space="0" w:color="auto"/>
            </w:tcBorders>
          </w:tcPr>
          <w:p w14:paraId="333EC5A5" w14:textId="77777777" w:rsidR="00F7289A" w:rsidRPr="00F71152" w:rsidRDefault="00F7289A" w:rsidP="00286E68">
            <w:pPr>
              <w:pStyle w:val="TableText0"/>
              <w:keepNext w:val="0"/>
              <w:rPr>
                <w:b/>
                <w:bCs w:val="0"/>
              </w:rPr>
            </w:pPr>
            <w:r w:rsidRPr="00F71152">
              <w:rPr>
                <w:b/>
                <w:bCs w:val="0"/>
              </w:rPr>
              <w:t xml:space="preserve">Category / Program: </w:t>
            </w:r>
          </w:p>
          <w:p w14:paraId="0A3119FF" w14:textId="77777777" w:rsidR="00F7289A" w:rsidRPr="00F7289A" w:rsidRDefault="00F7289A" w:rsidP="00286E68">
            <w:pPr>
              <w:pStyle w:val="TableText0"/>
              <w:keepNext w:val="0"/>
            </w:pPr>
            <w:r w:rsidRPr="00F7289A">
              <w:t>Section 100 - Highly Specialised Drugs (public/private), IV infusion</w:t>
            </w:r>
          </w:p>
          <w:p w14:paraId="18BEF0F4" w14:textId="77777777" w:rsidR="00F7289A" w:rsidRPr="00F7289A" w:rsidRDefault="00F7289A" w:rsidP="00286E68">
            <w:pPr>
              <w:pStyle w:val="TableText0"/>
              <w:keepNext w:val="0"/>
            </w:pPr>
            <w:r w:rsidRPr="00F7289A">
              <w:t>Section 85 – General Schedule, SC injection</w:t>
            </w:r>
          </w:p>
        </w:tc>
      </w:tr>
      <w:tr w:rsidR="00F7289A" w:rsidRPr="00046D64" w14:paraId="3AC6A8D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43CA164F" w14:textId="77777777" w:rsidR="00F7289A" w:rsidRPr="00F7289A" w:rsidRDefault="00F7289A" w:rsidP="00286E68">
            <w:pPr>
              <w:pStyle w:val="TableText0"/>
              <w:keepNext w:val="0"/>
            </w:pPr>
            <w:r w:rsidRPr="00F71152">
              <w:rPr>
                <w:b/>
                <w:bCs w:val="0"/>
              </w:rPr>
              <w:t>Treatment Phase:</w:t>
            </w:r>
            <w:r w:rsidRPr="00046D64">
              <w:t xml:space="preserve"> </w:t>
            </w:r>
            <w:r w:rsidRPr="00F7289A">
              <w:t>Balance of supply</w:t>
            </w:r>
          </w:p>
        </w:tc>
      </w:tr>
      <w:tr w:rsidR="00F7289A" w:rsidRPr="00046D64" w14:paraId="58BE0989"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2483FA1" w14:textId="77777777" w:rsidR="00F7289A" w:rsidRPr="00F71152" w:rsidRDefault="00F7289A" w:rsidP="00286E68">
            <w:pPr>
              <w:pStyle w:val="TableText0"/>
              <w:keepNext w:val="0"/>
              <w:rPr>
                <w:b/>
                <w:bCs w:val="0"/>
              </w:rPr>
            </w:pPr>
            <w:r w:rsidRPr="00F71152">
              <w:rPr>
                <w:b/>
                <w:bCs w:val="0"/>
              </w:rPr>
              <w:t>Clinical criteria:</w:t>
            </w:r>
          </w:p>
        </w:tc>
      </w:tr>
      <w:tr w:rsidR="00F7289A" w:rsidRPr="00046D64" w14:paraId="4B2F6FC3"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0D80A4F7" w14:textId="77777777" w:rsidR="00F7289A" w:rsidRPr="00F7289A" w:rsidRDefault="00F7289A" w:rsidP="00F7289A">
            <w:pPr>
              <w:pStyle w:val="TableText0"/>
              <w:keepNext w:val="0"/>
            </w:pPr>
            <w:r w:rsidRPr="00F7289A">
              <w:t>Patient must have received insufficient therapy with this drug for this condition under the Initial 1, 2 or 3 restriction to complete the 3 doses (the initial infusion regimen at 0, 4 and 8 weeks); or</w:t>
            </w:r>
          </w:p>
          <w:p w14:paraId="1B454331" w14:textId="77777777" w:rsidR="00F7289A" w:rsidRPr="00F7289A" w:rsidRDefault="00F7289A" w:rsidP="00286E68">
            <w:pPr>
              <w:pStyle w:val="TableText0"/>
              <w:keepNext w:val="0"/>
            </w:pPr>
            <w:r w:rsidRPr="00F7289A">
              <w:t>Patient must have received insufficient therapy with this drug under the Continuing treatment restriction to complete 24 weeks of treatment</w:t>
            </w:r>
          </w:p>
        </w:tc>
      </w:tr>
      <w:tr w:rsidR="00F7289A" w:rsidRPr="00046D64" w14:paraId="191295F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5DF782F" w14:textId="77777777" w:rsidR="00F7289A" w:rsidRPr="00F71152" w:rsidRDefault="00F7289A" w:rsidP="00F7289A">
            <w:pPr>
              <w:pStyle w:val="TableText0"/>
              <w:keepNext w:val="0"/>
              <w:rPr>
                <w:b/>
                <w:bCs w:val="0"/>
              </w:rPr>
            </w:pPr>
            <w:r w:rsidRPr="00F71152">
              <w:rPr>
                <w:b/>
                <w:bCs w:val="0"/>
              </w:rPr>
              <w:t>AND</w:t>
            </w:r>
          </w:p>
        </w:tc>
      </w:tr>
      <w:tr w:rsidR="00F7289A" w:rsidRPr="00046D64" w14:paraId="6DD589C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90F038E" w14:textId="77777777" w:rsidR="00F7289A" w:rsidRPr="00F7289A" w:rsidRDefault="00F7289A" w:rsidP="00F7289A">
            <w:pPr>
              <w:pStyle w:val="TableText0"/>
              <w:keepNext w:val="0"/>
            </w:pPr>
            <w:r w:rsidRPr="00F7289A">
              <w:t>The treatment must provide no more than the balance of up to 12 weeks therapy available under Initial 1, 2 or 3 treatment; or</w:t>
            </w:r>
          </w:p>
          <w:p w14:paraId="500869F4" w14:textId="77777777" w:rsidR="00F7289A" w:rsidRPr="00F7289A" w:rsidRDefault="00F7289A" w:rsidP="00F7289A">
            <w:pPr>
              <w:pStyle w:val="TableText0"/>
              <w:keepNext w:val="0"/>
            </w:pPr>
            <w:r w:rsidRPr="00F7289A">
              <w:t>The treatment must provide no more than the balance of up to 24 weeks treatment available under Continuing treatment</w:t>
            </w:r>
          </w:p>
        </w:tc>
      </w:tr>
    </w:tbl>
    <w:p w14:paraId="04ECC5EB" w14:textId="4BC2EA5D" w:rsidR="003B4C41" w:rsidRDefault="003B4C41" w:rsidP="003B4C41">
      <w:pPr>
        <w:pStyle w:val="TableFooter"/>
      </w:pPr>
      <w:r>
        <w:t xml:space="preserve">Source: Table 1.7, p50, </w:t>
      </w:r>
      <w:r w:rsidRPr="0063176A">
        <w:rPr>
          <w:szCs w:val="18"/>
        </w:rPr>
        <w:t>Tables 1.</w:t>
      </w:r>
      <w:r>
        <w:rPr>
          <w:szCs w:val="18"/>
        </w:rPr>
        <w:t>8</w:t>
      </w:r>
      <w:r w:rsidRPr="0063176A">
        <w:rPr>
          <w:szCs w:val="18"/>
        </w:rPr>
        <w:t xml:space="preserve"> to 1.11, pp5</w:t>
      </w:r>
      <w:r>
        <w:rPr>
          <w:szCs w:val="18"/>
        </w:rPr>
        <w:t>2</w:t>
      </w:r>
      <w:r w:rsidRPr="0063176A">
        <w:rPr>
          <w:szCs w:val="18"/>
        </w:rPr>
        <w:t xml:space="preserve">-54 </w:t>
      </w:r>
      <w:r>
        <w:t>of the submission.</w:t>
      </w:r>
    </w:p>
    <w:p w14:paraId="416C25B1" w14:textId="2CFA3C48" w:rsidR="003B4C41" w:rsidRDefault="003B4C41" w:rsidP="003B4C41">
      <w:pPr>
        <w:pStyle w:val="TableFooter"/>
        <w:ind w:left="165" w:hanging="165"/>
      </w:pPr>
      <w:r>
        <w:t>a</w:t>
      </w:r>
      <w:r>
        <w:tab/>
      </w:r>
      <w:r w:rsidRPr="00F97BAD">
        <w:t>Calculated during the based on the requested effective AEMP of $</w:t>
      </w:r>
      <w:r w:rsidR="00E77A69" w:rsidRPr="00E77A69">
        <w:rPr>
          <w:color w:val="000000"/>
          <w:spacing w:val="40"/>
          <w:shd w:val="solid" w:color="000000" w:fill="000000"/>
          <w:fitText w:val="280" w:id="-628921339"/>
          <w14:textFill>
            <w14:solidFill>
              <w14:srgbClr w14:val="000000">
                <w14:alpha w14:val="100000"/>
              </w14:srgbClr>
            </w14:solidFill>
          </w14:textFill>
        </w:rPr>
        <w:t xml:space="preserve">|  </w:t>
      </w:r>
      <w:r w:rsidR="00E77A69" w:rsidRPr="00E77A69">
        <w:rPr>
          <w:color w:val="000000"/>
          <w:spacing w:val="2"/>
          <w:shd w:val="solid" w:color="000000" w:fill="000000"/>
          <w:fitText w:val="280" w:id="-628921339"/>
          <w14:textFill>
            <w14:solidFill>
              <w14:srgbClr w14:val="000000">
                <w14:alpha w14:val="100000"/>
              </w14:srgbClr>
            </w14:solidFill>
          </w14:textFill>
        </w:rPr>
        <w:t>|</w:t>
      </w:r>
      <w:r w:rsidRPr="00F97BAD">
        <w:t xml:space="preserve"> for the 200 mg PFS/PFP (two in one pack); the essential elements table presented in the submission calculated an effective DPMQ for the 200 mg PFS/PFP (two in one pack) of $</w:t>
      </w:r>
      <w:r w:rsidR="00E77A69" w:rsidRPr="00E77A69">
        <w:rPr>
          <w:color w:val="000000"/>
          <w:spacing w:val="40"/>
          <w:shd w:val="solid" w:color="000000" w:fill="000000"/>
          <w:fitText w:val="280" w:id="-628921338"/>
          <w14:textFill>
            <w14:solidFill>
              <w14:srgbClr w14:val="000000">
                <w14:alpha w14:val="100000"/>
              </w14:srgbClr>
            </w14:solidFill>
          </w14:textFill>
        </w:rPr>
        <w:t xml:space="preserve">|  </w:t>
      </w:r>
      <w:r w:rsidR="00E77A69" w:rsidRPr="00E77A69">
        <w:rPr>
          <w:color w:val="000000"/>
          <w:spacing w:val="2"/>
          <w:shd w:val="solid" w:color="000000" w:fill="000000"/>
          <w:fitText w:val="280" w:id="-628921338"/>
          <w14:textFill>
            <w14:solidFill>
              <w14:srgbClr w14:val="000000">
                <w14:alpha w14:val="100000"/>
              </w14:srgbClr>
            </w14:solidFill>
          </w14:textFill>
        </w:rPr>
        <w:t>|</w:t>
      </w:r>
      <w:r w:rsidRPr="00F97BAD">
        <w:t xml:space="preserve"> based on an effective AEMP of $</w:t>
      </w:r>
      <w:r w:rsidR="00E77A69" w:rsidRPr="00E77A69">
        <w:rPr>
          <w:color w:val="000000"/>
          <w:spacing w:val="35"/>
          <w:shd w:val="solid" w:color="000000" w:fill="000000"/>
          <w:fitText w:val="265" w:id="-628921337"/>
          <w14:textFill>
            <w14:solidFill>
              <w14:srgbClr w14:val="000000">
                <w14:alpha w14:val="100000"/>
              </w14:srgbClr>
            </w14:solidFill>
          </w14:textFill>
        </w:rPr>
        <w:t xml:space="preserve">|  </w:t>
      </w:r>
      <w:r w:rsidR="00E77A69" w:rsidRPr="00E77A69">
        <w:rPr>
          <w:color w:val="000000"/>
          <w:spacing w:val="2"/>
          <w:shd w:val="solid" w:color="000000" w:fill="000000"/>
          <w:fitText w:val="265" w:id="-628921337"/>
          <w14:textFill>
            <w14:solidFill>
              <w14:srgbClr w14:val="000000">
                <w14:alpha w14:val="100000"/>
              </w14:srgbClr>
            </w14:solidFill>
          </w14:textFill>
        </w:rPr>
        <w:t>|</w:t>
      </w:r>
      <w:r w:rsidRPr="00F97BAD">
        <w:t xml:space="preserve"> (2*$</w:t>
      </w:r>
      <w:r w:rsidR="00E77A69" w:rsidRPr="003B7DE0">
        <w:rPr>
          <w:color w:val="000000"/>
          <w:spacing w:val="47"/>
          <w:w w:val="87"/>
          <w:shd w:val="solid" w:color="000000" w:fill="000000"/>
          <w:fitText w:val="280" w:id="-628921336"/>
          <w14:textFill>
            <w14:solidFill>
              <w14:srgbClr w14:val="000000">
                <w14:alpha w14:val="100000"/>
              </w14:srgbClr>
            </w14:solidFill>
          </w14:textFill>
        </w:rPr>
        <w:t xml:space="preserve">|  </w:t>
      </w:r>
      <w:r w:rsidR="00E77A69" w:rsidRPr="003B7DE0">
        <w:rPr>
          <w:color w:val="000000"/>
          <w:spacing w:val="2"/>
          <w:w w:val="87"/>
          <w:shd w:val="solid" w:color="000000" w:fill="000000"/>
          <w:fitText w:val="280" w:id="-628921336"/>
          <w14:textFill>
            <w14:solidFill>
              <w14:srgbClr w14:val="000000">
                <w14:alpha w14:val="100000"/>
              </w14:srgbClr>
            </w14:solidFill>
          </w14:textFill>
        </w:rPr>
        <w:t>|</w:t>
      </w:r>
      <w:r w:rsidRPr="00F97BAD">
        <w:t>).</w:t>
      </w:r>
    </w:p>
    <w:p w14:paraId="63019434" w14:textId="77777777" w:rsidR="00C50A23" w:rsidRPr="0063176A" w:rsidRDefault="00C50A23" w:rsidP="00F71152">
      <w:pPr>
        <w:rPr>
          <w:rFonts w:ascii="Arial Narrow" w:hAnsi="Arial Narrow"/>
          <w:sz w:val="18"/>
          <w:szCs w:val="18"/>
        </w:rPr>
      </w:pPr>
    </w:p>
    <w:p w14:paraId="1B0E6E05" w14:textId="700742FD" w:rsidR="00CE11C2" w:rsidRPr="00F71152" w:rsidRDefault="00CE11C2" w:rsidP="00CE11C2">
      <w:pPr>
        <w:pStyle w:val="ExecSumBodyText"/>
        <w:numPr>
          <w:ilvl w:val="1"/>
          <w:numId w:val="1"/>
        </w:numPr>
      </w:pPr>
      <w:r>
        <w:t xml:space="preserve">The submission requested (i) </w:t>
      </w:r>
      <w:r w:rsidRPr="006049BB">
        <w:t>Section 100 (Highly Specialised Drugs Program)</w:t>
      </w:r>
      <w:r>
        <w:t xml:space="preserve"> listing of GUS 200 mg in 20 mL vial for IV infusion, and (ii) General </w:t>
      </w:r>
      <w:r w:rsidRPr="006049BB">
        <w:t>Schedule Authority Required (in writing)</w:t>
      </w:r>
      <w:r>
        <w:t xml:space="preserve"> listing of GUS 100 mg and 200 mg </w:t>
      </w:r>
      <w:bookmarkStart w:id="11" w:name="_Hlk198303899"/>
      <w:r>
        <w:t xml:space="preserve">pre-filled syringe </w:t>
      </w:r>
      <w:bookmarkEnd w:id="11"/>
      <w:r>
        <w:t xml:space="preserve">(PFS) and GUS 100 mg and 200 mg SC pre-filled pen (PFP) for SC injection. The 100 mg and 200 mg PFS formulations use the </w:t>
      </w:r>
      <w:proofErr w:type="spellStart"/>
      <w:r>
        <w:t>UltraSafe</w:t>
      </w:r>
      <w:proofErr w:type="spellEnd"/>
      <w:r>
        <w:t xml:space="preserve">™ Plus Needle Guard; the 100 mg PFP formulation uses the One-Press® Patient-controlled Injector; and the 200 mg PFP formulation uses the </w:t>
      </w:r>
      <w:proofErr w:type="spellStart"/>
      <w:r>
        <w:t>YpsoMate</w:t>
      </w:r>
      <w:proofErr w:type="spellEnd"/>
      <w:r>
        <w:t xml:space="preserve">™ Autoinjector. </w:t>
      </w:r>
      <w:r w:rsidRPr="00F97BAD">
        <w:t xml:space="preserve">The GUS 100 mg PFS with the </w:t>
      </w:r>
      <w:proofErr w:type="spellStart"/>
      <w:r w:rsidRPr="00F97BAD">
        <w:t>UltraSafe</w:t>
      </w:r>
      <w:proofErr w:type="spellEnd"/>
      <w:r w:rsidRPr="00F97BAD">
        <w:t xml:space="preserve">™ Plus Needle Guard </w:t>
      </w:r>
      <w:r w:rsidR="009A00BD" w:rsidRPr="00F97BAD">
        <w:t xml:space="preserve">formulation is listed on the PBS for psoriasis and psoriatic arthritis, </w:t>
      </w:r>
      <w:r w:rsidRPr="00F97BAD">
        <w:t xml:space="preserve">and the GUS 100 mg PFP with the One-Press® Patient-controlled Injector formulation </w:t>
      </w:r>
      <w:r w:rsidR="009A00BD" w:rsidRPr="00F97BAD">
        <w:t xml:space="preserve">is listed on the PBS for </w:t>
      </w:r>
      <w:r w:rsidRPr="00F97BAD">
        <w:t>psoriatic arthritis.</w:t>
      </w:r>
    </w:p>
    <w:p w14:paraId="3DBB5876" w14:textId="257B0F68" w:rsidR="00F71152" w:rsidRPr="00F71152" w:rsidRDefault="00F71152" w:rsidP="00F71152">
      <w:pPr>
        <w:pStyle w:val="ExecSumBodyText"/>
        <w:numPr>
          <w:ilvl w:val="1"/>
          <w:numId w:val="1"/>
        </w:numPr>
      </w:pPr>
      <w:r w:rsidRPr="00F71152">
        <w:lastRenderedPageBreak/>
        <w:t xml:space="preserve">For initial treatment with either 200 mg IV or 400 mg (2 x 200 mg) SC, the maximum quantity with two repeats (total three doses) allows for up to a maximum 12 weeks of treatment. This provides all patients with the recommended three doses of induction treatment at Weeks 0, 4 and 8. Patients who demonstrate an adequate response to therapy after at least 12 weeks of induction could switch to either 100 mg SC </w:t>
      </w:r>
      <w:r w:rsidR="0004680B">
        <w:t>every eight weeks (</w:t>
      </w:r>
      <w:r w:rsidRPr="00F71152">
        <w:t>Q8W</w:t>
      </w:r>
      <w:r w:rsidR="0004680B">
        <w:t>)</w:t>
      </w:r>
      <w:r w:rsidRPr="00F71152">
        <w:t xml:space="preserve"> starting from Week 16 or 200 mg SC </w:t>
      </w:r>
      <w:r w:rsidR="0004680B">
        <w:t>every four weeks (</w:t>
      </w:r>
      <w:r w:rsidRPr="00F71152">
        <w:t>Q4W</w:t>
      </w:r>
      <w:r w:rsidR="0004680B">
        <w:t>)</w:t>
      </w:r>
      <w:r w:rsidRPr="00F71152">
        <w:t xml:space="preserve"> starting from Week 12. For continuing patients, the requested maximum quantity of 100 mg SC or 200 mg SC with </w:t>
      </w:r>
      <w:r w:rsidR="0048331E">
        <w:t>five</w:t>
      </w:r>
      <w:r w:rsidRPr="00F71152">
        <w:t xml:space="preserve"> repeats (total </w:t>
      </w:r>
      <w:r w:rsidR="0048331E">
        <w:t>six</w:t>
      </w:r>
      <w:r w:rsidRPr="00F71152">
        <w:t xml:space="preserve"> doses) allows for 24 weeks of maintenance treatment at the recommended dose.</w:t>
      </w:r>
      <w:r w:rsidR="000D0F77">
        <w:t xml:space="preserve"> </w:t>
      </w:r>
      <w:r w:rsidR="005D4649" w:rsidRPr="005D4649">
        <w:t>The Secretariat noted that if a patient loses response to maintenance treatment at the lower dose (100mg Q8W), this would be deemed as treatment failure, consistent with other PBS listings with a similar lower dose schedule.</w:t>
      </w:r>
    </w:p>
    <w:p w14:paraId="6A769421" w14:textId="183A69B9" w:rsidR="00F71152" w:rsidRPr="00A039B9" w:rsidRDefault="00CE23A4" w:rsidP="00F71152">
      <w:pPr>
        <w:pStyle w:val="ExecSumBodyText"/>
        <w:numPr>
          <w:ilvl w:val="1"/>
          <w:numId w:val="1"/>
        </w:numPr>
      </w:pPr>
      <w:r w:rsidRPr="00CE23A4">
        <w:t>The submission requested a Special Pricing Arrangement (SPA). The proposed published ex-manufacturer price (AEMP) of $</w:t>
      </w:r>
      <w:r w:rsidR="00E77A69" w:rsidRPr="00E77A69">
        <w:rPr>
          <w:color w:val="000000"/>
          <w:w w:val="61"/>
          <w:shd w:val="solid" w:color="000000" w:fill="000000"/>
          <w:fitText w:val="475" w:id="-628921335"/>
          <w14:textFill>
            <w14:solidFill>
              <w14:srgbClr w14:val="000000">
                <w14:alpha w14:val="100000"/>
              </w14:srgbClr>
            </w14:solidFill>
          </w14:textFill>
        </w:rPr>
        <w:t>|||  ||</w:t>
      </w:r>
      <w:r w:rsidR="00E77A69" w:rsidRPr="00E77A69">
        <w:rPr>
          <w:color w:val="000000"/>
          <w:spacing w:val="5"/>
          <w:w w:val="61"/>
          <w:shd w:val="solid" w:color="000000" w:fill="000000"/>
          <w:fitText w:val="475" w:id="-628921335"/>
          <w14:textFill>
            <w14:solidFill>
              <w14:srgbClr w14:val="000000">
                <w14:alpha w14:val="100000"/>
              </w14:srgbClr>
            </w14:solidFill>
          </w14:textFill>
        </w:rPr>
        <w:t>|</w:t>
      </w:r>
      <w:r w:rsidRPr="00CE23A4">
        <w:t xml:space="preserve"> for all dose forms (GUS 200 mg / 20 mL vial, 200 mg PFS/PFP, and 100 mg PFS/PFP) would maintain the same published AEMP of GUS </w:t>
      </w:r>
      <w:r w:rsidR="00AE06F6">
        <w:t xml:space="preserve">100 mg </w:t>
      </w:r>
      <w:r w:rsidRPr="00CE23A4">
        <w:t xml:space="preserve">in other PBS-listed indications. </w:t>
      </w:r>
      <w:r w:rsidR="00ED4C9A">
        <w:fldChar w:fldCharType="begin"/>
      </w:r>
      <w:r w:rsidR="00ED4C9A">
        <w:instrText xml:space="preserve"> REF _Ref198303994 \h </w:instrText>
      </w:r>
      <w:r w:rsidR="00ED4C9A">
        <w:fldChar w:fldCharType="separate"/>
      </w:r>
      <w:r w:rsidR="000756FD">
        <w:t xml:space="preserve">Table </w:t>
      </w:r>
      <w:r w:rsidR="000756FD">
        <w:rPr>
          <w:noProof/>
        </w:rPr>
        <w:t>2</w:t>
      </w:r>
      <w:r w:rsidR="00ED4C9A">
        <w:fldChar w:fldCharType="end"/>
      </w:r>
      <w:r w:rsidR="00ED4C9A">
        <w:t xml:space="preserve"> presents the</w:t>
      </w:r>
      <w:r w:rsidRPr="00CE23A4">
        <w:t xml:space="preserve"> proposed effective AEMP</w:t>
      </w:r>
      <w:r w:rsidR="00E27982">
        <w:t xml:space="preserve">s </w:t>
      </w:r>
      <w:r w:rsidR="00ED4C9A">
        <w:t>of GUS for severe CD.</w:t>
      </w:r>
      <w:r w:rsidR="00F07300" w:rsidRPr="00F07300">
        <w:rPr>
          <w:i/>
          <w:iCs/>
        </w:rPr>
        <w:t xml:space="preserve"> </w:t>
      </w:r>
      <w:r w:rsidR="00045D81">
        <w:t xml:space="preserve"> </w:t>
      </w:r>
    </w:p>
    <w:p w14:paraId="61DBE3D6" w14:textId="4730C297" w:rsidR="00ED4C9A" w:rsidRPr="00ED4C9A" w:rsidRDefault="00ED4C9A" w:rsidP="00ED4C9A">
      <w:pPr>
        <w:pStyle w:val="Caption"/>
        <w:rPr>
          <w:szCs w:val="20"/>
        </w:rPr>
      </w:pPr>
      <w:bookmarkStart w:id="12" w:name="_Ref198303994"/>
      <w:r>
        <w:t xml:space="preserve">Table </w:t>
      </w:r>
      <w:r w:rsidR="00DC5F25">
        <w:fldChar w:fldCharType="begin"/>
      </w:r>
      <w:r w:rsidR="00DC5F25">
        <w:instrText xml:space="preserve"> SEQ Table \* ARABIC </w:instrText>
      </w:r>
      <w:r w:rsidR="00DC5F25">
        <w:fldChar w:fldCharType="separate"/>
      </w:r>
      <w:r w:rsidR="000756FD">
        <w:rPr>
          <w:noProof/>
        </w:rPr>
        <w:t>2</w:t>
      </w:r>
      <w:r w:rsidR="00DC5F25">
        <w:rPr>
          <w:noProof/>
        </w:rPr>
        <w:fldChar w:fldCharType="end"/>
      </w:r>
      <w:bookmarkEnd w:id="12"/>
      <w:r>
        <w:t>:</w:t>
      </w:r>
      <w:r>
        <w:rPr>
          <w:b w:val="0"/>
          <w:bCs w:val="0"/>
          <w:szCs w:val="20"/>
        </w:rPr>
        <w:t xml:space="preserve"> </w:t>
      </w:r>
      <w:r w:rsidRPr="00ED4C9A">
        <w:rPr>
          <w:szCs w:val="20"/>
        </w:rPr>
        <w:t>Proposed effective AEMP of GUS for severe CD</w:t>
      </w:r>
    </w:p>
    <w:tbl>
      <w:tblPr>
        <w:tblStyle w:val="TableGrid"/>
        <w:tblW w:w="5000" w:type="pct"/>
        <w:tblCellMar>
          <w:left w:w="28" w:type="dxa"/>
          <w:right w:w="28" w:type="dxa"/>
        </w:tblCellMar>
        <w:tblLook w:val="04A0" w:firstRow="1" w:lastRow="0" w:firstColumn="1" w:lastColumn="0" w:noHBand="0" w:noVBand="1"/>
        <w:tblCaption w:val="Table 2: Proposed effective AEMP of GUS for severe CD"/>
      </w:tblPr>
      <w:tblGrid>
        <w:gridCol w:w="4107"/>
        <w:gridCol w:w="1904"/>
        <w:gridCol w:w="3006"/>
      </w:tblGrid>
      <w:tr w:rsidR="00ED4C9A" w:rsidRPr="00C5397B" w14:paraId="3AB16CF9" w14:textId="77777777" w:rsidTr="003124CE">
        <w:tc>
          <w:tcPr>
            <w:tcW w:w="2277" w:type="pct"/>
          </w:tcPr>
          <w:p w14:paraId="4BC084C0" w14:textId="77777777" w:rsidR="00ED4C9A" w:rsidRPr="00C5397B" w:rsidRDefault="00ED4C9A" w:rsidP="003124CE">
            <w:pPr>
              <w:pStyle w:val="ExecSumBodyText"/>
              <w:spacing w:after="0"/>
              <w:ind w:left="0" w:firstLine="0"/>
              <w:rPr>
                <w:rFonts w:ascii="Arial Narrow" w:hAnsi="Arial Narrow"/>
                <w:sz w:val="20"/>
                <w:szCs w:val="20"/>
              </w:rPr>
            </w:pPr>
            <w:r>
              <w:rPr>
                <w:rFonts w:ascii="Arial Narrow" w:hAnsi="Arial Narrow"/>
                <w:sz w:val="20"/>
                <w:szCs w:val="20"/>
              </w:rPr>
              <w:t>GUS</w:t>
            </w:r>
          </w:p>
        </w:tc>
        <w:tc>
          <w:tcPr>
            <w:tcW w:w="1056" w:type="pct"/>
            <w:vAlign w:val="center"/>
          </w:tcPr>
          <w:p w14:paraId="33B184D4" w14:textId="77777777" w:rsidR="00ED4C9A" w:rsidRPr="00ED4C9A" w:rsidRDefault="00ED4C9A" w:rsidP="003124CE">
            <w:pPr>
              <w:pStyle w:val="ExecSumBodyText"/>
              <w:spacing w:after="0"/>
              <w:ind w:left="0" w:firstLine="0"/>
              <w:jc w:val="center"/>
              <w:rPr>
                <w:rFonts w:ascii="Arial Narrow" w:hAnsi="Arial Narrow"/>
                <w:b/>
                <w:bCs/>
                <w:sz w:val="20"/>
                <w:szCs w:val="20"/>
              </w:rPr>
            </w:pPr>
            <w:r w:rsidRPr="00ED4C9A">
              <w:rPr>
                <w:rFonts w:ascii="Arial Narrow" w:hAnsi="Arial Narrow"/>
                <w:b/>
                <w:bCs/>
                <w:sz w:val="20"/>
                <w:szCs w:val="20"/>
              </w:rPr>
              <w:t>Treatment phase</w:t>
            </w:r>
          </w:p>
        </w:tc>
        <w:tc>
          <w:tcPr>
            <w:tcW w:w="1667" w:type="pct"/>
            <w:vAlign w:val="center"/>
          </w:tcPr>
          <w:p w14:paraId="3C419301" w14:textId="77777777" w:rsidR="00ED4C9A" w:rsidRPr="00C5397B" w:rsidRDefault="00ED4C9A" w:rsidP="003124CE">
            <w:pPr>
              <w:pStyle w:val="ExecSumBodyText"/>
              <w:spacing w:after="0"/>
              <w:ind w:left="0" w:firstLine="0"/>
              <w:jc w:val="center"/>
              <w:rPr>
                <w:rFonts w:ascii="Arial Narrow" w:hAnsi="Arial Narrow"/>
                <w:sz w:val="20"/>
                <w:szCs w:val="20"/>
              </w:rPr>
            </w:pPr>
            <w:r w:rsidRPr="00BF308E">
              <w:rPr>
                <w:rFonts w:ascii="Arial Narrow" w:hAnsi="Arial Narrow"/>
                <w:b/>
                <w:bCs/>
                <w:sz w:val="20"/>
                <w:szCs w:val="20"/>
              </w:rPr>
              <w:t xml:space="preserve">Proposed effective </w:t>
            </w:r>
            <w:r>
              <w:rPr>
                <w:rFonts w:ascii="Arial Narrow" w:hAnsi="Arial Narrow"/>
                <w:b/>
                <w:bCs/>
                <w:sz w:val="20"/>
                <w:szCs w:val="20"/>
              </w:rPr>
              <w:t>AEMP</w:t>
            </w:r>
          </w:p>
        </w:tc>
      </w:tr>
      <w:tr w:rsidR="00ED4C9A" w:rsidRPr="00C5397B" w14:paraId="4A904390" w14:textId="77777777" w:rsidTr="003124CE">
        <w:tc>
          <w:tcPr>
            <w:tcW w:w="2277" w:type="pct"/>
          </w:tcPr>
          <w:p w14:paraId="43AE5D9B" w14:textId="77777777" w:rsidR="00ED4C9A" w:rsidRPr="00C5397B" w:rsidRDefault="00ED4C9A" w:rsidP="003124CE">
            <w:pPr>
              <w:pStyle w:val="ExecSumBodyText"/>
              <w:spacing w:after="0"/>
              <w:ind w:left="0" w:firstLine="0"/>
              <w:rPr>
                <w:rFonts w:ascii="Arial Narrow" w:hAnsi="Arial Narrow"/>
                <w:sz w:val="20"/>
                <w:szCs w:val="20"/>
              </w:rPr>
            </w:pPr>
            <w:r>
              <w:rPr>
                <w:rFonts w:ascii="Arial Narrow" w:hAnsi="Arial Narrow"/>
                <w:sz w:val="20"/>
                <w:szCs w:val="20"/>
              </w:rPr>
              <w:t>GUS</w:t>
            </w:r>
            <w:r w:rsidRPr="00AA376C">
              <w:rPr>
                <w:rFonts w:ascii="Arial Narrow" w:hAnsi="Arial Narrow"/>
                <w:sz w:val="20"/>
                <w:szCs w:val="20"/>
              </w:rPr>
              <w:t xml:space="preserve"> 200</w:t>
            </w:r>
            <w:r>
              <w:rPr>
                <w:rFonts w:ascii="Arial Narrow" w:hAnsi="Arial Narrow"/>
                <w:sz w:val="20"/>
                <w:szCs w:val="20"/>
              </w:rPr>
              <w:t xml:space="preserve"> </w:t>
            </w:r>
            <w:r w:rsidRPr="00AA376C">
              <w:rPr>
                <w:rFonts w:ascii="Arial Narrow" w:hAnsi="Arial Narrow"/>
                <w:sz w:val="20"/>
                <w:szCs w:val="20"/>
              </w:rPr>
              <w:t>mg</w:t>
            </w:r>
            <w:r>
              <w:rPr>
                <w:rFonts w:ascii="Arial Narrow" w:hAnsi="Arial Narrow"/>
                <w:sz w:val="20"/>
                <w:szCs w:val="20"/>
              </w:rPr>
              <w:t xml:space="preserve"> / 20 mL IV (one vial per pack)</w:t>
            </w:r>
          </w:p>
        </w:tc>
        <w:tc>
          <w:tcPr>
            <w:tcW w:w="1056" w:type="pct"/>
            <w:vAlign w:val="center"/>
          </w:tcPr>
          <w:p w14:paraId="1349D249" w14:textId="77777777" w:rsidR="00ED4C9A" w:rsidRPr="00C5397B" w:rsidRDefault="00ED4C9A" w:rsidP="003124CE">
            <w:pPr>
              <w:pStyle w:val="ExecSumBodyText"/>
              <w:spacing w:after="0"/>
              <w:ind w:left="0" w:firstLine="0"/>
              <w:jc w:val="center"/>
              <w:rPr>
                <w:rFonts w:ascii="Arial Narrow" w:hAnsi="Arial Narrow"/>
                <w:sz w:val="20"/>
                <w:szCs w:val="20"/>
              </w:rPr>
            </w:pPr>
            <w:r>
              <w:rPr>
                <w:rFonts w:ascii="Arial Narrow" w:hAnsi="Arial Narrow"/>
                <w:sz w:val="20"/>
                <w:szCs w:val="20"/>
              </w:rPr>
              <w:t>Initial</w:t>
            </w:r>
          </w:p>
        </w:tc>
        <w:tc>
          <w:tcPr>
            <w:tcW w:w="1667" w:type="pct"/>
            <w:vAlign w:val="center"/>
          </w:tcPr>
          <w:p w14:paraId="1214FF3B" w14:textId="1966775A" w:rsidR="00ED4C9A" w:rsidRPr="00C5397B" w:rsidRDefault="00ED4C9A" w:rsidP="003124CE">
            <w:pPr>
              <w:pStyle w:val="ExecSumBodyText"/>
              <w:spacing w:after="0"/>
              <w:ind w:left="0" w:firstLine="0"/>
              <w:jc w:val="center"/>
              <w:rPr>
                <w:rFonts w:ascii="Arial Narrow" w:hAnsi="Arial Narrow"/>
                <w:sz w:val="20"/>
                <w:szCs w:val="20"/>
              </w:rPr>
            </w:pPr>
            <w:r w:rsidRPr="00617220">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p>
        </w:tc>
      </w:tr>
      <w:tr w:rsidR="00ED4C9A" w:rsidRPr="00C5397B" w14:paraId="07B5AA90" w14:textId="77777777" w:rsidTr="003124CE">
        <w:tc>
          <w:tcPr>
            <w:tcW w:w="2277" w:type="pct"/>
          </w:tcPr>
          <w:p w14:paraId="1B7CCFF2" w14:textId="77777777" w:rsidR="00ED4C9A" w:rsidRPr="00C5397B" w:rsidRDefault="00ED4C9A" w:rsidP="003124CE">
            <w:pPr>
              <w:pStyle w:val="ExecSumBodyText"/>
              <w:spacing w:after="0"/>
              <w:ind w:left="0" w:firstLine="0"/>
              <w:rPr>
                <w:rFonts w:ascii="Arial Narrow" w:hAnsi="Arial Narrow"/>
                <w:sz w:val="20"/>
                <w:szCs w:val="20"/>
              </w:rPr>
            </w:pPr>
            <w:r w:rsidRPr="00ED4C9A">
              <w:rPr>
                <w:rFonts w:ascii="Arial Narrow" w:hAnsi="Arial Narrow"/>
                <w:sz w:val="20"/>
                <w:szCs w:val="20"/>
              </w:rPr>
              <w:t xml:space="preserve">GUS 200 mg PFS/PFP </w:t>
            </w:r>
            <w:r>
              <w:rPr>
                <w:rFonts w:ascii="Arial Narrow" w:hAnsi="Arial Narrow"/>
                <w:sz w:val="20"/>
                <w:szCs w:val="20"/>
              </w:rPr>
              <w:t xml:space="preserve">SC </w:t>
            </w:r>
            <w:r w:rsidRPr="00ED4C9A">
              <w:rPr>
                <w:rFonts w:ascii="Arial Narrow" w:hAnsi="Arial Narrow"/>
                <w:sz w:val="20"/>
                <w:szCs w:val="20"/>
              </w:rPr>
              <w:t>(two injections per pack)</w:t>
            </w:r>
          </w:p>
        </w:tc>
        <w:tc>
          <w:tcPr>
            <w:tcW w:w="1056" w:type="pct"/>
            <w:vAlign w:val="center"/>
          </w:tcPr>
          <w:p w14:paraId="1E422838" w14:textId="77777777" w:rsidR="00ED4C9A" w:rsidRPr="00C5397B" w:rsidRDefault="00ED4C9A" w:rsidP="003124CE">
            <w:pPr>
              <w:pStyle w:val="ExecSumBodyText"/>
              <w:spacing w:after="0"/>
              <w:ind w:left="0" w:firstLine="0"/>
              <w:jc w:val="center"/>
              <w:rPr>
                <w:rFonts w:ascii="Arial Narrow" w:hAnsi="Arial Narrow"/>
                <w:sz w:val="20"/>
                <w:szCs w:val="20"/>
              </w:rPr>
            </w:pPr>
            <w:r>
              <w:rPr>
                <w:rFonts w:ascii="Arial Narrow" w:hAnsi="Arial Narrow"/>
                <w:sz w:val="20"/>
                <w:szCs w:val="20"/>
              </w:rPr>
              <w:t>Initial</w:t>
            </w:r>
          </w:p>
        </w:tc>
        <w:tc>
          <w:tcPr>
            <w:tcW w:w="1667" w:type="pct"/>
            <w:vAlign w:val="center"/>
          </w:tcPr>
          <w:p w14:paraId="6B0DB3C0" w14:textId="033F0AA2" w:rsidR="00ED4C9A" w:rsidRPr="00C5397B" w:rsidRDefault="00ED4C9A" w:rsidP="003124CE">
            <w:pPr>
              <w:pStyle w:val="ExecSumBodyText"/>
              <w:spacing w:after="0"/>
              <w:ind w:left="0" w:firstLine="0"/>
              <w:jc w:val="center"/>
              <w:rPr>
                <w:rFonts w:ascii="Arial Narrow" w:hAnsi="Arial Narrow"/>
                <w:sz w:val="20"/>
                <w:szCs w:val="20"/>
              </w:rPr>
            </w:pPr>
            <w:r w:rsidRPr="00617220">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p>
        </w:tc>
      </w:tr>
      <w:tr w:rsidR="00ED4C9A" w:rsidRPr="00C5397B" w14:paraId="2754A789" w14:textId="77777777" w:rsidTr="003124CE">
        <w:tc>
          <w:tcPr>
            <w:tcW w:w="2277" w:type="pct"/>
          </w:tcPr>
          <w:p w14:paraId="5F5D19AC" w14:textId="77777777" w:rsidR="00ED4C9A" w:rsidRPr="00C5397B" w:rsidRDefault="00ED4C9A" w:rsidP="003124CE">
            <w:pPr>
              <w:pStyle w:val="ExecSumBodyText"/>
              <w:spacing w:after="0"/>
              <w:ind w:left="0" w:firstLine="0"/>
              <w:rPr>
                <w:rFonts w:ascii="Arial Narrow" w:hAnsi="Arial Narrow"/>
                <w:sz w:val="20"/>
                <w:szCs w:val="20"/>
              </w:rPr>
            </w:pPr>
            <w:r w:rsidRPr="00C5397B">
              <w:rPr>
                <w:rFonts w:ascii="Arial Narrow" w:hAnsi="Arial Narrow"/>
                <w:sz w:val="20"/>
                <w:szCs w:val="20"/>
              </w:rPr>
              <w:t>GUS 100 mg PFS/PFP</w:t>
            </w:r>
            <w:r>
              <w:rPr>
                <w:rFonts w:ascii="Arial Narrow" w:hAnsi="Arial Narrow"/>
                <w:sz w:val="20"/>
                <w:szCs w:val="20"/>
              </w:rPr>
              <w:t xml:space="preserve"> SC (one injection per pack)</w:t>
            </w:r>
          </w:p>
        </w:tc>
        <w:tc>
          <w:tcPr>
            <w:tcW w:w="1056" w:type="pct"/>
            <w:vAlign w:val="center"/>
          </w:tcPr>
          <w:p w14:paraId="11AEC0A4" w14:textId="77777777" w:rsidR="00ED4C9A" w:rsidRPr="00C5397B" w:rsidRDefault="00ED4C9A" w:rsidP="003124CE">
            <w:pPr>
              <w:pStyle w:val="ExecSumBodyText"/>
              <w:spacing w:after="0"/>
              <w:ind w:left="0" w:firstLine="0"/>
              <w:jc w:val="center"/>
              <w:rPr>
                <w:rFonts w:ascii="Arial Narrow" w:hAnsi="Arial Narrow"/>
                <w:sz w:val="20"/>
                <w:szCs w:val="20"/>
              </w:rPr>
            </w:pPr>
            <w:r>
              <w:rPr>
                <w:rFonts w:ascii="Arial Narrow" w:hAnsi="Arial Narrow"/>
                <w:sz w:val="20"/>
                <w:szCs w:val="20"/>
              </w:rPr>
              <w:t>Continuing</w:t>
            </w:r>
          </w:p>
        </w:tc>
        <w:tc>
          <w:tcPr>
            <w:tcW w:w="1667" w:type="pct"/>
            <w:vAlign w:val="center"/>
          </w:tcPr>
          <w:p w14:paraId="78210F4B" w14:textId="2CB2B0A0" w:rsidR="00ED4C9A" w:rsidRPr="00C5397B" w:rsidRDefault="00ED4C9A" w:rsidP="003124CE">
            <w:pPr>
              <w:pStyle w:val="ExecSumBodyText"/>
              <w:spacing w:after="0"/>
              <w:ind w:left="0" w:firstLine="0"/>
              <w:jc w:val="center"/>
              <w:rPr>
                <w:rFonts w:ascii="Arial Narrow" w:hAnsi="Arial Narrow"/>
                <w:sz w:val="20"/>
                <w:szCs w:val="20"/>
              </w:rPr>
            </w:pPr>
            <w:r w:rsidRPr="00617220">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p>
        </w:tc>
      </w:tr>
      <w:tr w:rsidR="00ED4C9A" w:rsidRPr="00C5397B" w14:paraId="4A98446A" w14:textId="77777777" w:rsidTr="003124CE">
        <w:tc>
          <w:tcPr>
            <w:tcW w:w="2277" w:type="pct"/>
          </w:tcPr>
          <w:p w14:paraId="75ABECD6" w14:textId="77777777" w:rsidR="00ED4C9A" w:rsidRPr="00C5397B" w:rsidRDefault="00ED4C9A" w:rsidP="003124CE">
            <w:pPr>
              <w:pStyle w:val="ExecSumBodyText"/>
              <w:spacing w:after="0"/>
              <w:ind w:left="0" w:firstLine="0"/>
              <w:rPr>
                <w:rFonts w:ascii="Arial Narrow" w:hAnsi="Arial Narrow"/>
                <w:sz w:val="20"/>
                <w:szCs w:val="20"/>
              </w:rPr>
            </w:pPr>
            <w:r w:rsidRPr="00ED4C9A">
              <w:rPr>
                <w:rFonts w:ascii="Arial Narrow" w:hAnsi="Arial Narrow"/>
                <w:sz w:val="20"/>
                <w:szCs w:val="20"/>
              </w:rPr>
              <w:t xml:space="preserve">GUS 200 mg PFS/PFP </w:t>
            </w:r>
            <w:r>
              <w:rPr>
                <w:rFonts w:ascii="Arial Narrow" w:hAnsi="Arial Narrow"/>
                <w:sz w:val="20"/>
                <w:szCs w:val="20"/>
              </w:rPr>
              <w:t xml:space="preserve">SC </w:t>
            </w:r>
            <w:r w:rsidRPr="00ED4C9A">
              <w:rPr>
                <w:rFonts w:ascii="Arial Narrow" w:hAnsi="Arial Narrow"/>
                <w:sz w:val="20"/>
                <w:szCs w:val="20"/>
              </w:rPr>
              <w:t>(one injection per one pack)</w:t>
            </w:r>
          </w:p>
        </w:tc>
        <w:tc>
          <w:tcPr>
            <w:tcW w:w="1056" w:type="pct"/>
            <w:vAlign w:val="center"/>
          </w:tcPr>
          <w:p w14:paraId="5FA9C52D" w14:textId="77777777" w:rsidR="00ED4C9A" w:rsidRPr="00C5397B" w:rsidRDefault="00ED4C9A" w:rsidP="003124CE">
            <w:pPr>
              <w:pStyle w:val="ExecSumBodyText"/>
              <w:spacing w:after="0"/>
              <w:ind w:left="0" w:firstLine="0"/>
              <w:jc w:val="center"/>
              <w:rPr>
                <w:rFonts w:ascii="Arial Narrow" w:hAnsi="Arial Narrow"/>
                <w:sz w:val="20"/>
                <w:szCs w:val="20"/>
              </w:rPr>
            </w:pPr>
            <w:r>
              <w:rPr>
                <w:rFonts w:ascii="Arial Narrow" w:hAnsi="Arial Narrow"/>
                <w:sz w:val="20"/>
                <w:szCs w:val="20"/>
              </w:rPr>
              <w:t>Continuing</w:t>
            </w:r>
          </w:p>
        </w:tc>
        <w:tc>
          <w:tcPr>
            <w:tcW w:w="1667" w:type="pct"/>
            <w:vAlign w:val="center"/>
          </w:tcPr>
          <w:p w14:paraId="0EFE3DDF" w14:textId="64E3F17E" w:rsidR="00ED4C9A" w:rsidRPr="00C5397B" w:rsidRDefault="00ED4C9A" w:rsidP="003124CE">
            <w:pPr>
              <w:pStyle w:val="ExecSumBodyText"/>
              <w:spacing w:after="0"/>
              <w:ind w:left="0" w:firstLine="0"/>
              <w:jc w:val="center"/>
              <w:rPr>
                <w:rFonts w:ascii="Arial Narrow" w:hAnsi="Arial Narrow"/>
                <w:sz w:val="20"/>
                <w:szCs w:val="20"/>
              </w:rPr>
            </w:pPr>
            <w:r w:rsidRPr="00617220">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p>
        </w:tc>
      </w:tr>
    </w:tbl>
    <w:p w14:paraId="4E857D62" w14:textId="77777777" w:rsidR="00ED4C9A" w:rsidRDefault="00ED4C9A" w:rsidP="00ED4C9A">
      <w:pPr>
        <w:pStyle w:val="ExecSumBodyText"/>
        <w:spacing w:after="0"/>
        <w:ind w:left="0" w:firstLine="0"/>
        <w:rPr>
          <w:rFonts w:ascii="Arial Narrow" w:hAnsi="Arial Narrow"/>
          <w:sz w:val="18"/>
          <w:szCs w:val="18"/>
        </w:rPr>
      </w:pPr>
      <w:r>
        <w:rPr>
          <w:rFonts w:ascii="Arial Narrow" w:hAnsi="Arial Narrow"/>
          <w:sz w:val="18"/>
          <w:szCs w:val="18"/>
        </w:rPr>
        <w:t>Source: Table 1.7, p50 of the submission.</w:t>
      </w:r>
    </w:p>
    <w:p w14:paraId="6E4B828A" w14:textId="19DA2665" w:rsidR="00ED4C9A" w:rsidRDefault="00ED4C9A" w:rsidP="00F168F1">
      <w:pPr>
        <w:pStyle w:val="ExecSumBodyText"/>
        <w:spacing w:after="0"/>
        <w:ind w:left="0" w:firstLine="0"/>
        <w:rPr>
          <w:rFonts w:ascii="Arial Narrow" w:hAnsi="Arial Narrow"/>
          <w:sz w:val="18"/>
          <w:szCs w:val="18"/>
        </w:rPr>
      </w:pPr>
      <w:r w:rsidRPr="00AF30DB">
        <w:rPr>
          <w:rFonts w:ascii="Arial Narrow" w:hAnsi="Arial Narrow"/>
          <w:sz w:val="18"/>
          <w:szCs w:val="18"/>
        </w:rPr>
        <w:t xml:space="preserve">GUS=guselkumab; </w:t>
      </w:r>
      <w:r>
        <w:rPr>
          <w:rFonts w:ascii="Arial Narrow" w:hAnsi="Arial Narrow"/>
          <w:sz w:val="18"/>
          <w:szCs w:val="18"/>
        </w:rPr>
        <w:t>IV=intravenous; PFP=pre-filled pen; PFS=</w:t>
      </w:r>
      <w:r w:rsidRPr="00ED4C9A">
        <w:rPr>
          <w:rFonts w:ascii="Arial Narrow" w:hAnsi="Arial Narrow"/>
          <w:sz w:val="18"/>
          <w:szCs w:val="18"/>
        </w:rPr>
        <w:t>pre-filled syringe</w:t>
      </w:r>
      <w:r>
        <w:rPr>
          <w:rFonts w:ascii="Arial Narrow" w:hAnsi="Arial Narrow"/>
          <w:sz w:val="18"/>
          <w:szCs w:val="18"/>
        </w:rPr>
        <w:t>;</w:t>
      </w:r>
      <w:r w:rsidRPr="00ED4C9A">
        <w:rPr>
          <w:rFonts w:ascii="Arial Narrow" w:hAnsi="Arial Narrow"/>
          <w:sz w:val="18"/>
          <w:szCs w:val="18"/>
        </w:rPr>
        <w:t xml:space="preserve"> </w:t>
      </w:r>
      <w:r>
        <w:rPr>
          <w:rFonts w:ascii="Arial Narrow" w:hAnsi="Arial Narrow"/>
          <w:sz w:val="18"/>
          <w:szCs w:val="18"/>
        </w:rPr>
        <w:t>SC=subcutaneous</w:t>
      </w:r>
    </w:p>
    <w:p w14:paraId="059CC980" w14:textId="77777777" w:rsidR="00257B9F" w:rsidRPr="00F168F1" w:rsidRDefault="00257B9F" w:rsidP="00F168F1">
      <w:pPr>
        <w:pStyle w:val="ExecSumBodyText"/>
        <w:spacing w:after="0"/>
        <w:ind w:left="0" w:firstLine="0"/>
        <w:rPr>
          <w:rFonts w:ascii="Arial Narrow" w:hAnsi="Arial Narrow"/>
          <w:sz w:val="18"/>
          <w:szCs w:val="18"/>
        </w:rPr>
      </w:pPr>
    </w:p>
    <w:p w14:paraId="47B5A492" w14:textId="76F00A19" w:rsidR="00CE23A4" w:rsidRPr="00F97BAD" w:rsidRDefault="00CE23A4" w:rsidP="00F71152">
      <w:pPr>
        <w:pStyle w:val="ExecSumBodyText"/>
        <w:numPr>
          <w:ilvl w:val="1"/>
          <w:numId w:val="1"/>
        </w:numPr>
      </w:pPr>
      <w:r w:rsidRPr="00F97BAD">
        <w:t>At the requested effective AEMPs: the cost of the 12-week induction period is the same irrespective of route of administration after accounting for administration costs ($</w:t>
      </w:r>
      <w:r w:rsidR="00E77A69" w:rsidRPr="00E77A69">
        <w:rPr>
          <w:color w:val="000000"/>
          <w:w w:val="61"/>
          <w:shd w:val="solid" w:color="000000" w:fill="000000"/>
          <w:fitText w:val="475" w:id="-628921330"/>
          <w14:textFill>
            <w14:solidFill>
              <w14:srgbClr w14:val="000000">
                <w14:alpha w14:val="100000"/>
              </w14:srgbClr>
            </w14:solidFill>
          </w14:textFill>
        </w:rPr>
        <w:t>|||  ||</w:t>
      </w:r>
      <w:r w:rsidR="00E77A69" w:rsidRPr="00E77A69">
        <w:rPr>
          <w:color w:val="000000"/>
          <w:spacing w:val="5"/>
          <w:w w:val="61"/>
          <w:shd w:val="solid" w:color="000000" w:fill="000000"/>
          <w:fitText w:val="475" w:id="-628921330"/>
          <w14:textFill>
            <w14:solidFill>
              <w14:srgbClr w14:val="000000">
                <w14:alpha w14:val="100000"/>
              </w14:srgbClr>
            </w14:solidFill>
          </w14:textFill>
        </w:rPr>
        <w:t>|</w:t>
      </w:r>
      <w:r w:rsidRPr="00F97BAD">
        <w:t>)</w:t>
      </w:r>
      <w:r w:rsidR="00E27982" w:rsidRPr="00F97BAD">
        <w:t xml:space="preserve"> and</w:t>
      </w:r>
      <w:r w:rsidRPr="00F97BAD">
        <w:t xml:space="preserve"> the cost of the 24-week maintenance period is the same irrespective of dosing regimen ($</w:t>
      </w:r>
      <w:r w:rsidR="00E77A69" w:rsidRPr="003B7DE0">
        <w:rPr>
          <w:color w:val="000000"/>
          <w:w w:val="61"/>
          <w:shd w:val="solid" w:color="000000" w:fill="000000"/>
          <w:fitText w:val="475" w:id="-628921329"/>
          <w14:textFill>
            <w14:solidFill>
              <w14:srgbClr w14:val="000000">
                <w14:alpha w14:val="100000"/>
              </w14:srgbClr>
            </w14:solidFill>
          </w14:textFill>
        </w:rPr>
        <w:t>|||  ||</w:t>
      </w:r>
      <w:r w:rsidR="00E77A69" w:rsidRPr="003B7DE0">
        <w:rPr>
          <w:color w:val="000000"/>
          <w:spacing w:val="5"/>
          <w:w w:val="61"/>
          <w:shd w:val="solid" w:color="000000" w:fill="000000"/>
          <w:fitText w:val="475" w:id="-628921329"/>
          <w14:textFill>
            <w14:solidFill>
              <w14:srgbClr w14:val="000000">
                <w14:alpha w14:val="100000"/>
              </w14:srgbClr>
            </w14:solidFill>
          </w14:textFill>
        </w:rPr>
        <w:t>|</w:t>
      </w:r>
      <w:r w:rsidRPr="00F97BAD">
        <w:t>)</w:t>
      </w:r>
      <w:r w:rsidR="00E27982" w:rsidRPr="00F97BAD">
        <w:t>; however, the average cost per patient differs over time for the two maintenance regimens due to the different starting points (W</w:t>
      </w:r>
      <w:r w:rsidR="00F47AEA" w:rsidRPr="00F97BAD">
        <w:t>ee</w:t>
      </w:r>
      <w:r w:rsidR="00E27982" w:rsidRPr="00F97BAD">
        <w:t>k 12 for GUS 200 mg and W</w:t>
      </w:r>
      <w:r w:rsidR="00F47AEA" w:rsidRPr="00F97BAD">
        <w:t>ee</w:t>
      </w:r>
      <w:r w:rsidR="00E27982" w:rsidRPr="00F97BAD">
        <w:t>k 16 for GUS 100 mg)</w:t>
      </w:r>
      <w:r w:rsidRPr="00F97BAD">
        <w:t xml:space="preserve">. For maintenance therapy, the proposed effective AEMP of GUS 200 mg PFS/PFP (one in one pack) is half the effective AEMP of GUS 100 mg SC </w:t>
      </w:r>
      <w:r w:rsidR="00CD1CD9" w:rsidRPr="00F97BAD">
        <w:t xml:space="preserve">(one in one pack) </w:t>
      </w:r>
      <w:r w:rsidRPr="00F97BAD">
        <w:t>because the recommended dosing frequency with the 200 mg dose (Q4W) is half as frequent as the 100 mg dose (Q8W)</w:t>
      </w:r>
      <w:r w:rsidR="005D139D" w:rsidRPr="00F97BAD">
        <w:t>.</w:t>
      </w:r>
    </w:p>
    <w:p w14:paraId="1188478A" w14:textId="60D5BF38" w:rsidR="00CE23A4" w:rsidRDefault="00CE23A4" w:rsidP="00F71152">
      <w:pPr>
        <w:pStyle w:val="ExecSumBodyText"/>
        <w:numPr>
          <w:ilvl w:val="1"/>
          <w:numId w:val="1"/>
        </w:numPr>
      </w:pPr>
      <w:r>
        <w:t>The submission requested equivalent restriction criteria for GUS to other PBS-listed b/</w:t>
      </w:r>
      <w:proofErr w:type="spellStart"/>
      <w:r>
        <w:t>tsDMARDs</w:t>
      </w:r>
      <w:proofErr w:type="spellEnd"/>
      <w:r>
        <w:t xml:space="preserve"> for initial and continuing treatment of severe CD</w:t>
      </w:r>
      <w:r w:rsidR="00F300BF">
        <w:t xml:space="preserve">; as well as a grandfather restriction to allow patients receiving GUS from the GALAXI trials (22 patients) and an anticipated early access program (approximately 463 patients) to transition onto PBS treatment. The early access program was planned to commence three months prior to PBS listing of GUS. </w:t>
      </w:r>
      <w:r w:rsidRPr="00F97BAD">
        <w:t xml:space="preserve">The key difference in the PBS restriction across the </w:t>
      </w:r>
      <w:r w:rsidR="007A2360" w:rsidRPr="00F97BAD">
        <w:t>different b/</w:t>
      </w:r>
      <w:proofErr w:type="spellStart"/>
      <w:r w:rsidR="007A2360" w:rsidRPr="00F97BAD">
        <w:t>tsDMARDs</w:t>
      </w:r>
      <w:proofErr w:type="spellEnd"/>
      <w:r w:rsidRPr="00F97BAD">
        <w:t xml:space="preserve"> was the maximum number of weeks of initial/induction treatment (GUS and UPA: 12 weeks; IFX: 12-14 weeks; ADA and UST: 16 weeks; VDZ: 14-18 weeks).</w:t>
      </w:r>
      <w:r w:rsidR="00154933" w:rsidRPr="00154933">
        <w:t xml:space="preserve"> The Secretariat noted that it may be appropriate to have separate initial and </w:t>
      </w:r>
      <w:r w:rsidR="00154933" w:rsidRPr="00154933">
        <w:lastRenderedPageBreak/>
        <w:t>continuing Grandfather restrictions as there is some variation across the clinical criteria and dosing forms for patients transitioning through induction vs maintenance.</w:t>
      </w:r>
      <w:r w:rsidR="00154933">
        <w:t xml:space="preserve"> Additionally, the Secretariat considered it may be appropriate to add clinical criteria to ensure grandfathered patients had previously failed prior therapies.</w:t>
      </w:r>
    </w:p>
    <w:p w14:paraId="16F08FE8" w14:textId="761DBE55" w:rsidR="006A708F" w:rsidRDefault="006A708F" w:rsidP="00F71152">
      <w:pPr>
        <w:pStyle w:val="ExecSumBodyText"/>
        <w:numPr>
          <w:ilvl w:val="1"/>
          <w:numId w:val="1"/>
        </w:numPr>
      </w:pPr>
      <w:r>
        <w:t xml:space="preserve">The </w:t>
      </w:r>
      <w:r w:rsidR="00F73022">
        <w:t>Secretariat proposed</w:t>
      </w:r>
      <w:r w:rsidR="005D4649">
        <w:t xml:space="preserve"> the addition of </w:t>
      </w:r>
      <w:proofErr w:type="gramStart"/>
      <w:r w:rsidR="005D4649">
        <w:t>a number of</w:t>
      </w:r>
      <w:proofErr w:type="gramEnd"/>
      <w:r w:rsidR="005D4649">
        <w:t xml:space="preserve"> Prescribing Instructions and amendments to some clinical criteria </w:t>
      </w:r>
      <w:r w:rsidR="00F73022">
        <w:t>to ensure consistency with other PBS-listed b/</w:t>
      </w:r>
      <w:proofErr w:type="spellStart"/>
      <w:r w:rsidR="00F73022">
        <w:t>tsDMARDs</w:t>
      </w:r>
      <w:proofErr w:type="spellEnd"/>
      <w:r w:rsidR="00F73022">
        <w:t xml:space="preserve"> for severe CD. </w:t>
      </w:r>
    </w:p>
    <w:p w14:paraId="6626D335" w14:textId="71632F0A" w:rsidR="006A708F" w:rsidRDefault="00904B81" w:rsidP="00904B81">
      <w:pPr>
        <w:pStyle w:val="ExecSumBodyText"/>
        <w:ind w:left="550" w:firstLine="170"/>
      </w:pPr>
      <w:r w:rsidRPr="00904B81">
        <w:rPr>
          <w:i/>
          <w:iCs/>
        </w:rPr>
        <w:t>For more detail on PBAC’s view, see section 7 PBAC outcome</w:t>
      </w:r>
      <w:r w:rsidRPr="00904B81">
        <w:t>.</w:t>
      </w:r>
    </w:p>
    <w:p w14:paraId="7075B85C" w14:textId="62A47B7B" w:rsidR="00B50DB8" w:rsidRPr="00407F2D" w:rsidDel="00195452" w:rsidRDefault="00203181" w:rsidP="004E18E9">
      <w:pPr>
        <w:pStyle w:val="2-SectionHeading"/>
      </w:pPr>
      <w:bookmarkStart w:id="13" w:name="_Toc198715631"/>
      <w:r w:rsidDel="00195452">
        <w:t xml:space="preserve">Population and </w:t>
      </w:r>
      <w:r w:rsidR="008E0D3C" w:rsidDel="00195452">
        <w:t>d</w:t>
      </w:r>
      <w:r w:rsidDel="00195452">
        <w:t>isease</w:t>
      </w:r>
      <w:bookmarkEnd w:id="13"/>
    </w:p>
    <w:p w14:paraId="42B29D24" w14:textId="62EFD47B" w:rsidR="00CE23A4" w:rsidRPr="00CE23A4" w:rsidRDefault="00CE23A4" w:rsidP="004E18E9">
      <w:pPr>
        <w:pStyle w:val="3-BodyText"/>
      </w:pPr>
      <w:r>
        <w:t xml:space="preserve">CD is an incurable, progressive inflammatory bowel disease (IBD) characterised by chronic transmural inflammation of the gastrointestinal tract, most commonly affecting any portion of the gastrointestinal tract from the mouth to the perianal area. Symptoms of </w:t>
      </w:r>
      <w:r w:rsidRPr="00376ADC">
        <w:t xml:space="preserve">CD </w:t>
      </w:r>
      <w:r>
        <w:t>include chronic diarrh</w:t>
      </w:r>
      <w:r w:rsidR="00772EF6">
        <w:t>o</w:t>
      </w:r>
      <w:r>
        <w:t xml:space="preserve">ea, abdominal pain, rectal bleeding, weight loss and fatigue. Symptom burden increases as disease severity increases from mild to moderate or severe active disease. </w:t>
      </w:r>
      <w:r w:rsidRPr="00376ADC">
        <w:t xml:space="preserve">CD runs a relapsing and remitting course. Although inflammation subsides during periods of remission, the disease is progressive and evolves over time from luminal inflammation to </w:t>
      </w:r>
      <w:proofErr w:type="spellStart"/>
      <w:r w:rsidRPr="00376ADC">
        <w:t>fibrostenotic</w:t>
      </w:r>
      <w:proofErr w:type="spellEnd"/>
      <w:r w:rsidRPr="00376ADC">
        <w:t xml:space="preserve"> structuring or penetrating lesions (fistula or abscesses), resulting in structural bowel damage</w:t>
      </w:r>
      <w:r>
        <w:t xml:space="preserve">. </w:t>
      </w:r>
      <w:r w:rsidRPr="00376ADC">
        <w:t>Some patients who develop complications require surgery, such as surgical resection.</w:t>
      </w:r>
    </w:p>
    <w:p w14:paraId="5B67FE8B" w14:textId="681C4CE9" w:rsidR="002A34A7" w:rsidRDefault="00CE23A4" w:rsidP="00453491">
      <w:pPr>
        <w:pStyle w:val="3-BodyText"/>
      </w:pPr>
      <w:r>
        <w:t xml:space="preserve">Crohn’s disease activity index (CDAI) score is </w:t>
      </w:r>
      <w:r w:rsidR="008F58B0">
        <w:t xml:space="preserve">commonly </w:t>
      </w:r>
      <w:r>
        <w:t>used to assess the severity of CD</w:t>
      </w:r>
      <w:r w:rsidR="00453491">
        <w:t xml:space="preserve"> and response to treatment</w:t>
      </w:r>
      <w:r w:rsidR="008F58B0">
        <w:t xml:space="preserve"> in clinical trials and routine practice</w:t>
      </w:r>
      <w:r>
        <w:t xml:space="preserve">. </w:t>
      </w:r>
      <w:r w:rsidR="00A03452">
        <w:t>CDAI is a weighted index comprising eight clinical and laboratory items (</w:t>
      </w:r>
      <w:r w:rsidR="00A03452" w:rsidRPr="003C6A09">
        <w:t xml:space="preserve">weight, gender, </w:t>
      </w:r>
      <w:proofErr w:type="spellStart"/>
      <w:r w:rsidR="00A03452" w:rsidRPr="003C6A09">
        <w:t>hematocrit</w:t>
      </w:r>
      <w:proofErr w:type="spellEnd"/>
      <w:r w:rsidR="00A03452" w:rsidRPr="003C6A09">
        <w:t>, number of loose stools, degree of pain, general well-being, use of anti-diarrheal medication, presence of abdominal mass, and extra-intestinal findings or complications</w:t>
      </w:r>
      <w:r w:rsidR="00A03452">
        <w:t xml:space="preserve">) to calculate the severity of disease activity as mild, moderate or severe disease. </w:t>
      </w:r>
      <w:r w:rsidR="00453491">
        <w:t xml:space="preserve">For induction treatment </w:t>
      </w:r>
      <w:r w:rsidR="008F58B0">
        <w:t>with a b/</w:t>
      </w:r>
      <w:proofErr w:type="spellStart"/>
      <w:r w:rsidR="008F58B0">
        <w:t>tsDMARD</w:t>
      </w:r>
      <w:proofErr w:type="spellEnd"/>
      <w:r w:rsidR="008F58B0">
        <w:t xml:space="preserve"> </w:t>
      </w:r>
      <w:r w:rsidR="00453491">
        <w:t xml:space="preserve">on the PBS, patients must have a CDAI score </w:t>
      </w:r>
      <w:r w:rsidR="00453491" w:rsidRPr="00F5323D">
        <w:t xml:space="preserve">≥300 </w:t>
      </w:r>
      <w:r w:rsidR="00453491">
        <w:t>or</w:t>
      </w:r>
      <w:r w:rsidR="00453491" w:rsidRPr="00F5323D">
        <w:t xml:space="preserve"> CDAI ≥220 with extensive small intestine disease</w:t>
      </w:r>
      <w:r w:rsidR="00453491">
        <w:t xml:space="preserve">. For maintenance treatment </w:t>
      </w:r>
      <w:r w:rsidR="008F58B0">
        <w:t>with a b/</w:t>
      </w:r>
      <w:proofErr w:type="spellStart"/>
      <w:r w:rsidR="008F58B0">
        <w:t>tsDMARD</w:t>
      </w:r>
      <w:proofErr w:type="spellEnd"/>
      <w:r w:rsidR="008F58B0">
        <w:t xml:space="preserve"> </w:t>
      </w:r>
      <w:r w:rsidR="00453491">
        <w:t>on the PBS, patients must achieve</w:t>
      </w:r>
      <w:r w:rsidR="00453491" w:rsidRPr="0053275C">
        <w:t xml:space="preserve"> </w:t>
      </w:r>
      <w:r w:rsidR="00453491">
        <w:t xml:space="preserve">and maintain </w:t>
      </w:r>
      <w:r w:rsidR="008F58B0">
        <w:t xml:space="preserve">(following induction treatment) </w:t>
      </w:r>
      <w:r w:rsidR="00453491">
        <w:t xml:space="preserve">a </w:t>
      </w:r>
      <w:r w:rsidR="00453491" w:rsidRPr="0053275C">
        <w:t xml:space="preserve">CDAI &lt;150 </w:t>
      </w:r>
      <w:r w:rsidR="00453491">
        <w:t>or</w:t>
      </w:r>
      <w:r w:rsidR="00453491" w:rsidRPr="0053275C">
        <w:t xml:space="preserve"> an improvement of intestinal inflammation/ reversal of high faecal output state/avoidance of </w:t>
      </w:r>
      <w:r w:rsidR="00453491">
        <w:t>total parenteral nutrition.</w:t>
      </w:r>
    </w:p>
    <w:p w14:paraId="7ED05D59" w14:textId="79E337C8" w:rsidR="00AF0093" w:rsidRDefault="00A03452" w:rsidP="00453491">
      <w:pPr>
        <w:pStyle w:val="3-BodyText"/>
      </w:pPr>
      <w:r w:rsidRPr="00FC5FE9">
        <w:t xml:space="preserve">Endoscopic outcomes </w:t>
      </w:r>
      <w:r w:rsidR="005A428D">
        <w:t xml:space="preserve">(evaluating the severity of mucosal inflammation) </w:t>
      </w:r>
      <w:r>
        <w:t xml:space="preserve">are increasingly used in the </w:t>
      </w:r>
      <w:r w:rsidRPr="00FC5FE9">
        <w:t>management of CD</w:t>
      </w:r>
      <w:r>
        <w:t xml:space="preserve"> and </w:t>
      </w:r>
      <w:r w:rsidRPr="00FC5FE9">
        <w:t xml:space="preserve">clinical trials </w:t>
      </w:r>
      <w:r>
        <w:t>alongside clinical outcomes such as</w:t>
      </w:r>
      <w:r w:rsidRPr="00FC5FE9">
        <w:t xml:space="preserve"> CDAI</w:t>
      </w:r>
      <w:r>
        <w:t xml:space="preserve">, which evaluates severity of symptoms but </w:t>
      </w:r>
      <w:r w:rsidRPr="00FC5FE9">
        <w:t xml:space="preserve">may be poorly </w:t>
      </w:r>
      <w:r>
        <w:t>correlated</w:t>
      </w:r>
      <w:r w:rsidRPr="00FC5FE9">
        <w:t xml:space="preserve"> with findings of intestinal inflammation</w:t>
      </w:r>
      <w:r w:rsidR="005E2BF3">
        <w:t>.</w:t>
      </w:r>
      <w:r w:rsidRPr="00FC5FE9">
        <w:t xml:space="preserve"> </w:t>
      </w:r>
      <w:r w:rsidRPr="002B1DC4">
        <w:t>The most common endoscopic scoring systems in CD are the CD Endoscopic Index of Severity (CDEIS) and the Simple Endoscopic Score for CD (SES-CD). The SES-CD evaluates four key endoscopic items: ulcer size, proportion of ulcerated surface, proportion of affected surface, and the presence and type of stenosis</w:t>
      </w:r>
      <w:r>
        <w:t>.</w:t>
      </w:r>
      <w:r w:rsidRPr="002B1DC4">
        <w:t xml:space="preserve"> </w:t>
      </w:r>
      <w:r w:rsidR="002A34A7">
        <w:t xml:space="preserve">The US Food and Drug Administration (FDA) guidance </w:t>
      </w:r>
      <w:r w:rsidR="002A34A7">
        <w:lastRenderedPageBreak/>
        <w:t>2022 on the development of drug therapies in CD has recommended clinical remission and endoscopic remission as co-primary endpoints of the treatment effect on signs, symptoms and mu</w:t>
      </w:r>
      <w:r w:rsidR="005E2BF3">
        <w:t xml:space="preserve">cosal </w:t>
      </w:r>
      <w:r w:rsidR="002A34A7">
        <w:t xml:space="preserve">inflammation at the end of </w:t>
      </w:r>
      <w:r w:rsidR="005E2BF3">
        <w:t xml:space="preserve">the </w:t>
      </w:r>
      <w:r w:rsidR="002A34A7">
        <w:t>induction and maintenance period.</w:t>
      </w:r>
      <w:r w:rsidR="00A74841" w:rsidRPr="00F97BAD">
        <w:t xml:space="preserve"> </w:t>
      </w:r>
      <w:r w:rsidR="00670FEA" w:rsidRPr="00F97BAD">
        <w:t xml:space="preserve">In practice, endoscopy may form part of routine monitoring in patients with CD to monitor disease activity, check for complications and manage treatment. Patients may undergo endoscopy once a year to once every five years. The frequency and type of endoscopy depends on the disease location, other associated diseases and </w:t>
      </w:r>
      <w:r w:rsidR="005E2BF3" w:rsidRPr="00F97BAD">
        <w:t xml:space="preserve">the </w:t>
      </w:r>
      <w:r w:rsidR="00670FEA" w:rsidRPr="00F97BAD">
        <w:t>patient’s risk of colorectal cancer (Crohn’s &amp; Colitis Australia</w:t>
      </w:r>
      <w:r w:rsidR="00670FEA" w:rsidRPr="00F97BAD">
        <w:rPr>
          <w:rStyle w:val="FootnoteReference"/>
        </w:rPr>
        <w:footnoteReference w:id="2"/>
      </w:r>
      <w:r w:rsidR="00670FEA" w:rsidRPr="00F97BAD">
        <w:t>).</w:t>
      </w:r>
    </w:p>
    <w:p w14:paraId="08ED750D" w14:textId="1348CA60" w:rsidR="007E1DDC" w:rsidRDefault="005E2BF3" w:rsidP="004E18E9">
      <w:pPr>
        <w:pStyle w:val="3-BodyText"/>
      </w:pPr>
      <w:r>
        <w:t>I</w:t>
      </w:r>
      <w:r w:rsidRPr="00C340EA">
        <w:t xml:space="preserve">nitial treatment </w:t>
      </w:r>
      <w:r>
        <w:t>f</w:t>
      </w:r>
      <w:r w:rsidR="008F58B0" w:rsidRPr="00C340EA">
        <w:t xml:space="preserve">or patients </w:t>
      </w:r>
      <w:r w:rsidR="00AB7C21">
        <w:t xml:space="preserve">diagnosed </w:t>
      </w:r>
      <w:r w:rsidR="008F58B0" w:rsidRPr="00C340EA">
        <w:t xml:space="preserve">with </w:t>
      </w:r>
      <w:r w:rsidR="008F58B0">
        <w:t>CD</w:t>
      </w:r>
      <w:r w:rsidR="008F58B0" w:rsidRPr="00C340EA">
        <w:t xml:space="preserve">, includes conventional therapies such as 5-ASA, oral corticosteroids and immunomodulators (azathioprine, 6-mercaptopurine and methotrexate). Patients who fail to achieve adequate response or have intolerance to conventional therapies would initiate </w:t>
      </w:r>
      <w:r w:rsidR="008F58B0">
        <w:t>treatment with a b/</w:t>
      </w:r>
      <w:proofErr w:type="spellStart"/>
      <w:r w:rsidR="008F58B0">
        <w:t>tsDMARD</w:t>
      </w:r>
      <w:proofErr w:type="spellEnd"/>
      <w:r w:rsidR="008F58B0">
        <w:t xml:space="preserve">. </w:t>
      </w:r>
      <w:r w:rsidR="007E1DDC">
        <w:t xml:space="preserve">The </w:t>
      </w:r>
      <w:r w:rsidR="008F58B0">
        <w:t xml:space="preserve">proposed </w:t>
      </w:r>
      <w:r w:rsidR="007E1DDC">
        <w:t xml:space="preserve">clinical management algorithm </w:t>
      </w:r>
      <w:r w:rsidR="008F58B0">
        <w:t xml:space="preserve">presented in the submission positioned GUS as an alternative treatment </w:t>
      </w:r>
      <w:r w:rsidR="007E1DDC">
        <w:t xml:space="preserve">to </w:t>
      </w:r>
      <w:r w:rsidR="008F58B0">
        <w:t xml:space="preserve">other </w:t>
      </w:r>
      <w:r w:rsidR="007E1DDC">
        <w:t>b/</w:t>
      </w:r>
      <w:proofErr w:type="spellStart"/>
      <w:r w:rsidR="007E1DDC">
        <w:t>tsDMARDs</w:t>
      </w:r>
      <w:proofErr w:type="spellEnd"/>
      <w:r w:rsidR="007E1DDC">
        <w:t xml:space="preserve"> </w:t>
      </w:r>
      <w:r w:rsidR="008F58B0">
        <w:t>available on the PBS for the</w:t>
      </w:r>
      <w:r w:rsidR="007E1DDC">
        <w:t xml:space="preserve"> treatment </w:t>
      </w:r>
      <w:r w:rsidR="008F58B0">
        <w:t xml:space="preserve">of </w:t>
      </w:r>
      <w:r w:rsidR="007E1DDC">
        <w:t xml:space="preserve">severe CD. </w:t>
      </w:r>
    </w:p>
    <w:p w14:paraId="51C44DF5" w14:textId="121E57A5" w:rsidR="007E1DDC" w:rsidRPr="00F97BAD" w:rsidRDefault="007E1DDC" w:rsidP="00286E68">
      <w:pPr>
        <w:pStyle w:val="3-BodyText"/>
      </w:pPr>
      <w:r w:rsidRPr="00F97BAD">
        <w:t xml:space="preserve">Current guidelines offer limited guidance on the positioning of therapies (i.e. first- and second-line) in the management of severe CD. Guidelines suggest early use or first-line treatment include biologics (especially with </w:t>
      </w:r>
      <w:r w:rsidR="00FD14AA" w:rsidRPr="00F97BAD">
        <w:t>tumour necrosis factor inhibitor (</w:t>
      </w:r>
      <w:proofErr w:type="spellStart"/>
      <w:r w:rsidRPr="00F97BAD">
        <w:t>TNFi</w:t>
      </w:r>
      <w:proofErr w:type="spellEnd"/>
      <w:r w:rsidR="00FD14AA" w:rsidRPr="00F97BAD">
        <w:t>)</w:t>
      </w:r>
      <w:r w:rsidRPr="00F97BAD">
        <w:t xml:space="preserve"> agents) rather than delaying until after failure of conventional therapy (AGA 2021</w:t>
      </w:r>
      <w:r w:rsidR="00C735D2" w:rsidRPr="00F97BAD">
        <w:rPr>
          <w:rStyle w:val="FootnoteReference"/>
        </w:rPr>
        <w:footnoteReference w:id="3"/>
      </w:r>
      <w:r w:rsidRPr="00F97BAD">
        <w:t>, GESA 2018</w:t>
      </w:r>
      <w:r w:rsidR="00C735D2" w:rsidRPr="00F97BAD">
        <w:rPr>
          <w:rStyle w:val="FootnoteReference"/>
        </w:rPr>
        <w:footnoteReference w:id="4"/>
      </w:r>
      <w:r w:rsidRPr="00F97BAD">
        <w:t xml:space="preserve">). Patients who failed to respond to </w:t>
      </w:r>
      <w:proofErr w:type="spellStart"/>
      <w:r w:rsidRPr="00F97BAD">
        <w:t>TNFi</w:t>
      </w:r>
      <w:proofErr w:type="spellEnd"/>
      <w:r w:rsidRPr="00F97BAD">
        <w:t xml:space="preserve"> treatment may benefit from switching to </w:t>
      </w:r>
      <w:r w:rsidR="00662653" w:rsidRPr="00F97BAD">
        <w:t>another</w:t>
      </w:r>
      <w:r w:rsidRPr="00F97BAD">
        <w:t xml:space="preserve"> biologic class. Recent systematic review</w:t>
      </w:r>
      <w:r w:rsidR="00662653" w:rsidRPr="00F97BAD">
        <w:t>s</w:t>
      </w:r>
      <w:r w:rsidRPr="00F97BAD">
        <w:t xml:space="preserve"> and network meta-analysis by Singh 2021</w:t>
      </w:r>
      <w:r w:rsidRPr="00F97BAD">
        <w:rPr>
          <w:rStyle w:val="FootnoteReference"/>
        </w:rPr>
        <w:footnoteReference w:id="5"/>
      </w:r>
      <w:r w:rsidRPr="00F97BAD">
        <w:t xml:space="preserve"> and </w:t>
      </w:r>
      <w:proofErr w:type="spellStart"/>
      <w:r w:rsidRPr="00F97BAD">
        <w:t>Attauabi</w:t>
      </w:r>
      <w:proofErr w:type="spellEnd"/>
      <w:r w:rsidRPr="00F97BAD">
        <w:t xml:space="preserve"> 2025</w:t>
      </w:r>
      <w:r w:rsidRPr="00F97BAD">
        <w:rPr>
          <w:rStyle w:val="FootnoteReference"/>
        </w:rPr>
        <w:footnoteReference w:id="6"/>
      </w:r>
      <w:r w:rsidRPr="00F97BAD">
        <w:t xml:space="preserve"> highlighted IFX and ADA </w:t>
      </w:r>
      <w:r w:rsidR="00662653" w:rsidRPr="00F97BAD">
        <w:t xml:space="preserve">as effective </w:t>
      </w:r>
      <w:r w:rsidRPr="00F97BAD">
        <w:t xml:space="preserve">for inducing and maintaining clinical remission over other biologics (including GUS) in moderate to severe CD and IL-23 inhibitor (e.g. UST) or </w:t>
      </w:r>
      <w:r w:rsidR="0004680B" w:rsidRPr="00F97BAD">
        <w:t>Janis-associated kinase (</w:t>
      </w:r>
      <w:r w:rsidRPr="00F97BAD">
        <w:t>JAK</w:t>
      </w:r>
      <w:r w:rsidR="0004680B" w:rsidRPr="00F97BAD">
        <w:t>)</w:t>
      </w:r>
      <w:r w:rsidRPr="00F97BAD">
        <w:t xml:space="preserve"> inhibitor (e.g. UPA) as potentially more effective in </w:t>
      </w:r>
      <w:proofErr w:type="spellStart"/>
      <w:r w:rsidRPr="00F97BAD">
        <w:t>TNFi</w:t>
      </w:r>
      <w:proofErr w:type="spellEnd"/>
      <w:r w:rsidR="00B40BAC" w:rsidRPr="00F97BAD">
        <w:t>-experienced patients</w:t>
      </w:r>
      <w:r w:rsidRPr="00F97BAD">
        <w:t xml:space="preserve">. However, no specific </w:t>
      </w:r>
      <w:r w:rsidR="00662653" w:rsidRPr="00F97BAD">
        <w:t xml:space="preserve">agent </w:t>
      </w:r>
      <w:r w:rsidRPr="00F97BAD">
        <w:t xml:space="preserve">was identified </w:t>
      </w:r>
      <w:r w:rsidR="005E2BF3" w:rsidRPr="00F97BAD">
        <w:t>as</w:t>
      </w:r>
      <w:r w:rsidRPr="00F97BAD">
        <w:t xml:space="preserve"> superior </w:t>
      </w:r>
      <w:r w:rsidR="00662653" w:rsidRPr="00F97BAD">
        <w:t xml:space="preserve">in </w:t>
      </w:r>
      <w:r w:rsidRPr="00F97BAD">
        <w:t xml:space="preserve">maintaining remission or </w:t>
      </w:r>
      <w:r w:rsidR="00662653" w:rsidRPr="00F97BAD">
        <w:t xml:space="preserve">reducing the </w:t>
      </w:r>
      <w:r w:rsidRPr="00F97BAD">
        <w:t>risk of adverse events (AEs).</w:t>
      </w:r>
    </w:p>
    <w:p w14:paraId="3159B5DF" w14:textId="3E0E8EF8" w:rsidR="005D139D" w:rsidRDefault="008F58B0" w:rsidP="005D139D">
      <w:pPr>
        <w:pStyle w:val="ExecSumBodyText"/>
        <w:numPr>
          <w:ilvl w:val="1"/>
          <w:numId w:val="1"/>
        </w:numPr>
      </w:pPr>
      <w:r>
        <w:lastRenderedPageBreak/>
        <w:t xml:space="preserve">GUS is a </w:t>
      </w:r>
      <w:r w:rsidRPr="00D2595A">
        <w:t>fully human anti-interleukin (IL)-23 monoclonal antibody that neutrali</w:t>
      </w:r>
      <w:r w:rsidR="005E2BF3">
        <w:t>s</w:t>
      </w:r>
      <w:r w:rsidRPr="00D2595A">
        <w:t>es inflammation at the source of IL-23 production. IL-23 is a pro-inflammatory cytokine and key driver of IBD pathology as it contributes to the production of a gamut of proinflammatory cytokines (i.e., IL-17A, IL-22, and interferon gamma [</w:t>
      </w:r>
      <w:proofErr w:type="spellStart"/>
      <w:r w:rsidRPr="00D2595A">
        <w:t>IFNγ</w:t>
      </w:r>
      <w:proofErr w:type="spellEnd"/>
      <w:r w:rsidRPr="00D2595A">
        <w:t xml:space="preserve">]), while concurrently limiting regulatory T cell (Treg) activation, </w:t>
      </w:r>
      <w:r w:rsidR="005E2BF3">
        <w:t xml:space="preserve">which </w:t>
      </w:r>
      <w:r w:rsidRPr="00D2595A">
        <w:t>drives inflammation and tissue damage in the intestine</w:t>
      </w:r>
      <w:r>
        <w:t xml:space="preserve">. </w:t>
      </w:r>
      <w:r w:rsidR="00757FF5" w:rsidRPr="00757FF5">
        <w:t>The recommended induction dos</w:t>
      </w:r>
      <w:r w:rsidR="002A34A7">
        <w:t>e is</w:t>
      </w:r>
      <w:r w:rsidR="00757FF5" w:rsidRPr="00757FF5">
        <w:t xml:space="preserve"> GUS 200 mg IV infusion or 400 (2x200) mg SC injection at Weeks 0, 4 and 8. The recommended maintenance dos</w:t>
      </w:r>
      <w:r w:rsidR="002A34A7">
        <w:t>e</w:t>
      </w:r>
      <w:r w:rsidR="00757FF5" w:rsidRPr="00757FF5">
        <w:t xml:space="preserve"> is </w:t>
      </w:r>
      <w:r w:rsidR="002A34A7">
        <w:t xml:space="preserve">GUS </w:t>
      </w:r>
      <w:r w:rsidR="00757FF5" w:rsidRPr="00757FF5">
        <w:t xml:space="preserve">200 mg </w:t>
      </w:r>
      <w:r w:rsidR="0004680B">
        <w:t xml:space="preserve">Q4W </w:t>
      </w:r>
      <w:r w:rsidR="00757FF5" w:rsidRPr="00757FF5">
        <w:t xml:space="preserve">SC injection </w:t>
      </w:r>
      <w:r w:rsidR="0004680B">
        <w:t xml:space="preserve">starting </w:t>
      </w:r>
      <w:r w:rsidR="00757FF5" w:rsidRPr="00757FF5">
        <w:t>at Week 12 or 100 mg</w:t>
      </w:r>
      <w:r w:rsidR="0004680B">
        <w:t xml:space="preserve"> Q8W </w:t>
      </w:r>
      <w:r w:rsidR="00757FF5" w:rsidRPr="00757FF5">
        <w:t xml:space="preserve">SC injection </w:t>
      </w:r>
      <w:r w:rsidR="0004680B">
        <w:t xml:space="preserve">starting </w:t>
      </w:r>
      <w:r w:rsidR="00757FF5" w:rsidRPr="00757FF5">
        <w:t>at Week 16.</w:t>
      </w:r>
      <w:r w:rsidR="005D139D">
        <w:t xml:space="preserve"> Based on expert advice, the submission stated the GUS 200 mg Q4W SC dosing regimen may be prescribed more frequently for patients with severe CD, given it was numerically more effective tha</w:t>
      </w:r>
      <w:r w:rsidR="005E2BF3">
        <w:t>n</w:t>
      </w:r>
      <w:r w:rsidR="005D139D">
        <w:t xml:space="preserve"> GUS 100 mg Q8W SC. See </w:t>
      </w:r>
      <w:r w:rsidR="005D139D">
        <w:fldChar w:fldCharType="begin"/>
      </w:r>
      <w:r w:rsidR="005D139D">
        <w:instrText xml:space="preserve"> REF _Ref197674484 \h </w:instrText>
      </w:r>
      <w:r w:rsidR="005D139D">
        <w:fldChar w:fldCharType="separate"/>
      </w:r>
      <w:r w:rsidR="000756FD" w:rsidRPr="00C9624D">
        <w:t>Comparative effectiveness</w:t>
      </w:r>
      <w:r w:rsidR="005D139D">
        <w:fldChar w:fldCharType="end"/>
      </w:r>
      <w:r w:rsidR="005D139D">
        <w:t>.</w:t>
      </w:r>
    </w:p>
    <w:p w14:paraId="780D1A53" w14:textId="4970E6E3" w:rsidR="006773D6" w:rsidRPr="006773D6" w:rsidRDefault="006773D6" w:rsidP="005D139D">
      <w:pPr>
        <w:pStyle w:val="ExecSumBodyText"/>
        <w:numPr>
          <w:ilvl w:val="1"/>
          <w:numId w:val="1"/>
        </w:numPr>
      </w:pPr>
      <w:r w:rsidRPr="006773D6">
        <w:t xml:space="preserve">The </w:t>
      </w:r>
      <w:r w:rsidR="003963D3">
        <w:t>Pre-Sub-Committee Response (</w:t>
      </w:r>
      <w:r w:rsidRPr="006773D6">
        <w:t>PSCR</w:t>
      </w:r>
      <w:r w:rsidR="003963D3">
        <w:t>)</w:t>
      </w:r>
      <w:r w:rsidRPr="006773D6">
        <w:t xml:space="preserve"> noted that GUS is an IL-23 inhibitor as opposed to an IL-12/23 inhibitor like ustekinumab and thus represents a distinct mechanism of action (MOA) with a distinct efficacy and safety profile. The PSCR noted biologics are effective therapies for patients with CD; however, patients may not respond to a particular biologic (primary non-response), may lose response after having initially responded (secondary loss of response) or may develop toxicity which requires patients to stop treatment. The PSCR stated that over time, patients will progress through multiple treatment options and eventually patients, who under the biologic treatment cycle can fail three biologics are left without any further effective treatment options.</w:t>
      </w:r>
    </w:p>
    <w:p w14:paraId="51E5AE96" w14:textId="136A63B1" w:rsidR="00B50DB8" w:rsidRPr="00407F2D" w:rsidRDefault="00B50DB8" w:rsidP="004E18E9">
      <w:pPr>
        <w:pStyle w:val="2-SectionHeading"/>
      </w:pPr>
      <w:bookmarkStart w:id="14" w:name="_Toc198715632"/>
      <w:r w:rsidRPr="00407F2D">
        <w:t>Comparator</w:t>
      </w:r>
      <w:bookmarkEnd w:id="14"/>
    </w:p>
    <w:p w14:paraId="432F1330" w14:textId="33C8F671" w:rsidR="009527C8" w:rsidRPr="009527C8" w:rsidRDefault="00FD14AA" w:rsidP="00882E3C">
      <w:pPr>
        <w:pStyle w:val="3-BodyText"/>
        <w:rPr>
          <w:snapToGrid/>
          <w:lang w:val="en-US"/>
        </w:rPr>
      </w:pPr>
      <w:r>
        <w:t>The submission nominated all current PBS-listed b/</w:t>
      </w:r>
      <w:proofErr w:type="spellStart"/>
      <w:r>
        <w:t>tsDMARDs</w:t>
      </w:r>
      <w:proofErr w:type="spellEnd"/>
      <w:r>
        <w:t xml:space="preserve"> for severe CD as the main comparators given GUS could substitute for any of </w:t>
      </w:r>
      <w:r w:rsidR="005E2BF3">
        <w:t xml:space="preserve">the </w:t>
      </w:r>
      <w:r>
        <w:t>b/</w:t>
      </w:r>
      <w:proofErr w:type="spellStart"/>
      <w:r>
        <w:t>tsDMARDs</w:t>
      </w:r>
      <w:proofErr w:type="spellEnd"/>
      <w:r>
        <w:t xml:space="preserve"> in practice.</w:t>
      </w:r>
      <w:r w:rsidR="00A65721">
        <w:t xml:space="preserve"> </w:t>
      </w:r>
      <w:r w:rsidR="00A03452">
        <w:t xml:space="preserve">This included two </w:t>
      </w:r>
      <w:proofErr w:type="spellStart"/>
      <w:r w:rsidR="00A03452">
        <w:t>TNF</w:t>
      </w:r>
      <w:r w:rsidR="005A428D">
        <w:t>i</w:t>
      </w:r>
      <w:proofErr w:type="spellEnd"/>
      <w:r w:rsidR="00A03452">
        <w:t xml:space="preserve"> (ADA, IFX), one IL</w:t>
      </w:r>
      <w:r w:rsidR="005A428D">
        <w:t>-12/</w:t>
      </w:r>
      <w:r w:rsidR="00A03452">
        <w:t xml:space="preserve">23 </w:t>
      </w:r>
      <w:r w:rsidR="005A428D">
        <w:t xml:space="preserve">inhibitor </w:t>
      </w:r>
      <w:r w:rsidR="00A03452">
        <w:t>(UST), one JAK inhibitor (UPA) and one integrin inhibitor (VDZ)</w:t>
      </w:r>
      <w:r w:rsidR="00A74841">
        <w:t>.</w:t>
      </w:r>
    </w:p>
    <w:p w14:paraId="6EA25B90" w14:textId="7B5D3E61" w:rsidR="00FD14AA" w:rsidRPr="00F97BAD" w:rsidRDefault="00FD14AA" w:rsidP="00882E3C">
      <w:pPr>
        <w:pStyle w:val="3-BodyText"/>
        <w:rPr>
          <w:iCs/>
          <w:snapToGrid/>
          <w:lang w:val="en-US"/>
        </w:rPr>
      </w:pPr>
      <w:r w:rsidRPr="00F97BAD">
        <w:rPr>
          <w:iCs/>
        </w:rPr>
        <w:t>The nomination of all current PBS-listed b/</w:t>
      </w:r>
      <w:proofErr w:type="spellStart"/>
      <w:r w:rsidRPr="00F97BAD">
        <w:rPr>
          <w:iCs/>
        </w:rPr>
        <w:t>tsDMARDs</w:t>
      </w:r>
      <w:proofErr w:type="spellEnd"/>
      <w:r w:rsidRPr="00F97BAD">
        <w:rPr>
          <w:iCs/>
        </w:rPr>
        <w:t xml:space="preserve"> as comparators was reasonable; however, GUS may be more likely to substitute for UST, which currently accounts for 40% of the market (measured in patient</w:t>
      </w:r>
      <w:r w:rsidR="0048331E" w:rsidRPr="00F97BAD">
        <w:rPr>
          <w:iCs/>
        </w:rPr>
        <w:t>-</w:t>
      </w:r>
      <w:r w:rsidRPr="00F97BAD">
        <w:rPr>
          <w:iCs/>
        </w:rPr>
        <w:t>weeks of treatment) and has a similar mechanism of action (both are interleukin inhibitors). The PBAC had previously considered all currently listed (or recommended) b/</w:t>
      </w:r>
      <w:proofErr w:type="spellStart"/>
      <w:r w:rsidRPr="00F97BAD">
        <w:rPr>
          <w:iCs/>
        </w:rPr>
        <w:t>tsDMARDs</w:t>
      </w:r>
      <w:proofErr w:type="spellEnd"/>
      <w:r w:rsidRPr="00F97BAD">
        <w:rPr>
          <w:iCs/>
        </w:rPr>
        <w:t xml:space="preserve"> for CD as comparators were reasonable (paragraph 7.4, upadacitinib PSD July 2023 PBAC meeting).</w:t>
      </w:r>
    </w:p>
    <w:p w14:paraId="59EA3196" w14:textId="63CFD58A" w:rsidR="0039565A" w:rsidRPr="0039565A" w:rsidRDefault="00FD14AA" w:rsidP="0039565A">
      <w:pPr>
        <w:pStyle w:val="3-BodyText"/>
        <w:rPr>
          <w:iCs/>
        </w:rPr>
      </w:pPr>
      <w:r w:rsidRPr="00F97BAD">
        <w:t xml:space="preserve">The submission </w:t>
      </w:r>
      <w:r w:rsidR="009527C8" w:rsidRPr="00F97BAD">
        <w:t xml:space="preserve">requested </w:t>
      </w:r>
      <w:r w:rsidRPr="00F97BAD">
        <w:t>a considerable price premium for GUS over the nominated comparators</w:t>
      </w:r>
      <w:r w:rsidR="009527C8" w:rsidRPr="00F97BAD">
        <w:t>,</w:t>
      </w:r>
      <w:r w:rsidRPr="00F97BAD">
        <w:t xml:space="preserve"> based on </w:t>
      </w:r>
      <w:r w:rsidR="009527C8" w:rsidRPr="00F97BAD">
        <w:t xml:space="preserve">a </w:t>
      </w:r>
      <w:r w:rsidRPr="00F97BAD">
        <w:t xml:space="preserve">claim of </w:t>
      </w:r>
      <w:r w:rsidR="009527C8" w:rsidRPr="00F97BAD">
        <w:t xml:space="preserve">superior effectiveness (versus all comparators) </w:t>
      </w:r>
      <w:r w:rsidRPr="00F97BAD">
        <w:t xml:space="preserve">and </w:t>
      </w:r>
      <w:r w:rsidR="009527C8" w:rsidRPr="00F97BAD">
        <w:t xml:space="preserve">a </w:t>
      </w:r>
      <w:r w:rsidRPr="00F97BAD">
        <w:t xml:space="preserve">modelled economic evaluation suggesting acceptable value for money at the requested price. </w:t>
      </w:r>
      <w:r w:rsidR="0039565A" w:rsidRPr="00BA1D25">
        <w:rPr>
          <w:iCs/>
        </w:rPr>
        <w:t xml:space="preserve">The ESC noted the recommended dose for CD </w:t>
      </w:r>
      <w:r w:rsidR="00F53EA7" w:rsidRPr="00BA1D25">
        <w:rPr>
          <w:iCs/>
        </w:rPr>
        <w:t xml:space="preserve">(see </w:t>
      </w:r>
      <w:r w:rsidR="00F53EA7" w:rsidRPr="00BA1D25">
        <w:rPr>
          <w:iCs/>
        </w:rPr>
        <w:fldChar w:fldCharType="begin"/>
      </w:r>
      <w:r w:rsidR="00F53EA7" w:rsidRPr="00BA1D25">
        <w:rPr>
          <w:iCs/>
        </w:rPr>
        <w:instrText xml:space="preserve"> REF _Ref201308781 \h  \* MERGEFORMAT </w:instrText>
      </w:r>
      <w:r w:rsidR="00F53EA7" w:rsidRPr="00BA1D25">
        <w:rPr>
          <w:iCs/>
        </w:rPr>
      </w:r>
      <w:r w:rsidR="00F53EA7" w:rsidRPr="00BA1D25">
        <w:rPr>
          <w:iCs/>
        </w:rPr>
        <w:fldChar w:fldCharType="separate"/>
      </w:r>
      <w:r w:rsidR="000756FD" w:rsidRPr="000756FD">
        <w:rPr>
          <w:iCs/>
        </w:rPr>
        <w:t xml:space="preserve">Table </w:t>
      </w:r>
      <w:r w:rsidR="000756FD" w:rsidRPr="000756FD">
        <w:rPr>
          <w:iCs/>
          <w:noProof/>
        </w:rPr>
        <w:t>1</w:t>
      </w:r>
      <w:r w:rsidR="00F53EA7" w:rsidRPr="00BA1D25">
        <w:rPr>
          <w:iCs/>
        </w:rPr>
        <w:fldChar w:fldCharType="end"/>
      </w:r>
      <w:r w:rsidR="00F53EA7" w:rsidRPr="00BA1D25">
        <w:rPr>
          <w:iCs/>
        </w:rPr>
        <w:t xml:space="preserve">) </w:t>
      </w:r>
      <w:r w:rsidR="0039565A" w:rsidRPr="00BA1D25">
        <w:rPr>
          <w:iCs/>
        </w:rPr>
        <w:t>was</w:t>
      </w:r>
      <w:r w:rsidR="001D1EB9" w:rsidRPr="00BA1D25">
        <w:rPr>
          <w:iCs/>
        </w:rPr>
        <w:t xml:space="preserve"> higher than</w:t>
      </w:r>
      <w:r w:rsidR="0039565A" w:rsidRPr="00BA1D25">
        <w:rPr>
          <w:iCs/>
        </w:rPr>
        <w:t xml:space="preserve"> the recommended dose for CPP and PsA</w:t>
      </w:r>
      <w:r w:rsidR="001D1EB9" w:rsidRPr="00BA1D25">
        <w:rPr>
          <w:iCs/>
        </w:rPr>
        <w:t xml:space="preserve"> (</w:t>
      </w:r>
      <w:r w:rsidR="009E2D90" w:rsidRPr="00BA1D25">
        <w:rPr>
          <w:iCs/>
        </w:rPr>
        <w:t>100 mg at week 0, week 4 and then every 8 weeks)</w:t>
      </w:r>
      <w:r w:rsidR="0039565A" w:rsidRPr="00BA1D25">
        <w:rPr>
          <w:iCs/>
        </w:rPr>
        <w:t>.</w:t>
      </w:r>
      <w:r w:rsidR="0039565A" w:rsidRPr="0039565A">
        <w:rPr>
          <w:iCs/>
        </w:rPr>
        <w:t xml:space="preserve">  </w:t>
      </w:r>
    </w:p>
    <w:p w14:paraId="3D401137" w14:textId="52BD05C8" w:rsidR="00FD14AA" w:rsidRPr="00764CF5" w:rsidRDefault="009527C8" w:rsidP="009527C8">
      <w:pPr>
        <w:pStyle w:val="3-BodyText"/>
        <w:rPr>
          <w:snapToGrid/>
          <w:lang w:val="en-US"/>
        </w:rPr>
      </w:pPr>
      <w:r w:rsidRPr="00F97BAD">
        <w:fldChar w:fldCharType="begin"/>
      </w:r>
      <w:r w:rsidRPr="00F97BAD">
        <w:instrText xml:space="preserve"> REF _Ref197699893 \h  \* MERGEFORMAT </w:instrText>
      </w:r>
      <w:r w:rsidRPr="00F97BAD">
        <w:fldChar w:fldCharType="separate"/>
      </w:r>
      <w:r w:rsidR="000756FD" w:rsidRPr="003F1D56">
        <w:t xml:space="preserve">Table </w:t>
      </w:r>
      <w:r w:rsidR="000756FD">
        <w:rPr>
          <w:noProof/>
        </w:rPr>
        <w:t>3</w:t>
      </w:r>
      <w:r w:rsidRPr="00F97BAD">
        <w:fldChar w:fldCharType="end"/>
      </w:r>
      <w:r w:rsidRPr="00F97BAD">
        <w:t xml:space="preserve"> summarises the </w:t>
      </w:r>
      <w:bookmarkStart w:id="15" w:name="_Hlk197789938"/>
      <w:r w:rsidRPr="00F97BAD">
        <w:t>cost of treatment with GUS and other PBS-listed b/</w:t>
      </w:r>
      <w:proofErr w:type="spellStart"/>
      <w:r w:rsidRPr="00F97BAD">
        <w:t>tsDMARDs</w:t>
      </w:r>
      <w:proofErr w:type="spellEnd"/>
      <w:r w:rsidR="005E2BF3" w:rsidRPr="00F97BAD">
        <w:t>,</w:t>
      </w:r>
      <w:r w:rsidRPr="00F97BAD">
        <w:t xml:space="preserve"> assuming patients remain on treatment for two years, costed at the ‘estimated’ </w:t>
      </w:r>
      <w:r w:rsidRPr="00F97BAD">
        <w:lastRenderedPageBreak/>
        <w:t>effective prices assumed in the submission’s modelled economic evaluation</w:t>
      </w:r>
      <w:bookmarkEnd w:id="15"/>
      <w:r w:rsidRPr="00F97BAD">
        <w:t xml:space="preserve">. </w:t>
      </w:r>
      <w:r w:rsidR="00FD14AA" w:rsidRPr="00F97BAD">
        <w:t xml:space="preserve">Under Section 101(3B) of the </w:t>
      </w:r>
      <w:r w:rsidR="00FD14AA" w:rsidRPr="00D471F6">
        <w:rPr>
          <w:i/>
          <w:iCs/>
        </w:rPr>
        <w:t>National Health Act 1953</w:t>
      </w:r>
      <w:r w:rsidR="00FD14AA" w:rsidRPr="00F97BAD">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w:t>
      </w:r>
      <w:r w:rsidR="005E3E22" w:rsidRPr="00F97BAD">
        <w:t xml:space="preserve"> Of note, the PBAC has recommended </w:t>
      </w:r>
      <w:proofErr w:type="gramStart"/>
      <w:r w:rsidR="005E3E22" w:rsidRPr="00F97BAD">
        <w:t>a number of</w:t>
      </w:r>
      <w:proofErr w:type="gramEnd"/>
      <w:r w:rsidR="005E3E22" w:rsidRPr="00F97BAD">
        <w:t xml:space="preserve"> UST biosimilars in March 2025, November 2024 and March 2024</w:t>
      </w:r>
      <w:r w:rsidR="005E3E22" w:rsidRPr="00F97BAD">
        <w:rPr>
          <w:rStyle w:val="FootnoteReference"/>
        </w:rPr>
        <w:footnoteReference w:id="7"/>
      </w:r>
      <w:r w:rsidR="005E3E22" w:rsidRPr="00F97BAD">
        <w:t>.</w:t>
      </w:r>
    </w:p>
    <w:p w14:paraId="18EB6568" w14:textId="3097EAD4" w:rsidR="002805A0" w:rsidRPr="00764CF5" w:rsidRDefault="00764CF5" w:rsidP="00764CF5">
      <w:pPr>
        <w:pStyle w:val="3-BodyText"/>
        <w:rPr>
          <w:snapToGrid/>
          <w:lang w:val="en-US"/>
        </w:rPr>
      </w:pPr>
      <w:r w:rsidRPr="00764CF5">
        <w:rPr>
          <w:snapToGrid/>
          <w:lang w:val="en-US"/>
        </w:rPr>
        <w:t xml:space="preserve">The PSCR </w:t>
      </w:r>
      <w:r w:rsidR="00B42958">
        <w:rPr>
          <w:snapToGrid/>
          <w:lang w:val="en-US"/>
        </w:rPr>
        <w:t>noted that</w:t>
      </w:r>
      <w:r w:rsidRPr="00764CF5">
        <w:rPr>
          <w:snapToGrid/>
          <w:lang w:val="en-US"/>
        </w:rPr>
        <w:t xml:space="preserve"> prices for CD </w:t>
      </w:r>
      <w:proofErr w:type="spellStart"/>
      <w:r w:rsidRPr="00764CF5">
        <w:rPr>
          <w:snapToGrid/>
          <w:lang w:val="en-US"/>
        </w:rPr>
        <w:t>bDMARDs</w:t>
      </w:r>
      <w:proofErr w:type="spellEnd"/>
      <w:r w:rsidRPr="00764CF5">
        <w:rPr>
          <w:snapToGrid/>
          <w:lang w:val="en-US"/>
        </w:rPr>
        <w:t xml:space="preserve"> have undergone significant value erosion due to price disclosure price reductions of F2 formulary medicines (infliximab, adalimumab) and the impact of the reference pricing flow on reductions when upadacitinib was listed on a cost minimisation basis to the lowest cost alternative therapy. The PSCR stated the sponsor strongly believed that the current prices of </w:t>
      </w:r>
      <w:proofErr w:type="spellStart"/>
      <w:r w:rsidRPr="00764CF5">
        <w:rPr>
          <w:snapToGrid/>
          <w:lang w:val="en-US"/>
        </w:rPr>
        <w:t>bDMARDs</w:t>
      </w:r>
      <w:proofErr w:type="spellEnd"/>
      <w:r w:rsidRPr="00764CF5">
        <w:rPr>
          <w:snapToGrid/>
          <w:lang w:val="en-US"/>
        </w:rPr>
        <w:t xml:space="preserve"> used in CD are not reflective of the clinical value represented by a new innovative treatment such as GUS. The PSCR stated that should the PBAC not accept the clinical </w:t>
      </w:r>
      <w:proofErr w:type="gramStart"/>
      <w:r w:rsidRPr="00764CF5">
        <w:rPr>
          <w:snapToGrid/>
          <w:lang w:val="en-US"/>
        </w:rPr>
        <w:t>claims</w:t>
      </w:r>
      <w:proofErr w:type="gramEnd"/>
      <w:r w:rsidRPr="00764CF5">
        <w:rPr>
          <w:snapToGrid/>
          <w:lang w:val="en-US"/>
        </w:rPr>
        <w:t xml:space="preserve"> are adequately supported and recommend on a lowest cost comparator basis or cost-minimisation to any of the currently listed </w:t>
      </w:r>
      <w:proofErr w:type="spellStart"/>
      <w:r w:rsidRPr="00764CF5">
        <w:rPr>
          <w:snapToGrid/>
          <w:lang w:val="en-US"/>
        </w:rPr>
        <w:t>bDMARDs</w:t>
      </w:r>
      <w:proofErr w:type="spellEnd"/>
      <w:r w:rsidRPr="00764CF5">
        <w:rPr>
          <w:snapToGrid/>
          <w:lang w:val="en-US"/>
        </w:rPr>
        <w:t xml:space="preserve">, the sponsor would not be able to proceed to listing, because the price level is prohibitively low. </w:t>
      </w:r>
    </w:p>
    <w:p w14:paraId="35A1ECFF" w14:textId="2B1A71BD" w:rsidR="002805A0" w:rsidRPr="003F1D56" w:rsidRDefault="002805A0" w:rsidP="00060123">
      <w:pPr>
        <w:pStyle w:val="Caption"/>
        <w:rPr>
          <w:b w:val="0"/>
          <w:bCs w:val="0"/>
          <w:szCs w:val="20"/>
        </w:rPr>
      </w:pPr>
      <w:bookmarkStart w:id="16" w:name="_Ref197699893"/>
      <w:r w:rsidRPr="003F1D56">
        <w:lastRenderedPageBreak/>
        <w:t xml:space="preserve">Table </w:t>
      </w:r>
      <w:r w:rsidR="00DC5F25">
        <w:fldChar w:fldCharType="begin"/>
      </w:r>
      <w:r w:rsidR="00DC5F25">
        <w:instrText xml:space="preserve"> SEQ Table \* ARABIC </w:instrText>
      </w:r>
      <w:r w:rsidR="00DC5F25">
        <w:fldChar w:fldCharType="separate"/>
      </w:r>
      <w:r w:rsidR="000756FD">
        <w:rPr>
          <w:noProof/>
        </w:rPr>
        <w:t>3</w:t>
      </w:r>
      <w:r w:rsidR="00DC5F25">
        <w:rPr>
          <w:noProof/>
        </w:rPr>
        <w:fldChar w:fldCharType="end"/>
      </w:r>
      <w:bookmarkEnd w:id="16"/>
      <w:r w:rsidRPr="003F1D56">
        <w:t>:</w:t>
      </w:r>
      <w:r w:rsidRPr="003F1D56">
        <w:rPr>
          <w:szCs w:val="20"/>
        </w:rPr>
        <w:t xml:space="preserve"> Comparison of treatment costs over the first two years for GUS and PBS-listed comparator biologics for severe CD using the submission’s effective AEMP</w:t>
      </w:r>
    </w:p>
    <w:tbl>
      <w:tblPr>
        <w:tblStyle w:val="ASDTable1"/>
        <w:tblW w:w="5000" w:type="pct"/>
        <w:tblCellMar>
          <w:left w:w="28" w:type="dxa"/>
          <w:right w:w="28" w:type="dxa"/>
        </w:tblCellMar>
        <w:tblLook w:val="04A0" w:firstRow="1" w:lastRow="0" w:firstColumn="1" w:lastColumn="0" w:noHBand="0" w:noVBand="1"/>
        <w:tblCaption w:val="Table 3: Comparison of treatment costs over the first two years for GUS and PBS-listed comparator biologics for severe CD using the submission’s effective AEMP"/>
      </w:tblPr>
      <w:tblGrid>
        <w:gridCol w:w="661"/>
        <w:gridCol w:w="2902"/>
        <w:gridCol w:w="1690"/>
        <w:gridCol w:w="1708"/>
        <w:gridCol w:w="2056"/>
      </w:tblGrid>
      <w:tr w:rsidR="00FC21AD" w:rsidRPr="003F1D56" w14:paraId="61B9F096" w14:textId="77777777" w:rsidTr="00FC21AD">
        <w:tc>
          <w:tcPr>
            <w:tcW w:w="367" w:type="pct"/>
            <w:vAlign w:val="center"/>
          </w:tcPr>
          <w:p w14:paraId="200DB566" w14:textId="77777777"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Drug</w:t>
            </w:r>
          </w:p>
        </w:tc>
        <w:tc>
          <w:tcPr>
            <w:tcW w:w="1609" w:type="pct"/>
            <w:vAlign w:val="center"/>
          </w:tcPr>
          <w:p w14:paraId="48F4DDD3" w14:textId="77777777"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Dosing</w:t>
            </w:r>
          </w:p>
        </w:tc>
        <w:tc>
          <w:tcPr>
            <w:tcW w:w="937" w:type="pct"/>
            <w:vAlign w:val="center"/>
          </w:tcPr>
          <w:p w14:paraId="06EF0B89" w14:textId="2D9D3112"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Estimated effective AEMP</w:t>
            </w:r>
          </w:p>
        </w:tc>
        <w:tc>
          <w:tcPr>
            <w:tcW w:w="947" w:type="pct"/>
          </w:tcPr>
          <w:p w14:paraId="1B9A36A7" w14:textId="77777777"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Doses over two years</w:t>
            </w:r>
          </w:p>
        </w:tc>
        <w:tc>
          <w:tcPr>
            <w:tcW w:w="1141" w:type="pct"/>
            <w:vAlign w:val="center"/>
          </w:tcPr>
          <w:p w14:paraId="062F5AC5" w14:textId="77777777"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Cost over two years</w:t>
            </w:r>
          </w:p>
        </w:tc>
      </w:tr>
      <w:tr w:rsidR="00FC21AD" w:rsidRPr="003F1D56" w14:paraId="58F64B61" w14:textId="77777777" w:rsidTr="00FC21AD">
        <w:tc>
          <w:tcPr>
            <w:tcW w:w="367" w:type="pct"/>
            <w:vMerge w:val="restart"/>
          </w:tcPr>
          <w:p w14:paraId="354F8D19" w14:textId="77777777" w:rsidR="003F1D56" w:rsidRPr="003F1D56" w:rsidRDefault="003F1D56" w:rsidP="00060123">
            <w:pPr>
              <w:keepNext/>
              <w:keepLines/>
              <w:rPr>
                <w:rFonts w:ascii="Arial Narrow" w:hAnsi="Arial Narrow"/>
                <w:sz w:val="20"/>
                <w:szCs w:val="20"/>
              </w:rPr>
            </w:pPr>
            <w:r w:rsidRPr="003F1D56">
              <w:rPr>
                <w:rFonts w:ascii="Arial Narrow" w:hAnsi="Arial Narrow"/>
                <w:sz w:val="20"/>
                <w:szCs w:val="20"/>
              </w:rPr>
              <w:t>GUS</w:t>
            </w:r>
          </w:p>
        </w:tc>
        <w:tc>
          <w:tcPr>
            <w:tcW w:w="1609" w:type="pct"/>
            <w:vAlign w:val="center"/>
          </w:tcPr>
          <w:p w14:paraId="47E4D36B" w14:textId="77777777" w:rsidR="003F1D56" w:rsidRPr="003F1D56" w:rsidRDefault="003F1D56" w:rsidP="00060123">
            <w:pPr>
              <w:keepNext/>
              <w:keepLines/>
              <w:jc w:val="left"/>
              <w:rPr>
                <w:rFonts w:ascii="Arial Narrow" w:hAnsi="Arial Narrow"/>
                <w:sz w:val="20"/>
                <w:szCs w:val="20"/>
              </w:rPr>
            </w:pPr>
            <w:r w:rsidRPr="003F1D56">
              <w:rPr>
                <w:rFonts w:ascii="Arial Narrow" w:hAnsi="Arial Narrow"/>
                <w:sz w:val="20"/>
                <w:szCs w:val="20"/>
              </w:rPr>
              <w:t xml:space="preserve">200 mg IV </w:t>
            </w:r>
            <w:proofErr w:type="spellStart"/>
            <w:r w:rsidRPr="003F1D56">
              <w:rPr>
                <w:rFonts w:ascii="Arial Narrow" w:hAnsi="Arial Narrow"/>
                <w:sz w:val="20"/>
                <w:szCs w:val="20"/>
              </w:rPr>
              <w:t>wk</w:t>
            </w:r>
            <w:proofErr w:type="spellEnd"/>
            <w:r w:rsidRPr="003F1D56">
              <w:rPr>
                <w:rFonts w:ascii="Arial Narrow" w:hAnsi="Arial Narrow"/>
                <w:sz w:val="20"/>
                <w:szCs w:val="20"/>
              </w:rPr>
              <w:t xml:space="preserve"> 0, 4, 8 induction -&gt; 200 mg SC Q4W maintenance</w:t>
            </w:r>
          </w:p>
        </w:tc>
        <w:tc>
          <w:tcPr>
            <w:tcW w:w="937" w:type="pct"/>
            <w:tcBorders>
              <w:bottom w:val="nil"/>
            </w:tcBorders>
            <w:vAlign w:val="center"/>
          </w:tcPr>
          <w:p w14:paraId="100CE0FD" w14:textId="14849B8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200 mg IV: $</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p>
        </w:tc>
        <w:tc>
          <w:tcPr>
            <w:tcW w:w="947" w:type="pct"/>
            <w:vAlign w:val="center"/>
          </w:tcPr>
          <w:p w14:paraId="591FF943" w14:textId="7777777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3 IV + 23 SC</w:t>
            </w:r>
          </w:p>
        </w:tc>
        <w:tc>
          <w:tcPr>
            <w:tcW w:w="1141" w:type="pct"/>
            <w:vAlign w:val="center"/>
          </w:tcPr>
          <w:p w14:paraId="3AAA77C0" w14:textId="5F6BB8A8"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p>
          <w:p w14:paraId="38C0D69E" w14:textId="43C7F046"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Pr="003F1D56">
              <w:rPr>
                <w:rFonts w:ascii="Arial Narrow" w:hAnsi="Arial Narrow"/>
                <w:sz w:val="20"/>
                <w:szCs w:val="20"/>
                <w:vertAlign w:val="superscript"/>
              </w:rPr>
              <w:t>e</w:t>
            </w:r>
          </w:p>
        </w:tc>
      </w:tr>
      <w:tr w:rsidR="00FC21AD" w:rsidRPr="003F1D56" w14:paraId="2B93B090" w14:textId="77777777" w:rsidTr="00FC21AD">
        <w:tc>
          <w:tcPr>
            <w:tcW w:w="367" w:type="pct"/>
            <w:vMerge/>
          </w:tcPr>
          <w:p w14:paraId="7BB6BC39" w14:textId="77777777" w:rsidR="003F1D56" w:rsidRPr="003F1D56" w:rsidRDefault="003F1D56" w:rsidP="00060123">
            <w:pPr>
              <w:keepNext/>
              <w:keepLines/>
              <w:rPr>
                <w:rFonts w:ascii="Arial Narrow" w:hAnsi="Arial Narrow"/>
                <w:sz w:val="20"/>
                <w:szCs w:val="20"/>
              </w:rPr>
            </w:pPr>
          </w:p>
        </w:tc>
        <w:tc>
          <w:tcPr>
            <w:tcW w:w="1609" w:type="pct"/>
            <w:vAlign w:val="center"/>
          </w:tcPr>
          <w:p w14:paraId="2C5FDDCE" w14:textId="77777777" w:rsidR="003F1D56" w:rsidRPr="003F1D56" w:rsidRDefault="003F1D56" w:rsidP="00060123">
            <w:pPr>
              <w:keepNext/>
              <w:keepLines/>
              <w:jc w:val="left"/>
              <w:rPr>
                <w:rFonts w:ascii="Arial Narrow" w:hAnsi="Arial Narrow"/>
                <w:sz w:val="20"/>
                <w:szCs w:val="20"/>
              </w:rPr>
            </w:pPr>
            <w:r w:rsidRPr="003F1D56">
              <w:rPr>
                <w:rFonts w:ascii="Arial Narrow" w:hAnsi="Arial Narrow"/>
                <w:sz w:val="20"/>
                <w:szCs w:val="20"/>
              </w:rPr>
              <w:t xml:space="preserve">200 mg IV </w:t>
            </w:r>
            <w:proofErr w:type="spellStart"/>
            <w:r w:rsidRPr="003F1D56">
              <w:rPr>
                <w:rFonts w:ascii="Arial Narrow" w:hAnsi="Arial Narrow"/>
                <w:sz w:val="20"/>
                <w:szCs w:val="20"/>
              </w:rPr>
              <w:t>wk</w:t>
            </w:r>
            <w:proofErr w:type="spellEnd"/>
            <w:r w:rsidRPr="003F1D56">
              <w:rPr>
                <w:rFonts w:ascii="Arial Narrow" w:hAnsi="Arial Narrow"/>
                <w:sz w:val="20"/>
                <w:szCs w:val="20"/>
              </w:rPr>
              <w:t xml:space="preserve"> 0, 4, 8 induction -&gt; 100 mg SC Q8W maintenance</w:t>
            </w:r>
          </w:p>
        </w:tc>
        <w:tc>
          <w:tcPr>
            <w:tcW w:w="937" w:type="pct"/>
            <w:tcBorders>
              <w:top w:val="nil"/>
              <w:bottom w:val="nil"/>
            </w:tcBorders>
            <w:vAlign w:val="center"/>
          </w:tcPr>
          <w:p w14:paraId="74E63CA0" w14:textId="0D85F35F"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100 mg SC: $</w:t>
            </w:r>
            <w:r w:rsidR="00E77A69" w:rsidRPr="00E77A69">
              <w:rPr>
                <w:rFonts w:ascii="Arial Narrow" w:hAnsi="Arial Narrow"/>
                <w:color w:val="000000"/>
                <w:spacing w:val="48"/>
                <w:sz w:val="20"/>
                <w:szCs w:val="20"/>
                <w:shd w:val="solid" w:color="000000" w:fill="000000"/>
                <w:fitText w:val="315"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15" w:id="-628921342"/>
                <w14:textFill>
                  <w14:solidFill>
                    <w14:srgbClr w14:val="000000">
                      <w14:alpha w14:val="100000"/>
                    </w14:srgbClr>
                  </w14:solidFill>
                </w14:textFill>
              </w:rPr>
              <w:t>|</w:t>
            </w:r>
          </w:p>
        </w:tc>
        <w:tc>
          <w:tcPr>
            <w:tcW w:w="947" w:type="pct"/>
            <w:vAlign w:val="center"/>
          </w:tcPr>
          <w:p w14:paraId="3FB0B2D9" w14:textId="7777777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3 IV + 11 SC</w:t>
            </w:r>
          </w:p>
        </w:tc>
        <w:tc>
          <w:tcPr>
            <w:tcW w:w="1141" w:type="pct"/>
            <w:vAlign w:val="center"/>
          </w:tcPr>
          <w:p w14:paraId="78C9F7E2" w14:textId="27BDC5F2"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p>
          <w:p w14:paraId="77379D1F" w14:textId="6BE657F8"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Pr="003F1D56">
              <w:rPr>
                <w:rFonts w:ascii="Arial Narrow" w:hAnsi="Arial Narrow"/>
                <w:sz w:val="20"/>
                <w:szCs w:val="20"/>
                <w:vertAlign w:val="superscript"/>
              </w:rPr>
              <w:t>e</w:t>
            </w:r>
          </w:p>
        </w:tc>
      </w:tr>
      <w:tr w:rsidR="00FC21AD" w:rsidRPr="003F1D56" w14:paraId="7B2FE02A" w14:textId="77777777" w:rsidTr="00FC21AD">
        <w:tc>
          <w:tcPr>
            <w:tcW w:w="367" w:type="pct"/>
            <w:vMerge/>
          </w:tcPr>
          <w:p w14:paraId="5BE9595B" w14:textId="77777777" w:rsidR="003F1D56" w:rsidRPr="003F1D56" w:rsidRDefault="003F1D56" w:rsidP="00060123">
            <w:pPr>
              <w:keepNext/>
              <w:keepLines/>
              <w:rPr>
                <w:rFonts w:ascii="Arial Narrow" w:hAnsi="Arial Narrow"/>
                <w:sz w:val="20"/>
                <w:szCs w:val="20"/>
              </w:rPr>
            </w:pPr>
          </w:p>
        </w:tc>
        <w:tc>
          <w:tcPr>
            <w:tcW w:w="1609" w:type="pct"/>
            <w:vAlign w:val="center"/>
          </w:tcPr>
          <w:p w14:paraId="2215D81E" w14:textId="77777777" w:rsidR="003F1D56" w:rsidRPr="003F1D56" w:rsidRDefault="003F1D56" w:rsidP="00060123">
            <w:pPr>
              <w:keepNext/>
              <w:keepLines/>
              <w:jc w:val="left"/>
              <w:rPr>
                <w:rFonts w:ascii="Arial Narrow" w:hAnsi="Arial Narrow"/>
                <w:sz w:val="20"/>
                <w:szCs w:val="20"/>
              </w:rPr>
            </w:pPr>
            <w:r w:rsidRPr="003F1D56">
              <w:rPr>
                <w:rFonts w:ascii="Arial Narrow" w:hAnsi="Arial Narrow"/>
                <w:sz w:val="20"/>
                <w:szCs w:val="20"/>
              </w:rPr>
              <w:t xml:space="preserve">2x200 mg SC </w:t>
            </w:r>
            <w:proofErr w:type="spellStart"/>
            <w:r w:rsidRPr="003F1D56">
              <w:rPr>
                <w:rFonts w:ascii="Arial Narrow" w:hAnsi="Arial Narrow"/>
                <w:sz w:val="20"/>
                <w:szCs w:val="20"/>
              </w:rPr>
              <w:t>wk</w:t>
            </w:r>
            <w:proofErr w:type="spellEnd"/>
            <w:r w:rsidRPr="003F1D56">
              <w:rPr>
                <w:rFonts w:ascii="Arial Narrow" w:hAnsi="Arial Narrow"/>
                <w:sz w:val="20"/>
                <w:szCs w:val="20"/>
              </w:rPr>
              <w:t xml:space="preserve"> 0, 4, 8 induction -&gt; 200 mg SC Q4W maintenance</w:t>
            </w:r>
          </w:p>
        </w:tc>
        <w:tc>
          <w:tcPr>
            <w:tcW w:w="937" w:type="pct"/>
            <w:tcBorders>
              <w:top w:val="nil"/>
              <w:bottom w:val="nil"/>
            </w:tcBorders>
            <w:vAlign w:val="center"/>
          </w:tcPr>
          <w:p w14:paraId="0E5B7D63" w14:textId="7545EC69"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200 mg SC: $</w:t>
            </w:r>
            <w:r w:rsidR="00E77A69" w:rsidRPr="00E77A69">
              <w:rPr>
                <w:rFonts w:ascii="Arial Narrow" w:hAnsi="Arial Narrow"/>
                <w:color w:val="000000"/>
                <w:spacing w:val="48"/>
                <w:sz w:val="20"/>
                <w:szCs w:val="20"/>
                <w:shd w:val="solid" w:color="000000" w:fill="000000"/>
                <w:fitText w:val="315" w:id="-62892133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15" w:id="-628921339"/>
                <w14:textFill>
                  <w14:solidFill>
                    <w14:srgbClr w14:val="000000">
                      <w14:alpha w14:val="100000"/>
                    </w14:srgbClr>
                  </w14:solidFill>
                </w14:textFill>
              </w:rPr>
              <w:t>|</w:t>
            </w:r>
          </w:p>
        </w:tc>
        <w:tc>
          <w:tcPr>
            <w:tcW w:w="947" w:type="pct"/>
            <w:vAlign w:val="center"/>
          </w:tcPr>
          <w:p w14:paraId="66E605EB" w14:textId="7777777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3 SC + 23 SC</w:t>
            </w:r>
          </w:p>
        </w:tc>
        <w:tc>
          <w:tcPr>
            <w:tcW w:w="1141" w:type="pct"/>
            <w:vAlign w:val="center"/>
          </w:tcPr>
          <w:p w14:paraId="217E091A" w14:textId="34E5DBBE"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p>
        </w:tc>
      </w:tr>
      <w:tr w:rsidR="00FC21AD" w:rsidRPr="003F1D56" w14:paraId="252C03FE" w14:textId="77777777" w:rsidTr="00FC21AD">
        <w:tc>
          <w:tcPr>
            <w:tcW w:w="367" w:type="pct"/>
            <w:vMerge/>
          </w:tcPr>
          <w:p w14:paraId="76B7B486" w14:textId="77777777" w:rsidR="003F1D56" w:rsidRPr="003F1D56" w:rsidRDefault="003F1D56" w:rsidP="00060123">
            <w:pPr>
              <w:keepNext/>
              <w:keepLines/>
              <w:rPr>
                <w:rFonts w:ascii="Arial Narrow" w:hAnsi="Arial Narrow"/>
                <w:sz w:val="20"/>
                <w:szCs w:val="20"/>
              </w:rPr>
            </w:pPr>
          </w:p>
        </w:tc>
        <w:tc>
          <w:tcPr>
            <w:tcW w:w="1609" w:type="pct"/>
            <w:vAlign w:val="center"/>
          </w:tcPr>
          <w:p w14:paraId="00956FE5" w14:textId="77777777" w:rsidR="003F1D56" w:rsidRPr="003F1D56" w:rsidRDefault="003F1D56" w:rsidP="00060123">
            <w:pPr>
              <w:keepNext/>
              <w:keepLines/>
              <w:jc w:val="left"/>
              <w:rPr>
                <w:rFonts w:ascii="Arial Narrow" w:hAnsi="Arial Narrow"/>
                <w:sz w:val="20"/>
                <w:szCs w:val="20"/>
              </w:rPr>
            </w:pPr>
            <w:r w:rsidRPr="003F1D56">
              <w:rPr>
                <w:rFonts w:ascii="Arial Narrow" w:hAnsi="Arial Narrow"/>
                <w:sz w:val="20"/>
                <w:szCs w:val="20"/>
              </w:rPr>
              <w:t xml:space="preserve">2x200 mg SC </w:t>
            </w:r>
            <w:proofErr w:type="spellStart"/>
            <w:r w:rsidRPr="003F1D56">
              <w:rPr>
                <w:rFonts w:ascii="Arial Narrow" w:hAnsi="Arial Narrow"/>
                <w:sz w:val="20"/>
                <w:szCs w:val="20"/>
              </w:rPr>
              <w:t>wk</w:t>
            </w:r>
            <w:proofErr w:type="spellEnd"/>
            <w:r w:rsidRPr="003F1D56">
              <w:rPr>
                <w:rFonts w:ascii="Arial Narrow" w:hAnsi="Arial Narrow"/>
                <w:sz w:val="20"/>
                <w:szCs w:val="20"/>
              </w:rPr>
              <w:t xml:space="preserve"> 0, 4, 8 induction -&gt; 100 mg SC Q8W maintenance</w:t>
            </w:r>
          </w:p>
        </w:tc>
        <w:tc>
          <w:tcPr>
            <w:tcW w:w="937" w:type="pct"/>
            <w:tcBorders>
              <w:top w:val="nil"/>
            </w:tcBorders>
            <w:vAlign w:val="center"/>
          </w:tcPr>
          <w:p w14:paraId="0F0E8D51" w14:textId="351E9D08"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2 x 200 mg SC: $</w:t>
            </w:r>
            <w:r w:rsidR="00E77A69"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p>
        </w:tc>
        <w:tc>
          <w:tcPr>
            <w:tcW w:w="947" w:type="pct"/>
            <w:vAlign w:val="center"/>
          </w:tcPr>
          <w:p w14:paraId="3C50051D" w14:textId="7777777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3 SC + 11 SC</w:t>
            </w:r>
          </w:p>
        </w:tc>
        <w:tc>
          <w:tcPr>
            <w:tcW w:w="1141" w:type="pct"/>
            <w:vAlign w:val="center"/>
          </w:tcPr>
          <w:p w14:paraId="64E0F536" w14:textId="0100B6BE"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p>
        </w:tc>
      </w:tr>
      <w:tr w:rsidR="003F1D56" w:rsidRPr="003F1D56" w14:paraId="71FE1626" w14:textId="77777777" w:rsidTr="003F1D56">
        <w:tc>
          <w:tcPr>
            <w:tcW w:w="5000" w:type="pct"/>
            <w:gridSpan w:val="5"/>
            <w:vAlign w:val="center"/>
          </w:tcPr>
          <w:p w14:paraId="24A1E5EA" w14:textId="0648CF61" w:rsidR="003F1D56" w:rsidRPr="003F1D56" w:rsidRDefault="003F1D56" w:rsidP="00060123">
            <w:pPr>
              <w:keepNext/>
              <w:jc w:val="left"/>
              <w:rPr>
                <w:rFonts w:ascii="Arial Narrow" w:hAnsi="Arial Narrow"/>
                <w:b/>
                <w:bCs/>
                <w:sz w:val="20"/>
                <w:szCs w:val="20"/>
              </w:rPr>
            </w:pPr>
            <w:r w:rsidRPr="003F1D56">
              <w:rPr>
                <w:rFonts w:ascii="Arial Narrow" w:hAnsi="Arial Narrow"/>
                <w:b/>
                <w:bCs/>
                <w:sz w:val="20"/>
                <w:szCs w:val="20"/>
              </w:rPr>
              <w:t>Other biologics</w:t>
            </w:r>
          </w:p>
        </w:tc>
      </w:tr>
      <w:tr w:rsidR="00FC21AD" w:rsidRPr="003F1D56" w14:paraId="365FA792" w14:textId="77777777" w:rsidTr="00FC21AD">
        <w:tc>
          <w:tcPr>
            <w:tcW w:w="367" w:type="pct"/>
          </w:tcPr>
          <w:p w14:paraId="3BA4AF55" w14:textId="77777777" w:rsidR="003F1D56" w:rsidRPr="003F1D56" w:rsidRDefault="003F1D56" w:rsidP="00060123">
            <w:pPr>
              <w:keepNext/>
              <w:rPr>
                <w:rFonts w:ascii="Arial Narrow" w:hAnsi="Arial Narrow"/>
                <w:sz w:val="20"/>
                <w:szCs w:val="20"/>
              </w:rPr>
            </w:pPr>
            <w:r w:rsidRPr="003F1D56">
              <w:rPr>
                <w:rFonts w:ascii="Arial Narrow" w:hAnsi="Arial Narrow"/>
                <w:sz w:val="20"/>
                <w:szCs w:val="20"/>
              </w:rPr>
              <w:t>IFX IV</w:t>
            </w:r>
          </w:p>
        </w:tc>
        <w:tc>
          <w:tcPr>
            <w:tcW w:w="1609" w:type="pct"/>
            <w:vAlign w:val="center"/>
          </w:tcPr>
          <w:p w14:paraId="37E72FB7" w14:textId="65DA027D" w:rsidR="003F1D56" w:rsidRPr="003F1D56" w:rsidRDefault="003F1D56" w:rsidP="00060123">
            <w:pPr>
              <w:keepNext/>
              <w:jc w:val="left"/>
              <w:rPr>
                <w:rFonts w:ascii="Arial Narrow" w:hAnsi="Arial Narrow"/>
                <w:sz w:val="20"/>
                <w:szCs w:val="20"/>
              </w:rPr>
            </w:pPr>
            <w:r w:rsidRPr="003F1D56">
              <w:rPr>
                <w:rFonts w:ascii="Arial Narrow" w:hAnsi="Arial Narrow"/>
                <w:sz w:val="20"/>
                <w:szCs w:val="20"/>
              </w:rPr>
              <w:t xml:space="preserve">5 mg/kg IV </w:t>
            </w:r>
            <w:proofErr w:type="spellStart"/>
            <w:r w:rsidRPr="003F1D56">
              <w:rPr>
                <w:rFonts w:ascii="Arial Narrow" w:hAnsi="Arial Narrow"/>
                <w:sz w:val="20"/>
                <w:szCs w:val="20"/>
              </w:rPr>
              <w:t>wk</w:t>
            </w:r>
            <w:proofErr w:type="spellEnd"/>
            <w:r w:rsidRPr="003F1D56">
              <w:rPr>
                <w:rFonts w:ascii="Arial Narrow" w:hAnsi="Arial Narrow"/>
                <w:sz w:val="20"/>
                <w:szCs w:val="20"/>
              </w:rPr>
              <w:t xml:space="preserve"> 0, 2,</w:t>
            </w:r>
            <w:r w:rsidRPr="003F1D56">
              <w:rPr>
                <w:rFonts w:ascii="Arial Narrow" w:hAnsi="Arial Narrow"/>
                <w:color w:val="FF0000"/>
                <w:sz w:val="20"/>
                <w:szCs w:val="20"/>
              </w:rPr>
              <w:t xml:space="preserve"> </w:t>
            </w:r>
            <w:r w:rsidRPr="003F1D56">
              <w:rPr>
                <w:rFonts w:ascii="Arial Narrow" w:hAnsi="Arial Narrow"/>
                <w:i/>
                <w:iCs/>
                <w:sz w:val="20"/>
                <w:szCs w:val="20"/>
              </w:rPr>
              <w:t xml:space="preserve">6 </w:t>
            </w:r>
            <w:r w:rsidRPr="003F1D56">
              <w:rPr>
                <w:rFonts w:ascii="Arial Narrow" w:hAnsi="Arial Narrow"/>
                <w:sz w:val="20"/>
                <w:szCs w:val="20"/>
              </w:rPr>
              <w:t>induction -&gt; 5 mg/kg IV Q8W maintenance</w:t>
            </w:r>
          </w:p>
        </w:tc>
        <w:tc>
          <w:tcPr>
            <w:tcW w:w="937" w:type="pct"/>
            <w:vAlign w:val="center"/>
          </w:tcPr>
          <w:p w14:paraId="126A3D99" w14:textId="10A0FEC0" w:rsidR="003F1D56" w:rsidRPr="003F1D56" w:rsidRDefault="005E3E22" w:rsidP="00060123">
            <w:pPr>
              <w:keepNext/>
              <w:jc w:val="center"/>
              <w:rPr>
                <w:rFonts w:ascii="Arial Narrow" w:hAnsi="Arial Narrow"/>
                <w:sz w:val="20"/>
                <w:szCs w:val="20"/>
              </w:rPr>
            </w:pPr>
            <w:r w:rsidRPr="005E3E22">
              <w:rPr>
                <w:rFonts w:ascii="Arial Narrow" w:hAnsi="Arial Narrow"/>
                <w:sz w:val="20"/>
                <w:szCs w:val="20"/>
              </w:rPr>
              <w:t>100 mg IV: $186.16</w:t>
            </w:r>
            <w:r w:rsidR="00326296" w:rsidRPr="00326296">
              <w:rPr>
                <w:rFonts w:ascii="Arial Narrow" w:hAnsi="Arial Narrow"/>
                <w:sz w:val="20"/>
                <w:szCs w:val="20"/>
                <w:vertAlign w:val="superscript"/>
              </w:rPr>
              <w:t>a</w:t>
            </w:r>
          </w:p>
        </w:tc>
        <w:tc>
          <w:tcPr>
            <w:tcW w:w="947" w:type="pct"/>
            <w:vAlign w:val="center"/>
          </w:tcPr>
          <w:p w14:paraId="10C9DC6B" w14:textId="77777777" w:rsidR="003F1D56" w:rsidRPr="003F1D56" w:rsidRDefault="003F1D56" w:rsidP="00060123">
            <w:pPr>
              <w:keepNext/>
              <w:jc w:val="center"/>
              <w:rPr>
                <w:rFonts w:ascii="Arial Narrow" w:hAnsi="Arial Narrow"/>
                <w:sz w:val="20"/>
                <w:szCs w:val="20"/>
              </w:rPr>
            </w:pPr>
            <w:r w:rsidRPr="003F1D56">
              <w:rPr>
                <w:rFonts w:ascii="Arial Narrow" w:hAnsi="Arial Narrow"/>
                <w:sz w:val="20"/>
                <w:szCs w:val="20"/>
              </w:rPr>
              <w:t>14.3 IV infusions (57 vials)</w:t>
            </w:r>
            <w:r w:rsidRPr="003F1D56">
              <w:rPr>
                <w:rFonts w:ascii="Arial Narrow" w:hAnsi="Arial Narrow"/>
                <w:sz w:val="20"/>
                <w:szCs w:val="20"/>
                <w:vertAlign w:val="superscript"/>
              </w:rPr>
              <w:t>d</w:t>
            </w:r>
          </w:p>
        </w:tc>
        <w:tc>
          <w:tcPr>
            <w:tcW w:w="1141" w:type="pct"/>
            <w:vAlign w:val="center"/>
          </w:tcPr>
          <w:p w14:paraId="2B19B370" w14:textId="72369F85" w:rsidR="003F1D56" w:rsidRPr="00BA1D25" w:rsidRDefault="003F1D56" w:rsidP="00060123">
            <w:pPr>
              <w:keepNext/>
              <w:jc w:val="center"/>
              <w:rPr>
                <w:rFonts w:ascii="Arial Narrow" w:hAnsi="Arial Narrow"/>
                <w:sz w:val="20"/>
                <w:szCs w:val="20"/>
              </w:rPr>
            </w:pPr>
            <w:r w:rsidRPr="00BA1D25">
              <w:rPr>
                <w:rFonts w:ascii="Arial Narrow" w:hAnsi="Arial Narrow"/>
                <w:sz w:val="20"/>
                <w:szCs w:val="20"/>
              </w:rPr>
              <w:t>$</w:t>
            </w:r>
            <w:r w:rsidR="002823A0" w:rsidRPr="00BA1D25">
              <w:rPr>
                <w:rFonts w:ascii="Arial Narrow" w:hAnsi="Arial Narrow"/>
                <w:sz w:val="20"/>
                <w:szCs w:val="20"/>
              </w:rPr>
              <w:t>10,611</w:t>
            </w:r>
            <w:r w:rsidR="00EE3A01" w:rsidRPr="00BA1D25">
              <w:rPr>
                <w:rFonts w:ascii="Arial Narrow" w:hAnsi="Arial Narrow"/>
                <w:sz w:val="20"/>
                <w:szCs w:val="20"/>
              </w:rPr>
              <w:t xml:space="preserve">.12 </w:t>
            </w:r>
          </w:p>
          <w:p w14:paraId="14059CDE" w14:textId="167D608A" w:rsidR="003F1D56" w:rsidRPr="003F1D56" w:rsidRDefault="003F1D56" w:rsidP="00060123">
            <w:pPr>
              <w:keepNext/>
              <w:jc w:val="center"/>
              <w:rPr>
                <w:rFonts w:ascii="Arial Narrow" w:hAnsi="Arial Narrow"/>
                <w:sz w:val="20"/>
                <w:szCs w:val="20"/>
              </w:rPr>
            </w:pPr>
            <w:r w:rsidRPr="00BA1D25">
              <w:rPr>
                <w:rFonts w:ascii="Arial Narrow" w:hAnsi="Arial Narrow"/>
                <w:sz w:val="20"/>
                <w:szCs w:val="20"/>
              </w:rPr>
              <w:t>$</w:t>
            </w:r>
            <w:r w:rsidR="00EE3A01" w:rsidRPr="00BA1D25">
              <w:rPr>
                <w:rFonts w:ascii="Arial Narrow" w:hAnsi="Arial Narrow"/>
                <w:sz w:val="20"/>
                <w:szCs w:val="20"/>
              </w:rPr>
              <w:t>11,968.19</w:t>
            </w:r>
            <w:r w:rsidRPr="00BA1D25">
              <w:rPr>
                <w:rFonts w:ascii="Arial Narrow" w:hAnsi="Arial Narrow"/>
                <w:sz w:val="20"/>
                <w:szCs w:val="20"/>
                <w:vertAlign w:val="superscript"/>
              </w:rPr>
              <w:t>e</w:t>
            </w:r>
          </w:p>
        </w:tc>
      </w:tr>
      <w:tr w:rsidR="00731E86" w:rsidRPr="003F1D56" w14:paraId="40BFB208" w14:textId="77777777" w:rsidTr="003124CE">
        <w:tc>
          <w:tcPr>
            <w:tcW w:w="367" w:type="pct"/>
          </w:tcPr>
          <w:p w14:paraId="67D8FF37" w14:textId="77777777" w:rsidR="00731E86" w:rsidRPr="00C81A88" w:rsidRDefault="00731E86" w:rsidP="00060123">
            <w:pPr>
              <w:keepNext/>
              <w:rPr>
                <w:rFonts w:ascii="Arial Narrow" w:hAnsi="Arial Narrow"/>
                <w:sz w:val="20"/>
                <w:szCs w:val="20"/>
              </w:rPr>
            </w:pPr>
            <w:r w:rsidRPr="00C81A88">
              <w:rPr>
                <w:rFonts w:ascii="Arial Narrow" w:hAnsi="Arial Narrow"/>
                <w:sz w:val="20"/>
                <w:szCs w:val="20"/>
              </w:rPr>
              <w:t>IFX IV/SC</w:t>
            </w:r>
          </w:p>
        </w:tc>
        <w:tc>
          <w:tcPr>
            <w:tcW w:w="1609" w:type="pct"/>
            <w:vAlign w:val="center"/>
          </w:tcPr>
          <w:p w14:paraId="0AC3C04B" w14:textId="77777777" w:rsidR="00731E86" w:rsidRPr="00C81A88" w:rsidRDefault="00731E86" w:rsidP="00060123">
            <w:pPr>
              <w:keepNext/>
              <w:jc w:val="left"/>
              <w:rPr>
                <w:rFonts w:ascii="Arial Narrow" w:hAnsi="Arial Narrow"/>
                <w:sz w:val="20"/>
                <w:szCs w:val="20"/>
              </w:rPr>
            </w:pPr>
            <w:r w:rsidRPr="00C81A88">
              <w:rPr>
                <w:rFonts w:ascii="Arial Narrow" w:hAnsi="Arial Narrow"/>
                <w:sz w:val="20"/>
                <w:szCs w:val="20"/>
              </w:rPr>
              <w:t xml:space="preserve">5 mg/kg IV </w:t>
            </w:r>
            <w:proofErr w:type="spellStart"/>
            <w:r w:rsidRPr="00C81A88">
              <w:rPr>
                <w:rFonts w:ascii="Arial Narrow" w:hAnsi="Arial Narrow"/>
                <w:sz w:val="20"/>
                <w:szCs w:val="20"/>
              </w:rPr>
              <w:t>wk</w:t>
            </w:r>
            <w:proofErr w:type="spellEnd"/>
            <w:r w:rsidRPr="00C81A88">
              <w:rPr>
                <w:rFonts w:ascii="Arial Narrow" w:hAnsi="Arial Narrow"/>
                <w:sz w:val="20"/>
                <w:szCs w:val="20"/>
              </w:rPr>
              <w:t xml:space="preserve"> 0, 2 and 120 mg SC </w:t>
            </w:r>
            <w:proofErr w:type="spellStart"/>
            <w:r w:rsidRPr="00C81A88">
              <w:rPr>
                <w:rFonts w:ascii="Arial Narrow" w:hAnsi="Arial Narrow"/>
                <w:sz w:val="20"/>
                <w:szCs w:val="20"/>
              </w:rPr>
              <w:t>wk</w:t>
            </w:r>
            <w:proofErr w:type="spellEnd"/>
            <w:r w:rsidRPr="00C81A88">
              <w:rPr>
                <w:rFonts w:ascii="Arial Narrow" w:hAnsi="Arial Narrow"/>
                <w:sz w:val="20"/>
                <w:szCs w:val="20"/>
              </w:rPr>
              <w:t xml:space="preserve"> 6, 8, 10, 12 induction -&gt; 120 mg SC Q2W</w:t>
            </w:r>
          </w:p>
        </w:tc>
        <w:tc>
          <w:tcPr>
            <w:tcW w:w="937" w:type="pct"/>
            <w:vAlign w:val="center"/>
          </w:tcPr>
          <w:p w14:paraId="12B4B286" w14:textId="77777777"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100 mg IV: $186.16</w:t>
            </w:r>
          </w:p>
          <w:p w14:paraId="393177C7" w14:textId="10028590"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120 mg SC (PFP): $2</w:t>
            </w:r>
            <w:r w:rsidR="007F5497" w:rsidRPr="00C81A88">
              <w:rPr>
                <w:rFonts w:ascii="Arial Narrow" w:hAnsi="Arial Narrow"/>
                <w:sz w:val="20"/>
                <w:szCs w:val="20"/>
              </w:rPr>
              <w:t>52.40</w:t>
            </w:r>
            <w:r w:rsidRPr="00C81A88">
              <w:rPr>
                <w:rFonts w:ascii="Arial Narrow" w:hAnsi="Arial Narrow"/>
                <w:sz w:val="20"/>
                <w:szCs w:val="20"/>
                <w:vertAlign w:val="superscript"/>
              </w:rPr>
              <w:t>a</w:t>
            </w:r>
          </w:p>
        </w:tc>
        <w:tc>
          <w:tcPr>
            <w:tcW w:w="947" w:type="pct"/>
            <w:vAlign w:val="center"/>
          </w:tcPr>
          <w:p w14:paraId="39CCD081" w14:textId="77777777"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2 IV (8 vials) + 49 SC</w:t>
            </w:r>
          </w:p>
        </w:tc>
        <w:tc>
          <w:tcPr>
            <w:tcW w:w="1141" w:type="pct"/>
            <w:vAlign w:val="center"/>
          </w:tcPr>
          <w:p w14:paraId="0167BC15" w14:textId="376E0262"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w:t>
            </w:r>
            <w:r w:rsidR="00524C28" w:rsidRPr="00C81A88">
              <w:rPr>
                <w:rFonts w:ascii="Arial Narrow" w:hAnsi="Arial Narrow"/>
                <w:sz w:val="20"/>
                <w:szCs w:val="20"/>
              </w:rPr>
              <w:t>13,856.88</w:t>
            </w:r>
          </w:p>
          <w:p w14:paraId="03A73598" w14:textId="125E2EC3"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w:t>
            </w:r>
            <w:r w:rsidR="00DC6AEF" w:rsidRPr="00C81A88">
              <w:rPr>
                <w:rFonts w:ascii="Arial Narrow" w:hAnsi="Arial Narrow"/>
                <w:sz w:val="20"/>
                <w:szCs w:val="20"/>
              </w:rPr>
              <w:t>14,046.68</w:t>
            </w:r>
            <w:r w:rsidRPr="00C81A88">
              <w:rPr>
                <w:rFonts w:ascii="Arial Narrow" w:hAnsi="Arial Narrow"/>
                <w:sz w:val="20"/>
                <w:szCs w:val="20"/>
                <w:vertAlign w:val="superscript"/>
              </w:rPr>
              <w:t>e</w:t>
            </w:r>
          </w:p>
        </w:tc>
      </w:tr>
      <w:tr w:rsidR="00FC21AD" w:rsidRPr="003F1D56" w14:paraId="194DFCE5" w14:textId="77777777" w:rsidTr="00FC21AD">
        <w:tc>
          <w:tcPr>
            <w:tcW w:w="367" w:type="pct"/>
          </w:tcPr>
          <w:p w14:paraId="0EAC6B5A" w14:textId="34A66EB3" w:rsidR="003F1D56" w:rsidRPr="00C81A88" w:rsidRDefault="003F1D56" w:rsidP="00060123">
            <w:pPr>
              <w:keepNext/>
              <w:rPr>
                <w:rFonts w:ascii="Arial Narrow" w:hAnsi="Arial Narrow"/>
                <w:sz w:val="20"/>
                <w:szCs w:val="20"/>
              </w:rPr>
            </w:pPr>
            <w:r w:rsidRPr="00C81A88">
              <w:rPr>
                <w:rFonts w:ascii="Arial Narrow" w:hAnsi="Arial Narrow"/>
                <w:sz w:val="20"/>
                <w:szCs w:val="20"/>
              </w:rPr>
              <w:t>UST Q</w:t>
            </w:r>
            <w:r w:rsidR="00945A4D" w:rsidRPr="00C81A88">
              <w:rPr>
                <w:rFonts w:ascii="Arial Narrow" w:hAnsi="Arial Narrow"/>
                <w:sz w:val="20"/>
                <w:szCs w:val="20"/>
              </w:rPr>
              <w:t>12</w:t>
            </w:r>
            <w:r w:rsidRPr="00C81A88">
              <w:rPr>
                <w:rFonts w:ascii="Arial Narrow" w:hAnsi="Arial Narrow"/>
                <w:sz w:val="20"/>
                <w:szCs w:val="20"/>
              </w:rPr>
              <w:t>W</w:t>
            </w:r>
          </w:p>
        </w:tc>
        <w:tc>
          <w:tcPr>
            <w:tcW w:w="1609" w:type="pct"/>
            <w:vAlign w:val="center"/>
          </w:tcPr>
          <w:p w14:paraId="079F10F9" w14:textId="77777777" w:rsidR="003F1D56" w:rsidRPr="00C81A88" w:rsidRDefault="003F1D56" w:rsidP="00060123">
            <w:pPr>
              <w:keepNext/>
              <w:jc w:val="left"/>
              <w:rPr>
                <w:rFonts w:ascii="Arial Narrow" w:hAnsi="Arial Narrow"/>
                <w:sz w:val="20"/>
                <w:szCs w:val="20"/>
              </w:rPr>
            </w:pPr>
            <w:r w:rsidRPr="00C81A88">
              <w:rPr>
                <w:rFonts w:ascii="Arial Narrow" w:hAnsi="Arial Narrow"/>
                <w:sz w:val="20"/>
                <w:szCs w:val="20"/>
              </w:rPr>
              <w:t>130 mg IV weight-</w:t>
            </w:r>
            <w:proofErr w:type="spellStart"/>
            <w:r w:rsidRPr="00C81A88">
              <w:rPr>
                <w:rFonts w:ascii="Arial Narrow" w:hAnsi="Arial Narrow"/>
                <w:sz w:val="20"/>
                <w:szCs w:val="20"/>
              </w:rPr>
              <w:t>based</w:t>
            </w:r>
            <w:r w:rsidRPr="00C81A88">
              <w:rPr>
                <w:rFonts w:ascii="Arial Narrow" w:hAnsi="Arial Narrow"/>
                <w:sz w:val="20"/>
                <w:szCs w:val="20"/>
                <w:vertAlign w:val="superscript"/>
              </w:rPr>
              <w:t>c</w:t>
            </w:r>
            <w:proofErr w:type="spellEnd"/>
            <w:r w:rsidRPr="00C81A88">
              <w:rPr>
                <w:rFonts w:ascii="Arial Narrow" w:hAnsi="Arial Narrow"/>
                <w:sz w:val="20"/>
                <w:szCs w:val="20"/>
              </w:rPr>
              <w:t xml:space="preserve"> </w:t>
            </w:r>
            <w:proofErr w:type="spellStart"/>
            <w:r w:rsidRPr="00C81A88">
              <w:rPr>
                <w:rFonts w:ascii="Arial Narrow" w:hAnsi="Arial Narrow"/>
                <w:sz w:val="20"/>
                <w:szCs w:val="20"/>
              </w:rPr>
              <w:t>wk</w:t>
            </w:r>
            <w:proofErr w:type="spellEnd"/>
            <w:r w:rsidRPr="00C81A88">
              <w:rPr>
                <w:rFonts w:ascii="Arial Narrow" w:hAnsi="Arial Narrow"/>
                <w:sz w:val="20"/>
                <w:szCs w:val="20"/>
              </w:rPr>
              <w:t xml:space="preserve"> 0, and 90 mg SC </w:t>
            </w:r>
            <w:proofErr w:type="spellStart"/>
            <w:r w:rsidRPr="00C81A88">
              <w:rPr>
                <w:rFonts w:ascii="Arial Narrow" w:hAnsi="Arial Narrow"/>
                <w:sz w:val="20"/>
                <w:szCs w:val="20"/>
              </w:rPr>
              <w:t>wk</w:t>
            </w:r>
            <w:proofErr w:type="spellEnd"/>
            <w:r w:rsidRPr="00C81A88">
              <w:rPr>
                <w:rFonts w:ascii="Arial Narrow" w:hAnsi="Arial Narrow"/>
                <w:sz w:val="20"/>
                <w:szCs w:val="20"/>
              </w:rPr>
              <w:t xml:space="preserve"> 8 induction -&gt; 90 mg SC Q12W maintenance</w:t>
            </w:r>
          </w:p>
        </w:tc>
        <w:tc>
          <w:tcPr>
            <w:tcW w:w="937" w:type="pct"/>
            <w:vAlign w:val="center"/>
          </w:tcPr>
          <w:p w14:paraId="7DCB8285" w14:textId="58FAE169" w:rsidR="00436029" w:rsidRPr="00436029" w:rsidRDefault="003F1D56" w:rsidP="00060123">
            <w:pPr>
              <w:keepNext/>
              <w:jc w:val="center"/>
              <w:rPr>
                <w:rFonts w:ascii="Arial Narrow" w:hAnsi="Arial Narrow"/>
                <w:sz w:val="20"/>
                <w:szCs w:val="20"/>
                <w:vertAlign w:val="superscript"/>
              </w:rPr>
            </w:pPr>
            <w:r w:rsidRPr="00C81A88">
              <w:rPr>
                <w:rFonts w:ascii="Arial Narrow" w:hAnsi="Arial Narrow"/>
                <w:sz w:val="20"/>
                <w:szCs w:val="20"/>
              </w:rPr>
              <w:t>130 mg IV: $</w:t>
            </w:r>
            <w:r w:rsidR="00E77A69" w:rsidRPr="009128F5">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00E77A69" w:rsidRPr="009128F5">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436029">
              <w:rPr>
                <w:rFonts w:ascii="Arial Narrow" w:hAnsi="Arial Narrow"/>
                <w:sz w:val="20"/>
                <w:szCs w:val="20"/>
                <w:vertAlign w:val="superscript"/>
              </w:rPr>
              <w:t>f</w:t>
            </w:r>
          </w:p>
          <w:p w14:paraId="12E17659" w14:textId="4378C277" w:rsidR="003F1D56" w:rsidRPr="00253DE6" w:rsidRDefault="00C43AE7" w:rsidP="00060123">
            <w:pPr>
              <w:keepNext/>
              <w:jc w:val="center"/>
              <w:rPr>
                <w:rFonts w:ascii="Arial Narrow" w:hAnsi="Arial Narrow"/>
                <w:sz w:val="20"/>
                <w:szCs w:val="20"/>
                <w:highlight w:val="yellow"/>
              </w:rPr>
            </w:pPr>
            <w:r>
              <w:rPr>
                <w:rFonts w:ascii="Arial Narrow" w:hAnsi="Arial Narrow"/>
                <w:sz w:val="20"/>
                <w:szCs w:val="20"/>
              </w:rPr>
              <w:t>4</w:t>
            </w:r>
            <w:r w:rsidR="00DA6F4C">
              <w:rPr>
                <w:rFonts w:ascii="Arial Narrow" w:hAnsi="Arial Narrow"/>
                <w:sz w:val="20"/>
                <w:szCs w:val="20"/>
              </w:rPr>
              <w:t>5</w:t>
            </w:r>
            <w:r>
              <w:rPr>
                <w:rFonts w:ascii="Arial Narrow" w:hAnsi="Arial Narrow"/>
                <w:sz w:val="20"/>
                <w:szCs w:val="20"/>
              </w:rPr>
              <w:t xml:space="preserve"> mg </w:t>
            </w:r>
            <w:r w:rsidR="003F1D56" w:rsidRPr="00C81A88">
              <w:rPr>
                <w:rFonts w:ascii="Arial Narrow" w:hAnsi="Arial Narrow"/>
                <w:sz w:val="20"/>
                <w:szCs w:val="20"/>
              </w:rPr>
              <w:t>SC: $</w:t>
            </w:r>
            <w:r w:rsidR="00E77A69" w:rsidRPr="009128F5">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9128F5">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9128F5">
              <w:rPr>
                <w:rFonts w:ascii="Arial Narrow" w:hAnsi="Arial Narrow"/>
                <w:sz w:val="20"/>
                <w:szCs w:val="20"/>
                <w:vertAlign w:val="superscript"/>
              </w:rPr>
              <w:t>f</w:t>
            </w:r>
          </w:p>
        </w:tc>
        <w:tc>
          <w:tcPr>
            <w:tcW w:w="947" w:type="pct"/>
            <w:vAlign w:val="center"/>
          </w:tcPr>
          <w:p w14:paraId="6E860062" w14:textId="77777777" w:rsidR="003F1D56" w:rsidRPr="00253DE6" w:rsidRDefault="003F1D56" w:rsidP="00060123">
            <w:pPr>
              <w:keepNext/>
              <w:jc w:val="center"/>
              <w:rPr>
                <w:rFonts w:ascii="Arial Narrow" w:hAnsi="Arial Narrow"/>
                <w:sz w:val="20"/>
                <w:szCs w:val="20"/>
                <w:highlight w:val="yellow"/>
              </w:rPr>
            </w:pPr>
            <w:r w:rsidRPr="00C81A88">
              <w:rPr>
                <w:rFonts w:ascii="Arial Narrow" w:hAnsi="Arial Narrow"/>
                <w:sz w:val="20"/>
                <w:szCs w:val="20"/>
              </w:rPr>
              <w:t>1 IV (3 vials) + 8.3 SC</w:t>
            </w:r>
          </w:p>
        </w:tc>
        <w:tc>
          <w:tcPr>
            <w:tcW w:w="1141" w:type="pct"/>
            <w:vAlign w:val="center"/>
          </w:tcPr>
          <w:p w14:paraId="41C40DB0" w14:textId="62E3417C" w:rsidR="003F1D56" w:rsidRPr="00253DE6" w:rsidRDefault="003F1D56" w:rsidP="00060123">
            <w:pPr>
              <w:keepNext/>
              <w:jc w:val="center"/>
              <w:rPr>
                <w:rFonts w:ascii="Arial Narrow" w:hAnsi="Arial Narrow"/>
                <w:sz w:val="20"/>
                <w:szCs w:val="20"/>
                <w:highlight w:val="yellow"/>
              </w:rPr>
            </w:pPr>
            <w:r w:rsidRPr="00C81A88">
              <w:rPr>
                <w:rFonts w:ascii="Arial Narrow" w:hAnsi="Arial Narrow"/>
                <w:sz w:val="20"/>
                <w:szCs w:val="20"/>
              </w:rPr>
              <w:t>$</w:t>
            </w:r>
            <w:r w:rsidR="00FC21AD" w:rsidRPr="00C81A88">
              <w:rPr>
                <w:rFonts w:ascii="Arial Narrow" w:hAnsi="Arial Narrow"/>
                <w:sz w:val="20"/>
                <w:szCs w:val="20"/>
              </w:rPr>
              <w:t>1</w:t>
            </w:r>
            <w:r w:rsidR="00FC21AD" w:rsidRPr="003B25C5">
              <w:rPr>
                <w:rFonts w:ascii="Arial Narrow" w:hAnsi="Arial Narrow"/>
                <w:sz w:val="20"/>
                <w:szCs w:val="20"/>
              </w:rPr>
              <w:t>0,542.47</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Pr="00C81A88">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Pr="003B25C5">
              <w:rPr>
                <w:rFonts w:ascii="Arial Narrow" w:hAnsi="Arial Narrow"/>
                <w:sz w:val="20"/>
                <w:szCs w:val="20"/>
                <w:vertAlign w:val="superscript"/>
              </w:rPr>
              <w:t>e</w:t>
            </w:r>
          </w:p>
        </w:tc>
      </w:tr>
      <w:tr w:rsidR="00FC21AD" w:rsidRPr="003F1D56" w14:paraId="2E4A428F" w14:textId="77777777" w:rsidTr="00FC21AD">
        <w:tc>
          <w:tcPr>
            <w:tcW w:w="367" w:type="pct"/>
            <w:vMerge w:val="restart"/>
          </w:tcPr>
          <w:p w14:paraId="6DE24D9B" w14:textId="77777777" w:rsidR="003F1D56" w:rsidRPr="003F1D56" w:rsidRDefault="003F1D56" w:rsidP="00060123">
            <w:pPr>
              <w:keepNext/>
              <w:rPr>
                <w:rFonts w:ascii="Arial Narrow" w:hAnsi="Arial Narrow"/>
                <w:sz w:val="20"/>
                <w:szCs w:val="20"/>
              </w:rPr>
            </w:pPr>
            <w:r w:rsidRPr="003F1D56">
              <w:rPr>
                <w:rFonts w:ascii="Arial Narrow" w:hAnsi="Arial Narrow"/>
                <w:sz w:val="20"/>
                <w:szCs w:val="20"/>
              </w:rPr>
              <w:t>ADA</w:t>
            </w:r>
          </w:p>
        </w:tc>
        <w:tc>
          <w:tcPr>
            <w:tcW w:w="1609" w:type="pct"/>
            <w:vMerge w:val="restart"/>
            <w:vAlign w:val="center"/>
          </w:tcPr>
          <w:p w14:paraId="1DC826C7" w14:textId="77777777" w:rsidR="003F1D56" w:rsidRPr="003F1D56" w:rsidRDefault="003F1D56" w:rsidP="00060123">
            <w:pPr>
              <w:keepNext/>
              <w:jc w:val="left"/>
              <w:rPr>
                <w:rFonts w:ascii="Arial Narrow" w:hAnsi="Arial Narrow"/>
                <w:sz w:val="20"/>
                <w:szCs w:val="20"/>
              </w:rPr>
            </w:pPr>
            <w:r w:rsidRPr="003F1D56">
              <w:rPr>
                <w:rFonts w:ascii="Arial Narrow" w:hAnsi="Arial Narrow"/>
                <w:sz w:val="20"/>
                <w:szCs w:val="20"/>
              </w:rPr>
              <w:t xml:space="preserve">160 mg (2 x 80 mg) SC </w:t>
            </w:r>
            <w:proofErr w:type="spellStart"/>
            <w:r w:rsidRPr="003F1D56">
              <w:rPr>
                <w:rFonts w:ascii="Arial Narrow" w:hAnsi="Arial Narrow"/>
                <w:sz w:val="20"/>
                <w:szCs w:val="20"/>
              </w:rPr>
              <w:t>wk</w:t>
            </w:r>
            <w:proofErr w:type="spellEnd"/>
            <w:r w:rsidRPr="003F1D56">
              <w:rPr>
                <w:rFonts w:ascii="Arial Narrow" w:hAnsi="Arial Narrow"/>
                <w:sz w:val="20"/>
                <w:szCs w:val="20"/>
              </w:rPr>
              <w:t xml:space="preserve"> 0 and 80 mg SC </w:t>
            </w:r>
            <w:proofErr w:type="spellStart"/>
            <w:r w:rsidRPr="003F1D56">
              <w:rPr>
                <w:rFonts w:ascii="Arial Narrow" w:hAnsi="Arial Narrow"/>
                <w:sz w:val="20"/>
                <w:szCs w:val="20"/>
              </w:rPr>
              <w:t>wk</w:t>
            </w:r>
            <w:proofErr w:type="spellEnd"/>
            <w:r w:rsidRPr="003F1D56">
              <w:rPr>
                <w:rFonts w:ascii="Arial Narrow" w:hAnsi="Arial Narrow"/>
                <w:sz w:val="20"/>
                <w:szCs w:val="20"/>
              </w:rPr>
              <w:t xml:space="preserve"> 2, then 40 mg SC Q2W </w:t>
            </w:r>
            <w:proofErr w:type="spellStart"/>
            <w:r w:rsidRPr="003F1D56">
              <w:rPr>
                <w:rFonts w:ascii="Arial Narrow" w:hAnsi="Arial Narrow"/>
                <w:sz w:val="20"/>
                <w:szCs w:val="20"/>
              </w:rPr>
              <w:t>wk</w:t>
            </w:r>
            <w:proofErr w:type="spellEnd"/>
            <w:r w:rsidRPr="003F1D56">
              <w:rPr>
                <w:rFonts w:ascii="Arial Narrow" w:hAnsi="Arial Narrow"/>
                <w:sz w:val="20"/>
                <w:szCs w:val="20"/>
              </w:rPr>
              <w:t xml:space="preserve"> 4, 6, 8, 10, 12, 14 induction -&gt; 40 mg SC Q2W maintenance</w:t>
            </w:r>
          </w:p>
        </w:tc>
        <w:tc>
          <w:tcPr>
            <w:tcW w:w="937" w:type="pct"/>
            <w:vAlign w:val="center"/>
          </w:tcPr>
          <w:p w14:paraId="490A4430" w14:textId="0B59D87B" w:rsidR="003F1D56" w:rsidRPr="005B0846" w:rsidRDefault="005E3E22" w:rsidP="00060123">
            <w:pPr>
              <w:keepNext/>
              <w:jc w:val="center"/>
              <w:rPr>
                <w:rFonts w:ascii="Arial Narrow" w:hAnsi="Arial Narrow"/>
                <w:sz w:val="20"/>
                <w:szCs w:val="20"/>
              </w:rPr>
            </w:pPr>
            <w:r w:rsidRPr="005B0846">
              <w:rPr>
                <w:rFonts w:ascii="Arial Narrow" w:hAnsi="Arial Narrow"/>
                <w:sz w:val="20"/>
                <w:szCs w:val="20"/>
              </w:rPr>
              <w:t>3 x 80 mg SC: $618.90</w:t>
            </w:r>
            <w:r w:rsidR="00326296" w:rsidRPr="005B0846">
              <w:rPr>
                <w:rFonts w:ascii="Arial Narrow" w:hAnsi="Arial Narrow"/>
                <w:sz w:val="20"/>
                <w:szCs w:val="20"/>
                <w:vertAlign w:val="superscript"/>
              </w:rPr>
              <w:t>a</w:t>
            </w:r>
          </w:p>
        </w:tc>
        <w:tc>
          <w:tcPr>
            <w:tcW w:w="947" w:type="pct"/>
            <w:vAlign w:val="center"/>
          </w:tcPr>
          <w:p w14:paraId="29E6BC95" w14:textId="77777777" w:rsidR="003F1D56" w:rsidRPr="005B0846" w:rsidRDefault="003F1D56" w:rsidP="00060123">
            <w:pPr>
              <w:keepNext/>
              <w:jc w:val="center"/>
              <w:rPr>
                <w:rFonts w:ascii="Arial Narrow" w:hAnsi="Arial Narrow"/>
                <w:sz w:val="20"/>
                <w:szCs w:val="20"/>
              </w:rPr>
            </w:pPr>
            <w:r w:rsidRPr="005B0846">
              <w:rPr>
                <w:rFonts w:ascii="Arial Narrow" w:hAnsi="Arial Narrow"/>
                <w:sz w:val="20"/>
                <w:szCs w:val="20"/>
              </w:rPr>
              <w:t>1</w:t>
            </w:r>
          </w:p>
        </w:tc>
        <w:tc>
          <w:tcPr>
            <w:tcW w:w="1141" w:type="pct"/>
            <w:vMerge w:val="restart"/>
            <w:vAlign w:val="center"/>
          </w:tcPr>
          <w:p w14:paraId="13DD5D20" w14:textId="65E451D3" w:rsidR="003F1D56" w:rsidRPr="005B0846" w:rsidRDefault="003F1D56" w:rsidP="00060123">
            <w:pPr>
              <w:keepNext/>
              <w:jc w:val="center"/>
              <w:rPr>
                <w:rFonts w:ascii="Arial Narrow" w:hAnsi="Arial Narrow"/>
                <w:sz w:val="20"/>
                <w:szCs w:val="20"/>
              </w:rPr>
            </w:pPr>
            <w:r w:rsidRPr="005B0846">
              <w:rPr>
                <w:rFonts w:ascii="Arial Narrow" w:hAnsi="Arial Narrow"/>
                <w:sz w:val="20"/>
                <w:szCs w:val="20"/>
              </w:rPr>
              <w:t>$</w:t>
            </w:r>
            <w:r w:rsidR="00E22B49" w:rsidRPr="005B0846">
              <w:rPr>
                <w:rFonts w:ascii="Arial Narrow" w:hAnsi="Arial Narrow"/>
                <w:sz w:val="20"/>
                <w:szCs w:val="20"/>
              </w:rPr>
              <w:t>11,908.49</w:t>
            </w:r>
          </w:p>
        </w:tc>
      </w:tr>
      <w:tr w:rsidR="00E22B49" w:rsidRPr="003F1D56" w14:paraId="0F9B4089" w14:textId="77777777" w:rsidTr="00FC21AD">
        <w:tc>
          <w:tcPr>
            <w:tcW w:w="367" w:type="pct"/>
            <w:vMerge/>
          </w:tcPr>
          <w:p w14:paraId="3D0188BB" w14:textId="77777777" w:rsidR="00E22B49" w:rsidRPr="003F1D56" w:rsidRDefault="00E22B49" w:rsidP="00060123">
            <w:pPr>
              <w:keepNext/>
              <w:rPr>
                <w:rFonts w:ascii="Arial Narrow" w:hAnsi="Arial Narrow"/>
                <w:sz w:val="20"/>
                <w:szCs w:val="20"/>
              </w:rPr>
            </w:pPr>
          </w:p>
        </w:tc>
        <w:tc>
          <w:tcPr>
            <w:tcW w:w="1609" w:type="pct"/>
            <w:vMerge/>
            <w:vAlign w:val="center"/>
          </w:tcPr>
          <w:p w14:paraId="7EE74BE4" w14:textId="77777777" w:rsidR="00E22B49" w:rsidRPr="003F1D56" w:rsidRDefault="00E22B49" w:rsidP="00060123">
            <w:pPr>
              <w:keepNext/>
              <w:jc w:val="left"/>
              <w:rPr>
                <w:rFonts w:ascii="Arial Narrow" w:hAnsi="Arial Narrow"/>
                <w:sz w:val="20"/>
                <w:szCs w:val="20"/>
              </w:rPr>
            </w:pPr>
          </w:p>
        </w:tc>
        <w:tc>
          <w:tcPr>
            <w:tcW w:w="937" w:type="pct"/>
            <w:vAlign w:val="center"/>
          </w:tcPr>
          <w:p w14:paraId="0A57617E" w14:textId="19EE08FA" w:rsidR="00E22B49" w:rsidRPr="005B0846" w:rsidRDefault="00E22B49" w:rsidP="00060123">
            <w:pPr>
              <w:keepNext/>
              <w:jc w:val="center"/>
              <w:rPr>
                <w:rFonts w:ascii="Arial Narrow" w:hAnsi="Arial Narrow"/>
                <w:sz w:val="20"/>
                <w:szCs w:val="20"/>
              </w:rPr>
            </w:pPr>
            <w:r w:rsidRPr="005B0846">
              <w:rPr>
                <w:rFonts w:ascii="Arial Narrow" w:hAnsi="Arial Narrow"/>
                <w:sz w:val="20"/>
                <w:szCs w:val="20"/>
              </w:rPr>
              <w:t>40 mg SC: $505.95</w:t>
            </w:r>
            <w:r w:rsidRPr="005B0846">
              <w:rPr>
                <w:rFonts w:ascii="Arial Narrow" w:hAnsi="Arial Narrow"/>
                <w:sz w:val="20"/>
                <w:szCs w:val="20"/>
                <w:vertAlign w:val="superscript"/>
              </w:rPr>
              <w:t>a</w:t>
            </w:r>
          </w:p>
        </w:tc>
        <w:tc>
          <w:tcPr>
            <w:tcW w:w="947" w:type="pct"/>
            <w:vAlign w:val="center"/>
          </w:tcPr>
          <w:p w14:paraId="5543D565" w14:textId="44C29B88" w:rsidR="00E22B49" w:rsidRPr="005B0846" w:rsidRDefault="00E22B49" w:rsidP="00060123">
            <w:pPr>
              <w:keepNext/>
              <w:jc w:val="center"/>
              <w:rPr>
                <w:rFonts w:ascii="Arial Narrow" w:hAnsi="Arial Narrow"/>
                <w:sz w:val="20"/>
                <w:szCs w:val="20"/>
              </w:rPr>
            </w:pPr>
            <w:r w:rsidRPr="005B0846">
              <w:rPr>
                <w:rFonts w:ascii="Arial Narrow" w:hAnsi="Arial Narrow"/>
                <w:sz w:val="20"/>
                <w:szCs w:val="20"/>
              </w:rPr>
              <w:t>6</w:t>
            </w:r>
          </w:p>
        </w:tc>
        <w:tc>
          <w:tcPr>
            <w:tcW w:w="1141" w:type="pct"/>
            <w:vMerge/>
            <w:vAlign w:val="center"/>
          </w:tcPr>
          <w:p w14:paraId="265E6D7E" w14:textId="77777777" w:rsidR="00E22B49" w:rsidRPr="005B0846" w:rsidRDefault="00E22B49" w:rsidP="00060123">
            <w:pPr>
              <w:keepNext/>
              <w:jc w:val="center"/>
              <w:rPr>
                <w:rFonts w:ascii="Arial Narrow" w:hAnsi="Arial Narrow"/>
                <w:sz w:val="20"/>
                <w:szCs w:val="20"/>
              </w:rPr>
            </w:pPr>
          </w:p>
        </w:tc>
      </w:tr>
      <w:tr w:rsidR="00E22B49" w:rsidRPr="003F1D56" w14:paraId="0EF3B2B2" w14:textId="77777777" w:rsidTr="00FC21AD">
        <w:tc>
          <w:tcPr>
            <w:tcW w:w="367" w:type="pct"/>
            <w:vMerge/>
          </w:tcPr>
          <w:p w14:paraId="71E828AF" w14:textId="77777777" w:rsidR="00E22B49" w:rsidRPr="003F1D56" w:rsidRDefault="00E22B49" w:rsidP="00060123">
            <w:pPr>
              <w:keepNext/>
              <w:rPr>
                <w:rFonts w:ascii="Arial Narrow" w:hAnsi="Arial Narrow"/>
                <w:sz w:val="20"/>
                <w:szCs w:val="20"/>
              </w:rPr>
            </w:pPr>
          </w:p>
        </w:tc>
        <w:tc>
          <w:tcPr>
            <w:tcW w:w="1609" w:type="pct"/>
            <w:vMerge/>
            <w:vAlign w:val="center"/>
          </w:tcPr>
          <w:p w14:paraId="726DBF60" w14:textId="77777777" w:rsidR="00E22B49" w:rsidRPr="003F1D56" w:rsidRDefault="00E22B49" w:rsidP="00060123">
            <w:pPr>
              <w:keepNext/>
              <w:jc w:val="left"/>
              <w:rPr>
                <w:rFonts w:ascii="Arial Narrow" w:hAnsi="Arial Narrow"/>
                <w:sz w:val="20"/>
                <w:szCs w:val="20"/>
              </w:rPr>
            </w:pPr>
          </w:p>
        </w:tc>
        <w:tc>
          <w:tcPr>
            <w:tcW w:w="937" w:type="pct"/>
            <w:vAlign w:val="center"/>
          </w:tcPr>
          <w:p w14:paraId="63C04090" w14:textId="558A365D" w:rsidR="00E22B49" w:rsidRPr="005B0846" w:rsidRDefault="00E22B49" w:rsidP="00060123">
            <w:pPr>
              <w:keepNext/>
              <w:jc w:val="center"/>
              <w:rPr>
                <w:rFonts w:ascii="Arial Narrow" w:hAnsi="Arial Narrow"/>
                <w:sz w:val="20"/>
                <w:szCs w:val="20"/>
              </w:rPr>
            </w:pPr>
            <w:r w:rsidRPr="005B0846">
              <w:rPr>
                <w:rFonts w:ascii="Arial Narrow" w:hAnsi="Arial Narrow"/>
                <w:sz w:val="20"/>
                <w:szCs w:val="20"/>
              </w:rPr>
              <w:t>40 mg SC: $444.17</w:t>
            </w:r>
            <w:r w:rsidRPr="005B0846">
              <w:rPr>
                <w:rFonts w:ascii="Arial Narrow" w:hAnsi="Arial Narrow"/>
                <w:sz w:val="20"/>
                <w:szCs w:val="20"/>
                <w:vertAlign w:val="superscript"/>
              </w:rPr>
              <w:t>ab</w:t>
            </w:r>
          </w:p>
        </w:tc>
        <w:tc>
          <w:tcPr>
            <w:tcW w:w="947" w:type="pct"/>
            <w:vAlign w:val="center"/>
          </w:tcPr>
          <w:p w14:paraId="6179BFD5" w14:textId="0323FB4D" w:rsidR="00E22B49" w:rsidRPr="005B0846" w:rsidRDefault="00E22B49" w:rsidP="00060123">
            <w:pPr>
              <w:keepNext/>
              <w:jc w:val="center"/>
              <w:rPr>
                <w:rFonts w:ascii="Arial Narrow" w:hAnsi="Arial Narrow"/>
                <w:sz w:val="20"/>
                <w:szCs w:val="20"/>
              </w:rPr>
            </w:pPr>
            <w:r w:rsidRPr="005B0846">
              <w:rPr>
                <w:rFonts w:ascii="Arial Narrow" w:hAnsi="Arial Narrow"/>
                <w:sz w:val="20"/>
                <w:szCs w:val="20"/>
              </w:rPr>
              <w:t>44</w:t>
            </w:r>
          </w:p>
        </w:tc>
        <w:tc>
          <w:tcPr>
            <w:tcW w:w="1141" w:type="pct"/>
            <w:vMerge/>
            <w:vAlign w:val="center"/>
          </w:tcPr>
          <w:p w14:paraId="16C14152" w14:textId="77777777" w:rsidR="00E22B49" w:rsidRPr="005B0846" w:rsidRDefault="00E22B49" w:rsidP="00060123">
            <w:pPr>
              <w:keepNext/>
              <w:jc w:val="center"/>
              <w:rPr>
                <w:rFonts w:ascii="Arial Narrow" w:hAnsi="Arial Narrow"/>
                <w:sz w:val="20"/>
                <w:szCs w:val="20"/>
              </w:rPr>
            </w:pPr>
          </w:p>
        </w:tc>
      </w:tr>
      <w:tr w:rsidR="00E22B49" w:rsidRPr="003F1D56" w14:paraId="2F1F94C1" w14:textId="77777777" w:rsidTr="00FC21AD">
        <w:tc>
          <w:tcPr>
            <w:tcW w:w="367" w:type="pct"/>
          </w:tcPr>
          <w:p w14:paraId="0E725ABE" w14:textId="77777777" w:rsidR="00E22B49" w:rsidRPr="00C81A88" w:rsidRDefault="00E22B49" w:rsidP="00060123">
            <w:pPr>
              <w:keepNext/>
              <w:rPr>
                <w:rFonts w:ascii="Arial Narrow" w:hAnsi="Arial Narrow"/>
                <w:sz w:val="20"/>
                <w:szCs w:val="20"/>
              </w:rPr>
            </w:pPr>
            <w:r w:rsidRPr="00C81A88">
              <w:rPr>
                <w:rFonts w:ascii="Arial Narrow" w:hAnsi="Arial Narrow"/>
                <w:sz w:val="20"/>
                <w:szCs w:val="20"/>
              </w:rPr>
              <w:t>UST Q8W</w:t>
            </w:r>
          </w:p>
        </w:tc>
        <w:tc>
          <w:tcPr>
            <w:tcW w:w="1609" w:type="pct"/>
            <w:vAlign w:val="center"/>
          </w:tcPr>
          <w:p w14:paraId="540FDFB2" w14:textId="77777777" w:rsidR="00E22B49" w:rsidRPr="00C81A88" w:rsidRDefault="00E22B49" w:rsidP="00060123">
            <w:pPr>
              <w:keepNext/>
              <w:jc w:val="left"/>
              <w:rPr>
                <w:rFonts w:ascii="Arial Narrow" w:hAnsi="Arial Narrow"/>
                <w:sz w:val="20"/>
                <w:szCs w:val="20"/>
              </w:rPr>
            </w:pPr>
            <w:r w:rsidRPr="00C81A88">
              <w:rPr>
                <w:rFonts w:ascii="Arial Narrow" w:hAnsi="Arial Narrow"/>
                <w:sz w:val="20"/>
                <w:szCs w:val="20"/>
              </w:rPr>
              <w:t>130 mg IV weight-</w:t>
            </w:r>
            <w:proofErr w:type="spellStart"/>
            <w:r w:rsidRPr="00C81A88">
              <w:rPr>
                <w:rFonts w:ascii="Arial Narrow" w:hAnsi="Arial Narrow"/>
                <w:sz w:val="20"/>
                <w:szCs w:val="20"/>
              </w:rPr>
              <w:t>based</w:t>
            </w:r>
            <w:r w:rsidRPr="00C81A88">
              <w:rPr>
                <w:rFonts w:ascii="Arial Narrow" w:hAnsi="Arial Narrow"/>
                <w:sz w:val="20"/>
                <w:szCs w:val="20"/>
                <w:vertAlign w:val="superscript"/>
              </w:rPr>
              <w:t>c</w:t>
            </w:r>
            <w:proofErr w:type="spellEnd"/>
            <w:r w:rsidRPr="00C81A88">
              <w:rPr>
                <w:rFonts w:ascii="Arial Narrow" w:hAnsi="Arial Narrow"/>
                <w:sz w:val="20"/>
                <w:szCs w:val="20"/>
              </w:rPr>
              <w:t xml:space="preserve"> </w:t>
            </w:r>
            <w:proofErr w:type="spellStart"/>
            <w:r w:rsidRPr="00C81A88">
              <w:rPr>
                <w:rFonts w:ascii="Arial Narrow" w:hAnsi="Arial Narrow"/>
                <w:sz w:val="20"/>
                <w:szCs w:val="20"/>
              </w:rPr>
              <w:t>wk</w:t>
            </w:r>
            <w:proofErr w:type="spellEnd"/>
            <w:r w:rsidRPr="00C81A88">
              <w:rPr>
                <w:rFonts w:ascii="Arial Narrow" w:hAnsi="Arial Narrow"/>
                <w:sz w:val="20"/>
                <w:szCs w:val="20"/>
              </w:rPr>
              <w:t xml:space="preserve"> 0, and 90 mg SC </w:t>
            </w:r>
            <w:proofErr w:type="spellStart"/>
            <w:r w:rsidRPr="00C81A88">
              <w:rPr>
                <w:rFonts w:ascii="Arial Narrow" w:hAnsi="Arial Narrow"/>
                <w:sz w:val="20"/>
                <w:szCs w:val="20"/>
              </w:rPr>
              <w:t>wk</w:t>
            </w:r>
            <w:proofErr w:type="spellEnd"/>
            <w:r w:rsidRPr="00C81A88">
              <w:rPr>
                <w:rFonts w:ascii="Arial Narrow" w:hAnsi="Arial Narrow"/>
                <w:sz w:val="20"/>
                <w:szCs w:val="20"/>
              </w:rPr>
              <w:t xml:space="preserve"> 8 induction -&gt; 90 mg SC Q8W maintenance</w:t>
            </w:r>
          </w:p>
        </w:tc>
        <w:tc>
          <w:tcPr>
            <w:tcW w:w="937" w:type="pct"/>
            <w:vAlign w:val="center"/>
          </w:tcPr>
          <w:p w14:paraId="7FE591D2" w14:textId="278065D5" w:rsidR="00DA6F4C" w:rsidRDefault="00E22B49" w:rsidP="00060123">
            <w:pPr>
              <w:keepNext/>
              <w:jc w:val="center"/>
              <w:rPr>
                <w:rFonts w:ascii="Arial Narrow" w:hAnsi="Arial Narrow"/>
                <w:sz w:val="20"/>
                <w:szCs w:val="20"/>
              </w:rPr>
            </w:pPr>
            <w:r w:rsidRPr="00C81A88">
              <w:rPr>
                <w:rFonts w:ascii="Arial Narrow" w:hAnsi="Arial Narrow"/>
                <w:sz w:val="20"/>
                <w:szCs w:val="20"/>
              </w:rPr>
              <w:t>130 mg IV: $</w:t>
            </w:r>
            <w:r w:rsidR="00E77A69" w:rsidRPr="004368E8">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4368E8">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9128F5">
              <w:rPr>
                <w:rFonts w:ascii="Arial Narrow" w:hAnsi="Arial Narrow"/>
                <w:sz w:val="20"/>
                <w:szCs w:val="20"/>
                <w:vertAlign w:val="superscript"/>
              </w:rPr>
              <w:t>f</w:t>
            </w:r>
            <w:r w:rsidRPr="00C81A88">
              <w:rPr>
                <w:rFonts w:ascii="Arial Narrow" w:hAnsi="Arial Narrow"/>
                <w:sz w:val="20"/>
                <w:szCs w:val="20"/>
              </w:rPr>
              <w:t xml:space="preserve"> </w:t>
            </w:r>
          </w:p>
          <w:p w14:paraId="73755D9F" w14:textId="2518123D" w:rsidR="00E22B49" w:rsidRPr="00264AEC" w:rsidRDefault="00DA6F4C" w:rsidP="00060123">
            <w:pPr>
              <w:keepNext/>
              <w:jc w:val="center"/>
              <w:rPr>
                <w:rFonts w:ascii="Arial Narrow" w:hAnsi="Arial Narrow"/>
                <w:sz w:val="20"/>
                <w:szCs w:val="20"/>
                <w:highlight w:val="yellow"/>
              </w:rPr>
            </w:pPr>
            <w:r>
              <w:rPr>
                <w:rFonts w:ascii="Arial Narrow" w:hAnsi="Arial Narrow"/>
                <w:sz w:val="20"/>
                <w:szCs w:val="20"/>
              </w:rPr>
              <w:t xml:space="preserve">45 mg </w:t>
            </w:r>
            <w:r w:rsidR="00E22B49" w:rsidRPr="00C81A88">
              <w:rPr>
                <w:rFonts w:ascii="Arial Narrow" w:hAnsi="Arial Narrow"/>
                <w:sz w:val="20"/>
                <w:szCs w:val="20"/>
              </w:rPr>
              <w:t>SC: $</w:t>
            </w:r>
            <w:r w:rsidR="00E77A69" w:rsidRPr="00C43AE7">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C43AE7">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9128F5">
              <w:rPr>
                <w:rFonts w:ascii="Arial Narrow" w:hAnsi="Arial Narrow"/>
                <w:sz w:val="20"/>
                <w:szCs w:val="20"/>
                <w:vertAlign w:val="superscript"/>
              </w:rPr>
              <w:t>f</w:t>
            </w:r>
          </w:p>
        </w:tc>
        <w:tc>
          <w:tcPr>
            <w:tcW w:w="947" w:type="pct"/>
            <w:vAlign w:val="center"/>
          </w:tcPr>
          <w:p w14:paraId="78959758" w14:textId="77777777" w:rsidR="00E22B49" w:rsidRPr="00264AEC" w:rsidRDefault="00E22B49" w:rsidP="00060123">
            <w:pPr>
              <w:keepNext/>
              <w:jc w:val="center"/>
              <w:rPr>
                <w:rFonts w:ascii="Arial Narrow" w:hAnsi="Arial Narrow"/>
                <w:sz w:val="20"/>
                <w:szCs w:val="20"/>
                <w:highlight w:val="yellow"/>
              </w:rPr>
            </w:pPr>
            <w:r w:rsidRPr="00C81A88">
              <w:rPr>
                <w:rFonts w:ascii="Arial Narrow" w:hAnsi="Arial Narrow"/>
                <w:sz w:val="20"/>
                <w:szCs w:val="20"/>
              </w:rPr>
              <w:t>1 IV (3 vials) + 12 SC</w:t>
            </w:r>
          </w:p>
        </w:tc>
        <w:tc>
          <w:tcPr>
            <w:tcW w:w="1141" w:type="pct"/>
            <w:vAlign w:val="center"/>
          </w:tcPr>
          <w:p w14:paraId="1AEDC808" w14:textId="714A31C3" w:rsidR="00E22B49" w:rsidRPr="00264AEC" w:rsidRDefault="00E22B49" w:rsidP="00060123">
            <w:pPr>
              <w:keepNext/>
              <w:jc w:val="center"/>
              <w:rPr>
                <w:rFonts w:ascii="Arial Narrow" w:hAnsi="Arial Narrow"/>
                <w:sz w:val="20"/>
                <w:szCs w:val="20"/>
                <w:highlight w:val="yellow"/>
              </w:rPr>
            </w:pPr>
            <w:r w:rsidRPr="00C81A88">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Pr="00C81A88">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Pr="00C81A88">
              <w:rPr>
                <w:rFonts w:ascii="Arial Narrow" w:hAnsi="Arial Narrow"/>
                <w:sz w:val="20"/>
                <w:szCs w:val="20"/>
                <w:vertAlign w:val="superscript"/>
              </w:rPr>
              <w:t>e</w:t>
            </w:r>
          </w:p>
        </w:tc>
      </w:tr>
      <w:tr w:rsidR="00E22B49" w:rsidRPr="003F1D56" w14:paraId="02B584A6" w14:textId="77777777" w:rsidTr="00FC21AD">
        <w:tc>
          <w:tcPr>
            <w:tcW w:w="367" w:type="pct"/>
          </w:tcPr>
          <w:p w14:paraId="2225B7A3" w14:textId="77777777" w:rsidR="00E22B49" w:rsidRPr="00E85DE7" w:rsidRDefault="00E22B49" w:rsidP="00060123">
            <w:pPr>
              <w:keepNext/>
              <w:rPr>
                <w:rFonts w:ascii="Arial Narrow" w:hAnsi="Arial Narrow"/>
                <w:sz w:val="20"/>
                <w:szCs w:val="20"/>
              </w:rPr>
            </w:pPr>
            <w:r w:rsidRPr="00E85DE7">
              <w:rPr>
                <w:rFonts w:ascii="Arial Narrow" w:hAnsi="Arial Narrow"/>
                <w:sz w:val="20"/>
                <w:szCs w:val="20"/>
              </w:rPr>
              <w:t>VDZ IV/SC</w:t>
            </w:r>
          </w:p>
        </w:tc>
        <w:tc>
          <w:tcPr>
            <w:tcW w:w="1609" w:type="pct"/>
            <w:vAlign w:val="center"/>
          </w:tcPr>
          <w:p w14:paraId="1C02B8C4" w14:textId="77777777" w:rsidR="00E22B49" w:rsidRPr="00E85DE7" w:rsidRDefault="00E22B49" w:rsidP="00060123">
            <w:pPr>
              <w:keepNext/>
              <w:jc w:val="left"/>
              <w:rPr>
                <w:rFonts w:ascii="Arial Narrow" w:hAnsi="Arial Narrow"/>
                <w:sz w:val="20"/>
                <w:szCs w:val="20"/>
              </w:rPr>
            </w:pPr>
            <w:r w:rsidRPr="00E85DE7">
              <w:rPr>
                <w:rFonts w:ascii="Arial Narrow" w:hAnsi="Arial Narrow"/>
                <w:sz w:val="20"/>
                <w:szCs w:val="20"/>
              </w:rPr>
              <w:t xml:space="preserve">300 mg IV </w:t>
            </w:r>
            <w:proofErr w:type="spellStart"/>
            <w:r w:rsidRPr="00E85DE7">
              <w:rPr>
                <w:rFonts w:ascii="Arial Narrow" w:hAnsi="Arial Narrow"/>
                <w:sz w:val="20"/>
                <w:szCs w:val="20"/>
              </w:rPr>
              <w:t>wk</w:t>
            </w:r>
            <w:proofErr w:type="spellEnd"/>
            <w:r w:rsidRPr="00E85DE7">
              <w:rPr>
                <w:rFonts w:ascii="Arial Narrow" w:hAnsi="Arial Narrow"/>
                <w:sz w:val="20"/>
                <w:szCs w:val="20"/>
              </w:rPr>
              <w:t xml:space="preserve"> 0, 2, then 108 mg SC </w:t>
            </w:r>
            <w:proofErr w:type="spellStart"/>
            <w:r w:rsidRPr="00E85DE7">
              <w:rPr>
                <w:rFonts w:ascii="Arial Narrow" w:hAnsi="Arial Narrow"/>
                <w:sz w:val="20"/>
                <w:szCs w:val="20"/>
              </w:rPr>
              <w:t>wk</w:t>
            </w:r>
            <w:proofErr w:type="spellEnd"/>
            <w:r w:rsidRPr="00E85DE7">
              <w:rPr>
                <w:rFonts w:ascii="Arial Narrow" w:hAnsi="Arial Narrow"/>
                <w:sz w:val="20"/>
                <w:szCs w:val="20"/>
              </w:rPr>
              <w:t xml:space="preserve"> 6, 8, 10, 12, 14, 16 induction -&gt; 108mg SC Q2W maintenance</w:t>
            </w:r>
          </w:p>
        </w:tc>
        <w:tc>
          <w:tcPr>
            <w:tcW w:w="937" w:type="pct"/>
            <w:vAlign w:val="center"/>
          </w:tcPr>
          <w:p w14:paraId="72ECFBF3" w14:textId="45C057DD" w:rsidR="00F9040D" w:rsidRPr="00E85DE7" w:rsidRDefault="00F9040D" w:rsidP="00060123">
            <w:pPr>
              <w:keepNext/>
              <w:jc w:val="center"/>
              <w:rPr>
                <w:rFonts w:ascii="Arial Narrow" w:hAnsi="Arial Narrow"/>
                <w:sz w:val="20"/>
                <w:szCs w:val="20"/>
              </w:rPr>
            </w:pPr>
            <w:r w:rsidRPr="00E85DE7">
              <w:rPr>
                <w:rFonts w:ascii="Arial Narrow" w:hAnsi="Arial Narrow"/>
                <w:sz w:val="20"/>
                <w:szCs w:val="20"/>
              </w:rPr>
              <w:t>300 mg IV: $</w:t>
            </w:r>
            <w:r w:rsidR="00D73EA6" w:rsidRPr="00D73EA6">
              <w:rPr>
                <w:rFonts w:ascii="Arial Narrow" w:hAnsi="Arial Narrow"/>
                <w:color w:val="000000"/>
                <w:spacing w:val="80"/>
                <w:sz w:val="20"/>
                <w:szCs w:val="20"/>
                <w:shd w:val="solid" w:color="000000" w:fill="000000"/>
                <w:fitText w:val="413" w:id="-623647488"/>
                <w14:textFill>
                  <w14:solidFill>
                    <w14:srgbClr w14:val="000000">
                      <w14:alpha w14:val="100000"/>
                    </w14:srgbClr>
                  </w14:solidFill>
                </w14:textFill>
              </w:rPr>
              <w:t>|||</w:t>
            </w:r>
            <w:r w:rsidR="00D73EA6" w:rsidRPr="00D73EA6">
              <w:rPr>
                <w:rFonts w:ascii="Arial Narrow" w:hAnsi="Arial Narrow"/>
                <w:color w:val="000000"/>
                <w:spacing w:val="3"/>
                <w:sz w:val="20"/>
                <w:szCs w:val="20"/>
                <w:shd w:val="solid" w:color="000000" w:fill="000000"/>
                <w:fitText w:val="413" w:id="-623647488"/>
                <w14:textFill>
                  <w14:solidFill>
                    <w14:srgbClr w14:val="000000">
                      <w14:alpha w14:val="100000"/>
                    </w14:srgbClr>
                  </w14:solidFill>
                </w14:textFill>
              </w:rPr>
              <w:t>|</w:t>
            </w:r>
            <w:r w:rsidRPr="00E85DE7">
              <w:rPr>
                <w:rFonts w:ascii="Arial Narrow" w:hAnsi="Arial Narrow"/>
                <w:sz w:val="20"/>
                <w:szCs w:val="20"/>
                <w:vertAlign w:val="superscript"/>
              </w:rPr>
              <w:t>g</w:t>
            </w:r>
          </w:p>
          <w:p w14:paraId="0A691CBC" w14:textId="5099548D"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2 x 108 mg SC: $</w:t>
            </w:r>
            <w:r w:rsidR="00D73EA6" w:rsidRPr="00D73EA6">
              <w:rPr>
                <w:rFonts w:ascii="Arial Narrow" w:hAnsi="Arial Narrow"/>
                <w:color w:val="000000"/>
                <w:spacing w:val="80"/>
                <w:sz w:val="20"/>
                <w:szCs w:val="20"/>
                <w:shd w:val="solid" w:color="000000" w:fill="000000"/>
                <w:fitText w:val="413" w:id="-623647487"/>
                <w14:textFill>
                  <w14:solidFill>
                    <w14:srgbClr w14:val="000000">
                      <w14:alpha w14:val="100000"/>
                    </w14:srgbClr>
                  </w14:solidFill>
                </w14:textFill>
              </w:rPr>
              <w:t>|||</w:t>
            </w:r>
            <w:r w:rsidR="00D73EA6" w:rsidRPr="00D73EA6">
              <w:rPr>
                <w:rFonts w:ascii="Arial Narrow" w:hAnsi="Arial Narrow"/>
                <w:color w:val="000000"/>
                <w:spacing w:val="3"/>
                <w:sz w:val="20"/>
                <w:szCs w:val="20"/>
                <w:shd w:val="solid" w:color="000000" w:fill="000000"/>
                <w:fitText w:val="413" w:id="-623647487"/>
                <w14:textFill>
                  <w14:solidFill>
                    <w14:srgbClr w14:val="000000">
                      <w14:alpha w14:val="100000"/>
                    </w14:srgbClr>
                  </w14:solidFill>
                </w14:textFill>
              </w:rPr>
              <w:t>|</w:t>
            </w:r>
            <w:r w:rsidRPr="00E85DE7">
              <w:rPr>
                <w:rFonts w:ascii="Arial Narrow" w:hAnsi="Arial Narrow"/>
                <w:sz w:val="20"/>
                <w:szCs w:val="20"/>
                <w:vertAlign w:val="superscript"/>
              </w:rPr>
              <w:t>g</w:t>
            </w:r>
          </w:p>
        </w:tc>
        <w:tc>
          <w:tcPr>
            <w:tcW w:w="947" w:type="pct"/>
            <w:vAlign w:val="center"/>
          </w:tcPr>
          <w:p w14:paraId="7D800C5F" w14:textId="77777777"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2 IV + 49 SC</w:t>
            </w:r>
          </w:p>
        </w:tc>
        <w:tc>
          <w:tcPr>
            <w:tcW w:w="1141" w:type="pct"/>
            <w:vAlign w:val="center"/>
          </w:tcPr>
          <w:p w14:paraId="553BC2B8" w14:textId="0194B172"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w:t>
            </w:r>
            <w:r w:rsidR="00D73EA6" w:rsidRPr="00D73EA6">
              <w:rPr>
                <w:rFonts w:ascii="Arial Narrow" w:hAnsi="Arial Narrow"/>
                <w:color w:val="000000"/>
                <w:spacing w:val="42"/>
                <w:sz w:val="20"/>
                <w:szCs w:val="20"/>
                <w:shd w:val="solid" w:color="000000" w:fill="000000"/>
                <w:fitText w:val="639" w:id="-623647486"/>
                <w14:textFill>
                  <w14:solidFill>
                    <w14:srgbClr w14:val="000000">
                      <w14:alpha w14:val="100000"/>
                    </w14:srgbClr>
                  </w14:solidFill>
                </w14:textFill>
              </w:rPr>
              <w:t>|||||||</w:t>
            </w:r>
            <w:r w:rsidR="00D73EA6" w:rsidRPr="00D73EA6">
              <w:rPr>
                <w:rFonts w:ascii="Arial Narrow" w:hAnsi="Arial Narrow"/>
                <w:color w:val="000000"/>
                <w:spacing w:val="5"/>
                <w:sz w:val="20"/>
                <w:szCs w:val="20"/>
                <w:shd w:val="solid" w:color="000000" w:fill="000000"/>
                <w:fitText w:val="639" w:id="-623647486"/>
                <w14:textFill>
                  <w14:solidFill>
                    <w14:srgbClr w14:val="000000">
                      <w14:alpha w14:val="100000"/>
                    </w14:srgbClr>
                  </w14:solidFill>
                </w14:textFill>
              </w:rPr>
              <w:t>|</w:t>
            </w:r>
          </w:p>
          <w:p w14:paraId="34678712" w14:textId="747D8502"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w:t>
            </w:r>
            <w:r w:rsidR="00121B17" w:rsidRPr="00121B17">
              <w:rPr>
                <w:rFonts w:ascii="Arial Narrow" w:hAnsi="Arial Narrow"/>
                <w:color w:val="000000"/>
                <w:spacing w:val="42"/>
                <w:sz w:val="20"/>
                <w:szCs w:val="20"/>
                <w:shd w:val="solid" w:color="000000" w:fill="000000"/>
                <w:fitText w:val="639" w:id="-623647485"/>
                <w14:textFill>
                  <w14:solidFill>
                    <w14:srgbClr w14:val="000000">
                      <w14:alpha w14:val="100000"/>
                    </w14:srgbClr>
                  </w14:solidFill>
                </w14:textFill>
              </w:rPr>
              <w:t>|||||||</w:t>
            </w:r>
            <w:r w:rsidR="00121B17" w:rsidRPr="00121B17">
              <w:rPr>
                <w:rFonts w:ascii="Arial Narrow" w:hAnsi="Arial Narrow"/>
                <w:color w:val="000000"/>
                <w:spacing w:val="5"/>
                <w:sz w:val="20"/>
                <w:szCs w:val="20"/>
                <w:shd w:val="solid" w:color="000000" w:fill="000000"/>
                <w:fitText w:val="639" w:id="-623647485"/>
                <w14:textFill>
                  <w14:solidFill>
                    <w14:srgbClr w14:val="000000">
                      <w14:alpha w14:val="100000"/>
                    </w14:srgbClr>
                  </w14:solidFill>
                </w14:textFill>
              </w:rPr>
              <w:t>|</w:t>
            </w:r>
            <w:r w:rsidRPr="00E85DE7">
              <w:rPr>
                <w:rFonts w:ascii="Arial Narrow" w:hAnsi="Arial Narrow"/>
                <w:sz w:val="20"/>
                <w:szCs w:val="20"/>
                <w:vertAlign w:val="superscript"/>
              </w:rPr>
              <w:t>e</w:t>
            </w:r>
          </w:p>
        </w:tc>
      </w:tr>
      <w:tr w:rsidR="00E22B49" w:rsidRPr="003F1D56" w14:paraId="225892EC" w14:textId="77777777" w:rsidTr="00FC21AD">
        <w:tc>
          <w:tcPr>
            <w:tcW w:w="367" w:type="pct"/>
          </w:tcPr>
          <w:p w14:paraId="08AE963F" w14:textId="77777777" w:rsidR="00E22B49" w:rsidRPr="00E85DE7" w:rsidRDefault="00E22B49" w:rsidP="00060123">
            <w:pPr>
              <w:keepNext/>
              <w:rPr>
                <w:rFonts w:ascii="Arial Narrow" w:hAnsi="Arial Narrow"/>
                <w:sz w:val="20"/>
                <w:szCs w:val="20"/>
              </w:rPr>
            </w:pPr>
            <w:r w:rsidRPr="00E85DE7">
              <w:rPr>
                <w:rFonts w:ascii="Arial Narrow" w:hAnsi="Arial Narrow"/>
                <w:sz w:val="20"/>
                <w:szCs w:val="20"/>
              </w:rPr>
              <w:t>VDZ IV</w:t>
            </w:r>
          </w:p>
        </w:tc>
        <w:tc>
          <w:tcPr>
            <w:tcW w:w="1609" w:type="pct"/>
            <w:vAlign w:val="center"/>
          </w:tcPr>
          <w:p w14:paraId="2CC69C5F" w14:textId="77777777" w:rsidR="00E22B49" w:rsidRPr="00E85DE7" w:rsidRDefault="00E22B49" w:rsidP="00060123">
            <w:pPr>
              <w:keepNext/>
              <w:jc w:val="left"/>
              <w:rPr>
                <w:rFonts w:ascii="Arial Narrow" w:hAnsi="Arial Narrow"/>
                <w:sz w:val="20"/>
                <w:szCs w:val="20"/>
              </w:rPr>
            </w:pPr>
            <w:r w:rsidRPr="00E85DE7">
              <w:rPr>
                <w:rFonts w:ascii="Arial Narrow" w:hAnsi="Arial Narrow"/>
                <w:sz w:val="20"/>
                <w:szCs w:val="20"/>
              </w:rPr>
              <w:t xml:space="preserve">300 mg IV </w:t>
            </w:r>
            <w:proofErr w:type="spellStart"/>
            <w:r w:rsidRPr="00E85DE7">
              <w:rPr>
                <w:rFonts w:ascii="Arial Narrow" w:hAnsi="Arial Narrow"/>
                <w:sz w:val="20"/>
                <w:szCs w:val="20"/>
              </w:rPr>
              <w:t>wk</w:t>
            </w:r>
            <w:proofErr w:type="spellEnd"/>
            <w:r w:rsidRPr="00E85DE7">
              <w:rPr>
                <w:rFonts w:ascii="Arial Narrow" w:hAnsi="Arial Narrow"/>
                <w:sz w:val="20"/>
                <w:szCs w:val="20"/>
              </w:rPr>
              <w:t xml:space="preserve"> 0, 2, 6, induction -&gt; 300 mg IV Q8W maintenance</w:t>
            </w:r>
          </w:p>
        </w:tc>
        <w:tc>
          <w:tcPr>
            <w:tcW w:w="937" w:type="pct"/>
            <w:vAlign w:val="center"/>
          </w:tcPr>
          <w:p w14:paraId="257CB5F7" w14:textId="54701839"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300 mg IV: $931.33</w:t>
            </w:r>
            <w:r w:rsidRPr="00E85DE7">
              <w:rPr>
                <w:rFonts w:ascii="Arial Narrow" w:hAnsi="Arial Narrow"/>
                <w:sz w:val="20"/>
                <w:szCs w:val="20"/>
                <w:vertAlign w:val="superscript"/>
              </w:rPr>
              <w:t>g</w:t>
            </w:r>
          </w:p>
        </w:tc>
        <w:tc>
          <w:tcPr>
            <w:tcW w:w="947" w:type="pct"/>
            <w:vAlign w:val="center"/>
          </w:tcPr>
          <w:p w14:paraId="3C5D8A6A" w14:textId="77777777"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14.25 IV</w:t>
            </w:r>
          </w:p>
        </w:tc>
        <w:tc>
          <w:tcPr>
            <w:tcW w:w="1141" w:type="pct"/>
            <w:vAlign w:val="center"/>
          </w:tcPr>
          <w:p w14:paraId="285D2521" w14:textId="77777777"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$13,271.45</w:t>
            </w:r>
          </w:p>
          <w:p w14:paraId="6B93DB7F" w14:textId="4DDEF5B2"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$14,623.78</w:t>
            </w:r>
            <w:r w:rsidRPr="00E85DE7">
              <w:rPr>
                <w:rFonts w:ascii="Arial Narrow" w:hAnsi="Arial Narrow"/>
                <w:sz w:val="20"/>
                <w:szCs w:val="20"/>
                <w:vertAlign w:val="superscript"/>
              </w:rPr>
              <w:t>e</w:t>
            </w:r>
          </w:p>
        </w:tc>
      </w:tr>
      <w:tr w:rsidR="00E22B49" w:rsidRPr="003F1D56" w14:paraId="4FCB963B" w14:textId="77777777" w:rsidTr="00FC21AD">
        <w:tc>
          <w:tcPr>
            <w:tcW w:w="367" w:type="pct"/>
            <w:vMerge w:val="restart"/>
          </w:tcPr>
          <w:p w14:paraId="3B091DE8" w14:textId="77777777" w:rsidR="00E22B49" w:rsidRPr="003F1D56" w:rsidRDefault="00E22B49" w:rsidP="00060123">
            <w:pPr>
              <w:keepNext/>
              <w:rPr>
                <w:rFonts w:ascii="Arial Narrow" w:hAnsi="Arial Narrow"/>
                <w:sz w:val="20"/>
                <w:szCs w:val="20"/>
              </w:rPr>
            </w:pPr>
            <w:r w:rsidRPr="003F1D56">
              <w:rPr>
                <w:rFonts w:ascii="Arial Narrow" w:hAnsi="Arial Narrow"/>
                <w:sz w:val="20"/>
                <w:szCs w:val="20"/>
              </w:rPr>
              <w:t>UPA</w:t>
            </w:r>
          </w:p>
        </w:tc>
        <w:tc>
          <w:tcPr>
            <w:tcW w:w="1609" w:type="pct"/>
            <w:vMerge w:val="restart"/>
            <w:vAlign w:val="center"/>
          </w:tcPr>
          <w:p w14:paraId="67CD33A2" w14:textId="77777777" w:rsidR="00E22B49" w:rsidRPr="003F1D56" w:rsidRDefault="00E22B49" w:rsidP="00060123">
            <w:pPr>
              <w:keepNext/>
              <w:jc w:val="left"/>
              <w:rPr>
                <w:rFonts w:ascii="Arial Narrow" w:hAnsi="Arial Narrow"/>
                <w:sz w:val="20"/>
                <w:szCs w:val="20"/>
              </w:rPr>
            </w:pPr>
            <w:r w:rsidRPr="003F1D56">
              <w:rPr>
                <w:rFonts w:ascii="Arial Narrow" w:hAnsi="Arial Narrow"/>
                <w:sz w:val="20"/>
                <w:szCs w:val="20"/>
              </w:rPr>
              <w:t>45 mg D induction -&gt; 30 mg D maintenance</w:t>
            </w:r>
          </w:p>
        </w:tc>
        <w:tc>
          <w:tcPr>
            <w:tcW w:w="937" w:type="pct"/>
            <w:vAlign w:val="center"/>
          </w:tcPr>
          <w:p w14:paraId="06DA3AF5" w14:textId="096A479E"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45 mg oral (28 tablets): $</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Pr>
                <w:rFonts w:ascii="Arial Narrow" w:hAnsi="Arial Narrow"/>
                <w:sz w:val="20"/>
                <w:szCs w:val="20"/>
                <w:vertAlign w:val="superscript"/>
              </w:rPr>
              <w:t>h</w:t>
            </w:r>
          </w:p>
        </w:tc>
        <w:tc>
          <w:tcPr>
            <w:tcW w:w="947" w:type="pct"/>
            <w:vAlign w:val="center"/>
          </w:tcPr>
          <w:p w14:paraId="7D148910" w14:textId="77777777"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26</w:t>
            </w:r>
          </w:p>
        </w:tc>
        <w:tc>
          <w:tcPr>
            <w:tcW w:w="1141" w:type="pct"/>
            <w:vAlign w:val="center"/>
          </w:tcPr>
          <w:p w14:paraId="17DB36A2" w14:textId="482C6724"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p>
        </w:tc>
      </w:tr>
      <w:tr w:rsidR="00E22B49" w:rsidRPr="003F1D56" w14:paraId="21EEAE74" w14:textId="77777777" w:rsidTr="00FC21AD">
        <w:tc>
          <w:tcPr>
            <w:tcW w:w="367" w:type="pct"/>
            <w:vMerge/>
          </w:tcPr>
          <w:p w14:paraId="504F23CF" w14:textId="77777777" w:rsidR="00E22B49" w:rsidRPr="003F1D56" w:rsidRDefault="00E22B49" w:rsidP="00060123">
            <w:pPr>
              <w:keepNext/>
              <w:rPr>
                <w:rFonts w:ascii="Arial Narrow" w:hAnsi="Arial Narrow"/>
                <w:sz w:val="20"/>
                <w:szCs w:val="20"/>
              </w:rPr>
            </w:pPr>
          </w:p>
        </w:tc>
        <w:tc>
          <w:tcPr>
            <w:tcW w:w="1609" w:type="pct"/>
            <w:vMerge/>
            <w:vAlign w:val="center"/>
          </w:tcPr>
          <w:p w14:paraId="071D95E4" w14:textId="77777777" w:rsidR="00E22B49" w:rsidRPr="003F1D56" w:rsidRDefault="00E22B49" w:rsidP="00060123">
            <w:pPr>
              <w:keepNext/>
              <w:jc w:val="left"/>
              <w:rPr>
                <w:rFonts w:ascii="Arial Narrow" w:hAnsi="Arial Narrow"/>
                <w:sz w:val="20"/>
                <w:szCs w:val="20"/>
              </w:rPr>
            </w:pPr>
          </w:p>
        </w:tc>
        <w:tc>
          <w:tcPr>
            <w:tcW w:w="937" w:type="pct"/>
            <w:vAlign w:val="center"/>
          </w:tcPr>
          <w:p w14:paraId="0ABDE8F3" w14:textId="007B79AE"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30 mg oral (28 tablets): $</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Pr>
                <w:rFonts w:ascii="Arial Narrow" w:hAnsi="Arial Narrow"/>
                <w:sz w:val="20"/>
                <w:szCs w:val="20"/>
                <w:vertAlign w:val="superscript"/>
              </w:rPr>
              <w:t>h</w:t>
            </w:r>
          </w:p>
        </w:tc>
        <w:tc>
          <w:tcPr>
            <w:tcW w:w="947" w:type="pct"/>
            <w:vAlign w:val="center"/>
          </w:tcPr>
          <w:p w14:paraId="329E5964" w14:textId="77777777"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26</w:t>
            </w:r>
          </w:p>
        </w:tc>
        <w:tc>
          <w:tcPr>
            <w:tcW w:w="1141" w:type="pct"/>
            <w:vAlign w:val="center"/>
          </w:tcPr>
          <w:p w14:paraId="7FD8241F" w14:textId="37C04AD0"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p>
        </w:tc>
      </w:tr>
      <w:tr w:rsidR="00E22B49" w:rsidRPr="003F38F8" w14:paraId="7E40D178" w14:textId="77777777" w:rsidTr="00FC21AD">
        <w:tc>
          <w:tcPr>
            <w:tcW w:w="367" w:type="pct"/>
            <w:vMerge/>
          </w:tcPr>
          <w:p w14:paraId="5CA74EE9" w14:textId="77777777" w:rsidR="00E22B49" w:rsidRPr="003F1D56" w:rsidRDefault="00E22B49" w:rsidP="00060123">
            <w:pPr>
              <w:keepNext/>
              <w:rPr>
                <w:rFonts w:ascii="Arial Narrow" w:hAnsi="Arial Narrow"/>
                <w:sz w:val="20"/>
                <w:szCs w:val="20"/>
              </w:rPr>
            </w:pPr>
          </w:p>
        </w:tc>
        <w:tc>
          <w:tcPr>
            <w:tcW w:w="1609" w:type="pct"/>
            <w:vAlign w:val="center"/>
          </w:tcPr>
          <w:p w14:paraId="198B3862" w14:textId="77777777" w:rsidR="00E22B49" w:rsidRPr="003F1D56" w:rsidRDefault="00E22B49" w:rsidP="00060123">
            <w:pPr>
              <w:keepNext/>
              <w:jc w:val="left"/>
              <w:rPr>
                <w:rFonts w:ascii="Arial Narrow" w:hAnsi="Arial Narrow"/>
                <w:sz w:val="20"/>
                <w:szCs w:val="20"/>
              </w:rPr>
            </w:pPr>
            <w:r w:rsidRPr="003F1D56">
              <w:rPr>
                <w:rFonts w:ascii="Arial Narrow" w:hAnsi="Arial Narrow"/>
                <w:sz w:val="20"/>
                <w:szCs w:val="20"/>
              </w:rPr>
              <w:t>45 mg D induction -&gt; 15 mg D maintenance</w:t>
            </w:r>
          </w:p>
        </w:tc>
        <w:tc>
          <w:tcPr>
            <w:tcW w:w="937" w:type="pct"/>
            <w:vAlign w:val="center"/>
          </w:tcPr>
          <w:p w14:paraId="24DCEE9C" w14:textId="32684994"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15 mg oral (28 tablets): $</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Pr>
                <w:rFonts w:ascii="Arial Narrow" w:hAnsi="Arial Narrow"/>
                <w:sz w:val="20"/>
                <w:szCs w:val="20"/>
                <w:vertAlign w:val="superscript"/>
              </w:rPr>
              <w:t>h</w:t>
            </w:r>
          </w:p>
        </w:tc>
        <w:tc>
          <w:tcPr>
            <w:tcW w:w="947" w:type="pct"/>
            <w:vAlign w:val="center"/>
          </w:tcPr>
          <w:p w14:paraId="4ABAA0ED" w14:textId="77777777"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26</w:t>
            </w:r>
          </w:p>
        </w:tc>
        <w:tc>
          <w:tcPr>
            <w:tcW w:w="1141" w:type="pct"/>
            <w:vAlign w:val="center"/>
          </w:tcPr>
          <w:p w14:paraId="74BC7E29" w14:textId="6AF60C73"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w:t>
            </w:r>
            <w:r w:rsidR="00E77A69" w:rsidRPr="00060123">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00E77A69" w:rsidRPr="00060123">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p>
        </w:tc>
      </w:tr>
    </w:tbl>
    <w:p w14:paraId="17B0DC10" w14:textId="77777777" w:rsidR="002805A0" w:rsidRPr="003F38F8" w:rsidRDefault="002805A0" w:rsidP="002805A0">
      <w:pPr>
        <w:rPr>
          <w:rFonts w:ascii="Arial Narrow" w:hAnsi="Arial Narrow"/>
          <w:sz w:val="18"/>
          <w:szCs w:val="18"/>
        </w:rPr>
      </w:pPr>
      <w:r w:rsidRPr="003F38F8">
        <w:rPr>
          <w:rFonts w:ascii="Arial Narrow" w:hAnsi="Arial Narrow"/>
          <w:sz w:val="18"/>
          <w:szCs w:val="18"/>
        </w:rPr>
        <w:t>Source: constructed during the evaluation based on Attachment 3.1 Guselkumab CD Economic Model.xlsx.</w:t>
      </w:r>
    </w:p>
    <w:p w14:paraId="76F701D7" w14:textId="77777777" w:rsidR="002805A0" w:rsidRPr="003F38F8" w:rsidRDefault="002805A0" w:rsidP="002805A0">
      <w:pPr>
        <w:rPr>
          <w:rFonts w:ascii="Arial Narrow" w:hAnsi="Arial Narrow"/>
          <w:sz w:val="18"/>
          <w:szCs w:val="18"/>
        </w:rPr>
      </w:pPr>
      <w:r w:rsidRPr="003F38F8">
        <w:rPr>
          <w:rFonts w:ascii="Arial Narrow" w:hAnsi="Arial Narrow"/>
          <w:sz w:val="18"/>
          <w:szCs w:val="18"/>
        </w:rPr>
        <w:t xml:space="preserve">ADA=adalimumab; PFP=pre-filled pen; PFS=pre-filled syringe; GUS=guselkumab; IFX=infliximab; IV=intravenous; SC=subcutaneous; UPA=upadacitinib; UST=ustekinumab; VDZ=vedolizumab; D=daily; </w:t>
      </w:r>
      <w:proofErr w:type="spellStart"/>
      <w:r w:rsidRPr="003F38F8">
        <w:rPr>
          <w:rFonts w:ascii="Arial Narrow" w:hAnsi="Arial Narrow"/>
          <w:sz w:val="18"/>
          <w:szCs w:val="18"/>
        </w:rPr>
        <w:t>QxW</w:t>
      </w:r>
      <w:proofErr w:type="spellEnd"/>
      <w:r w:rsidRPr="003F38F8">
        <w:rPr>
          <w:rFonts w:ascii="Arial Narrow" w:hAnsi="Arial Narrow"/>
          <w:sz w:val="18"/>
          <w:szCs w:val="18"/>
        </w:rPr>
        <w:t xml:space="preserve">=every x week; </w:t>
      </w:r>
    </w:p>
    <w:p w14:paraId="7D0E7F80" w14:textId="0AE25240" w:rsidR="002805A0" w:rsidRDefault="002805A0" w:rsidP="002805A0">
      <w:pPr>
        <w:rPr>
          <w:rFonts w:ascii="Arial Narrow" w:hAnsi="Arial Narrow"/>
          <w:sz w:val="18"/>
          <w:szCs w:val="18"/>
        </w:rPr>
      </w:pPr>
      <w:r>
        <w:rPr>
          <w:rFonts w:ascii="Arial Narrow" w:hAnsi="Arial Narrow"/>
          <w:sz w:val="18"/>
          <w:szCs w:val="18"/>
        </w:rPr>
        <w:t>a</w:t>
      </w:r>
      <w:r>
        <w:rPr>
          <w:rFonts w:ascii="Arial Narrow" w:hAnsi="Arial Narrow"/>
          <w:sz w:val="18"/>
          <w:szCs w:val="18"/>
        </w:rPr>
        <w:tab/>
      </w:r>
      <w:r w:rsidR="00326296" w:rsidRPr="00326296">
        <w:rPr>
          <w:rFonts w:ascii="Arial Narrow" w:hAnsi="Arial Narrow"/>
          <w:sz w:val="18"/>
          <w:szCs w:val="18"/>
        </w:rPr>
        <w:t>As IFX and ADA are on F2 formulary, their effective prices are assumed to be the published prices</w:t>
      </w:r>
      <w:r w:rsidR="00326296">
        <w:rPr>
          <w:rFonts w:ascii="Arial Narrow" w:hAnsi="Arial Narrow"/>
          <w:sz w:val="18"/>
          <w:szCs w:val="18"/>
        </w:rPr>
        <w:t>.</w:t>
      </w:r>
    </w:p>
    <w:p w14:paraId="303E4F02" w14:textId="194375C4" w:rsidR="002805A0" w:rsidRDefault="002805A0" w:rsidP="002805A0">
      <w:pPr>
        <w:rPr>
          <w:rFonts w:ascii="Arial Narrow" w:hAnsi="Arial Narrow"/>
          <w:sz w:val="18"/>
          <w:szCs w:val="18"/>
        </w:rPr>
      </w:pPr>
      <w:r>
        <w:rPr>
          <w:rFonts w:ascii="Arial Narrow" w:hAnsi="Arial Narrow"/>
          <w:sz w:val="18"/>
          <w:szCs w:val="18"/>
        </w:rPr>
        <w:t>b</w:t>
      </w:r>
      <w:r>
        <w:rPr>
          <w:rFonts w:ascii="Arial Narrow" w:hAnsi="Arial Narrow"/>
          <w:sz w:val="18"/>
          <w:szCs w:val="18"/>
        </w:rPr>
        <w:tab/>
      </w:r>
      <w:r w:rsidR="00E22B49">
        <w:rPr>
          <w:rFonts w:ascii="Arial Narrow" w:hAnsi="Arial Narrow"/>
          <w:sz w:val="18"/>
          <w:szCs w:val="18"/>
        </w:rPr>
        <w:t>PBS Continuing.</w:t>
      </w:r>
    </w:p>
    <w:p w14:paraId="6169BCCB" w14:textId="77777777" w:rsidR="002805A0" w:rsidRDefault="002805A0" w:rsidP="005E2BF3">
      <w:pPr>
        <w:ind w:left="165" w:hanging="165"/>
        <w:rPr>
          <w:rFonts w:ascii="Arial Narrow" w:hAnsi="Arial Narrow"/>
          <w:sz w:val="18"/>
          <w:szCs w:val="18"/>
        </w:rPr>
      </w:pPr>
      <w:r>
        <w:rPr>
          <w:rFonts w:ascii="Arial Narrow" w:hAnsi="Arial Narrow"/>
          <w:sz w:val="18"/>
          <w:szCs w:val="18"/>
        </w:rPr>
        <w:t>c</w:t>
      </w:r>
      <w:r>
        <w:rPr>
          <w:rFonts w:ascii="Arial Narrow" w:hAnsi="Arial Narrow"/>
          <w:sz w:val="18"/>
          <w:szCs w:val="18"/>
        </w:rPr>
        <w:tab/>
        <w:t>UST infusion solution composed of number of 130 mg vials by patient b</w:t>
      </w:r>
      <w:r w:rsidRPr="001E4ED4">
        <w:rPr>
          <w:rFonts w:ascii="Arial Narrow" w:hAnsi="Arial Narrow"/>
          <w:sz w:val="18"/>
          <w:szCs w:val="18"/>
        </w:rPr>
        <w:t xml:space="preserve">ody </w:t>
      </w:r>
      <w:r>
        <w:rPr>
          <w:rFonts w:ascii="Arial Narrow" w:hAnsi="Arial Narrow"/>
          <w:sz w:val="18"/>
          <w:szCs w:val="18"/>
        </w:rPr>
        <w:t>w</w:t>
      </w:r>
      <w:r w:rsidRPr="001E4ED4">
        <w:rPr>
          <w:rFonts w:ascii="Arial Narrow" w:hAnsi="Arial Narrow"/>
          <w:sz w:val="18"/>
          <w:szCs w:val="18"/>
        </w:rPr>
        <w:t>eight</w:t>
      </w:r>
      <w:r>
        <w:rPr>
          <w:rFonts w:ascii="Arial Narrow" w:hAnsi="Arial Narrow"/>
          <w:sz w:val="18"/>
          <w:szCs w:val="18"/>
        </w:rPr>
        <w:t>: ≤55kg at dose 260 mg (2 vials x 130 mg UST), &gt;55 kg to ≤85 kg at 390 mg (3 vials x 130 mg UST) and &gt;85 kg at 520 mg (4 vials x 130 mg UST).</w:t>
      </w:r>
    </w:p>
    <w:p w14:paraId="307C9303" w14:textId="77777777" w:rsidR="002805A0" w:rsidRDefault="002805A0" w:rsidP="002805A0">
      <w:pPr>
        <w:rPr>
          <w:rFonts w:ascii="Arial Narrow" w:hAnsi="Arial Narrow"/>
          <w:sz w:val="18"/>
          <w:szCs w:val="18"/>
        </w:rPr>
      </w:pPr>
      <w:r>
        <w:rPr>
          <w:rFonts w:ascii="Arial Narrow" w:hAnsi="Arial Narrow"/>
          <w:sz w:val="18"/>
          <w:szCs w:val="18"/>
        </w:rPr>
        <w:t>d</w:t>
      </w:r>
      <w:r>
        <w:rPr>
          <w:rFonts w:ascii="Arial Narrow" w:hAnsi="Arial Narrow"/>
          <w:sz w:val="18"/>
          <w:szCs w:val="18"/>
        </w:rPr>
        <w:tab/>
        <w:t>T</w:t>
      </w:r>
      <w:r w:rsidRPr="00B00F67">
        <w:rPr>
          <w:rFonts w:ascii="Arial Narrow" w:hAnsi="Arial Narrow"/>
          <w:sz w:val="18"/>
          <w:szCs w:val="18"/>
        </w:rPr>
        <w:t>h</w:t>
      </w:r>
      <w:r>
        <w:rPr>
          <w:rFonts w:ascii="Arial Narrow" w:hAnsi="Arial Narrow"/>
          <w:sz w:val="18"/>
          <w:szCs w:val="18"/>
        </w:rPr>
        <w:t>e</w:t>
      </w:r>
      <w:r w:rsidRPr="00B00F67">
        <w:rPr>
          <w:rFonts w:ascii="Arial Narrow" w:hAnsi="Arial Narrow"/>
          <w:sz w:val="18"/>
          <w:szCs w:val="18"/>
        </w:rPr>
        <w:t xml:space="preserve"> submission </w:t>
      </w:r>
      <w:r>
        <w:rPr>
          <w:rFonts w:ascii="Arial Narrow" w:hAnsi="Arial Narrow"/>
          <w:sz w:val="18"/>
          <w:szCs w:val="18"/>
        </w:rPr>
        <w:t>assumed an</w:t>
      </w:r>
      <w:r w:rsidRPr="00B00F67">
        <w:rPr>
          <w:rFonts w:ascii="Arial Narrow" w:hAnsi="Arial Narrow"/>
          <w:sz w:val="18"/>
          <w:szCs w:val="18"/>
        </w:rPr>
        <w:t xml:space="preserve"> average of 4 </w:t>
      </w:r>
      <w:r>
        <w:rPr>
          <w:rFonts w:ascii="Arial Narrow" w:hAnsi="Arial Narrow"/>
          <w:sz w:val="18"/>
          <w:szCs w:val="18"/>
        </w:rPr>
        <w:t>IFX</w:t>
      </w:r>
      <w:r w:rsidRPr="00B00F67">
        <w:rPr>
          <w:rFonts w:ascii="Arial Narrow" w:hAnsi="Arial Narrow"/>
          <w:sz w:val="18"/>
          <w:szCs w:val="18"/>
        </w:rPr>
        <w:t xml:space="preserve"> IV vials dispensed per script</w:t>
      </w:r>
      <w:r>
        <w:rPr>
          <w:rFonts w:ascii="Arial Narrow" w:hAnsi="Arial Narrow"/>
          <w:sz w:val="18"/>
          <w:szCs w:val="18"/>
        </w:rPr>
        <w:t>, which equates to average patient weight of 80 kg.</w:t>
      </w:r>
    </w:p>
    <w:p w14:paraId="362096B5" w14:textId="5A7672F9" w:rsidR="002805A0" w:rsidRDefault="002805A0" w:rsidP="002805A0">
      <w:pPr>
        <w:rPr>
          <w:rFonts w:ascii="Arial Narrow" w:hAnsi="Arial Narrow"/>
          <w:sz w:val="18"/>
          <w:szCs w:val="18"/>
        </w:rPr>
      </w:pPr>
      <w:r>
        <w:rPr>
          <w:rFonts w:ascii="Arial Narrow" w:hAnsi="Arial Narrow"/>
          <w:sz w:val="18"/>
          <w:szCs w:val="18"/>
        </w:rPr>
        <w:t>e</w:t>
      </w:r>
      <w:r>
        <w:rPr>
          <w:rFonts w:ascii="Arial Narrow" w:hAnsi="Arial Narrow"/>
          <w:sz w:val="18"/>
          <w:szCs w:val="18"/>
        </w:rPr>
        <w:tab/>
      </w:r>
      <w:r w:rsidRPr="00B00F67">
        <w:rPr>
          <w:rFonts w:ascii="Arial Narrow" w:hAnsi="Arial Narrow"/>
          <w:sz w:val="18"/>
          <w:szCs w:val="18"/>
        </w:rPr>
        <w:t>Drug cost plus administration cost (MBS item 14245 $</w:t>
      </w:r>
      <w:r>
        <w:rPr>
          <w:rFonts w:ascii="Arial Narrow" w:hAnsi="Arial Narrow"/>
          <w:sz w:val="18"/>
          <w:szCs w:val="18"/>
        </w:rPr>
        <w:t>94.90</w:t>
      </w:r>
      <w:r w:rsidRPr="00B00F67">
        <w:rPr>
          <w:rFonts w:ascii="Arial Narrow" w:hAnsi="Arial Narrow"/>
          <w:sz w:val="18"/>
          <w:szCs w:val="18"/>
        </w:rPr>
        <w:t xml:space="preserve"> fee)</w:t>
      </w:r>
      <w:r>
        <w:rPr>
          <w:rFonts w:ascii="Arial Narrow" w:hAnsi="Arial Narrow"/>
          <w:sz w:val="18"/>
          <w:szCs w:val="18"/>
        </w:rPr>
        <w:t>.</w:t>
      </w:r>
    </w:p>
    <w:p w14:paraId="43B74848" w14:textId="611EA0C5" w:rsidR="00D827D5" w:rsidRDefault="00D827D5" w:rsidP="002805A0">
      <w:pPr>
        <w:rPr>
          <w:rFonts w:ascii="Arial Narrow" w:hAnsi="Arial Narrow"/>
          <w:sz w:val="18"/>
          <w:szCs w:val="18"/>
        </w:rPr>
      </w:pPr>
      <w:r>
        <w:rPr>
          <w:rFonts w:ascii="Arial Narrow" w:hAnsi="Arial Narrow"/>
          <w:sz w:val="18"/>
          <w:szCs w:val="18"/>
        </w:rPr>
        <w:t>f</w:t>
      </w:r>
      <w:r>
        <w:rPr>
          <w:rFonts w:ascii="Arial Narrow" w:hAnsi="Arial Narrow"/>
          <w:sz w:val="18"/>
          <w:szCs w:val="18"/>
        </w:rPr>
        <w:tab/>
      </w:r>
      <w:r w:rsidRPr="00D827D5">
        <w:rPr>
          <w:rFonts w:ascii="Arial Narrow" w:hAnsi="Arial Narrow"/>
          <w:sz w:val="18"/>
          <w:szCs w:val="18"/>
        </w:rPr>
        <w:t>The effective price of UST was known to the sponsor (same sponsor as GUS)</w:t>
      </w:r>
      <w:r>
        <w:rPr>
          <w:rFonts w:ascii="Arial Narrow" w:hAnsi="Arial Narrow"/>
          <w:sz w:val="18"/>
          <w:szCs w:val="18"/>
        </w:rPr>
        <w:t>.</w:t>
      </w:r>
    </w:p>
    <w:p w14:paraId="1C9BCFA2" w14:textId="27025335" w:rsidR="00D827D5" w:rsidRDefault="00D827D5" w:rsidP="002805A0">
      <w:pPr>
        <w:rPr>
          <w:rFonts w:ascii="Arial Narrow" w:hAnsi="Arial Narrow"/>
          <w:sz w:val="18"/>
          <w:szCs w:val="18"/>
        </w:rPr>
      </w:pPr>
      <w:r>
        <w:rPr>
          <w:rFonts w:ascii="Arial Narrow" w:hAnsi="Arial Narrow"/>
          <w:sz w:val="18"/>
          <w:szCs w:val="18"/>
        </w:rPr>
        <w:t>g</w:t>
      </w:r>
      <w:r>
        <w:rPr>
          <w:rFonts w:ascii="Arial Narrow" w:hAnsi="Arial Narrow"/>
          <w:sz w:val="18"/>
          <w:szCs w:val="18"/>
        </w:rPr>
        <w:tab/>
      </w:r>
      <w:r w:rsidRPr="00D827D5">
        <w:rPr>
          <w:rFonts w:ascii="Arial Narrow" w:hAnsi="Arial Narrow"/>
          <w:sz w:val="18"/>
          <w:szCs w:val="18"/>
        </w:rPr>
        <w:t>The submission estimated the effective price of VDZ using a cost-minimisation approach versus UPA</w:t>
      </w:r>
      <w:r>
        <w:rPr>
          <w:rFonts w:ascii="Arial Narrow" w:hAnsi="Arial Narrow"/>
          <w:sz w:val="18"/>
          <w:szCs w:val="18"/>
        </w:rPr>
        <w:t>.</w:t>
      </w:r>
    </w:p>
    <w:p w14:paraId="2AA1BF07" w14:textId="7C06C3C5" w:rsidR="00D827D5" w:rsidRDefault="00D827D5" w:rsidP="003A6177">
      <w:pPr>
        <w:ind w:left="170" w:hanging="170"/>
        <w:rPr>
          <w:rFonts w:ascii="Arial Narrow" w:hAnsi="Arial Narrow"/>
          <w:sz w:val="18"/>
          <w:szCs w:val="18"/>
        </w:rPr>
      </w:pPr>
      <w:r>
        <w:rPr>
          <w:rFonts w:ascii="Arial Narrow" w:hAnsi="Arial Narrow"/>
          <w:sz w:val="18"/>
          <w:szCs w:val="18"/>
        </w:rPr>
        <w:t>h</w:t>
      </w:r>
      <w:r>
        <w:rPr>
          <w:rFonts w:ascii="Arial Narrow" w:hAnsi="Arial Narrow"/>
          <w:sz w:val="18"/>
          <w:szCs w:val="18"/>
        </w:rPr>
        <w:tab/>
      </w:r>
      <w:r w:rsidRPr="00D827D5">
        <w:rPr>
          <w:rFonts w:ascii="Arial Narrow" w:hAnsi="Arial Narrow"/>
          <w:sz w:val="18"/>
          <w:szCs w:val="18"/>
        </w:rPr>
        <w:t xml:space="preserve">The effective price of UPA was made known to the sponsor in March 2024 </w:t>
      </w:r>
      <w:r w:rsidR="008879CD">
        <w:rPr>
          <w:rFonts w:ascii="Arial Narrow" w:hAnsi="Arial Narrow"/>
          <w:sz w:val="18"/>
          <w:szCs w:val="18"/>
        </w:rPr>
        <w:t>in relation to</w:t>
      </w:r>
      <w:r w:rsidR="008879CD" w:rsidRPr="00D827D5">
        <w:rPr>
          <w:rFonts w:ascii="Arial Narrow" w:hAnsi="Arial Narrow"/>
          <w:sz w:val="18"/>
          <w:szCs w:val="18"/>
        </w:rPr>
        <w:t xml:space="preserve"> </w:t>
      </w:r>
      <w:r w:rsidRPr="00D827D5">
        <w:rPr>
          <w:rFonts w:ascii="Arial Narrow" w:hAnsi="Arial Narrow"/>
          <w:sz w:val="18"/>
          <w:szCs w:val="18"/>
        </w:rPr>
        <w:t>a flow on reference price reduction for UST on 1 June 2024</w:t>
      </w:r>
      <w:r>
        <w:rPr>
          <w:rFonts w:ascii="Arial Narrow" w:hAnsi="Arial Narrow"/>
          <w:sz w:val="18"/>
          <w:szCs w:val="18"/>
        </w:rPr>
        <w:t>.</w:t>
      </w:r>
    </w:p>
    <w:p w14:paraId="1A423929" w14:textId="77777777" w:rsidR="00A13AB0" w:rsidRDefault="00A13AB0" w:rsidP="003A6177">
      <w:pPr>
        <w:ind w:left="170" w:hanging="170"/>
        <w:rPr>
          <w:rFonts w:ascii="Arial Narrow" w:hAnsi="Arial Narrow"/>
          <w:sz w:val="18"/>
          <w:szCs w:val="18"/>
        </w:rPr>
      </w:pPr>
    </w:p>
    <w:p w14:paraId="44B49A13" w14:textId="4E624B00" w:rsidR="00A13AB0" w:rsidRDefault="0036393C" w:rsidP="0036393C">
      <w:pPr>
        <w:pStyle w:val="3-BodyText"/>
      </w:pPr>
      <w:r>
        <w:lastRenderedPageBreak/>
        <w:t>The pre-PBAC response noted</w:t>
      </w:r>
      <w:r w:rsidRPr="0036393C">
        <w:t xml:space="preserve"> </w:t>
      </w:r>
      <w:r w:rsidR="00FF4F2D">
        <w:t xml:space="preserve">that the </w:t>
      </w:r>
      <w:r w:rsidRPr="0036393C">
        <w:t xml:space="preserve">cost-effective </w:t>
      </w:r>
      <w:r w:rsidR="00267617">
        <w:t xml:space="preserve">cost per patient over 2 years </w:t>
      </w:r>
      <w:r w:rsidR="00FF4F2D">
        <w:t xml:space="preserve">for </w:t>
      </w:r>
      <w:r w:rsidR="00FF4F2D" w:rsidRPr="00EF3976">
        <w:t xml:space="preserve">infliximab and ustekinumab at the time of initial listing for CD </w:t>
      </w:r>
      <w:r w:rsidRPr="00EF3976">
        <w:t xml:space="preserve">was $44,199 </w:t>
      </w:r>
      <w:r w:rsidR="00267617" w:rsidRPr="00EF3976">
        <w:t xml:space="preserve">and </w:t>
      </w:r>
      <w:r w:rsidRPr="00EF3976">
        <w:t>$</w:t>
      </w:r>
      <w:r w:rsidR="004368E8" w:rsidRPr="000756FD">
        <w:rPr>
          <w:w w:val="15"/>
          <w:shd w:val="solid" w:color="000000" w:fill="000000"/>
          <w:fitText w:val="-20" w:id="-621592576"/>
          <w14:textFill>
            <w14:solidFill>
              <w14:srgbClr w14:val="000000">
                <w14:alpha w14:val="100000"/>
              </w14:srgbClr>
            </w14:solidFill>
          </w14:textFill>
        </w:rPr>
        <w:t xml:space="preserve">|  </w:t>
      </w:r>
      <w:r w:rsidR="004368E8" w:rsidRPr="000756FD">
        <w:rPr>
          <w:spacing w:val="-69"/>
          <w:w w:val="15"/>
          <w:shd w:val="solid" w:color="000000" w:fill="000000"/>
          <w:fitText w:val="-20" w:id="-621592576"/>
          <w14:textFill>
            <w14:solidFill>
              <w14:srgbClr w14:val="000000">
                <w14:alpha w14:val="100000"/>
              </w14:srgbClr>
            </w14:solidFill>
          </w14:textFill>
        </w:rPr>
        <w:t>|</w:t>
      </w:r>
      <w:r w:rsidR="00267617" w:rsidRPr="00EF3976">
        <w:t>, respectively</w:t>
      </w:r>
      <w:r w:rsidRPr="00EF3976">
        <w:t>.</w:t>
      </w:r>
    </w:p>
    <w:p w14:paraId="20690446" w14:textId="21321D7E" w:rsidR="00FF7F63" w:rsidRPr="00FF7F63" w:rsidRDefault="00FF7F63" w:rsidP="00FF7F63">
      <w:pPr>
        <w:pStyle w:val="3-BodyText"/>
        <w:numPr>
          <w:ilvl w:val="0"/>
          <w:numId w:val="0"/>
        </w:numPr>
        <w:rPr>
          <w:i/>
          <w:iCs/>
        </w:rPr>
      </w:pPr>
      <w:r w:rsidRPr="00FF7F63">
        <w:rPr>
          <w:i/>
          <w:iCs/>
        </w:rPr>
        <w:t>For more detail on PBAC’s view, see section 7 PBAC outcome.</w:t>
      </w:r>
    </w:p>
    <w:p w14:paraId="7F9C27C8" w14:textId="77777777" w:rsidR="00223D5A" w:rsidRPr="00407F2D" w:rsidRDefault="00223D5A" w:rsidP="00223D5A">
      <w:pPr>
        <w:pStyle w:val="2-SectionHeading"/>
      </w:pPr>
      <w:bookmarkStart w:id="17" w:name="_Toc198715633"/>
      <w:bookmarkStart w:id="18" w:name="_Toc22897640"/>
      <w:r>
        <w:t>C</w:t>
      </w:r>
      <w:r w:rsidRPr="00407F2D">
        <w:t>onsideration of the evidence</w:t>
      </w:r>
      <w:bookmarkEnd w:id="17"/>
    </w:p>
    <w:p w14:paraId="29B4B942" w14:textId="77777777" w:rsidR="00EB7B91" w:rsidRPr="000F2360" w:rsidRDefault="00EB7B91" w:rsidP="00EB7B91">
      <w:pPr>
        <w:pStyle w:val="4-SubsectionHeading"/>
      </w:pPr>
      <w:bookmarkStart w:id="19" w:name="_Toc198715634"/>
      <w:r w:rsidRPr="000F2360">
        <w:t>Sponsor hearing</w:t>
      </w:r>
    </w:p>
    <w:p w14:paraId="72331AA9" w14:textId="468C1162" w:rsidR="00856CEA" w:rsidRDefault="00EB7B91" w:rsidP="0056021D">
      <w:pPr>
        <w:widowControl w:val="0"/>
        <w:numPr>
          <w:ilvl w:val="1"/>
          <w:numId w:val="1"/>
        </w:numPr>
        <w:spacing w:after="120"/>
        <w:rPr>
          <w:rFonts w:asciiTheme="minorHAnsi" w:hAnsiTheme="minorHAnsi"/>
          <w:bCs/>
          <w:snapToGrid w:val="0"/>
        </w:rPr>
      </w:pPr>
      <w:bookmarkStart w:id="20" w:name="_Hlk76382586"/>
      <w:r w:rsidRPr="001111D0">
        <w:rPr>
          <w:rFonts w:asciiTheme="minorHAnsi" w:hAnsiTheme="minorHAnsi"/>
          <w:bCs/>
          <w:snapToGrid w:val="0"/>
        </w:rPr>
        <w:t xml:space="preserve">The sponsor requested a hearing for this item. </w:t>
      </w:r>
      <w:r w:rsidR="006400DD">
        <w:rPr>
          <w:rFonts w:asciiTheme="minorHAnsi" w:hAnsiTheme="minorHAnsi"/>
          <w:bCs/>
          <w:snapToGrid w:val="0"/>
        </w:rPr>
        <w:t xml:space="preserve"> </w:t>
      </w:r>
      <w:r w:rsidR="006400DD" w:rsidRPr="006400DD">
        <w:rPr>
          <w:rFonts w:asciiTheme="minorHAnsi" w:hAnsiTheme="minorHAnsi"/>
          <w:bCs/>
          <w:snapToGrid w:val="0"/>
        </w:rPr>
        <w:t>The hearing was in the form of a written statement from three experienced Australian Gastroenterologists who treat CD patients</w:t>
      </w:r>
      <w:r w:rsidR="004F3C6C" w:rsidRPr="001111D0">
        <w:rPr>
          <w:rFonts w:asciiTheme="minorHAnsi" w:hAnsiTheme="minorHAnsi"/>
          <w:bCs/>
          <w:snapToGrid w:val="0"/>
        </w:rPr>
        <w:t>.</w:t>
      </w:r>
      <w:r w:rsidR="004F3C6C">
        <w:rPr>
          <w:rFonts w:asciiTheme="minorHAnsi" w:hAnsiTheme="minorHAnsi"/>
          <w:bCs/>
          <w:snapToGrid w:val="0"/>
        </w:rPr>
        <w:t xml:space="preserve"> </w:t>
      </w:r>
      <w:r w:rsidRPr="000F2360">
        <w:rPr>
          <w:rFonts w:asciiTheme="minorHAnsi" w:hAnsiTheme="minorHAnsi"/>
          <w:bCs/>
          <w:snapToGrid w:val="0"/>
        </w:rPr>
        <w:t xml:space="preserve"> </w:t>
      </w:r>
      <w:r w:rsidR="00511E05">
        <w:rPr>
          <w:rFonts w:asciiTheme="minorHAnsi" w:hAnsiTheme="minorHAnsi"/>
          <w:bCs/>
          <w:snapToGrid w:val="0"/>
        </w:rPr>
        <w:t xml:space="preserve">The statement noted the </w:t>
      </w:r>
      <w:r w:rsidR="00D90FDE">
        <w:rPr>
          <w:rFonts w:asciiTheme="minorHAnsi" w:hAnsiTheme="minorHAnsi"/>
          <w:bCs/>
          <w:snapToGrid w:val="0"/>
        </w:rPr>
        <w:t xml:space="preserve">significant health, economic and social burden of IBD in Australia. </w:t>
      </w:r>
      <w:r w:rsidR="0001102F">
        <w:rPr>
          <w:rFonts w:asciiTheme="minorHAnsi" w:hAnsiTheme="minorHAnsi"/>
          <w:bCs/>
          <w:snapToGrid w:val="0"/>
        </w:rPr>
        <w:t xml:space="preserve">The statement noted the importance of improved access to novel therapies for IBD and </w:t>
      </w:r>
      <w:r w:rsidR="008705BA">
        <w:rPr>
          <w:rFonts w:asciiTheme="minorHAnsi" w:hAnsiTheme="minorHAnsi"/>
          <w:bCs/>
          <w:snapToGrid w:val="0"/>
        </w:rPr>
        <w:t xml:space="preserve">noted two medicines (risankizumab and mirikizumab) are not available </w:t>
      </w:r>
      <w:r w:rsidR="00367522">
        <w:rPr>
          <w:rFonts w:asciiTheme="minorHAnsi" w:hAnsiTheme="minorHAnsi"/>
          <w:bCs/>
          <w:snapToGrid w:val="0"/>
        </w:rPr>
        <w:t>on the PBS for IBD despite receiving positive recommendations from the PBAC</w:t>
      </w:r>
      <w:r w:rsidR="00DD6270">
        <w:rPr>
          <w:rFonts w:asciiTheme="minorHAnsi" w:hAnsiTheme="minorHAnsi"/>
          <w:bCs/>
          <w:snapToGrid w:val="0"/>
        </w:rPr>
        <w:t xml:space="preserve">. </w:t>
      </w:r>
      <w:r w:rsidR="00856CEA" w:rsidRPr="0056021D">
        <w:rPr>
          <w:rFonts w:asciiTheme="minorHAnsi" w:hAnsiTheme="minorHAnsi"/>
          <w:bCs/>
          <w:snapToGrid w:val="0"/>
        </w:rPr>
        <w:t>The statement noted the importance of having access to an IL23-p19 therapy for patients with IBD</w:t>
      </w:r>
      <w:r w:rsidR="0056021D">
        <w:rPr>
          <w:rFonts w:asciiTheme="minorHAnsi" w:hAnsiTheme="minorHAnsi"/>
          <w:bCs/>
          <w:snapToGrid w:val="0"/>
        </w:rPr>
        <w:t>.</w:t>
      </w:r>
    </w:p>
    <w:p w14:paraId="2C3900FB" w14:textId="3F4A53EB" w:rsidR="0056021D" w:rsidRPr="0068081B" w:rsidRDefault="0068081B" w:rsidP="0068081B">
      <w:pPr>
        <w:pStyle w:val="3-BodyText"/>
        <w:rPr>
          <w:bCs/>
        </w:rPr>
      </w:pPr>
      <w:bookmarkStart w:id="21" w:name="_Ref204003501"/>
      <w:r>
        <w:rPr>
          <w:bCs/>
        </w:rPr>
        <w:t>The statement noted that m</w:t>
      </w:r>
      <w:r w:rsidRPr="0068081B">
        <w:rPr>
          <w:bCs/>
        </w:rPr>
        <w:t>ultiple studies have shown that endoscopic mucosal healing is associated with</w:t>
      </w:r>
      <w:r>
        <w:rPr>
          <w:bCs/>
        </w:rPr>
        <w:t xml:space="preserve"> </w:t>
      </w:r>
      <w:r w:rsidRPr="0068081B">
        <w:rPr>
          <w:bCs/>
        </w:rPr>
        <w:t>prognostic benefit in Crohn’s disease, reducing risk of surgery, hospitalisation, and</w:t>
      </w:r>
      <w:r>
        <w:rPr>
          <w:bCs/>
        </w:rPr>
        <w:t xml:space="preserve"> </w:t>
      </w:r>
      <w:r w:rsidRPr="0068081B">
        <w:rPr>
          <w:bCs/>
        </w:rPr>
        <w:t>morbidity. Moreover, endoscopic mucosal healing leads to improved patient quality of</w:t>
      </w:r>
      <w:r w:rsidR="004A5874">
        <w:rPr>
          <w:bCs/>
        </w:rPr>
        <w:t xml:space="preserve"> </w:t>
      </w:r>
      <w:r w:rsidRPr="0068081B">
        <w:rPr>
          <w:bCs/>
        </w:rPr>
        <w:t xml:space="preserve">life and gains in occupational and social function. </w:t>
      </w:r>
      <w:r w:rsidR="0055392B">
        <w:rPr>
          <w:bCs/>
        </w:rPr>
        <w:t xml:space="preserve">The statement concluded that if </w:t>
      </w:r>
      <w:r w:rsidRPr="0068081B">
        <w:rPr>
          <w:bCs/>
        </w:rPr>
        <w:t>a novel therapy shows significant</w:t>
      </w:r>
      <w:r w:rsidR="004A5874">
        <w:rPr>
          <w:bCs/>
        </w:rPr>
        <w:t xml:space="preserve"> </w:t>
      </w:r>
      <w:r w:rsidRPr="0068081B">
        <w:rPr>
          <w:bCs/>
        </w:rPr>
        <w:t>benefit in achieving endoscopic mucosal response/improvement compared to an</w:t>
      </w:r>
      <w:r>
        <w:rPr>
          <w:bCs/>
        </w:rPr>
        <w:t xml:space="preserve"> </w:t>
      </w:r>
      <w:r w:rsidRPr="0068081B">
        <w:rPr>
          <w:bCs/>
        </w:rPr>
        <w:t>existing therapy, this is likely to be highly impactful for patients.</w:t>
      </w:r>
      <w:bookmarkEnd w:id="21"/>
    </w:p>
    <w:bookmarkEnd w:id="20"/>
    <w:p w14:paraId="7EE4AD6C" w14:textId="77777777" w:rsidR="00EB7B91" w:rsidRPr="00227D4B" w:rsidRDefault="00EB7B91" w:rsidP="00EB7B91">
      <w:pPr>
        <w:pStyle w:val="4-SubsectionHeading"/>
      </w:pPr>
      <w:r w:rsidRPr="000F2360">
        <w:t>Consumer comments</w:t>
      </w:r>
    </w:p>
    <w:p w14:paraId="16FE028E" w14:textId="5D6AFBF9" w:rsidR="00EB7B91" w:rsidRPr="00813D54" w:rsidRDefault="00EC3F94" w:rsidP="002E4F02">
      <w:pPr>
        <w:pStyle w:val="3-BodyText"/>
      </w:pPr>
      <w:r w:rsidRPr="00227D4B">
        <w:rPr>
          <w:bCs/>
        </w:rPr>
        <w:t>The PBAC noted and welcomed the input from individuals (</w:t>
      </w:r>
      <w:r w:rsidR="00454FC2" w:rsidRPr="00227D4B">
        <w:rPr>
          <w:bCs/>
        </w:rPr>
        <w:t>1</w:t>
      </w:r>
      <w:r w:rsidRPr="00227D4B">
        <w:rPr>
          <w:bCs/>
        </w:rPr>
        <w:t>), health care professionals (17) and organisations (</w:t>
      </w:r>
      <w:r w:rsidR="00BD5902" w:rsidRPr="00227D4B">
        <w:rPr>
          <w:bCs/>
        </w:rPr>
        <w:t>3</w:t>
      </w:r>
      <w:r w:rsidRPr="00227D4B">
        <w:rPr>
          <w:bCs/>
        </w:rPr>
        <w:t xml:space="preserve">) via the Consumer Comments facility on the PBS website.  </w:t>
      </w:r>
      <w:r w:rsidR="000D7545" w:rsidRPr="000D7545">
        <w:rPr>
          <w:bCs/>
        </w:rPr>
        <w:t>Input was provided by clinicians with considerable experience treating</w:t>
      </w:r>
      <w:r w:rsidR="000D7545">
        <w:rPr>
          <w:bCs/>
        </w:rPr>
        <w:t xml:space="preserve"> CD</w:t>
      </w:r>
      <w:r w:rsidR="000D7545" w:rsidRPr="000D7545">
        <w:rPr>
          <w:bCs/>
        </w:rPr>
        <w:t>. Input describ</w:t>
      </w:r>
      <w:r w:rsidR="00FB1556">
        <w:rPr>
          <w:bCs/>
        </w:rPr>
        <w:t>ed</w:t>
      </w:r>
      <w:r w:rsidR="000D7545" w:rsidRPr="000D7545">
        <w:rPr>
          <w:bCs/>
        </w:rPr>
        <w:t xml:space="preserve"> an unmet need regarding effective and durable treatment</w:t>
      </w:r>
      <w:r w:rsidR="001E5C02">
        <w:rPr>
          <w:bCs/>
        </w:rPr>
        <w:t>s</w:t>
      </w:r>
      <w:r w:rsidR="000D7545" w:rsidRPr="000D7545">
        <w:rPr>
          <w:bCs/>
        </w:rPr>
        <w:t xml:space="preserve"> for moderate to severe</w:t>
      </w:r>
      <w:r w:rsidR="00FB1556">
        <w:rPr>
          <w:bCs/>
        </w:rPr>
        <w:t xml:space="preserve"> CD</w:t>
      </w:r>
      <w:r w:rsidR="000D7545" w:rsidRPr="000D7545">
        <w:rPr>
          <w:bCs/>
        </w:rPr>
        <w:t xml:space="preserve">, with current treatment options noted as moderately effective  </w:t>
      </w:r>
      <w:r w:rsidR="009C45FD">
        <w:rPr>
          <w:bCs/>
        </w:rPr>
        <w:t xml:space="preserve">with </w:t>
      </w:r>
      <w:r w:rsidR="000D7545" w:rsidRPr="000D7545">
        <w:rPr>
          <w:bCs/>
        </w:rPr>
        <w:t>high rates of loss of response.</w:t>
      </w:r>
      <w:r w:rsidR="00114BCF">
        <w:rPr>
          <w:bCs/>
        </w:rPr>
        <w:t xml:space="preserve"> The comments noted this was in the context of a condition that potentially requires management over 60 to 70 years.</w:t>
      </w:r>
      <w:r w:rsidR="00274050">
        <w:rPr>
          <w:bCs/>
        </w:rPr>
        <w:t xml:space="preserve"> </w:t>
      </w:r>
      <w:r w:rsidR="001C6C4E">
        <w:rPr>
          <w:bCs/>
        </w:rPr>
        <w:t xml:space="preserve">Comments </w:t>
      </w:r>
      <w:r w:rsidR="001C6C4E" w:rsidRPr="001C6C4E">
        <w:rPr>
          <w:bCs/>
        </w:rPr>
        <w:t>highlight</w:t>
      </w:r>
      <w:r w:rsidR="000C39FB">
        <w:rPr>
          <w:bCs/>
        </w:rPr>
        <w:t>ed GUS’s</w:t>
      </w:r>
      <w:r w:rsidR="001C6C4E" w:rsidRPr="001C6C4E">
        <w:rPr>
          <w:bCs/>
        </w:rPr>
        <w:t xml:space="preserve"> potential to treat the significant proportion of individuals who have exhausted all other treatment options and preventing the need for invasive surgical interventions.</w:t>
      </w:r>
      <w:r w:rsidR="004835A4" w:rsidRPr="004835A4">
        <w:t xml:space="preserve"> </w:t>
      </w:r>
      <w:r w:rsidR="004835A4" w:rsidRPr="004835A4">
        <w:rPr>
          <w:bCs/>
        </w:rPr>
        <w:t>Input describe</w:t>
      </w:r>
      <w:r w:rsidR="004835A4">
        <w:rPr>
          <w:bCs/>
        </w:rPr>
        <w:t>d</w:t>
      </w:r>
      <w:r w:rsidR="004835A4" w:rsidRPr="004835A4">
        <w:rPr>
          <w:bCs/>
        </w:rPr>
        <w:t xml:space="preserve"> the favourable safety profile of guselkumab, with low risks of serious adverse events demonstrated in clinical trials.</w:t>
      </w:r>
      <w:r w:rsidR="00E00F48" w:rsidRPr="00E00F48">
        <w:t xml:space="preserve"> </w:t>
      </w:r>
      <w:r w:rsidR="00433919">
        <w:t xml:space="preserve">Comments </w:t>
      </w:r>
      <w:r w:rsidR="00433919" w:rsidRPr="00433919">
        <w:t>outline</w:t>
      </w:r>
      <w:r w:rsidR="00433919">
        <w:t xml:space="preserve">d the </w:t>
      </w:r>
      <w:r w:rsidR="00433919" w:rsidRPr="00433919">
        <w:t>lack of access to p19 inhibitors as a therapeutic option in Australia, despite their utilisation in other countries</w:t>
      </w:r>
      <w:r w:rsidR="00433919">
        <w:t>.</w:t>
      </w:r>
      <w:r w:rsidR="009D261E">
        <w:t xml:space="preserve"> Comments noted that </w:t>
      </w:r>
      <w:r w:rsidR="009D261E">
        <w:rPr>
          <w:bCs/>
        </w:rPr>
        <w:t xml:space="preserve">the </w:t>
      </w:r>
      <w:r w:rsidR="00E00F48" w:rsidRPr="00E00F48">
        <w:rPr>
          <w:bCs/>
        </w:rPr>
        <w:t xml:space="preserve">subcutaneous administration of </w:t>
      </w:r>
      <w:r w:rsidR="009D261E">
        <w:rPr>
          <w:bCs/>
        </w:rPr>
        <w:t xml:space="preserve">GUS resulted in a </w:t>
      </w:r>
      <w:r w:rsidR="00E00F48" w:rsidRPr="00E00F48">
        <w:rPr>
          <w:bCs/>
        </w:rPr>
        <w:t>reduc</w:t>
      </w:r>
      <w:r w:rsidR="009D261E">
        <w:rPr>
          <w:bCs/>
        </w:rPr>
        <w:t xml:space="preserve">ed </w:t>
      </w:r>
      <w:r w:rsidR="00E00F48" w:rsidRPr="00E00F48">
        <w:rPr>
          <w:bCs/>
        </w:rPr>
        <w:t>treatment burden, particularly for remote and regional areas with limited access to infusion clinics.</w:t>
      </w:r>
      <w:r w:rsidR="0013349D" w:rsidRPr="0013349D">
        <w:t xml:space="preserve"> </w:t>
      </w:r>
      <w:r w:rsidR="0013349D" w:rsidRPr="0013349D">
        <w:rPr>
          <w:bCs/>
        </w:rPr>
        <w:t>Input describe</w:t>
      </w:r>
      <w:r w:rsidR="0013349D">
        <w:rPr>
          <w:bCs/>
        </w:rPr>
        <w:t>d</w:t>
      </w:r>
      <w:r w:rsidR="0013349D" w:rsidRPr="0013349D">
        <w:rPr>
          <w:bCs/>
        </w:rPr>
        <w:t xml:space="preserve"> significant and chronic morbidity associated with</w:t>
      </w:r>
      <w:r w:rsidR="0013349D">
        <w:rPr>
          <w:bCs/>
        </w:rPr>
        <w:t xml:space="preserve"> CD</w:t>
      </w:r>
      <w:r w:rsidR="0013349D" w:rsidRPr="0013349D">
        <w:rPr>
          <w:bCs/>
        </w:rPr>
        <w:t>, leading to impaired quality of life. One contributor note</w:t>
      </w:r>
      <w:r w:rsidR="0013349D">
        <w:rPr>
          <w:bCs/>
        </w:rPr>
        <w:t>d</w:t>
      </w:r>
      <w:r w:rsidR="0013349D" w:rsidRPr="0013349D">
        <w:rPr>
          <w:bCs/>
        </w:rPr>
        <w:t xml:space="preserve"> the increased prevalence of mental health issues among individuals with Crohn </w:t>
      </w:r>
      <w:r w:rsidR="0013349D" w:rsidRPr="0013349D">
        <w:rPr>
          <w:bCs/>
        </w:rPr>
        <w:lastRenderedPageBreak/>
        <w:t>disease, pointing to the emotional toll of chronic pain, invasive treatments such as bowel alteration and inability to perform daily tasks or work.</w:t>
      </w:r>
      <w:r w:rsidR="008C1DE0">
        <w:rPr>
          <w:bCs/>
        </w:rPr>
        <w:t xml:space="preserve"> </w:t>
      </w:r>
      <w:r w:rsidR="00740F2C">
        <w:rPr>
          <w:bCs/>
        </w:rPr>
        <w:t xml:space="preserve"> </w:t>
      </w:r>
      <w:r w:rsidR="008C1DE0">
        <w:rPr>
          <w:bCs/>
        </w:rPr>
        <w:t xml:space="preserve">An individual with severe CD </w:t>
      </w:r>
      <w:r w:rsidR="00F66394">
        <w:rPr>
          <w:bCs/>
        </w:rPr>
        <w:t>noted they had exhausted all treatment options except bowl removal by the age of 25</w:t>
      </w:r>
      <w:r w:rsidR="00740F2C">
        <w:rPr>
          <w:bCs/>
        </w:rPr>
        <w:t xml:space="preserve"> and access to GUS through a clinical trial resulted in full remission of disease. </w:t>
      </w:r>
      <w:r w:rsidR="00D70BAF" w:rsidRPr="00D70BAF">
        <w:rPr>
          <w:bCs/>
        </w:rPr>
        <w:t xml:space="preserve">The </w:t>
      </w:r>
      <w:r w:rsidR="00D70BAF">
        <w:rPr>
          <w:bCs/>
        </w:rPr>
        <w:t xml:space="preserve">individual described </w:t>
      </w:r>
      <w:r w:rsidR="00D70BAF" w:rsidRPr="00D70BAF">
        <w:rPr>
          <w:bCs/>
        </w:rPr>
        <w:t>the positive impacts of guselkumab treatment, including ability to enjoy life and return to work.</w:t>
      </w:r>
      <w:r w:rsidR="00D70BAF" w:rsidRPr="00D70BAF">
        <w:t xml:space="preserve"> </w:t>
      </w:r>
      <w:r w:rsidR="00D70BAF">
        <w:t xml:space="preserve">The individual noted </w:t>
      </w:r>
      <w:r w:rsidR="00D70BAF" w:rsidRPr="00D70BAF">
        <w:rPr>
          <w:bCs/>
        </w:rPr>
        <w:t>the inequitable opportunity for improved clinical and quality of life outcomes, due to current lack of access to guselkumab outside of clinical trials.</w:t>
      </w:r>
    </w:p>
    <w:p w14:paraId="7B23C880" w14:textId="0CFC3499" w:rsidR="00813D54" w:rsidRPr="00BB7429" w:rsidRDefault="00882984" w:rsidP="00BB7429">
      <w:pPr>
        <w:pStyle w:val="3-BodyText"/>
        <w:rPr>
          <w:bCs/>
        </w:rPr>
      </w:pPr>
      <w:r>
        <w:t xml:space="preserve">Input was received from GESA, Inflammatory Bowel Disease Sydney and Crohn’s </w:t>
      </w:r>
      <w:r w:rsidR="00D6147F">
        <w:t>&amp; Colitis Australia</w:t>
      </w:r>
      <w:r w:rsidR="00A33F4E">
        <w:t xml:space="preserve"> (CCA)</w:t>
      </w:r>
      <w:r w:rsidR="00D6147F">
        <w:t xml:space="preserve">. </w:t>
      </w:r>
      <w:r w:rsidR="00C12359">
        <w:t xml:space="preserve">All organised </w:t>
      </w:r>
      <w:r w:rsidR="00487A15">
        <w:t xml:space="preserve">emphasised </w:t>
      </w:r>
      <w:r w:rsidR="00C12359">
        <w:t xml:space="preserve">the </w:t>
      </w:r>
      <w:r w:rsidR="00487A15">
        <w:t>very significant impact CD has on patients and their families</w:t>
      </w:r>
      <w:r w:rsidR="00195A47">
        <w:t xml:space="preserve"> and the importance of having access to additional treatment options</w:t>
      </w:r>
      <w:r w:rsidR="00487A15">
        <w:t xml:space="preserve">.  </w:t>
      </w:r>
      <w:r w:rsidR="00852DE4">
        <w:t xml:space="preserve">GESA </w:t>
      </w:r>
      <w:r w:rsidR="009731F3">
        <w:t xml:space="preserve">noted that therapeutic needs in CD are unmet by available therapies due to </w:t>
      </w:r>
      <w:r w:rsidR="00EF6777">
        <w:t xml:space="preserve">issues associated with </w:t>
      </w:r>
      <w:r w:rsidR="009731F3">
        <w:t>access</w:t>
      </w:r>
      <w:r w:rsidR="004370B8">
        <w:t xml:space="preserve"> to infusions centres</w:t>
      </w:r>
      <w:r w:rsidR="009731F3">
        <w:t>, contraindications/ tolerability, route of administration</w:t>
      </w:r>
      <w:r w:rsidR="00EF6777">
        <w:t xml:space="preserve"> and efficacy/ persistence.  </w:t>
      </w:r>
      <w:r w:rsidR="00A33F4E">
        <w:t>T</w:t>
      </w:r>
      <w:r w:rsidR="00740384">
        <w:t xml:space="preserve">he benefits of having a SC medicine available </w:t>
      </w:r>
      <w:r w:rsidR="00513CC5">
        <w:t>and dosing every second month</w:t>
      </w:r>
      <w:r w:rsidR="00A33F4E">
        <w:t xml:space="preserve"> was noted</w:t>
      </w:r>
      <w:r w:rsidR="00513CC5">
        <w:t>.</w:t>
      </w:r>
      <w:r w:rsidR="00A33F4E">
        <w:t xml:space="preserve"> CCA </w:t>
      </w:r>
      <w:r w:rsidR="006404CE">
        <w:t xml:space="preserve">provided testimony from </w:t>
      </w:r>
      <w:proofErr w:type="gramStart"/>
      <w:r w:rsidR="006404CE">
        <w:t>a number of</w:t>
      </w:r>
      <w:proofErr w:type="gramEnd"/>
      <w:r w:rsidR="006404CE">
        <w:t xml:space="preserve"> patients living with inflammatory bowel disease including CD. </w:t>
      </w:r>
      <w:r w:rsidR="00791DAF">
        <w:t xml:space="preserve">Comments noted the </w:t>
      </w:r>
      <w:r w:rsidR="005D088B">
        <w:t>wide-ranging</w:t>
      </w:r>
      <w:r w:rsidR="00791DAF">
        <w:t xml:space="preserve"> disruption</w:t>
      </w:r>
      <w:r w:rsidR="00845944">
        <w:t xml:space="preserve"> to life of having uncontrolled CD including pain, bleeding, inability to work or study, social isolation, fatigue, anxiety and incontinence. </w:t>
      </w:r>
      <w:r w:rsidR="00D546DC">
        <w:t xml:space="preserve">Patients noted the high cost of using medications that are not listed on the PBS.  </w:t>
      </w:r>
      <w:r w:rsidR="00937E85">
        <w:t xml:space="preserve">IBD Sydney noted </w:t>
      </w:r>
      <w:r w:rsidR="00824479">
        <w:rPr>
          <w:bCs/>
        </w:rPr>
        <w:t>t</w:t>
      </w:r>
      <w:r w:rsidR="00824479" w:rsidRPr="00824479">
        <w:rPr>
          <w:bCs/>
        </w:rPr>
        <w:t xml:space="preserve">here is a need for new classes of therapies for the management of </w:t>
      </w:r>
      <w:r w:rsidR="00824479">
        <w:rPr>
          <w:bCs/>
        </w:rPr>
        <w:t xml:space="preserve">CD </w:t>
      </w:r>
      <w:r w:rsidR="00824479" w:rsidRPr="00824479">
        <w:rPr>
          <w:bCs/>
        </w:rPr>
        <w:t>as remission rates remain suboptimal with currently available</w:t>
      </w:r>
      <w:r w:rsidR="00BB7429">
        <w:rPr>
          <w:bCs/>
        </w:rPr>
        <w:t xml:space="preserve"> </w:t>
      </w:r>
      <w:r w:rsidR="00824479" w:rsidRPr="00BB7429">
        <w:rPr>
          <w:bCs/>
        </w:rPr>
        <w:t>agents</w:t>
      </w:r>
      <w:r w:rsidR="00BB7429">
        <w:rPr>
          <w:bCs/>
        </w:rPr>
        <w:t>.</w:t>
      </w:r>
    </w:p>
    <w:p w14:paraId="609C0765" w14:textId="7B9B7C57" w:rsidR="00B60939" w:rsidRPr="00C9624D" w:rsidRDefault="00B60939" w:rsidP="002E4F02">
      <w:pPr>
        <w:pStyle w:val="4-SubsectionHeading"/>
      </w:pPr>
      <w:r w:rsidRPr="00C9624D">
        <w:t>Clinical trials</w:t>
      </w:r>
      <w:bookmarkEnd w:id="18"/>
      <w:bookmarkEnd w:id="19"/>
    </w:p>
    <w:p w14:paraId="0B3E5887" w14:textId="6D5076C1" w:rsidR="00FD14AA" w:rsidRPr="00FD14AA" w:rsidRDefault="00D24BA1" w:rsidP="002E4F02">
      <w:pPr>
        <w:pStyle w:val="3-BodyText"/>
      </w:pPr>
      <w:r w:rsidRPr="00D24BA1">
        <w:t xml:space="preserve">The submission was based on three head-to-head randomised trials comparing GUS to UST and placebo (PBO) for induction and maintenance treatment: GALAXI 1, GALAXI 2 and GALAXI 3. In addition, the submission presented indirect evidence comparing </w:t>
      </w:r>
      <w:r>
        <w:t>GUS</w:t>
      </w:r>
      <w:r w:rsidRPr="00D24BA1">
        <w:t xml:space="preserve"> versus other b/</w:t>
      </w:r>
      <w:proofErr w:type="spellStart"/>
      <w:r w:rsidRPr="00D24BA1">
        <w:t>tsDMARD</w:t>
      </w:r>
      <w:proofErr w:type="spellEnd"/>
      <w:r w:rsidRPr="00D24BA1">
        <w:t xml:space="preserve"> comparators (IFX, ADA, VDZ, UPA) for induction and maintenance treatment. The indirect evidence consisted of indirect treatment comparisons (ITCs) and a </w:t>
      </w:r>
      <w:r w:rsidR="0048331E">
        <w:t>network meta-analysis (</w:t>
      </w:r>
      <w:r w:rsidRPr="00D24BA1">
        <w:t>NMA</w:t>
      </w:r>
      <w:r w:rsidR="0048331E">
        <w:t>)</w:t>
      </w:r>
      <w:r w:rsidRPr="00D24BA1">
        <w:t xml:space="preserve"> based on data from a total of 23 PBO or active-control RCTs.</w:t>
      </w:r>
    </w:p>
    <w:p w14:paraId="5F4A4BF9" w14:textId="451BC6AA" w:rsidR="00FD14AA" w:rsidRDefault="00D24BA1" w:rsidP="002E4F02">
      <w:pPr>
        <w:pStyle w:val="3-BodyText"/>
      </w:pPr>
      <w:r>
        <w:t xml:space="preserve">The indirect evidence for induction treatment was based </w:t>
      </w:r>
      <w:r w:rsidRPr="002143C0">
        <w:t xml:space="preserve">on the </w:t>
      </w:r>
      <w:r w:rsidRPr="002143C0">
        <w:rPr>
          <w:u w:val="single"/>
        </w:rPr>
        <w:t>three</w:t>
      </w:r>
      <w:r w:rsidRPr="002143C0">
        <w:t xml:space="preserve"> head-to-head RCTs (GALAXI 1, GALAXI 2, GALAXI 3) and data from a total of </w:t>
      </w:r>
      <w:r w:rsidRPr="002143C0">
        <w:rPr>
          <w:u w:val="single"/>
        </w:rPr>
        <w:t>16</w:t>
      </w:r>
      <w:r w:rsidRPr="002143C0">
        <w:t xml:space="preserve"> comparator</w:t>
      </w:r>
      <w:r>
        <w:t xml:space="preserve"> RCTs:</w:t>
      </w:r>
    </w:p>
    <w:p w14:paraId="5F4B52C8" w14:textId="77777777" w:rsidR="00D24BA1" w:rsidRDefault="00D24BA1" w:rsidP="00096092">
      <w:pPr>
        <w:pStyle w:val="ListParagraph"/>
        <w:widowControl w:val="0"/>
        <w:numPr>
          <w:ilvl w:val="0"/>
          <w:numId w:val="11"/>
        </w:numPr>
        <w:spacing w:after="0"/>
        <w:contextualSpacing/>
      </w:pPr>
      <w:r>
        <w:t>One RCT comparing GUS SC induction vs PBO: GRAVATI.</w:t>
      </w:r>
    </w:p>
    <w:p w14:paraId="67B39DFE" w14:textId="77777777" w:rsidR="00D24BA1" w:rsidRDefault="00D24BA1" w:rsidP="00096092">
      <w:pPr>
        <w:pStyle w:val="ListParagraph"/>
        <w:widowControl w:val="0"/>
        <w:numPr>
          <w:ilvl w:val="0"/>
          <w:numId w:val="11"/>
        </w:numPr>
        <w:spacing w:after="0"/>
        <w:contextualSpacing/>
      </w:pPr>
      <w:r>
        <w:t>One RCT comparing IFX vs PBO: T16.</w:t>
      </w:r>
    </w:p>
    <w:p w14:paraId="70C10338" w14:textId="77777777" w:rsidR="00D24BA1" w:rsidRDefault="00D24BA1" w:rsidP="00096092">
      <w:pPr>
        <w:pStyle w:val="ListParagraph"/>
        <w:widowControl w:val="0"/>
        <w:numPr>
          <w:ilvl w:val="0"/>
          <w:numId w:val="11"/>
        </w:numPr>
        <w:spacing w:after="0"/>
        <w:contextualSpacing/>
      </w:pPr>
      <w:r>
        <w:t>Four RCTs comparing ADA vs PBO: CLASSIC I, GAIN, Watanabe 2012, Chen 2020.</w:t>
      </w:r>
    </w:p>
    <w:p w14:paraId="37A57567" w14:textId="77777777" w:rsidR="00D24BA1" w:rsidRDefault="00D24BA1" w:rsidP="00096092">
      <w:pPr>
        <w:pStyle w:val="ListParagraph"/>
        <w:widowControl w:val="0"/>
        <w:numPr>
          <w:ilvl w:val="0"/>
          <w:numId w:val="11"/>
        </w:numPr>
        <w:spacing w:after="0"/>
        <w:contextualSpacing/>
      </w:pPr>
      <w:r>
        <w:t>One RCT comparing ADA vs UST: SEAVUE.</w:t>
      </w:r>
    </w:p>
    <w:p w14:paraId="6195C636" w14:textId="77777777" w:rsidR="00D24BA1" w:rsidRDefault="00D24BA1" w:rsidP="00096092">
      <w:pPr>
        <w:pStyle w:val="ListParagraph"/>
        <w:widowControl w:val="0"/>
        <w:numPr>
          <w:ilvl w:val="0"/>
          <w:numId w:val="11"/>
        </w:numPr>
        <w:spacing w:after="0"/>
        <w:contextualSpacing/>
      </w:pPr>
      <w:r>
        <w:t>Four RCTs comparing VDZ vs PBO: GEMINI II, GEMINI III, Watanabe 2020, NCT03234907.</w:t>
      </w:r>
    </w:p>
    <w:p w14:paraId="49E1DEA2" w14:textId="77777777" w:rsidR="00D24BA1" w:rsidRDefault="00D24BA1" w:rsidP="00096092">
      <w:pPr>
        <w:pStyle w:val="ListParagraph"/>
        <w:widowControl w:val="0"/>
        <w:numPr>
          <w:ilvl w:val="0"/>
          <w:numId w:val="11"/>
        </w:numPr>
        <w:spacing w:after="0"/>
        <w:contextualSpacing/>
      </w:pPr>
      <w:r>
        <w:t>Two RCTs comparing UPA vs PBO: U-EXCEL, U-EXCEED.</w:t>
      </w:r>
    </w:p>
    <w:p w14:paraId="38CF6E1E" w14:textId="7DDD9410" w:rsidR="00D24BA1" w:rsidRPr="00FD14AA" w:rsidRDefault="00D24BA1" w:rsidP="00096092">
      <w:pPr>
        <w:pStyle w:val="ListParagraph"/>
        <w:widowControl w:val="0"/>
        <w:numPr>
          <w:ilvl w:val="0"/>
          <w:numId w:val="11"/>
        </w:numPr>
        <w:spacing w:after="0"/>
        <w:contextualSpacing/>
      </w:pPr>
      <w:r>
        <w:t>Three RCTs comparing UST vs PBO: UNITI-1, UNITI-2, CERTIFI.</w:t>
      </w:r>
    </w:p>
    <w:p w14:paraId="127FE966" w14:textId="319A44F3" w:rsidR="00FD14AA" w:rsidRPr="00FD14AA" w:rsidRDefault="00D24BA1" w:rsidP="002E4F02">
      <w:pPr>
        <w:pStyle w:val="3-BodyText"/>
      </w:pPr>
      <w:r>
        <w:lastRenderedPageBreak/>
        <w:t xml:space="preserve">The indirect evidence for maintenance </w:t>
      </w:r>
      <w:r w:rsidRPr="002143C0">
        <w:t xml:space="preserve">treatment was based on the </w:t>
      </w:r>
      <w:r w:rsidRPr="002143C0">
        <w:rPr>
          <w:u w:val="single"/>
        </w:rPr>
        <w:t>three</w:t>
      </w:r>
      <w:r w:rsidRPr="002143C0">
        <w:t xml:space="preserve"> head-to-head RCTs (GALAXI 1, GALAXI 2, GALAXI 3) and data from a total of </w:t>
      </w:r>
      <w:r w:rsidRPr="002143C0">
        <w:rPr>
          <w:u w:val="single"/>
        </w:rPr>
        <w:t>seven</w:t>
      </w:r>
      <w:r w:rsidRPr="002143C0">
        <w:t xml:space="preserve"> comparator</w:t>
      </w:r>
      <w:r>
        <w:t xml:space="preserve"> RCTs:</w:t>
      </w:r>
    </w:p>
    <w:p w14:paraId="16B3D6D2" w14:textId="77777777" w:rsidR="00D24BA1" w:rsidRDefault="00D24BA1" w:rsidP="00096092">
      <w:pPr>
        <w:pStyle w:val="ListParagraph"/>
        <w:widowControl w:val="0"/>
        <w:numPr>
          <w:ilvl w:val="0"/>
          <w:numId w:val="11"/>
        </w:numPr>
        <w:spacing w:after="0"/>
        <w:contextualSpacing/>
      </w:pPr>
      <w:r>
        <w:t>One RCT comparing IFX vs PBO: ACCENT.</w:t>
      </w:r>
    </w:p>
    <w:p w14:paraId="0C44F5C2" w14:textId="77777777" w:rsidR="00D24BA1" w:rsidRDefault="00D24BA1" w:rsidP="00096092">
      <w:pPr>
        <w:pStyle w:val="ListParagraph"/>
        <w:widowControl w:val="0"/>
        <w:numPr>
          <w:ilvl w:val="0"/>
          <w:numId w:val="11"/>
        </w:numPr>
        <w:spacing w:after="0"/>
        <w:contextualSpacing/>
      </w:pPr>
      <w:r>
        <w:t>Two RCTs comparing ADA vs PBO: Watanabe 2012, CHARM.</w:t>
      </w:r>
    </w:p>
    <w:p w14:paraId="4C94C12F" w14:textId="77777777" w:rsidR="00D24BA1" w:rsidRDefault="00D24BA1" w:rsidP="00096092">
      <w:pPr>
        <w:pStyle w:val="ListParagraph"/>
        <w:widowControl w:val="0"/>
        <w:numPr>
          <w:ilvl w:val="0"/>
          <w:numId w:val="11"/>
        </w:numPr>
        <w:spacing w:after="0"/>
        <w:contextualSpacing/>
      </w:pPr>
      <w:r>
        <w:t>One RCT comparing ADA vs UST: SEAVUE.</w:t>
      </w:r>
    </w:p>
    <w:p w14:paraId="01C3FA46" w14:textId="77777777" w:rsidR="00D24BA1" w:rsidRDefault="00D24BA1" w:rsidP="00096092">
      <w:pPr>
        <w:pStyle w:val="ListParagraph"/>
        <w:widowControl w:val="0"/>
        <w:numPr>
          <w:ilvl w:val="0"/>
          <w:numId w:val="11"/>
        </w:numPr>
        <w:spacing w:after="0"/>
        <w:contextualSpacing/>
      </w:pPr>
      <w:r>
        <w:t>One RCT comparing VDZ vs PBO: GEMINI II.</w:t>
      </w:r>
    </w:p>
    <w:p w14:paraId="56650CDF" w14:textId="77777777" w:rsidR="00D24BA1" w:rsidRDefault="00D24BA1" w:rsidP="00096092">
      <w:pPr>
        <w:pStyle w:val="ListParagraph"/>
        <w:widowControl w:val="0"/>
        <w:numPr>
          <w:ilvl w:val="0"/>
          <w:numId w:val="11"/>
        </w:numPr>
        <w:spacing w:after="0"/>
        <w:contextualSpacing/>
      </w:pPr>
      <w:r>
        <w:t>One RCT comparing UPA vs PBO: U-ENDURE.</w:t>
      </w:r>
    </w:p>
    <w:p w14:paraId="5800185F" w14:textId="14CAB97A" w:rsidR="00D24BA1" w:rsidRPr="00D24BA1" w:rsidRDefault="00D24BA1" w:rsidP="00096092">
      <w:pPr>
        <w:pStyle w:val="ListParagraph"/>
        <w:widowControl w:val="0"/>
        <w:numPr>
          <w:ilvl w:val="0"/>
          <w:numId w:val="11"/>
        </w:numPr>
        <w:spacing w:after="0"/>
        <w:contextualSpacing/>
      </w:pPr>
      <w:r>
        <w:t>One RCT comparing UST vs PBO: IM-UNITI.</w:t>
      </w:r>
    </w:p>
    <w:p w14:paraId="07D81E6E" w14:textId="0C31B8FA" w:rsidR="00D24BA1" w:rsidRDefault="00D24BA1" w:rsidP="002E4F02">
      <w:pPr>
        <w:pStyle w:val="3-BodyText"/>
      </w:pPr>
      <w:r w:rsidRPr="00D24BA1">
        <w:t xml:space="preserve">Details of the trials presented in the submission are provided in </w:t>
      </w:r>
      <w:r w:rsidR="005F4460">
        <w:fldChar w:fldCharType="begin"/>
      </w:r>
      <w:r w:rsidR="005F4460">
        <w:instrText xml:space="preserve"> REF _Ref197674664 \h </w:instrText>
      </w:r>
      <w:r w:rsidR="005F4460">
        <w:fldChar w:fldCharType="separate"/>
      </w:r>
      <w:r w:rsidR="000756FD">
        <w:t xml:space="preserve">Table </w:t>
      </w:r>
      <w:r w:rsidR="000756FD">
        <w:rPr>
          <w:noProof/>
        </w:rPr>
        <w:t>4</w:t>
      </w:r>
      <w:r w:rsidR="005F4460">
        <w:fldChar w:fldCharType="end"/>
      </w:r>
      <w:r w:rsidRPr="00D24BA1">
        <w:t>.</w:t>
      </w:r>
    </w:p>
    <w:p w14:paraId="5555740B" w14:textId="5643A58D" w:rsidR="00D24BA1" w:rsidRPr="0023413C" w:rsidRDefault="005F4460" w:rsidP="00257B9F">
      <w:pPr>
        <w:pStyle w:val="Caption"/>
        <w:jc w:val="left"/>
      </w:pPr>
      <w:bookmarkStart w:id="22" w:name="_Ref197674664"/>
      <w:r>
        <w:t xml:space="preserve">Table </w:t>
      </w:r>
      <w:r w:rsidR="00DC5F25">
        <w:fldChar w:fldCharType="begin"/>
      </w:r>
      <w:r w:rsidR="00DC5F25">
        <w:instrText xml:space="preserve"> SEQ Table \* ARABIC </w:instrText>
      </w:r>
      <w:r w:rsidR="00DC5F25">
        <w:fldChar w:fldCharType="separate"/>
      </w:r>
      <w:r w:rsidR="000756FD">
        <w:rPr>
          <w:noProof/>
        </w:rPr>
        <w:t>4</w:t>
      </w:r>
      <w:r w:rsidR="00DC5F25">
        <w:rPr>
          <w:noProof/>
        </w:rPr>
        <w:fldChar w:fldCharType="end"/>
      </w:r>
      <w:bookmarkEnd w:id="22"/>
      <w:r>
        <w:t>:</w:t>
      </w:r>
      <w:r w:rsidR="00D24BA1" w:rsidRPr="0023413C">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submission"/>
      </w:tblPr>
      <w:tblGrid>
        <w:gridCol w:w="1272"/>
        <w:gridCol w:w="6095"/>
        <w:gridCol w:w="1650"/>
      </w:tblGrid>
      <w:tr w:rsidR="00D24BA1" w:rsidRPr="00B41614" w14:paraId="3E29584F" w14:textId="77777777" w:rsidTr="00286E68">
        <w:trPr>
          <w:tblHeader/>
        </w:trPr>
        <w:tc>
          <w:tcPr>
            <w:tcW w:w="705" w:type="pct"/>
            <w:vAlign w:val="center"/>
          </w:tcPr>
          <w:p w14:paraId="4A51A75B" w14:textId="77777777" w:rsidR="00D24BA1" w:rsidRPr="00B41614" w:rsidRDefault="00D24BA1" w:rsidP="00257B9F">
            <w:pPr>
              <w:pStyle w:val="In-tableHeading"/>
              <w:keepLines/>
            </w:pPr>
            <w:r w:rsidRPr="00B41614">
              <w:t>Trial ID</w:t>
            </w:r>
          </w:p>
        </w:tc>
        <w:tc>
          <w:tcPr>
            <w:tcW w:w="3380" w:type="pct"/>
            <w:vAlign w:val="center"/>
          </w:tcPr>
          <w:p w14:paraId="398E3456" w14:textId="77777777" w:rsidR="00D24BA1" w:rsidRPr="00B41614" w:rsidRDefault="00D24BA1" w:rsidP="00257B9F">
            <w:pPr>
              <w:pStyle w:val="In-tableHeading"/>
              <w:keepLines/>
            </w:pPr>
            <w:r w:rsidRPr="00B41614">
              <w:t>Protocol title/ Publication title</w:t>
            </w:r>
          </w:p>
        </w:tc>
        <w:tc>
          <w:tcPr>
            <w:tcW w:w="915" w:type="pct"/>
            <w:vAlign w:val="center"/>
          </w:tcPr>
          <w:p w14:paraId="1F7A9EC3" w14:textId="77777777" w:rsidR="00D24BA1" w:rsidRPr="00B41614" w:rsidRDefault="00D24BA1" w:rsidP="00257B9F">
            <w:pPr>
              <w:pStyle w:val="In-tableHeading"/>
              <w:keepLines/>
            </w:pPr>
            <w:r w:rsidRPr="00B41614">
              <w:t>Publication citation</w:t>
            </w:r>
          </w:p>
        </w:tc>
      </w:tr>
      <w:tr w:rsidR="00D24BA1" w:rsidRPr="00CB38A8" w14:paraId="1B7C12BA" w14:textId="77777777" w:rsidTr="00286E68">
        <w:tc>
          <w:tcPr>
            <w:tcW w:w="5000" w:type="pct"/>
            <w:gridSpan w:val="3"/>
            <w:vAlign w:val="center"/>
          </w:tcPr>
          <w:p w14:paraId="532DB4C0" w14:textId="77777777" w:rsidR="00D24BA1" w:rsidRPr="0033486C" w:rsidRDefault="00D24BA1" w:rsidP="00257B9F">
            <w:pPr>
              <w:pStyle w:val="TableText0"/>
              <w:keepLines/>
              <w:rPr>
                <w:b/>
                <w:bCs w:val="0"/>
                <w:szCs w:val="18"/>
              </w:rPr>
            </w:pPr>
            <w:r>
              <w:rPr>
                <w:b/>
                <w:bCs w:val="0"/>
              </w:rPr>
              <w:t>Guselkumab</w:t>
            </w:r>
            <w:r w:rsidRPr="0033486C">
              <w:rPr>
                <w:b/>
                <w:bCs w:val="0"/>
              </w:rPr>
              <w:t xml:space="preserve"> vs </w:t>
            </w:r>
            <w:r>
              <w:rPr>
                <w:b/>
                <w:bCs w:val="0"/>
              </w:rPr>
              <w:t>placebo and ustekinumab</w:t>
            </w:r>
            <w:r w:rsidRPr="0033486C">
              <w:rPr>
                <w:b/>
                <w:bCs w:val="0"/>
              </w:rPr>
              <w:t xml:space="preserve"> trials</w:t>
            </w:r>
          </w:p>
        </w:tc>
      </w:tr>
      <w:tr w:rsidR="00D24BA1" w:rsidRPr="00CB38A8" w14:paraId="4D936F32" w14:textId="77777777" w:rsidTr="00286E68">
        <w:tc>
          <w:tcPr>
            <w:tcW w:w="705" w:type="pct"/>
            <w:vMerge w:val="restart"/>
            <w:vAlign w:val="center"/>
          </w:tcPr>
          <w:p w14:paraId="01E72F68" w14:textId="77777777" w:rsidR="00D24BA1" w:rsidRDefault="00D24BA1" w:rsidP="00257B9F">
            <w:pPr>
              <w:pStyle w:val="TableText0"/>
              <w:keepLines/>
            </w:pPr>
            <w:r w:rsidRPr="00DA63D4">
              <w:t xml:space="preserve">GALAXI </w:t>
            </w:r>
            <w:r>
              <w:t>1</w:t>
            </w:r>
          </w:p>
          <w:p w14:paraId="1D126759" w14:textId="77777777" w:rsidR="00D24BA1" w:rsidRPr="00CB38A8" w:rsidRDefault="00D24BA1" w:rsidP="00257B9F">
            <w:pPr>
              <w:pStyle w:val="TableText0"/>
              <w:keepLines/>
            </w:pPr>
            <w:r>
              <w:t>(</w:t>
            </w:r>
            <w:r w:rsidRPr="00DA63D4">
              <w:t>NCT03466411</w:t>
            </w:r>
            <w:r>
              <w:t>)</w:t>
            </w:r>
          </w:p>
        </w:tc>
        <w:tc>
          <w:tcPr>
            <w:tcW w:w="3380" w:type="pct"/>
            <w:tcBorders>
              <w:bottom w:val="nil"/>
            </w:tcBorders>
            <w:vAlign w:val="center"/>
          </w:tcPr>
          <w:p w14:paraId="66138E82" w14:textId="77777777" w:rsidR="00D24BA1" w:rsidRPr="00AB6248" w:rsidRDefault="00D24BA1" w:rsidP="00257B9F">
            <w:pPr>
              <w:pStyle w:val="TableText0"/>
              <w:keepLines/>
              <w:rPr>
                <w:szCs w:val="18"/>
              </w:rPr>
            </w:pPr>
            <w:r w:rsidRPr="00DA63D4">
              <w:rPr>
                <w:szCs w:val="18"/>
              </w:rPr>
              <w:t>A Phase 2/3, Randomized, Double-blind, Placebo- and Active-controlled, Parallel-group, Multicenter Protocol to Evaluate the Efficacy and Safety of Guselkumab in Participants with Moderately to Severely Active Crohn's Disease - 48-WeekClinical Study Report (GALAXI 1; Phase 2).</w:t>
            </w:r>
          </w:p>
        </w:tc>
        <w:tc>
          <w:tcPr>
            <w:tcW w:w="915" w:type="pct"/>
            <w:tcBorders>
              <w:bottom w:val="nil"/>
            </w:tcBorders>
            <w:vAlign w:val="center"/>
          </w:tcPr>
          <w:p w14:paraId="174F0585" w14:textId="77777777" w:rsidR="00D24BA1" w:rsidRPr="00CB38A8" w:rsidRDefault="00D24BA1" w:rsidP="00257B9F">
            <w:pPr>
              <w:pStyle w:val="TableText0"/>
              <w:keepLines/>
            </w:pPr>
            <w:r w:rsidRPr="00DA63D4">
              <w:rPr>
                <w:szCs w:val="18"/>
              </w:rPr>
              <w:t>20 October 2023</w:t>
            </w:r>
          </w:p>
        </w:tc>
      </w:tr>
      <w:tr w:rsidR="00D24BA1" w:rsidRPr="00CB38A8" w14:paraId="519C51B7" w14:textId="77777777" w:rsidTr="00286E68">
        <w:tc>
          <w:tcPr>
            <w:tcW w:w="705" w:type="pct"/>
            <w:vMerge/>
            <w:vAlign w:val="center"/>
          </w:tcPr>
          <w:p w14:paraId="2C1DADA1" w14:textId="77777777" w:rsidR="00D24BA1" w:rsidRPr="00CB38A8" w:rsidRDefault="00D24BA1" w:rsidP="00257B9F">
            <w:pPr>
              <w:pStyle w:val="TableText0"/>
              <w:keepLines/>
            </w:pPr>
          </w:p>
        </w:tc>
        <w:tc>
          <w:tcPr>
            <w:tcW w:w="3380" w:type="pct"/>
            <w:tcBorders>
              <w:top w:val="nil"/>
              <w:bottom w:val="nil"/>
            </w:tcBorders>
            <w:vAlign w:val="center"/>
          </w:tcPr>
          <w:p w14:paraId="099AB283" w14:textId="77777777" w:rsidR="00D24BA1" w:rsidRPr="00E34A35" w:rsidRDefault="00D24BA1" w:rsidP="00257B9F">
            <w:pPr>
              <w:pStyle w:val="TableText0"/>
              <w:keepLines/>
              <w:rPr>
                <w:szCs w:val="18"/>
              </w:rPr>
            </w:pPr>
            <w:r w:rsidRPr="00DA63D4">
              <w:rPr>
                <w:szCs w:val="18"/>
              </w:rPr>
              <w:t>Sandborn et al. (2022). Guselkumab for the Treatment of Crohn's Disease: Induction Results From the Phase 2 GALAXI-1 Study.</w:t>
            </w:r>
          </w:p>
        </w:tc>
        <w:tc>
          <w:tcPr>
            <w:tcW w:w="915" w:type="pct"/>
            <w:tcBorders>
              <w:top w:val="nil"/>
              <w:bottom w:val="nil"/>
            </w:tcBorders>
            <w:vAlign w:val="center"/>
          </w:tcPr>
          <w:p w14:paraId="0EBF07D6" w14:textId="77777777" w:rsidR="00D24BA1" w:rsidRPr="00E34A35" w:rsidRDefault="00D24BA1" w:rsidP="00257B9F">
            <w:pPr>
              <w:pStyle w:val="TableText0"/>
              <w:keepLines/>
              <w:rPr>
                <w:szCs w:val="18"/>
              </w:rPr>
            </w:pPr>
            <w:r w:rsidRPr="00DA63D4">
              <w:rPr>
                <w:szCs w:val="18"/>
              </w:rPr>
              <w:t>Gastroenterology, 162</w:t>
            </w:r>
            <w:r>
              <w:rPr>
                <w:szCs w:val="18"/>
              </w:rPr>
              <w:t>:</w:t>
            </w:r>
            <w:r w:rsidRPr="00DA63D4">
              <w:rPr>
                <w:szCs w:val="18"/>
              </w:rPr>
              <w:t>1650-1664 e8</w:t>
            </w:r>
          </w:p>
        </w:tc>
      </w:tr>
      <w:tr w:rsidR="00D24BA1" w:rsidRPr="00CB38A8" w14:paraId="0CCC07AC" w14:textId="77777777" w:rsidTr="00286E68">
        <w:tc>
          <w:tcPr>
            <w:tcW w:w="705" w:type="pct"/>
            <w:vMerge/>
            <w:tcBorders>
              <w:bottom w:val="nil"/>
            </w:tcBorders>
            <w:vAlign w:val="center"/>
          </w:tcPr>
          <w:p w14:paraId="74F7C36D" w14:textId="77777777" w:rsidR="00D24BA1" w:rsidRPr="00CB38A8" w:rsidRDefault="00D24BA1" w:rsidP="00257B9F">
            <w:pPr>
              <w:pStyle w:val="TableText0"/>
              <w:keepLines/>
            </w:pPr>
          </w:p>
        </w:tc>
        <w:tc>
          <w:tcPr>
            <w:tcW w:w="3380" w:type="pct"/>
            <w:tcBorders>
              <w:top w:val="nil"/>
              <w:bottom w:val="nil"/>
            </w:tcBorders>
            <w:vAlign w:val="center"/>
          </w:tcPr>
          <w:p w14:paraId="601126A7" w14:textId="77777777" w:rsidR="00D24BA1" w:rsidRPr="00AB6248" w:rsidRDefault="00D24BA1" w:rsidP="00257B9F">
            <w:pPr>
              <w:pStyle w:val="TableText0"/>
              <w:keepLines/>
              <w:rPr>
                <w:szCs w:val="18"/>
                <w:lang w:val="en-US"/>
              </w:rPr>
            </w:pPr>
            <w:r w:rsidRPr="00DA63D4">
              <w:rPr>
                <w:szCs w:val="18"/>
                <w:lang w:val="en-US"/>
              </w:rPr>
              <w:t>Silvio Danese et al. (2024). Efficacy and safety of 48 weeks of guselkumab for patients with Crohn's disease: maintenance results from the phase 2, randomised, double-blind GALAXI-1 trial.</w:t>
            </w:r>
          </w:p>
        </w:tc>
        <w:tc>
          <w:tcPr>
            <w:tcW w:w="915" w:type="pct"/>
            <w:tcBorders>
              <w:top w:val="nil"/>
              <w:bottom w:val="nil"/>
            </w:tcBorders>
            <w:vAlign w:val="center"/>
          </w:tcPr>
          <w:p w14:paraId="0D04D0D4" w14:textId="77777777" w:rsidR="00D24BA1" w:rsidRPr="00AB6248" w:rsidRDefault="00D24BA1" w:rsidP="00257B9F">
            <w:pPr>
              <w:pStyle w:val="TableText0"/>
              <w:keepLines/>
              <w:rPr>
                <w:i/>
                <w:szCs w:val="18"/>
                <w:lang w:val="en-US"/>
              </w:rPr>
            </w:pPr>
            <w:r w:rsidRPr="00DA63D4">
              <w:rPr>
                <w:szCs w:val="18"/>
                <w:lang w:val="en-US"/>
              </w:rPr>
              <w:t>Lancet Gastroenterol Hepatol, 9</w:t>
            </w:r>
            <w:r>
              <w:rPr>
                <w:szCs w:val="18"/>
                <w:lang w:val="en-US"/>
              </w:rPr>
              <w:t>:</w:t>
            </w:r>
            <w:r w:rsidRPr="00DA63D4">
              <w:rPr>
                <w:szCs w:val="18"/>
                <w:lang w:val="en-US"/>
              </w:rPr>
              <w:t xml:space="preserve"> 133-146</w:t>
            </w:r>
          </w:p>
        </w:tc>
      </w:tr>
      <w:tr w:rsidR="00D24BA1" w:rsidRPr="00CB38A8" w14:paraId="33BB79AF" w14:textId="77777777" w:rsidTr="00286E68">
        <w:tc>
          <w:tcPr>
            <w:tcW w:w="705" w:type="pct"/>
            <w:vMerge w:val="restart"/>
            <w:vAlign w:val="center"/>
          </w:tcPr>
          <w:p w14:paraId="0A4EFCDF" w14:textId="77777777" w:rsidR="00D24BA1" w:rsidRDefault="00D24BA1" w:rsidP="00257B9F">
            <w:pPr>
              <w:pStyle w:val="TableText0"/>
              <w:keepLines/>
            </w:pPr>
            <w:r>
              <w:t>GALAXI 2</w:t>
            </w:r>
          </w:p>
          <w:p w14:paraId="1347B102" w14:textId="77777777" w:rsidR="00D24BA1" w:rsidRPr="00CB38A8" w:rsidRDefault="00D24BA1" w:rsidP="00257B9F">
            <w:pPr>
              <w:pStyle w:val="TableText0"/>
              <w:keepLines/>
            </w:pPr>
            <w:r>
              <w:t>(</w:t>
            </w:r>
            <w:r w:rsidRPr="00DA63D4">
              <w:t>NCT03466411</w:t>
            </w:r>
            <w:r>
              <w:t>)</w:t>
            </w:r>
          </w:p>
        </w:tc>
        <w:tc>
          <w:tcPr>
            <w:tcW w:w="3380" w:type="pct"/>
            <w:tcBorders>
              <w:bottom w:val="nil"/>
            </w:tcBorders>
            <w:vAlign w:val="center"/>
          </w:tcPr>
          <w:p w14:paraId="405E63D5" w14:textId="77777777" w:rsidR="00D24BA1" w:rsidRPr="00CB38A8" w:rsidRDefault="00D24BA1" w:rsidP="00257B9F">
            <w:pPr>
              <w:pStyle w:val="TableText0"/>
              <w:keepLines/>
            </w:pPr>
            <w:r w:rsidRPr="00DA63D4">
              <w:t>A Phase 2/3, Randomized, Double-blind, Placebo- and Active-controlled, Parallel-group, Multicenter Protocol to Evaluate the Efficacy and Safety of Guselkumab in Participants with Moderately to Severely Active Crohn’s Disease GALAXI - 48-WeekClinical Study Report (GALAXI2; Phase 3).</w:t>
            </w:r>
          </w:p>
        </w:tc>
        <w:tc>
          <w:tcPr>
            <w:tcW w:w="915" w:type="pct"/>
            <w:tcBorders>
              <w:bottom w:val="nil"/>
            </w:tcBorders>
            <w:vAlign w:val="center"/>
          </w:tcPr>
          <w:p w14:paraId="0028AE83" w14:textId="77777777" w:rsidR="00D24BA1" w:rsidRPr="004A2558" w:rsidRDefault="00D24BA1" w:rsidP="00257B9F">
            <w:pPr>
              <w:pStyle w:val="TableText0"/>
              <w:keepLines/>
            </w:pPr>
            <w:r w:rsidRPr="00DA63D4">
              <w:t>19 March 2024</w:t>
            </w:r>
          </w:p>
        </w:tc>
      </w:tr>
      <w:tr w:rsidR="00D24BA1" w:rsidRPr="00CB38A8" w14:paraId="0710EBFB" w14:textId="77777777" w:rsidTr="00286E68">
        <w:trPr>
          <w:trHeight w:val="439"/>
        </w:trPr>
        <w:tc>
          <w:tcPr>
            <w:tcW w:w="705" w:type="pct"/>
            <w:vMerge/>
            <w:vAlign w:val="center"/>
          </w:tcPr>
          <w:p w14:paraId="3A37FADA" w14:textId="77777777" w:rsidR="00D24BA1" w:rsidRPr="00CB38A8" w:rsidRDefault="00D24BA1" w:rsidP="00286E68">
            <w:pPr>
              <w:pStyle w:val="TableText0"/>
              <w:keepNext w:val="0"/>
            </w:pPr>
          </w:p>
        </w:tc>
        <w:tc>
          <w:tcPr>
            <w:tcW w:w="3380" w:type="pct"/>
            <w:tcBorders>
              <w:top w:val="nil"/>
            </w:tcBorders>
            <w:vAlign w:val="center"/>
          </w:tcPr>
          <w:p w14:paraId="109F61FA" w14:textId="77777777" w:rsidR="00D24BA1" w:rsidRPr="00E34A35" w:rsidRDefault="00D24BA1" w:rsidP="00286E68">
            <w:pPr>
              <w:pStyle w:val="TableText0"/>
              <w:keepNext w:val="0"/>
              <w:rPr>
                <w:szCs w:val="18"/>
              </w:rPr>
            </w:pPr>
            <w:r w:rsidRPr="00DA63D4">
              <w:rPr>
                <w:szCs w:val="18"/>
              </w:rPr>
              <w:t>Remo Panaccione, Danese, et al. (2024). Efficacy and safety of guselkumab therapy in patients with moderately to severely active Chron’s Disease: Results of the GALAXI 2 2 &amp; 3 Phase 3 Studies.</w:t>
            </w:r>
          </w:p>
        </w:tc>
        <w:tc>
          <w:tcPr>
            <w:tcW w:w="915" w:type="pct"/>
            <w:tcBorders>
              <w:top w:val="nil"/>
            </w:tcBorders>
            <w:vAlign w:val="center"/>
          </w:tcPr>
          <w:p w14:paraId="4D7E730F" w14:textId="77777777" w:rsidR="00D24BA1" w:rsidRPr="00CB38A8" w:rsidRDefault="00D24BA1" w:rsidP="00286E68">
            <w:pPr>
              <w:pStyle w:val="TableText0"/>
              <w:keepNext w:val="0"/>
              <w:rPr>
                <w:i/>
              </w:rPr>
            </w:pPr>
            <w:r w:rsidRPr="00DA63D4">
              <w:rPr>
                <w:szCs w:val="18"/>
              </w:rPr>
              <w:t>Gastroenterology, 166:5, Supplement (1057b-1057b2)</w:t>
            </w:r>
          </w:p>
        </w:tc>
      </w:tr>
      <w:tr w:rsidR="00D24BA1" w:rsidRPr="00CB38A8" w14:paraId="274EB6EC" w14:textId="77777777" w:rsidTr="00286E68">
        <w:tc>
          <w:tcPr>
            <w:tcW w:w="705" w:type="pct"/>
            <w:vMerge w:val="restart"/>
            <w:vAlign w:val="center"/>
          </w:tcPr>
          <w:p w14:paraId="2F39B462" w14:textId="77777777" w:rsidR="00D24BA1" w:rsidRDefault="00D24BA1" w:rsidP="00286E68">
            <w:pPr>
              <w:pStyle w:val="TableText0"/>
              <w:keepNext w:val="0"/>
            </w:pPr>
            <w:r>
              <w:t>GALAXI 3</w:t>
            </w:r>
          </w:p>
          <w:p w14:paraId="53C9CFEB" w14:textId="77777777" w:rsidR="00D24BA1" w:rsidRPr="00CB38A8" w:rsidRDefault="00D24BA1" w:rsidP="00286E68">
            <w:pPr>
              <w:pStyle w:val="TableText0"/>
              <w:keepNext w:val="0"/>
            </w:pPr>
            <w:r>
              <w:t>(</w:t>
            </w:r>
            <w:r w:rsidRPr="00DA63D4">
              <w:t>NCT03466411</w:t>
            </w:r>
            <w:r>
              <w:t>)</w:t>
            </w:r>
          </w:p>
        </w:tc>
        <w:tc>
          <w:tcPr>
            <w:tcW w:w="3380" w:type="pct"/>
            <w:tcBorders>
              <w:bottom w:val="nil"/>
            </w:tcBorders>
            <w:vAlign w:val="center"/>
          </w:tcPr>
          <w:p w14:paraId="003A4CAE" w14:textId="77777777" w:rsidR="00D24BA1" w:rsidRPr="00CB38A8" w:rsidRDefault="00D24BA1" w:rsidP="00286E68">
            <w:pPr>
              <w:pStyle w:val="TableText0"/>
              <w:keepNext w:val="0"/>
            </w:pPr>
            <w:r w:rsidRPr="00DA63D4">
              <w:t>A Phase 2/3, Randomized, Double-blind, Placebo- and Active-controlled, Parallel-group, Multicenter Protocol to Evaluate the Efficacy and Safety of Guselkumab in Participants with Moderately to Severely Active Crohn’s Disease GALAXI - 48-WeekClinical Study Report (GALAXI3; Phase 3).</w:t>
            </w:r>
          </w:p>
        </w:tc>
        <w:tc>
          <w:tcPr>
            <w:tcW w:w="915" w:type="pct"/>
            <w:tcBorders>
              <w:bottom w:val="nil"/>
            </w:tcBorders>
            <w:vAlign w:val="center"/>
          </w:tcPr>
          <w:p w14:paraId="579C6EAD" w14:textId="77777777" w:rsidR="00D24BA1" w:rsidRPr="00CB38A8" w:rsidRDefault="00D24BA1" w:rsidP="00286E68">
            <w:pPr>
              <w:pStyle w:val="TableText0"/>
              <w:keepNext w:val="0"/>
            </w:pPr>
            <w:r w:rsidRPr="00DA63D4">
              <w:t>18 March 2024</w:t>
            </w:r>
          </w:p>
        </w:tc>
      </w:tr>
      <w:tr w:rsidR="00D24BA1" w:rsidRPr="00CB38A8" w14:paraId="4E6289E7" w14:textId="77777777" w:rsidTr="00286E68">
        <w:tc>
          <w:tcPr>
            <w:tcW w:w="705" w:type="pct"/>
            <w:vMerge/>
            <w:tcBorders>
              <w:bottom w:val="nil"/>
            </w:tcBorders>
            <w:vAlign w:val="center"/>
          </w:tcPr>
          <w:p w14:paraId="11CC35F5" w14:textId="77777777" w:rsidR="00D24BA1" w:rsidRDefault="00D24BA1" w:rsidP="00286E68">
            <w:pPr>
              <w:pStyle w:val="TableText0"/>
              <w:keepNext w:val="0"/>
            </w:pPr>
          </w:p>
        </w:tc>
        <w:tc>
          <w:tcPr>
            <w:tcW w:w="3380" w:type="pct"/>
            <w:tcBorders>
              <w:top w:val="nil"/>
              <w:bottom w:val="single" w:sz="4" w:space="0" w:color="auto"/>
            </w:tcBorders>
            <w:vAlign w:val="center"/>
          </w:tcPr>
          <w:p w14:paraId="623EB0A6" w14:textId="77777777" w:rsidR="00D24BA1" w:rsidRPr="00DA63D4" w:rsidRDefault="00D24BA1" w:rsidP="00286E68">
            <w:pPr>
              <w:pStyle w:val="TableText0"/>
              <w:keepNext w:val="0"/>
            </w:pPr>
            <w:r w:rsidRPr="00DA63D4">
              <w:rPr>
                <w:szCs w:val="18"/>
              </w:rPr>
              <w:t>Remo Panaccione, Danese, et al. (2024). Efficacy and safety of guselkumab therapy in patients with moderately to severely active Chron’s Disease: Results of the GALAXI 2 2 &amp; 3 Phase 3 Studies.</w:t>
            </w:r>
          </w:p>
        </w:tc>
        <w:tc>
          <w:tcPr>
            <w:tcW w:w="915" w:type="pct"/>
            <w:tcBorders>
              <w:top w:val="nil"/>
              <w:bottom w:val="single" w:sz="4" w:space="0" w:color="auto"/>
            </w:tcBorders>
            <w:vAlign w:val="center"/>
          </w:tcPr>
          <w:p w14:paraId="1A0BB66F" w14:textId="77777777" w:rsidR="00D24BA1" w:rsidRPr="00DA63D4" w:rsidRDefault="00D24BA1" w:rsidP="00286E68">
            <w:pPr>
              <w:pStyle w:val="TableText0"/>
              <w:keepNext w:val="0"/>
            </w:pPr>
            <w:r w:rsidRPr="00DA63D4">
              <w:rPr>
                <w:szCs w:val="18"/>
              </w:rPr>
              <w:t>Gastroenterology, 166:5, Supplement (1057b-1057b2)</w:t>
            </w:r>
          </w:p>
        </w:tc>
      </w:tr>
      <w:tr w:rsidR="00D24BA1" w:rsidRPr="00CB38A8" w14:paraId="0AB6D794" w14:textId="77777777" w:rsidTr="00286E68">
        <w:tc>
          <w:tcPr>
            <w:tcW w:w="5000" w:type="pct"/>
            <w:gridSpan w:val="3"/>
            <w:tcBorders>
              <w:bottom w:val="nil"/>
            </w:tcBorders>
            <w:vAlign w:val="center"/>
          </w:tcPr>
          <w:p w14:paraId="35514AFF" w14:textId="77777777" w:rsidR="00D24BA1" w:rsidRPr="0033486C" w:rsidRDefault="00D24BA1" w:rsidP="00286E68">
            <w:pPr>
              <w:pStyle w:val="TableText0"/>
              <w:keepNext w:val="0"/>
              <w:rPr>
                <w:b/>
                <w:bCs w:val="0"/>
                <w:szCs w:val="18"/>
              </w:rPr>
            </w:pPr>
            <w:r>
              <w:rPr>
                <w:b/>
                <w:bCs w:val="0"/>
                <w:szCs w:val="18"/>
              </w:rPr>
              <w:t>Guselkumab vs placebo trial</w:t>
            </w:r>
          </w:p>
        </w:tc>
      </w:tr>
      <w:tr w:rsidR="00D24BA1" w:rsidRPr="00CB38A8" w14:paraId="6453147B" w14:textId="77777777" w:rsidTr="00185675">
        <w:trPr>
          <w:trHeight w:val="734"/>
        </w:trPr>
        <w:tc>
          <w:tcPr>
            <w:tcW w:w="705" w:type="pct"/>
            <w:vAlign w:val="center"/>
          </w:tcPr>
          <w:p w14:paraId="2379126C" w14:textId="77777777" w:rsidR="00D24BA1" w:rsidRDefault="00D24BA1" w:rsidP="00286E68">
            <w:pPr>
              <w:pStyle w:val="TableText0"/>
              <w:keepNext w:val="0"/>
            </w:pPr>
            <w:r>
              <w:t>GRAVITI</w:t>
            </w:r>
          </w:p>
          <w:p w14:paraId="76C481E9" w14:textId="77777777" w:rsidR="00D24BA1" w:rsidRPr="00CB38A8" w:rsidRDefault="00D24BA1" w:rsidP="00286E68">
            <w:pPr>
              <w:pStyle w:val="TableText0"/>
              <w:keepNext w:val="0"/>
            </w:pPr>
            <w:r>
              <w:t>(</w:t>
            </w:r>
            <w:r w:rsidRPr="0033486C">
              <w:t>NCT05197049</w:t>
            </w:r>
            <w:r>
              <w:t>)</w:t>
            </w:r>
          </w:p>
        </w:tc>
        <w:tc>
          <w:tcPr>
            <w:tcW w:w="3380" w:type="pct"/>
            <w:vAlign w:val="center"/>
          </w:tcPr>
          <w:p w14:paraId="6BB8CF30" w14:textId="77777777" w:rsidR="00D24BA1" w:rsidRPr="00E34A35" w:rsidRDefault="00D24BA1" w:rsidP="00286E68">
            <w:pPr>
              <w:pStyle w:val="TableText0"/>
              <w:keepNext w:val="0"/>
              <w:rPr>
                <w:szCs w:val="18"/>
              </w:rPr>
            </w:pPr>
            <w:r w:rsidRPr="0033486C">
              <w:rPr>
                <w:szCs w:val="18"/>
              </w:rPr>
              <w:t>A Randomized, Double-blind, Placebo-controlled, Parallel-group, Multicenter Study to Evaluate the Efficacy and Safety of Guselkumab Subcutaneous Induction Therapy in Participants with Moderately to Severely Active Crohn's Disease - 48-WeekClinical Study Report (GRAVITI)</w:t>
            </w:r>
          </w:p>
        </w:tc>
        <w:tc>
          <w:tcPr>
            <w:tcW w:w="915" w:type="pct"/>
            <w:vAlign w:val="center"/>
          </w:tcPr>
          <w:p w14:paraId="2BF154E8" w14:textId="77777777" w:rsidR="00D24BA1" w:rsidRDefault="00D24BA1" w:rsidP="00286E68">
            <w:pPr>
              <w:pStyle w:val="TableText0"/>
              <w:keepNext w:val="0"/>
            </w:pPr>
            <w:r w:rsidRPr="0033486C">
              <w:t>7 June 2024</w:t>
            </w:r>
          </w:p>
        </w:tc>
      </w:tr>
      <w:tr w:rsidR="00D24BA1" w:rsidRPr="00CB38A8" w14:paraId="255CF21D" w14:textId="77777777" w:rsidTr="00286E68">
        <w:tc>
          <w:tcPr>
            <w:tcW w:w="5000" w:type="pct"/>
            <w:gridSpan w:val="3"/>
            <w:tcBorders>
              <w:top w:val="nil"/>
              <w:bottom w:val="single" w:sz="4" w:space="0" w:color="auto"/>
            </w:tcBorders>
            <w:vAlign w:val="center"/>
          </w:tcPr>
          <w:p w14:paraId="6245A878" w14:textId="77777777" w:rsidR="00D24BA1" w:rsidRPr="0033486C" w:rsidRDefault="00D24BA1" w:rsidP="00286E68">
            <w:pPr>
              <w:pStyle w:val="TableText0"/>
              <w:keepNext w:val="0"/>
              <w:rPr>
                <w:b/>
                <w:bCs w:val="0"/>
                <w:iCs/>
                <w:szCs w:val="18"/>
              </w:rPr>
            </w:pPr>
            <w:r>
              <w:rPr>
                <w:b/>
                <w:bCs w:val="0"/>
                <w:iCs/>
                <w:szCs w:val="18"/>
              </w:rPr>
              <w:t>Infliximab vs placebo trials</w:t>
            </w:r>
          </w:p>
        </w:tc>
      </w:tr>
      <w:tr w:rsidR="00D24BA1" w:rsidRPr="00CB38A8" w14:paraId="53EDE4B4" w14:textId="77777777" w:rsidTr="00286E68">
        <w:tc>
          <w:tcPr>
            <w:tcW w:w="705" w:type="pct"/>
            <w:tcBorders>
              <w:top w:val="nil"/>
              <w:bottom w:val="single" w:sz="4" w:space="0" w:color="auto"/>
            </w:tcBorders>
            <w:shd w:val="clear" w:color="auto" w:fill="B8CCE4" w:themeFill="accent1" w:themeFillTint="66"/>
            <w:vAlign w:val="center"/>
          </w:tcPr>
          <w:p w14:paraId="79C1194D" w14:textId="77777777" w:rsidR="00D24BA1" w:rsidRDefault="00D24BA1" w:rsidP="00286E68">
            <w:pPr>
              <w:pStyle w:val="TableText0"/>
              <w:keepNext w:val="0"/>
            </w:pPr>
            <w:r>
              <w:t>T16</w:t>
            </w:r>
          </w:p>
          <w:p w14:paraId="7FF485D8" w14:textId="77777777" w:rsidR="00D24BA1" w:rsidRDefault="00D24BA1" w:rsidP="00286E68">
            <w:pPr>
              <w:pStyle w:val="TableText0"/>
              <w:keepNext w:val="0"/>
            </w:pPr>
            <w:r>
              <w:t>(</w:t>
            </w:r>
            <w:r w:rsidRPr="0033486C">
              <w:t>NCT00269854</w:t>
            </w:r>
            <w:r>
              <w:t>)</w:t>
            </w:r>
          </w:p>
        </w:tc>
        <w:tc>
          <w:tcPr>
            <w:tcW w:w="3380" w:type="pct"/>
            <w:tcBorders>
              <w:top w:val="nil"/>
              <w:bottom w:val="single" w:sz="4" w:space="0" w:color="auto"/>
            </w:tcBorders>
            <w:shd w:val="clear" w:color="auto" w:fill="B8CCE4" w:themeFill="accent1" w:themeFillTint="66"/>
            <w:vAlign w:val="center"/>
          </w:tcPr>
          <w:p w14:paraId="62BFBECE" w14:textId="77777777" w:rsidR="00D24BA1" w:rsidRDefault="00D24BA1" w:rsidP="00286E68">
            <w:pPr>
              <w:pStyle w:val="TableText0"/>
              <w:keepNext w:val="0"/>
              <w:rPr>
                <w:szCs w:val="18"/>
              </w:rPr>
            </w:pPr>
            <w:proofErr w:type="spellStart"/>
            <w:r w:rsidRPr="0033486C">
              <w:rPr>
                <w:szCs w:val="18"/>
              </w:rPr>
              <w:t>Targan</w:t>
            </w:r>
            <w:proofErr w:type="spellEnd"/>
            <w:r w:rsidRPr="0033486C">
              <w:rPr>
                <w:szCs w:val="18"/>
              </w:rPr>
              <w:t xml:space="preserve"> et al. (1997). A short-term study of chimeric monoclonal antibody cA2 to </w:t>
            </w:r>
            <w:proofErr w:type="spellStart"/>
            <w:r w:rsidRPr="0033486C">
              <w:rPr>
                <w:szCs w:val="18"/>
              </w:rPr>
              <w:t>tumor</w:t>
            </w:r>
            <w:proofErr w:type="spellEnd"/>
            <w:r w:rsidRPr="0033486C">
              <w:rPr>
                <w:szCs w:val="18"/>
              </w:rPr>
              <w:t xml:space="preserve"> necrosis factor alpha for Crohn's disease. Crohn's Disease cA2 Study Group. </w:t>
            </w:r>
          </w:p>
        </w:tc>
        <w:tc>
          <w:tcPr>
            <w:tcW w:w="915" w:type="pct"/>
            <w:tcBorders>
              <w:top w:val="nil"/>
              <w:bottom w:val="single" w:sz="4" w:space="0" w:color="auto"/>
            </w:tcBorders>
            <w:shd w:val="clear" w:color="auto" w:fill="B8CCE4" w:themeFill="accent1" w:themeFillTint="66"/>
            <w:vAlign w:val="center"/>
          </w:tcPr>
          <w:p w14:paraId="7107D11B" w14:textId="77777777" w:rsidR="00D24BA1" w:rsidRPr="00F74CD9" w:rsidRDefault="00D24BA1" w:rsidP="00286E68">
            <w:pPr>
              <w:pStyle w:val="TableText0"/>
              <w:keepNext w:val="0"/>
              <w:rPr>
                <w:i/>
                <w:szCs w:val="18"/>
              </w:rPr>
            </w:pPr>
            <w:r w:rsidRPr="0033486C">
              <w:rPr>
                <w:szCs w:val="18"/>
              </w:rPr>
              <w:t>N Engl J Med, 337(15)</w:t>
            </w:r>
            <w:r>
              <w:rPr>
                <w:szCs w:val="18"/>
              </w:rPr>
              <w:t>:</w:t>
            </w:r>
            <w:r w:rsidRPr="0033486C">
              <w:rPr>
                <w:szCs w:val="18"/>
              </w:rPr>
              <w:t>1029-1035</w:t>
            </w:r>
          </w:p>
        </w:tc>
      </w:tr>
      <w:tr w:rsidR="00D24BA1" w:rsidRPr="00CB38A8" w14:paraId="3252DD23" w14:textId="77777777" w:rsidTr="00286E68">
        <w:tc>
          <w:tcPr>
            <w:tcW w:w="705" w:type="pct"/>
            <w:tcBorders>
              <w:top w:val="nil"/>
              <w:bottom w:val="single" w:sz="4" w:space="0" w:color="auto"/>
            </w:tcBorders>
            <w:shd w:val="clear" w:color="auto" w:fill="B8CCE4" w:themeFill="accent1" w:themeFillTint="66"/>
            <w:vAlign w:val="center"/>
          </w:tcPr>
          <w:p w14:paraId="686BBCCF" w14:textId="77777777" w:rsidR="00D24BA1" w:rsidRDefault="00D24BA1" w:rsidP="00286E68">
            <w:pPr>
              <w:pStyle w:val="TableText0"/>
              <w:keepNext w:val="0"/>
            </w:pPr>
            <w:r w:rsidRPr="003C1331">
              <w:t>ACCENT I</w:t>
            </w:r>
          </w:p>
          <w:p w14:paraId="08372EDD" w14:textId="77777777" w:rsidR="00D24BA1" w:rsidRDefault="00D24BA1" w:rsidP="00286E68">
            <w:pPr>
              <w:pStyle w:val="TableText0"/>
              <w:keepNext w:val="0"/>
            </w:pPr>
            <w:r>
              <w:t>(</w:t>
            </w:r>
            <w:r w:rsidRPr="003C1331">
              <w:t>NCT00207662</w:t>
            </w:r>
            <w:r>
              <w:t>)</w:t>
            </w:r>
          </w:p>
        </w:tc>
        <w:tc>
          <w:tcPr>
            <w:tcW w:w="3380" w:type="pct"/>
            <w:tcBorders>
              <w:top w:val="nil"/>
              <w:bottom w:val="single" w:sz="4" w:space="0" w:color="auto"/>
            </w:tcBorders>
            <w:shd w:val="clear" w:color="auto" w:fill="B8CCE4" w:themeFill="accent1" w:themeFillTint="66"/>
            <w:vAlign w:val="center"/>
          </w:tcPr>
          <w:p w14:paraId="480D89B5" w14:textId="77777777" w:rsidR="00D24BA1" w:rsidRDefault="00D24BA1" w:rsidP="00286E68">
            <w:pPr>
              <w:pStyle w:val="TableText0"/>
              <w:keepNext w:val="0"/>
              <w:rPr>
                <w:szCs w:val="18"/>
              </w:rPr>
            </w:pPr>
            <w:r w:rsidRPr="003C1331">
              <w:rPr>
                <w:szCs w:val="18"/>
              </w:rPr>
              <w:t xml:space="preserve">Hanauer et al. (2002). Maintenance infliximab for Crohn's disease: the ACCENT 1 randomised trial. </w:t>
            </w:r>
          </w:p>
        </w:tc>
        <w:tc>
          <w:tcPr>
            <w:tcW w:w="915" w:type="pct"/>
            <w:tcBorders>
              <w:top w:val="nil"/>
              <w:bottom w:val="single" w:sz="4" w:space="0" w:color="auto"/>
            </w:tcBorders>
            <w:shd w:val="clear" w:color="auto" w:fill="B8CCE4" w:themeFill="accent1" w:themeFillTint="66"/>
            <w:vAlign w:val="center"/>
          </w:tcPr>
          <w:p w14:paraId="4A68D226" w14:textId="77777777" w:rsidR="00D24BA1" w:rsidRPr="00F74CD9" w:rsidRDefault="00D24BA1" w:rsidP="00286E68">
            <w:pPr>
              <w:pStyle w:val="TableText0"/>
              <w:keepNext w:val="0"/>
              <w:rPr>
                <w:i/>
                <w:szCs w:val="18"/>
              </w:rPr>
            </w:pPr>
            <w:r w:rsidRPr="003C1331">
              <w:rPr>
                <w:szCs w:val="18"/>
              </w:rPr>
              <w:t>Lancet, 359(9317)</w:t>
            </w:r>
            <w:r>
              <w:rPr>
                <w:szCs w:val="18"/>
              </w:rPr>
              <w:t>:</w:t>
            </w:r>
            <w:r w:rsidRPr="003C1331">
              <w:rPr>
                <w:szCs w:val="18"/>
              </w:rPr>
              <w:t>1541-1549</w:t>
            </w:r>
          </w:p>
        </w:tc>
      </w:tr>
      <w:tr w:rsidR="00D24BA1" w:rsidRPr="00CB38A8" w14:paraId="3335797E" w14:textId="77777777" w:rsidTr="00286E68">
        <w:tc>
          <w:tcPr>
            <w:tcW w:w="5000" w:type="pct"/>
            <w:gridSpan w:val="3"/>
            <w:tcBorders>
              <w:top w:val="nil"/>
              <w:bottom w:val="single" w:sz="4" w:space="0" w:color="auto"/>
            </w:tcBorders>
            <w:vAlign w:val="center"/>
          </w:tcPr>
          <w:p w14:paraId="2FFA5FAF" w14:textId="77777777" w:rsidR="00D24BA1" w:rsidRPr="000E0C15" w:rsidRDefault="00D24BA1" w:rsidP="00286E68">
            <w:pPr>
              <w:pStyle w:val="TableText0"/>
              <w:keepNext w:val="0"/>
              <w:rPr>
                <w:b/>
                <w:bCs w:val="0"/>
                <w:szCs w:val="18"/>
              </w:rPr>
            </w:pPr>
            <w:r>
              <w:rPr>
                <w:b/>
                <w:bCs w:val="0"/>
                <w:szCs w:val="18"/>
              </w:rPr>
              <w:t>Adalimumab vs placebo trials</w:t>
            </w:r>
          </w:p>
        </w:tc>
      </w:tr>
      <w:tr w:rsidR="00D24BA1" w:rsidRPr="00CB38A8" w14:paraId="1C492B41" w14:textId="77777777" w:rsidTr="00286E68">
        <w:tc>
          <w:tcPr>
            <w:tcW w:w="705" w:type="pct"/>
            <w:tcBorders>
              <w:top w:val="nil"/>
              <w:bottom w:val="single" w:sz="4" w:space="0" w:color="auto"/>
            </w:tcBorders>
            <w:shd w:val="clear" w:color="auto" w:fill="B8CCE4" w:themeFill="accent1" w:themeFillTint="66"/>
            <w:vAlign w:val="center"/>
          </w:tcPr>
          <w:p w14:paraId="2582A41A" w14:textId="77777777" w:rsidR="00D24BA1" w:rsidRDefault="00D24BA1" w:rsidP="00286E68">
            <w:pPr>
              <w:pStyle w:val="TableText0"/>
              <w:keepNext w:val="0"/>
            </w:pPr>
            <w:r w:rsidRPr="000E0C15">
              <w:t>CLASSIC I</w:t>
            </w:r>
          </w:p>
          <w:p w14:paraId="1FDE3E4F" w14:textId="77777777" w:rsidR="00D24BA1" w:rsidRPr="003C1331" w:rsidRDefault="00D24BA1" w:rsidP="00286E68">
            <w:pPr>
              <w:pStyle w:val="TableText0"/>
              <w:keepNext w:val="0"/>
            </w:pPr>
            <w:r>
              <w:t>(</w:t>
            </w:r>
            <w:r w:rsidRPr="000E0C15">
              <w:t>NCT00055523</w:t>
            </w:r>
            <w:r>
              <w:t>)</w:t>
            </w:r>
          </w:p>
        </w:tc>
        <w:tc>
          <w:tcPr>
            <w:tcW w:w="3380" w:type="pct"/>
            <w:tcBorders>
              <w:top w:val="nil"/>
              <w:bottom w:val="single" w:sz="4" w:space="0" w:color="auto"/>
            </w:tcBorders>
            <w:shd w:val="clear" w:color="auto" w:fill="B8CCE4" w:themeFill="accent1" w:themeFillTint="66"/>
            <w:vAlign w:val="center"/>
          </w:tcPr>
          <w:p w14:paraId="2C090D67" w14:textId="77777777" w:rsidR="00D24BA1" w:rsidRPr="003C1331" w:rsidRDefault="00D24BA1" w:rsidP="00286E68">
            <w:pPr>
              <w:pStyle w:val="TableText0"/>
              <w:keepNext w:val="0"/>
              <w:rPr>
                <w:szCs w:val="18"/>
              </w:rPr>
            </w:pPr>
            <w:r w:rsidRPr="000E0C15">
              <w:rPr>
                <w:szCs w:val="18"/>
              </w:rPr>
              <w:t>Hanauer et al. (2006). Human anti-</w:t>
            </w:r>
            <w:proofErr w:type="spellStart"/>
            <w:r w:rsidRPr="000E0C15">
              <w:rPr>
                <w:szCs w:val="18"/>
              </w:rPr>
              <w:t>tumor</w:t>
            </w:r>
            <w:proofErr w:type="spellEnd"/>
            <w:r w:rsidRPr="000E0C15">
              <w:rPr>
                <w:szCs w:val="18"/>
              </w:rPr>
              <w:t xml:space="preserve"> necrosis factor monoclonal antibody (adalimumab) in Crohn's disease: the CLASSIC I trial. </w:t>
            </w:r>
          </w:p>
        </w:tc>
        <w:tc>
          <w:tcPr>
            <w:tcW w:w="915" w:type="pct"/>
            <w:tcBorders>
              <w:top w:val="nil"/>
              <w:bottom w:val="single" w:sz="4" w:space="0" w:color="auto"/>
            </w:tcBorders>
            <w:shd w:val="clear" w:color="auto" w:fill="B8CCE4" w:themeFill="accent1" w:themeFillTint="66"/>
            <w:vAlign w:val="center"/>
          </w:tcPr>
          <w:p w14:paraId="725404CD" w14:textId="77777777" w:rsidR="00D24BA1" w:rsidRPr="003C1331" w:rsidRDefault="00D24BA1" w:rsidP="00286E68">
            <w:pPr>
              <w:pStyle w:val="TableText0"/>
              <w:keepNext w:val="0"/>
              <w:rPr>
                <w:szCs w:val="18"/>
              </w:rPr>
            </w:pPr>
            <w:r w:rsidRPr="000E0C15">
              <w:rPr>
                <w:szCs w:val="18"/>
              </w:rPr>
              <w:t>Gastroenterology, 130(2)</w:t>
            </w:r>
            <w:r>
              <w:rPr>
                <w:szCs w:val="18"/>
              </w:rPr>
              <w:t>:</w:t>
            </w:r>
            <w:r w:rsidRPr="000E0C15">
              <w:rPr>
                <w:szCs w:val="18"/>
              </w:rPr>
              <w:t>323-333</w:t>
            </w:r>
          </w:p>
        </w:tc>
      </w:tr>
      <w:tr w:rsidR="00D24BA1" w:rsidRPr="00CB38A8" w14:paraId="34E865F2" w14:textId="77777777" w:rsidTr="00286E68">
        <w:tc>
          <w:tcPr>
            <w:tcW w:w="705" w:type="pct"/>
            <w:tcBorders>
              <w:top w:val="nil"/>
              <w:bottom w:val="single" w:sz="4" w:space="0" w:color="auto"/>
            </w:tcBorders>
            <w:shd w:val="clear" w:color="auto" w:fill="B8CCE4" w:themeFill="accent1" w:themeFillTint="66"/>
            <w:vAlign w:val="center"/>
          </w:tcPr>
          <w:p w14:paraId="3E0D1CFA" w14:textId="77777777" w:rsidR="00D24BA1" w:rsidRDefault="00D24BA1" w:rsidP="00286E68">
            <w:pPr>
              <w:pStyle w:val="TableText0"/>
              <w:keepNext w:val="0"/>
            </w:pPr>
            <w:r>
              <w:lastRenderedPageBreak/>
              <w:t>GAIN</w:t>
            </w:r>
          </w:p>
          <w:p w14:paraId="181D7DC9" w14:textId="77777777" w:rsidR="00D24BA1" w:rsidRPr="003C1331" w:rsidRDefault="00D24BA1" w:rsidP="00286E68">
            <w:pPr>
              <w:pStyle w:val="TableText0"/>
              <w:keepNext w:val="0"/>
            </w:pPr>
            <w:r>
              <w:t>(</w:t>
            </w:r>
            <w:r w:rsidRPr="000E0C15">
              <w:t>NCT00105300</w:t>
            </w:r>
            <w:r>
              <w:t>)</w:t>
            </w:r>
          </w:p>
        </w:tc>
        <w:tc>
          <w:tcPr>
            <w:tcW w:w="3380" w:type="pct"/>
            <w:tcBorders>
              <w:top w:val="nil"/>
              <w:bottom w:val="single" w:sz="4" w:space="0" w:color="auto"/>
            </w:tcBorders>
            <w:shd w:val="clear" w:color="auto" w:fill="B8CCE4" w:themeFill="accent1" w:themeFillTint="66"/>
            <w:vAlign w:val="center"/>
          </w:tcPr>
          <w:p w14:paraId="3E6F4F20" w14:textId="77777777" w:rsidR="00D24BA1" w:rsidRPr="003C1331" w:rsidRDefault="00D24BA1" w:rsidP="00286E68">
            <w:pPr>
              <w:pStyle w:val="TableText0"/>
              <w:keepNext w:val="0"/>
              <w:rPr>
                <w:szCs w:val="18"/>
              </w:rPr>
            </w:pPr>
            <w:r w:rsidRPr="000E0C15">
              <w:rPr>
                <w:szCs w:val="18"/>
              </w:rPr>
              <w:t>Sandborn et al. (2007). Adalimumab induction therapy for Crohn disease previously treated with infliximab: a randomized trial.</w:t>
            </w:r>
          </w:p>
        </w:tc>
        <w:tc>
          <w:tcPr>
            <w:tcW w:w="915" w:type="pct"/>
            <w:tcBorders>
              <w:top w:val="nil"/>
              <w:bottom w:val="single" w:sz="4" w:space="0" w:color="auto"/>
            </w:tcBorders>
            <w:shd w:val="clear" w:color="auto" w:fill="B8CCE4" w:themeFill="accent1" w:themeFillTint="66"/>
            <w:vAlign w:val="center"/>
          </w:tcPr>
          <w:p w14:paraId="4F3B66ED" w14:textId="77777777" w:rsidR="00D24BA1" w:rsidRPr="003C1331" w:rsidRDefault="00D24BA1" w:rsidP="00286E68">
            <w:pPr>
              <w:pStyle w:val="TableText0"/>
              <w:keepNext w:val="0"/>
              <w:rPr>
                <w:szCs w:val="18"/>
              </w:rPr>
            </w:pPr>
            <w:r w:rsidRPr="000E0C15">
              <w:rPr>
                <w:szCs w:val="18"/>
              </w:rPr>
              <w:t>Ann Intern Med, 146(12)</w:t>
            </w:r>
            <w:r>
              <w:rPr>
                <w:szCs w:val="18"/>
              </w:rPr>
              <w:t>:</w:t>
            </w:r>
            <w:r w:rsidRPr="000E0C15">
              <w:rPr>
                <w:szCs w:val="18"/>
              </w:rPr>
              <w:t>829-838</w:t>
            </w:r>
          </w:p>
        </w:tc>
      </w:tr>
      <w:tr w:rsidR="00D24BA1" w:rsidRPr="00CB38A8" w14:paraId="34F739AE" w14:textId="77777777" w:rsidTr="00286E68">
        <w:tc>
          <w:tcPr>
            <w:tcW w:w="705" w:type="pct"/>
            <w:tcBorders>
              <w:top w:val="nil"/>
              <w:bottom w:val="single" w:sz="4" w:space="0" w:color="auto"/>
            </w:tcBorders>
            <w:shd w:val="clear" w:color="auto" w:fill="B8CCE4" w:themeFill="accent1" w:themeFillTint="66"/>
            <w:vAlign w:val="center"/>
          </w:tcPr>
          <w:p w14:paraId="529BB234" w14:textId="77777777" w:rsidR="00D24BA1" w:rsidRDefault="00D24BA1" w:rsidP="00286E68">
            <w:pPr>
              <w:pStyle w:val="TableText0"/>
              <w:keepNext w:val="0"/>
            </w:pPr>
            <w:r w:rsidRPr="000E0C15">
              <w:t>CHARM</w:t>
            </w:r>
          </w:p>
          <w:p w14:paraId="3A10650F" w14:textId="77777777" w:rsidR="00D24BA1" w:rsidRPr="003C1331" w:rsidRDefault="00D24BA1" w:rsidP="00286E68">
            <w:pPr>
              <w:pStyle w:val="TableText0"/>
              <w:keepNext w:val="0"/>
            </w:pPr>
            <w:r>
              <w:t>(</w:t>
            </w:r>
            <w:r w:rsidRPr="000E0C15">
              <w:t>NCT00077779</w:t>
            </w:r>
            <w:r>
              <w:t>)</w:t>
            </w:r>
          </w:p>
        </w:tc>
        <w:tc>
          <w:tcPr>
            <w:tcW w:w="3380" w:type="pct"/>
            <w:tcBorders>
              <w:top w:val="nil"/>
              <w:bottom w:val="single" w:sz="4" w:space="0" w:color="auto"/>
            </w:tcBorders>
            <w:shd w:val="clear" w:color="auto" w:fill="B8CCE4" w:themeFill="accent1" w:themeFillTint="66"/>
            <w:vAlign w:val="center"/>
          </w:tcPr>
          <w:p w14:paraId="2201C712" w14:textId="77777777" w:rsidR="00D24BA1" w:rsidRPr="003C1331" w:rsidRDefault="00D24BA1" w:rsidP="00286E68">
            <w:pPr>
              <w:pStyle w:val="TableText0"/>
              <w:keepNext w:val="0"/>
              <w:rPr>
                <w:szCs w:val="18"/>
              </w:rPr>
            </w:pPr>
            <w:r w:rsidRPr="000E0C15">
              <w:rPr>
                <w:szCs w:val="18"/>
              </w:rPr>
              <w:t>Colombel et al. (2007). Adalimumab for maintenance of clinical response and remission in patients with Crohn's disease: the CHARM trial.</w:t>
            </w:r>
          </w:p>
        </w:tc>
        <w:tc>
          <w:tcPr>
            <w:tcW w:w="915" w:type="pct"/>
            <w:tcBorders>
              <w:top w:val="nil"/>
              <w:bottom w:val="single" w:sz="4" w:space="0" w:color="auto"/>
            </w:tcBorders>
            <w:shd w:val="clear" w:color="auto" w:fill="B8CCE4" w:themeFill="accent1" w:themeFillTint="66"/>
            <w:vAlign w:val="center"/>
          </w:tcPr>
          <w:p w14:paraId="393EB01E" w14:textId="77777777" w:rsidR="00D24BA1" w:rsidRPr="003C1331" w:rsidRDefault="00D24BA1" w:rsidP="00286E68">
            <w:pPr>
              <w:pStyle w:val="TableText0"/>
              <w:keepNext w:val="0"/>
              <w:rPr>
                <w:szCs w:val="18"/>
              </w:rPr>
            </w:pPr>
            <w:r w:rsidRPr="000E0C15">
              <w:rPr>
                <w:szCs w:val="18"/>
              </w:rPr>
              <w:t>Gastroenterology, 132</w:t>
            </w:r>
            <w:r>
              <w:rPr>
                <w:szCs w:val="18"/>
              </w:rPr>
              <w:t>(1):</w:t>
            </w:r>
            <w:r w:rsidRPr="000E0C15">
              <w:rPr>
                <w:szCs w:val="18"/>
              </w:rPr>
              <w:t>52-65</w:t>
            </w:r>
          </w:p>
        </w:tc>
      </w:tr>
      <w:tr w:rsidR="00D24BA1" w:rsidRPr="00CB38A8" w14:paraId="14E08FC9" w14:textId="77777777" w:rsidTr="00286E68">
        <w:tc>
          <w:tcPr>
            <w:tcW w:w="705" w:type="pct"/>
            <w:tcBorders>
              <w:top w:val="nil"/>
              <w:bottom w:val="single" w:sz="4" w:space="0" w:color="auto"/>
            </w:tcBorders>
            <w:shd w:val="clear" w:color="auto" w:fill="B8CCE4" w:themeFill="accent1" w:themeFillTint="66"/>
            <w:vAlign w:val="center"/>
          </w:tcPr>
          <w:p w14:paraId="0B6C8654" w14:textId="77777777" w:rsidR="00D24BA1" w:rsidRDefault="00D24BA1" w:rsidP="00286E68">
            <w:pPr>
              <w:pStyle w:val="TableText0"/>
              <w:keepNext w:val="0"/>
            </w:pPr>
            <w:r w:rsidRPr="009E0A87">
              <w:t>Watanabe 2012</w:t>
            </w:r>
          </w:p>
          <w:p w14:paraId="5D6A0E3E" w14:textId="77777777" w:rsidR="00D24BA1" w:rsidRPr="003C1331" w:rsidRDefault="00D24BA1" w:rsidP="00286E68">
            <w:pPr>
              <w:pStyle w:val="TableText0"/>
              <w:keepNext w:val="0"/>
            </w:pPr>
            <w:r>
              <w:t>(</w:t>
            </w:r>
            <w:r w:rsidRPr="009E0A87">
              <w:t>NCT00445939</w:t>
            </w:r>
            <w:r>
              <w:t xml:space="preserve">, </w:t>
            </w:r>
            <w:r w:rsidRPr="009E0A87">
              <w:t>NCT00445432</w:t>
            </w:r>
            <w:r>
              <w:t xml:space="preserve">) </w:t>
            </w:r>
          </w:p>
        </w:tc>
        <w:tc>
          <w:tcPr>
            <w:tcW w:w="3380" w:type="pct"/>
            <w:tcBorders>
              <w:top w:val="nil"/>
              <w:bottom w:val="single" w:sz="4" w:space="0" w:color="auto"/>
            </w:tcBorders>
            <w:shd w:val="clear" w:color="auto" w:fill="B8CCE4" w:themeFill="accent1" w:themeFillTint="66"/>
            <w:vAlign w:val="center"/>
          </w:tcPr>
          <w:p w14:paraId="48B15689" w14:textId="77777777" w:rsidR="00D24BA1" w:rsidRPr="003C1331" w:rsidRDefault="00D24BA1" w:rsidP="00286E68">
            <w:pPr>
              <w:pStyle w:val="TableText0"/>
              <w:keepNext w:val="0"/>
              <w:rPr>
                <w:szCs w:val="18"/>
              </w:rPr>
            </w:pPr>
            <w:r w:rsidRPr="009E0A87">
              <w:rPr>
                <w:szCs w:val="18"/>
              </w:rPr>
              <w:t>Watanabe et al. (2012). Adalimumab for the induction and maintenance of clinical remission in Japanese patients with Crohn's disease</w:t>
            </w:r>
            <w:r>
              <w:rPr>
                <w:szCs w:val="18"/>
              </w:rPr>
              <w:t>.</w:t>
            </w:r>
          </w:p>
        </w:tc>
        <w:tc>
          <w:tcPr>
            <w:tcW w:w="915" w:type="pct"/>
            <w:tcBorders>
              <w:top w:val="nil"/>
              <w:bottom w:val="single" w:sz="4" w:space="0" w:color="auto"/>
            </w:tcBorders>
            <w:shd w:val="clear" w:color="auto" w:fill="B8CCE4" w:themeFill="accent1" w:themeFillTint="66"/>
            <w:vAlign w:val="center"/>
          </w:tcPr>
          <w:p w14:paraId="5651A2D4" w14:textId="77777777" w:rsidR="00D24BA1" w:rsidRPr="003C1331" w:rsidRDefault="00D24BA1" w:rsidP="00286E68">
            <w:pPr>
              <w:pStyle w:val="TableText0"/>
              <w:keepNext w:val="0"/>
              <w:rPr>
                <w:szCs w:val="18"/>
              </w:rPr>
            </w:pPr>
            <w:r w:rsidRPr="009E0A87">
              <w:rPr>
                <w:szCs w:val="18"/>
              </w:rPr>
              <w:t xml:space="preserve">J </w:t>
            </w:r>
            <w:proofErr w:type="spellStart"/>
            <w:r w:rsidRPr="009E0A87">
              <w:rPr>
                <w:szCs w:val="18"/>
              </w:rPr>
              <w:t>Crohns</w:t>
            </w:r>
            <w:proofErr w:type="spellEnd"/>
            <w:r w:rsidRPr="009E0A87">
              <w:rPr>
                <w:szCs w:val="18"/>
              </w:rPr>
              <w:t xml:space="preserve"> Colitis, 6</w:t>
            </w:r>
            <w:r>
              <w:rPr>
                <w:szCs w:val="18"/>
              </w:rPr>
              <w:t>(2):</w:t>
            </w:r>
            <w:r w:rsidRPr="009E0A87">
              <w:rPr>
                <w:szCs w:val="18"/>
              </w:rPr>
              <w:t>160-73</w:t>
            </w:r>
          </w:p>
        </w:tc>
      </w:tr>
      <w:tr w:rsidR="00D24BA1" w:rsidRPr="00CB38A8" w14:paraId="5402A532" w14:textId="77777777" w:rsidTr="00286E68">
        <w:tc>
          <w:tcPr>
            <w:tcW w:w="705" w:type="pct"/>
            <w:tcBorders>
              <w:top w:val="nil"/>
              <w:bottom w:val="single" w:sz="4" w:space="0" w:color="auto"/>
            </w:tcBorders>
            <w:vAlign w:val="center"/>
          </w:tcPr>
          <w:p w14:paraId="05F8D3A9" w14:textId="77777777" w:rsidR="00D24BA1" w:rsidRDefault="00D24BA1" w:rsidP="00286E68">
            <w:pPr>
              <w:pStyle w:val="TableText0"/>
              <w:keepNext w:val="0"/>
            </w:pPr>
            <w:r w:rsidRPr="009E0A87">
              <w:t>Chen 2020</w:t>
            </w:r>
          </w:p>
          <w:p w14:paraId="35DCB25E" w14:textId="77777777" w:rsidR="00D24BA1" w:rsidRPr="003C1331" w:rsidRDefault="00D24BA1" w:rsidP="00286E68">
            <w:pPr>
              <w:pStyle w:val="TableText0"/>
              <w:keepNext w:val="0"/>
            </w:pPr>
            <w:r>
              <w:t>(</w:t>
            </w:r>
            <w:r w:rsidRPr="009E0A87">
              <w:t>NCT02499783</w:t>
            </w:r>
            <w:r>
              <w:t>)</w:t>
            </w:r>
          </w:p>
        </w:tc>
        <w:tc>
          <w:tcPr>
            <w:tcW w:w="3380" w:type="pct"/>
            <w:tcBorders>
              <w:top w:val="nil"/>
              <w:bottom w:val="single" w:sz="4" w:space="0" w:color="auto"/>
            </w:tcBorders>
            <w:vAlign w:val="center"/>
          </w:tcPr>
          <w:p w14:paraId="6EB38DEC" w14:textId="77777777" w:rsidR="00D24BA1" w:rsidRPr="003C1331" w:rsidRDefault="00D24BA1" w:rsidP="00286E68">
            <w:pPr>
              <w:pStyle w:val="TableText0"/>
              <w:keepNext w:val="0"/>
              <w:rPr>
                <w:szCs w:val="18"/>
              </w:rPr>
            </w:pPr>
            <w:r w:rsidRPr="009E0A87">
              <w:rPr>
                <w:szCs w:val="18"/>
              </w:rPr>
              <w:t>Chen et al. (2020). Efficacy and safety of adalimumab in Chinese patients with moderately to severely active Crohn's disease: results from a randomized trial.</w:t>
            </w:r>
          </w:p>
        </w:tc>
        <w:tc>
          <w:tcPr>
            <w:tcW w:w="915" w:type="pct"/>
            <w:tcBorders>
              <w:top w:val="nil"/>
              <w:bottom w:val="single" w:sz="4" w:space="0" w:color="auto"/>
            </w:tcBorders>
            <w:vAlign w:val="center"/>
          </w:tcPr>
          <w:p w14:paraId="79588566" w14:textId="77777777" w:rsidR="00D24BA1" w:rsidRPr="003C1331" w:rsidRDefault="00D24BA1" w:rsidP="00286E68">
            <w:pPr>
              <w:pStyle w:val="TableText0"/>
              <w:keepNext w:val="0"/>
              <w:rPr>
                <w:szCs w:val="18"/>
              </w:rPr>
            </w:pPr>
            <w:proofErr w:type="spellStart"/>
            <w:r w:rsidRPr="009E0A87">
              <w:rPr>
                <w:szCs w:val="18"/>
              </w:rPr>
              <w:t>Therap</w:t>
            </w:r>
            <w:proofErr w:type="spellEnd"/>
            <w:r w:rsidRPr="009E0A87">
              <w:rPr>
                <w:szCs w:val="18"/>
              </w:rPr>
              <w:t xml:space="preserve"> Adv Gastroenterol, 13</w:t>
            </w:r>
            <w:r>
              <w:rPr>
                <w:szCs w:val="18"/>
              </w:rPr>
              <w:t>:1-13</w:t>
            </w:r>
          </w:p>
        </w:tc>
      </w:tr>
      <w:tr w:rsidR="00D24BA1" w:rsidRPr="00CB38A8" w14:paraId="7D2BA899" w14:textId="77777777" w:rsidTr="00286E68">
        <w:tc>
          <w:tcPr>
            <w:tcW w:w="5000" w:type="pct"/>
            <w:gridSpan w:val="3"/>
            <w:tcBorders>
              <w:top w:val="nil"/>
              <w:bottom w:val="single" w:sz="4" w:space="0" w:color="auto"/>
            </w:tcBorders>
            <w:vAlign w:val="center"/>
          </w:tcPr>
          <w:p w14:paraId="048854D9" w14:textId="77777777" w:rsidR="00D24BA1" w:rsidRPr="009E0A87" w:rsidRDefault="00D24BA1" w:rsidP="00286E68">
            <w:pPr>
              <w:pStyle w:val="TableText0"/>
              <w:keepNext w:val="0"/>
              <w:rPr>
                <w:b/>
                <w:bCs w:val="0"/>
                <w:szCs w:val="18"/>
              </w:rPr>
            </w:pPr>
            <w:r>
              <w:rPr>
                <w:b/>
                <w:bCs w:val="0"/>
                <w:szCs w:val="18"/>
              </w:rPr>
              <w:t>Adalimumab vs ustekinumab trial</w:t>
            </w:r>
          </w:p>
        </w:tc>
      </w:tr>
      <w:tr w:rsidR="00D24BA1" w:rsidRPr="00CB38A8" w14:paraId="0C12E207" w14:textId="77777777" w:rsidTr="00286E68">
        <w:tc>
          <w:tcPr>
            <w:tcW w:w="705" w:type="pct"/>
            <w:vMerge w:val="restart"/>
            <w:tcBorders>
              <w:top w:val="nil"/>
            </w:tcBorders>
            <w:vAlign w:val="center"/>
          </w:tcPr>
          <w:p w14:paraId="0EEFF663" w14:textId="77777777" w:rsidR="00D24BA1" w:rsidRDefault="00D24BA1" w:rsidP="00286E68">
            <w:pPr>
              <w:pStyle w:val="TableText0"/>
              <w:keepNext w:val="0"/>
            </w:pPr>
            <w:r w:rsidRPr="009E0A87">
              <w:t>SEAVUE</w:t>
            </w:r>
          </w:p>
          <w:p w14:paraId="26CBF0BC" w14:textId="77777777" w:rsidR="00D24BA1" w:rsidRPr="009E0A87" w:rsidRDefault="00D24BA1" w:rsidP="00286E68">
            <w:pPr>
              <w:pStyle w:val="TableText0"/>
              <w:keepNext w:val="0"/>
            </w:pPr>
            <w:r>
              <w:t>(</w:t>
            </w:r>
            <w:r w:rsidRPr="009E0A87">
              <w:t>NCT03464136</w:t>
            </w:r>
            <w:r>
              <w:t>)</w:t>
            </w:r>
          </w:p>
        </w:tc>
        <w:tc>
          <w:tcPr>
            <w:tcW w:w="3380" w:type="pct"/>
            <w:tcBorders>
              <w:top w:val="nil"/>
              <w:bottom w:val="nil"/>
            </w:tcBorders>
            <w:vAlign w:val="center"/>
          </w:tcPr>
          <w:p w14:paraId="78DF1BAF" w14:textId="77777777" w:rsidR="00D24BA1" w:rsidRPr="009E0A87" w:rsidRDefault="00D24BA1" w:rsidP="00286E68">
            <w:pPr>
              <w:pStyle w:val="TableText0"/>
              <w:keepNext w:val="0"/>
              <w:rPr>
                <w:szCs w:val="18"/>
              </w:rPr>
            </w:pPr>
            <w:r w:rsidRPr="009E0A87">
              <w:rPr>
                <w:szCs w:val="18"/>
              </w:rPr>
              <w:t>A Phase 3b, Multicenter, Randomized, Blinded, Active-Controlled Study to Compare the Efficacy and Safety of Ustekinumab to that of Adalimumab in the Treatment of Biologic Naïve Subjects with Moderately-to-Severely Active Crohn’s Disease.</w:t>
            </w:r>
          </w:p>
        </w:tc>
        <w:tc>
          <w:tcPr>
            <w:tcW w:w="915" w:type="pct"/>
            <w:tcBorders>
              <w:top w:val="nil"/>
              <w:bottom w:val="nil"/>
            </w:tcBorders>
            <w:vAlign w:val="center"/>
          </w:tcPr>
          <w:p w14:paraId="2235FC0A" w14:textId="77777777" w:rsidR="00D24BA1" w:rsidRPr="009E0A87" w:rsidRDefault="00D24BA1" w:rsidP="00286E68">
            <w:pPr>
              <w:pStyle w:val="TableText0"/>
              <w:keepNext w:val="0"/>
              <w:rPr>
                <w:szCs w:val="18"/>
              </w:rPr>
            </w:pPr>
            <w:r w:rsidRPr="009E0A87">
              <w:rPr>
                <w:szCs w:val="18"/>
              </w:rPr>
              <w:t>24 March 2022</w:t>
            </w:r>
          </w:p>
        </w:tc>
      </w:tr>
      <w:tr w:rsidR="00D24BA1" w:rsidRPr="00CB38A8" w14:paraId="28CEA283" w14:textId="77777777" w:rsidTr="00286E68">
        <w:tc>
          <w:tcPr>
            <w:tcW w:w="705" w:type="pct"/>
            <w:vMerge/>
            <w:tcBorders>
              <w:bottom w:val="single" w:sz="4" w:space="0" w:color="auto"/>
            </w:tcBorders>
            <w:vAlign w:val="center"/>
          </w:tcPr>
          <w:p w14:paraId="4B75EA94" w14:textId="77777777" w:rsidR="00D24BA1" w:rsidRPr="003C1331" w:rsidRDefault="00D24BA1" w:rsidP="00286E68">
            <w:pPr>
              <w:pStyle w:val="TableText0"/>
              <w:keepNext w:val="0"/>
            </w:pPr>
          </w:p>
        </w:tc>
        <w:tc>
          <w:tcPr>
            <w:tcW w:w="3380" w:type="pct"/>
            <w:tcBorders>
              <w:top w:val="nil"/>
              <w:bottom w:val="single" w:sz="4" w:space="0" w:color="auto"/>
            </w:tcBorders>
            <w:vAlign w:val="center"/>
          </w:tcPr>
          <w:p w14:paraId="05B506E9" w14:textId="77777777" w:rsidR="00D24BA1" w:rsidRPr="003C1331" w:rsidRDefault="00D24BA1" w:rsidP="00286E68">
            <w:pPr>
              <w:pStyle w:val="TableText0"/>
              <w:keepNext w:val="0"/>
              <w:rPr>
                <w:szCs w:val="18"/>
              </w:rPr>
            </w:pPr>
            <w:r w:rsidRPr="009E0A87">
              <w:rPr>
                <w:szCs w:val="18"/>
              </w:rPr>
              <w:t xml:space="preserve">Sands et al. (2022). Ustekinumab versus adalimumab for induction and maintenance therapy in biologic-naive patients with moderately to severely active Crohn's disease: a multicentre, randomised, double-blind, parallel-group, phase 3b trial. </w:t>
            </w:r>
          </w:p>
        </w:tc>
        <w:tc>
          <w:tcPr>
            <w:tcW w:w="915" w:type="pct"/>
            <w:tcBorders>
              <w:top w:val="nil"/>
              <w:bottom w:val="single" w:sz="4" w:space="0" w:color="auto"/>
            </w:tcBorders>
            <w:vAlign w:val="center"/>
          </w:tcPr>
          <w:p w14:paraId="0CD6D5A4" w14:textId="77777777" w:rsidR="00D24BA1" w:rsidRPr="003C1331" w:rsidRDefault="00D24BA1" w:rsidP="00286E68">
            <w:pPr>
              <w:pStyle w:val="TableText0"/>
              <w:keepNext w:val="0"/>
              <w:rPr>
                <w:szCs w:val="18"/>
              </w:rPr>
            </w:pPr>
            <w:r w:rsidRPr="009E0A87">
              <w:rPr>
                <w:szCs w:val="18"/>
              </w:rPr>
              <w:t>Lancet, 399</w:t>
            </w:r>
            <w:r>
              <w:rPr>
                <w:szCs w:val="18"/>
              </w:rPr>
              <w:t>:</w:t>
            </w:r>
            <w:r w:rsidRPr="009E0A87">
              <w:rPr>
                <w:szCs w:val="18"/>
              </w:rPr>
              <w:t>2200-2211</w:t>
            </w:r>
          </w:p>
        </w:tc>
      </w:tr>
      <w:tr w:rsidR="00D24BA1" w:rsidRPr="00CB38A8" w14:paraId="3A4039F5" w14:textId="77777777" w:rsidTr="00286E68">
        <w:trPr>
          <w:trHeight w:val="144"/>
        </w:trPr>
        <w:tc>
          <w:tcPr>
            <w:tcW w:w="5000" w:type="pct"/>
            <w:gridSpan w:val="3"/>
            <w:tcBorders>
              <w:top w:val="nil"/>
            </w:tcBorders>
            <w:vAlign w:val="center"/>
          </w:tcPr>
          <w:p w14:paraId="1A3D3C55" w14:textId="77777777" w:rsidR="00D24BA1" w:rsidRPr="009E0A87" w:rsidRDefault="00D24BA1" w:rsidP="00286E68">
            <w:pPr>
              <w:pStyle w:val="TableText0"/>
              <w:keepNext w:val="0"/>
              <w:rPr>
                <w:b/>
                <w:bCs w:val="0"/>
                <w:iCs/>
                <w:szCs w:val="18"/>
              </w:rPr>
            </w:pPr>
            <w:r w:rsidRPr="009E0A87">
              <w:rPr>
                <w:b/>
                <w:bCs w:val="0"/>
                <w:iCs/>
                <w:szCs w:val="18"/>
              </w:rPr>
              <w:t>Vedolizumab versus placebo trials</w:t>
            </w:r>
          </w:p>
        </w:tc>
      </w:tr>
      <w:tr w:rsidR="00D24BA1" w:rsidRPr="00CB38A8" w14:paraId="0B384C40" w14:textId="77777777" w:rsidTr="00286E68">
        <w:tc>
          <w:tcPr>
            <w:tcW w:w="705" w:type="pct"/>
            <w:tcBorders>
              <w:top w:val="nil"/>
              <w:bottom w:val="single" w:sz="4" w:space="0" w:color="auto"/>
            </w:tcBorders>
            <w:shd w:val="clear" w:color="auto" w:fill="B8CCE4" w:themeFill="accent1" w:themeFillTint="66"/>
            <w:vAlign w:val="center"/>
          </w:tcPr>
          <w:p w14:paraId="4CFC44DE" w14:textId="77777777" w:rsidR="00D24BA1" w:rsidRDefault="00D24BA1" w:rsidP="00286E68">
            <w:pPr>
              <w:pStyle w:val="TableText0"/>
              <w:keepNext w:val="0"/>
            </w:pPr>
            <w:r w:rsidRPr="009E0A87">
              <w:t>GEMINI II</w:t>
            </w:r>
          </w:p>
          <w:p w14:paraId="04EAE2D3" w14:textId="77777777" w:rsidR="00D24BA1" w:rsidRDefault="00D24BA1" w:rsidP="00286E68">
            <w:pPr>
              <w:pStyle w:val="TableText0"/>
              <w:keepNext w:val="0"/>
            </w:pPr>
            <w:r>
              <w:t>(</w:t>
            </w:r>
            <w:r w:rsidRPr="00CA0A7C">
              <w:t>NCT00783692</w:t>
            </w:r>
            <w:r>
              <w:t>)</w:t>
            </w:r>
          </w:p>
        </w:tc>
        <w:tc>
          <w:tcPr>
            <w:tcW w:w="3380" w:type="pct"/>
            <w:tcBorders>
              <w:top w:val="nil"/>
              <w:bottom w:val="single" w:sz="4" w:space="0" w:color="auto"/>
            </w:tcBorders>
            <w:shd w:val="clear" w:color="auto" w:fill="B8CCE4" w:themeFill="accent1" w:themeFillTint="66"/>
            <w:vAlign w:val="center"/>
          </w:tcPr>
          <w:p w14:paraId="420C7AE4" w14:textId="77777777" w:rsidR="00D24BA1" w:rsidRDefault="00D24BA1" w:rsidP="00286E68">
            <w:pPr>
              <w:pStyle w:val="TableText0"/>
              <w:keepNext w:val="0"/>
              <w:rPr>
                <w:szCs w:val="18"/>
              </w:rPr>
            </w:pPr>
            <w:r w:rsidRPr="00CA0A7C">
              <w:rPr>
                <w:szCs w:val="18"/>
              </w:rPr>
              <w:t>Sandborn et al. (2013). Vedolizumab as induction and maintenance therapy for Crohn's disease.</w:t>
            </w:r>
          </w:p>
        </w:tc>
        <w:tc>
          <w:tcPr>
            <w:tcW w:w="915" w:type="pct"/>
            <w:tcBorders>
              <w:top w:val="nil"/>
              <w:bottom w:val="single" w:sz="4" w:space="0" w:color="auto"/>
            </w:tcBorders>
            <w:shd w:val="clear" w:color="auto" w:fill="B8CCE4" w:themeFill="accent1" w:themeFillTint="66"/>
            <w:vAlign w:val="center"/>
          </w:tcPr>
          <w:p w14:paraId="73D3462E" w14:textId="77777777" w:rsidR="00D24BA1" w:rsidRPr="00F74CD9" w:rsidRDefault="00D24BA1" w:rsidP="00286E68">
            <w:pPr>
              <w:pStyle w:val="TableText0"/>
              <w:keepNext w:val="0"/>
              <w:rPr>
                <w:i/>
                <w:szCs w:val="18"/>
              </w:rPr>
            </w:pPr>
            <w:r w:rsidRPr="00CA0A7C">
              <w:rPr>
                <w:szCs w:val="18"/>
              </w:rPr>
              <w:t>N Engl J Med, 369</w:t>
            </w:r>
            <w:r>
              <w:rPr>
                <w:szCs w:val="18"/>
              </w:rPr>
              <w:t>(8):</w:t>
            </w:r>
            <w:r w:rsidRPr="00CA0A7C">
              <w:rPr>
                <w:szCs w:val="18"/>
              </w:rPr>
              <w:t>711-21</w:t>
            </w:r>
          </w:p>
        </w:tc>
      </w:tr>
      <w:tr w:rsidR="00D24BA1" w:rsidRPr="00CB38A8" w14:paraId="4424FBB4" w14:textId="77777777" w:rsidTr="00286E68">
        <w:tc>
          <w:tcPr>
            <w:tcW w:w="705" w:type="pct"/>
            <w:tcBorders>
              <w:top w:val="nil"/>
              <w:bottom w:val="single" w:sz="4" w:space="0" w:color="auto"/>
            </w:tcBorders>
            <w:shd w:val="clear" w:color="auto" w:fill="B8CCE4" w:themeFill="accent1" w:themeFillTint="66"/>
            <w:vAlign w:val="center"/>
          </w:tcPr>
          <w:p w14:paraId="09D1D858" w14:textId="77777777" w:rsidR="00D24BA1" w:rsidRDefault="00D24BA1" w:rsidP="00286E68">
            <w:pPr>
              <w:pStyle w:val="TableText0"/>
              <w:keepNext w:val="0"/>
            </w:pPr>
            <w:r w:rsidRPr="009E0A87">
              <w:t>GEMINI III</w:t>
            </w:r>
          </w:p>
          <w:p w14:paraId="52655812" w14:textId="77777777" w:rsidR="00D24BA1" w:rsidRDefault="00D24BA1" w:rsidP="00286E68">
            <w:pPr>
              <w:pStyle w:val="TableText0"/>
              <w:keepNext w:val="0"/>
            </w:pPr>
            <w:r>
              <w:t>(</w:t>
            </w:r>
            <w:r w:rsidRPr="00CA0A7C">
              <w:t>NCT01224171</w:t>
            </w:r>
            <w:r>
              <w:t>)</w:t>
            </w:r>
          </w:p>
        </w:tc>
        <w:tc>
          <w:tcPr>
            <w:tcW w:w="3380" w:type="pct"/>
            <w:tcBorders>
              <w:top w:val="nil"/>
              <w:bottom w:val="single" w:sz="4" w:space="0" w:color="auto"/>
            </w:tcBorders>
            <w:shd w:val="clear" w:color="auto" w:fill="B8CCE4" w:themeFill="accent1" w:themeFillTint="66"/>
            <w:vAlign w:val="center"/>
          </w:tcPr>
          <w:p w14:paraId="14F09BE9" w14:textId="77777777" w:rsidR="00D24BA1" w:rsidRDefault="00D24BA1" w:rsidP="00286E68">
            <w:pPr>
              <w:pStyle w:val="TableText0"/>
              <w:keepNext w:val="0"/>
              <w:rPr>
                <w:szCs w:val="18"/>
              </w:rPr>
            </w:pPr>
            <w:r w:rsidRPr="00CA0A7C">
              <w:rPr>
                <w:szCs w:val="18"/>
              </w:rPr>
              <w:t xml:space="preserve">Sands et al. (2014). Effects of vedolizumab induction therapy for patients with Crohn's disease in whom </w:t>
            </w:r>
            <w:proofErr w:type="spellStart"/>
            <w:r w:rsidRPr="00CA0A7C">
              <w:rPr>
                <w:szCs w:val="18"/>
              </w:rPr>
              <w:t>tumor</w:t>
            </w:r>
            <w:proofErr w:type="spellEnd"/>
            <w:r w:rsidRPr="00CA0A7C">
              <w:rPr>
                <w:szCs w:val="18"/>
              </w:rPr>
              <w:t xml:space="preserve"> necrosis factor antagonist treatment failed.</w:t>
            </w:r>
          </w:p>
        </w:tc>
        <w:tc>
          <w:tcPr>
            <w:tcW w:w="915" w:type="pct"/>
            <w:tcBorders>
              <w:top w:val="nil"/>
              <w:bottom w:val="single" w:sz="4" w:space="0" w:color="auto"/>
            </w:tcBorders>
            <w:shd w:val="clear" w:color="auto" w:fill="B8CCE4" w:themeFill="accent1" w:themeFillTint="66"/>
            <w:vAlign w:val="center"/>
          </w:tcPr>
          <w:p w14:paraId="6D99E64D" w14:textId="77777777" w:rsidR="00D24BA1" w:rsidRPr="00F74CD9" w:rsidRDefault="00D24BA1" w:rsidP="00286E68">
            <w:pPr>
              <w:pStyle w:val="TableText0"/>
              <w:keepNext w:val="0"/>
              <w:rPr>
                <w:i/>
                <w:szCs w:val="18"/>
              </w:rPr>
            </w:pPr>
            <w:r w:rsidRPr="00CA0A7C">
              <w:rPr>
                <w:szCs w:val="18"/>
              </w:rPr>
              <w:t>Gastroenterology, 147</w:t>
            </w:r>
            <w:r>
              <w:rPr>
                <w:szCs w:val="18"/>
              </w:rPr>
              <w:t>(3):</w:t>
            </w:r>
            <w:r w:rsidRPr="00CA0A7C">
              <w:rPr>
                <w:szCs w:val="18"/>
              </w:rPr>
              <w:t>618-627 e3</w:t>
            </w:r>
          </w:p>
        </w:tc>
      </w:tr>
      <w:tr w:rsidR="00D24BA1" w:rsidRPr="00CB38A8" w14:paraId="1BE2C976" w14:textId="77777777" w:rsidTr="00286E68">
        <w:tc>
          <w:tcPr>
            <w:tcW w:w="705" w:type="pct"/>
            <w:tcBorders>
              <w:top w:val="nil"/>
              <w:bottom w:val="single" w:sz="4" w:space="0" w:color="auto"/>
            </w:tcBorders>
            <w:shd w:val="clear" w:color="auto" w:fill="B8CCE4" w:themeFill="accent1" w:themeFillTint="66"/>
            <w:vAlign w:val="center"/>
          </w:tcPr>
          <w:p w14:paraId="59D8F93D" w14:textId="77777777" w:rsidR="00D24BA1" w:rsidRDefault="00D24BA1" w:rsidP="00286E68">
            <w:pPr>
              <w:pStyle w:val="TableText0"/>
              <w:keepNext w:val="0"/>
            </w:pPr>
            <w:r w:rsidRPr="009E0A87">
              <w:t>Watanabe 2020</w:t>
            </w:r>
          </w:p>
          <w:p w14:paraId="73DE729F" w14:textId="77777777" w:rsidR="00D24BA1" w:rsidRDefault="00D24BA1" w:rsidP="00286E68">
            <w:pPr>
              <w:pStyle w:val="TableText0"/>
              <w:keepNext w:val="0"/>
            </w:pPr>
            <w:r>
              <w:t>(</w:t>
            </w:r>
            <w:r w:rsidRPr="00CA0A7C">
              <w:t>NCT02038920</w:t>
            </w:r>
            <w:r>
              <w:t>)</w:t>
            </w:r>
          </w:p>
        </w:tc>
        <w:tc>
          <w:tcPr>
            <w:tcW w:w="3380" w:type="pct"/>
            <w:tcBorders>
              <w:top w:val="nil"/>
              <w:bottom w:val="single" w:sz="4" w:space="0" w:color="auto"/>
            </w:tcBorders>
            <w:shd w:val="clear" w:color="auto" w:fill="B8CCE4" w:themeFill="accent1" w:themeFillTint="66"/>
            <w:vAlign w:val="center"/>
          </w:tcPr>
          <w:p w14:paraId="37E03952" w14:textId="77777777" w:rsidR="00D24BA1" w:rsidRDefault="00D24BA1" w:rsidP="00286E68">
            <w:pPr>
              <w:pStyle w:val="TableText0"/>
              <w:keepNext w:val="0"/>
              <w:rPr>
                <w:szCs w:val="18"/>
              </w:rPr>
            </w:pPr>
            <w:r w:rsidRPr="00CA0A7C">
              <w:rPr>
                <w:szCs w:val="18"/>
              </w:rPr>
              <w:t xml:space="preserve">Watanabe et al. (2020). Effects of vedolizumab in Japanese patients with Crohn's disease: a prospective, multicenter, randomized, placebo-controlled Phase 3 trial with exploratory analyses. </w:t>
            </w:r>
          </w:p>
        </w:tc>
        <w:tc>
          <w:tcPr>
            <w:tcW w:w="915" w:type="pct"/>
            <w:tcBorders>
              <w:top w:val="nil"/>
              <w:bottom w:val="single" w:sz="4" w:space="0" w:color="auto"/>
            </w:tcBorders>
            <w:shd w:val="clear" w:color="auto" w:fill="B8CCE4" w:themeFill="accent1" w:themeFillTint="66"/>
            <w:vAlign w:val="center"/>
          </w:tcPr>
          <w:p w14:paraId="3003C67F" w14:textId="77777777" w:rsidR="00D24BA1" w:rsidRPr="00F74CD9" w:rsidRDefault="00D24BA1" w:rsidP="00286E68">
            <w:pPr>
              <w:pStyle w:val="TableText0"/>
              <w:keepNext w:val="0"/>
              <w:rPr>
                <w:i/>
                <w:szCs w:val="18"/>
              </w:rPr>
            </w:pPr>
            <w:r w:rsidRPr="00CA0A7C">
              <w:rPr>
                <w:szCs w:val="18"/>
              </w:rPr>
              <w:t>J Gastroenterol, 55</w:t>
            </w:r>
            <w:r>
              <w:rPr>
                <w:szCs w:val="18"/>
              </w:rPr>
              <w:t>(3):</w:t>
            </w:r>
            <w:r w:rsidRPr="00CA0A7C">
              <w:rPr>
                <w:szCs w:val="18"/>
              </w:rPr>
              <w:t>291-306</w:t>
            </w:r>
          </w:p>
        </w:tc>
      </w:tr>
      <w:tr w:rsidR="00D24BA1" w:rsidRPr="00CB38A8" w14:paraId="51C47EB2" w14:textId="77777777" w:rsidTr="00286E68">
        <w:tc>
          <w:tcPr>
            <w:tcW w:w="705" w:type="pct"/>
            <w:tcBorders>
              <w:top w:val="nil"/>
              <w:bottom w:val="single" w:sz="4" w:space="0" w:color="auto"/>
            </w:tcBorders>
            <w:vAlign w:val="center"/>
          </w:tcPr>
          <w:p w14:paraId="665766BE" w14:textId="77777777" w:rsidR="00D24BA1" w:rsidRDefault="00D24BA1" w:rsidP="00286E68">
            <w:pPr>
              <w:pStyle w:val="TableText0"/>
              <w:keepNext w:val="0"/>
            </w:pPr>
            <w:r w:rsidRPr="00CA0A7C">
              <w:t>NCT03234907</w:t>
            </w:r>
          </w:p>
        </w:tc>
        <w:tc>
          <w:tcPr>
            <w:tcW w:w="3380" w:type="pct"/>
            <w:tcBorders>
              <w:top w:val="nil"/>
              <w:bottom w:val="single" w:sz="4" w:space="0" w:color="auto"/>
            </w:tcBorders>
            <w:vAlign w:val="center"/>
          </w:tcPr>
          <w:p w14:paraId="420D6DAD" w14:textId="77777777" w:rsidR="00D24BA1" w:rsidRDefault="00D24BA1" w:rsidP="00286E68">
            <w:pPr>
              <w:pStyle w:val="TableText0"/>
              <w:keepNext w:val="0"/>
              <w:rPr>
                <w:szCs w:val="18"/>
              </w:rPr>
            </w:pPr>
            <w:r w:rsidRPr="00CA0A7C">
              <w:rPr>
                <w:szCs w:val="18"/>
              </w:rPr>
              <w:t>Vedolizumab IV Compared to Placebo in Chinese Subjects With Crohn’s Disease</w:t>
            </w:r>
            <w:r>
              <w:rPr>
                <w:szCs w:val="18"/>
              </w:rPr>
              <w:t xml:space="preserve"> (synopsis on clinicaltrials.gov)</w:t>
            </w:r>
          </w:p>
        </w:tc>
        <w:tc>
          <w:tcPr>
            <w:tcW w:w="915" w:type="pct"/>
            <w:tcBorders>
              <w:top w:val="nil"/>
              <w:bottom w:val="single" w:sz="4" w:space="0" w:color="auto"/>
            </w:tcBorders>
            <w:vAlign w:val="center"/>
          </w:tcPr>
          <w:p w14:paraId="183559D8" w14:textId="77777777" w:rsidR="00D24BA1" w:rsidRPr="00F74CD9" w:rsidRDefault="00D24BA1" w:rsidP="00286E68">
            <w:pPr>
              <w:pStyle w:val="TableText0"/>
              <w:keepNext w:val="0"/>
              <w:rPr>
                <w:i/>
                <w:szCs w:val="18"/>
              </w:rPr>
            </w:pPr>
            <w:r w:rsidRPr="00CA0A7C">
              <w:rPr>
                <w:szCs w:val="18"/>
              </w:rPr>
              <w:t>23 March 2022</w:t>
            </w:r>
          </w:p>
        </w:tc>
      </w:tr>
      <w:tr w:rsidR="00D24BA1" w:rsidRPr="00CB38A8" w14:paraId="1EC92A39" w14:textId="77777777" w:rsidTr="00286E68">
        <w:tc>
          <w:tcPr>
            <w:tcW w:w="5000" w:type="pct"/>
            <w:gridSpan w:val="3"/>
            <w:tcBorders>
              <w:top w:val="nil"/>
              <w:bottom w:val="single" w:sz="4" w:space="0" w:color="auto"/>
            </w:tcBorders>
            <w:vAlign w:val="center"/>
          </w:tcPr>
          <w:p w14:paraId="7A3D5A96" w14:textId="77777777" w:rsidR="00D24BA1" w:rsidRPr="00CA0A7C" w:rsidRDefault="00D24BA1" w:rsidP="00286E68">
            <w:pPr>
              <w:pStyle w:val="TableText0"/>
              <w:keepNext w:val="0"/>
              <w:rPr>
                <w:b/>
                <w:bCs w:val="0"/>
                <w:iCs/>
                <w:szCs w:val="18"/>
              </w:rPr>
            </w:pPr>
            <w:r>
              <w:rPr>
                <w:b/>
                <w:bCs w:val="0"/>
                <w:iCs/>
                <w:szCs w:val="18"/>
              </w:rPr>
              <w:t>Upadacitinib versus placebo trials</w:t>
            </w:r>
          </w:p>
        </w:tc>
      </w:tr>
      <w:tr w:rsidR="00D24BA1" w:rsidRPr="00CB38A8" w14:paraId="657C1C9E" w14:textId="77777777" w:rsidTr="00286E68">
        <w:tc>
          <w:tcPr>
            <w:tcW w:w="705" w:type="pct"/>
            <w:tcBorders>
              <w:top w:val="nil"/>
              <w:bottom w:val="nil"/>
            </w:tcBorders>
            <w:shd w:val="clear" w:color="auto" w:fill="B8CCE4" w:themeFill="accent1" w:themeFillTint="66"/>
            <w:vAlign w:val="center"/>
          </w:tcPr>
          <w:p w14:paraId="26659EC1" w14:textId="77777777" w:rsidR="00D24BA1" w:rsidRDefault="00D24BA1" w:rsidP="00286E68">
            <w:pPr>
              <w:pStyle w:val="TableText0"/>
              <w:keepNext w:val="0"/>
            </w:pPr>
            <w:r w:rsidRPr="00B56A49">
              <w:t>U-EXCEL</w:t>
            </w:r>
          </w:p>
          <w:p w14:paraId="238827FC" w14:textId="77777777" w:rsidR="00D24BA1" w:rsidRDefault="00D24BA1" w:rsidP="00286E68">
            <w:pPr>
              <w:pStyle w:val="TableText0"/>
              <w:keepNext w:val="0"/>
            </w:pPr>
            <w:r>
              <w:t>(</w:t>
            </w:r>
            <w:r w:rsidRPr="00B56A49">
              <w:t>NCT03345849</w:t>
            </w:r>
            <w:r>
              <w:t>)</w:t>
            </w:r>
          </w:p>
        </w:tc>
        <w:tc>
          <w:tcPr>
            <w:tcW w:w="3380" w:type="pct"/>
            <w:vMerge w:val="restart"/>
            <w:tcBorders>
              <w:top w:val="nil"/>
            </w:tcBorders>
            <w:shd w:val="clear" w:color="auto" w:fill="B8CCE4" w:themeFill="accent1" w:themeFillTint="66"/>
            <w:vAlign w:val="center"/>
          </w:tcPr>
          <w:p w14:paraId="3972A82B" w14:textId="77777777" w:rsidR="00D24BA1" w:rsidRDefault="00D24BA1" w:rsidP="00286E68">
            <w:pPr>
              <w:pStyle w:val="TableText0"/>
              <w:keepNext w:val="0"/>
              <w:rPr>
                <w:szCs w:val="18"/>
              </w:rPr>
            </w:pPr>
            <w:r w:rsidRPr="00F75040">
              <w:rPr>
                <w:szCs w:val="18"/>
              </w:rPr>
              <w:t xml:space="preserve">Loftus et al. (2023). Upadacitinib Induction and Maintenance Therapy for Crohn's Disease. </w:t>
            </w:r>
          </w:p>
        </w:tc>
        <w:tc>
          <w:tcPr>
            <w:tcW w:w="915" w:type="pct"/>
            <w:vMerge w:val="restart"/>
            <w:tcBorders>
              <w:top w:val="nil"/>
            </w:tcBorders>
            <w:shd w:val="clear" w:color="auto" w:fill="B8CCE4" w:themeFill="accent1" w:themeFillTint="66"/>
            <w:vAlign w:val="center"/>
          </w:tcPr>
          <w:p w14:paraId="7EAA473E" w14:textId="77777777" w:rsidR="00D24BA1" w:rsidRPr="00F74CD9" w:rsidRDefault="00D24BA1" w:rsidP="00286E68">
            <w:pPr>
              <w:pStyle w:val="TableText0"/>
              <w:keepNext w:val="0"/>
              <w:rPr>
                <w:i/>
                <w:szCs w:val="18"/>
              </w:rPr>
            </w:pPr>
            <w:r w:rsidRPr="00F75040">
              <w:rPr>
                <w:szCs w:val="18"/>
              </w:rPr>
              <w:t>N Engl J Med, 388(21)</w:t>
            </w:r>
            <w:r>
              <w:rPr>
                <w:szCs w:val="18"/>
              </w:rPr>
              <w:t>:</w:t>
            </w:r>
            <w:r w:rsidRPr="00F75040">
              <w:rPr>
                <w:szCs w:val="18"/>
              </w:rPr>
              <w:t>1966-1980</w:t>
            </w:r>
          </w:p>
        </w:tc>
      </w:tr>
      <w:tr w:rsidR="00D24BA1" w:rsidRPr="00CB38A8" w14:paraId="7AFD8CF6" w14:textId="77777777" w:rsidTr="00286E68">
        <w:tc>
          <w:tcPr>
            <w:tcW w:w="705" w:type="pct"/>
            <w:tcBorders>
              <w:top w:val="nil"/>
              <w:bottom w:val="nil"/>
            </w:tcBorders>
            <w:shd w:val="clear" w:color="auto" w:fill="B8CCE4" w:themeFill="accent1" w:themeFillTint="66"/>
            <w:vAlign w:val="center"/>
          </w:tcPr>
          <w:p w14:paraId="6562C66B" w14:textId="77777777" w:rsidR="00D24BA1" w:rsidRDefault="00D24BA1" w:rsidP="00286E68">
            <w:pPr>
              <w:pStyle w:val="TableText0"/>
              <w:keepNext w:val="0"/>
            </w:pPr>
            <w:r w:rsidRPr="00B56A49">
              <w:t>U-EXCEED</w:t>
            </w:r>
          </w:p>
          <w:p w14:paraId="1962DBBA" w14:textId="77777777" w:rsidR="00D24BA1" w:rsidRDefault="00D24BA1" w:rsidP="00286E68">
            <w:pPr>
              <w:pStyle w:val="TableText0"/>
              <w:keepNext w:val="0"/>
            </w:pPr>
            <w:r>
              <w:t>(</w:t>
            </w:r>
            <w:r w:rsidRPr="00B56A49">
              <w:t>NCT03345836</w:t>
            </w:r>
            <w:r>
              <w:t>)</w:t>
            </w:r>
          </w:p>
        </w:tc>
        <w:tc>
          <w:tcPr>
            <w:tcW w:w="3380" w:type="pct"/>
            <w:vMerge/>
            <w:shd w:val="clear" w:color="auto" w:fill="B8CCE4" w:themeFill="accent1" w:themeFillTint="66"/>
            <w:vAlign w:val="center"/>
          </w:tcPr>
          <w:p w14:paraId="009434C8" w14:textId="77777777" w:rsidR="00D24BA1" w:rsidRDefault="00D24BA1" w:rsidP="00286E68">
            <w:pPr>
              <w:pStyle w:val="TableText0"/>
              <w:keepNext w:val="0"/>
              <w:rPr>
                <w:szCs w:val="18"/>
              </w:rPr>
            </w:pPr>
          </w:p>
        </w:tc>
        <w:tc>
          <w:tcPr>
            <w:tcW w:w="915" w:type="pct"/>
            <w:vMerge/>
            <w:shd w:val="clear" w:color="auto" w:fill="B8CCE4" w:themeFill="accent1" w:themeFillTint="66"/>
            <w:vAlign w:val="center"/>
          </w:tcPr>
          <w:p w14:paraId="50B997B3" w14:textId="77777777" w:rsidR="00D24BA1" w:rsidRPr="00F74CD9" w:rsidRDefault="00D24BA1" w:rsidP="00286E68">
            <w:pPr>
              <w:pStyle w:val="TableText0"/>
              <w:keepNext w:val="0"/>
              <w:rPr>
                <w:i/>
                <w:szCs w:val="18"/>
              </w:rPr>
            </w:pPr>
          </w:p>
        </w:tc>
      </w:tr>
      <w:tr w:rsidR="00D24BA1" w:rsidRPr="00CB38A8" w14:paraId="439AFCDE" w14:textId="77777777" w:rsidTr="00286E68">
        <w:tc>
          <w:tcPr>
            <w:tcW w:w="705" w:type="pct"/>
            <w:tcBorders>
              <w:top w:val="nil"/>
              <w:bottom w:val="single" w:sz="4" w:space="0" w:color="auto"/>
            </w:tcBorders>
            <w:shd w:val="clear" w:color="auto" w:fill="B8CCE4" w:themeFill="accent1" w:themeFillTint="66"/>
            <w:vAlign w:val="center"/>
          </w:tcPr>
          <w:p w14:paraId="6C15A3FD" w14:textId="77777777" w:rsidR="00D24BA1" w:rsidRDefault="00D24BA1" w:rsidP="00286E68">
            <w:pPr>
              <w:pStyle w:val="TableText0"/>
              <w:keepNext w:val="0"/>
            </w:pPr>
            <w:r w:rsidRPr="00B56A49">
              <w:t>U-ENDURE</w:t>
            </w:r>
          </w:p>
          <w:p w14:paraId="15410D09" w14:textId="77777777" w:rsidR="00D24BA1" w:rsidRDefault="00D24BA1" w:rsidP="00286E68">
            <w:pPr>
              <w:pStyle w:val="TableText0"/>
              <w:keepNext w:val="0"/>
            </w:pPr>
            <w:r>
              <w:t>(</w:t>
            </w:r>
            <w:r w:rsidRPr="00B56A49">
              <w:t>NCT03345823</w:t>
            </w:r>
            <w:r>
              <w:t>)</w:t>
            </w:r>
          </w:p>
        </w:tc>
        <w:tc>
          <w:tcPr>
            <w:tcW w:w="3380" w:type="pct"/>
            <w:vMerge/>
            <w:tcBorders>
              <w:bottom w:val="single" w:sz="4" w:space="0" w:color="auto"/>
            </w:tcBorders>
            <w:shd w:val="clear" w:color="auto" w:fill="B8CCE4" w:themeFill="accent1" w:themeFillTint="66"/>
            <w:vAlign w:val="center"/>
          </w:tcPr>
          <w:p w14:paraId="7B9DC9F0" w14:textId="77777777" w:rsidR="00D24BA1" w:rsidRDefault="00D24BA1" w:rsidP="00286E68">
            <w:pPr>
              <w:pStyle w:val="TableText0"/>
              <w:keepNext w:val="0"/>
              <w:rPr>
                <w:szCs w:val="18"/>
              </w:rPr>
            </w:pPr>
          </w:p>
        </w:tc>
        <w:tc>
          <w:tcPr>
            <w:tcW w:w="915" w:type="pct"/>
            <w:vMerge/>
            <w:tcBorders>
              <w:bottom w:val="single" w:sz="4" w:space="0" w:color="auto"/>
            </w:tcBorders>
            <w:shd w:val="clear" w:color="auto" w:fill="B8CCE4" w:themeFill="accent1" w:themeFillTint="66"/>
            <w:vAlign w:val="center"/>
          </w:tcPr>
          <w:p w14:paraId="6F58FAD0" w14:textId="77777777" w:rsidR="00D24BA1" w:rsidRPr="00F74CD9" w:rsidRDefault="00D24BA1" w:rsidP="00286E68">
            <w:pPr>
              <w:pStyle w:val="TableText0"/>
              <w:keepNext w:val="0"/>
              <w:rPr>
                <w:i/>
                <w:szCs w:val="18"/>
              </w:rPr>
            </w:pPr>
          </w:p>
        </w:tc>
      </w:tr>
      <w:tr w:rsidR="00D24BA1" w:rsidRPr="00CB38A8" w14:paraId="55D168F2" w14:textId="77777777" w:rsidTr="00286E68">
        <w:tc>
          <w:tcPr>
            <w:tcW w:w="5000" w:type="pct"/>
            <w:gridSpan w:val="3"/>
            <w:tcBorders>
              <w:top w:val="nil"/>
              <w:bottom w:val="single" w:sz="4" w:space="0" w:color="auto"/>
            </w:tcBorders>
            <w:vAlign w:val="center"/>
          </w:tcPr>
          <w:p w14:paraId="2BE39B81" w14:textId="77777777" w:rsidR="00D24BA1" w:rsidRPr="00F75040" w:rsidRDefault="00D24BA1" w:rsidP="00286E68">
            <w:pPr>
              <w:pStyle w:val="TableText0"/>
              <w:keepNext w:val="0"/>
              <w:rPr>
                <w:b/>
                <w:bCs w:val="0"/>
                <w:iCs/>
                <w:szCs w:val="18"/>
              </w:rPr>
            </w:pPr>
            <w:r>
              <w:rPr>
                <w:b/>
                <w:bCs w:val="0"/>
                <w:iCs/>
                <w:szCs w:val="18"/>
              </w:rPr>
              <w:t>Ustekinumab versus placebo trials</w:t>
            </w:r>
          </w:p>
        </w:tc>
      </w:tr>
      <w:tr w:rsidR="00D24BA1" w:rsidRPr="00CB38A8" w14:paraId="764F1F8F" w14:textId="77777777" w:rsidTr="00286E68">
        <w:tc>
          <w:tcPr>
            <w:tcW w:w="705" w:type="pct"/>
            <w:tcBorders>
              <w:top w:val="nil"/>
              <w:bottom w:val="single" w:sz="4" w:space="0" w:color="auto"/>
            </w:tcBorders>
            <w:shd w:val="clear" w:color="auto" w:fill="B8CCE4" w:themeFill="accent1" w:themeFillTint="66"/>
            <w:vAlign w:val="center"/>
          </w:tcPr>
          <w:p w14:paraId="5DB3F7E2" w14:textId="77777777" w:rsidR="00D24BA1" w:rsidRDefault="00D24BA1" w:rsidP="00286E68">
            <w:pPr>
              <w:pStyle w:val="TableText0"/>
            </w:pPr>
            <w:r>
              <w:t>UNITI-I</w:t>
            </w:r>
          </w:p>
          <w:p w14:paraId="5C398F7D" w14:textId="77777777" w:rsidR="00D24BA1" w:rsidRDefault="00D24BA1" w:rsidP="00286E68">
            <w:pPr>
              <w:pStyle w:val="TableText0"/>
              <w:keepNext w:val="0"/>
            </w:pPr>
            <w:r>
              <w:t>(NCT01369329)</w:t>
            </w:r>
          </w:p>
        </w:tc>
        <w:tc>
          <w:tcPr>
            <w:tcW w:w="3380" w:type="pct"/>
            <w:tcBorders>
              <w:top w:val="nil"/>
              <w:bottom w:val="single" w:sz="4" w:space="0" w:color="auto"/>
            </w:tcBorders>
            <w:shd w:val="clear" w:color="auto" w:fill="B8CCE4" w:themeFill="accent1" w:themeFillTint="66"/>
            <w:vAlign w:val="center"/>
          </w:tcPr>
          <w:p w14:paraId="274287F4" w14:textId="77777777" w:rsidR="00D24BA1" w:rsidRDefault="00D24BA1" w:rsidP="00286E68">
            <w:pPr>
              <w:pStyle w:val="TableText0"/>
              <w:keepNext w:val="0"/>
              <w:rPr>
                <w:szCs w:val="18"/>
              </w:rPr>
            </w:pPr>
            <w:r w:rsidRPr="002759EC">
              <w:rPr>
                <w:szCs w:val="18"/>
              </w:rPr>
              <w:t xml:space="preserve">Feagan et al. </w:t>
            </w:r>
            <w:r>
              <w:rPr>
                <w:szCs w:val="18"/>
              </w:rPr>
              <w:t xml:space="preserve">(2016). </w:t>
            </w:r>
            <w:r w:rsidRPr="002759EC">
              <w:rPr>
                <w:szCs w:val="18"/>
              </w:rPr>
              <w:t>Ustekinumab as Induction and Maintenance Therapy for Crohn's Disease.</w:t>
            </w:r>
          </w:p>
        </w:tc>
        <w:tc>
          <w:tcPr>
            <w:tcW w:w="915" w:type="pct"/>
            <w:tcBorders>
              <w:top w:val="nil"/>
              <w:bottom w:val="single" w:sz="4" w:space="0" w:color="auto"/>
            </w:tcBorders>
            <w:shd w:val="clear" w:color="auto" w:fill="B8CCE4" w:themeFill="accent1" w:themeFillTint="66"/>
            <w:vAlign w:val="center"/>
          </w:tcPr>
          <w:p w14:paraId="3E665171" w14:textId="77777777" w:rsidR="00D24BA1" w:rsidRPr="002759EC" w:rsidRDefault="00D24BA1" w:rsidP="00286E68">
            <w:pPr>
              <w:pStyle w:val="TableText0"/>
              <w:keepNext w:val="0"/>
              <w:rPr>
                <w:iCs/>
                <w:szCs w:val="18"/>
              </w:rPr>
            </w:pPr>
            <w:r w:rsidRPr="002759EC">
              <w:rPr>
                <w:iCs/>
                <w:szCs w:val="18"/>
              </w:rPr>
              <w:t>New England Journal of Medicine;</w:t>
            </w:r>
            <w:r>
              <w:rPr>
                <w:iCs/>
                <w:szCs w:val="18"/>
              </w:rPr>
              <w:t xml:space="preserve"> </w:t>
            </w:r>
            <w:r w:rsidRPr="002759EC">
              <w:rPr>
                <w:iCs/>
                <w:szCs w:val="18"/>
              </w:rPr>
              <w:t>375(20):1946-60</w:t>
            </w:r>
          </w:p>
        </w:tc>
      </w:tr>
      <w:tr w:rsidR="00D24BA1" w:rsidRPr="00CB38A8" w14:paraId="4E3826B4" w14:textId="77777777" w:rsidTr="00286E68">
        <w:tc>
          <w:tcPr>
            <w:tcW w:w="705" w:type="pct"/>
            <w:tcBorders>
              <w:top w:val="nil"/>
              <w:bottom w:val="single" w:sz="4" w:space="0" w:color="auto"/>
            </w:tcBorders>
            <w:shd w:val="clear" w:color="auto" w:fill="B8CCE4" w:themeFill="accent1" w:themeFillTint="66"/>
            <w:vAlign w:val="center"/>
          </w:tcPr>
          <w:p w14:paraId="547AA40A" w14:textId="77777777" w:rsidR="00D24BA1" w:rsidRDefault="00D24BA1" w:rsidP="00286E68">
            <w:pPr>
              <w:pStyle w:val="TableText0"/>
            </w:pPr>
            <w:r>
              <w:t>UNITI-II</w:t>
            </w:r>
          </w:p>
          <w:p w14:paraId="7FF3ED78" w14:textId="77777777" w:rsidR="00D24BA1" w:rsidRDefault="00D24BA1" w:rsidP="00286E68">
            <w:pPr>
              <w:pStyle w:val="TableText0"/>
              <w:keepNext w:val="0"/>
            </w:pPr>
            <w:r>
              <w:t>(NCT01369342)</w:t>
            </w:r>
          </w:p>
        </w:tc>
        <w:tc>
          <w:tcPr>
            <w:tcW w:w="3380" w:type="pct"/>
            <w:tcBorders>
              <w:top w:val="nil"/>
              <w:bottom w:val="single" w:sz="4" w:space="0" w:color="auto"/>
            </w:tcBorders>
            <w:shd w:val="clear" w:color="auto" w:fill="B8CCE4" w:themeFill="accent1" w:themeFillTint="66"/>
            <w:vAlign w:val="center"/>
          </w:tcPr>
          <w:p w14:paraId="4BEA0CA1" w14:textId="77777777" w:rsidR="00D24BA1" w:rsidRDefault="00D24BA1" w:rsidP="00286E68">
            <w:pPr>
              <w:pStyle w:val="TableText0"/>
              <w:keepNext w:val="0"/>
              <w:rPr>
                <w:szCs w:val="18"/>
              </w:rPr>
            </w:pPr>
            <w:r w:rsidRPr="002759EC">
              <w:rPr>
                <w:szCs w:val="18"/>
              </w:rPr>
              <w:t xml:space="preserve">Sandborn </w:t>
            </w:r>
            <w:r>
              <w:rPr>
                <w:szCs w:val="18"/>
              </w:rPr>
              <w:t>et al. (2018)</w:t>
            </w:r>
            <w:r w:rsidRPr="002759EC">
              <w:rPr>
                <w:szCs w:val="18"/>
              </w:rPr>
              <w:t>. Long-term efficacy and safety of ustekinumab for Crohn's disease through the second year of therapy.</w:t>
            </w:r>
          </w:p>
        </w:tc>
        <w:tc>
          <w:tcPr>
            <w:tcW w:w="915" w:type="pct"/>
            <w:tcBorders>
              <w:top w:val="nil"/>
              <w:bottom w:val="single" w:sz="4" w:space="0" w:color="auto"/>
            </w:tcBorders>
            <w:shd w:val="clear" w:color="auto" w:fill="B8CCE4" w:themeFill="accent1" w:themeFillTint="66"/>
            <w:vAlign w:val="center"/>
          </w:tcPr>
          <w:p w14:paraId="6CF35606" w14:textId="77777777" w:rsidR="00D24BA1" w:rsidRPr="002759EC" w:rsidRDefault="00D24BA1" w:rsidP="00286E68">
            <w:pPr>
              <w:pStyle w:val="TableText0"/>
              <w:keepNext w:val="0"/>
              <w:rPr>
                <w:iCs/>
                <w:szCs w:val="18"/>
              </w:rPr>
            </w:pPr>
            <w:r w:rsidRPr="002759EC">
              <w:rPr>
                <w:iCs/>
                <w:szCs w:val="18"/>
              </w:rPr>
              <w:t xml:space="preserve">Aliment </w:t>
            </w:r>
            <w:proofErr w:type="spellStart"/>
            <w:r w:rsidRPr="002759EC">
              <w:rPr>
                <w:iCs/>
                <w:szCs w:val="18"/>
              </w:rPr>
              <w:t>Pharmacol</w:t>
            </w:r>
            <w:proofErr w:type="spellEnd"/>
            <w:r w:rsidRPr="002759EC">
              <w:rPr>
                <w:iCs/>
                <w:szCs w:val="18"/>
              </w:rPr>
              <w:t xml:space="preserve"> Ther;</w:t>
            </w:r>
            <w:r>
              <w:rPr>
                <w:iCs/>
                <w:szCs w:val="18"/>
              </w:rPr>
              <w:t xml:space="preserve"> </w:t>
            </w:r>
            <w:r w:rsidRPr="002759EC">
              <w:rPr>
                <w:iCs/>
                <w:szCs w:val="18"/>
              </w:rPr>
              <w:t>48(1):65-77</w:t>
            </w:r>
          </w:p>
        </w:tc>
      </w:tr>
      <w:tr w:rsidR="00D24BA1" w:rsidRPr="00CB38A8" w14:paraId="704D6491" w14:textId="77777777" w:rsidTr="00286E68">
        <w:tc>
          <w:tcPr>
            <w:tcW w:w="705" w:type="pct"/>
            <w:vMerge w:val="restart"/>
            <w:tcBorders>
              <w:top w:val="nil"/>
            </w:tcBorders>
            <w:shd w:val="clear" w:color="auto" w:fill="B8CCE4" w:themeFill="accent1" w:themeFillTint="66"/>
            <w:vAlign w:val="center"/>
          </w:tcPr>
          <w:p w14:paraId="5B31B16A" w14:textId="77777777" w:rsidR="00D24BA1" w:rsidRDefault="00D24BA1" w:rsidP="00286E68">
            <w:pPr>
              <w:pStyle w:val="TableText0"/>
            </w:pPr>
            <w:r>
              <w:t>IM-UNITI</w:t>
            </w:r>
          </w:p>
          <w:p w14:paraId="1C700A2C" w14:textId="77777777" w:rsidR="00D24BA1" w:rsidRDefault="00D24BA1" w:rsidP="00286E68">
            <w:pPr>
              <w:pStyle w:val="TableText0"/>
            </w:pPr>
            <w:r>
              <w:t>(NCT01369355)</w:t>
            </w:r>
          </w:p>
        </w:tc>
        <w:tc>
          <w:tcPr>
            <w:tcW w:w="3380" w:type="pct"/>
            <w:tcBorders>
              <w:top w:val="nil"/>
              <w:bottom w:val="nil"/>
            </w:tcBorders>
            <w:shd w:val="clear" w:color="auto" w:fill="B8CCE4" w:themeFill="accent1" w:themeFillTint="66"/>
            <w:vAlign w:val="center"/>
          </w:tcPr>
          <w:p w14:paraId="11430B96" w14:textId="77777777" w:rsidR="00D24BA1" w:rsidRDefault="00D24BA1" w:rsidP="00286E68">
            <w:pPr>
              <w:pStyle w:val="TableText0"/>
              <w:keepNext w:val="0"/>
              <w:rPr>
                <w:szCs w:val="18"/>
              </w:rPr>
            </w:pPr>
            <w:r w:rsidRPr="00C636B4">
              <w:rPr>
                <w:szCs w:val="18"/>
              </w:rPr>
              <w:t xml:space="preserve">Hanauer </w:t>
            </w:r>
            <w:r>
              <w:rPr>
                <w:szCs w:val="18"/>
              </w:rPr>
              <w:t>et al</w:t>
            </w:r>
            <w:r w:rsidRPr="00C636B4">
              <w:rPr>
                <w:szCs w:val="18"/>
              </w:rPr>
              <w:t>.</w:t>
            </w:r>
            <w:r>
              <w:rPr>
                <w:szCs w:val="18"/>
              </w:rPr>
              <w:t xml:space="preserve"> (2020).</w:t>
            </w:r>
            <w:r w:rsidRPr="00C636B4">
              <w:rPr>
                <w:szCs w:val="18"/>
              </w:rPr>
              <w:t xml:space="preserve"> IM-UNITI: Three-year Efficacy, Safety, and Immunogenicity of Ustekinumab Treatment of Crohn's Disease.</w:t>
            </w:r>
          </w:p>
        </w:tc>
        <w:tc>
          <w:tcPr>
            <w:tcW w:w="915" w:type="pct"/>
            <w:tcBorders>
              <w:top w:val="nil"/>
              <w:bottom w:val="nil"/>
            </w:tcBorders>
            <w:shd w:val="clear" w:color="auto" w:fill="B8CCE4" w:themeFill="accent1" w:themeFillTint="66"/>
            <w:vAlign w:val="center"/>
          </w:tcPr>
          <w:p w14:paraId="5420258D" w14:textId="77777777" w:rsidR="00D24BA1" w:rsidRPr="002759EC" w:rsidRDefault="00D24BA1" w:rsidP="00286E68">
            <w:pPr>
              <w:pStyle w:val="TableText0"/>
              <w:keepNext w:val="0"/>
              <w:rPr>
                <w:iCs/>
                <w:szCs w:val="18"/>
              </w:rPr>
            </w:pPr>
            <w:r w:rsidRPr="00C636B4">
              <w:rPr>
                <w:iCs/>
                <w:szCs w:val="18"/>
              </w:rPr>
              <w:t xml:space="preserve">J </w:t>
            </w:r>
            <w:proofErr w:type="spellStart"/>
            <w:r w:rsidRPr="00C636B4">
              <w:rPr>
                <w:iCs/>
                <w:szCs w:val="18"/>
              </w:rPr>
              <w:t>Crohns</w:t>
            </w:r>
            <w:proofErr w:type="spellEnd"/>
            <w:r w:rsidRPr="00C636B4">
              <w:rPr>
                <w:iCs/>
                <w:szCs w:val="18"/>
              </w:rPr>
              <w:t xml:space="preserve"> Colitis;</w:t>
            </w:r>
            <w:r>
              <w:rPr>
                <w:iCs/>
                <w:szCs w:val="18"/>
              </w:rPr>
              <w:t xml:space="preserve"> </w:t>
            </w:r>
            <w:r w:rsidRPr="00C636B4">
              <w:rPr>
                <w:iCs/>
                <w:szCs w:val="18"/>
              </w:rPr>
              <w:t>14(1):23-32</w:t>
            </w:r>
          </w:p>
        </w:tc>
      </w:tr>
      <w:tr w:rsidR="00D24BA1" w:rsidRPr="00CB38A8" w14:paraId="45BCAAA4" w14:textId="77777777" w:rsidTr="00286E68">
        <w:tc>
          <w:tcPr>
            <w:tcW w:w="705" w:type="pct"/>
            <w:vMerge/>
            <w:tcBorders>
              <w:bottom w:val="single" w:sz="4" w:space="0" w:color="auto"/>
            </w:tcBorders>
            <w:shd w:val="clear" w:color="auto" w:fill="B8CCE4" w:themeFill="accent1" w:themeFillTint="66"/>
            <w:vAlign w:val="center"/>
          </w:tcPr>
          <w:p w14:paraId="6418006A" w14:textId="77777777" w:rsidR="00D24BA1" w:rsidRDefault="00D24BA1" w:rsidP="00286E68">
            <w:pPr>
              <w:pStyle w:val="TableText0"/>
            </w:pPr>
          </w:p>
        </w:tc>
        <w:tc>
          <w:tcPr>
            <w:tcW w:w="3380" w:type="pct"/>
            <w:tcBorders>
              <w:top w:val="nil"/>
              <w:bottom w:val="single" w:sz="4" w:space="0" w:color="auto"/>
            </w:tcBorders>
            <w:shd w:val="clear" w:color="auto" w:fill="B8CCE4" w:themeFill="accent1" w:themeFillTint="66"/>
            <w:vAlign w:val="center"/>
          </w:tcPr>
          <w:p w14:paraId="07D4D886" w14:textId="77777777" w:rsidR="00D24BA1" w:rsidRDefault="00D24BA1" w:rsidP="00286E68">
            <w:pPr>
              <w:pStyle w:val="TableText0"/>
              <w:keepNext w:val="0"/>
              <w:rPr>
                <w:szCs w:val="18"/>
              </w:rPr>
            </w:pPr>
            <w:r w:rsidRPr="00C636B4">
              <w:rPr>
                <w:szCs w:val="18"/>
              </w:rPr>
              <w:t xml:space="preserve">Sandborn </w:t>
            </w:r>
            <w:r>
              <w:rPr>
                <w:szCs w:val="18"/>
              </w:rPr>
              <w:t>et al. (2022)</w:t>
            </w:r>
            <w:r w:rsidRPr="00C636B4">
              <w:rPr>
                <w:szCs w:val="18"/>
              </w:rPr>
              <w:t>. Five-Year Efficacy and Safety of Ustekinumab Treatment in Crohn's Disease: The IM-UNITI Trial.</w:t>
            </w:r>
          </w:p>
        </w:tc>
        <w:tc>
          <w:tcPr>
            <w:tcW w:w="915" w:type="pct"/>
            <w:tcBorders>
              <w:top w:val="nil"/>
              <w:bottom w:val="single" w:sz="4" w:space="0" w:color="auto"/>
            </w:tcBorders>
            <w:shd w:val="clear" w:color="auto" w:fill="B8CCE4" w:themeFill="accent1" w:themeFillTint="66"/>
            <w:vAlign w:val="center"/>
          </w:tcPr>
          <w:p w14:paraId="0B834362" w14:textId="77777777" w:rsidR="00D24BA1" w:rsidRPr="002759EC" w:rsidRDefault="00D24BA1" w:rsidP="00286E68">
            <w:pPr>
              <w:pStyle w:val="TableText0"/>
              <w:keepNext w:val="0"/>
              <w:rPr>
                <w:iCs/>
                <w:szCs w:val="18"/>
              </w:rPr>
            </w:pPr>
            <w:r w:rsidRPr="00C636B4">
              <w:rPr>
                <w:iCs/>
                <w:szCs w:val="18"/>
              </w:rPr>
              <w:t>Clin Gastroenterol Hepatol</w:t>
            </w:r>
            <w:r>
              <w:rPr>
                <w:iCs/>
                <w:szCs w:val="18"/>
              </w:rPr>
              <w:t xml:space="preserve">; </w:t>
            </w:r>
            <w:r w:rsidRPr="00C636B4">
              <w:rPr>
                <w:iCs/>
                <w:szCs w:val="18"/>
              </w:rPr>
              <w:t>20(3):578-590.e4</w:t>
            </w:r>
          </w:p>
        </w:tc>
      </w:tr>
      <w:tr w:rsidR="00D24BA1" w:rsidRPr="00CB38A8" w14:paraId="3F4F7CAF" w14:textId="77777777" w:rsidTr="00286E68">
        <w:tc>
          <w:tcPr>
            <w:tcW w:w="705" w:type="pct"/>
            <w:tcBorders>
              <w:top w:val="nil"/>
              <w:bottom w:val="single" w:sz="4" w:space="0" w:color="auto"/>
            </w:tcBorders>
            <w:vAlign w:val="center"/>
          </w:tcPr>
          <w:p w14:paraId="71EB3D93" w14:textId="77777777" w:rsidR="00D24BA1" w:rsidRDefault="00D24BA1" w:rsidP="00286E68">
            <w:pPr>
              <w:pStyle w:val="TableText0"/>
              <w:keepNext w:val="0"/>
            </w:pPr>
            <w:r w:rsidRPr="00F75040">
              <w:t>CERTIFI</w:t>
            </w:r>
          </w:p>
          <w:p w14:paraId="68A63519" w14:textId="77777777" w:rsidR="00D24BA1" w:rsidRDefault="00D24BA1" w:rsidP="00286E68">
            <w:pPr>
              <w:pStyle w:val="TableText0"/>
              <w:keepNext w:val="0"/>
            </w:pPr>
            <w:r>
              <w:t>(</w:t>
            </w:r>
            <w:r w:rsidRPr="00F75040">
              <w:t>NCT00771667</w:t>
            </w:r>
            <w:r>
              <w:t>)</w:t>
            </w:r>
          </w:p>
        </w:tc>
        <w:tc>
          <w:tcPr>
            <w:tcW w:w="3380" w:type="pct"/>
            <w:tcBorders>
              <w:top w:val="nil"/>
              <w:bottom w:val="single" w:sz="4" w:space="0" w:color="auto"/>
            </w:tcBorders>
            <w:vAlign w:val="center"/>
          </w:tcPr>
          <w:p w14:paraId="4B4FF44C" w14:textId="77777777" w:rsidR="00D24BA1" w:rsidRDefault="00D24BA1" w:rsidP="00286E68">
            <w:pPr>
              <w:pStyle w:val="TableText0"/>
              <w:keepNext w:val="0"/>
              <w:rPr>
                <w:szCs w:val="18"/>
              </w:rPr>
            </w:pPr>
            <w:r>
              <w:rPr>
                <w:szCs w:val="18"/>
              </w:rPr>
              <w:t>S</w:t>
            </w:r>
            <w:r w:rsidRPr="002759EC">
              <w:rPr>
                <w:szCs w:val="18"/>
              </w:rPr>
              <w:t xml:space="preserve">andborn </w:t>
            </w:r>
            <w:r>
              <w:rPr>
                <w:szCs w:val="18"/>
              </w:rPr>
              <w:t xml:space="preserve">et al. </w:t>
            </w:r>
            <w:r w:rsidRPr="002759EC">
              <w:rPr>
                <w:szCs w:val="18"/>
              </w:rPr>
              <w:t>CERTIFI Study Group</w:t>
            </w:r>
            <w:r>
              <w:rPr>
                <w:szCs w:val="18"/>
              </w:rPr>
              <w:t>. (2012).</w:t>
            </w:r>
            <w:r w:rsidRPr="002759EC">
              <w:rPr>
                <w:szCs w:val="18"/>
              </w:rPr>
              <w:t xml:space="preserve"> Ustekinumab induction and maintenance therapy in refractory Crohn's disease. </w:t>
            </w:r>
          </w:p>
        </w:tc>
        <w:tc>
          <w:tcPr>
            <w:tcW w:w="915" w:type="pct"/>
            <w:tcBorders>
              <w:top w:val="nil"/>
              <w:bottom w:val="single" w:sz="4" w:space="0" w:color="auto"/>
            </w:tcBorders>
            <w:vAlign w:val="center"/>
          </w:tcPr>
          <w:p w14:paraId="555BD6E2" w14:textId="77777777" w:rsidR="00D24BA1" w:rsidRPr="00F74CD9" w:rsidRDefault="00D24BA1" w:rsidP="00286E68">
            <w:pPr>
              <w:pStyle w:val="TableText0"/>
              <w:keepNext w:val="0"/>
              <w:rPr>
                <w:i/>
                <w:szCs w:val="18"/>
              </w:rPr>
            </w:pPr>
            <w:r w:rsidRPr="002759EC">
              <w:rPr>
                <w:szCs w:val="18"/>
              </w:rPr>
              <w:t>N Engl J Med;</w:t>
            </w:r>
            <w:r>
              <w:rPr>
                <w:szCs w:val="18"/>
              </w:rPr>
              <w:t xml:space="preserve"> </w:t>
            </w:r>
            <w:r w:rsidRPr="002759EC">
              <w:rPr>
                <w:szCs w:val="18"/>
              </w:rPr>
              <w:t>367(16):1519-28</w:t>
            </w:r>
          </w:p>
        </w:tc>
      </w:tr>
    </w:tbl>
    <w:p w14:paraId="676F2495" w14:textId="77777777" w:rsidR="00D24BA1" w:rsidRDefault="00D24BA1" w:rsidP="00D24BA1">
      <w:pPr>
        <w:pStyle w:val="FooterTableFigure"/>
      </w:pPr>
      <w:r w:rsidRPr="00C455B8">
        <w:rPr>
          <w:rStyle w:val="CommentReference"/>
          <w:b w:val="0"/>
          <w:bCs/>
          <w:sz w:val="18"/>
          <w:szCs w:val="18"/>
          <w:shd w:val="clear" w:color="auto" w:fill="B8CCE4" w:themeFill="accent1" w:themeFillTint="66"/>
        </w:rPr>
        <w:t xml:space="preserve">Blue </w:t>
      </w:r>
      <w:r w:rsidRPr="00C455B8">
        <w:rPr>
          <w:rStyle w:val="CommentReference"/>
          <w:b w:val="0"/>
          <w:bCs/>
          <w:sz w:val="18"/>
          <w:szCs w:val="18"/>
        </w:rPr>
        <w:t xml:space="preserve">shading indicates data previously seen by the PBAC. </w:t>
      </w:r>
    </w:p>
    <w:p w14:paraId="2DDB4E42" w14:textId="77777777" w:rsidR="00D24BA1" w:rsidRPr="00B1011F" w:rsidRDefault="00D24BA1" w:rsidP="00D24BA1">
      <w:pPr>
        <w:pStyle w:val="FooterTableFigure"/>
        <w:rPr>
          <w:sz w:val="20"/>
        </w:rPr>
      </w:pPr>
      <w:r>
        <w:t>Source: Table 2.4, pp74-78 o</w:t>
      </w:r>
      <w:r w:rsidRPr="00D13A3E">
        <w:t xml:space="preserve">f the </w:t>
      </w:r>
      <w:r>
        <w:t>submission and Attachment 2.3 – NMA technical report.docx.</w:t>
      </w:r>
    </w:p>
    <w:p w14:paraId="657E1937" w14:textId="6B7CEF60" w:rsidR="00D24BA1" w:rsidRDefault="00D24BA1" w:rsidP="002E4F02">
      <w:pPr>
        <w:pStyle w:val="3-BodyText"/>
      </w:pPr>
      <w:r>
        <w:lastRenderedPageBreak/>
        <w:t xml:space="preserve">The key features of the included trials are summarised in </w:t>
      </w:r>
      <w:r w:rsidR="005F4460">
        <w:fldChar w:fldCharType="begin"/>
      </w:r>
      <w:r w:rsidR="005F4460">
        <w:instrText xml:space="preserve"> REF _Ref197674708 \h </w:instrText>
      </w:r>
      <w:r w:rsidR="005F4460">
        <w:fldChar w:fldCharType="separate"/>
      </w:r>
      <w:r w:rsidR="000756FD">
        <w:t xml:space="preserve">Table </w:t>
      </w:r>
      <w:r w:rsidR="000756FD">
        <w:rPr>
          <w:noProof/>
        </w:rPr>
        <w:t>5</w:t>
      </w:r>
      <w:r w:rsidR="005F4460">
        <w:fldChar w:fldCharType="end"/>
      </w:r>
      <w:r w:rsidR="005F4460">
        <w:t xml:space="preserve"> </w:t>
      </w:r>
      <w:r>
        <w:t>for head-to-head trials</w:t>
      </w:r>
      <w:r w:rsidR="002143C0">
        <w:t xml:space="preserve"> </w:t>
      </w:r>
      <w:r w:rsidR="003B7E35">
        <w:t>of</w:t>
      </w:r>
      <w:r w:rsidR="002143C0">
        <w:t xml:space="preserve"> induction and maintenance treatment</w:t>
      </w:r>
      <w:r>
        <w:t xml:space="preserve">, </w:t>
      </w:r>
      <w:r w:rsidR="005F4460">
        <w:fldChar w:fldCharType="begin"/>
      </w:r>
      <w:r w:rsidR="005F4460">
        <w:instrText xml:space="preserve"> REF _Ref197674738 \h </w:instrText>
      </w:r>
      <w:r w:rsidR="005F4460">
        <w:fldChar w:fldCharType="separate"/>
      </w:r>
      <w:r w:rsidR="000756FD">
        <w:t xml:space="preserve">Table </w:t>
      </w:r>
      <w:r w:rsidR="000756FD">
        <w:rPr>
          <w:noProof/>
        </w:rPr>
        <w:t>6</w:t>
      </w:r>
      <w:r w:rsidR="005F4460">
        <w:fldChar w:fldCharType="end"/>
      </w:r>
      <w:r w:rsidR="005F4460">
        <w:t xml:space="preserve"> </w:t>
      </w:r>
      <w:r>
        <w:t xml:space="preserve">for </w:t>
      </w:r>
      <w:r w:rsidR="003B7E35">
        <w:t xml:space="preserve">the </w:t>
      </w:r>
      <w:r>
        <w:t xml:space="preserve">indirect evidence </w:t>
      </w:r>
      <w:r w:rsidR="003B7E35">
        <w:t xml:space="preserve">of </w:t>
      </w:r>
      <w:r>
        <w:t xml:space="preserve">induction treatment and </w:t>
      </w:r>
      <w:r w:rsidR="00066AE6">
        <w:fldChar w:fldCharType="begin"/>
      </w:r>
      <w:r w:rsidR="00066AE6">
        <w:instrText xml:space="preserve"> REF _Ref197674833 \h </w:instrText>
      </w:r>
      <w:r w:rsidR="00066AE6">
        <w:fldChar w:fldCharType="separate"/>
      </w:r>
      <w:r w:rsidR="000756FD">
        <w:t xml:space="preserve">Table </w:t>
      </w:r>
      <w:r w:rsidR="000756FD">
        <w:rPr>
          <w:noProof/>
        </w:rPr>
        <w:t>7</w:t>
      </w:r>
      <w:r w:rsidR="00066AE6">
        <w:fldChar w:fldCharType="end"/>
      </w:r>
      <w:r w:rsidR="00066AE6">
        <w:t xml:space="preserve"> </w:t>
      </w:r>
      <w:r>
        <w:t xml:space="preserve">for indirect evidence </w:t>
      </w:r>
      <w:r w:rsidR="003B7E35">
        <w:t xml:space="preserve">of </w:t>
      </w:r>
      <w:r>
        <w:t>maintenance treatment.</w:t>
      </w:r>
    </w:p>
    <w:p w14:paraId="713ACAFE" w14:textId="778A71A6" w:rsidR="00D24BA1" w:rsidRDefault="00D24BA1" w:rsidP="00D24BA1">
      <w:pPr>
        <w:pStyle w:val="3-BodyText"/>
        <w:numPr>
          <w:ilvl w:val="0"/>
          <w:numId w:val="0"/>
        </w:numPr>
      </w:pPr>
    </w:p>
    <w:p w14:paraId="439A35A0" w14:textId="77777777" w:rsidR="00D24BA1" w:rsidRDefault="00D24BA1" w:rsidP="00D24BA1">
      <w:pPr>
        <w:pStyle w:val="3-BodyText"/>
        <w:numPr>
          <w:ilvl w:val="0"/>
          <w:numId w:val="0"/>
        </w:numPr>
        <w:sectPr w:rsidR="00D24BA1" w:rsidSect="002E3B92">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pPr>
    </w:p>
    <w:p w14:paraId="01DB2810" w14:textId="2CA48982" w:rsidR="00D24BA1" w:rsidRPr="00EC5836" w:rsidRDefault="005F4460" w:rsidP="005F4460">
      <w:pPr>
        <w:pStyle w:val="Caption"/>
        <w:jc w:val="left"/>
        <w:rPr>
          <w:rStyle w:val="CommentReference"/>
          <w:b/>
          <w:szCs w:val="24"/>
        </w:rPr>
      </w:pPr>
      <w:bookmarkStart w:id="23" w:name="_Ref197674708"/>
      <w:r>
        <w:lastRenderedPageBreak/>
        <w:t xml:space="preserve">Table </w:t>
      </w:r>
      <w:r w:rsidR="00DC5F25">
        <w:fldChar w:fldCharType="begin"/>
      </w:r>
      <w:r w:rsidR="00DC5F25">
        <w:instrText xml:space="preserve"> SEQ Table \* ARABIC </w:instrText>
      </w:r>
      <w:r w:rsidR="00DC5F25">
        <w:fldChar w:fldCharType="separate"/>
      </w:r>
      <w:r w:rsidR="000756FD">
        <w:rPr>
          <w:noProof/>
        </w:rPr>
        <w:t>5</w:t>
      </w:r>
      <w:r w:rsidR="00DC5F25">
        <w:rPr>
          <w:noProof/>
        </w:rPr>
        <w:fldChar w:fldCharType="end"/>
      </w:r>
      <w:bookmarkEnd w:id="23"/>
      <w:r>
        <w:t>:</w:t>
      </w:r>
      <w:r w:rsidR="00D24BA1" w:rsidRPr="00EC5836">
        <w:rPr>
          <w:rStyle w:val="CommentReference"/>
          <w:b/>
          <w:szCs w:val="24"/>
        </w:rPr>
        <w:t xml:space="preserve"> Key features of the included </w:t>
      </w:r>
      <w:r w:rsidR="00D24BA1">
        <w:rPr>
          <w:rStyle w:val="CommentReference"/>
          <w:b/>
          <w:szCs w:val="24"/>
        </w:rPr>
        <w:t xml:space="preserve">direct </w:t>
      </w:r>
      <w:r w:rsidR="003B7E35">
        <w:rPr>
          <w:rStyle w:val="CommentReference"/>
          <w:b/>
          <w:szCs w:val="24"/>
        </w:rPr>
        <w:t xml:space="preserve">head-to-head </w:t>
      </w:r>
      <w:r w:rsidR="00D24BA1" w:rsidRPr="00EC5836">
        <w:rPr>
          <w:rStyle w:val="CommentReference"/>
          <w:b/>
          <w:szCs w:val="24"/>
        </w:rPr>
        <w:t>evidence</w:t>
      </w:r>
      <w:r w:rsidR="003B7E35">
        <w:rPr>
          <w:rStyle w:val="CommentReference"/>
          <w:b/>
          <w:szCs w:val="24"/>
        </w:rPr>
        <w:t xml:space="preserve"> – induction and maintenance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direct head-to-head evidence – induction and maintenance treatment"/>
      </w:tblPr>
      <w:tblGrid>
        <w:gridCol w:w="1129"/>
        <w:gridCol w:w="424"/>
        <w:gridCol w:w="1839"/>
        <w:gridCol w:w="427"/>
        <w:gridCol w:w="1702"/>
        <w:gridCol w:w="3970"/>
        <w:gridCol w:w="2667"/>
        <w:gridCol w:w="578"/>
        <w:gridCol w:w="664"/>
        <w:gridCol w:w="550"/>
      </w:tblGrid>
      <w:tr w:rsidR="00D24BA1" w:rsidRPr="00B41614" w14:paraId="42BB3C6D" w14:textId="77777777" w:rsidTr="002143C0">
        <w:trPr>
          <w:cantSplit/>
          <w:tblHeader/>
        </w:trPr>
        <w:tc>
          <w:tcPr>
            <w:tcW w:w="405" w:type="pct"/>
            <w:vAlign w:val="center"/>
          </w:tcPr>
          <w:p w14:paraId="4F9C9A0F" w14:textId="77777777" w:rsidR="00D24BA1" w:rsidRPr="00B41614" w:rsidRDefault="00D24BA1" w:rsidP="00286E68">
            <w:pPr>
              <w:pStyle w:val="In-tableHeading"/>
            </w:pPr>
            <w:r w:rsidRPr="00B41614">
              <w:t>Trial</w:t>
            </w:r>
          </w:p>
        </w:tc>
        <w:tc>
          <w:tcPr>
            <w:tcW w:w="152" w:type="pct"/>
            <w:vAlign w:val="center"/>
          </w:tcPr>
          <w:p w14:paraId="45CF0209" w14:textId="77777777" w:rsidR="00D24BA1" w:rsidRPr="00B41614" w:rsidRDefault="00D24BA1" w:rsidP="00286E68">
            <w:pPr>
              <w:pStyle w:val="In-tableHeading"/>
              <w:jc w:val="center"/>
            </w:pPr>
            <w:r w:rsidRPr="00B41614">
              <w:t>N</w:t>
            </w:r>
          </w:p>
        </w:tc>
        <w:tc>
          <w:tcPr>
            <w:tcW w:w="659" w:type="pct"/>
            <w:vAlign w:val="center"/>
          </w:tcPr>
          <w:p w14:paraId="318DFE7E" w14:textId="77777777" w:rsidR="00D24BA1" w:rsidRPr="00B41614" w:rsidRDefault="00D24BA1" w:rsidP="00286E68">
            <w:pPr>
              <w:pStyle w:val="In-tableHeading"/>
              <w:jc w:val="center"/>
            </w:pPr>
            <w:r w:rsidRPr="00B41614">
              <w:t>Design</w:t>
            </w:r>
          </w:p>
        </w:tc>
        <w:tc>
          <w:tcPr>
            <w:tcW w:w="153" w:type="pct"/>
            <w:vAlign w:val="center"/>
          </w:tcPr>
          <w:p w14:paraId="2F68FED7" w14:textId="77777777" w:rsidR="00D24BA1" w:rsidRPr="00B41614" w:rsidRDefault="00D24BA1" w:rsidP="00286E68">
            <w:pPr>
              <w:pStyle w:val="In-tableHeading"/>
              <w:jc w:val="center"/>
            </w:pPr>
            <w:r>
              <w:t>B</w:t>
            </w:r>
            <w:r w:rsidRPr="00B41614">
              <w:t>ias</w:t>
            </w:r>
          </w:p>
        </w:tc>
        <w:tc>
          <w:tcPr>
            <w:tcW w:w="610" w:type="pct"/>
            <w:vAlign w:val="center"/>
          </w:tcPr>
          <w:p w14:paraId="6A055A7D" w14:textId="77777777" w:rsidR="00D24BA1" w:rsidRPr="00B41614" w:rsidRDefault="00D24BA1" w:rsidP="00286E68">
            <w:pPr>
              <w:pStyle w:val="In-tableHeading"/>
              <w:jc w:val="center"/>
            </w:pPr>
            <w:r>
              <w:t>P</w:t>
            </w:r>
            <w:r w:rsidRPr="00B41614">
              <w:t>opulation</w:t>
            </w:r>
          </w:p>
        </w:tc>
        <w:tc>
          <w:tcPr>
            <w:tcW w:w="1423" w:type="pct"/>
          </w:tcPr>
          <w:p w14:paraId="6A6D6C30" w14:textId="77777777" w:rsidR="00D24BA1" w:rsidRPr="00B41614" w:rsidRDefault="00D24BA1" w:rsidP="00286E68">
            <w:pPr>
              <w:pStyle w:val="In-tableHeading"/>
              <w:jc w:val="center"/>
            </w:pPr>
            <w:r>
              <w:t>Treatment</w:t>
            </w:r>
          </w:p>
        </w:tc>
        <w:tc>
          <w:tcPr>
            <w:tcW w:w="956" w:type="pct"/>
            <w:vAlign w:val="center"/>
          </w:tcPr>
          <w:p w14:paraId="02DC542B" w14:textId="77777777" w:rsidR="00D24BA1" w:rsidRPr="00B41614" w:rsidRDefault="00D24BA1" w:rsidP="00286E68">
            <w:pPr>
              <w:pStyle w:val="In-tableHeading"/>
              <w:jc w:val="center"/>
            </w:pPr>
            <w:r w:rsidRPr="00B41614">
              <w:t>Outcome(s)</w:t>
            </w:r>
          </w:p>
        </w:tc>
        <w:tc>
          <w:tcPr>
            <w:tcW w:w="207" w:type="pct"/>
            <w:vAlign w:val="center"/>
          </w:tcPr>
          <w:p w14:paraId="5995AA38" w14:textId="77777777" w:rsidR="00D24BA1" w:rsidRPr="00B41614" w:rsidRDefault="00D24BA1" w:rsidP="00286E68">
            <w:pPr>
              <w:pStyle w:val="In-tableHeading"/>
              <w:jc w:val="center"/>
            </w:pPr>
            <w:r>
              <w:t>ITC</w:t>
            </w:r>
          </w:p>
        </w:tc>
        <w:tc>
          <w:tcPr>
            <w:tcW w:w="238" w:type="pct"/>
            <w:vAlign w:val="center"/>
          </w:tcPr>
          <w:p w14:paraId="5DB013D1" w14:textId="77777777" w:rsidR="00D24BA1" w:rsidRDefault="00D24BA1" w:rsidP="00286E68">
            <w:pPr>
              <w:pStyle w:val="In-tableHeading"/>
              <w:jc w:val="center"/>
            </w:pPr>
            <w:r>
              <w:t>NMA</w:t>
            </w:r>
          </w:p>
        </w:tc>
        <w:tc>
          <w:tcPr>
            <w:tcW w:w="197" w:type="pct"/>
            <w:vAlign w:val="center"/>
          </w:tcPr>
          <w:p w14:paraId="46F511DE" w14:textId="77777777" w:rsidR="00D24BA1" w:rsidRDefault="00D24BA1" w:rsidP="00286E68">
            <w:pPr>
              <w:pStyle w:val="In-tableHeading"/>
              <w:jc w:val="center"/>
            </w:pPr>
            <w:r>
              <w:t>S3</w:t>
            </w:r>
          </w:p>
        </w:tc>
      </w:tr>
      <w:tr w:rsidR="00D24BA1" w:rsidRPr="00E2771E" w14:paraId="28732195" w14:textId="77777777" w:rsidTr="002143C0">
        <w:trPr>
          <w:cantSplit/>
        </w:trPr>
        <w:tc>
          <w:tcPr>
            <w:tcW w:w="4565" w:type="pct"/>
            <w:gridSpan w:val="8"/>
          </w:tcPr>
          <w:p w14:paraId="240A0614" w14:textId="77777777" w:rsidR="00D24BA1" w:rsidRPr="00EC5836" w:rsidRDefault="00D24BA1" w:rsidP="00286E68">
            <w:pPr>
              <w:pStyle w:val="In-tableHeading"/>
            </w:pPr>
            <w:r>
              <w:t>GUS vs UST and PBO</w:t>
            </w:r>
          </w:p>
        </w:tc>
        <w:tc>
          <w:tcPr>
            <w:tcW w:w="238" w:type="pct"/>
            <w:vAlign w:val="center"/>
          </w:tcPr>
          <w:p w14:paraId="2F97F6FF" w14:textId="77777777" w:rsidR="00D24BA1" w:rsidRDefault="00D24BA1" w:rsidP="00286E68">
            <w:pPr>
              <w:pStyle w:val="In-tableHeading"/>
              <w:jc w:val="center"/>
            </w:pPr>
          </w:p>
        </w:tc>
        <w:tc>
          <w:tcPr>
            <w:tcW w:w="197" w:type="pct"/>
            <w:vAlign w:val="center"/>
          </w:tcPr>
          <w:p w14:paraId="73EB6448" w14:textId="77777777" w:rsidR="00D24BA1" w:rsidRDefault="00D24BA1" w:rsidP="00286E68">
            <w:pPr>
              <w:pStyle w:val="In-tableHeading"/>
              <w:jc w:val="center"/>
            </w:pPr>
          </w:p>
        </w:tc>
      </w:tr>
      <w:tr w:rsidR="00D24BA1" w:rsidRPr="00E2771E" w14:paraId="1F4CCFE1" w14:textId="77777777" w:rsidTr="002143C0">
        <w:trPr>
          <w:cantSplit/>
        </w:trPr>
        <w:tc>
          <w:tcPr>
            <w:tcW w:w="405" w:type="pct"/>
            <w:vAlign w:val="center"/>
          </w:tcPr>
          <w:p w14:paraId="63DC1BAE" w14:textId="77777777" w:rsidR="00D24BA1" w:rsidRDefault="00D24BA1" w:rsidP="00286E68">
            <w:pPr>
              <w:pStyle w:val="TableText0"/>
              <w:rPr>
                <w:lang w:val="en-US"/>
              </w:rPr>
            </w:pPr>
            <w:r>
              <w:rPr>
                <w:lang w:val="en-US"/>
              </w:rPr>
              <w:t>GALAXI 1</w:t>
            </w:r>
          </w:p>
          <w:p w14:paraId="0E1ED827" w14:textId="77777777" w:rsidR="00D24BA1" w:rsidRPr="00E2771E" w:rsidRDefault="00D24BA1" w:rsidP="00286E68">
            <w:pPr>
              <w:pStyle w:val="TableText0"/>
              <w:rPr>
                <w:lang w:val="en-US"/>
              </w:rPr>
            </w:pPr>
            <w:r>
              <w:rPr>
                <w:lang w:val="en-US"/>
              </w:rPr>
              <w:t>[induction + maintenance]</w:t>
            </w:r>
          </w:p>
        </w:tc>
        <w:tc>
          <w:tcPr>
            <w:tcW w:w="152" w:type="pct"/>
            <w:vAlign w:val="center"/>
          </w:tcPr>
          <w:p w14:paraId="5056FFE6" w14:textId="77777777" w:rsidR="00D24BA1" w:rsidRPr="00E2771E" w:rsidRDefault="00D24BA1" w:rsidP="00286E68">
            <w:pPr>
              <w:pStyle w:val="TableText0"/>
              <w:jc w:val="center"/>
              <w:rPr>
                <w:lang w:val="en-US"/>
              </w:rPr>
            </w:pPr>
            <w:r>
              <w:rPr>
                <w:lang w:val="en-US"/>
              </w:rPr>
              <w:t>309</w:t>
            </w:r>
            <w:r w:rsidRPr="00131D4D">
              <w:rPr>
                <w:vertAlign w:val="superscript"/>
                <w:lang w:val="en-US"/>
              </w:rPr>
              <w:t>f</w:t>
            </w:r>
          </w:p>
        </w:tc>
        <w:tc>
          <w:tcPr>
            <w:tcW w:w="659" w:type="pct"/>
            <w:vAlign w:val="center"/>
          </w:tcPr>
          <w:p w14:paraId="34A3E915" w14:textId="77777777" w:rsidR="00D24BA1" w:rsidRDefault="00D24BA1" w:rsidP="00286E68">
            <w:pPr>
              <w:pStyle w:val="TableText0"/>
              <w:jc w:val="center"/>
              <w:rPr>
                <w:lang w:val="en-US"/>
              </w:rPr>
            </w:pPr>
            <w:r>
              <w:rPr>
                <w:lang w:val="en-US"/>
              </w:rPr>
              <w:t xml:space="preserve">P2, MC, R, PC, DB 48 </w:t>
            </w:r>
            <w:proofErr w:type="spellStart"/>
            <w:r>
              <w:rPr>
                <w:lang w:val="en-US"/>
              </w:rPr>
              <w:t>wks</w:t>
            </w:r>
            <w:proofErr w:type="spellEnd"/>
            <w:r>
              <w:rPr>
                <w:lang w:val="en-US"/>
              </w:rPr>
              <w:t xml:space="preserve"> / LTE 4y</w:t>
            </w:r>
          </w:p>
          <w:p w14:paraId="0F318BE5" w14:textId="77777777" w:rsidR="00D24BA1" w:rsidRDefault="00D24BA1" w:rsidP="00286E68">
            <w:pPr>
              <w:pStyle w:val="TableText0"/>
              <w:jc w:val="center"/>
              <w:rPr>
                <w:lang w:val="en-US"/>
              </w:rPr>
            </w:pPr>
            <w:r>
              <w:rPr>
                <w:lang w:val="en-US"/>
              </w:rPr>
              <w:t xml:space="preserve">[IP: 12 </w:t>
            </w:r>
            <w:proofErr w:type="spellStart"/>
            <w:r>
              <w:rPr>
                <w:lang w:val="en-US"/>
              </w:rPr>
              <w:t>wks</w:t>
            </w:r>
            <w:proofErr w:type="spellEnd"/>
            <w:r>
              <w:rPr>
                <w:lang w:val="en-US"/>
              </w:rPr>
              <w:t xml:space="preserve"> + MP: 36 </w:t>
            </w:r>
            <w:proofErr w:type="spellStart"/>
            <w:r>
              <w:rPr>
                <w:lang w:val="en-US"/>
              </w:rPr>
              <w:t>wks</w:t>
            </w:r>
            <w:proofErr w:type="spellEnd"/>
            <w:r>
              <w:rPr>
                <w:lang w:val="en-US"/>
              </w:rPr>
              <w:t>], Type 1+2 TT</w:t>
            </w:r>
          </w:p>
          <w:p w14:paraId="7AD08BAE" w14:textId="77777777" w:rsidR="00D24BA1" w:rsidRPr="00E2771E" w:rsidRDefault="00D24BA1" w:rsidP="00286E68">
            <w:pPr>
              <w:pStyle w:val="TableText0"/>
              <w:jc w:val="center"/>
              <w:rPr>
                <w:lang w:val="en-US"/>
              </w:rPr>
            </w:pPr>
            <w:r>
              <w:rPr>
                <w:lang w:val="en-US"/>
              </w:rPr>
              <w:t>LTE 2-4y</w:t>
            </w:r>
          </w:p>
        </w:tc>
        <w:tc>
          <w:tcPr>
            <w:tcW w:w="153" w:type="pct"/>
            <w:vAlign w:val="center"/>
          </w:tcPr>
          <w:p w14:paraId="2D8B9AF5" w14:textId="77777777" w:rsidR="00D24BA1" w:rsidRPr="00123902" w:rsidRDefault="00D24BA1" w:rsidP="00286E68">
            <w:pPr>
              <w:pStyle w:val="TableText0"/>
              <w:jc w:val="center"/>
              <w:rPr>
                <w:i/>
                <w:lang w:val="en-US"/>
              </w:rPr>
            </w:pPr>
            <w:r>
              <w:rPr>
                <w:i/>
                <w:lang w:val="en-US"/>
              </w:rPr>
              <w:t>Low</w:t>
            </w:r>
          </w:p>
        </w:tc>
        <w:tc>
          <w:tcPr>
            <w:tcW w:w="610" w:type="pct"/>
            <w:vAlign w:val="center"/>
          </w:tcPr>
          <w:p w14:paraId="5FC46F83" w14:textId="77777777" w:rsidR="00D24BA1" w:rsidRDefault="00D24BA1" w:rsidP="00286E68">
            <w:pPr>
              <w:pStyle w:val="TableText0"/>
              <w:jc w:val="center"/>
              <w:rPr>
                <w:lang w:val="en-US"/>
              </w:rPr>
            </w:pPr>
            <w:r w:rsidRPr="00376C38">
              <w:rPr>
                <w:lang w:val="en-US"/>
              </w:rPr>
              <w:t>CDAI ≥220</w:t>
            </w:r>
            <w:r>
              <w:rPr>
                <w:lang w:val="en-US"/>
              </w:rPr>
              <w:t xml:space="preserve"> and ≤450;</w:t>
            </w:r>
          </w:p>
          <w:p w14:paraId="0DF6CB83" w14:textId="77777777" w:rsidR="00D24BA1" w:rsidRPr="00E2771E" w:rsidRDefault="00D24BA1" w:rsidP="00286E68">
            <w:pPr>
              <w:pStyle w:val="TableText0"/>
              <w:jc w:val="center"/>
              <w:rPr>
                <w:lang w:val="en-US"/>
              </w:rPr>
            </w:pPr>
            <w:r>
              <w:rPr>
                <w:lang w:val="en-US"/>
              </w:rPr>
              <w:t>Biologic naïve and experienced (non-responders excluded)</w:t>
            </w:r>
          </w:p>
        </w:tc>
        <w:tc>
          <w:tcPr>
            <w:tcW w:w="1423" w:type="pct"/>
          </w:tcPr>
          <w:p w14:paraId="4FEA08AD" w14:textId="77777777" w:rsidR="00D24BA1" w:rsidRDefault="00D24BA1" w:rsidP="00286E68">
            <w:pPr>
              <w:pStyle w:val="TableText0"/>
              <w:jc w:val="center"/>
              <w:rPr>
                <w:lang w:val="en-US"/>
              </w:rPr>
            </w:pPr>
            <w:r>
              <w:rPr>
                <w:lang w:val="en-US"/>
              </w:rPr>
              <w:t xml:space="preserve">GUS </w:t>
            </w:r>
            <w:r w:rsidRPr="00062A78">
              <w:rPr>
                <w:lang w:val="en-US"/>
              </w:rPr>
              <w:t>200mg</w:t>
            </w:r>
            <w:r>
              <w:rPr>
                <w:lang w:val="en-US"/>
              </w:rPr>
              <w:t xml:space="preserve"> IV </w:t>
            </w:r>
            <w:proofErr w:type="spellStart"/>
            <w:r>
              <w:rPr>
                <w:lang w:val="en-US"/>
              </w:rPr>
              <w:t>Wk</w:t>
            </w:r>
            <w:proofErr w:type="spellEnd"/>
            <w:r>
              <w:rPr>
                <w:lang w:val="en-US"/>
              </w:rPr>
              <w:t xml:space="preserve"> 0, 4, 8 IP -&gt; 200mg SC Q4W MP</w:t>
            </w:r>
          </w:p>
          <w:p w14:paraId="605BB581" w14:textId="77777777" w:rsidR="00D24BA1" w:rsidRDefault="00D24BA1" w:rsidP="00286E68">
            <w:pPr>
              <w:pStyle w:val="TableText0"/>
              <w:jc w:val="center"/>
              <w:rPr>
                <w:lang w:val="en-US"/>
              </w:rPr>
            </w:pPr>
            <w:r>
              <w:rPr>
                <w:lang w:val="en-US"/>
              </w:rPr>
              <w:t>GUS</w:t>
            </w:r>
            <w:r w:rsidRPr="00062A78">
              <w:rPr>
                <w:lang w:val="en-US"/>
              </w:rPr>
              <w:t xml:space="preserve"> 600mg</w:t>
            </w:r>
            <w:r>
              <w:rPr>
                <w:lang w:val="en-US"/>
              </w:rPr>
              <w:t xml:space="preserve"> IV </w:t>
            </w:r>
            <w:proofErr w:type="spellStart"/>
            <w:r>
              <w:rPr>
                <w:lang w:val="en-US"/>
              </w:rPr>
              <w:t>Wk</w:t>
            </w:r>
            <w:proofErr w:type="spellEnd"/>
            <w:r>
              <w:rPr>
                <w:lang w:val="en-US"/>
              </w:rPr>
              <w:t xml:space="preserve"> 0, 4, 8 IP -&gt; 200mg SC Q4W MP</w:t>
            </w:r>
          </w:p>
          <w:p w14:paraId="394EFBD7" w14:textId="77777777" w:rsidR="00D24BA1" w:rsidRDefault="00D24BA1" w:rsidP="00286E68">
            <w:pPr>
              <w:pStyle w:val="TableText0"/>
              <w:jc w:val="center"/>
              <w:rPr>
                <w:lang w:val="en-US"/>
              </w:rPr>
            </w:pPr>
            <w:r>
              <w:rPr>
                <w:lang w:val="en-US"/>
              </w:rPr>
              <w:t xml:space="preserve">GUS </w:t>
            </w:r>
            <w:r w:rsidRPr="00062A78">
              <w:rPr>
                <w:lang w:val="en-US"/>
              </w:rPr>
              <w:t xml:space="preserve">1200mg </w:t>
            </w:r>
            <w:r>
              <w:rPr>
                <w:lang w:val="en-US"/>
              </w:rPr>
              <w:t>IV WK</w:t>
            </w:r>
            <w:r w:rsidRPr="00062A78">
              <w:rPr>
                <w:lang w:val="en-US"/>
              </w:rPr>
              <w:t xml:space="preserve"> 0, 4, </w:t>
            </w:r>
            <w:r>
              <w:rPr>
                <w:lang w:val="en-US"/>
              </w:rPr>
              <w:t>8 IP -&gt;200mg SC Q4W MP</w:t>
            </w:r>
          </w:p>
          <w:p w14:paraId="2620491D" w14:textId="77777777" w:rsidR="00D24BA1" w:rsidRDefault="00D24BA1" w:rsidP="00286E68">
            <w:pPr>
              <w:pStyle w:val="TableText0"/>
              <w:jc w:val="center"/>
              <w:rPr>
                <w:lang w:val="en-US"/>
              </w:rPr>
            </w:pPr>
            <w:r>
              <w:rPr>
                <w:lang w:val="en-US"/>
              </w:rPr>
              <w:t>UST 6mg/kg IV WK 0 IP -&gt; 90mg SC Q8W MP</w:t>
            </w:r>
          </w:p>
          <w:p w14:paraId="3FA1A77D" w14:textId="77777777" w:rsidR="00D24BA1" w:rsidRPr="00E2771E" w:rsidRDefault="00D24BA1" w:rsidP="00286E68">
            <w:pPr>
              <w:pStyle w:val="TableText0"/>
              <w:jc w:val="center"/>
              <w:rPr>
                <w:lang w:val="en-US"/>
              </w:rPr>
            </w:pPr>
            <w:proofErr w:type="spellStart"/>
            <w:r>
              <w:rPr>
                <w:lang w:val="en-US"/>
              </w:rPr>
              <w:t>PBO</w:t>
            </w:r>
            <w:r w:rsidRPr="00131D4D">
              <w:rPr>
                <w:vertAlign w:val="superscript"/>
                <w:lang w:val="en-US"/>
              </w:rPr>
              <w:t>a</w:t>
            </w:r>
            <w:proofErr w:type="spellEnd"/>
          </w:p>
        </w:tc>
        <w:tc>
          <w:tcPr>
            <w:tcW w:w="956" w:type="pct"/>
            <w:vAlign w:val="center"/>
          </w:tcPr>
          <w:p w14:paraId="37A34AF7" w14:textId="77777777" w:rsidR="00D24BA1" w:rsidRDefault="00D24BA1" w:rsidP="00286E68">
            <w:pPr>
              <w:pStyle w:val="TableText0"/>
              <w:jc w:val="center"/>
              <w:rPr>
                <w:lang w:val="en-US"/>
              </w:rPr>
            </w:pPr>
            <w:r>
              <w:rPr>
                <w:lang w:val="en-US"/>
              </w:rPr>
              <w:t>1°: CDAI score</w:t>
            </w:r>
          </w:p>
          <w:p w14:paraId="0E7FB66E" w14:textId="77777777" w:rsidR="00D24BA1" w:rsidRPr="00E2771E" w:rsidRDefault="00D24BA1" w:rsidP="00286E68">
            <w:pPr>
              <w:pStyle w:val="TableText0"/>
              <w:jc w:val="center"/>
              <w:rPr>
                <w:lang w:val="en-US"/>
              </w:rPr>
            </w:pPr>
            <w:r>
              <w:rPr>
                <w:lang w:val="en-US"/>
              </w:rPr>
              <w:t>2°: clinical remission and response (CDAI)</w:t>
            </w:r>
            <w:r w:rsidRPr="00EE5EFE">
              <w:rPr>
                <w:vertAlign w:val="superscript"/>
                <w:lang w:val="en-US"/>
              </w:rPr>
              <w:t>c</w:t>
            </w:r>
            <w:r>
              <w:rPr>
                <w:lang w:val="en-US"/>
              </w:rPr>
              <w:t>, e</w:t>
            </w:r>
            <w:r w:rsidRPr="00376C38">
              <w:rPr>
                <w:lang w:val="en-US"/>
              </w:rPr>
              <w:t xml:space="preserve">ndoscopic </w:t>
            </w:r>
            <w:r>
              <w:rPr>
                <w:lang w:val="en-US"/>
              </w:rPr>
              <w:t xml:space="preserve">remission and </w:t>
            </w:r>
            <w:r w:rsidRPr="00376C38">
              <w:rPr>
                <w:lang w:val="en-US"/>
              </w:rPr>
              <w:t>response</w:t>
            </w:r>
            <w:r>
              <w:rPr>
                <w:lang w:val="en-US"/>
              </w:rPr>
              <w:t xml:space="preserve"> (</w:t>
            </w:r>
            <w:r w:rsidRPr="00106E59">
              <w:rPr>
                <w:lang w:val="en-US"/>
              </w:rPr>
              <w:t>SES-</w:t>
            </w:r>
            <w:proofErr w:type="gramStart"/>
            <w:r w:rsidRPr="00106E59">
              <w:rPr>
                <w:lang w:val="en-US"/>
              </w:rPr>
              <w:t>CD</w:t>
            </w:r>
            <w:r>
              <w:rPr>
                <w:lang w:val="en-US"/>
              </w:rPr>
              <w:t>)</w:t>
            </w:r>
            <w:r w:rsidRPr="004564B1">
              <w:rPr>
                <w:vertAlign w:val="superscript"/>
                <w:lang w:val="en-US"/>
              </w:rPr>
              <w:t>d</w:t>
            </w:r>
            <w:proofErr w:type="gramEnd"/>
          </w:p>
        </w:tc>
        <w:tc>
          <w:tcPr>
            <w:tcW w:w="207" w:type="pct"/>
            <w:vAlign w:val="center"/>
          </w:tcPr>
          <w:p w14:paraId="5486657D" w14:textId="77777777" w:rsidR="00D24BA1" w:rsidRPr="00E2771E" w:rsidRDefault="00D24BA1" w:rsidP="00286E68">
            <w:pPr>
              <w:pStyle w:val="TableText0"/>
              <w:jc w:val="center"/>
              <w:rPr>
                <w:lang w:val="en-US"/>
              </w:rPr>
            </w:pPr>
            <w:r>
              <w:rPr>
                <w:rFonts w:ascii="Wingdings" w:eastAsia="Wingdings" w:hAnsi="Wingdings" w:cs="Wingdings"/>
                <w:lang w:val="en-US"/>
              </w:rPr>
              <w:t>ü</w:t>
            </w:r>
            <w:proofErr w:type="spellStart"/>
            <w:r>
              <w:rPr>
                <w:lang w:val="en-US"/>
              </w:rPr>
              <w:t>i</w:t>
            </w:r>
            <w:r w:rsidRPr="001123E3">
              <w:rPr>
                <w:vertAlign w:val="superscript"/>
                <w:lang w:val="en-US"/>
              </w:rPr>
              <w:t>e</w:t>
            </w:r>
            <w:proofErr w:type="spellEnd"/>
          </w:p>
        </w:tc>
        <w:tc>
          <w:tcPr>
            <w:tcW w:w="238" w:type="pct"/>
            <w:vAlign w:val="center"/>
          </w:tcPr>
          <w:p w14:paraId="42F049D9" w14:textId="77777777" w:rsidR="00D24BA1" w:rsidRDefault="00D24BA1" w:rsidP="00286E68">
            <w:pPr>
              <w:pStyle w:val="TableText0"/>
              <w:jc w:val="center"/>
              <w:rPr>
                <w:lang w:val="en-US"/>
              </w:rPr>
            </w:pPr>
            <w:r>
              <w:rPr>
                <w:rFonts w:ascii="Wingdings" w:eastAsia="Wingdings" w:hAnsi="Wingdings" w:cs="Wingdings"/>
                <w:lang w:val="en-US"/>
              </w:rPr>
              <w:t>ü</w:t>
            </w:r>
            <w:proofErr w:type="spellStart"/>
            <w:r>
              <w:rPr>
                <w:lang w:val="en-US"/>
              </w:rPr>
              <w:t>i</w:t>
            </w:r>
            <w:r w:rsidRPr="001123E3">
              <w:rPr>
                <w:vertAlign w:val="superscript"/>
                <w:lang w:val="en-US"/>
              </w:rPr>
              <w:t>e</w:t>
            </w:r>
            <w:proofErr w:type="spellEnd"/>
          </w:p>
        </w:tc>
        <w:tc>
          <w:tcPr>
            <w:tcW w:w="197" w:type="pct"/>
            <w:vAlign w:val="center"/>
          </w:tcPr>
          <w:p w14:paraId="174DD0B8" w14:textId="77777777" w:rsidR="00D24BA1" w:rsidRDefault="00D24BA1" w:rsidP="00286E68">
            <w:pPr>
              <w:pStyle w:val="TableText0"/>
              <w:jc w:val="center"/>
              <w:rPr>
                <w:lang w:val="en-US"/>
              </w:rPr>
            </w:pPr>
            <w:r>
              <w:rPr>
                <w:rFonts w:ascii="Wingdings" w:eastAsia="Wingdings" w:hAnsi="Wingdings" w:cs="Wingdings"/>
                <w:lang w:val="en-US"/>
              </w:rPr>
              <w:t>ü</w:t>
            </w:r>
          </w:p>
        </w:tc>
      </w:tr>
      <w:tr w:rsidR="00D24BA1" w:rsidRPr="00E2771E" w14:paraId="05D621AD" w14:textId="77777777" w:rsidTr="002143C0">
        <w:trPr>
          <w:cantSplit/>
        </w:trPr>
        <w:tc>
          <w:tcPr>
            <w:tcW w:w="405" w:type="pct"/>
            <w:vAlign w:val="center"/>
          </w:tcPr>
          <w:p w14:paraId="60CFA495" w14:textId="77777777" w:rsidR="00D24BA1" w:rsidRDefault="00D24BA1" w:rsidP="00286E68">
            <w:pPr>
              <w:pStyle w:val="TableText0"/>
              <w:rPr>
                <w:lang w:val="en-US"/>
              </w:rPr>
            </w:pPr>
            <w:r>
              <w:rPr>
                <w:lang w:val="en-US"/>
              </w:rPr>
              <w:t>GALAXI 2</w:t>
            </w:r>
          </w:p>
          <w:p w14:paraId="18E9CAAA" w14:textId="77777777" w:rsidR="00D24BA1" w:rsidRPr="00E2771E" w:rsidRDefault="00D24BA1" w:rsidP="00286E68">
            <w:pPr>
              <w:pStyle w:val="TableText0"/>
              <w:rPr>
                <w:lang w:val="en-US"/>
              </w:rPr>
            </w:pPr>
            <w:r>
              <w:rPr>
                <w:lang w:val="en-US"/>
              </w:rPr>
              <w:t>[induction + maintenance]</w:t>
            </w:r>
          </w:p>
        </w:tc>
        <w:tc>
          <w:tcPr>
            <w:tcW w:w="152" w:type="pct"/>
            <w:vAlign w:val="center"/>
          </w:tcPr>
          <w:p w14:paraId="5C1089C3" w14:textId="77777777" w:rsidR="00D24BA1" w:rsidRPr="00E2771E" w:rsidRDefault="00D24BA1" w:rsidP="00286E68">
            <w:pPr>
              <w:pStyle w:val="TableText0"/>
              <w:jc w:val="center"/>
              <w:rPr>
                <w:lang w:val="en-US"/>
              </w:rPr>
            </w:pPr>
            <w:r>
              <w:rPr>
                <w:lang w:val="en-US"/>
              </w:rPr>
              <w:t>508</w:t>
            </w:r>
          </w:p>
        </w:tc>
        <w:tc>
          <w:tcPr>
            <w:tcW w:w="659" w:type="pct"/>
            <w:vAlign w:val="center"/>
          </w:tcPr>
          <w:p w14:paraId="0181EBEA" w14:textId="77777777" w:rsidR="00D24BA1" w:rsidRDefault="00D24BA1" w:rsidP="00286E68">
            <w:pPr>
              <w:pStyle w:val="TableText0"/>
              <w:jc w:val="center"/>
              <w:rPr>
                <w:lang w:val="en-US"/>
              </w:rPr>
            </w:pPr>
            <w:r>
              <w:rPr>
                <w:lang w:val="en-US"/>
              </w:rPr>
              <w:t xml:space="preserve">P3, MC, R, PC, DB 48 </w:t>
            </w:r>
            <w:proofErr w:type="spellStart"/>
            <w:r>
              <w:rPr>
                <w:lang w:val="en-US"/>
              </w:rPr>
              <w:t>wks</w:t>
            </w:r>
            <w:proofErr w:type="spellEnd"/>
            <w:r>
              <w:rPr>
                <w:lang w:val="en-US"/>
              </w:rPr>
              <w:t xml:space="preserve"> / LTE 4y</w:t>
            </w:r>
          </w:p>
          <w:p w14:paraId="70441CF6" w14:textId="77777777" w:rsidR="00D24BA1" w:rsidRDefault="00D24BA1" w:rsidP="00286E68">
            <w:pPr>
              <w:pStyle w:val="TableText0"/>
              <w:jc w:val="center"/>
              <w:rPr>
                <w:lang w:val="en-US"/>
              </w:rPr>
            </w:pPr>
            <w:r>
              <w:rPr>
                <w:lang w:val="en-US"/>
              </w:rPr>
              <w:t xml:space="preserve">[IP: 12 </w:t>
            </w:r>
            <w:proofErr w:type="spellStart"/>
            <w:r>
              <w:rPr>
                <w:lang w:val="en-US"/>
              </w:rPr>
              <w:t>wks</w:t>
            </w:r>
            <w:proofErr w:type="spellEnd"/>
            <w:r>
              <w:rPr>
                <w:lang w:val="en-US"/>
              </w:rPr>
              <w:t xml:space="preserve"> + MP: 36 </w:t>
            </w:r>
            <w:proofErr w:type="spellStart"/>
            <w:r>
              <w:rPr>
                <w:lang w:val="en-US"/>
              </w:rPr>
              <w:t>wks</w:t>
            </w:r>
            <w:proofErr w:type="spellEnd"/>
            <w:r>
              <w:rPr>
                <w:lang w:val="en-US"/>
              </w:rPr>
              <w:t>], Type 1+2 TT</w:t>
            </w:r>
          </w:p>
          <w:p w14:paraId="001808FA" w14:textId="77777777" w:rsidR="00D24BA1" w:rsidRPr="00E2771E" w:rsidRDefault="00D24BA1" w:rsidP="00286E68">
            <w:pPr>
              <w:pStyle w:val="TableText0"/>
              <w:jc w:val="center"/>
              <w:rPr>
                <w:lang w:val="en-US"/>
              </w:rPr>
            </w:pPr>
            <w:r>
              <w:rPr>
                <w:lang w:val="en-US"/>
              </w:rPr>
              <w:t>LTE 2-4y</w:t>
            </w:r>
          </w:p>
        </w:tc>
        <w:tc>
          <w:tcPr>
            <w:tcW w:w="153" w:type="pct"/>
            <w:vAlign w:val="center"/>
          </w:tcPr>
          <w:p w14:paraId="351D045C" w14:textId="77777777" w:rsidR="00D24BA1" w:rsidRPr="00123902" w:rsidRDefault="00D24BA1" w:rsidP="00286E68">
            <w:pPr>
              <w:pStyle w:val="TableText0"/>
              <w:jc w:val="center"/>
              <w:rPr>
                <w:i/>
                <w:lang w:val="en-US"/>
              </w:rPr>
            </w:pPr>
            <w:r>
              <w:rPr>
                <w:i/>
                <w:lang w:val="en-US"/>
              </w:rPr>
              <w:t>Low</w:t>
            </w:r>
          </w:p>
        </w:tc>
        <w:tc>
          <w:tcPr>
            <w:tcW w:w="610" w:type="pct"/>
            <w:vAlign w:val="center"/>
          </w:tcPr>
          <w:p w14:paraId="353D1757" w14:textId="77777777" w:rsidR="00D24BA1" w:rsidRDefault="00D24BA1" w:rsidP="00286E68">
            <w:pPr>
              <w:pStyle w:val="TableText0"/>
              <w:jc w:val="center"/>
              <w:rPr>
                <w:lang w:val="en-US"/>
              </w:rPr>
            </w:pPr>
            <w:r w:rsidRPr="00376C38">
              <w:rPr>
                <w:lang w:val="en-US"/>
              </w:rPr>
              <w:t>CDAI ≥220</w:t>
            </w:r>
            <w:r>
              <w:rPr>
                <w:lang w:val="en-US"/>
              </w:rPr>
              <w:t xml:space="preserve"> and ≤450;</w:t>
            </w:r>
          </w:p>
          <w:p w14:paraId="03B52486" w14:textId="77777777" w:rsidR="00D24BA1" w:rsidRPr="00E2771E" w:rsidRDefault="00D24BA1" w:rsidP="00286E68">
            <w:pPr>
              <w:pStyle w:val="TableText0"/>
              <w:jc w:val="center"/>
              <w:rPr>
                <w:lang w:val="en-US"/>
              </w:rPr>
            </w:pPr>
            <w:r>
              <w:rPr>
                <w:lang w:val="en-US"/>
              </w:rPr>
              <w:t>Biologic naïve and experienced (non-responders excluded)</w:t>
            </w:r>
          </w:p>
        </w:tc>
        <w:tc>
          <w:tcPr>
            <w:tcW w:w="1423" w:type="pct"/>
            <w:vAlign w:val="center"/>
          </w:tcPr>
          <w:p w14:paraId="5746D9D5" w14:textId="77777777" w:rsidR="00D24BA1" w:rsidRDefault="00D24BA1" w:rsidP="00286E68">
            <w:pPr>
              <w:pStyle w:val="TableText0"/>
              <w:jc w:val="center"/>
              <w:rPr>
                <w:lang w:val="en-US"/>
              </w:rPr>
            </w:pPr>
            <w:r>
              <w:rPr>
                <w:lang w:val="en-US"/>
              </w:rPr>
              <w:t xml:space="preserve">GUS 200mg IV </w:t>
            </w:r>
            <w:proofErr w:type="spellStart"/>
            <w:r>
              <w:rPr>
                <w:lang w:val="en-US"/>
              </w:rPr>
              <w:t>Wk</w:t>
            </w:r>
            <w:proofErr w:type="spellEnd"/>
            <w:r>
              <w:rPr>
                <w:lang w:val="en-US"/>
              </w:rPr>
              <w:t xml:space="preserve"> 0, 4, 8 IP -&gt; 200mg SC Q4W MP</w:t>
            </w:r>
          </w:p>
          <w:p w14:paraId="541FA036" w14:textId="77777777" w:rsidR="00D24BA1" w:rsidRDefault="00D24BA1" w:rsidP="00286E68">
            <w:pPr>
              <w:pStyle w:val="TableText0"/>
              <w:jc w:val="center"/>
              <w:rPr>
                <w:lang w:val="en-US"/>
              </w:rPr>
            </w:pPr>
            <w:r>
              <w:rPr>
                <w:lang w:val="en-US"/>
              </w:rPr>
              <w:t xml:space="preserve">GUS 200mg IV </w:t>
            </w:r>
            <w:proofErr w:type="spellStart"/>
            <w:r>
              <w:rPr>
                <w:lang w:val="en-US"/>
              </w:rPr>
              <w:t>Wk</w:t>
            </w:r>
            <w:proofErr w:type="spellEnd"/>
            <w:r>
              <w:rPr>
                <w:lang w:val="en-US"/>
              </w:rPr>
              <w:t xml:space="preserve"> 0, 4, 8 IP -&gt; 100mg SC Q8W MP</w:t>
            </w:r>
          </w:p>
          <w:p w14:paraId="5C521DAB" w14:textId="77777777" w:rsidR="00D24BA1" w:rsidRDefault="00D24BA1" w:rsidP="00286E68">
            <w:pPr>
              <w:pStyle w:val="TableText0"/>
              <w:jc w:val="center"/>
              <w:rPr>
                <w:lang w:val="en-US"/>
              </w:rPr>
            </w:pPr>
            <w:r>
              <w:rPr>
                <w:lang w:val="en-US"/>
              </w:rPr>
              <w:t xml:space="preserve">UST 6mg/kg IV </w:t>
            </w:r>
            <w:proofErr w:type="spellStart"/>
            <w:r>
              <w:rPr>
                <w:lang w:val="en-US"/>
              </w:rPr>
              <w:t>Wk</w:t>
            </w:r>
            <w:proofErr w:type="spellEnd"/>
            <w:r>
              <w:rPr>
                <w:lang w:val="en-US"/>
              </w:rPr>
              <w:t xml:space="preserve"> 0 -&gt; 90mg SC Q8W MP</w:t>
            </w:r>
          </w:p>
          <w:p w14:paraId="55491218" w14:textId="77777777" w:rsidR="00D24BA1" w:rsidRPr="00E2771E" w:rsidRDefault="00D24BA1" w:rsidP="00286E68">
            <w:pPr>
              <w:pStyle w:val="TableText0"/>
              <w:jc w:val="center"/>
              <w:rPr>
                <w:lang w:val="en-US"/>
              </w:rPr>
            </w:pPr>
            <w:proofErr w:type="spellStart"/>
            <w:r>
              <w:rPr>
                <w:lang w:val="en-US"/>
              </w:rPr>
              <w:t>PBO</w:t>
            </w:r>
            <w:r w:rsidRPr="00475A14">
              <w:rPr>
                <w:vertAlign w:val="superscript"/>
                <w:lang w:val="en-US"/>
              </w:rPr>
              <w:t>a</w:t>
            </w:r>
            <w:proofErr w:type="spellEnd"/>
          </w:p>
        </w:tc>
        <w:tc>
          <w:tcPr>
            <w:tcW w:w="956" w:type="pct"/>
            <w:vAlign w:val="center"/>
          </w:tcPr>
          <w:p w14:paraId="6F480EEA" w14:textId="77777777" w:rsidR="00D24BA1" w:rsidRDefault="00D24BA1" w:rsidP="00286E68">
            <w:pPr>
              <w:pStyle w:val="TableText0"/>
              <w:jc w:val="center"/>
              <w:rPr>
                <w:lang w:val="en-US"/>
              </w:rPr>
            </w:pPr>
            <w:r>
              <w:rPr>
                <w:lang w:val="en-US"/>
              </w:rPr>
              <w:t>1°: clinical response (CDAI), clinical remission (CDAI) and endoscopic response (SES-</w:t>
            </w:r>
            <w:proofErr w:type="gramStart"/>
            <w:r>
              <w:rPr>
                <w:lang w:val="en-US"/>
              </w:rPr>
              <w:t>CD)</w:t>
            </w:r>
            <w:r w:rsidRPr="000D51FA">
              <w:rPr>
                <w:vertAlign w:val="superscript"/>
                <w:lang w:val="en-US"/>
              </w:rPr>
              <w:t>b</w:t>
            </w:r>
            <w:proofErr w:type="gramEnd"/>
            <w:r>
              <w:rPr>
                <w:vertAlign w:val="superscript"/>
                <w:lang w:val="en-US"/>
              </w:rPr>
              <w:t xml:space="preserve"> </w:t>
            </w:r>
            <w:r w:rsidRPr="000D51FA">
              <w:rPr>
                <w:vertAlign w:val="superscript"/>
                <w:lang w:val="en-US"/>
              </w:rPr>
              <w:t>c</w:t>
            </w:r>
          </w:p>
          <w:p w14:paraId="3A710BF0" w14:textId="77777777" w:rsidR="00D24BA1" w:rsidRPr="00E2771E" w:rsidRDefault="00D24BA1" w:rsidP="00286E68">
            <w:pPr>
              <w:pStyle w:val="TableText0"/>
              <w:jc w:val="center"/>
              <w:rPr>
                <w:lang w:val="en-US"/>
              </w:rPr>
            </w:pPr>
            <w:r>
              <w:rPr>
                <w:lang w:val="en-US"/>
              </w:rPr>
              <w:t>2°: endoscopic remission (SES-</w:t>
            </w:r>
            <w:proofErr w:type="gramStart"/>
            <w:r>
              <w:rPr>
                <w:lang w:val="en-US"/>
              </w:rPr>
              <w:t>CD)</w:t>
            </w:r>
            <w:r w:rsidRPr="000D51FA">
              <w:rPr>
                <w:vertAlign w:val="superscript"/>
                <w:lang w:val="en-US"/>
              </w:rPr>
              <w:t>b</w:t>
            </w:r>
            <w:proofErr w:type="gramEnd"/>
            <w:r>
              <w:rPr>
                <w:vertAlign w:val="superscript"/>
                <w:lang w:val="en-US"/>
              </w:rPr>
              <w:t xml:space="preserve"> </w:t>
            </w:r>
            <w:r w:rsidRPr="000D51FA">
              <w:rPr>
                <w:vertAlign w:val="superscript"/>
                <w:lang w:val="en-US"/>
              </w:rPr>
              <w:t>d</w:t>
            </w:r>
          </w:p>
        </w:tc>
        <w:tc>
          <w:tcPr>
            <w:tcW w:w="207" w:type="pct"/>
            <w:vAlign w:val="center"/>
          </w:tcPr>
          <w:p w14:paraId="1DE3C371" w14:textId="77777777" w:rsidR="00D24BA1" w:rsidRPr="00E2771E" w:rsidRDefault="00D24BA1" w:rsidP="00286E68">
            <w:pPr>
              <w:pStyle w:val="TableText0"/>
              <w:jc w:val="center"/>
              <w:rPr>
                <w:lang w:val="en-US"/>
              </w:rPr>
            </w:pPr>
            <w:r w:rsidRPr="00B775A2">
              <w:rPr>
                <w:rFonts w:ascii="Wingdings" w:eastAsia="Wingdings" w:hAnsi="Wingdings" w:cs="Wingdings"/>
                <w:lang w:val="en-US"/>
              </w:rPr>
              <w:t>ü</w:t>
            </w:r>
            <w:proofErr w:type="spellStart"/>
            <w:r>
              <w:rPr>
                <w:lang w:val="en-US"/>
              </w:rPr>
              <w:t>i</w:t>
            </w:r>
            <w:r w:rsidRPr="001123E3">
              <w:rPr>
                <w:vertAlign w:val="superscript"/>
                <w:lang w:val="en-US"/>
              </w:rPr>
              <w:t>e</w:t>
            </w:r>
            <w:proofErr w:type="spellEnd"/>
          </w:p>
        </w:tc>
        <w:tc>
          <w:tcPr>
            <w:tcW w:w="238" w:type="pct"/>
            <w:vAlign w:val="center"/>
          </w:tcPr>
          <w:p w14:paraId="45CD83F1" w14:textId="77777777" w:rsidR="00D24BA1" w:rsidRDefault="00D24BA1" w:rsidP="00286E68">
            <w:pPr>
              <w:pStyle w:val="TableText0"/>
              <w:jc w:val="center"/>
              <w:rPr>
                <w:lang w:val="en-US"/>
              </w:rPr>
            </w:pPr>
            <w:r w:rsidRPr="00B775A2">
              <w:rPr>
                <w:rFonts w:ascii="Wingdings" w:eastAsia="Wingdings" w:hAnsi="Wingdings" w:cs="Wingdings"/>
                <w:lang w:val="en-US"/>
              </w:rPr>
              <w:t>ü</w:t>
            </w:r>
            <w:proofErr w:type="spellStart"/>
            <w:r>
              <w:rPr>
                <w:lang w:val="en-US"/>
              </w:rPr>
              <w:t>i</w:t>
            </w:r>
            <w:r w:rsidRPr="001123E3">
              <w:rPr>
                <w:vertAlign w:val="superscript"/>
                <w:lang w:val="en-US"/>
              </w:rPr>
              <w:t>e</w:t>
            </w:r>
            <w:proofErr w:type="spellEnd"/>
          </w:p>
        </w:tc>
        <w:tc>
          <w:tcPr>
            <w:tcW w:w="197" w:type="pct"/>
            <w:vAlign w:val="center"/>
          </w:tcPr>
          <w:p w14:paraId="784B8FBC" w14:textId="77777777" w:rsidR="00D24BA1" w:rsidRDefault="00D24BA1" w:rsidP="00286E68">
            <w:pPr>
              <w:pStyle w:val="TableText0"/>
              <w:jc w:val="center"/>
              <w:rPr>
                <w:lang w:val="en-US"/>
              </w:rPr>
            </w:pPr>
            <w:r>
              <w:rPr>
                <w:rFonts w:ascii="Wingdings" w:eastAsia="Wingdings" w:hAnsi="Wingdings" w:cs="Wingdings"/>
                <w:lang w:val="en-US"/>
              </w:rPr>
              <w:t>ü</w:t>
            </w:r>
          </w:p>
        </w:tc>
      </w:tr>
      <w:tr w:rsidR="00D24BA1" w:rsidRPr="00E2771E" w14:paraId="04E4C817" w14:textId="77777777" w:rsidTr="002143C0">
        <w:trPr>
          <w:cantSplit/>
        </w:trPr>
        <w:tc>
          <w:tcPr>
            <w:tcW w:w="405" w:type="pct"/>
            <w:vAlign w:val="center"/>
          </w:tcPr>
          <w:p w14:paraId="02D69F6D" w14:textId="77777777" w:rsidR="00D24BA1" w:rsidRDefault="00D24BA1" w:rsidP="00286E68">
            <w:pPr>
              <w:pStyle w:val="TableText0"/>
              <w:rPr>
                <w:lang w:val="en-US"/>
              </w:rPr>
            </w:pPr>
            <w:r>
              <w:rPr>
                <w:lang w:val="en-US"/>
              </w:rPr>
              <w:t>GALAXI 3</w:t>
            </w:r>
          </w:p>
          <w:p w14:paraId="7EAEC733" w14:textId="77777777" w:rsidR="00D24BA1" w:rsidRPr="00E2771E" w:rsidRDefault="00D24BA1" w:rsidP="00286E68">
            <w:pPr>
              <w:pStyle w:val="TableText0"/>
              <w:rPr>
                <w:lang w:val="en-US"/>
              </w:rPr>
            </w:pPr>
            <w:r>
              <w:rPr>
                <w:lang w:val="en-US"/>
              </w:rPr>
              <w:t>[induction + maintenance]</w:t>
            </w:r>
          </w:p>
        </w:tc>
        <w:tc>
          <w:tcPr>
            <w:tcW w:w="152" w:type="pct"/>
            <w:vAlign w:val="center"/>
          </w:tcPr>
          <w:p w14:paraId="121CEEFC" w14:textId="77777777" w:rsidR="00D24BA1" w:rsidRPr="00E2771E" w:rsidRDefault="00D24BA1" w:rsidP="00286E68">
            <w:pPr>
              <w:pStyle w:val="TableText0"/>
              <w:jc w:val="center"/>
              <w:rPr>
                <w:lang w:val="en-US"/>
              </w:rPr>
            </w:pPr>
            <w:r>
              <w:rPr>
                <w:lang w:val="en-US"/>
              </w:rPr>
              <w:t>513</w:t>
            </w:r>
          </w:p>
        </w:tc>
        <w:tc>
          <w:tcPr>
            <w:tcW w:w="659" w:type="pct"/>
            <w:vAlign w:val="center"/>
          </w:tcPr>
          <w:p w14:paraId="7B0902E6" w14:textId="77777777" w:rsidR="00D24BA1" w:rsidRDefault="00D24BA1" w:rsidP="00286E68">
            <w:pPr>
              <w:pStyle w:val="TableText0"/>
              <w:jc w:val="center"/>
              <w:rPr>
                <w:lang w:val="en-US"/>
              </w:rPr>
            </w:pPr>
            <w:r>
              <w:rPr>
                <w:lang w:val="en-US"/>
              </w:rPr>
              <w:t xml:space="preserve">P3, MC, R, PC, DB 48 </w:t>
            </w:r>
            <w:proofErr w:type="spellStart"/>
            <w:r>
              <w:rPr>
                <w:lang w:val="en-US"/>
              </w:rPr>
              <w:t>wks</w:t>
            </w:r>
            <w:proofErr w:type="spellEnd"/>
            <w:r>
              <w:rPr>
                <w:lang w:val="en-US"/>
              </w:rPr>
              <w:t xml:space="preserve"> / LTE 4y</w:t>
            </w:r>
          </w:p>
          <w:p w14:paraId="23C12B17" w14:textId="77777777" w:rsidR="00D24BA1" w:rsidRDefault="00D24BA1" w:rsidP="00286E68">
            <w:pPr>
              <w:pStyle w:val="TableText0"/>
              <w:jc w:val="center"/>
              <w:rPr>
                <w:lang w:val="en-US"/>
              </w:rPr>
            </w:pPr>
            <w:r>
              <w:rPr>
                <w:lang w:val="en-US"/>
              </w:rPr>
              <w:t xml:space="preserve">[IP: 12 </w:t>
            </w:r>
            <w:proofErr w:type="spellStart"/>
            <w:r>
              <w:rPr>
                <w:lang w:val="en-US"/>
              </w:rPr>
              <w:t>wks</w:t>
            </w:r>
            <w:proofErr w:type="spellEnd"/>
            <w:r>
              <w:rPr>
                <w:lang w:val="en-US"/>
              </w:rPr>
              <w:t xml:space="preserve"> + MP: 36 </w:t>
            </w:r>
            <w:proofErr w:type="spellStart"/>
            <w:r>
              <w:rPr>
                <w:lang w:val="en-US"/>
              </w:rPr>
              <w:t>wks</w:t>
            </w:r>
            <w:proofErr w:type="spellEnd"/>
            <w:r>
              <w:rPr>
                <w:lang w:val="en-US"/>
              </w:rPr>
              <w:t>], Type 1+2 TT</w:t>
            </w:r>
          </w:p>
          <w:p w14:paraId="449EDCCF" w14:textId="77777777" w:rsidR="00D24BA1" w:rsidRPr="00E2771E" w:rsidRDefault="00D24BA1" w:rsidP="00286E68">
            <w:pPr>
              <w:pStyle w:val="TableText0"/>
              <w:jc w:val="center"/>
              <w:rPr>
                <w:lang w:val="en-US"/>
              </w:rPr>
            </w:pPr>
            <w:r>
              <w:rPr>
                <w:lang w:val="en-US"/>
              </w:rPr>
              <w:t>LTE 2-4y</w:t>
            </w:r>
          </w:p>
        </w:tc>
        <w:tc>
          <w:tcPr>
            <w:tcW w:w="153" w:type="pct"/>
            <w:vAlign w:val="center"/>
          </w:tcPr>
          <w:p w14:paraId="1D89C7AB" w14:textId="77777777" w:rsidR="00D24BA1" w:rsidRPr="00123902" w:rsidRDefault="00D24BA1" w:rsidP="00286E68">
            <w:pPr>
              <w:pStyle w:val="TableText0"/>
              <w:jc w:val="center"/>
              <w:rPr>
                <w:i/>
                <w:lang w:val="en-US"/>
              </w:rPr>
            </w:pPr>
            <w:r>
              <w:rPr>
                <w:i/>
                <w:lang w:val="en-US"/>
              </w:rPr>
              <w:t>Low</w:t>
            </w:r>
          </w:p>
        </w:tc>
        <w:tc>
          <w:tcPr>
            <w:tcW w:w="610" w:type="pct"/>
            <w:vAlign w:val="center"/>
          </w:tcPr>
          <w:p w14:paraId="49BDB620" w14:textId="77777777" w:rsidR="00D24BA1" w:rsidRDefault="00D24BA1" w:rsidP="00286E68">
            <w:pPr>
              <w:pStyle w:val="TableText0"/>
              <w:jc w:val="center"/>
              <w:rPr>
                <w:lang w:val="en-US"/>
              </w:rPr>
            </w:pPr>
            <w:r w:rsidRPr="00376C38">
              <w:rPr>
                <w:lang w:val="en-US"/>
              </w:rPr>
              <w:t>CDAI ≥220</w:t>
            </w:r>
            <w:r>
              <w:rPr>
                <w:lang w:val="en-US"/>
              </w:rPr>
              <w:t xml:space="preserve"> and ≤450;</w:t>
            </w:r>
          </w:p>
          <w:p w14:paraId="0E00BCA6" w14:textId="77777777" w:rsidR="00D24BA1" w:rsidRPr="00E2771E" w:rsidRDefault="00D24BA1" w:rsidP="00286E68">
            <w:pPr>
              <w:pStyle w:val="TableText0"/>
              <w:jc w:val="center"/>
              <w:rPr>
                <w:lang w:val="en-US"/>
              </w:rPr>
            </w:pPr>
            <w:r>
              <w:rPr>
                <w:lang w:val="en-US"/>
              </w:rPr>
              <w:t>Biologic naïve and experienced (non-responders excluded)</w:t>
            </w:r>
          </w:p>
        </w:tc>
        <w:tc>
          <w:tcPr>
            <w:tcW w:w="1423" w:type="pct"/>
            <w:vAlign w:val="center"/>
          </w:tcPr>
          <w:p w14:paraId="4D51E9AC" w14:textId="77777777" w:rsidR="00D24BA1" w:rsidRDefault="00D24BA1" w:rsidP="00286E68">
            <w:pPr>
              <w:pStyle w:val="TableText0"/>
              <w:jc w:val="center"/>
              <w:rPr>
                <w:lang w:val="en-US"/>
              </w:rPr>
            </w:pPr>
            <w:r>
              <w:rPr>
                <w:lang w:val="en-US"/>
              </w:rPr>
              <w:t xml:space="preserve">GUS 200mg IV </w:t>
            </w:r>
            <w:proofErr w:type="spellStart"/>
            <w:r>
              <w:rPr>
                <w:lang w:val="en-US"/>
              </w:rPr>
              <w:t>Wk</w:t>
            </w:r>
            <w:proofErr w:type="spellEnd"/>
            <w:r>
              <w:rPr>
                <w:lang w:val="en-US"/>
              </w:rPr>
              <w:t xml:space="preserve"> 0, 4, 8 IP -&gt; 200mg SC Q4W MP</w:t>
            </w:r>
          </w:p>
          <w:p w14:paraId="5A7E3C41" w14:textId="77777777" w:rsidR="00D24BA1" w:rsidRDefault="00D24BA1" w:rsidP="00286E68">
            <w:pPr>
              <w:pStyle w:val="TableText0"/>
              <w:jc w:val="center"/>
              <w:rPr>
                <w:lang w:val="en-US"/>
              </w:rPr>
            </w:pPr>
            <w:r>
              <w:rPr>
                <w:lang w:val="en-US"/>
              </w:rPr>
              <w:t xml:space="preserve">GUS 200mg IV </w:t>
            </w:r>
            <w:proofErr w:type="spellStart"/>
            <w:r>
              <w:rPr>
                <w:lang w:val="en-US"/>
              </w:rPr>
              <w:t>Wk</w:t>
            </w:r>
            <w:proofErr w:type="spellEnd"/>
            <w:r>
              <w:rPr>
                <w:lang w:val="en-US"/>
              </w:rPr>
              <w:t xml:space="preserve"> 0, 4, 8 IP -&gt; 100mg SC Q8W MP</w:t>
            </w:r>
          </w:p>
          <w:p w14:paraId="37DA8279" w14:textId="77777777" w:rsidR="00D24BA1" w:rsidRDefault="00D24BA1" w:rsidP="00286E68">
            <w:pPr>
              <w:pStyle w:val="TableText0"/>
              <w:jc w:val="center"/>
              <w:rPr>
                <w:lang w:val="en-US"/>
              </w:rPr>
            </w:pPr>
            <w:r>
              <w:rPr>
                <w:lang w:val="en-US"/>
              </w:rPr>
              <w:t xml:space="preserve">UST 6mg/kg IV </w:t>
            </w:r>
            <w:proofErr w:type="spellStart"/>
            <w:r>
              <w:rPr>
                <w:lang w:val="en-US"/>
              </w:rPr>
              <w:t>Wk</w:t>
            </w:r>
            <w:proofErr w:type="spellEnd"/>
            <w:r>
              <w:rPr>
                <w:lang w:val="en-US"/>
              </w:rPr>
              <w:t xml:space="preserve"> 0 -&gt; 90mg SC Q8W MP</w:t>
            </w:r>
          </w:p>
          <w:p w14:paraId="54CC3545" w14:textId="77777777" w:rsidR="00D24BA1" w:rsidRPr="00E2771E" w:rsidRDefault="00D24BA1" w:rsidP="00286E68">
            <w:pPr>
              <w:pStyle w:val="TableText0"/>
              <w:jc w:val="center"/>
              <w:rPr>
                <w:lang w:val="en-US"/>
              </w:rPr>
            </w:pPr>
            <w:proofErr w:type="spellStart"/>
            <w:r>
              <w:rPr>
                <w:lang w:val="en-US"/>
              </w:rPr>
              <w:t>PBO</w:t>
            </w:r>
            <w:r w:rsidRPr="00475A14">
              <w:rPr>
                <w:vertAlign w:val="superscript"/>
                <w:lang w:val="en-US"/>
              </w:rPr>
              <w:t>a</w:t>
            </w:r>
            <w:proofErr w:type="spellEnd"/>
          </w:p>
        </w:tc>
        <w:tc>
          <w:tcPr>
            <w:tcW w:w="956" w:type="pct"/>
            <w:vAlign w:val="center"/>
          </w:tcPr>
          <w:p w14:paraId="392485B0" w14:textId="77777777" w:rsidR="00D24BA1" w:rsidRDefault="00D24BA1" w:rsidP="00286E68">
            <w:pPr>
              <w:pStyle w:val="TableText0"/>
              <w:jc w:val="center"/>
              <w:rPr>
                <w:lang w:val="en-US"/>
              </w:rPr>
            </w:pPr>
            <w:r>
              <w:rPr>
                <w:lang w:val="en-US"/>
              </w:rPr>
              <w:t>1°: clinical remission (CDAI)</w:t>
            </w:r>
            <w:r w:rsidRPr="000D51FA">
              <w:rPr>
                <w:vertAlign w:val="superscript"/>
                <w:lang w:val="en-US"/>
              </w:rPr>
              <w:t>b</w:t>
            </w:r>
            <w:r>
              <w:rPr>
                <w:vertAlign w:val="superscript"/>
                <w:lang w:val="en-US"/>
              </w:rPr>
              <w:t xml:space="preserve"> </w:t>
            </w:r>
            <w:r w:rsidRPr="000D51FA">
              <w:rPr>
                <w:vertAlign w:val="superscript"/>
                <w:lang w:val="en-US"/>
              </w:rPr>
              <w:t>c</w:t>
            </w:r>
          </w:p>
          <w:p w14:paraId="492980D0" w14:textId="77777777" w:rsidR="00D24BA1" w:rsidRPr="00E2771E" w:rsidRDefault="00D24BA1" w:rsidP="00286E68">
            <w:pPr>
              <w:pStyle w:val="TableText0"/>
              <w:jc w:val="center"/>
              <w:rPr>
                <w:lang w:val="en-US"/>
              </w:rPr>
            </w:pPr>
            <w:r>
              <w:rPr>
                <w:lang w:val="en-US"/>
              </w:rPr>
              <w:t>2°: endoscopic response (SES-</w:t>
            </w:r>
            <w:proofErr w:type="gramStart"/>
            <w:r>
              <w:rPr>
                <w:lang w:val="en-US"/>
              </w:rPr>
              <w:t>CD)</w:t>
            </w:r>
            <w:r w:rsidRPr="000D51FA">
              <w:rPr>
                <w:vertAlign w:val="superscript"/>
                <w:lang w:val="en-US"/>
              </w:rPr>
              <w:t>b</w:t>
            </w:r>
            <w:proofErr w:type="gramEnd"/>
            <w:r>
              <w:rPr>
                <w:vertAlign w:val="superscript"/>
                <w:lang w:val="en-US"/>
              </w:rPr>
              <w:t xml:space="preserve"> </w:t>
            </w:r>
            <w:r w:rsidRPr="000D51FA">
              <w:rPr>
                <w:vertAlign w:val="superscript"/>
                <w:lang w:val="en-US"/>
              </w:rPr>
              <w:t>d</w:t>
            </w:r>
          </w:p>
        </w:tc>
        <w:tc>
          <w:tcPr>
            <w:tcW w:w="207" w:type="pct"/>
            <w:vAlign w:val="center"/>
          </w:tcPr>
          <w:p w14:paraId="583F772A" w14:textId="77777777" w:rsidR="00D24BA1" w:rsidRPr="00E2771E" w:rsidRDefault="00D24BA1" w:rsidP="00286E68">
            <w:pPr>
              <w:pStyle w:val="TableText0"/>
              <w:jc w:val="center"/>
              <w:rPr>
                <w:lang w:val="en-US"/>
              </w:rPr>
            </w:pPr>
            <w:r w:rsidRPr="00625E91">
              <w:rPr>
                <w:rFonts w:ascii="Wingdings" w:eastAsia="Wingdings" w:hAnsi="Wingdings" w:cs="Wingdings"/>
                <w:lang w:val="en-US"/>
              </w:rPr>
              <w:t>ü</w:t>
            </w:r>
            <w:proofErr w:type="spellStart"/>
            <w:r>
              <w:rPr>
                <w:lang w:val="en-US"/>
              </w:rPr>
              <w:t>i</w:t>
            </w:r>
            <w:r w:rsidRPr="001123E3">
              <w:rPr>
                <w:vertAlign w:val="superscript"/>
                <w:lang w:val="en-US"/>
              </w:rPr>
              <w:t>e</w:t>
            </w:r>
            <w:proofErr w:type="spellEnd"/>
          </w:p>
        </w:tc>
        <w:tc>
          <w:tcPr>
            <w:tcW w:w="238" w:type="pct"/>
            <w:vAlign w:val="center"/>
          </w:tcPr>
          <w:p w14:paraId="15CB6AAA" w14:textId="77777777" w:rsidR="00D24BA1" w:rsidRDefault="00D24BA1" w:rsidP="00286E68">
            <w:pPr>
              <w:pStyle w:val="TableText0"/>
              <w:jc w:val="center"/>
              <w:rPr>
                <w:lang w:val="en-US"/>
              </w:rPr>
            </w:pPr>
            <w:r w:rsidRPr="00625E91">
              <w:rPr>
                <w:rFonts w:ascii="Wingdings" w:eastAsia="Wingdings" w:hAnsi="Wingdings" w:cs="Wingdings"/>
                <w:lang w:val="en-US"/>
              </w:rPr>
              <w:t>ü</w:t>
            </w:r>
            <w:proofErr w:type="spellStart"/>
            <w:r>
              <w:rPr>
                <w:lang w:val="en-US"/>
              </w:rPr>
              <w:t>i</w:t>
            </w:r>
            <w:r w:rsidRPr="001123E3">
              <w:rPr>
                <w:vertAlign w:val="superscript"/>
                <w:lang w:val="en-US"/>
              </w:rPr>
              <w:t>e</w:t>
            </w:r>
            <w:proofErr w:type="spellEnd"/>
          </w:p>
        </w:tc>
        <w:tc>
          <w:tcPr>
            <w:tcW w:w="197" w:type="pct"/>
            <w:vAlign w:val="center"/>
          </w:tcPr>
          <w:p w14:paraId="37C7BE85" w14:textId="77777777" w:rsidR="00D24BA1" w:rsidRDefault="00D24BA1" w:rsidP="00286E68">
            <w:pPr>
              <w:pStyle w:val="TableText0"/>
              <w:jc w:val="center"/>
              <w:rPr>
                <w:lang w:val="en-US"/>
              </w:rPr>
            </w:pPr>
            <w:r>
              <w:rPr>
                <w:rFonts w:ascii="Wingdings" w:eastAsia="Wingdings" w:hAnsi="Wingdings" w:cs="Wingdings"/>
                <w:lang w:val="en-US"/>
              </w:rPr>
              <w:t>ü</w:t>
            </w:r>
          </w:p>
        </w:tc>
      </w:tr>
    </w:tbl>
    <w:p w14:paraId="57DCD0AD" w14:textId="77777777" w:rsidR="00D24BA1" w:rsidRDefault="00D24BA1" w:rsidP="00D24BA1">
      <w:pPr>
        <w:pStyle w:val="TableFigureFooter"/>
      </w:pPr>
      <w:r>
        <w:t>Source: Table 2.5, pp84-85 of the submission.</w:t>
      </w:r>
    </w:p>
    <w:p w14:paraId="4D3E7123" w14:textId="77777777" w:rsidR="00D24BA1" w:rsidRDefault="00D24BA1" w:rsidP="00D24BA1">
      <w:pPr>
        <w:pStyle w:val="TableFigureFooter"/>
      </w:pPr>
      <w:r>
        <w:t xml:space="preserve">CD=Crohn’s disease; CDAI=CD activity index; </w:t>
      </w:r>
      <w:r w:rsidRPr="0072416F">
        <w:t>DB=double blind;</w:t>
      </w:r>
      <w:r>
        <w:t xml:space="preserve"> GUS=guselkumab; IP=induction phase;</w:t>
      </w:r>
      <w:r w:rsidRPr="0072416F">
        <w:t xml:space="preserve"> </w:t>
      </w:r>
      <w:r>
        <w:t xml:space="preserve">ITC=indirect treatment comparison; LTE=long-term extension; </w:t>
      </w:r>
      <w:r w:rsidRPr="0072416F">
        <w:t>MC=multi-centre;</w:t>
      </w:r>
      <w:r>
        <w:t xml:space="preserve"> MP=maintenance phase;</w:t>
      </w:r>
      <w:r w:rsidRPr="0072416F">
        <w:t xml:space="preserve"> </w:t>
      </w:r>
      <w:r>
        <w:t xml:space="preserve">NMA=network meta-analysis; </w:t>
      </w:r>
      <w:r w:rsidRPr="0072416F">
        <w:t>OL=open label;</w:t>
      </w:r>
      <w:r>
        <w:t xml:space="preserve"> PBO=placebo; PC=placebo-controlled;</w:t>
      </w:r>
      <w:r w:rsidRPr="00BA5604">
        <w:t xml:space="preserve"> P2=Phase 2</w:t>
      </w:r>
      <w:r>
        <w:t xml:space="preserve"> trial; P</w:t>
      </w:r>
      <w:r w:rsidRPr="00BA5604">
        <w:t>3</w:t>
      </w:r>
      <w:r>
        <w:t>=Phase 3 trial;</w:t>
      </w:r>
      <w:r w:rsidRPr="0072416F">
        <w:t xml:space="preserve"> </w:t>
      </w:r>
      <w:proofErr w:type="spellStart"/>
      <w:r>
        <w:t>QxW</w:t>
      </w:r>
      <w:proofErr w:type="spellEnd"/>
      <w:r>
        <w:t xml:space="preserve">=every x week; </w:t>
      </w:r>
      <w:r w:rsidRPr="0072416F">
        <w:t>R=randomised</w:t>
      </w:r>
      <w:r>
        <w:t>; SES-CD=</w:t>
      </w:r>
      <w:r w:rsidRPr="00B169D9">
        <w:t>Endoscopic Score for Crohn’s Disease</w:t>
      </w:r>
      <w:r>
        <w:t xml:space="preserve">; TT=treat-through; </w:t>
      </w:r>
      <w:r w:rsidRPr="00BA5604">
        <w:t>UST=ustekinumab</w:t>
      </w:r>
      <w:r>
        <w:t xml:space="preserve">; S3=section 3 of the submission; </w:t>
      </w:r>
      <w:proofErr w:type="spellStart"/>
      <w:r>
        <w:t>wk</w:t>
      </w:r>
      <w:proofErr w:type="spellEnd"/>
      <w:r>
        <w:t>=week; y=year; i=analysis with imputed data to adjust for trial design;</w:t>
      </w:r>
    </w:p>
    <w:p w14:paraId="6F8721F4" w14:textId="77777777" w:rsidR="00D24BA1" w:rsidRDefault="00D24BA1" w:rsidP="00D24BA1">
      <w:pPr>
        <w:pStyle w:val="TableFigureFooter"/>
        <w:ind w:left="165" w:hanging="165"/>
      </w:pPr>
      <w:proofErr w:type="spellStart"/>
      <w:r w:rsidRPr="00475A14">
        <w:t>a</w:t>
      </w:r>
      <w:proofErr w:type="spellEnd"/>
      <w:r w:rsidRPr="00475A14">
        <w:tab/>
      </w:r>
      <w:r>
        <w:t xml:space="preserve">At </w:t>
      </w:r>
      <w:proofErr w:type="spellStart"/>
      <w:r>
        <w:t>Wk</w:t>
      </w:r>
      <w:proofErr w:type="spellEnd"/>
      <w:r>
        <w:t xml:space="preserve"> 12, PBO</w:t>
      </w:r>
      <w:r w:rsidRPr="00475A14">
        <w:t xml:space="preserve"> responders</w:t>
      </w:r>
      <w:r>
        <w:t xml:space="preserve"> c</w:t>
      </w:r>
      <w:r w:rsidRPr="00475A14">
        <w:t xml:space="preserve">ontinued </w:t>
      </w:r>
      <w:r>
        <w:t>PBO</w:t>
      </w:r>
      <w:r w:rsidRPr="00475A14">
        <w:t xml:space="preserve"> treatment from Week 12 through </w:t>
      </w:r>
      <w:proofErr w:type="spellStart"/>
      <w:r w:rsidRPr="00475A14">
        <w:t>Wk</w:t>
      </w:r>
      <w:proofErr w:type="spellEnd"/>
      <w:r w:rsidRPr="00475A14">
        <w:t xml:space="preserve"> 44.</w:t>
      </w:r>
      <w:r>
        <w:t xml:space="preserve"> PBO non-responders crossed over to receive active treatment with UST IV induction dose at </w:t>
      </w:r>
      <w:proofErr w:type="spellStart"/>
      <w:r>
        <w:t>Wk</w:t>
      </w:r>
      <w:proofErr w:type="spellEnd"/>
      <w:r>
        <w:t xml:space="preserve"> 12 (weight-based) and maintenance UST SC from </w:t>
      </w:r>
      <w:proofErr w:type="spellStart"/>
      <w:r>
        <w:t>Wk</w:t>
      </w:r>
      <w:proofErr w:type="spellEnd"/>
      <w:r>
        <w:t xml:space="preserve"> 20 through </w:t>
      </w:r>
      <w:proofErr w:type="spellStart"/>
      <w:r>
        <w:t>Wk</w:t>
      </w:r>
      <w:proofErr w:type="spellEnd"/>
      <w:r>
        <w:t xml:space="preserve"> 44.</w:t>
      </w:r>
    </w:p>
    <w:p w14:paraId="2E2E9078" w14:textId="77777777" w:rsidR="00D24BA1" w:rsidRDefault="00D24BA1" w:rsidP="00D24BA1">
      <w:pPr>
        <w:pStyle w:val="TableFigureFooter"/>
        <w:ind w:left="165" w:hanging="165"/>
      </w:pPr>
      <w:r>
        <w:t>b</w:t>
      </w:r>
      <w:r>
        <w:tab/>
        <w:t xml:space="preserve">Region-specific co-primary endpoints were: i) clinical remission at </w:t>
      </w:r>
      <w:proofErr w:type="spellStart"/>
      <w:r>
        <w:t>Wk</w:t>
      </w:r>
      <w:proofErr w:type="spellEnd"/>
      <w:r>
        <w:t xml:space="preserve"> 12 and ii) endoscopic response at </w:t>
      </w:r>
      <w:proofErr w:type="spellStart"/>
      <w:r>
        <w:t>Wk</w:t>
      </w:r>
      <w:proofErr w:type="spellEnd"/>
      <w:r>
        <w:t xml:space="preserve"> 12.</w:t>
      </w:r>
      <w:r w:rsidRPr="00215231">
        <w:t xml:space="preserve"> </w:t>
      </w:r>
      <w:r>
        <w:t xml:space="preserve">Global co-primary endpoints were: i) clinical response at </w:t>
      </w:r>
      <w:proofErr w:type="spellStart"/>
      <w:r>
        <w:t>Wk</w:t>
      </w:r>
      <w:proofErr w:type="spellEnd"/>
      <w:r>
        <w:t xml:space="preserve"> 12 and clinical remission at </w:t>
      </w:r>
      <w:proofErr w:type="spellStart"/>
      <w:r>
        <w:t>Wk</w:t>
      </w:r>
      <w:proofErr w:type="spellEnd"/>
      <w:r>
        <w:t xml:space="preserve"> 48 and ii) clinical response at </w:t>
      </w:r>
      <w:proofErr w:type="spellStart"/>
      <w:r>
        <w:t>Wk</w:t>
      </w:r>
      <w:proofErr w:type="spellEnd"/>
      <w:r>
        <w:t xml:space="preserve"> 12 and endoscopic response at </w:t>
      </w:r>
      <w:proofErr w:type="spellStart"/>
      <w:r>
        <w:t>Wk</w:t>
      </w:r>
      <w:proofErr w:type="spellEnd"/>
      <w:r>
        <w:t xml:space="preserve"> 48.</w:t>
      </w:r>
    </w:p>
    <w:p w14:paraId="4B6904C3" w14:textId="77777777" w:rsidR="00D24BA1" w:rsidRDefault="00D24BA1" w:rsidP="00D24BA1">
      <w:pPr>
        <w:pStyle w:val="TableFigureFooter"/>
        <w:ind w:left="165" w:hanging="165"/>
      </w:pPr>
      <w:r>
        <w:t>c</w:t>
      </w:r>
      <w:r>
        <w:tab/>
        <w:t xml:space="preserve">clinical remission: </w:t>
      </w:r>
      <w:r w:rsidRPr="004564B1">
        <w:t>CDAI &lt;150</w:t>
      </w:r>
      <w:r>
        <w:t xml:space="preserve"> and clinical response: reduction from baseline of ≥100-point in CDAI score or CDAI score &lt;150 (clinical remission).</w:t>
      </w:r>
    </w:p>
    <w:p w14:paraId="16E89D63" w14:textId="77777777" w:rsidR="00D24BA1" w:rsidRDefault="00D24BA1" w:rsidP="00D24BA1">
      <w:pPr>
        <w:pStyle w:val="TableFigureFooter"/>
        <w:ind w:left="165" w:hanging="165"/>
      </w:pPr>
      <w:r>
        <w:t>d</w:t>
      </w:r>
      <w:r>
        <w:tab/>
        <w:t>Endoscopic remission:</w:t>
      </w:r>
      <w:r w:rsidRPr="004564B1">
        <w:t xml:space="preserve"> </w:t>
      </w:r>
      <w:r>
        <w:t xml:space="preserve">SES-CD ≤4 with at least a 2-point reduction from baseline and no </w:t>
      </w:r>
      <w:proofErr w:type="spellStart"/>
      <w:r>
        <w:t>subscore</w:t>
      </w:r>
      <w:proofErr w:type="spellEnd"/>
      <w:r>
        <w:t xml:space="preserve"> greater than 1 in any individual subcomponent</w:t>
      </w:r>
      <w:r w:rsidRPr="004564B1">
        <w:t xml:space="preserve"> </w:t>
      </w:r>
      <w:r>
        <w:t xml:space="preserve">(global definition) or </w:t>
      </w:r>
      <w:r w:rsidRPr="004564B1">
        <w:t>SES-CD ≤2</w:t>
      </w:r>
      <w:r>
        <w:t xml:space="preserve"> (region-specific definition) and e</w:t>
      </w:r>
      <w:r w:rsidRPr="00EE5EFE">
        <w:t>ndoscopic response</w:t>
      </w:r>
      <w:r>
        <w:t xml:space="preserve">: </w:t>
      </w:r>
      <w:r w:rsidRPr="00EE5EFE">
        <w:t>≥50% improvement from baseline in the SES-CD or SES-CD score ≤2</w:t>
      </w:r>
      <w:r>
        <w:t>.</w:t>
      </w:r>
    </w:p>
    <w:p w14:paraId="74EA8BB2" w14:textId="77777777" w:rsidR="00D24BA1" w:rsidRDefault="00D24BA1" w:rsidP="00D24BA1">
      <w:pPr>
        <w:pStyle w:val="TableFigureFooter"/>
        <w:ind w:left="165" w:hanging="165"/>
      </w:pPr>
      <w:r>
        <w:t>e</w:t>
      </w:r>
      <w:r>
        <w:tab/>
      </w:r>
      <w:r w:rsidRPr="001123E3">
        <w:t xml:space="preserve">Type 2 </w:t>
      </w:r>
      <w:r>
        <w:t>TT</w:t>
      </w:r>
      <w:r w:rsidRPr="001123E3">
        <w:t xml:space="preserve"> trial design (i.e., GALAXI placebo arms) were standardised to a Type 1 </w:t>
      </w:r>
      <w:r>
        <w:t>TT</w:t>
      </w:r>
      <w:r w:rsidRPr="001123E3">
        <w:t xml:space="preserve"> design by using additional data sources and assumptions to impute data reflective of Type 1 </w:t>
      </w:r>
      <w:r>
        <w:t>TT</w:t>
      </w:r>
      <w:r w:rsidRPr="001123E3">
        <w:t xml:space="preserve"> trial</w:t>
      </w:r>
      <w:r>
        <w:t>.</w:t>
      </w:r>
    </w:p>
    <w:p w14:paraId="64FE165C" w14:textId="77777777" w:rsidR="00D24BA1" w:rsidRPr="00EE5EFE" w:rsidRDefault="00D24BA1" w:rsidP="00D24BA1">
      <w:pPr>
        <w:pStyle w:val="TableFigureFooter"/>
        <w:ind w:left="165" w:hanging="165"/>
      </w:pPr>
      <w:r>
        <w:t>f</w:t>
      </w:r>
      <w:r>
        <w:tab/>
        <w:t>Primary efficacy analysis set included 309 patients who were randomized and received ≥1 dose of study drug (including partial dose), and whose induction dosing was not discontinued due to treatment pause. Total 360 randomised, of which 51 patients had induction dosing discontinued due to a safety event.</w:t>
      </w:r>
    </w:p>
    <w:p w14:paraId="537643E1" w14:textId="77777777" w:rsidR="00D24BA1" w:rsidRDefault="00D24BA1" w:rsidP="00D24BA1"/>
    <w:p w14:paraId="7B16F503" w14:textId="004997DE" w:rsidR="00D24BA1" w:rsidRPr="00EC5836" w:rsidRDefault="005F4460" w:rsidP="005F4460">
      <w:pPr>
        <w:pStyle w:val="Caption"/>
        <w:jc w:val="left"/>
        <w:rPr>
          <w:rStyle w:val="CommentReference"/>
          <w:b/>
          <w:szCs w:val="24"/>
        </w:rPr>
      </w:pPr>
      <w:bookmarkStart w:id="24" w:name="_Ref197674738"/>
      <w:r>
        <w:lastRenderedPageBreak/>
        <w:t xml:space="preserve">Table </w:t>
      </w:r>
      <w:r w:rsidR="00DC5F25">
        <w:fldChar w:fldCharType="begin"/>
      </w:r>
      <w:r w:rsidR="00DC5F25">
        <w:instrText xml:space="preserve"> SEQ Table \* ARABIC </w:instrText>
      </w:r>
      <w:r w:rsidR="00DC5F25">
        <w:fldChar w:fldCharType="separate"/>
      </w:r>
      <w:r w:rsidR="000756FD">
        <w:rPr>
          <w:noProof/>
        </w:rPr>
        <w:t>6</w:t>
      </w:r>
      <w:r w:rsidR="00DC5F25">
        <w:rPr>
          <w:noProof/>
        </w:rPr>
        <w:fldChar w:fldCharType="end"/>
      </w:r>
      <w:bookmarkEnd w:id="24"/>
      <w:r>
        <w:t>:</w:t>
      </w:r>
      <w:r w:rsidR="00D24BA1" w:rsidRPr="00EC5836">
        <w:rPr>
          <w:rStyle w:val="CommentReference"/>
          <w:b/>
          <w:szCs w:val="24"/>
        </w:rPr>
        <w:t xml:space="preserve"> Key features of the included </w:t>
      </w:r>
      <w:r w:rsidR="00D24BA1">
        <w:rPr>
          <w:rStyle w:val="CommentReference"/>
          <w:b/>
          <w:szCs w:val="24"/>
        </w:rPr>
        <w:t xml:space="preserve">indirect </w:t>
      </w:r>
      <w:r w:rsidR="00D24BA1" w:rsidRPr="00EC5836">
        <w:rPr>
          <w:rStyle w:val="CommentReference"/>
          <w:b/>
          <w:szCs w:val="24"/>
        </w:rPr>
        <w:t>evidence</w:t>
      </w:r>
      <w:r w:rsidR="00D24BA1">
        <w:rPr>
          <w:rStyle w:val="CommentReference"/>
          <w:b/>
          <w:szCs w:val="24"/>
        </w:rPr>
        <w:t xml:space="preserve"> </w:t>
      </w:r>
      <w:r w:rsidR="003B7E35">
        <w:rPr>
          <w:rStyle w:val="CommentReference"/>
          <w:b/>
          <w:szCs w:val="24"/>
        </w:rPr>
        <w:t>-</w:t>
      </w:r>
      <w:r w:rsidR="00D24BA1">
        <w:rPr>
          <w:rStyle w:val="CommentReference"/>
          <w:b/>
          <w:szCs w:val="24"/>
        </w:rPr>
        <w:t xml:space="preserve"> induction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indirect evidence - induction treatment"/>
      </w:tblPr>
      <w:tblGrid>
        <w:gridCol w:w="1272"/>
        <w:gridCol w:w="566"/>
        <w:gridCol w:w="2126"/>
        <w:gridCol w:w="424"/>
        <w:gridCol w:w="1702"/>
        <w:gridCol w:w="3686"/>
        <w:gridCol w:w="2413"/>
        <w:gridCol w:w="564"/>
        <w:gridCol w:w="566"/>
        <w:gridCol w:w="631"/>
      </w:tblGrid>
      <w:tr w:rsidR="00D24BA1" w:rsidRPr="00B41614" w14:paraId="75186768" w14:textId="77777777" w:rsidTr="00286E68">
        <w:trPr>
          <w:cantSplit/>
          <w:tblHeader/>
        </w:trPr>
        <w:tc>
          <w:tcPr>
            <w:tcW w:w="456" w:type="pct"/>
            <w:vAlign w:val="center"/>
          </w:tcPr>
          <w:p w14:paraId="3AC271F8" w14:textId="77777777" w:rsidR="00D24BA1" w:rsidRPr="00B41614" w:rsidRDefault="00D24BA1" w:rsidP="00286E68">
            <w:pPr>
              <w:pStyle w:val="In-tableHeading"/>
              <w:keepNext w:val="0"/>
            </w:pPr>
            <w:r w:rsidRPr="00B41614">
              <w:t>Trial</w:t>
            </w:r>
          </w:p>
        </w:tc>
        <w:tc>
          <w:tcPr>
            <w:tcW w:w="203" w:type="pct"/>
            <w:vAlign w:val="center"/>
          </w:tcPr>
          <w:p w14:paraId="509B16ED" w14:textId="77777777" w:rsidR="00D24BA1" w:rsidRPr="00B41614" w:rsidRDefault="00D24BA1" w:rsidP="00286E68">
            <w:pPr>
              <w:pStyle w:val="In-tableHeading"/>
              <w:keepNext w:val="0"/>
              <w:jc w:val="center"/>
            </w:pPr>
            <w:r w:rsidRPr="00B41614">
              <w:t>N</w:t>
            </w:r>
          </w:p>
        </w:tc>
        <w:tc>
          <w:tcPr>
            <w:tcW w:w="762" w:type="pct"/>
            <w:vAlign w:val="center"/>
          </w:tcPr>
          <w:p w14:paraId="68CB6826" w14:textId="77777777" w:rsidR="00D24BA1" w:rsidRPr="00B41614" w:rsidRDefault="00D24BA1" w:rsidP="00286E68">
            <w:pPr>
              <w:pStyle w:val="In-tableHeading"/>
              <w:keepNext w:val="0"/>
              <w:jc w:val="center"/>
            </w:pPr>
            <w:r w:rsidRPr="00B41614">
              <w:t>Design</w:t>
            </w:r>
          </w:p>
        </w:tc>
        <w:tc>
          <w:tcPr>
            <w:tcW w:w="152" w:type="pct"/>
            <w:vAlign w:val="center"/>
          </w:tcPr>
          <w:p w14:paraId="5E6762C7" w14:textId="77777777" w:rsidR="00D24BA1" w:rsidRPr="00B41614" w:rsidRDefault="00D24BA1" w:rsidP="00286E68">
            <w:pPr>
              <w:pStyle w:val="In-tableHeading"/>
              <w:keepNext w:val="0"/>
              <w:jc w:val="center"/>
            </w:pPr>
            <w:r>
              <w:t>B</w:t>
            </w:r>
            <w:r w:rsidRPr="00B41614">
              <w:t>ias</w:t>
            </w:r>
          </w:p>
        </w:tc>
        <w:tc>
          <w:tcPr>
            <w:tcW w:w="610" w:type="pct"/>
            <w:vAlign w:val="center"/>
          </w:tcPr>
          <w:p w14:paraId="3F45587D" w14:textId="77777777" w:rsidR="00D24BA1" w:rsidRPr="00B41614" w:rsidRDefault="00D24BA1" w:rsidP="00286E68">
            <w:pPr>
              <w:pStyle w:val="In-tableHeading"/>
              <w:keepNext w:val="0"/>
              <w:jc w:val="center"/>
            </w:pPr>
            <w:r>
              <w:t>P</w:t>
            </w:r>
            <w:r w:rsidRPr="00B41614">
              <w:t>opulation</w:t>
            </w:r>
          </w:p>
        </w:tc>
        <w:tc>
          <w:tcPr>
            <w:tcW w:w="1321" w:type="pct"/>
          </w:tcPr>
          <w:p w14:paraId="62609856" w14:textId="77777777" w:rsidR="00D24BA1" w:rsidRPr="00B41614" w:rsidRDefault="00D24BA1" w:rsidP="00286E68">
            <w:pPr>
              <w:pStyle w:val="In-tableHeading"/>
              <w:keepNext w:val="0"/>
              <w:jc w:val="center"/>
            </w:pPr>
            <w:r>
              <w:t>Treatment</w:t>
            </w:r>
          </w:p>
        </w:tc>
        <w:tc>
          <w:tcPr>
            <w:tcW w:w="865" w:type="pct"/>
            <w:vAlign w:val="center"/>
          </w:tcPr>
          <w:p w14:paraId="2EC10EC8" w14:textId="77777777" w:rsidR="00D24BA1" w:rsidRPr="00B41614" w:rsidRDefault="00D24BA1" w:rsidP="00286E68">
            <w:pPr>
              <w:pStyle w:val="In-tableHeading"/>
              <w:keepNext w:val="0"/>
              <w:jc w:val="center"/>
            </w:pPr>
            <w:r w:rsidRPr="00B41614">
              <w:t>Outcome(s)</w:t>
            </w:r>
          </w:p>
        </w:tc>
        <w:tc>
          <w:tcPr>
            <w:tcW w:w="202" w:type="pct"/>
            <w:vAlign w:val="center"/>
          </w:tcPr>
          <w:p w14:paraId="3F60EBF1" w14:textId="77777777" w:rsidR="00D24BA1" w:rsidRPr="00B41614" w:rsidRDefault="00D24BA1" w:rsidP="00286E68">
            <w:pPr>
              <w:pStyle w:val="In-tableHeading"/>
              <w:keepNext w:val="0"/>
              <w:jc w:val="center"/>
            </w:pPr>
            <w:r>
              <w:t>ITC</w:t>
            </w:r>
          </w:p>
        </w:tc>
        <w:tc>
          <w:tcPr>
            <w:tcW w:w="203" w:type="pct"/>
            <w:vAlign w:val="center"/>
          </w:tcPr>
          <w:p w14:paraId="04485BDD" w14:textId="77777777" w:rsidR="00D24BA1" w:rsidRDefault="00D24BA1" w:rsidP="00286E68">
            <w:pPr>
              <w:pStyle w:val="In-tableHeading"/>
              <w:keepNext w:val="0"/>
              <w:jc w:val="center"/>
            </w:pPr>
            <w:r>
              <w:t>NMA</w:t>
            </w:r>
          </w:p>
        </w:tc>
        <w:tc>
          <w:tcPr>
            <w:tcW w:w="226" w:type="pct"/>
            <w:vAlign w:val="center"/>
          </w:tcPr>
          <w:p w14:paraId="66F8E28F" w14:textId="77777777" w:rsidR="00D24BA1" w:rsidRDefault="00D24BA1" w:rsidP="00286E68">
            <w:pPr>
              <w:pStyle w:val="In-tableHeading"/>
              <w:keepNext w:val="0"/>
              <w:jc w:val="center"/>
            </w:pPr>
            <w:r>
              <w:t>S3</w:t>
            </w:r>
          </w:p>
        </w:tc>
      </w:tr>
      <w:tr w:rsidR="00D24BA1" w:rsidRPr="00E2771E" w14:paraId="7C827C59" w14:textId="77777777" w:rsidTr="00286E68">
        <w:trPr>
          <w:cantSplit/>
        </w:trPr>
        <w:tc>
          <w:tcPr>
            <w:tcW w:w="5000" w:type="pct"/>
            <w:gridSpan w:val="10"/>
            <w:vAlign w:val="center"/>
          </w:tcPr>
          <w:p w14:paraId="4443EA5B" w14:textId="77777777" w:rsidR="00D24BA1" w:rsidRPr="00AE6B76" w:rsidRDefault="00D24BA1" w:rsidP="00286E68">
            <w:pPr>
              <w:pStyle w:val="TableText0"/>
              <w:keepNext w:val="0"/>
              <w:rPr>
                <w:b/>
                <w:bCs w:val="0"/>
                <w:lang w:val="en-US"/>
              </w:rPr>
            </w:pPr>
            <w:r w:rsidRPr="00AE6B76">
              <w:rPr>
                <w:b/>
                <w:bCs w:val="0"/>
                <w:lang w:val="en-US"/>
              </w:rPr>
              <w:t>GUS vs PBO</w:t>
            </w:r>
          </w:p>
        </w:tc>
      </w:tr>
      <w:tr w:rsidR="00D24BA1" w:rsidRPr="00E2771E" w14:paraId="2FD8E49D" w14:textId="77777777" w:rsidTr="00286E68">
        <w:trPr>
          <w:cantSplit/>
        </w:trPr>
        <w:tc>
          <w:tcPr>
            <w:tcW w:w="456" w:type="pct"/>
            <w:vAlign w:val="center"/>
          </w:tcPr>
          <w:p w14:paraId="34E953A0" w14:textId="77777777" w:rsidR="00D24BA1" w:rsidRDefault="00D24BA1" w:rsidP="00286E68">
            <w:pPr>
              <w:pStyle w:val="TableText0"/>
              <w:keepNext w:val="0"/>
              <w:rPr>
                <w:lang w:val="en-US"/>
              </w:rPr>
            </w:pPr>
            <w:r>
              <w:rPr>
                <w:lang w:val="en-US"/>
              </w:rPr>
              <w:t>GRAVITI</w:t>
            </w:r>
          </w:p>
          <w:p w14:paraId="7639ED2D" w14:textId="77777777" w:rsidR="00D24BA1" w:rsidRDefault="00D24BA1" w:rsidP="00286E68">
            <w:pPr>
              <w:pStyle w:val="TableText0"/>
              <w:keepNext w:val="0"/>
              <w:rPr>
                <w:lang w:val="en-US"/>
              </w:rPr>
            </w:pPr>
            <w:r>
              <w:rPr>
                <w:lang w:val="en-US"/>
              </w:rPr>
              <w:t>[induction + maintenance]</w:t>
            </w:r>
          </w:p>
        </w:tc>
        <w:tc>
          <w:tcPr>
            <w:tcW w:w="203" w:type="pct"/>
            <w:vAlign w:val="center"/>
          </w:tcPr>
          <w:p w14:paraId="274CBF33" w14:textId="77777777" w:rsidR="00D24BA1" w:rsidRDefault="00D24BA1" w:rsidP="00286E68">
            <w:pPr>
              <w:pStyle w:val="TableText0"/>
              <w:keepNext w:val="0"/>
              <w:jc w:val="center"/>
              <w:rPr>
                <w:lang w:val="en-US"/>
              </w:rPr>
            </w:pPr>
            <w:r>
              <w:rPr>
                <w:lang w:val="en-US"/>
              </w:rPr>
              <w:t>347</w:t>
            </w:r>
          </w:p>
        </w:tc>
        <w:tc>
          <w:tcPr>
            <w:tcW w:w="762" w:type="pct"/>
            <w:vAlign w:val="center"/>
          </w:tcPr>
          <w:p w14:paraId="464FD813" w14:textId="77777777" w:rsidR="00D24BA1" w:rsidRDefault="00D24BA1" w:rsidP="00286E68">
            <w:pPr>
              <w:pStyle w:val="TableText0"/>
              <w:keepNext w:val="0"/>
              <w:jc w:val="center"/>
              <w:rPr>
                <w:lang w:val="en-US"/>
              </w:rPr>
            </w:pPr>
            <w:r>
              <w:rPr>
                <w:lang w:val="en-US"/>
              </w:rPr>
              <w:t xml:space="preserve">P3, MC, R, PC, DB 24 </w:t>
            </w:r>
            <w:proofErr w:type="spellStart"/>
            <w:r>
              <w:rPr>
                <w:lang w:val="en-US"/>
              </w:rPr>
              <w:t>wks</w:t>
            </w:r>
            <w:proofErr w:type="spellEnd"/>
            <w:r>
              <w:rPr>
                <w:lang w:val="en-US"/>
              </w:rPr>
              <w:t xml:space="preserve"> / LTE 72 </w:t>
            </w:r>
            <w:proofErr w:type="spellStart"/>
            <w:r>
              <w:rPr>
                <w:lang w:val="en-US"/>
              </w:rPr>
              <w:t>wks</w:t>
            </w:r>
            <w:proofErr w:type="spellEnd"/>
          </w:p>
          <w:p w14:paraId="002134DC" w14:textId="77777777" w:rsidR="00D24BA1" w:rsidRDefault="00D24BA1" w:rsidP="00286E68">
            <w:pPr>
              <w:pStyle w:val="TableText0"/>
              <w:keepNext w:val="0"/>
              <w:jc w:val="center"/>
              <w:rPr>
                <w:lang w:val="en-US"/>
              </w:rPr>
            </w:pPr>
            <w:r>
              <w:rPr>
                <w:lang w:val="en-US"/>
              </w:rPr>
              <w:t xml:space="preserve">[IP: 12 </w:t>
            </w:r>
            <w:proofErr w:type="spellStart"/>
            <w:r>
              <w:rPr>
                <w:lang w:val="en-US"/>
              </w:rPr>
              <w:t>wks</w:t>
            </w:r>
            <w:proofErr w:type="spellEnd"/>
            <w:r>
              <w:rPr>
                <w:lang w:val="en-US"/>
              </w:rPr>
              <w:t xml:space="preserve"> + MP: 12 </w:t>
            </w:r>
            <w:proofErr w:type="spellStart"/>
            <w:r>
              <w:rPr>
                <w:lang w:val="en-US"/>
              </w:rPr>
              <w:t>wks</w:t>
            </w:r>
            <w:proofErr w:type="spellEnd"/>
            <w:r>
              <w:rPr>
                <w:lang w:val="en-US"/>
              </w:rPr>
              <w:t>],</w:t>
            </w:r>
          </w:p>
          <w:p w14:paraId="14F59B3D" w14:textId="77777777" w:rsidR="00D24BA1" w:rsidRDefault="00D24BA1" w:rsidP="00286E68">
            <w:pPr>
              <w:pStyle w:val="TableText0"/>
              <w:keepNext w:val="0"/>
              <w:jc w:val="center"/>
              <w:rPr>
                <w:lang w:val="en-US"/>
              </w:rPr>
            </w:pPr>
            <w:r>
              <w:rPr>
                <w:lang w:val="en-US"/>
              </w:rPr>
              <w:t>Type 1 TT</w:t>
            </w:r>
          </w:p>
        </w:tc>
        <w:tc>
          <w:tcPr>
            <w:tcW w:w="152" w:type="pct"/>
            <w:vAlign w:val="center"/>
          </w:tcPr>
          <w:p w14:paraId="2D51394C"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200FDB0E" w14:textId="77777777" w:rsidR="00D24BA1" w:rsidRDefault="00D24BA1" w:rsidP="00286E68">
            <w:pPr>
              <w:pStyle w:val="TableText0"/>
              <w:keepNext w:val="0"/>
              <w:jc w:val="center"/>
              <w:rPr>
                <w:lang w:val="en-US"/>
              </w:rPr>
            </w:pPr>
            <w:r w:rsidRPr="00376C38">
              <w:rPr>
                <w:lang w:val="en-US"/>
              </w:rPr>
              <w:t>CDAI ≥220</w:t>
            </w:r>
            <w:r>
              <w:rPr>
                <w:lang w:val="en-US"/>
              </w:rPr>
              <w:t xml:space="preserve"> and ≤450;</w:t>
            </w:r>
          </w:p>
          <w:p w14:paraId="1B5367DA" w14:textId="77777777" w:rsidR="00D24BA1" w:rsidRPr="00376C38" w:rsidRDefault="00D24BA1" w:rsidP="00286E68">
            <w:pPr>
              <w:pStyle w:val="TableText0"/>
              <w:keepNext w:val="0"/>
              <w:jc w:val="center"/>
              <w:rPr>
                <w:lang w:val="en-US"/>
              </w:rPr>
            </w:pPr>
            <w:r>
              <w:rPr>
                <w:lang w:val="en-US"/>
              </w:rPr>
              <w:t xml:space="preserve">Biologic </w:t>
            </w:r>
            <w:proofErr w:type="gramStart"/>
            <w:r>
              <w:rPr>
                <w:lang w:val="en-US"/>
              </w:rPr>
              <w:t>naïve</w:t>
            </w:r>
            <w:proofErr w:type="gramEnd"/>
            <w:r>
              <w:rPr>
                <w:lang w:val="en-US"/>
              </w:rPr>
              <w:t xml:space="preserve"> and experienced</w:t>
            </w:r>
          </w:p>
        </w:tc>
        <w:tc>
          <w:tcPr>
            <w:tcW w:w="1321" w:type="pct"/>
            <w:vAlign w:val="center"/>
          </w:tcPr>
          <w:p w14:paraId="69C3DFC6" w14:textId="77777777" w:rsidR="00D24BA1" w:rsidRDefault="00D24BA1" w:rsidP="00286E68">
            <w:pPr>
              <w:pStyle w:val="TableText0"/>
              <w:keepNext w:val="0"/>
              <w:jc w:val="center"/>
              <w:rPr>
                <w:lang w:val="en-US"/>
              </w:rPr>
            </w:pPr>
            <w:r>
              <w:rPr>
                <w:lang w:val="en-US"/>
              </w:rPr>
              <w:t xml:space="preserve">GUS 400mg SC </w:t>
            </w:r>
            <w:proofErr w:type="spellStart"/>
            <w:r>
              <w:rPr>
                <w:lang w:val="en-US"/>
              </w:rPr>
              <w:t>Wk</w:t>
            </w:r>
            <w:proofErr w:type="spellEnd"/>
            <w:r>
              <w:rPr>
                <w:lang w:val="en-US"/>
              </w:rPr>
              <w:t xml:space="preserve"> 0, 4, 8 IP -&gt; 200mg Q4W MP</w:t>
            </w:r>
          </w:p>
          <w:p w14:paraId="1A6C9702" w14:textId="77777777" w:rsidR="00D24BA1" w:rsidRDefault="00D24BA1" w:rsidP="00286E68">
            <w:pPr>
              <w:pStyle w:val="TableText0"/>
              <w:keepNext w:val="0"/>
              <w:jc w:val="center"/>
              <w:rPr>
                <w:lang w:val="en-US"/>
              </w:rPr>
            </w:pPr>
            <w:r>
              <w:rPr>
                <w:lang w:val="en-US"/>
              </w:rPr>
              <w:t xml:space="preserve">GUS 400mg SC </w:t>
            </w:r>
            <w:proofErr w:type="spellStart"/>
            <w:r>
              <w:rPr>
                <w:lang w:val="en-US"/>
              </w:rPr>
              <w:t>Wk</w:t>
            </w:r>
            <w:proofErr w:type="spellEnd"/>
            <w:r>
              <w:rPr>
                <w:lang w:val="en-US"/>
              </w:rPr>
              <w:t xml:space="preserve"> 0, 4, 8 IP -&gt; 100mg Q8W MP</w:t>
            </w:r>
          </w:p>
          <w:p w14:paraId="52E9E6AA" w14:textId="77777777" w:rsidR="00D24BA1" w:rsidRDefault="00D24BA1" w:rsidP="00286E68">
            <w:pPr>
              <w:pStyle w:val="TableText0"/>
              <w:keepNext w:val="0"/>
              <w:jc w:val="center"/>
              <w:rPr>
                <w:lang w:val="en-US"/>
              </w:rPr>
            </w:pPr>
            <w:r>
              <w:rPr>
                <w:lang w:val="en-US"/>
              </w:rPr>
              <w:t>PBO</w:t>
            </w:r>
          </w:p>
        </w:tc>
        <w:tc>
          <w:tcPr>
            <w:tcW w:w="865" w:type="pct"/>
            <w:vAlign w:val="center"/>
          </w:tcPr>
          <w:p w14:paraId="7242F7C6"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E40903">
              <w:rPr>
                <w:vertAlign w:val="superscript"/>
                <w:lang w:val="en-US"/>
              </w:rPr>
              <w:t>a</w:t>
            </w:r>
            <w:proofErr w:type="gramEnd"/>
            <w:r>
              <w:rPr>
                <w:lang w:val="en-US"/>
              </w:rPr>
              <w:t>, endoscopic response (SES-</w:t>
            </w:r>
            <w:proofErr w:type="gramStart"/>
            <w:r>
              <w:rPr>
                <w:lang w:val="en-US"/>
              </w:rPr>
              <w:t>CD)</w:t>
            </w:r>
            <w:r w:rsidRPr="00A2435B">
              <w:rPr>
                <w:vertAlign w:val="superscript"/>
                <w:lang w:val="en-US"/>
              </w:rPr>
              <w:t>b</w:t>
            </w:r>
            <w:proofErr w:type="gramEnd"/>
          </w:p>
        </w:tc>
        <w:tc>
          <w:tcPr>
            <w:tcW w:w="202" w:type="pct"/>
            <w:vAlign w:val="center"/>
          </w:tcPr>
          <w:p w14:paraId="0E2855FA"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sidRPr="00FE4229">
              <w:rPr>
                <w:vertAlign w:val="superscript"/>
                <w:lang w:val="en-US"/>
              </w:rPr>
              <w:t>k</w:t>
            </w:r>
          </w:p>
        </w:tc>
        <w:tc>
          <w:tcPr>
            <w:tcW w:w="203" w:type="pct"/>
            <w:vAlign w:val="center"/>
          </w:tcPr>
          <w:p w14:paraId="3C7712CA" w14:textId="77777777" w:rsidR="00D24BA1" w:rsidRPr="00625E91" w:rsidRDefault="00D24BA1" w:rsidP="00286E68">
            <w:pPr>
              <w:pStyle w:val="TableText0"/>
              <w:keepNext w:val="0"/>
              <w:jc w:val="center"/>
              <w:rPr>
                <w:lang w:val="en-US"/>
              </w:rPr>
            </w:pPr>
            <w:r>
              <w:rPr>
                <w:lang w:val="en-US"/>
              </w:rPr>
              <w:t>-</w:t>
            </w:r>
          </w:p>
        </w:tc>
        <w:tc>
          <w:tcPr>
            <w:tcW w:w="226" w:type="pct"/>
            <w:vAlign w:val="center"/>
          </w:tcPr>
          <w:p w14:paraId="3F18A759" w14:textId="77777777" w:rsidR="00D24BA1" w:rsidRDefault="00D24BA1" w:rsidP="00286E68">
            <w:pPr>
              <w:pStyle w:val="TableText0"/>
              <w:keepNext w:val="0"/>
              <w:jc w:val="center"/>
              <w:rPr>
                <w:lang w:val="en-US"/>
              </w:rPr>
            </w:pPr>
            <w:r>
              <w:rPr>
                <w:lang w:val="en-US"/>
              </w:rPr>
              <w:t>-</w:t>
            </w:r>
          </w:p>
        </w:tc>
      </w:tr>
      <w:tr w:rsidR="00D24BA1" w:rsidRPr="00E2771E" w14:paraId="29643CA5" w14:textId="77777777" w:rsidTr="00286E68">
        <w:trPr>
          <w:cantSplit/>
        </w:trPr>
        <w:tc>
          <w:tcPr>
            <w:tcW w:w="5000" w:type="pct"/>
            <w:gridSpan w:val="10"/>
            <w:vAlign w:val="center"/>
          </w:tcPr>
          <w:p w14:paraId="2EC7285D" w14:textId="77777777" w:rsidR="00D24BA1" w:rsidRPr="00E40903" w:rsidRDefault="00D24BA1" w:rsidP="00286E68">
            <w:pPr>
              <w:pStyle w:val="TableText0"/>
              <w:keepNext w:val="0"/>
              <w:rPr>
                <w:b/>
                <w:bCs w:val="0"/>
                <w:lang w:val="en-US"/>
              </w:rPr>
            </w:pPr>
            <w:r>
              <w:rPr>
                <w:b/>
                <w:bCs w:val="0"/>
                <w:lang w:val="en-US"/>
              </w:rPr>
              <w:t>IFX vs PBO</w:t>
            </w:r>
          </w:p>
        </w:tc>
      </w:tr>
      <w:tr w:rsidR="004B5B74" w:rsidRPr="00E2771E" w14:paraId="6992F1CC" w14:textId="77777777" w:rsidTr="00286E68">
        <w:trPr>
          <w:cantSplit/>
        </w:trPr>
        <w:tc>
          <w:tcPr>
            <w:tcW w:w="456" w:type="pct"/>
            <w:shd w:val="clear" w:color="auto" w:fill="B8CCE4" w:themeFill="accent1" w:themeFillTint="66"/>
            <w:vAlign w:val="center"/>
          </w:tcPr>
          <w:p w14:paraId="05775D03" w14:textId="77777777" w:rsidR="00D24BA1" w:rsidRDefault="00D24BA1" w:rsidP="00286E68">
            <w:pPr>
              <w:pStyle w:val="TableText0"/>
              <w:keepNext w:val="0"/>
              <w:rPr>
                <w:lang w:val="en-US"/>
              </w:rPr>
            </w:pPr>
            <w:r>
              <w:rPr>
                <w:lang w:val="en-US"/>
              </w:rPr>
              <w:t>T16</w:t>
            </w:r>
          </w:p>
          <w:p w14:paraId="4F37F21D"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30501AF4" w14:textId="77777777" w:rsidR="00D24BA1" w:rsidRDefault="00D24BA1" w:rsidP="00286E68">
            <w:pPr>
              <w:pStyle w:val="TableText0"/>
              <w:keepNext w:val="0"/>
              <w:jc w:val="center"/>
              <w:rPr>
                <w:lang w:val="en-US"/>
              </w:rPr>
            </w:pPr>
            <w:r>
              <w:rPr>
                <w:lang w:val="en-US"/>
              </w:rPr>
              <w:t>108</w:t>
            </w:r>
          </w:p>
        </w:tc>
        <w:tc>
          <w:tcPr>
            <w:tcW w:w="762" w:type="pct"/>
            <w:shd w:val="clear" w:color="auto" w:fill="B8CCE4" w:themeFill="accent1" w:themeFillTint="66"/>
            <w:vAlign w:val="center"/>
          </w:tcPr>
          <w:p w14:paraId="0C26C302" w14:textId="77777777" w:rsidR="00D24BA1" w:rsidRDefault="00D24BA1" w:rsidP="00286E68">
            <w:pPr>
              <w:pStyle w:val="TableText0"/>
              <w:keepNext w:val="0"/>
              <w:jc w:val="center"/>
              <w:rPr>
                <w:lang w:val="en-US"/>
              </w:rPr>
            </w:pPr>
            <w:r>
              <w:rPr>
                <w:lang w:val="en-US"/>
              </w:rPr>
              <w:t xml:space="preserve">P2/3, MC, R, PC, DB 12 </w:t>
            </w:r>
            <w:proofErr w:type="spellStart"/>
            <w:r>
              <w:rPr>
                <w:lang w:val="en-US"/>
              </w:rPr>
              <w:t>wks</w:t>
            </w:r>
            <w:proofErr w:type="spellEnd"/>
          </w:p>
          <w:p w14:paraId="4613D854" w14:textId="77777777" w:rsidR="00D24BA1" w:rsidRDefault="00D24BA1" w:rsidP="00286E68">
            <w:pPr>
              <w:pStyle w:val="TableText0"/>
              <w:keepNext w:val="0"/>
              <w:jc w:val="center"/>
              <w:rPr>
                <w:lang w:val="en-US"/>
              </w:rPr>
            </w:pPr>
            <w:r>
              <w:rPr>
                <w:lang w:val="en-US"/>
              </w:rPr>
              <w:t xml:space="preserve">[IP: 12 </w:t>
            </w:r>
            <w:proofErr w:type="spellStart"/>
            <w:r>
              <w:rPr>
                <w:lang w:val="en-US"/>
              </w:rPr>
              <w:t>wks</w:t>
            </w:r>
            <w:proofErr w:type="spellEnd"/>
            <w:r>
              <w:rPr>
                <w:lang w:val="en-US"/>
              </w:rPr>
              <w:t>]</w:t>
            </w:r>
          </w:p>
        </w:tc>
        <w:tc>
          <w:tcPr>
            <w:tcW w:w="152" w:type="pct"/>
            <w:shd w:val="clear" w:color="auto" w:fill="B8CCE4" w:themeFill="accent1" w:themeFillTint="66"/>
            <w:vAlign w:val="center"/>
          </w:tcPr>
          <w:p w14:paraId="025ED5A0"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0B361D11"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≤400;</w:t>
            </w:r>
          </w:p>
          <w:p w14:paraId="3605C2A9"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naive</w:t>
            </w:r>
          </w:p>
        </w:tc>
        <w:tc>
          <w:tcPr>
            <w:tcW w:w="1321" w:type="pct"/>
            <w:shd w:val="clear" w:color="auto" w:fill="B8CCE4" w:themeFill="accent1" w:themeFillTint="66"/>
            <w:vAlign w:val="center"/>
          </w:tcPr>
          <w:p w14:paraId="1609A1AF" w14:textId="77777777" w:rsidR="00D24BA1" w:rsidRDefault="00D24BA1" w:rsidP="00286E68">
            <w:pPr>
              <w:pStyle w:val="TableText0"/>
              <w:keepNext w:val="0"/>
              <w:jc w:val="center"/>
              <w:rPr>
                <w:lang w:val="en-US"/>
              </w:rPr>
            </w:pPr>
            <w:r>
              <w:rPr>
                <w:lang w:val="en-US"/>
              </w:rPr>
              <w:t>IFX 5mg/kg</w:t>
            </w:r>
          </w:p>
          <w:p w14:paraId="0A8C6808" w14:textId="77777777" w:rsidR="00D24BA1" w:rsidRDefault="00D24BA1" w:rsidP="00286E68">
            <w:pPr>
              <w:pStyle w:val="TableText0"/>
              <w:keepNext w:val="0"/>
              <w:jc w:val="center"/>
              <w:rPr>
                <w:lang w:val="en-US"/>
              </w:rPr>
            </w:pPr>
            <w:r>
              <w:rPr>
                <w:lang w:val="en-US"/>
              </w:rPr>
              <w:t>IFX 10mg/kg</w:t>
            </w:r>
          </w:p>
          <w:p w14:paraId="477FA9E3" w14:textId="77777777" w:rsidR="00D24BA1" w:rsidRDefault="00D24BA1" w:rsidP="00286E68">
            <w:pPr>
              <w:pStyle w:val="TableText0"/>
              <w:keepNext w:val="0"/>
              <w:jc w:val="center"/>
              <w:rPr>
                <w:lang w:val="en-US"/>
              </w:rPr>
            </w:pPr>
            <w:r>
              <w:rPr>
                <w:lang w:val="en-US"/>
              </w:rPr>
              <w:t>IFX 20mg/kg</w:t>
            </w:r>
          </w:p>
          <w:p w14:paraId="07A53F09"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69700061" w14:textId="77777777" w:rsidR="00D24BA1" w:rsidRDefault="00D24BA1" w:rsidP="00286E68">
            <w:pPr>
              <w:pStyle w:val="TableText0"/>
              <w:keepNext w:val="0"/>
              <w:jc w:val="center"/>
              <w:rPr>
                <w:lang w:val="en-US"/>
              </w:rPr>
            </w:pPr>
            <w:r>
              <w:rPr>
                <w:lang w:val="en-US"/>
              </w:rPr>
              <w:t>1°: clinical response (CDAI)</w:t>
            </w:r>
            <w:r w:rsidRPr="000D51FA">
              <w:rPr>
                <w:vertAlign w:val="superscript"/>
                <w:lang w:val="en-US"/>
              </w:rPr>
              <w:t>c</w:t>
            </w:r>
          </w:p>
          <w:p w14:paraId="08CB675A" w14:textId="77777777" w:rsidR="00D24BA1" w:rsidRPr="00F0618F" w:rsidRDefault="00D24BA1" w:rsidP="00286E68">
            <w:pPr>
              <w:pStyle w:val="TableText0"/>
              <w:keepNext w:val="0"/>
              <w:jc w:val="center"/>
              <w:rPr>
                <w:lang w:val="en-US"/>
              </w:rPr>
            </w:pPr>
            <w:r>
              <w:rPr>
                <w:lang w:val="en-US"/>
              </w:rPr>
              <w:t>2°: clinical remission (CDAI)</w:t>
            </w:r>
            <w:r w:rsidRPr="00F0618F">
              <w:rPr>
                <w:vertAlign w:val="superscript"/>
                <w:lang w:val="en-US"/>
              </w:rPr>
              <w:t>a</w:t>
            </w:r>
          </w:p>
        </w:tc>
        <w:tc>
          <w:tcPr>
            <w:tcW w:w="202" w:type="pct"/>
            <w:vAlign w:val="center"/>
          </w:tcPr>
          <w:p w14:paraId="7E48A090"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sidRPr="00FE4229">
              <w:rPr>
                <w:vertAlign w:val="superscript"/>
                <w:lang w:val="en-US"/>
              </w:rPr>
              <w:t>m</w:t>
            </w:r>
          </w:p>
        </w:tc>
        <w:tc>
          <w:tcPr>
            <w:tcW w:w="203" w:type="pct"/>
            <w:vAlign w:val="center"/>
          </w:tcPr>
          <w:p w14:paraId="4344AF58" w14:textId="77777777" w:rsidR="00D24BA1" w:rsidRPr="00625E91" w:rsidRDefault="00D24BA1" w:rsidP="00286E68">
            <w:pPr>
              <w:pStyle w:val="TableText0"/>
              <w:keepNext w:val="0"/>
              <w:jc w:val="center"/>
              <w:rPr>
                <w:lang w:val="en-US"/>
              </w:rPr>
            </w:pPr>
            <w:r>
              <w:rPr>
                <w:lang w:val="en-US"/>
              </w:rPr>
              <w:t>-</w:t>
            </w:r>
          </w:p>
        </w:tc>
        <w:tc>
          <w:tcPr>
            <w:tcW w:w="226" w:type="pct"/>
            <w:vAlign w:val="center"/>
          </w:tcPr>
          <w:p w14:paraId="3D07A6B3" w14:textId="77777777" w:rsidR="00D24BA1" w:rsidRDefault="00D24BA1" w:rsidP="00286E68">
            <w:pPr>
              <w:pStyle w:val="TableText0"/>
              <w:keepNext w:val="0"/>
              <w:jc w:val="center"/>
              <w:rPr>
                <w:lang w:val="en-US"/>
              </w:rPr>
            </w:pPr>
            <w:r>
              <w:rPr>
                <w:rFonts w:ascii="Wingdings" w:eastAsia="Wingdings" w:hAnsi="Wingdings" w:cs="Wingdings"/>
                <w:lang w:val="en-US"/>
              </w:rPr>
              <w:t>ü</w:t>
            </w:r>
          </w:p>
        </w:tc>
      </w:tr>
      <w:tr w:rsidR="00D24BA1" w:rsidRPr="00E2771E" w14:paraId="1FCB5E69" w14:textId="77777777" w:rsidTr="00286E68">
        <w:trPr>
          <w:cantSplit/>
        </w:trPr>
        <w:tc>
          <w:tcPr>
            <w:tcW w:w="5000" w:type="pct"/>
            <w:gridSpan w:val="10"/>
            <w:vAlign w:val="center"/>
          </w:tcPr>
          <w:p w14:paraId="455317F8" w14:textId="77777777" w:rsidR="00D24BA1" w:rsidRPr="000D51FA" w:rsidRDefault="00D24BA1" w:rsidP="00286E68">
            <w:pPr>
              <w:pStyle w:val="TableText0"/>
              <w:keepNext w:val="0"/>
              <w:rPr>
                <w:b/>
                <w:bCs w:val="0"/>
                <w:lang w:val="en-US"/>
              </w:rPr>
            </w:pPr>
            <w:r>
              <w:rPr>
                <w:b/>
                <w:bCs w:val="0"/>
                <w:lang w:val="en-US"/>
              </w:rPr>
              <w:t>ADA vs PBO</w:t>
            </w:r>
          </w:p>
        </w:tc>
      </w:tr>
      <w:tr w:rsidR="004B5B74" w:rsidRPr="00E2771E" w14:paraId="41956620" w14:textId="77777777" w:rsidTr="00286E68">
        <w:trPr>
          <w:cantSplit/>
        </w:trPr>
        <w:tc>
          <w:tcPr>
            <w:tcW w:w="456" w:type="pct"/>
            <w:shd w:val="clear" w:color="auto" w:fill="B8CCE4" w:themeFill="accent1" w:themeFillTint="66"/>
            <w:vAlign w:val="center"/>
          </w:tcPr>
          <w:p w14:paraId="57F1A966" w14:textId="77777777" w:rsidR="00D24BA1" w:rsidRDefault="00D24BA1" w:rsidP="00286E68">
            <w:pPr>
              <w:pStyle w:val="TableText0"/>
              <w:keepNext w:val="0"/>
              <w:rPr>
                <w:lang w:val="en-US"/>
              </w:rPr>
            </w:pPr>
            <w:r>
              <w:rPr>
                <w:lang w:val="en-US"/>
              </w:rPr>
              <w:t>CLASSIC I</w:t>
            </w:r>
          </w:p>
          <w:p w14:paraId="6CFCA44A"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33379CDA" w14:textId="77777777" w:rsidR="00D24BA1" w:rsidRDefault="00D24BA1" w:rsidP="00286E68">
            <w:pPr>
              <w:pStyle w:val="TableText0"/>
              <w:keepNext w:val="0"/>
              <w:jc w:val="center"/>
              <w:rPr>
                <w:lang w:val="en-US"/>
              </w:rPr>
            </w:pPr>
            <w:r>
              <w:rPr>
                <w:lang w:val="en-US"/>
              </w:rPr>
              <w:t>299</w:t>
            </w:r>
          </w:p>
        </w:tc>
        <w:tc>
          <w:tcPr>
            <w:tcW w:w="762" w:type="pct"/>
            <w:shd w:val="clear" w:color="auto" w:fill="B8CCE4" w:themeFill="accent1" w:themeFillTint="66"/>
            <w:vAlign w:val="center"/>
          </w:tcPr>
          <w:p w14:paraId="7789154F" w14:textId="77777777" w:rsidR="00D24BA1" w:rsidRDefault="00D24BA1" w:rsidP="00286E68">
            <w:pPr>
              <w:pStyle w:val="TableText0"/>
              <w:keepNext w:val="0"/>
              <w:jc w:val="center"/>
              <w:rPr>
                <w:lang w:val="en-US"/>
              </w:rPr>
            </w:pPr>
            <w:r>
              <w:rPr>
                <w:lang w:val="en-US"/>
              </w:rPr>
              <w:t xml:space="preserve">P3, MC, R, PC, DB 4 </w:t>
            </w:r>
            <w:proofErr w:type="spellStart"/>
            <w:r>
              <w:rPr>
                <w:lang w:val="en-US"/>
              </w:rPr>
              <w:t>wks</w:t>
            </w:r>
            <w:proofErr w:type="spellEnd"/>
          </w:p>
          <w:p w14:paraId="610367CA" w14:textId="77777777" w:rsidR="00D24BA1" w:rsidRDefault="00D24BA1" w:rsidP="00286E68">
            <w:pPr>
              <w:pStyle w:val="TableText0"/>
              <w:keepNext w:val="0"/>
              <w:jc w:val="center"/>
              <w:rPr>
                <w:lang w:val="en-US"/>
              </w:rPr>
            </w:pPr>
            <w:r>
              <w:rPr>
                <w:lang w:val="en-US"/>
              </w:rPr>
              <w:t xml:space="preserve">[IP: 4 </w:t>
            </w:r>
            <w:proofErr w:type="spellStart"/>
            <w:r>
              <w:rPr>
                <w:lang w:val="en-US"/>
              </w:rPr>
              <w:t>wks</w:t>
            </w:r>
            <w:proofErr w:type="spellEnd"/>
            <w:r>
              <w:rPr>
                <w:lang w:val="en-US"/>
              </w:rPr>
              <w:t>]</w:t>
            </w:r>
          </w:p>
        </w:tc>
        <w:tc>
          <w:tcPr>
            <w:tcW w:w="152" w:type="pct"/>
            <w:shd w:val="clear" w:color="auto" w:fill="B8CCE4" w:themeFill="accent1" w:themeFillTint="66"/>
            <w:vAlign w:val="center"/>
          </w:tcPr>
          <w:p w14:paraId="5AB1A665"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6C494DC0"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5338AF84"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naive</w:t>
            </w:r>
          </w:p>
        </w:tc>
        <w:tc>
          <w:tcPr>
            <w:tcW w:w="1321" w:type="pct"/>
            <w:shd w:val="clear" w:color="auto" w:fill="B8CCE4" w:themeFill="accent1" w:themeFillTint="66"/>
            <w:vAlign w:val="center"/>
          </w:tcPr>
          <w:p w14:paraId="40B24307" w14:textId="77777777" w:rsidR="00D24BA1" w:rsidRDefault="00D24BA1" w:rsidP="00286E68">
            <w:pPr>
              <w:pStyle w:val="TableText0"/>
              <w:keepNext w:val="0"/>
              <w:jc w:val="center"/>
              <w:rPr>
                <w:lang w:val="en-US"/>
              </w:rPr>
            </w:pPr>
            <w:r>
              <w:rPr>
                <w:lang w:val="en-US"/>
              </w:rPr>
              <w:t xml:space="preserve">ADA 160/80mg SC </w:t>
            </w:r>
            <w:proofErr w:type="spellStart"/>
            <w:r>
              <w:rPr>
                <w:lang w:val="en-US"/>
              </w:rPr>
              <w:t>Wk</w:t>
            </w:r>
            <w:proofErr w:type="spellEnd"/>
            <w:r>
              <w:rPr>
                <w:lang w:val="en-US"/>
              </w:rPr>
              <w:t xml:space="preserve"> 0, 2</w:t>
            </w:r>
          </w:p>
          <w:p w14:paraId="11C248D9" w14:textId="77777777" w:rsidR="00D24BA1" w:rsidRDefault="00D24BA1" w:rsidP="00286E68">
            <w:pPr>
              <w:pStyle w:val="TableText0"/>
              <w:keepNext w:val="0"/>
              <w:jc w:val="center"/>
              <w:rPr>
                <w:lang w:val="en-US"/>
              </w:rPr>
            </w:pPr>
            <w:r>
              <w:rPr>
                <w:lang w:val="en-US"/>
              </w:rPr>
              <w:t xml:space="preserve">ADA 80/40mg SC </w:t>
            </w:r>
            <w:proofErr w:type="spellStart"/>
            <w:r>
              <w:rPr>
                <w:lang w:val="en-US"/>
              </w:rPr>
              <w:t>Wk</w:t>
            </w:r>
            <w:proofErr w:type="spellEnd"/>
            <w:r>
              <w:rPr>
                <w:lang w:val="en-US"/>
              </w:rPr>
              <w:t xml:space="preserve"> 0, 2</w:t>
            </w:r>
          </w:p>
          <w:p w14:paraId="6571767C" w14:textId="77777777" w:rsidR="00D24BA1" w:rsidRDefault="00D24BA1" w:rsidP="00286E68">
            <w:pPr>
              <w:pStyle w:val="TableText0"/>
              <w:keepNext w:val="0"/>
              <w:jc w:val="center"/>
              <w:rPr>
                <w:lang w:val="en-US"/>
              </w:rPr>
            </w:pPr>
            <w:r>
              <w:rPr>
                <w:lang w:val="en-US"/>
              </w:rPr>
              <w:t xml:space="preserve">ADA 40/20mg SC </w:t>
            </w:r>
            <w:proofErr w:type="spellStart"/>
            <w:r>
              <w:rPr>
                <w:lang w:val="en-US"/>
              </w:rPr>
              <w:t>Wk</w:t>
            </w:r>
            <w:proofErr w:type="spellEnd"/>
            <w:r>
              <w:rPr>
                <w:lang w:val="en-US"/>
              </w:rPr>
              <w:t xml:space="preserve"> 0, 2</w:t>
            </w:r>
          </w:p>
          <w:p w14:paraId="4CDB6217"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174EED8A"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993F53">
              <w:rPr>
                <w:vertAlign w:val="superscript"/>
                <w:lang w:val="en-US"/>
              </w:rPr>
              <w:t>a</w:t>
            </w:r>
            <w:proofErr w:type="gramEnd"/>
          </w:p>
          <w:p w14:paraId="49FB9129" w14:textId="77777777" w:rsidR="00D24BA1" w:rsidRPr="00993F53" w:rsidRDefault="00D24BA1" w:rsidP="00286E68">
            <w:pPr>
              <w:pStyle w:val="TableText0"/>
              <w:keepNext w:val="0"/>
              <w:jc w:val="center"/>
              <w:rPr>
                <w:lang w:val="en-US"/>
              </w:rPr>
            </w:pPr>
            <w:r>
              <w:rPr>
                <w:lang w:val="en-US"/>
              </w:rPr>
              <w:t>2°: clinical response (CDAI)</w:t>
            </w:r>
            <w:r w:rsidRPr="00870A90">
              <w:rPr>
                <w:vertAlign w:val="superscript"/>
                <w:lang w:val="en-US"/>
              </w:rPr>
              <w:t>c</w:t>
            </w:r>
            <w:r>
              <w:rPr>
                <w:vertAlign w:val="superscript"/>
                <w:lang w:val="en-US"/>
              </w:rPr>
              <w:t xml:space="preserve"> d</w:t>
            </w:r>
          </w:p>
        </w:tc>
        <w:tc>
          <w:tcPr>
            <w:tcW w:w="202" w:type="pct"/>
            <w:vAlign w:val="center"/>
          </w:tcPr>
          <w:p w14:paraId="52FCBD6A"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44FB7E73"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7F2ECDAD" w14:textId="77777777" w:rsidR="00D24BA1" w:rsidRDefault="00D24BA1" w:rsidP="00286E68">
            <w:pPr>
              <w:pStyle w:val="TableText0"/>
              <w:keepNext w:val="0"/>
              <w:jc w:val="center"/>
              <w:rPr>
                <w:lang w:val="en-US"/>
              </w:rPr>
            </w:pPr>
            <w:r>
              <w:rPr>
                <w:lang w:val="en-US"/>
              </w:rPr>
              <w:t>IP: MA</w:t>
            </w:r>
          </w:p>
        </w:tc>
      </w:tr>
      <w:tr w:rsidR="004B5B74" w:rsidRPr="00E2771E" w14:paraId="03AC9B7F" w14:textId="77777777" w:rsidTr="00286E68">
        <w:trPr>
          <w:cantSplit/>
        </w:trPr>
        <w:tc>
          <w:tcPr>
            <w:tcW w:w="456" w:type="pct"/>
            <w:shd w:val="clear" w:color="auto" w:fill="B8CCE4" w:themeFill="accent1" w:themeFillTint="66"/>
            <w:vAlign w:val="center"/>
          </w:tcPr>
          <w:p w14:paraId="1B7BB245" w14:textId="77777777" w:rsidR="00D24BA1" w:rsidRDefault="00D24BA1" w:rsidP="00286E68">
            <w:pPr>
              <w:pStyle w:val="TableText0"/>
              <w:keepNext w:val="0"/>
              <w:rPr>
                <w:lang w:val="en-US"/>
              </w:rPr>
            </w:pPr>
            <w:r>
              <w:rPr>
                <w:lang w:val="en-US"/>
              </w:rPr>
              <w:t>GAIN</w:t>
            </w:r>
          </w:p>
          <w:p w14:paraId="7372AFF8"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11D5B20F" w14:textId="77777777" w:rsidR="00D24BA1" w:rsidRDefault="00D24BA1" w:rsidP="00286E68">
            <w:pPr>
              <w:pStyle w:val="TableText0"/>
              <w:keepNext w:val="0"/>
              <w:jc w:val="center"/>
              <w:rPr>
                <w:lang w:val="en-US"/>
              </w:rPr>
            </w:pPr>
            <w:r>
              <w:rPr>
                <w:lang w:val="en-US"/>
              </w:rPr>
              <w:t>325</w:t>
            </w:r>
          </w:p>
        </w:tc>
        <w:tc>
          <w:tcPr>
            <w:tcW w:w="762" w:type="pct"/>
            <w:shd w:val="clear" w:color="auto" w:fill="B8CCE4" w:themeFill="accent1" w:themeFillTint="66"/>
            <w:vAlign w:val="center"/>
          </w:tcPr>
          <w:p w14:paraId="4E1CB1C1" w14:textId="77777777" w:rsidR="00D24BA1" w:rsidRDefault="00D24BA1" w:rsidP="00286E68">
            <w:pPr>
              <w:pStyle w:val="TableText0"/>
              <w:keepNext w:val="0"/>
              <w:jc w:val="center"/>
              <w:rPr>
                <w:lang w:val="en-US"/>
              </w:rPr>
            </w:pPr>
            <w:r>
              <w:rPr>
                <w:lang w:val="en-US"/>
              </w:rPr>
              <w:t xml:space="preserve">P3, MC, R, PC, DB 4 </w:t>
            </w:r>
            <w:proofErr w:type="spellStart"/>
            <w:r>
              <w:rPr>
                <w:lang w:val="en-US"/>
              </w:rPr>
              <w:t>wks</w:t>
            </w:r>
            <w:proofErr w:type="spellEnd"/>
          </w:p>
          <w:p w14:paraId="3DDC1DD1" w14:textId="77777777" w:rsidR="00D24BA1" w:rsidRDefault="00D24BA1" w:rsidP="00286E68">
            <w:pPr>
              <w:pStyle w:val="TableText0"/>
              <w:keepNext w:val="0"/>
              <w:jc w:val="center"/>
              <w:rPr>
                <w:lang w:val="en-US"/>
              </w:rPr>
            </w:pPr>
            <w:r>
              <w:rPr>
                <w:lang w:val="en-US"/>
              </w:rPr>
              <w:t xml:space="preserve">[IP: 4 </w:t>
            </w:r>
            <w:proofErr w:type="spellStart"/>
            <w:r>
              <w:rPr>
                <w:lang w:val="en-US"/>
              </w:rPr>
              <w:t>wks</w:t>
            </w:r>
            <w:proofErr w:type="spellEnd"/>
            <w:r>
              <w:rPr>
                <w:lang w:val="en-US"/>
              </w:rPr>
              <w:t>]</w:t>
            </w:r>
          </w:p>
        </w:tc>
        <w:tc>
          <w:tcPr>
            <w:tcW w:w="152" w:type="pct"/>
            <w:shd w:val="clear" w:color="auto" w:fill="B8CCE4" w:themeFill="accent1" w:themeFillTint="66"/>
            <w:vAlign w:val="center"/>
          </w:tcPr>
          <w:p w14:paraId="4070B98F"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3F8B8C99"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679DA7C4"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experienced</w:t>
            </w:r>
          </w:p>
        </w:tc>
        <w:tc>
          <w:tcPr>
            <w:tcW w:w="1321" w:type="pct"/>
            <w:shd w:val="clear" w:color="auto" w:fill="B8CCE4" w:themeFill="accent1" w:themeFillTint="66"/>
            <w:vAlign w:val="center"/>
          </w:tcPr>
          <w:p w14:paraId="2639F068" w14:textId="77777777" w:rsidR="00D24BA1" w:rsidRDefault="00D24BA1" w:rsidP="00286E68">
            <w:pPr>
              <w:pStyle w:val="TableText0"/>
              <w:keepNext w:val="0"/>
              <w:jc w:val="center"/>
              <w:rPr>
                <w:lang w:val="en-US"/>
              </w:rPr>
            </w:pPr>
            <w:r>
              <w:rPr>
                <w:lang w:val="en-US"/>
              </w:rPr>
              <w:t xml:space="preserve">ADA 160/80mg SC </w:t>
            </w:r>
            <w:proofErr w:type="spellStart"/>
            <w:r>
              <w:rPr>
                <w:lang w:val="en-US"/>
              </w:rPr>
              <w:t>Wk</w:t>
            </w:r>
            <w:proofErr w:type="spellEnd"/>
            <w:r>
              <w:rPr>
                <w:lang w:val="en-US"/>
              </w:rPr>
              <w:t xml:space="preserve"> 0, 2</w:t>
            </w:r>
          </w:p>
          <w:p w14:paraId="17C89655"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053BF879"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993F53">
              <w:rPr>
                <w:vertAlign w:val="superscript"/>
                <w:lang w:val="en-US"/>
              </w:rPr>
              <w:t>a</w:t>
            </w:r>
            <w:proofErr w:type="gramEnd"/>
          </w:p>
          <w:p w14:paraId="68B7F945" w14:textId="77777777" w:rsidR="00D24BA1" w:rsidRDefault="00D24BA1" w:rsidP="00286E68">
            <w:pPr>
              <w:pStyle w:val="TableText0"/>
              <w:keepNext w:val="0"/>
              <w:jc w:val="center"/>
              <w:rPr>
                <w:lang w:val="en-US"/>
              </w:rPr>
            </w:pPr>
            <w:r>
              <w:rPr>
                <w:lang w:val="en-US"/>
              </w:rPr>
              <w:t>2°: clinical response (CDAI)</w:t>
            </w:r>
            <w:r w:rsidRPr="00870A90">
              <w:rPr>
                <w:vertAlign w:val="superscript"/>
                <w:lang w:val="en-US"/>
              </w:rPr>
              <w:t>c</w:t>
            </w:r>
            <w:r>
              <w:rPr>
                <w:vertAlign w:val="superscript"/>
                <w:lang w:val="en-US"/>
              </w:rPr>
              <w:t xml:space="preserve"> d</w:t>
            </w:r>
          </w:p>
        </w:tc>
        <w:tc>
          <w:tcPr>
            <w:tcW w:w="202" w:type="pct"/>
            <w:vAlign w:val="center"/>
          </w:tcPr>
          <w:p w14:paraId="74E2B88F"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38CF46C0"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02DA16E2" w14:textId="77777777" w:rsidR="00D24BA1" w:rsidRDefault="00D24BA1" w:rsidP="00286E68">
            <w:pPr>
              <w:pStyle w:val="TableText0"/>
              <w:keepNext w:val="0"/>
              <w:jc w:val="center"/>
              <w:rPr>
                <w:lang w:val="en-US"/>
              </w:rPr>
            </w:pPr>
            <w:r>
              <w:rPr>
                <w:lang w:val="en-US"/>
              </w:rPr>
              <w:t>IP: MA</w:t>
            </w:r>
          </w:p>
        </w:tc>
      </w:tr>
      <w:tr w:rsidR="004B5B74" w:rsidRPr="00E2771E" w14:paraId="5DDC9559" w14:textId="77777777" w:rsidTr="00286E68">
        <w:trPr>
          <w:cantSplit/>
        </w:trPr>
        <w:tc>
          <w:tcPr>
            <w:tcW w:w="456" w:type="pct"/>
            <w:shd w:val="clear" w:color="auto" w:fill="B8CCE4" w:themeFill="accent1" w:themeFillTint="66"/>
            <w:vAlign w:val="center"/>
          </w:tcPr>
          <w:p w14:paraId="0FD5FDE1" w14:textId="77777777" w:rsidR="00D24BA1" w:rsidRDefault="00D24BA1" w:rsidP="00286E68">
            <w:pPr>
              <w:pStyle w:val="TableText0"/>
              <w:keepNext w:val="0"/>
              <w:rPr>
                <w:lang w:val="en-US"/>
              </w:rPr>
            </w:pPr>
            <w:r>
              <w:rPr>
                <w:lang w:val="en-US"/>
              </w:rPr>
              <w:t>Watanabe 2012</w:t>
            </w:r>
          </w:p>
          <w:p w14:paraId="1F7967B0" w14:textId="77777777" w:rsidR="00D24BA1" w:rsidRDefault="00D24BA1" w:rsidP="00286E68">
            <w:pPr>
              <w:pStyle w:val="TableText0"/>
              <w:keepNext w:val="0"/>
              <w:rPr>
                <w:lang w:val="en-US"/>
              </w:rPr>
            </w:pPr>
            <w:r>
              <w:rPr>
                <w:lang w:val="en-US"/>
              </w:rPr>
              <w:t>[induction + maintenance]</w:t>
            </w:r>
          </w:p>
        </w:tc>
        <w:tc>
          <w:tcPr>
            <w:tcW w:w="203" w:type="pct"/>
            <w:shd w:val="clear" w:color="auto" w:fill="B8CCE4" w:themeFill="accent1" w:themeFillTint="66"/>
            <w:vAlign w:val="center"/>
          </w:tcPr>
          <w:p w14:paraId="0F8B960E" w14:textId="77777777" w:rsidR="00D24BA1" w:rsidRDefault="00D24BA1" w:rsidP="00286E68">
            <w:pPr>
              <w:pStyle w:val="TableText0"/>
              <w:keepNext w:val="0"/>
              <w:jc w:val="center"/>
              <w:rPr>
                <w:lang w:val="en-US"/>
              </w:rPr>
            </w:pPr>
            <w:r>
              <w:rPr>
                <w:lang w:val="en-US"/>
              </w:rPr>
              <w:t>IP: 90</w:t>
            </w:r>
          </w:p>
        </w:tc>
        <w:tc>
          <w:tcPr>
            <w:tcW w:w="762" w:type="pct"/>
            <w:shd w:val="clear" w:color="auto" w:fill="B8CCE4" w:themeFill="accent1" w:themeFillTint="66"/>
            <w:vAlign w:val="center"/>
          </w:tcPr>
          <w:p w14:paraId="79086160" w14:textId="77777777" w:rsidR="00D24BA1" w:rsidRDefault="00D24BA1" w:rsidP="00286E68">
            <w:pPr>
              <w:pStyle w:val="TableText0"/>
              <w:keepNext w:val="0"/>
              <w:jc w:val="center"/>
              <w:rPr>
                <w:lang w:val="en-US"/>
              </w:rPr>
            </w:pPr>
            <w:r>
              <w:rPr>
                <w:lang w:val="en-US"/>
              </w:rPr>
              <w:t xml:space="preserve">P2/3, MC (Japan), R, PC, DB 56 </w:t>
            </w:r>
            <w:proofErr w:type="spellStart"/>
            <w:r>
              <w:rPr>
                <w:lang w:val="en-US"/>
              </w:rPr>
              <w:t>wks</w:t>
            </w:r>
            <w:proofErr w:type="spellEnd"/>
          </w:p>
          <w:p w14:paraId="518C909B" w14:textId="77777777" w:rsidR="00D24BA1" w:rsidRDefault="00D24BA1" w:rsidP="00286E68">
            <w:pPr>
              <w:pStyle w:val="TableText0"/>
              <w:keepNext w:val="0"/>
              <w:jc w:val="center"/>
              <w:rPr>
                <w:lang w:val="en-US"/>
              </w:rPr>
            </w:pPr>
            <w:r>
              <w:rPr>
                <w:lang w:val="en-US"/>
              </w:rPr>
              <w:t xml:space="preserve">[IP: 4 </w:t>
            </w:r>
            <w:proofErr w:type="spellStart"/>
            <w:r>
              <w:rPr>
                <w:lang w:val="en-US"/>
              </w:rPr>
              <w:t>wks</w:t>
            </w:r>
            <w:proofErr w:type="spellEnd"/>
            <w:r>
              <w:rPr>
                <w:lang w:val="en-US"/>
              </w:rPr>
              <w:t xml:space="preserve"> + MP: 52 </w:t>
            </w:r>
            <w:proofErr w:type="spellStart"/>
            <w:r>
              <w:rPr>
                <w:lang w:val="en-US"/>
              </w:rPr>
              <w:t>wks</w:t>
            </w:r>
            <w:proofErr w:type="spellEnd"/>
            <w:r>
              <w:rPr>
                <w:lang w:val="en-US"/>
              </w:rPr>
              <w:t>], Type 3 RWD</w:t>
            </w:r>
          </w:p>
        </w:tc>
        <w:tc>
          <w:tcPr>
            <w:tcW w:w="152" w:type="pct"/>
            <w:shd w:val="clear" w:color="auto" w:fill="B8CCE4" w:themeFill="accent1" w:themeFillTint="66"/>
            <w:vAlign w:val="center"/>
          </w:tcPr>
          <w:p w14:paraId="18945BC2"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0E90E5F7"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67D2E8F4"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xml:space="preserve">) </w:t>
            </w:r>
            <w:proofErr w:type="gramStart"/>
            <w:r>
              <w:rPr>
                <w:lang w:val="en-US"/>
              </w:rPr>
              <w:t>naïve</w:t>
            </w:r>
            <w:proofErr w:type="gramEnd"/>
            <w:r>
              <w:rPr>
                <w:lang w:val="en-US"/>
              </w:rPr>
              <w:t xml:space="preserve"> and experienced (non-responders excluded)</w:t>
            </w:r>
          </w:p>
        </w:tc>
        <w:tc>
          <w:tcPr>
            <w:tcW w:w="1321" w:type="pct"/>
            <w:shd w:val="clear" w:color="auto" w:fill="B8CCE4" w:themeFill="accent1" w:themeFillTint="66"/>
            <w:vAlign w:val="center"/>
          </w:tcPr>
          <w:p w14:paraId="213FC9A2" w14:textId="77777777" w:rsidR="00D24BA1" w:rsidRDefault="00D24BA1" w:rsidP="00286E68">
            <w:pPr>
              <w:pStyle w:val="TableText0"/>
              <w:keepNext w:val="0"/>
              <w:jc w:val="center"/>
              <w:rPr>
                <w:lang w:val="en-US"/>
              </w:rPr>
            </w:pPr>
            <w:r>
              <w:rPr>
                <w:lang w:val="en-US"/>
              </w:rPr>
              <w:t xml:space="preserve">ADA 160/80mg SC </w:t>
            </w:r>
            <w:proofErr w:type="spellStart"/>
            <w:r>
              <w:rPr>
                <w:lang w:val="en-US"/>
              </w:rPr>
              <w:t>Wk</w:t>
            </w:r>
            <w:proofErr w:type="spellEnd"/>
            <w:r>
              <w:rPr>
                <w:lang w:val="en-US"/>
              </w:rPr>
              <w:t xml:space="preserve"> 0, 2 IP -&gt; 40mg SC Q2W MP</w:t>
            </w:r>
          </w:p>
          <w:p w14:paraId="27272265" w14:textId="77777777" w:rsidR="00D24BA1" w:rsidRDefault="00D24BA1" w:rsidP="00286E68">
            <w:pPr>
              <w:pStyle w:val="TableText0"/>
              <w:keepNext w:val="0"/>
              <w:jc w:val="center"/>
              <w:rPr>
                <w:lang w:val="en-US"/>
              </w:rPr>
            </w:pPr>
            <w:r>
              <w:rPr>
                <w:lang w:val="en-US"/>
              </w:rPr>
              <w:t xml:space="preserve">ADA 80/40mg SC </w:t>
            </w:r>
            <w:proofErr w:type="spellStart"/>
            <w:r>
              <w:rPr>
                <w:lang w:val="en-US"/>
              </w:rPr>
              <w:t>Wk</w:t>
            </w:r>
            <w:proofErr w:type="spellEnd"/>
            <w:r>
              <w:rPr>
                <w:lang w:val="en-US"/>
              </w:rPr>
              <w:t xml:space="preserve"> 0, 2 IP -&gt; 40mg SC Q2W MP</w:t>
            </w:r>
          </w:p>
          <w:p w14:paraId="235F4EAA"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1A599EA9"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993F53">
              <w:rPr>
                <w:vertAlign w:val="superscript"/>
                <w:lang w:val="en-US"/>
              </w:rPr>
              <w:t>a</w:t>
            </w:r>
            <w:proofErr w:type="gramEnd"/>
          </w:p>
          <w:p w14:paraId="7B287722" w14:textId="77777777" w:rsidR="00D24BA1" w:rsidRDefault="00D24BA1" w:rsidP="00286E68">
            <w:pPr>
              <w:pStyle w:val="TableText0"/>
              <w:keepNext w:val="0"/>
              <w:jc w:val="center"/>
              <w:rPr>
                <w:lang w:val="en-US"/>
              </w:rPr>
            </w:pPr>
            <w:r>
              <w:rPr>
                <w:lang w:val="en-US"/>
              </w:rPr>
              <w:t>2°: clinical response (CDAI)</w:t>
            </w:r>
            <w:r w:rsidRPr="00870A90">
              <w:rPr>
                <w:vertAlign w:val="superscript"/>
                <w:lang w:val="en-US"/>
              </w:rPr>
              <w:t>c</w:t>
            </w:r>
            <w:r>
              <w:rPr>
                <w:vertAlign w:val="superscript"/>
                <w:lang w:val="en-US"/>
              </w:rPr>
              <w:t xml:space="preserve"> d</w:t>
            </w:r>
          </w:p>
        </w:tc>
        <w:tc>
          <w:tcPr>
            <w:tcW w:w="202" w:type="pct"/>
            <w:vAlign w:val="center"/>
          </w:tcPr>
          <w:p w14:paraId="5A6F46F7"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7A02560E"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46AC5F9B" w14:textId="77777777" w:rsidR="00D24BA1" w:rsidRDefault="00D24BA1" w:rsidP="00286E68">
            <w:pPr>
              <w:pStyle w:val="TableText0"/>
              <w:keepNext w:val="0"/>
              <w:jc w:val="center"/>
              <w:rPr>
                <w:lang w:val="en-US"/>
              </w:rPr>
            </w:pPr>
            <w:r>
              <w:rPr>
                <w:lang w:val="en-US"/>
              </w:rPr>
              <w:t>IP: MA</w:t>
            </w:r>
          </w:p>
        </w:tc>
      </w:tr>
      <w:tr w:rsidR="00D24BA1" w:rsidRPr="00E2771E" w14:paraId="156DC05B" w14:textId="77777777" w:rsidTr="00286E68">
        <w:trPr>
          <w:cantSplit/>
        </w:trPr>
        <w:tc>
          <w:tcPr>
            <w:tcW w:w="456" w:type="pct"/>
            <w:vAlign w:val="center"/>
          </w:tcPr>
          <w:p w14:paraId="725A6194" w14:textId="77777777" w:rsidR="00D24BA1" w:rsidRDefault="00D24BA1" w:rsidP="00286E68">
            <w:pPr>
              <w:pStyle w:val="TableText0"/>
              <w:keepNext w:val="0"/>
              <w:rPr>
                <w:lang w:val="en-US"/>
              </w:rPr>
            </w:pPr>
            <w:r>
              <w:rPr>
                <w:lang w:val="en-US"/>
              </w:rPr>
              <w:t>Chen 2020</w:t>
            </w:r>
          </w:p>
          <w:p w14:paraId="105E5A56" w14:textId="77777777" w:rsidR="00D24BA1" w:rsidRDefault="00D24BA1" w:rsidP="00286E68">
            <w:pPr>
              <w:pStyle w:val="TableText0"/>
              <w:keepNext w:val="0"/>
              <w:rPr>
                <w:lang w:val="en-US"/>
              </w:rPr>
            </w:pPr>
            <w:r>
              <w:rPr>
                <w:lang w:val="en-US"/>
              </w:rPr>
              <w:t>[induction + single arm maintenance]</w:t>
            </w:r>
          </w:p>
        </w:tc>
        <w:tc>
          <w:tcPr>
            <w:tcW w:w="203" w:type="pct"/>
            <w:vAlign w:val="center"/>
          </w:tcPr>
          <w:p w14:paraId="0EBC5A8E" w14:textId="77777777" w:rsidR="00D24BA1" w:rsidRDefault="00D24BA1" w:rsidP="00286E68">
            <w:pPr>
              <w:pStyle w:val="TableText0"/>
              <w:keepNext w:val="0"/>
              <w:jc w:val="center"/>
              <w:rPr>
                <w:lang w:val="en-US"/>
              </w:rPr>
            </w:pPr>
            <w:r>
              <w:rPr>
                <w:lang w:val="en-US"/>
              </w:rPr>
              <w:t>205</w:t>
            </w:r>
          </w:p>
        </w:tc>
        <w:tc>
          <w:tcPr>
            <w:tcW w:w="762" w:type="pct"/>
            <w:vAlign w:val="center"/>
          </w:tcPr>
          <w:p w14:paraId="6AEAADBC" w14:textId="77777777" w:rsidR="00D24BA1" w:rsidRDefault="00D24BA1" w:rsidP="00286E68">
            <w:pPr>
              <w:pStyle w:val="TableText0"/>
              <w:keepNext w:val="0"/>
              <w:jc w:val="center"/>
              <w:rPr>
                <w:lang w:val="en-US"/>
              </w:rPr>
            </w:pPr>
            <w:r>
              <w:rPr>
                <w:lang w:val="en-US"/>
              </w:rPr>
              <w:t xml:space="preserve">P3, MC (China), R, PC, DB 8 </w:t>
            </w:r>
            <w:proofErr w:type="spellStart"/>
            <w:r>
              <w:rPr>
                <w:lang w:val="en-US"/>
              </w:rPr>
              <w:t>wks</w:t>
            </w:r>
            <w:proofErr w:type="spellEnd"/>
            <w:r>
              <w:rPr>
                <w:lang w:val="en-US"/>
              </w:rPr>
              <w:t xml:space="preserve"> / OL f-up 18 </w:t>
            </w:r>
            <w:proofErr w:type="spellStart"/>
            <w:r>
              <w:rPr>
                <w:lang w:val="en-US"/>
              </w:rPr>
              <w:t>wk</w:t>
            </w:r>
            <w:proofErr w:type="spellEnd"/>
          </w:p>
          <w:p w14:paraId="4817EF52" w14:textId="77777777" w:rsidR="00D24BA1" w:rsidRDefault="00D24BA1" w:rsidP="00286E68">
            <w:pPr>
              <w:pStyle w:val="TableText0"/>
              <w:keepNext w:val="0"/>
              <w:jc w:val="center"/>
              <w:rPr>
                <w:lang w:val="en-US"/>
              </w:rPr>
            </w:pPr>
            <w:r>
              <w:rPr>
                <w:lang w:val="en-US"/>
              </w:rPr>
              <w:t xml:space="preserve">[IP: 4 </w:t>
            </w:r>
            <w:proofErr w:type="spellStart"/>
            <w:r>
              <w:rPr>
                <w:lang w:val="en-US"/>
              </w:rPr>
              <w:t>wks</w:t>
            </w:r>
            <w:proofErr w:type="spellEnd"/>
            <w:r>
              <w:rPr>
                <w:lang w:val="en-US"/>
              </w:rPr>
              <w:t xml:space="preserve"> + MP: 18 </w:t>
            </w:r>
            <w:proofErr w:type="spellStart"/>
            <w:r>
              <w:rPr>
                <w:lang w:val="en-US"/>
              </w:rPr>
              <w:t>wks</w:t>
            </w:r>
            <w:proofErr w:type="spellEnd"/>
            <w:r>
              <w:rPr>
                <w:lang w:val="en-US"/>
              </w:rPr>
              <w:t>]</w:t>
            </w:r>
          </w:p>
        </w:tc>
        <w:tc>
          <w:tcPr>
            <w:tcW w:w="152" w:type="pct"/>
            <w:vAlign w:val="center"/>
          </w:tcPr>
          <w:p w14:paraId="5944F787"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45D8CE9C"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297B04F9"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naive</w:t>
            </w:r>
          </w:p>
        </w:tc>
        <w:tc>
          <w:tcPr>
            <w:tcW w:w="1321" w:type="pct"/>
            <w:vAlign w:val="center"/>
          </w:tcPr>
          <w:p w14:paraId="6F7A972D" w14:textId="77777777" w:rsidR="00D24BA1" w:rsidRDefault="00D24BA1" w:rsidP="00286E68">
            <w:pPr>
              <w:pStyle w:val="TableText0"/>
              <w:keepNext w:val="0"/>
              <w:jc w:val="center"/>
              <w:rPr>
                <w:lang w:val="en-US"/>
              </w:rPr>
            </w:pPr>
            <w:r>
              <w:rPr>
                <w:lang w:val="en-US"/>
              </w:rPr>
              <w:t xml:space="preserve">ADA 160/80mg SC </w:t>
            </w:r>
            <w:proofErr w:type="spellStart"/>
            <w:r>
              <w:rPr>
                <w:lang w:val="en-US"/>
              </w:rPr>
              <w:t>Wk</w:t>
            </w:r>
            <w:proofErr w:type="spellEnd"/>
            <w:r>
              <w:rPr>
                <w:lang w:val="en-US"/>
              </w:rPr>
              <w:t xml:space="preserve"> 0, 2 and 40mg SC </w:t>
            </w:r>
            <w:proofErr w:type="spellStart"/>
            <w:r>
              <w:rPr>
                <w:lang w:val="en-US"/>
              </w:rPr>
              <w:t>Wk</w:t>
            </w:r>
            <w:proofErr w:type="spellEnd"/>
            <w:r>
              <w:rPr>
                <w:lang w:val="en-US"/>
              </w:rPr>
              <w:t xml:space="preserve"> 4, 6 IP -&gt; OL 40mg SC Q2W MP</w:t>
            </w:r>
          </w:p>
          <w:p w14:paraId="4D068791" w14:textId="77777777" w:rsidR="00D24BA1" w:rsidRDefault="00D24BA1" w:rsidP="00286E68">
            <w:pPr>
              <w:pStyle w:val="TableText0"/>
              <w:keepNext w:val="0"/>
              <w:jc w:val="center"/>
              <w:rPr>
                <w:lang w:val="en-US"/>
              </w:rPr>
            </w:pPr>
            <w:r>
              <w:rPr>
                <w:lang w:val="en-US"/>
              </w:rPr>
              <w:t>PBO</w:t>
            </w:r>
          </w:p>
        </w:tc>
        <w:tc>
          <w:tcPr>
            <w:tcW w:w="865" w:type="pct"/>
            <w:vAlign w:val="center"/>
          </w:tcPr>
          <w:p w14:paraId="0E8BA703"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993F53">
              <w:rPr>
                <w:vertAlign w:val="superscript"/>
                <w:lang w:val="en-US"/>
              </w:rPr>
              <w:t>a</w:t>
            </w:r>
            <w:proofErr w:type="gramEnd"/>
          </w:p>
          <w:p w14:paraId="1E92CFB2" w14:textId="77777777" w:rsidR="00D24BA1" w:rsidRDefault="00D24BA1" w:rsidP="00286E68">
            <w:pPr>
              <w:pStyle w:val="TableText0"/>
              <w:keepNext w:val="0"/>
              <w:jc w:val="center"/>
              <w:rPr>
                <w:lang w:val="en-US"/>
              </w:rPr>
            </w:pPr>
            <w:r>
              <w:rPr>
                <w:lang w:val="en-US"/>
              </w:rPr>
              <w:t>2°: clinical response (CDAI)</w:t>
            </w:r>
            <w:r>
              <w:rPr>
                <w:vertAlign w:val="superscript"/>
                <w:lang w:val="en-US"/>
              </w:rPr>
              <w:t>c</w:t>
            </w:r>
          </w:p>
        </w:tc>
        <w:tc>
          <w:tcPr>
            <w:tcW w:w="202" w:type="pct"/>
            <w:vAlign w:val="center"/>
          </w:tcPr>
          <w:p w14:paraId="01369C96"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2721CD75"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56D3C65D" w14:textId="77777777" w:rsidR="00D24BA1" w:rsidRDefault="00D24BA1" w:rsidP="00286E68">
            <w:pPr>
              <w:pStyle w:val="TableText0"/>
              <w:keepNext w:val="0"/>
              <w:jc w:val="center"/>
              <w:rPr>
                <w:lang w:val="en-US"/>
              </w:rPr>
            </w:pPr>
            <w:r>
              <w:rPr>
                <w:lang w:val="en-US"/>
              </w:rPr>
              <w:t>IP: MA</w:t>
            </w:r>
          </w:p>
        </w:tc>
      </w:tr>
      <w:tr w:rsidR="00D24BA1" w:rsidRPr="00E2771E" w14:paraId="78F499D3" w14:textId="77777777" w:rsidTr="00286E68">
        <w:trPr>
          <w:cantSplit/>
        </w:trPr>
        <w:tc>
          <w:tcPr>
            <w:tcW w:w="5000" w:type="pct"/>
            <w:gridSpan w:val="10"/>
            <w:vAlign w:val="center"/>
          </w:tcPr>
          <w:p w14:paraId="2E7927B2" w14:textId="77777777" w:rsidR="00D24BA1" w:rsidRPr="000D51FA" w:rsidRDefault="00D24BA1" w:rsidP="00286E68">
            <w:pPr>
              <w:pStyle w:val="TableText0"/>
              <w:keepNext w:val="0"/>
              <w:rPr>
                <w:b/>
                <w:bCs w:val="0"/>
                <w:lang w:val="en-US"/>
              </w:rPr>
            </w:pPr>
            <w:r>
              <w:rPr>
                <w:b/>
                <w:bCs w:val="0"/>
                <w:lang w:val="en-US"/>
              </w:rPr>
              <w:t>ADA vs UST</w:t>
            </w:r>
          </w:p>
        </w:tc>
      </w:tr>
      <w:tr w:rsidR="00D24BA1" w:rsidRPr="00E2771E" w14:paraId="5C610E4A" w14:textId="77777777" w:rsidTr="00286E68">
        <w:trPr>
          <w:cantSplit/>
        </w:trPr>
        <w:tc>
          <w:tcPr>
            <w:tcW w:w="456" w:type="pct"/>
            <w:vAlign w:val="center"/>
          </w:tcPr>
          <w:p w14:paraId="5ABE1C67" w14:textId="77777777" w:rsidR="00D24BA1" w:rsidRDefault="00D24BA1" w:rsidP="00286E68">
            <w:pPr>
              <w:pStyle w:val="TableText0"/>
              <w:keepNext w:val="0"/>
              <w:rPr>
                <w:lang w:val="en-US"/>
              </w:rPr>
            </w:pPr>
            <w:r>
              <w:rPr>
                <w:lang w:val="en-US"/>
              </w:rPr>
              <w:lastRenderedPageBreak/>
              <w:t>SEAVUE</w:t>
            </w:r>
          </w:p>
          <w:p w14:paraId="4A5472DC" w14:textId="77777777" w:rsidR="00D24BA1" w:rsidRDefault="00D24BA1" w:rsidP="00286E68">
            <w:pPr>
              <w:pStyle w:val="TableText0"/>
              <w:keepNext w:val="0"/>
              <w:rPr>
                <w:lang w:val="en-US"/>
              </w:rPr>
            </w:pPr>
            <w:r>
              <w:rPr>
                <w:lang w:val="en-US"/>
              </w:rPr>
              <w:t>[induction + maintenance]</w:t>
            </w:r>
          </w:p>
        </w:tc>
        <w:tc>
          <w:tcPr>
            <w:tcW w:w="203" w:type="pct"/>
            <w:vAlign w:val="center"/>
          </w:tcPr>
          <w:p w14:paraId="24C73ACA" w14:textId="77777777" w:rsidR="00D24BA1" w:rsidRDefault="00D24BA1" w:rsidP="00286E68">
            <w:pPr>
              <w:pStyle w:val="TableText0"/>
              <w:keepNext w:val="0"/>
              <w:jc w:val="center"/>
              <w:rPr>
                <w:lang w:val="en-US"/>
              </w:rPr>
            </w:pPr>
            <w:r>
              <w:rPr>
                <w:lang w:val="en-US"/>
              </w:rPr>
              <w:t>386</w:t>
            </w:r>
          </w:p>
        </w:tc>
        <w:tc>
          <w:tcPr>
            <w:tcW w:w="762" w:type="pct"/>
            <w:vAlign w:val="center"/>
          </w:tcPr>
          <w:p w14:paraId="0A271B32" w14:textId="77777777" w:rsidR="00D24BA1" w:rsidRDefault="00D24BA1" w:rsidP="00286E68">
            <w:pPr>
              <w:pStyle w:val="TableText0"/>
              <w:keepNext w:val="0"/>
              <w:jc w:val="center"/>
              <w:rPr>
                <w:lang w:val="en-US"/>
              </w:rPr>
            </w:pPr>
            <w:r>
              <w:rPr>
                <w:lang w:val="en-US"/>
              </w:rPr>
              <w:t xml:space="preserve">P3b, MC, R, parallel, DB 56 </w:t>
            </w:r>
            <w:proofErr w:type="spellStart"/>
            <w:r>
              <w:rPr>
                <w:lang w:val="en-US"/>
              </w:rPr>
              <w:t>wks</w:t>
            </w:r>
            <w:proofErr w:type="spellEnd"/>
          </w:p>
          <w:p w14:paraId="194B0F67" w14:textId="77777777" w:rsidR="00D24BA1" w:rsidRDefault="00D24BA1" w:rsidP="00286E68">
            <w:pPr>
              <w:pStyle w:val="TableText0"/>
              <w:keepNext w:val="0"/>
              <w:jc w:val="center"/>
              <w:rPr>
                <w:lang w:val="en-US"/>
              </w:rPr>
            </w:pPr>
            <w:r>
              <w:rPr>
                <w:lang w:val="en-US"/>
              </w:rPr>
              <w:t xml:space="preserve">[IP: 4-8 </w:t>
            </w:r>
            <w:proofErr w:type="spellStart"/>
            <w:r>
              <w:rPr>
                <w:lang w:val="en-US"/>
              </w:rPr>
              <w:t>wks</w:t>
            </w:r>
            <w:proofErr w:type="spellEnd"/>
            <w:r>
              <w:rPr>
                <w:lang w:val="en-US"/>
              </w:rPr>
              <w:t xml:space="preserve"> + MP: 48-52</w:t>
            </w:r>
            <w:r w:rsidRPr="00E35625">
              <w:rPr>
                <w:lang w:val="en-US"/>
              </w:rPr>
              <w:t xml:space="preserve"> </w:t>
            </w:r>
            <w:proofErr w:type="spellStart"/>
            <w:r w:rsidRPr="00E35625">
              <w:rPr>
                <w:lang w:val="en-US"/>
              </w:rPr>
              <w:t>wks</w:t>
            </w:r>
            <w:proofErr w:type="spellEnd"/>
            <w:r>
              <w:rPr>
                <w:lang w:val="en-US"/>
              </w:rPr>
              <w:t>], Type 1 TT</w:t>
            </w:r>
          </w:p>
        </w:tc>
        <w:tc>
          <w:tcPr>
            <w:tcW w:w="152" w:type="pct"/>
            <w:vAlign w:val="center"/>
          </w:tcPr>
          <w:p w14:paraId="6F9AABC5"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1BBC9E1A"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2E0A16E6"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naive</w:t>
            </w:r>
          </w:p>
        </w:tc>
        <w:tc>
          <w:tcPr>
            <w:tcW w:w="1321" w:type="pct"/>
            <w:vAlign w:val="center"/>
          </w:tcPr>
          <w:p w14:paraId="541D4C05" w14:textId="77777777" w:rsidR="00D24BA1" w:rsidRPr="00932D53" w:rsidRDefault="00D24BA1" w:rsidP="00286E68">
            <w:pPr>
              <w:pStyle w:val="TableText0"/>
              <w:jc w:val="center"/>
              <w:rPr>
                <w:lang w:val="en-US"/>
              </w:rPr>
            </w:pPr>
            <w:r w:rsidRPr="00932D53">
              <w:rPr>
                <w:lang w:val="en-US"/>
              </w:rPr>
              <w:t>A</w:t>
            </w:r>
            <w:r>
              <w:rPr>
                <w:lang w:val="en-US"/>
              </w:rPr>
              <w:t>DA</w:t>
            </w:r>
            <w:r w:rsidRPr="00932D53">
              <w:rPr>
                <w:lang w:val="en-US"/>
              </w:rPr>
              <w:t xml:space="preserve"> 160/80mg</w:t>
            </w:r>
            <w:r>
              <w:rPr>
                <w:lang w:val="en-US"/>
              </w:rPr>
              <w:t xml:space="preserve"> SC</w:t>
            </w:r>
            <w:r w:rsidRPr="00932D53">
              <w:rPr>
                <w:lang w:val="en-US"/>
              </w:rPr>
              <w:t xml:space="preserve"> </w:t>
            </w:r>
            <w:proofErr w:type="spellStart"/>
            <w:r>
              <w:rPr>
                <w:lang w:val="en-US"/>
              </w:rPr>
              <w:t>W</w:t>
            </w:r>
            <w:r w:rsidRPr="00932D53">
              <w:rPr>
                <w:lang w:val="en-US"/>
              </w:rPr>
              <w:t>k</w:t>
            </w:r>
            <w:proofErr w:type="spellEnd"/>
            <w:r w:rsidRPr="00932D53">
              <w:rPr>
                <w:lang w:val="en-US"/>
              </w:rPr>
              <w:t xml:space="preserve"> 0, 2</w:t>
            </w:r>
            <w:r>
              <w:rPr>
                <w:lang w:val="en-US"/>
              </w:rPr>
              <w:t xml:space="preserve"> IP -&gt;</w:t>
            </w:r>
            <w:r w:rsidRPr="00932D53">
              <w:rPr>
                <w:lang w:val="en-US"/>
              </w:rPr>
              <w:t xml:space="preserve"> 40mg </w:t>
            </w:r>
            <w:r>
              <w:rPr>
                <w:lang w:val="en-US"/>
              </w:rPr>
              <w:t xml:space="preserve">SC </w:t>
            </w:r>
            <w:r w:rsidRPr="00932D53">
              <w:rPr>
                <w:lang w:val="en-US"/>
              </w:rPr>
              <w:t>Q2W</w:t>
            </w:r>
            <w:r>
              <w:rPr>
                <w:lang w:val="en-US"/>
              </w:rPr>
              <w:t xml:space="preserve"> MP</w:t>
            </w:r>
          </w:p>
          <w:p w14:paraId="02FA4D30" w14:textId="77777777" w:rsidR="00D24BA1" w:rsidRDefault="00D24BA1" w:rsidP="00286E68">
            <w:pPr>
              <w:pStyle w:val="TableText0"/>
              <w:keepNext w:val="0"/>
              <w:jc w:val="center"/>
              <w:rPr>
                <w:lang w:val="en-US"/>
              </w:rPr>
            </w:pPr>
            <w:r>
              <w:rPr>
                <w:lang w:val="en-US"/>
              </w:rPr>
              <w:t>UST</w:t>
            </w:r>
            <w:r w:rsidRPr="00932D53">
              <w:rPr>
                <w:lang w:val="en-US"/>
              </w:rPr>
              <w:t xml:space="preserve"> 6mg/kg</w:t>
            </w:r>
            <w:r>
              <w:rPr>
                <w:lang w:val="en-US"/>
              </w:rPr>
              <w:t xml:space="preserve"> IV </w:t>
            </w:r>
            <w:proofErr w:type="spellStart"/>
            <w:r>
              <w:rPr>
                <w:lang w:val="en-US"/>
              </w:rPr>
              <w:t>Wk</w:t>
            </w:r>
            <w:proofErr w:type="spellEnd"/>
            <w:r>
              <w:rPr>
                <w:lang w:val="en-US"/>
              </w:rPr>
              <w:t xml:space="preserve"> 0 IP -&gt;</w:t>
            </w:r>
            <w:r w:rsidRPr="00932D53">
              <w:rPr>
                <w:lang w:val="en-US"/>
              </w:rPr>
              <w:t xml:space="preserve"> </w:t>
            </w:r>
            <w:r>
              <w:rPr>
                <w:lang w:val="en-US"/>
              </w:rPr>
              <w:t xml:space="preserve">90mg SC </w:t>
            </w:r>
            <w:r w:rsidRPr="00932D53">
              <w:rPr>
                <w:lang w:val="en-US"/>
              </w:rPr>
              <w:t>Q8W</w:t>
            </w:r>
            <w:r>
              <w:rPr>
                <w:lang w:val="en-US"/>
              </w:rPr>
              <w:t xml:space="preserve"> MP</w:t>
            </w:r>
          </w:p>
        </w:tc>
        <w:tc>
          <w:tcPr>
            <w:tcW w:w="865" w:type="pct"/>
            <w:vAlign w:val="center"/>
          </w:tcPr>
          <w:p w14:paraId="576FD718" w14:textId="77777777" w:rsidR="00D24BA1" w:rsidRDefault="00D24BA1" w:rsidP="00286E68">
            <w:pPr>
              <w:pStyle w:val="TableText0"/>
              <w:keepNext w:val="0"/>
              <w:jc w:val="center"/>
              <w:rPr>
                <w:vertAlign w:val="superscript"/>
                <w:lang w:val="en-US"/>
              </w:rPr>
            </w:pPr>
            <w:r>
              <w:rPr>
                <w:lang w:val="en-US"/>
              </w:rPr>
              <w:t>1°: clinical remission (CDAI</w:t>
            </w:r>
            <w:proofErr w:type="gramStart"/>
            <w:r>
              <w:rPr>
                <w:lang w:val="en-US"/>
              </w:rPr>
              <w:t>)</w:t>
            </w:r>
            <w:r w:rsidRPr="00993F53">
              <w:rPr>
                <w:vertAlign w:val="superscript"/>
                <w:lang w:val="en-US"/>
              </w:rPr>
              <w:t>a</w:t>
            </w:r>
            <w:proofErr w:type="gramEnd"/>
          </w:p>
          <w:p w14:paraId="789B9773" w14:textId="77777777" w:rsidR="00D24BA1" w:rsidRDefault="00D24BA1" w:rsidP="00286E68">
            <w:pPr>
              <w:pStyle w:val="TableText0"/>
              <w:keepNext w:val="0"/>
              <w:jc w:val="center"/>
              <w:rPr>
                <w:lang w:val="en-US"/>
              </w:rPr>
            </w:pPr>
            <w:r>
              <w:rPr>
                <w:lang w:val="en-US"/>
              </w:rPr>
              <w:t>2°: clinical response (CDAI)</w:t>
            </w:r>
            <w:r>
              <w:rPr>
                <w:vertAlign w:val="superscript"/>
                <w:lang w:val="en-US"/>
              </w:rPr>
              <w:t>e</w:t>
            </w:r>
          </w:p>
        </w:tc>
        <w:tc>
          <w:tcPr>
            <w:tcW w:w="202" w:type="pct"/>
            <w:vAlign w:val="center"/>
          </w:tcPr>
          <w:p w14:paraId="040DFE8F"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27EB5718"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0A78EE77" w14:textId="77777777" w:rsidR="00D24BA1" w:rsidRDefault="00D24BA1" w:rsidP="00286E68">
            <w:pPr>
              <w:pStyle w:val="TableText0"/>
              <w:keepNext w:val="0"/>
              <w:jc w:val="center"/>
              <w:rPr>
                <w:lang w:val="en-US"/>
              </w:rPr>
            </w:pPr>
            <w:r>
              <w:rPr>
                <w:lang w:val="en-US"/>
              </w:rPr>
              <w:t>IP: MA</w:t>
            </w:r>
          </w:p>
        </w:tc>
      </w:tr>
      <w:tr w:rsidR="00D24BA1" w:rsidRPr="00E2771E" w14:paraId="2549333F" w14:textId="77777777" w:rsidTr="00286E68">
        <w:trPr>
          <w:cantSplit/>
        </w:trPr>
        <w:tc>
          <w:tcPr>
            <w:tcW w:w="5000" w:type="pct"/>
            <w:gridSpan w:val="10"/>
            <w:vAlign w:val="center"/>
          </w:tcPr>
          <w:p w14:paraId="126E1C87" w14:textId="77777777" w:rsidR="00D24BA1" w:rsidRPr="000D51FA" w:rsidRDefault="00D24BA1" w:rsidP="00286E68">
            <w:pPr>
              <w:pStyle w:val="TableText0"/>
              <w:keepNext w:val="0"/>
              <w:rPr>
                <w:b/>
                <w:bCs w:val="0"/>
                <w:lang w:val="en-US"/>
              </w:rPr>
            </w:pPr>
            <w:r>
              <w:rPr>
                <w:b/>
                <w:bCs w:val="0"/>
                <w:lang w:val="en-US"/>
              </w:rPr>
              <w:t>VDZ vs PBO</w:t>
            </w:r>
          </w:p>
        </w:tc>
      </w:tr>
      <w:tr w:rsidR="004B5B74" w:rsidRPr="00E2771E" w14:paraId="781722A4" w14:textId="77777777" w:rsidTr="00286E68">
        <w:trPr>
          <w:cantSplit/>
        </w:trPr>
        <w:tc>
          <w:tcPr>
            <w:tcW w:w="456" w:type="pct"/>
            <w:shd w:val="clear" w:color="auto" w:fill="B8CCE4" w:themeFill="accent1" w:themeFillTint="66"/>
            <w:vAlign w:val="center"/>
          </w:tcPr>
          <w:p w14:paraId="043FC751" w14:textId="77777777" w:rsidR="00D24BA1" w:rsidRDefault="00D24BA1" w:rsidP="00286E68">
            <w:pPr>
              <w:pStyle w:val="TableText0"/>
              <w:keepNext w:val="0"/>
              <w:rPr>
                <w:lang w:val="en-US"/>
              </w:rPr>
            </w:pPr>
            <w:r>
              <w:rPr>
                <w:lang w:val="en-US"/>
              </w:rPr>
              <w:t>GEMINI II</w:t>
            </w:r>
          </w:p>
          <w:p w14:paraId="1DCE1039" w14:textId="77777777" w:rsidR="00D24BA1" w:rsidRDefault="00D24BA1" w:rsidP="00286E68">
            <w:pPr>
              <w:pStyle w:val="TableText0"/>
              <w:keepNext w:val="0"/>
              <w:rPr>
                <w:lang w:val="en-US"/>
              </w:rPr>
            </w:pPr>
            <w:r>
              <w:rPr>
                <w:lang w:val="en-US"/>
              </w:rPr>
              <w:t>[induction + maintenance]</w:t>
            </w:r>
          </w:p>
        </w:tc>
        <w:tc>
          <w:tcPr>
            <w:tcW w:w="203" w:type="pct"/>
            <w:shd w:val="clear" w:color="auto" w:fill="B8CCE4" w:themeFill="accent1" w:themeFillTint="66"/>
            <w:vAlign w:val="center"/>
          </w:tcPr>
          <w:p w14:paraId="05510B1D" w14:textId="77777777" w:rsidR="00D24BA1" w:rsidRDefault="00D24BA1" w:rsidP="00286E68">
            <w:pPr>
              <w:pStyle w:val="TableText0"/>
              <w:keepNext w:val="0"/>
              <w:jc w:val="center"/>
              <w:rPr>
                <w:lang w:val="en-US"/>
              </w:rPr>
            </w:pPr>
            <w:r>
              <w:rPr>
                <w:lang w:val="en-US"/>
              </w:rPr>
              <w:t>368</w:t>
            </w:r>
          </w:p>
        </w:tc>
        <w:tc>
          <w:tcPr>
            <w:tcW w:w="762" w:type="pct"/>
            <w:shd w:val="clear" w:color="auto" w:fill="B8CCE4" w:themeFill="accent1" w:themeFillTint="66"/>
            <w:vAlign w:val="center"/>
          </w:tcPr>
          <w:p w14:paraId="1124180D" w14:textId="77777777" w:rsidR="00D24BA1" w:rsidRDefault="00D24BA1" w:rsidP="00286E68">
            <w:pPr>
              <w:pStyle w:val="TableText0"/>
              <w:keepNext w:val="0"/>
              <w:jc w:val="center"/>
              <w:rPr>
                <w:lang w:val="en-US"/>
              </w:rPr>
            </w:pPr>
            <w:r>
              <w:rPr>
                <w:lang w:val="en-US"/>
              </w:rPr>
              <w:t xml:space="preserve">P3, MC, R, PC, DB 52 </w:t>
            </w:r>
            <w:proofErr w:type="spellStart"/>
            <w:r>
              <w:rPr>
                <w:lang w:val="en-US"/>
              </w:rPr>
              <w:t>wks</w:t>
            </w:r>
            <w:proofErr w:type="spellEnd"/>
          </w:p>
          <w:p w14:paraId="30BB6D43" w14:textId="77777777" w:rsidR="00D24BA1" w:rsidRDefault="00D24BA1" w:rsidP="00286E68">
            <w:pPr>
              <w:pStyle w:val="TableText0"/>
              <w:keepNext w:val="0"/>
              <w:jc w:val="center"/>
              <w:rPr>
                <w:lang w:val="en-US"/>
              </w:rPr>
            </w:pPr>
            <w:r>
              <w:rPr>
                <w:lang w:val="en-US"/>
              </w:rPr>
              <w:t xml:space="preserve">[IP: 6 </w:t>
            </w:r>
            <w:proofErr w:type="spellStart"/>
            <w:r>
              <w:rPr>
                <w:lang w:val="en-US"/>
              </w:rPr>
              <w:t>wks</w:t>
            </w:r>
            <w:proofErr w:type="spellEnd"/>
            <w:r>
              <w:rPr>
                <w:lang w:val="en-US"/>
              </w:rPr>
              <w:t xml:space="preserve"> + MP: </w:t>
            </w:r>
            <w:r w:rsidRPr="00CF7DC9">
              <w:rPr>
                <w:lang w:val="en-US"/>
              </w:rPr>
              <w:t xml:space="preserve">46 </w:t>
            </w:r>
            <w:proofErr w:type="spellStart"/>
            <w:r w:rsidRPr="00CF7DC9">
              <w:rPr>
                <w:lang w:val="en-US"/>
              </w:rPr>
              <w:t>wks</w:t>
            </w:r>
            <w:proofErr w:type="spellEnd"/>
            <w:r>
              <w:rPr>
                <w:lang w:val="en-US"/>
              </w:rPr>
              <w:t>], Type 3 RWD</w:t>
            </w:r>
          </w:p>
        </w:tc>
        <w:tc>
          <w:tcPr>
            <w:tcW w:w="152" w:type="pct"/>
            <w:shd w:val="clear" w:color="auto" w:fill="B8CCE4" w:themeFill="accent1" w:themeFillTint="66"/>
            <w:vAlign w:val="center"/>
          </w:tcPr>
          <w:p w14:paraId="215B6235"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49D34DF1"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4A61E35A"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naïve and experienced</w:t>
            </w:r>
          </w:p>
        </w:tc>
        <w:tc>
          <w:tcPr>
            <w:tcW w:w="1321" w:type="pct"/>
            <w:shd w:val="clear" w:color="auto" w:fill="B8CCE4" w:themeFill="accent1" w:themeFillTint="66"/>
            <w:vAlign w:val="center"/>
          </w:tcPr>
          <w:p w14:paraId="285BD481" w14:textId="77777777" w:rsidR="00D24BA1" w:rsidRDefault="00D24BA1" w:rsidP="00286E68">
            <w:pPr>
              <w:pStyle w:val="TableText0"/>
              <w:keepNext w:val="0"/>
              <w:jc w:val="center"/>
              <w:rPr>
                <w:lang w:val="en-US"/>
              </w:rPr>
            </w:pPr>
            <w:r>
              <w:rPr>
                <w:lang w:val="en-US"/>
              </w:rPr>
              <w:t xml:space="preserve">VDZ 300mg IV </w:t>
            </w:r>
            <w:proofErr w:type="spellStart"/>
            <w:r>
              <w:rPr>
                <w:lang w:val="en-US"/>
              </w:rPr>
              <w:t>Wk</w:t>
            </w:r>
            <w:proofErr w:type="spellEnd"/>
            <w:r>
              <w:rPr>
                <w:lang w:val="en-US"/>
              </w:rPr>
              <w:t xml:space="preserve"> 0, 2, 6 IP -&gt; 300mg Q4W MP</w:t>
            </w:r>
          </w:p>
          <w:p w14:paraId="65F42669" w14:textId="77777777" w:rsidR="00D24BA1" w:rsidRDefault="00D24BA1" w:rsidP="00286E68">
            <w:pPr>
              <w:pStyle w:val="TableText0"/>
              <w:keepNext w:val="0"/>
              <w:jc w:val="center"/>
              <w:rPr>
                <w:lang w:val="en-US"/>
              </w:rPr>
            </w:pPr>
            <w:r>
              <w:rPr>
                <w:lang w:val="en-US"/>
              </w:rPr>
              <w:t xml:space="preserve">VDZ 300mg IV </w:t>
            </w:r>
            <w:proofErr w:type="spellStart"/>
            <w:r>
              <w:rPr>
                <w:lang w:val="en-US"/>
              </w:rPr>
              <w:t>Wk</w:t>
            </w:r>
            <w:proofErr w:type="spellEnd"/>
            <w:r>
              <w:rPr>
                <w:lang w:val="en-US"/>
              </w:rPr>
              <w:t xml:space="preserve"> 0, 2, 6 IP -&gt; 300mg Q8W MP</w:t>
            </w:r>
          </w:p>
          <w:p w14:paraId="62728A45"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5F2F6A22"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993F53">
              <w:rPr>
                <w:vertAlign w:val="superscript"/>
                <w:lang w:val="en-US"/>
              </w:rPr>
              <w:t>a</w:t>
            </w:r>
            <w:proofErr w:type="gramEnd"/>
            <w:r>
              <w:rPr>
                <w:lang w:val="en-US"/>
              </w:rPr>
              <w:t>, clinical response (CDAI)</w:t>
            </w:r>
            <w:r>
              <w:rPr>
                <w:vertAlign w:val="superscript"/>
                <w:lang w:val="en-US"/>
              </w:rPr>
              <w:t>d</w:t>
            </w:r>
          </w:p>
        </w:tc>
        <w:tc>
          <w:tcPr>
            <w:tcW w:w="202" w:type="pct"/>
            <w:vAlign w:val="center"/>
          </w:tcPr>
          <w:p w14:paraId="390777DD"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6E8E2722"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5E8038FD" w14:textId="77777777" w:rsidR="00D24BA1" w:rsidRDefault="00D24BA1" w:rsidP="00286E68">
            <w:pPr>
              <w:pStyle w:val="TableText0"/>
              <w:keepNext w:val="0"/>
              <w:jc w:val="center"/>
              <w:rPr>
                <w:lang w:val="en-US"/>
              </w:rPr>
            </w:pPr>
            <w:r>
              <w:rPr>
                <w:lang w:val="en-US"/>
              </w:rPr>
              <w:t>IP: MA</w:t>
            </w:r>
          </w:p>
        </w:tc>
      </w:tr>
      <w:tr w:rsidR="004B5B74" w:rsidRPr="00E2771E" w14:paraId="38596219" w14:textId="77777777" w:rsidTr="00286E68">
        <w:trPr>
          <w:cantSplit/>
        </w:trPr>
        <w:tc>
          <w:tcPr>
            <w:tcW w:w="456" w:type="pct"/>
            <w:shd w:val="clear" w:color="auto" w:fill="B8CCE4" w:themeFill="accent1" w:themeFillTint="66"/>
            <w:vAlign w:val="center"/>
          </w:tcPr>
          <w:p w14:paraId="2A98DA87" w14:textId="77777777" w:rsidR="00D24BA1" w:rsidRDefault="00D24BA1" w:rsidP="00286E68">
            <w:pPr>
              <w:pStyle w:val="TableText0"/>
              <w:keepNext w:val="0"/>
              <w:rPr>
                <w:lang w:val="en-US"/>
              </w:rPr>
            </w:pPr>
            <w:r>
              <w:rPr>
                <w:lang w:val="en-US"/>
              </w:rPr>
              <w:t>GEMINI III</w:t>
            </w:r>
          </w:p>
          <w:p w14:paraId="450424B7"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4B0158BF" w14:textId="77777777" w:rsidR="00D24BA1" w:rsidRDefault="00D24BA1" w:rsidP="00286E68">
            <w:pPr>
              <w:pStyle w:val="TableText0"/>
              <w:keepNext w:val="0"/>
              <w:jc w:val="center"/>
              <w:rPr>
                <w:lang w:val="en-US"/>
              </w:rPr>
            </w:pPr>
            <w:r>
              <w:rPr>
                <w:lang w:val="en-US"/>
              </w:rPr>
              <w:t>416 (315</w:t>
            </w:r>
            <w:r w:rsidRPr="006F0353">
              <w:rPr>
                <w:vertAlign w:val="superscript"/>
                <w:lang w:val="en-US"/>
              </w:rPr>
              <w:t>f</w:t>
            </w:r>
            <w:r>
              <w:rPr>
                <w:lang w:val="en-US"/>
              </w:rPr>
              <w:t>)</w:t>
            </w:r>
          </w:p>
        </w:tc>
        <w:tc>
          <w:tcPr>
            <w:tcW w:w="762" w:type="pct"/>
            <w:shd w:val="clear" w:color="auto" w:fill="B8CCE4" w:themeFill="accent1" w:themeFillTint="66"/>
            <w:vAlign w:val="center"/>
          </w:tcPr>
          <w:p w14:paraId="0DB6702E" w14:textId="77777777" w:rsidR="00D24BA1" w:rsidRDefault="00D24BA1" w:rsidP="00286E68">
            <w:pPr>
              <w:pStyle w:val="TableText0"/>
              <w:keepNext w:val="0"/>
              <w:jc w:val="center"/>
              <w:rPr>
                <w:lang w:val="en-US"/>
              </w:rPr>
            </w:pPr>
            <w:r>
              <w:rPr>
                <w:lang w:val="en-US"/>
              </w:rPr>
              <w:t xml:space="preserve">P3, MC, R, PC, DB 10 </w:t>
            </w:r>
            <w:proofErr w:type="spellStart"/>
            <w:r>
              <w:rPr>
                <w:lang w:val="en-US"/>
              </w:rPr>
              <w:t>wks</w:t>
            </w:r>
            <w:proofErr w:type="spellEnd"/>
          </w:p>
          <w:p w14:paraId="2AFA518E" w14:textId="77777777" w:rsidR="00D24BA1" w:rsidRDefault="00D24BA1" w:rsidP="00286E68">
            <w:pPr>
              <w:pStyle w:val="TableText0"/>
              <w:keepNext w:val="0"/>
              <w:jc w:val="center"/>
              <w:rPr>
                <w:lang w:val="en-US"/>
              </w:rPr>
            </w:pPr>
            <w:r>
              <w:rPr>
                <w:lang w:val="en-US"/>
              </w:rPr>
              <w:t xml:space="preserve">[IP: 10 </w:t>
            </w:r>
            <w:proofErr w:type="spellStart"/>
            <w:r>
              <w:rPr>
                <w:lang w:val="en-US"/>
              </w:rPr>
              <w:t>wks</w:t>
            </w:r>
            <w:proofErr w:type="spellEnd"/>
            <w:r>
              <w:rPr>
                <w:lang w:val="en-US"/>
              </w:rPr>
              <w:t>]</w:t>
            </w:r>
          </w:p>
        </w:tc>
        <w:tc>
          <w:tcPr>
            <w:tcW w:w="152" w:type="pct"/>
            <w:shd w:val="clear" w:color="auto" w:fill="B8CCE4" w:themeFill="accent1" w:themeFillTint="66"/>
            <w:vAlign w:val="center"/>
          </w:tcPr>
          <w:p w14:paraId="60177AF1"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FD45EE4"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≤400;</w:t>
            </w:r>
          </w:p>
          <w:p w14:paraId="11494DE3"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naïve and experienced</w:t>
            </w:r>
          </w:p>
        </w:tc>
        <w:tc>
          <w:tcPr>
            <w:tcW w:w="1321" w:type="pct"/>
            <w:shd w:val="clear" w:color="auto" w:fill="B8CCE4" w:themeFill="accent1" w:themeFillTint="66"/>
            <w:vAlign w:val="center"/>
          </w:tcPr>
          <w:p w14:paraId="443DB716" w14:textId="77777777" w:rsidR="00D24BA1" w:rsidRDefault="00D24BA1" w:rsidP="00286E68">
            <w:pPr>
              <w:pStyle w:val="TableText0"/>
              <w:keepNext w:val="0"/>
              <w:jc w:val="center"/>
              <w:rPr>
                <w:lang w:val="en-US"/>
              </w:rPr>
            </w:pPr>
            <w:r>
              <w:rPr>
                <w:lang w:val="en-US"/>
              </w:rPr>
              <w:t xml:space="preserve">VDZ 300mg IV </w:t>
            </w:r>
            <w:proofErr w:type="spellStart"/>
            <w:r>
              <w:rPr>
                <w:lang w:val="en-US"/>
              </w:rPr>
              <w:t>Wk</w:t>
            </w:r>
            <w:proofErr w:type="spellEnd"/>
            <w:r>
              <w:rPr>
                <w:lang w:val="en-US"/>
              </w:rPr>
              <w:t xml:space="preserve"> 0, 2, 6</w:t>
            </w:r>
          </w:p>
          <w:p w14:paraId="0EA5949F"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01435223" w14:textId="77777777" w:rsidR="00D24BA1" w:rsidRDefault="00D24BA1" w:rsidP="00286E68">
            <w:pPr>
              <w:pStyle w:val="TableText0"/>
              <w:keepNext w:val="0"/>
              <w:jc w:val="center"/>
              <w:rPr>
                <w:vertAlign w:val="superscript"/>
                <w:lang w:val="en-US"/>
              </w:rPr>
            </w:pPr>
            <w:r>
              <w:rPr>
                <w:lang w:val="en-US"/>
              </w:rPr>
              <w:t>1°: clinical remission (CDAI</w:t>
            </w:r>
            <w:proofErr w:type="gramStart"/>
            <w:r>
              <w:rPr>
                <w:lang w:val="en-US"/>
              </w:rPr>
              <w:t>)</w:t>
            </w:r>
            <w:r w:rsidRPr="00993F53">
              <w:rPr>
                <w:vertAlign w:val="superscript"/>
                <w:lang w:val="en-US"/>
              </w:rPr>
              <w:t>a</w:t>
            </w:r>
            <w:proofErr w:type="gramEnd"/>
          </w:p>
          <w:p w14:paraId="0EB2A8F0" w14:textId="77777777" w:rsidR="00D24BA1" w:rsidRDefault="00D24BA1" w:rsidP="00286E68">
            <w:pPr>
              <w:pStyle w:val="TableText0"/>
              <w:keepNext w:val="0"/>
              <w:jc w:val="center"/>
              <w:rPr>
                <w:lang w:val="en-US"/>
              </w:rPr>
            </w:pPr>
            <w:r>
              <w:rPr>
                <w:lang w:val="en-US"/>
              </w:rPr>
              <w:t>2°: clinical response (CDAI)</w:t>
            </w:r>
            <w:r>
              <w:rPr>
                <w:vertAlign w:val="superscript"/>
                <w:lang w:val="en-US"/>
              </w:rPr>
              <w:t>d</w:t>
            </w:r>
          </w:p>
        </w:tc>
        <w:tc>
          <w:tcPr>
            <w:tcW w:w="202" w:type="pct"/>
            <w:vAlign w:val="center"/>
          </w:tcPr>
          <w:p w14:paraId="7707B6B5" w14:textId="77777777" w:rsidR="00D24BA1" w:rsidRPr="00625E91" w:rsidRDefault="00D24BA1" w:rsidP="00286E68">
            <w:pPr>
              <w:pStyle w:val="TableText0"/>
              <w:keepNext w:val="0"/>
              <w:jc w:val="center"/>
              <w:rPr>
                <w:lang w:val="en-US"/>
              </w:rPr>
            </w:pPr>
            <w:r w:rsidRPr="00015AC7">
              <w:rPr>
                <w:rFonts w:ascii="Wingdings" w:eastAsia="Wingdings" w:hAnsi="Wingdings" w:cs="Wingdings"/>
                <w:lang w:val="en-US"/>
              </w:rPr>
              <w:t>ü</w:t>
            </w:r>
          </w:p>
        </w:tc>
        <w:tc>
          <w:tcPr>
            <w:tcW w:w="203" w:type="pct"/>
            <w:vAlign w:val="center"/>
          </w:tcPr>
          <w:p w14:paraId="7DF939F2" w14:textId="77777777" w:rsidR="00D24BA1" w:rsidRPr="00625E91" w:rsidRDefault="00D24BA1" w:rsidP="00286E68">
            <w:pPr>
              <w:pStyle w:val="TableText0"/>
              <w:keepNext w:val="0"/>
              <w:jc w:val="center"/>
              <w:rPr>
                <w:lang w:val="en-US"/>
              </w:rPr>
            </w:pPr>
            <w:r w:rsidRPr="00015AC7">
              <w:rPr>
                <w:rFonts w:ascii="Wingdings" w:eastAsia="Wingdings" w:hAnsi="Wingdings" w:cs="Wingdings"/>
                <w:lang w:val="en-US"/>
              </w:rPr>
              <w:t>ü</w:t>
            </w:r>
          </w:p>
        </w:tc>
        <w:tc>
          <w:tcPr>
            <w:tcW w:w="226" w:type="pct"/>
            <w:vAlign w:val="center"/>
          </w:tcPr>
          <w:p w14:paraId="5D30E8A1" w14:textId="77777777" w:rsidR="00D24BA1" w:rsidRDefault="00D24BA1" w:rsidP="00286E68">
            <w:pPr>
              <w:pStyle w:val="TableText0"/>
              <w:keepNext w:val="0"/>
              <w:jc w:val="center"/>
              <w:rPr>
                <w:lang w:val="en-US"/>
              </w:rPr>
            </w:pPr>
            <w:r>
              <w:rPr>
                <w:lang w:val="en-US"/>
              </w:rPr>
              <w:t>IP: MA</w:t>
            </w:r>
          </w:p>
        </w:tc>
      </w:tr>
      <w:tr w:rsidR="004B5B74" w:rsidRPr="00E2771E" w14:paraId="1BA83E17" w14:textId="77777777" w:rsidTr="00286E68">
        <w:trPr>
          <w:cantSplit/>
        </w:trPr>
        <w:tc>
          <w:tcPr>
            <w:tcW w:w="456" w:type="pct"/>
            <w:shd w:val="clear" w:color="auto" w:fill="B8CCE4" w:themeFill="accent1" w:themeFillTint="66"/>
            <w:vAlign w:val="center"/>
          </w:tcPr>
          <w:p w14:paraId="58152B5A" w14:textId="77777777" w:rsidR="00D24BA1" w:rsidRDefault="00D24BA1" w:rsidP="00286E68">
            <w:pPr>
              <w:pStyle w:val="TableText0"/>
              <w:keepNext w:val="0"/>
              <w:rPr>
                <w:lang w:val="en-US"/>
              </w:rPr>
            </w:pPr>
            <w:r>
              <w:rPr>
                <w:lang w:val="en-US"/>
              </w:rPr>
              <w:t>Watanabe 2020</w:t>
            </w:r>
          </w:p>
          <w:p w14:paraId="3F2D0678" w14:textId="77777777" w:rsidR="00D24BA1" w:rsidRDefault="00D24BA1" w:rsidP="00286E68">
            <w:pPr>
              <w:pStyle w:val="TableText0"/>
              <w:keepNext w:val="0"/>
              <w:rPr>
                <w:lang w:val="en-US"/>
              </w:rPr>
            </w:pPr>
            <w:r>
              <w:rPr>
                <w:lang w:val="en-US"/>
              </w:rPr>
              <w:t>[induction + maintenance]</w:t>
            </w:r>
          </w:p>
        </w:tc>
        <w:tc>
          <w:tcPr>
            <w:tcW w:w="203" w:type="pct"/>
            <w:shd w:val="clear" w:color="auto" w:fill="B8CCE4" w:themeFill="accent1" w:themeFillTint="66"/>
            <w:vAlign w:val="center"/>
          </w:tcPr>
          <w:p w14:paraId="3D5DFD37" w14:textId="77777777" w:rsidR="00D24BA1" w:rsidRDefault="00D24BA1" w:rsidP="00286E68">
            <w:pPr>
              <w:pStyle w:val="TableText0"/>
              <w:keepNext w:val="0"/>
              <w:jc w:val="center"/>
              <w:rPr>
                <w:lang w:val="en-US"/>
              </w:rPr>
            </w:pPr>
            <w:r>
              <w:rPr>
                <w:lang w:val="en-US"/>
              </w:rPr>
              <w:t>157</w:t>
            </w:r>
          </w:p>
        </w:tc>
        <w:tc>
          <w:tcPr>
            <w:tcW w:w="762" w:type="pct"/>
            <w:shd w:val="clear" w:color="auto" w:fill="B8CCE4" w:themeFill="accent1" w:themeFillTint="66"/>
            <w:vAlign w:val="center"/>
          </w:tcPr>
          <w:p w14:paraId="59C7F5BB" w14:textId="77777777" w:rsidR="00D24BA1" w:rsidRDefault="00D24BA1" w:rsidP="00286E68">
            <w:pPr>
              <w:pStyle w:val="TableText0"/>
              <w:keepNext w:val="0"/>
              <w:jc w:val="center"/>
              <w:rPr>
                <w:lang w:val="en-US"/>
              </w:rPr>
            </w:pPr>
            <w:r>
              <w:rPr>
                <w:lang w:val="en-US"/>
              </w:rPr>
              <w:t xml:space="preserve">P3, MC (Japan), R, PC, DB 60 </w:t>
            </w:r>
            <w:proofErr w:type="spellStart"/>
            <w:r>
              <w:rPr>
                <w:lang w:val="en-US"/>
              </w:rPr>
              <w:t>wks</w:t>
            </w:r>
            <w:proofErr w:type="spellEnd"/>
            <w:r>
              <w:rPr>
                <w:lang w:val="en-US"/>
              </w:rPr>
              <w:t xml:space="preserve"> / OL f-up 94 </w:t>
            </w:r>
            <w:proofErr w:type="spellStart"/>
            <w:r>
              <w:rPr>
                <w:lang w:val="en-US"/>
              </w:rPr>
              <w:t>wks</w:t>
            </w:r>
            <w:proofErr w:type="spellEnd"/>
          </w:p>
          <w:p w14:paraId="672ADD19" w14:textId="77777777" w:rsidR="00D24BA1" w:rsidRDefault="00D24BA1" w:rsidP="00286E68">
            <w:pPr>
              <w:pStyle w:val="TableText0"/>
              <w:keepNext w:val="0"/>
              <w:jc w:val="center"/>
              <w:rPr>
                <w:lang w:val="en-US"/>
              </w:rPr>
            </w:pPr>
            <w:r>
              <w:rPr>
                <w:lang w:val="en-US"/>
              </w:rPr>
              <w:t xml:space="preserve">[IP: 14 </w:t>
            </w:r>
            <w:proofErr w:type="spellStart"/>
            <w:r>
              <w:rPr>
                <w:lang w:val="en-US"/>
              </w:rPr>
              <w:t>wks</w:t>
            </w:r>
            <w:proofErr w:type="spellEnd"/>
            <w:r>
              <w:rPr>
                <w:lang w:val="en-US"/>
              </w:rPr>
              <w:t xml:space="preserve"> + MP: 46 </w:t>
            </w:r>
            <w:proofErr w:type="spellStart"/>
            <w:r>
              <w:rPr>
                <w:lang w:val="en-US"/>
              </w:rPr>
              <w:t>wks</w:t>
            </w:r>
            <w:proofErr w:type="spellEnd"/>
            <w:r>
              <w:rPr>
                <w:lang w:val="en-US"/>
              </w:rPr>
              <w:t>]</w:t>
            </w:r>
          </w:p>
        </w:tc>
        <w:tc>
          <w:tcPr>
            <w:tcW w:w="152" w:type="pct"/>
            <w:shd w:val="clear" w:color="auto" w:fill="B8CCE4" w:themeFill="accent1" w:themeFillTint="66"/>
            <w:vAlign w:val="center"/>
          </w:tcPr>
          <w:p w14:paraId="727103F0"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4B0F1B0"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4334F588"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experienced</w:t>
            </w:r>
          </w:p>
        </w:tc>
        <w:tc>
          <w:tcPr>
            <w:tcW w:w="1321" w:type="pct"/>
            <w:shd w:val="clear" w:color="auto" w:fill="B8CCE4" w:themeFill="accent1" w:themeFillTint="66"/>
            <w:vAlign w:val="center"/>
          </w:tcPr>
          <w:p w14:paraId="61BC4157" w14:textId="77777777" w:rsidR="00D24BA1" w:rsidRDefault="00D24BA1" w:rsidP="00286E68">
            <w:pPr>
              <w:pStyle w:val="TableText0"/>
              <w:keepNext w:val="0"/>
              <w:jc w:val="center"/>
              <w:rPr>
                <w:lang w:val="en-US"/>
              </w:rPr>
            </w:pPr>
            <w:r>
              <w:rPr>
                <w:lang w:val="en-US"/>
              </w:rPr>
              <w:t xml:space="preserve">VDZ 300mg IV </w:t>
            </w:r>
            <w:proofErr w:type="spellStart"/>
            <w:r>
              <w:rPr>
                <w:lang w:val="en-US"/>
              </w:rPr>
              <w:t>Wk</w:t>
            </w:r>
            <w:proofErr w:type="spellEnd"/>
            <w:r>
              <w:rPr>
                <w:lang w:val="en-US"/>
              </w:rPr>
              <w:t xml:space="preserve"> 0, 2, 6 IP -&gt; 300mg Q8W MP</w:t>
            </w:r>
          </w:p>
          <w:p w14:paraId="0E2385C5"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03CF7DE8" w14:textId="77777777" w:rsidR="00D24BA1" w:rsidRDefault="00D24BA1" w:rsidP="00286E68">
            <w:pPr>
              <w:pStyle w:val="TableText0"/>
              <w:keepNext w:val="0"/>
              <w:jc w:val="center"/>
              <w:rPr>
                <w:vertAlign w:val="superscript"/>
                <w:lang w:val="en-US"/>
              </w:rPr>
            </w:pPr>
            <w:r>
              <w:rPr>
                <w:lang w:val="en-US"/>
              </w:rPr>
              <w:t>1°: clinical response (CDAI)</w:t>
            </w:r>
            <w:r>
              <w:rPr>
                <w:vertAlign w:val="superscript"/>
                <w:lang w:val="en-US"/>
              </w:rPr>
              <w:t>d</w:t>
            </w:r>
          </w:p>
          <w:p w14:paraId="4A1DEE9E"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79580C38" w14:textId="77777777" w:rsidR="00D24BA1" w:rsidRPr="00625E91" w:rsidRDefault="00D24BA1" w:rsidP="00286E68">
            <w:pPr>
              <w:pStyle w:val="TableText0"/>
              <w:keepNext w:val="0"/>
              <w:jc w:val="center"/>
              <w:rPr>
                <w:lang w:val="en-US"/>
              </w:rPr>
            </w:pPr>
            <w:r w:rsidRPr="00015AC7">
              <w:rPr>
                <w:rFonts w:ascii="Wingdings" w:eastAsia="Wingdings" w:hAnsi="Wingdings" w:cs="Wingdings"/>
                <w:lang w:val="en-US"/>
              </w:rPr>
              <w:t>ü</w:t>
            </w:r>
          </w:p>
        </w:tc>
        <w:tc>
          <w:tcPr>
            <w:tcW w:w="203" w:type="pct"/>
            <w:vAlign w:val="center"/>
          </w:tcPr>
          <w:p w14:paraId="41D9C4F8" w14:textId="77777777" w:rsidR="00D24BA1" w:rsidRPr="00625E91" w:rsidRDefault="00D24BA1" w:rsidP="00286E68">
            <w:pPr>
              <w:pStyle w:val="TableText0"/>
              <w:keepNext w:val="0"/>
              <w:jc w:val="center"/>
              <w:rPr>
                <w:lang w:val="en-US"/>
              </w:rPr>
            </w:pPr>
            <w:r w:rsidRPr="00015AC7">
              <w:rPr>
                <w:rFonts w:ascii="Wingdings" w:eastAsia="Wingdings" w:hAnsi="Wingdings" w:cs="Wingdings"/>
                <w:lang w:val="en-US"/>
              </w:rPr>
              <w:t>ü</w:t>
            </w:r>
          </w:p>
        </w:tc>
        <w:tc>
          <w:tcPr>
            <w:tcW w:w="226" w:type="pct"/>
            <w:vAlign w:val="center"/>
          </w:tcPr>
          <w:p w14:paraId="5A66250D" w14:textId="77777777" w:rsidR="00D24BA1" w:rsidRDefault="00D24BA1" w:rsidP="00286E68">
            <w:pPr>
              <w:pStyle w:val="TableText0"/>
              <w:keepNext w:val="0"/>
              <w:jc w:val="center"/>
              <w:rPr>
                <w:lang w:val="en-US"/>
              </w:rPr>
            </w:pPr>
            <w:r>
              <w:rPr>
                <w:lang w:val="en-US"/>
              </w:rPr>
              <w:t>IP: MA</w:t>
            </w:r>
          </w:p>
        </w:tc>
      </w:tr>
      <w:tr w:rsidR="00D24BA1" w:rsidRPr="00E2771E" w14:paraId="13685313" w14:textId="77777777" w:rsidTr="00286E68">
        <w:trPr>
          <w:cantSplit/>
        </w:trPr>
        <w:tc>
          <w:tcPr>
            <w:tcW w:w="456" w:type="pct"/>
            <w:vAlign w:val="center"/>
          </w:tcPr>
          <w:p w14:paraId="2062AE15" w14:textId="77777777" w:rsidR="00D24BA1" w:rsidRDefault="00D24BA1" w:rsidP="00286E68">
            <w:pPr>
              <w:pStyle w:val="TableText0"/>
              <w:keepNext w:val="0"/>
              <w:rPr>
                <w:lang w:val="en-US"/>
              </w:rPr>
            </w:pPr>
            <w:r>
              <w:rPr>
                <w:lang w:val="en-US"/>
              </w:rPr>
              <w:t>NCT03234907</w:t>
            </w:r>
          </w:p>
          <w:p w14:paraId="04BD182D" w14:textId="77777777" w:rsidR="00D24BA1" w:rsidRDefault="00D24BA1" w:rsidP="00286E68">
            <w:pPr>
              <w:pStyle w:val="TableText0"/>
              <w:keepNext w:val="0"/>
              <w:rPr>
                <w:lang w:val="en-US"/>
              </w:rPr>
            </w:pPr>
            <w:r>
              <w:rPr>
                <w:lang w:val="en-US"/>
              </w:rPr>
              <w:t>[induction + maintenance]</w:t>
            </w:r>
          </w:p>
        </w:tc>
        <w:tc>
          <w:tcPr>
            <w:tcW w:w="203" w:type="pct"/>
            <w:vAlign w:val="center"/>
          </w:tcPr>
          <w:p w14:paraId="655520D4" w14:textId="77777777" w:rsidR="00D24BA1" w:rsidRDefault="00D24BA1" w:rsidP="00286E68">
            <w:pPr>
              <w:pStyle w:val="TableText0"/>
              <w:keepNext w:val="0"/>
              <w:jc w:val="center"/>
              <w:rPr>
                <w:lang w:val="en-US"/>
              </w:rPr>
            </w:pPr>
            <w:r>
              <w:rPr>
                <w:lang w:val="en-US"/>
              </w:rPr>
              <w:t>215</w:t>
            </w:r>
          </w:p>
        </w:tc>
        <w:tc>
          <w:tcPr>
            <w:tcW w:w="762" w:type="pct"/>
            <w:vAlign w:val="center"/>
          </w:tcPr>
          <w:p w14:paraId="0DD964D9" w14:textId="77777777" w:rsidR="00D24BA1" w:rsidRDefault="00D24BA1" w:rsidP="00286E68">
            <w:pPr>
              <w:pStyle w:val="TableText0"/>
              <w:keepNext w:val="0"/>
              <w:jc w:val="center"/>
              <w:rPr>
                <w:lang w:val="en-US"/>
              </w:rPr>
            </w:pPr>
            <w:r>
              <w:rPr>
                <w:lang w:val="en-US"/>
              </w:rPr>
              <w:t xml:space="preserve">P3, MC (China), R, PC, DB 64 </w:t>
            </w:r>
            <w:proofErr w:type="spellStart"/>
            <w:r>
              <w:rPr>
                <w:lang w:val="en-US"/>
              </w:rPr>
              <w:t>wks</w:t>
            </w:r>
            <w:proofErr w:type="spellEnd"/>
            <w:r>
              <w:rPr>
                <w:lang w:val="en-US"/>
              </w:rPr>
              <w:t xml:space="preserve"> / safety 18 </w:t>
            </w:r>
            <w:proofErr w:type="spellStart"/>
            <w:r>
              <w:rPr>
                <w:lang w:val="en-US"/>
              </w:rPr>
              <w:t>wks</w:t>
            </w:r>
            <w:proofErr w:type="spellEnd"/>
          </w:p>
          <w:p w14:paraId="67FE87A9" w14:textId="77777777" w:rsidR="00D24BA1" w:rsidRDefault="00D24BA1" w:rsidP="00286E68">
            <w:pPr>
              <w:pStyle w:val="TableText0"/>
              <w:keepNext w:val="0"/>
              <w:jc w:val="center"/>
              <w:rPr>
                <w:lang w:val="en-US"/>
              </w:rPr>
            </w:pPr>
            <w:r>
              <w:rPr>
                <w:lang w:val="en-US"/>
              </w:rPr>
              <w:t xml:space="preserve">[IP: 10 </w:t>
            </w:r>
            <w:proofErr w:type="spellStart"/>
            <w:r>
              <w:rPr>
                <w:lang w:val="en-US"/>
              </w:rPr>
              <w:t>wks</w:t>
            </w:r>
            <w:proofErr w:type="spellEnd"/>
            <w:r>
              <w:rPr>
                <w:lang w:val="en-US"/>
              </w:rPr>
              <w:t xml:space="preserve"> + MP: 50 </w:t>
            </w:r>
            <w:proofErr w:type="spellStart"/>
            <w:r>
              <w:rPr>
                <w:lang w:val="en-US"/>
              </w:rPr>
              <w:t>wks</w:t>
            </w:r>
            <w:proofErr w:type="spellEnd"/>
            <w:r>
              <w:rPr>
                <w:lang w:val="en-US"/>
              </w:rPr>
              <w:t xml:space="preserve">] </w:t>
            </w:r>
            <w:r w:rsidRPr="0035479B">
              <w:rPr>
                <w:i/>
                <w:iCs/>
                <w:lang w:val="en-US"/>
              </w:rPr>
              <w:t>Type 2 TT</w:t>
            </w:r>
          </w:p>
        </w:tc>
        <w:tc>
          <w:tcPr>
            <w:tcW w:w="152" w:type="pct"/>
            <w:vAlign w:val="center"/>
          </w:tcPr>
          <w:p w14:paraId="2AA74C64"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6F2A64AD"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48654492"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naïve and experienced</w:t>
            </w:r>
          </w:p>
        </w:tc>
        <w:tc>
          <w:tcPr>
            <w:tcW w:w="1321" w:type="pct"/>
            <w:vAlign w:val="center"/>
          </w:tcPr>
          <w:p w14:paraId="70047B77" w14:textId="77777777" w:rsidR="00D24BA1" w:rsidRDefault="00D24BA1" w:rsidP="00286E68">
            <w:pPr>
              <w:pStyle w:val="TableText0"/>
              <w:keepNext w:val="0"/>
              <w:jc w:val="center"/>
              <w:rPr>
                <w:lang w:val="en-US"/>
              </w:rPr>
            </w:pPr>
            <w:r>
              <w:rPr>
                <w:lang w:val="en-US"/>
              </w:rPr>
              <w:t xml:space="preserve">VDZ 300mg IV </w:t>
            </w:r>
            <w:proofErr w:type="spellStart"/>
            <w:r>
              <w:rPr>
                <w:lang w:val="en-US"/>
              </w:rPr>
              <w:t>Wk</w:t>
            </w:r>
            <w:proofErr w:type="spellEnd"/>
            <w:r>
              <w:rPr>
                <w:lang w:val="en-US"/>
              </w:rPr>
              <w:t xml:space="preserve"> 0, 2, 6 IP -&gt; 300mg Q4W MP</w:t>
            </w:r>
          </w:p>
          <w:p w14:paraId="770169AE" w14:textId="77777777" w:rsidR="00D24BA1" w:rsidRDefault="00D24BA1" w:rsidP="00286E68">
            <w:pPr>
              <w:pStyle w:val="TableText0"/>
              <w:keepNext w:val="0"/>
              <w:jc w:val="center"/>
              <w:rPr>
                <w:lang w:val="en-US"/>
              </w:rPr>
            </w:pPr>
            <w:r>
              <w:rPr>
                <w:lang w:val="en-US"/>
              </w:rPr>
              <w:t xml:space="preserve">VDZ 300mg IV </w:t>
            </w:r>
            <w:proofErr w:type="spellStart"/>
            <w:r>
              <w:rPr>
                <w:lang w:val="en-US"/>
              </w:rPr>
              <w:t>Wk</w:t>
            </w:r>
            <w:proofErr w:type="spellEnd"/>
            <w:r>
              <w:rPr>
                <w:lang w:val="en-US"/>
              </w:rPr>
              <w:t xml:space="preserve"> 0, 2, 6 IP -&gt; 300mg Q8W MP</w:t>
            </w:r>
          </w:p>
          <w:p w14:paraId="0C403652" w14:textId="77777777" w:rsidR="00D24BA1" w:rsidRDefault="00D24BA1" w:rsidP="00286E68">
            <w:pPr>
              <w:pStyle w:val="TableText0"/>
              <w:keepNext w:val="0"/>
              <w:jc w:val="center"/>
              <w:rPr>
                <w:lang w:val="en-US"/>
              </w:rPr>
            </w:pPr>
            <w:r>
              <w:rPr>
                <w:lang w:val="en-US"/>
              </w:rPr>
              <w:t>PBO</w:t>
            </w:r>
          </w:p>
        </w:tc>
        <w:tc>
          <w:tcPr>
            <w:tcW w:w="865" w:type="pct"/>
            <w:vAlign w:val="center"/>
          </w:tcPr>
          <w:p w14:paraId="16708FE1" w14:textId="77777777" w:rsidR="00D24BA1" w:rsidRDefault="00D24BA1" w:rsidP="00286E68">
            <w:pPr>
              <w:pStyle w:val="TableText0"/>
              <w:keepNext w:val="0"/>
              <w:jc w:val="center"/>
              <w:rPr>
                <w:vertAlign w:val="superscript"/>
                <w:lang w:val="en-US"/>
              </w:rPr>
            </w:pPr>
            <w:r>
              <w:rPr>
                <w:lang w:val="en-US"/>
              </w:rPr>
              <w:t>1°: clinical response (CDAI)</w:t>
            </w:r>
            <w:r>
              <w:rPr>
                <w:vertAlign w:val="superscript"/>
                <w:lang w:val="en-US"/>
              </w:rPr>
              <w:t>d</w:t>
            </w:r>
          </w:p>
          <w:p w14:paraId="774C6508"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48CCC9E2"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7369C52E" w14:textId="77777777" w:rsidR="00D24BA1" w:rsidRPr="00625E91" w:rsidRDefault="00D24BA1" w:rsidP="00286E68">
            <w:pPr>
              <w:pStyle w:val="TableText0"/>
              <w:keepNext w:val="0"/>
              <w:jc w:val="center"/>
              <w:rPr>
                <w:lang w:val="en-US"/>
              </w:rPr>
            </w:pPr>
            <w:r>
              <w:rPr>
                <w:lang w:val="en-US"/>
              </w:rPr>
              <w:t>-</w:t>
            </w:r>
          </w:p>
        </w:tc>
        <w:tc>
          <w:tcPr>
            <w:tcW w:w="226" w:type="pct"/>
            <w:vAlign w:val="center"/>
          </w:tcPr>
          <w:p w14:paraId="3BBE6CFF" w14:textId="77777777" w:rsidR="00D24BA1" w:rsidRDefault="00D24BA1" w:rsidP="00286E68">
            <w:pPr>
              <w:pStyle w:val="TableText0"/>
              <w:keepNext w:val="0"/>
              <w:jc w:val="center"/>
              <w:rPr>
                <w:lang w:val="en-US"/>
              </w:rPr>
            </w:pPr>
            <w:r>
              <w:rPr>
                <w:lang w:val="en-US"/>
              </w:rPr>
              <w:t>IP: MA</w:t>
            </w:r>
          </w:p>
        </w:tc>
      </w:tr>
      <w:tr w:rsidR="00D24BA1" w:rsidRPr="00E2771E" w14:paraId="6C69110A" w14:textId="77777777" w:rsidTr="00286E68">
        <w:trPr>
          <w:cantSplit/>
        </w:trPr>
        <w:tc>
          <w:tcPr>
            <w:tcW w:w="5000" w:type="pct"/>
            <w:gridSpan w:val="10"/>
            <w:vAlign w:val="center"/>
          </w:tcPr>
          <w:p w14:paraId="2447AA9D" w14:textId="77777777" w:rsidR="00D24BA1" w:rsidRPr="000D51FA" w:rsidRDefault="00D24BA1" w:rsidP="00286E68">
            <w:pPr>
              <w:pStyle w:val="TableText0"/>
              <w:keepNext w:val="0"/>
              <w:rPr>
                <w:b/>
                <w:bCs w:val="0"/>
                <w:lang w:val="en-US"/>
              </w:rPr>
            </w:pPr>
            <w:r>
              <w:rPr>
                <w:b/>
                <w:bCs w:val="0"/>
                <w:lang w:val="en-US"/>
              </w:rPr>
              <w:t>UPA vs PBO</w:t>
            </w:r>
          </w:p>
        </w:tc>
      </w:tr>
      <w:tr w:rsidR="004B5B74" w:rsidRPr="00E2771E" w14:paraId="5FDBB478" w14:textId="77777777" w:rsidTr="00286E68">
        <w:trPr>
          <w:cantSplit/>
        </w:trPr>
        <w:tc>
          <w:tcPr>
            <w:tcW w:w="456" w:type="pct"/>
            <w:shd w:val="clear" w:color="auto" w:fill="B8CCE4" w:themeFill="accent1" w:themeFillTint="66"/>
            <w:vAlign w:val="center"/>
          </w:tcPr>
          <w:p w14:paraId="15BF9BD4" w14:textId="77777777" w:rsidR="00D24BA1" w:rsidRDefault="00D24BA1" w:rsidP="00286E68">
            <w:pPr>
              <w:pStyle w:val="TableText0"/>
              <w:keepNext w:val="0"/>
              <w:rPr>
                <w:lang w:val="en-US"/>
              </w:rPr>
            </w:pPr>
            <w:r>
              <w:rPr>
                <w:lang w:val="en-US"/>
              </w:rPr>
              <w:t>U-EXCEL</w:t>
            </w:r>
          </w:p>
          <w:p w14:paraId="72C9DCC5"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452759B7" w14:textId="77777777" w:rsidR="00D24BA1" w:rsidRDefault="00D24BA1" w:rsidP="00286E68">
            <w:pPr>
              <w:pStyle w:val="TableText0"/>
              <w:keepNext w:val="0"/>
              <w:jc w:val="center"/>
              <w:rPr>
                <w:lang w:val="en-US"/>
              </w:rPr>
            </w:pPr>
            <w:r>
              <w:rPr>
                <w:lang w:val="en-US"/>
              </w:rPr>
              <w:t>526</w:t>
            </w:r>
          </w:p>
        </w:tc>
        <w:tc>
          <w:tcPr>
            <w:tcW w:w="762" w:type="pct"/>
            <w:shd w:val="clear" w:color="auto" w:fill="B8CCE4" w:themeFill="accent1" w:themeFillTint="66"/>
            <w:vAlign w:val="center"/>
          </w:tcPr>
          <w:p w14:paraId="11A9ADE8" w14:textId="77777777" w:rsidR="00D24BA1" w:rsidRDefault="00D24BA1" w:rsidP="00286E68">
            <w:pPr>
              <w:pStyle w:val="TableText0"/>
              <w:keepNext w:val="0"/>
              <w:jc w:val="center"/>
              <w:rPr>
                <w:lang w:val="en-US"/>
              </w:rPr>
            </w:pPr>
            <w:r>
              <w:rPr>
                <w:lang w:val="en-US"/>
              </w:rPr>
              <w:t xml:space="preserve">P3, MC, R, PC, DB 12 </w:t>
            </w:r>
            <w:proofErr w:type="spellStart"/>
            <w:r>
              <w:rPr>
                <w:lang w:val="en-US"/>
              </w:rPr>
              <w:t>wks</w:t>
            </w:r>
            <w:proofErr w:type="spellEnd"/>
          </w:p>
          <w:p w14:paraId="35814A64" w14:textId="77777777" w:rsidR="00D24BA1" w:rsidRDefault="00D24BA1" w:rsidP="00286E68">
            <w:pPr>
              <w:pStyle w:val="TableText0"/>
              <w:keepNext w:val="0"/>
              <w:jc w:val="center"/>
              <w:rPr>
                <w:lang w:val="en-US"/>
              </w:rPr>
            </w:pPr>
            <w:r>
              <w:rPr>
                <w:lang w:val="en-US"/>
              </w:rPr>
              <w:t xml:space="preserve">[IP: 12 </w:t>
            </w:r>
            <w:proofErr w:type="spellStart"/>
            <w:r>
              <w:rPr>
                <w:lang w:val="en-US"/>
              </w:rPr>
              <w:t>wks</w:t>
            </w:r>
            <w:proofErr w:type="spellEnd"/>
            <w:r>
              <w:rPr>
                <w:lang w:val="en-US"/>
              </w:rPr>
              <w:t>]</w:t>
            </w:r>
          </w:p>
        </w:tc>
        <w:tc>
          <w:tcPr>
            <w:tcW w:w="152" w:type="pct"/>
            <w:shd w:val="clear" w:color="auto" w:fill="B8CCE4" w:themeFill="accent1" w:themeFillTint="66"/>
            <w:vAlign w:val="center"/>
          </w:tcPr>
          <w:p w14:paraId="3C0F9F24"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3E59067D" w14:textId="77777777" w:rsidR="00D24BA1" w:rsidRDefault="00D24BA1" w:rsidP="00286E68">
            <w:pPr>
              <w:pStyle w:val="TableText0"/>
              <w:keepNext w:val="0"/>
              <w:jc w:val="center"/>
              <w:rPr>
                <w:i/>
                <w:iCs/>
                <w:lang w:val="en-US"/>
              </w:rPr>
            </w:pPr>
            <w:r w:rsidRPr="000B00FB">
              <w:rPr>
                <w:i/>
                <w:iCs/>
                <w:lang w:val="en-US"/>
              </w:rPr>
              <w:t>Mean CDAI 293</w:t>
            </w:r>
            <w:r>
              <w:rPr>
                <w:i/>
                <w:iCs/>
                <w:lang w:val="en-US"/>
              </w:rPr>
              <w:t>;</w:t>
            </w:r>
          </w:p>
          <w:p w14:paraId="785ABE27" w14:textId="77777777" w:rsidR="00D24BA1" w:rsidRPr="000B00FB" w:rsidRDefault="00D24BA1" w:rsidP="00286E68">
            <w:pPr>
              <w:pStyle w:val="TableText0"/>
              <w:keepNext w:val="0"/>
              <w:jc w:val="center"/>
              <w:rPr>
                <w:i/>
                <w:iCs/>
                <w:lang w:val="en-US"/>
              </w:rPr>
            </w:pPr>
            <w:r>
              <w:rPr>
                <w:lang w:val="en-US"/>
              </w:rPr>
              <w:t xml:space="preserve">Biologic </w:t>
            </w:r>
            <w:proofErr w:type="gramStart"/>
            <w:r>
              <w:rPr>
                <w:lang w:val="en-US"/>
              </w:rPr>
              <w:t>naïve</w:t>
            </w:r>
            <w:proofErr w:type="gramEnd"/>
            <w:r>
              <w:rPr>
                <w:lang w:val="en-US"/>
              </w:rPr>
              <w:t xml:space="preserve"> and experienced</w:t>
            </w:r>
          </w:p>
        </w:tc>
        <w:tc>
          <w:tcPr>
            <w:tcW w:w="1321" w:type="pct"/>
            <w:shd w:val="clear" w:color="auto" w:fill="B8CCE4" w:themeFill="accent1" w:themeFillTint="66"/>
            <w:vAlign w:val="center"/>
          </w:tcPr>
          <w:p w14:paraId="4C3DC8B7" w14:textId="77777777" w:rsidR="00D24BA1" w:rsidRDefault="00D24BA1" w:rsidP="00286E68">
            <w:pPr>
              <w:pStyle w:val="TableText0"/>
              <w:keepNext w:val="0"/>
              <w:jc w:val="center"/>
              <w:rPr>
                <w:lang w:val="en-US"/>
              </w:rPr>
            </w:pPr>
            <w:r>
              <w:rPr>
                <w:lang w:val="en-US"/>
              </w:rPr>
              <w:t>UPA 45 mg D</w:t>
            </w:r>
          </w:p>
          <w:p w14:paraId="7949F9B5"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25FD7DCE"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993F53">
              <w:rPr>
                <w:vertAlign w:val="superscript"/>
                <w:lang w:val="en-US"/>
              </w:rPr>
              <w:t>a</w:t>
            </w:r>
            <w:proofErr w:type="gramEnd"/>
            <w:r>
              <w:rPr>
                <w:lang w:val="en-US"/>
              </w:rPr>
              <w:t>, endoscopic response (SES-</w:t>
            </w:r>
            <w:proofErr w:type="gramStart"/>
            <w:r>
              <w:rPr>
                <w:lang w:val="en-US"/>
              </w:rPr>
              <w:t>CD)</w:t>
            </w:r>
            <w:r w:rsidRPr="00A60C60">
              <w:rPr>
                <w:vertAlign w:val="superscript"/>
                <w:lang w:val="en-US"/>
              </w:rPr>
              <w:t>b</w:t>
            </w:r>
            <w:proofErr w:type="gramEnd"/>
          </w:p>
          <w:p w14:paraId="08D014CA" w14:textId="77777777" w:rsidR="00D24BA1" w:rsidRDefault="00D24BA1" w:rsidP="00286E68">
            <w:pPr>
              <w:pStyle w:val="TableText0"/>
              <w:keepNext w:val="0"/>
              <w:jc w:val="center"/>
              <w:rPr>
                <w:lang w:val="en-US"/>
              </w:rPr>
            </w:pPr>
            <w:r>
              <w:rPr>
                <w:lang w:val="en-US"/>
              </w:rPr>
              <w:t>2°: clinical response (CDAI)</w:t>
            </w:r>
            <w:r>
              <w:rPr>
                <w:vertAlign w:val="superscript"/>
                <w:lang w:val="en-US"/>
              </w:rPr>
              <w:t>d</w:t>
            </w:r>
          </w:p>
        </w:tc>
        <w:tc>
          <w:tcPr>
            <w:tcW w:w="202" w:type="pct"/>
            <w:vAlign w:val="center"/>
          </w:tcPr>
          <w:p w14:paraId="31BA51C4" w14:textId="77777777" w:rsidR="00D24BA1" w:rsidRPr="00625E91" w:rsidRDefault="00D24BA1" w:rsidP="00286E68">
            <w:pPr>
              <w:pStyle w:val="TableText0"/>
              <w:keepNext w:val="0"/>
              <w:jc w:val="center"/>
              <w:rPr>
                <w:lang w:val="en-US"/>
              </w:rPr>
            </w:pPr>
            <w:r w:rsidRPr="007811B5">
              <w:rPr>
                <w:rFonts w:ascii="Wingdings" w:eastAsia="Wingdings" w:hAnsi="Wingdings" w:cs="Wingdings"/>
                <w:lang w:val="en-US"/>
              </w:rPr>
              <w:t>ü</w:t>
            </w:r>
          </w:p>
        </w:tc>
        <w:tc>
          <w:tcPr>
            <w:tcW w:w="203" w:type="pct"/>
            <w:vAlign w:val="center"/>
          </w:tcPr>
          <w:p w14:paraId="53DF9183" w14:textId="77777777" w:rsidR="00D24BA1" w:rsidRPr="00625E91" w:rsidRDefault="00D24BA1" w:rsidP="00286E68">
            <w:pPr>
              <w:pStyle w:val="TableText0"/>
              <w:keepNext w:val="0"/>
              <w:jc w:val="center"/>
              <w:rPr>
                <w:lang w:val="en-US"/>
              </w:rPr>
            </w:pPr>
            <w:r w:rsidRPr="007811B5">
              <w:rPr>
                <w:rFonts w:ascii="Wingdings" w:eastAsia="Wingdings" w:hAnsi="Wingdings" w:cs="Wingdings"/>
                <w:lang w:val="en-US"/>
              </w:rPr>
              <w:t>ü</w:t>
            </w:r>
          </w:p>
        </w:tc>
        <w:tc>
          <w:tcPr>
            <w:tcW w:w="226" w:type="pct"/>
            <w:vAlign w:val="center"/>
          </w:tcPr>
          <w:p w14:paraId="42DE291A" w14:textId="77777777" w:rsidR="00D24BA1" w:rsidRDefault="00D24BA1" w:rsidP="00286E68">
            <w:pPr>
              <w:pStyle w:val="TableText0"/>
              <w:keepNext w:val="0"/>
              <w:jc w:val="center"/>
              <w:rPr>
                <w:lang w:val="en-US"/>
              </w:rPr>
            </w:pPr>
            <w:r>
              <w:rPr>
                <w:lang w:val="en-US"/>
              </w:rPr>
              <w:t>IP: MA</w:t>
            </w:r>
          </w:p>
        </w:tc>
      </w:tr>
      <w:tr w:rsidR="004B5B74" w:rsidRPr="00E2771E" w14:paraId="4B8FFB31" w14:textId="77777777" w:rsidTr="00286E68">
        <w:trPr>
          <w:cantSplit/>
        </w:trPr>
        <w:tc>
          <w:tcPr>
            <w:tcW w:w="456" w:type="pct"/>
            <w:shd w:val="clear" w:color="auto" w:fill="B8CCE4" w:themeFill="accent1" w:themeFillTint="66"/>
            <w:vAlign w:val="center"/>
          </w:tcPr>
          <w:p w14:paraId="0AA73A43" w14:textId="77777777" w:rsidR="00D24BA1" w:rsidRDefault="00D24BA1" w:rsidP="00286E68">
            <w:pPr>
              <w:pStyle w:val="TableText0"/>
              <w:keepNext w:val="0"/>
              <w:rPr>
                <w:lang w:val="en-US"/>
              </w:rPr>
            </w:pPr>
            <w:r>
              <w:rPr>
                <w:lang w:val="en-US"/>
              </w:rPr>
              <w:t>U-EXCEED</w:t>
            </w:r>
          </w:p>
          <w:p w14:paraId="4C72C793"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6A5F24D2" w14:textId="77777777" w:rsidR="00D24BA1" w:rsidRDefault="00D24BA1" w:rsidP="00286E68">
            <w:pPr>
              <w:pStyle w:val="TableText0"/>
              <w:keepNext w:val="0"/>
              <w:jc w:val="center"/>
              <w:rPr>
                <w:lang w:val="en-US"/>
              </w:rPr>
            </w:pPr>
            <w:r>
              <w:rPr>
                <w:lang w:val="en-US"/>
              </w:rPr>
              <w:t>495</w:t>
            </w:r>
          </w:p>
        </w:tc>
        <w:tc>
          <w:tcPr>
            <w:tcW w:w="762" w:type="pct"/>
            <w:shd w:val="clear" w:color="auto" w:fill="B8CCE4" w:themeFill="accent1" w:themeFillTint="66"/>
            <w:vAlign w:val="center"/>
          </w:tcPr>
          <w:p w14:paraId="5F1484FF" w14:textId="77777777" w:rsidR="00D24BA1" w:rsidRDefault="00D24BA1" w:rsidP="00286E68">
            <w:pPr>
              <w:pStyle w:val="TableText0"/>
              <w:keepNext w:val="0"/>
              <w:jc w:val="center"/>
              <w:rPr>
                <w:lang w:val="en-US"/>
              </w:rPr>
            </w:pPr>
            <w:r>
              <w:rPr>
                <w:lang w:val="en-US"/>
              </w:rPr>
              <w:t xml:space="preserve">P3, MC, R, PC, DB 12 </w:t>
            </w:r>
            <w:proofErr w:type="spellStart"/>
            <w:r>
              <w:rPr>
                <w:lang w:val="en-US"/>
              </w:rPr>
              <w:t>wks</w:t>
            </w:r>
            <w:proofErr w:type="spellEnd"/>
            <w:r>
              <w:rPr>
                <w:lang w:val="en-US"/>
              </w:rPr>
              <w:t xml:space="preserve"> / OL 12 </w:t>
            </w:r>
            <w:proofErr w:type="spellStart"/>
            <w:r>
              <w:rPr>
                <w:lang w:val="en-US"/>
              </w:rPr>
              <w:t>wks</w:t>
            </w:r>
            <w:r w:rsidRPr="008F4E7C">
              <w:rPr>
                <w:vertAlign w:val="superscript"/>
                <w:lang w:val="en-US"/>
              </w:rPr>
              <w:t>g</w:t>
            </w:r>
            <w:proofErr w:type="spellEnd"/>
          </w:p>
          <w:p w14:paraId="313F1C61" w14:textId="77777777" w:rsidR="00D24BA1" w:rsidRDefault="00D24BA1" w:rsidP="00286E68">
            <w:pPr>
              <w:pStyle w:val="TableText0"/>
              <w:keepNext w:val="0"/>
              <w:jc w:val="center"/>
              <w:rPr>
                <w:lang w:val="en-US"/>
              </w:rPr>
            </w:pPr>
            <w:r>
              <w:rPr>
                <w:lang w:val="en-US"/>
              </w:rPr>
              <w:t xml:space="preserve">[IP: 12 </w:t>
            </w:r>
            <w:proofErr w:type="spellStart"/>
            <w:r>
              <w:rPr>
                <w:lang w:val="en-US"/>
              </w:rPr>
              <w:t>wks</w:t>
            </w:r>
            <w:proofErr w:type="spellEnd"/>
            <w:r>
              <w:rPr>
                <w:lang w:val="en-US"/>
              </w:rPr>
              <w:t>]</w:t>
            </w:r>
          </w:p>
        </w:tc>
        <w:tc>
          <w:tcPr>
            <w:tcW w:w="152" w:type="pct"/>
            <w:shd w:val="clear" w:color="auto" w:fill="B8CCE4" w:themeFill="accent1" w:themeFillTint="66"/>
            <w:vAlign w:val="center"/>
          </w:tcPr>
          <w:p w14:paraId="5D3084BC"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296115C9" w14:textId="77777777" w:rsidR="00D24BA1" w:rsidRDefault="00D24BA1" w:rsidP="00286E68">
            <w:pPr>
              <w:pStyle w:val="TableText0"/>
              <w:keepNext w:val="0"/>
              <w:jc w:val="center"/>
              <w:rPr>
                <w:i/>
                <w:iCs/>
                <w:lang w:val="en-US"/>
              </w:rPr>
            </w:pPr>
            <w:r w:rsidRPr="000B00FB">
              <w:rPr>
                <w:i/>
                <w:iCs/>
                <w:lang w:val="en-US"/>
              </w:rPr>
              <w:t xml:space="preserve">Mean CDAI </w:t>
            </w:r>
            <w:r>
              <w:rPr>
                <w:i/>
                <w:iCs/>
                <w:lang w:val="en-US"/>
              </w:rPr>
              <w:t>307;</w:t>
            </w:r>
          </w:p>
          <w:p w14:paraId="0C8D92AB" w14:textId="77777777" w:rsidR="00D24BA1" w:rsidRPr="000B00FB" w:rsidRDefault="00D24BA1" w:rsidP="00286E68">
            <w:pPr>
              <w:pStyle w:val="TableText0"/>
              <w:keepNext w:val="0"/>
              <w:jc w:val="center"/>
              <w:rPr>
                <w:i/>
                <w:iCs/>
                <w:lang w:val="en-US"/>
              </w:rPr>
            </w:pPr>
            <w:proofErr w:type="gramStart"/>
            <w:r>
              <w:rPr>
                <w:lang w:val="en-US"/>
              </w:rPr>
              <w:t>Biologic</w:t>
            </w:r>
            <w:proofErr w:type="gramEnd"/>
            <w:r>
              <w:rPr>
                <w:lang w:val="en-US"/>
              </w:rPr>
              <w:t xml:space="preserve"> experienced</w:t>
            </w:r>
          </w:p>
        </w:tc>
        <w:tc>
          <w:tcPr>
            <w:tcW w:w="1321" w:type="pct"/>
            <w:shd w:val="clear" w:color="auto" w:fill="B8CCE4" w:themeFill="accent1" w:themeFillTint="66"/>
            <w:vAlign w:val="center"/>
          </w:tcPr>
          <w:p w14:paraId="2E406B03" w14:textId="77777777" w:rsidR="00D24BA1" w:rsidRDefault="00D24BA1" w:rsidP="00286E68">
            <w:pPr>
              <w:pStyle w:val="TableText0"/>
              <w:keepNext w:val="0"/>
              <w:jc w:val="center"/>
              <w:rPr>
                <w:lang w:val="en-US"/>
              </w:rPr>
            </w:pPr>
            <w:r>
              <w:rPr>
                <w:lang w:val="en-US"/>
              </w:rPr>
              <w:t>UPA 45 mg D</w:t>
            </w:r>
          </w:p>
          <w:p w14:paraId="7856111A"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18DB096F"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993F53">
              <w:rPr>
                <w:vertAlign w:val="superscript"/>
                <w:lang w:val="en-US"/>
              </w:rPr>
              <w:t>a</w:t>
            </w:r>
            <w:proofErr w:type="gramEnd"/>
            <w:r>
              <w:rPr>
                <w:lang w:val="en-US"/>
              </w:rPr>
              <w:t>, endoscopic response (SES-</w:t>
            </w:r>
            <w:proofErr w:type="gramStart"/>
            <w:r>
              <w:rPr>
                <w:lang w:val="en-US"/>
              </w:rPr>
              <w:t>CD)</w:t>
            </w:r>
            <w:r w:rsidRPr="00A60C60">
              <w:rPr>
                <w:vertAlign w:val="superscript"/>
                <w:lang w:val="en-US"/>
              </w:rPr>
              <w:t>b</w:t>
            </w:r>
            <w:proofErr w:type="gramEnd"/>
          </w:p>
          <w:p w14:paraId="2605ABE3" w14:textId="77777777" w:rsidR="00D24BA1" w:rsidRPr="00A60C60" w:rsidRDefault="00D24BA1" w:rsidP="00286E68">
            <w:pPr>
              <w:pStyle w:val="TableText0"/>
              <w:keepNext w:val="0"/>
              <w:jc w:val="center"/>
              <w:rPr>
                <w:lang w:val="en-US"/>
              </w:rPr>
            </w:pPr>
            <w:r>
              <w:rPr>
                <w:lang w:val="en-US"/>
              </w:rPr>
              <w:t>2°: clinical response (CDAI)</w:t>
            </w:r>
            <w:r>
              <w:rPr>
                <w:vertAlign w:val="superscript"/>
                <w:lang w:val="en-US"/>
              </w:rPr>
              <w:t>d</w:t>
            </w:r>
          </w:p>
        </w:tc>
        <w:tc>
          <w:tcPr>
            <w:tcW w:w="202" w:type="pct"/>
            <w:vAlign w:val="center"/>
          </w:tcPr>
          <w:p w14:paraId="429FDEA9" w14:textId="77777777" w:rsidR="00D24BA1" w:rsidRPr="00625E91" w:rsidRDefault="00D24BA1" w:rsidP="00286E68">
            <w:pPr>
              <w:pStyle w:val="TableText0"/>
              <w:keepNext w:val="0"/>
              <w:jc w:val="center"/>
              <w:rPr>
                <w:lang w:val="en-US"/>
              </w:rPr>
            </w:pPr>
            <w:r w:rsidRPr="007811B5">
              <w:rPr>
                <w:rFonts w:ascii="Wingdings" w:eastAsia="Wingdings" w:hAnsi="Wingdings" w:cs="Wingdings"/>
                <w:lang w:val="en-US"/>
              </w:rPr>
              <w:t>ü</w:t>
            </w:r>
          </w:p>
        </w:tc>
        <w:tc>
          <w:tcPr>
            <w:tcW w:w="203" w:type="pct"/>
            <w:vAlign w:val="center"/>
          </w:tcPr>
          <w:p w14:paraId="0A2DBFE8" w14:textId="77777777" w:rsidR="00D24BA1" w:rsidRPr="00625E91" w:rsidRDefault="00D24BA1" w:rsidP="00286E68">
            <w:pPr>
              <w:pStyle w:val="TableText0"/>
              <w:keepNext w:val="0"/>
              <w:jc w:val="center"/>
              <w:rPr>
                <w:lang w:val="en-US"/>
              </w:rPr>
            </w:pPr>
            <w:r w:rsidRPr="007811B5">
              <w:rPr>
                <w:rFonts w:ascii="Wingdings" w:eastAsia="Wingdings" w:hAnsi="Wingdings" w:cs="Wingdings"/>
                <w:lang w:val="en-US"/>
              </w:rPr>
              <w:t>ü</w:t>
            </w:r>
          </w:p>
        </w:tc>
        <w:tc>
          <w:tcPr>
            <w:tcW w:w="226" w:type="pct"/>
            <w:vAlign w:val="center"/>
          </w:tcPr>
          <w:p w14:paraId="1827D7D6" w14:textId="77777777" w:rsidR="00D24BA1" w:rsidRDefault="00D24BA1" w:rsidP="00286E68">
            <w:pPr>
              <w:pStyle w:val="TableText0"/>
              <w:keepNext w:val="0"/>
              <w:jc w:val="center"/>
              <w:rPr>
                <w:lang w:val="en-US"/>
              </w:rPr>
            </w:pPr>
            <w:r>
              <w:rPr>
                <w:lang w:val="en-US"/>
              </w:rPr>
              <w:t>IP: MA</w:t>
            </w:r>
          </w:p>
        </w:tc>
      </w:tr>
      <w:tr w:rsidR="00D24BA1" w:rsidRPr="00E2771E" w14:paraId="5721D97B" w14:textId="77777777" w:rsidTr="00286E68">
        <w:trPr>
          <w:cantSplit/>
        </w:trPr>
        <w:tc>
          <w:tcPr>
            <w:tcW w:w="5000" w:type="pct"/>
            <w:gridSpan w:val="10"/>
            <w:vAlign w:val="center"/>
          </w:tcPr>
          <w:p w14:paraId="6DA46775" w14:textId="77777777" w:rsidR="00D24BA1" w:rsidRPr="000D51FA" w:rsidRDefault="00D24BA1" w:rsidP="00286E68">
            <w:pPr>
              <w:pStyle w:val="TableText0"/>
              <w:keepNext w:val="0"/>
              <w:rPr>
                <w:b/>
                <w:bCs w:val="0"/>
                <w:lang w:val="en-US"/>
              </w:rPr>
            </w:pPr>
            <w:r>
              <w:rPr>
                <w:b/>
                <w:bCs w:val="0"/>
                <w:lang w:val="en-US"/>
              </w:rPr>
              <w:t>UST vs PBO</w:t>
            </w:r>
          </w:p>
        </w:tc>
      </w:tr>
      <w:tr w:rsidR="004B5B74" w:rsidRPr="00E2771E" w14:paraId="79EA2A9A" w14:textId="77777777" w:rsidTr="00286E68">
        <w:trPr>
          <w:cantSplit/>
        </w:trPr>
        <w:tc>
          <w:tcPr>
            <w:tcW w:w="456" w:type="pct"/>
            <w:shd w:val="clear" w:color="auto" w:fill="B8CCE4" w:themeFill="accent1" w:themeFillTint="66"/>
            <w:vAlign w:val="center"/>
          </w:tcPr>
          <w:p w14:paraId="48A125C4" w14:textId="77777777" w:rsidR="00D24BA1" w:rsidRDefault="00D24BA1" w:rsidP="00286E68">
            <w:pPr>
              <w:pStyle w:val="TableText0"/>
              <w:keepNext w:val="0"/>
              <w:rPr>
                <w:lang w:val="en-US"/>
              </w:rPr>
            </w:pPr>
            <w:r>
              <w:rPr>
                <w:lang w:val="en-US"/>
              </w:rPr>
              <w:t>UNITI-1</w:t>
            </w:r>
          </w:p>
          <w:p w14:paraId="6932A120"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565C290F" w14:textId="77777777" w:rsidR="00D24BA1" w:rsidRDefault="00D24BA1" w:rsidP="00286E68">
            <w:pPr>
              <w:pStyle w:val="TableText0"/>
              <w:keepNext w:val="0"/>
              <w:jc w:val="center"/>
              <w:rPr>
                <w:lang w:val="en-US"/>
              </w:rPr>
            </w:pPr>
            <w:r>
              <w:rPr>
                <w:lang w:val="en-US"/>
              </w:rPr>
              <w:t>741</w:t>
            </w:r>
          </w:p>
        </w:tc>
        <w:tc>
          <w:tcPr>
            <w:tcW w:w="762" w:type="pct"/>
            <w:shd w:val="clear" w:color="auto" w:fill="B8CCE4" w:themeFill="accent1" w:themeFillTint="66"/>
            <w:vAlign w:val="center"/>
          </w:tcPr>
          <w:p w14:paraId="289FF586" w14:textId="77777777" w:rsidR="00D24BA1" w:rsidRDefault="00D24BA1" w:rsidP="00286E68">
            <w:pPr>
              <w:pStyle w:val="TableText0"/>
              <w:keepNext w:val="0"/>
              <w:jc w:val="center"/>
              <w:rPr>
                <w:lang w:val="en-US"/>
              </w:rPr>
            </w:pPr>
            <w:r>
              <w:rPr>
                <w:lang w:val="en-US"/>
              </w:rPr>
              <w:t xml:space="preserve">P3, MC, R, PC, DB 8 </w:t>
            </w:r>
            <w:proofErr w:type="spellStart"/>
            <w:r>
              <w:rPr>
                <w:lang w:val="en-US"/>
              </w:rPr>
              <w:t>wks</w:t>
            </w:r>
            <w:r w:rsidRPr="009D610C">
              <w:rPr>
                <w:vertAlign w:val="superscript"/>
                <w:lang w:val="en-US"/>
              </w:rPr>
              <w:t>i</w:t>
            </w:r>
            <w:proofErr w:type="spellEnd"/>
          </w:p>
          <w:p w14:paraId="1B9ADDB0" w14:textId="77777777" w:rsidR="00D24BA1" w:rsidRDefault="00D24BA1" w:rsidP="00286E68">
            <w:pPr>
              <w:pStyle w:val="TableText0"/>
              <w:keepNext w:val="0"/>
              <w:jc w:val="center"/>
              <w:rPr>
                <w:lang w:val="en-US"/>
              </w:rPr>
            </w:pPr>
            <w:r>
              <w:rPr>
                <w:lang w:val="en-US"/>
              </w:rPr>
              <w:t xml:space="preserve">[IP: 8 </w:t>
            </w:r>
            <w:proofErr w:type="spellStart"/>
            <w:r>
              <w:rPr>
                <w:lang w:val="en-US"/>
              </w:rPr>
              <w:t>wks</w:t>
            </w:r>
            <w:proofErr w:type="spellEnd"/>
            <w:r>
              <w:rPr>
                <w:lang w:val="en-US"/>
              </w:rPr>
              <w:t>]</w:t>
            </w:r>
          </w:p>
        </w:tc>
        <w:tc>
          <w:tcPr>
            <w:tcW w:w="152" w:type="pct"/>
            <w:shd w:val="clear" w:color="auto" w:fill="B8CCE4" w:themeFill="accent1" w:themeFillTint="66"/>
            <w:vAlign w:val="center"/>
          </w:tcPr>
          <w:p w14:paraId="1F3771C5"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2D145B53"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010040F2"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experienced</w:t>
            </w:r>
          </w:p>
        </w:tc>
        <w:tc>
          <w:tcPr>
            <w:tcW w:w="1321" w:type="pct"/>
            <w:shd w:val="clear" w:color="auto" w:fill="B8CCE4" w:themeFill="accent1" w:themeFillTint="66"/>
            <w:vAlign w:val="center"/>
          </w:tcPr>
          <w:p w14:paraId="01C82377" w14:textId="77777777" w:rsidR="00D24BA1" w:rsidRDefault="00D24BA1" w:rsidP="00286E68">
            <w:pPr>
              <w:pStyle w:val="TableText0"/>
              <w:keepNext w:val="0"/>
              <w:jc w:val="center"/>
              <w:rPr>
                <w:lang w:val="en-US"/>
              </w:rPr>
            </w:pPr>
            <w:r w:rsidRPr="003B7941">
              <w:rPr>
                <w:lang w:val="en-US"/>
              </w:rPr>
              <w:t>U</w:t>
            </w:r>
            <w:r>
              <w:rPr>
                <w:lang w:val="en-US"/>
              </w:rPr>
              <w:t>ST</w:t>
            </w:r>
            <w:r w:rsidRPr="003B7941">
              <w:rPr>
                <w:lang w:val="en-US"/>
              </w:rPr>
              <w:t xml:space="preserve"> 6mg/kg</w:t>
            </w:r>
            <w:r>
              <w:rPr>
                <w:lang w:val="en-US"/>
              </w:rPr>
              <w:t xml:space="preserve"> </w:t>
            </w:r>
            <w:proofErr w:type="spellStart"/>
            <w:r>
              <w:rPr>
                <w:lang w:val="en-US"/>
              </w:rPr>
              <w:t>Wk</w:t>
            </w:r>
            <w:proofErr w:type="spellEnd"/>
            <w:r>
              <w:rPr>
                <w:lang w:val="en-US"/>
              </w:rPr>
              <w:t xml:space="preserve"> 0</w:t>
            </w:r>
          </w:p>
          <w:p w14:paraId="76052B66"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3F5EE2F9" w14:textId="77777777" w:rsidR="00D24BA1" w:rsidRDefault="00D24BA1" w:rsidP="00286E68">
            <w:pPr>
              <w:pStyle w:val="TableText0"/>
              <w:keepNext w:val="0"/>
              <w:jc w:val="center"/>
              <w:rPr>
                <w:vertAlign w:val="superscript"/>
                <w:lang w:val="en-US"/>
              </w:rPr>
            </w:pPr>
            <w:r>
              <w:rPr>
                <w:lang w:val="en-US"/>
              </w:rPr>
              <w:t>1°: clinical response (CDAI</w:t>
            </w:r>
            <w:proofErr w:type="gramStart"/>
            <w:r>
              <w:rPr>
                <w:lang w:val="en-US"/>
              </w:rPr>
              <w:t>)</w:t>
            </w:r>
            <w:r w:rsidRPr="003B7941">
              <w:rPr>
                <w:vertAlign w:val="superscript"/>
                <w:lang w:val="en-US"/>
              </w:rPr>
              <w:t>e</w:t>
            </w:r>
            <w:proofErr w:type="gramEnd"/>
            <w:r>
              <w:rPr>
                <w:lang w:val="en-US"/>
              </w:rPr>
              <w:t xml:space="preserve"> </w:t>
            </w:r>
          </w:p>
          <w:p w14:paraId="36363FCD"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5A3A710A" w14:textId="77777777" w:rsidR="00D24BA1" w:rsidRPr="00625E91" w:rsidRDefault="00D24BA1" w:rsidP="00286E68">
            <w:pPr>
              <w:pStyle w:val="TableText0"/>
              <w:keepNext w:val="0"/>
              <w:jc w:val="center"/>
              <w:rPr>
                <w:lang w:val="en-US"/>
              </w:rPr>
            </w:pPr>
            <w:r>
              <w:rPr>
                <w:lang w:val="en-US"/>
              </w:rPr>
              <w:t>-</w:t>
            </w:r>
            <w:r w:rsidRPr="00FE4229">
              <w:rPr>
                <w:vertAlign w:val="superscript"/>
                <w:lang w:val="en-US"/>
              </w:rPr>
              <w:t>n</w:t>
            </w:r>
          </w:p>
        </w:tc>
        <w:tc>
          <w:tcPr>
            <w:tcW w:w="203" w:type="pct"/>
            <w:vAlign w:val="center"/>
          </w:tcPr>
          <w:p w14:paraId="0F0F771C" w14:textId="77777777" w:rsidR="00D24BA1" w:rsidRPr="00625E91" w:rsidRDefault="00D24BA1" w:rsidP="00286E68">
            <w:pPr>
              <w:pStyle w:val="TableText0"/>
              <w:keepNext w:val="0"/>
              <w:jc w:val="center"/>
              <w:rPr>
                <w:lang w:val="en-US"/>
              </w:rPr>
            </w:pPr>
            <w:r w:rsidRPr="00056813">
              <w:rPr>
                <w:rFonts w:ascii="Wingdings" w:eastAsia="Wingdings" w:hAnsi="Wingdings" w:cs="Wingdings"/>
                <w:lang w:val="en-US"/>
              </w:rPr>
              <w:t>ü</w:t>
            </w:r>
          </w:p>
        </w:tc>
        <w:tc>
          <w:tcPr>
            <w:tcW w:w="226" w:type="pct"/>
            <w:vAlign w:val="center"/>
          </w:tcPr>
          <w:p w14:paraId="5F5924EB" w14:textId="77777777" w:rsidR="00D24BA1" w:rsidRPr="000C28B6" w:rsidRDefault="00D24BA1" w:rsidP="00286E68">
            <w:pPr>
              <w:pStyle w:val="TableText0"/>
              <w:keepNext w:val="0"/>
              <w:jc w:val="center"/>
              <w:rPr>
                <w:lang w:val="en-US"/>
              </w:rPr>
            </w:pPr>
            <w:r w:rsidRPr="000C28B6">
              <w:rPr>
                <w:lang w:val="en-US"/>
              </w:rPr>
              <w:t>-</w:t>
            </w:r>
            <w:r w:rsidRPr="004C1C9D">
              <w:rPr>
                <w:vertAlign w:val="superscript"/>
                <w:lang w:val="en-US"/>
              </w:rPr>
              <w:t>p</w:t>
            </w:r>
          </w:p>
        </w:tc>
      </w:tr>
      <w:tr w:rsidR="004B5B74" w:rsidRPr="00E2771E" w14:paraId="016C8133" w14:textId="77777777" w:rsidTr="00286E68">
        <w:trPr>
          <w:cantSplit/>
        </w:trPr>
        <w:tc>
          <w:tcPr>
            <w:tcW w:w="456" w:type="pct"/>
            <w:shd w:val="clear" w:color="auto" w:fill="B8CCE4" w:themeFill="accent1" w:themeFillTint="66"/>
            <w:vAlign w:val="center"/>
          </w:tcPr>
          <w:p w14:paraId="277150FB" w14:textId="77777777" w:rsidR="00D24BA1" w:rsidRDefault="00D24BA1" w:rsidP="00286E68">
            <w:pPr>
              <w:pStyle w:val="TableText0"/>
              <w:keepNext w:val="0"/>
              <w:rPr>
                <w:lang w:val="en-US"/>
              </w:rPr>
            </w:pPr>
            <w:r>
              <w:rPr>
                <w:lang w:val="en-US"/>
              </w:rPr>
              <w:lastRenderedPageBreak/>
              <w:t>UNITI-2</w:t>
            </w:r>
          </w:p>
          <w:p w14:paraId="413C6A8D"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45D073FF" w14:textId="77777777" w:rsidR="00D24BA1" w:rsidRDefault="00D24BA1" w:rsidP="00286E68">
            <w:pPr>
              <w:pStyle w:val="TableText0"/>
              <w:keepNext w:val="0"/>
              <w:jc w:val="center"/>
              <w:rPr>
                <w:lang w:val="en-US"/>
              </w:rPr>
            </w:pPr>
            <w:r>
              <w:rPr>
                <w:lang w:val="en-US"/>
              </w:rPr>
              <w:t>628</w:t>
            </w:r>
          </w:p>
        </w:tc>
        <w:tc>
          <w:tcPr>
            <w:tcW w:w="762" w:type="pct"/>
            <w:shd w:val="clear" w:color="auto" w:fill="B8CCE4" w:themeFill="accent1" w:themeFillTint="66"/>
            <w:vAlign w:val="center"/>
          </w:tcPr>
          <w:p w14:paraId="68FED021" w14:textId="77777777" w:rsidR="00D24BA1" w:rsidRDefault="00D24BA1" w:rsidP="00286E68">
            <w:pPr>
              <w:pStyle w:val="TableText0"/>
              <w:keepNext w:val="0"/>
              <w:jc w:val="center"/>
              <w:rPr>
                <w:lang w:val="en-US"/>
              </w:rPr>
            </w:pPr>
            <w:r>
              <w:rPr>
                <w:lang w:val="en-US"/>
              </w:rPr>
              <w:t xml:space="preserve">P3, MC, R, PC, DB 8 </w:t>
            </w:r>
            <w:proofErr w:type="spellStart"/>
            <w:r>
              <w:rPr>
                <w:lang w:val="en-US"/>
              </w:rPr>
              <w:t>wks</w:t>
            </w:r>
            <w:r w:rsidRPr="009D610C">
              <w:rPr>
                <w:vertAlign w:val="superscript"/>
                <w:lang w:val="en-US"/>
              </w:rPr>
              <w:t>i</w:t>
            </w:r>
            <w:proofErr w:type="spellEnd"/>
          </w:p>
          <w:p w14:paraId="128381AB" w14:textId="77777777" w:rsidR="00D24BA1" w:rsidRDefault="00D24BA1" w:rsidP="00286E68">
            <w:pPr>
              <w:pStyle w:val="TableText0"/>
              <w:keepNext w:val="0"/>
              <w:jc w:val="center"/>
              <w:rPr>
                <w:lang w:val="en-US"/>
              </w:rPr>
            </w:pPr>
            <w:r>
              <w:rPr>
                <w:lang w:val="en-US"/>
              </w:rPr>
              <w:t xml:space="preserve">[IP: 8 </w:t>
            </w:r>
            <w:proofErr w:type="spellStart"/>
            <w:r>
              <w:rPr>
                <w:lang w:val="en-US"/>
              </w:rPr>
              <w:t>wks</w:t>
            </w:r>
            <w:proofErr w:type="spellEnd"/>
            <w:r>
              <w:rPr>
                <w:lang w:val="en-US"/>
              </w:rPr>
              <w:t>]</w:t>
            </w:r>
          </w:p>
        </w:tc>
        <w:tc>
          <w:tcPr>
            <w:tcW w:w="152" w:type="pct"/>
            <w:shd w:val="clear" w:color="auto" w:fill="B8CCE4" w:themeFill="accent1" w:themeFillTint="66"/>
            <w:vAlign w:val="center"/>
          </w:tcPr>
          <w:p w14:paraId="5A124460"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09D60D1E"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73C1DD23" w14:textId="77777777" w:rsidR="00D24BA1" w:rsidRPr="00376C38" w:rsidRDefault="00D24BA1" w:rsidP="00286E68">
            <w:pPr>
              <w:pStyle w:val="TableText0"/>
              <w:keepNext w:val="0"/>
              <w:jc w:val="center"/>
              <w:rPr>
                <w:lang w:val="en-US"/>
              </w:rPr>
            </w:pPr>
            <w:r>
              <w:rPr>
                <w:lang w:val="en-US"/>
              </w:rPr>
              <w:t xml:space="preserve">Biologic naïve and experienced (non-responders </w:t>
            </w:r>
            <w:proofErr w:type="gramStart"/>
            <w:r>
              <w:rPr>
                <w:lang w:val="en-US"/>
              </w:rPr>
              <w:t>excluded)</w:t>
            </w:r>
            <w:r w:rsidRPr="00BA012F">
              <w:rPr>
                <w:vertAlign w:val="superscript"/>
                <w:lang w:val="en-US"/>
              </w:rPr>
              <w:t>h</w:t>
            </w:r>
            <w:proofErr w:type="gramEnd"/>
          </w:p>
        </w:tc>
        <w:tc>
          <w:tcPr>
            <w:tcW w:w="1321" w:type="pct"/>
            <w:shd w:val="clear" w:color="auto" w:fill="B8CCE4" w:themeFill="accent1" w:themeFillTint="66"/>
            <w:vAlign w:val="center"/>
          </w:tcPr>
          <w:p w14:paraId="6F4D6C1E" w14:textId="77777777" w:rsidR="00D24BA1" w:rsidRDefault="00D24BA1" w:rsidP="00286E68">
            <w:pPr>
              <w:pStyle w:val="TableText0"/>
              <w:keepNext w:val="0"/>
              <w:jc w:val="center"/>
              <w:rPr>
                <w:lang w:val="en-US"/>
              </w:rPr>
            </w:pPr>
            <w:r w:rsidRPr="003B7941">
              <w:rPr>
                <w:lang w:val="en-US"/>
              </w:rPr>
              <w:t>U</w:t>
            </w:r>
            <w:r>
              <w:rPr>
                <w:lang w:val="en-US"/>
              </w:rPr>
              <w:t>ST</w:t>
            </w:r>
            <w:r w:rsidRPr="003B7941">
              <w:rPr>
                <w:lang w:val="en-US"/>
              </w:rPr>
              <w:t xml:space="preserve"> 6mg/kg</w:t>
            </w:r>
            <w:r>
              <w:rPr>
                <w:lang w:val="en-US"/>
              </w:rPr>
              <w:t xml:space="preserve"> </w:t>
            </w:r>
            <w:proofErr w:type="spellStart"/>
            <w:r>
              <w:rPr>
                <w:lang w:val="en-US"/>
              </w:rPr>
              <w:t>Wk</w:t>
            </w:r>
            <w:proofErr w:type="spellEnd"/>
            <w:r>
              <w:rPr>
                <w:lang w:val="en-US"/>
              </w:rPr>
              <w:t xml:space="preserve"> 0</w:t>
            </w:r>
          </w:p>
          <w:p w14:paraId="0839A407"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26564E07" w14:textId="77777777" w:rsidR="00D24BA1" w:rsidRDefault="00D24BA1" w:rsidP="00286E68">
            <w:pPr>
              <w:pStyle w:val="TableText0"/>
              <w:keepNext w:val="0"/>
              <w:jc w:val="center"/>
              <w:rPr>
                <w:vertAlign w:val="superscript"/>
                <w:lang w:val="en-US"/>
              </w:rPr>
            </w:pPr>
            <w:r>
              <w:rPr>
                <w:lang w:val="en-US"/>
              </w:rPr>
              <w:t>1°: clinical response (CDAI</w:t>
            </w:r>
            <w:proofErr w:type="gramStart"/>
            <w:r>
              <w:rPr>
                <w:lang w:val="en-US"/>
              </w:rPr>
              <w:t>)</w:t>
            </w:r>
            <w:r>
              <w:rPr>
                <w:vertAlign w:val="superscript"/>
                <w:lang w:val="en-US"/>
              </w:rPr>
              <w:t>e</w:t>
            </w:r>
            <w:proofErr w:type="gramEnd"/>
            <w:r>
              <w:rPr>
                <w:lang w:val="en-US"/>
              </w:rPr>
              <w:t xml:space="preserve"> </w:t>
            </w:r>
          </w:p>
          <w:p w14:paraId="57FC1FD5"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7E5E1E8B" w14:textId="77777777" w:rsidR="00D24BA1" w:rsidRPr="00625E91" w:rsidRDefault="00D24BA1" w:rsidP="00286E68">
            <w:pPr>
              <w:pStyle w:val="TableText0"/>
              <w:keepNext w:val="0"/>
              <w:jc w:val="center"/>
              <w:rPr>
                <w:lang w:val="en-US"/>
              </w:rPr>
            </w:pPr>
            <w:r>
              <w:rPr>
                <w:lang w:val="en-US"/>
              </w:rPr>
              <w:t>-</w:t>
            </w:r>
            <w:r w:rsidRPr="00FE4229">
              <w:rPr>
                <w:vertAlign w:val="superscript"/>
                <w:lang w:val="en-US"/>
              </w:rPr>
              <w:t>n</w:t>
            </w:r>
          </w:p>
        </w:tc>
        <w:tc>
          <w:tcPr>
            <w:tcW w:w="203" w:type="pct"/>
            <w:vAlign w:val="center"/>
          </w:tcPr>
          <w:p w14:paraId="7BC6B779" w14:textId="77777777" w:rsidR="00D24BA1" w:rsidRPr="00625E91" w:rsidRDefault="00D24BA1" w:rsidP="00286E68">
            <w:pPr>
              <w:pStyle w:val="TableText0"/>
              <w:keepNext w:val="0"/>
              <w:jc w:val="center"/>
              <w:rPr>
                <w:lang w:val="en-US"/>
              </w:rPr>
            </w:pPr>
            <w:r w:rsidRPr="00056813">
              <w:rPr>
                <w:rFonts w:ascii="Wingdings" w:eastAsia="Wingdings" w:hAnsi="Wingdings" w:cs="Wingdings"/>
                <w:lang w:val="en-US"/>
              </w:rPr>
              <w:t>ü</w:t>
            </w:r>
          </w:p>
        </w:tc>
        <w:tc>
          <w:tcPr>
            <w:tcW w:w="226" w:type="pct"/>
            <w:vAlign w:val="center"/>
          </w:tcPr>
          <w:p w14:paraId="11799C43" w14:textId="77777777" w:rsidR="00D24BA1" w:rsidRPr="000C28B6" w:rsidRDefault="00D24BA1" w:rsidP="00286E68">
            <w:pPr>
              <w:pStyle w:val="TableText0"/>
              <w:keepNext w:val="0"/>
              <w:jc w:val="center"/>
              <w:rPr>
                <w:lang w:val="en-US"/>
              </w:rPr>
            </w:pPr>
            <w:r w:rsidRPr="000C28B6">
              <w:rPr>
                <w:lang w:val="en-US"/>
              </w:rPr>
              <w:t>-</w:t>
            </w:r>
            <w:r w:rsidRPr="004C1C9D">
              <w:rPr>
                <w:vertAlign w:val="superscript"/>
                <w:lang w:val="en-US"/>
              </w:rPr>
              <w:t>p</w:t>
            </w:r>
          </w:p>
        </w:tc>
      </w:tr>
      <w:tr w:rsidR="00D24BA1" w:rsidRPr="00E2771E" w14:paraId="277A545C" w14:textId="77777777" w:rsidTr="00286E68">
        <w:trPr>
          <w:cantSplit/>
        </w:trPr>
        <w:tc>
          <w:tcPr>
            <w:tcW w:w="456" w:type="pct"/>
            <w:vAlign w:val="center"/>
          </w:tcPr>
          <w:p w14:paraId="3AA52040" w14:textId="77777777" w:rsidR="00D24BA1" w:rsidRDefault="00D24BA1" w:rsidP="00286E68">
            <w:pPr>
              <w:pStyle w:val="TableText0"/>
              <w:keepNext w:val="0"/>
              <w:rPr>
                <w:lang w:val="en-US"/>
              </w:rPr>
            </w:pPr>
            <w:r>
              <w:rPr>
                <w:lang w:val="en-US"/>
              </w:rPr>
              <w:t>CERTIFI</w:t>
            </w:r>
          </w:p>
          <w:p w14:paraId="6BD2FCDB" w14:textId="77777777" w:rsidR="00D24BA1" w:rsidRDefault="00D24BA1" w:rsidP="00286E68">
            <w:pPr>
              <w:pStyle w:val="TableText0"/>
              <w:keepNext w:val="0"/>
              <w:rPr>
                <w:lang w:val="en-US"/>
              </w:rPr>
            </w:pPr>
            <w:r>
              <w:rPr>
                <w:lang w:val="en-US"/>
              </w:rPr>
              <w:t>[induction + maintenance]</w:t>
            </w:r>
          </w:p>
        </w:tc>
        <w:tc>
          <w:tcPr>
            <w:tcW w:w="203" w:type="pct"/>
            <w:vAlign w:val="center"/>
          </w:tcPr>
          <w:p w14:paraId="183B5F69" w14:textId="77777777" w:rsidR="00D24BA1" w:rsidRDefault="00D24BA1" w:rsidP="00286E68">
            <w:pPr>
              <w:pStyle w:val="TableText0"/>
              <w:keepNext w:val="0"/>
              <w:jc w:val="center"/>
              <w:rPr>
                <w:lang w:val="en-US"/>
              </w:rPr>
            </w:pPr>
            <w:r>
              <w:rPr>
                <w:lang w:val="en-US"/>
              </w:rPr>
              <w:t>526</w:t>
            </w:r>
          </w:p>
        </w:tc>
        <w:tc>
          <w:tcPr>
            <w:tcW w:w="762" w:type="pct"/>
            <w:vAlign w:val="center"/>
          </w:tcPr>
          <w:p w14:paraId="38C810BE" w14:textId="77777777" w:rsidR="00D24BA1" w:rsidRDefault="00D24BA1" w:rsidP="00286E68">
            <w:pPr>
              <w:pStyle w:val="TableText0"/>
              <w:keepNext w:val="0"/>
              <w:jc w:val="center"/>
              <w:rPr>
                <w:lang w:val="en-US"/>
              </w:rPr>
            </w:pPr>
            <w:r>
              <w:rPr>
                <w:lang w:val="en-US"/>
              </w:rPr>
              <w:t xml:space="preserve">P2b, MC, R, PC, DB 36 </w:t>
            </w:r>
            <w:proofErr w:type="spellStart"/>
            <w:r>
              <w:rPr>
                <w:lang w:val="en-US"/>
              </w:rPr>
              <w:t>wks</w:t>
            </w:r>
            <w:proofErr w:type="spellEnd"/>
          </w:p>
          <w:p w14:paraId="6E371B71" w14:textId="77777777" w:rsidR="00D24BA1" w:rsidRDefault="00D24BA1" w:rsidP="00286E68">
            <w:pPr>
              <w:pStyle w:val="TableText0"/>
              <w:keepNext w:val="0"/>
              <w:jc w:val="center"/>
              <w:rPr>
                <w:lang w:val="en-US"/>
              </w:rPr>
            </w:pPr>
            <w:r>
              <w:rPr>
                <w:lang w:val="en-US"/>
              </w:rPr>
              <w:t xml:space="preserve">[IP: 8 </w:t>
            </w:r>
            <w:proofErr w:type="spellStart"/>
            <w:r>
              <w:rPr>
                <w:lang w:val="en-US"/>
              </w:rPr>
              <w:t>wks</w:t>
            </w:r>
            <w:proofErr w:type="spellEnd"/>
            <w:r>
              <w:rPr>
                <w:lang w:val="en-US"/>
              </w:rPr>
              <w:t xml:space="preserve"> + MP: 28 </w:t>
            </w:r>
            <w:proofErr w:type="spellStart"/>
            <w:r>
              <w:rPr>
                <w:lang w:val="en-US"/>
              </w:rPr>
              <w:t>wks</w:t>
            </w:r>
            <w:proofErr w:type="spellEnd"/>
            <w:r>
              <w:rPr>
                <w:lang w:val="en-US"/>
              </w:rPr>
              <w:t>]</w:t>
            </w:r>
          </w:p>
          <w:p w14:paraId="5324B6C2" w14:textId="77777777" w:rsidR="00D24BA1" w:rsidRPr="001272D6" w:rsidRDefault="00D24BA1" w:rsidP="00286E68">
            <w:pPr>
              <w:pStyle w:val="TableText0"/>
              <w:keepNext w:val="0"/>
              <w:jc w:val="center"/>
              <w:rPr>
                <w:i/>
                <w:iCs/>
                <w:lang w:val="en-US"/>
              </w:rPr>
            </w:pPr>
            <w:r w:rsidRPr="001272D6">
              <w:rPr>
                <w:i/>
                <w:iCs/>
                <w:lang w:val="en-US"/>
              </w:rPr>
              <w:t>Type 3 RWD</w:t>
            </w:r>
          </w:p>
        </w:tc>
        <w:tc>
          <w:tcPr>
            <w:tcW w:w="152" w:type="pct"/>
            <w:vAlign w:val="center"/>
          </w:tcPr>
          <w:p w14:paraId="4284224B"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62246DB6"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2A91D07C"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experienced</w:t>
            </w:r>
          </w:p>
        </w:tc>
        <w:tc>
          <w:tcPr>
            <w:tcW w:w="1321" w:type="pct"/>
            <w:vAlign w:val="center"/>
          </w:tcPr>
          <w:p w14:paraId="36F7F811" w14:textId="77777777" w:rsidR="00D24BA1" w:rsidRDefault="00D24BA1" w:rsidP="00286E68">
            <w:pPr>
              <w:pStyle w:val="TableText0"/>
              <w:keepNext w:val="0"/>
              <w:jc w:val="center"/>
              <w:rPr>
                <w:lang w:val="en-US"/>
              </w:rPr>
            </w:pPr>
            <w:r w:rsidRPr="003B7941">
              <w:rPr>
                <w:lang w:val="en-US"/>
              </w:rPr>
              <w:t>U</w:t>
            </w:r>
            <w:r>
              <w:rPr>
                <w:lang w:val="en-US"/>
              </w:rPr>
              <w:t>ST</w:t>
            </w:r>
            <w:r w:rsidRPr="003B7941">
              <w:rPr>
                <w:lang w:val="en-US"/>
              </w:rPr>
              <w:t xml:space="preserve"> </w:t>
            </w:r>
            <w:r>
              <w:rPr>
                <w:lang w:val="en-US"/>
              </w:rPr>
              <w:t xml:space="preserve">1mg/kg IP -&gt; US 90mg SC </w:t>
            </w:r>
            <w:proofErr w:type="spellStart"/>
            <w:r>
              <w:rPr>
                <w:lang w:val="en-US"/>
              </w:rPr>
              <w:t>Wk</w:t>
            </w:r>
            <w:proofErr w:type="spellEnd"/>
            <w:r>
              <w:rPr>
                <w:lang w:val="en-US"/>
              </w:rPr>
              <w:t xml:space="preserve"> 8, 16</w:t>
            </w:r>
          </w:p>
          <w:p w14:paraId="61F487E7" w14:textId="77777777" w:rsidR="00D24BA1" w:rsidRDefault="00D24BA1" w:rsidP="00286E68">
            <w:pPr>
              <w:pStyle w:val="TableText0"/>
              <w:keepNext w:val="0"/>
              <w:jc w:val="center"/>
              <w:rPr>
                <w:lang w:val="en-US"/>
              </w:rPr>
            </w:pPr>
            <w:r>
              <w:rPr>
                <w:lang w:val="en-US"/>
              </w:rPr>
              <w:t xml:space="preserve">UST 3 mg/kg IP -&gt; US 90mg SC </w:t>
            </w:r>
            <w:proofErr w:type="spellStart"/>
            <w:r>
              <w:rPr>
                <w:lang w:val="en-US"/>
              </w:rPr>
              <w:t>Wk</w:t>
            </w:r>
            <w:proofErr w:type="spellEnd"/>
            <w:r>
              <w:rPr>
                <w:lang w:val="en-US"/>
              </w:rPr>
              <w:t xml:space="preserve"> 8, 16</w:t>
            </w:r>
          </w:p>
          <w:p w14:paraId="7D0EA00D" w14:textId="77777777" w:rsidR="00D24BA1" w:rsidRDefault="00D24BA1" w:rsidP="00286E68">
            <w:pPr>
              <w:pStyle w:val="TableText0"/>
              <w:keepNext w:val="0"/>
              <w:jc w:val="center"/>
              <w:rPr>
                <w:lang w:val="en-US"/>
              </w:rPr>
            </w:pPr>
            <w:r>
              <w:rPr>
                <w:lang w:val="en-US"/>
              </w:rPr>
              <w:t xml:space="preserve">UST </w:t>
            </w:r>
            <w:r w:rsidRPr="003B7941">
              <w:rPr>
                <w:lang w:val="en-US"/>
              </w:rPr>
              <w:t>6mg/kg</w:t>
            </w:r>
            <w:r>
              <w:rPr>
                <w:lang w:val="en-US"/>
              </w:rPr>
              <w:t xml:space="preserve"> IP -&gt; US 90mg SC </w:t>
            </w:r>
            <w:proofErr w:type="spellStart"/>
            <w:r>
              <w:rPr>
                <w:lang w:val="en-US"/>
              </w:rPr>
              <w:t>Wk</w:t>
            </w:r>
            <w:proofErr w:type="spellEnd"/>
            <w:r>
              <w:rPr>
                <w:lang w:val="en-US"/>
              </w:rPr>
              <w:t xml:space="preserve"> 8, 16</w:t>
            </w:r>
          </w:p>
          <w:p w14:paraId="351F0B95" w14:textId="77777777" w:rsidR="00D24BA1" w:rsidRDefault="00D24BA1" w:rsidP="00286E68">
            <w:pPr>
              <w:pStyle w:val="TableText0"/>
              <w:keepNext w:val="0"/>
              <w:jc w:val="center"/>
              <w:rPr>
                <w:lang w:val="en-US"/>
              </w:rPr>
            </w:pPr>
            <w:r>
              <w:rPr>
                <w:lang w:val="en-US"/>
              </w:rPr>
              <w:t>PBO</w:t>
            </w:r>
          </w:p>
        </w:tc>
        <w:tc>
          <w:tcPr>
            <w:tcW w:w="865" w:type="pct"/>
            <w:vAlign w:val="center"/>
          </w:tcPr>
          <w:p w14:paraId="030C2C86" w14:textId="77777777" w:rsidR="00D24BA1" w:rsidRDefault="00D24BA1" w:rsidP="00286E68">
            <w:pPr>
              <w:pStyle w:val="TableText0"/>
              <w:keepNext w:val="0"/>
              <w:jc w:val="center"/>
              <w:rPr>
                <w:vertAlign w:val="superscript"/>
                <w:lang w:val="en-US"/>
              </w:rPr>
            </w:pPr>
            <w:r>
              <w:rPr>
                <w:lang w:val="en-US"/>
              </w:rPr>
              <w:t>1°: clinical response (CDAI</w:t>
            </w:r>
            <w:proofErr w:type="gramStart"/>
            <w:r>
              <w:rPr>
                <w:lang w:val="en-US"/>
              </w:rPr>
              <w:t>)</w:t>
            </w:r>
            <w:r>
              <w:rPr>
                <w:vertAlign w:val="superscript"/>
                <w:lang w:val="en-US"/>
              </w:rPr>
              <w:t>e</w:t>
            </w:r>
            <w:proofErr w:type="gramEnd"/>
            <w:r>
              <w:rPr>
                <w:lang w:val="en-US"/>
              </w:rPr>
              <w:t xml:space="preserve"> </w:t>
            </w:r>
          </w:p>
          <w:p w14:paraId="0514B88C"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06F87841" w14:textId="77777777" w:rsidR="00D24BA1" w:rsidRPr="00625E91" w:rsidRDefault="00D24BA1" w:rsidP="00286E68">
            <w:pPr>
              <w:pStyle w:val="TableText0"/>
              <w:keepNext w:val="0"/>
              <w:jc w:val="center"/>
              <w:rPr>
                <w:lang w:val="en-US"/>
              </w:rPr>
            </w:pPr>
            <w:r>
              <w:rPr>
                <w:lang w:val="en-US"/>
              </w:rPr>
              <w:t>-</w:t>
            </w:r>
          </w:p>
        </w:tc>
        <w:tc>
          <w:tcPr>
            <w:tcW w:w="203" w:type="pct"/>
            <w:vAlign w:val="center"/>
          </w:tcPr>
          <w:p w14:paraId="052A123A" w14:textId="77777777" w:rsidR="00D24BA1" w:rsidRPr="00625E91" w:rsidRDefault="00D24BA1" w:rsidP="00286E68">
            <w:pPr>
              <w:pStyle w:val="TableText0"/>
              <w:keepNext w:val="0"/>
              <w:jc w:val="center"/>
              <w:rPr>
                <w:lang w:val="en-US"/>
              </w:rPr>
            </w:pPr>
            <w:r w:rsidRPr="00056813">
              <w:rPr>
                <w:rFonts w:ascii="Wingdings" w:eastAsia="Wingdings" w:hAnsi="Wingdings" w:cs="Wingdings"/>
                <w:lang w:val="en-US"/>
              </w:rPr>
              <w:t>ü</w:t>
            </w:r>
          </w:p>
        </w:tc>
        <w:tc>
          <w:tcPr>
            <w:tcW w:w="226" w:type="pct"/>
            <w:vAlign w:val="center"/>
          </w:tcPr>
          <w:p w14:paraId="3A09DD44" w14:textId="77777777" w:rsidR="00D24BA1" w:rsidRPr="000C28B6" w:rsidRDefault="00D24BA1" w:rsidP="00286E68">
            <w:pPr>
              <w:pStyle w:val="TableText0"/>
              <w:keepNext w:val="0"/>
              <w:jc w:val="center"/>
              <w:rPr>
                <w:lang w:val="en-US"/>
              </w:rPr>
            </w:pPr>
            <w:r w:rsidRPr="000C28B6">
              <w:rPr>
                <w:lang w:val="en-US"/>
              </w:rPr>
              <w:t>-</w:t>
            </w:r>
            <w:r w:rsidRPr="004C1C9D">
              <w:rPr>
                <w:vertAlign w:val="superscript"/>
                <w:lang w:val="en-US"/>
              </w:rPr>
              <w:t>p</w:t>
            </w:r>
          </w:p>
        </w:tc>
      </w:tr>
    </w:tbl>
    <w:p w14:paraId="1B030FBC" w14:textId="77777777" w:rsidR="00D24BA1" w:rsidRDefault="00D24BA1" w:rsidP="00D24BA1">
      <w:pPr>
        <w:pStyle w:val="FooterTableFigure"/>
        <w:spacing w:after="0"/>
      </w:pPr>
      <w:r w:rsidRPr="00C455B8">
        <w:rPr>
          <w:rStyle w:val="CommentReference"/>
          <w:b w:val="0"/>
          <w:bCs/>
          <w:sz w:val="18"/>
          <w:szCs w:val="18"/>
          <w:shd w:val="clear" w:color="auto" w:fill="B8CCE4" w:themeFill="accent1" w:themeFillTint="66"/>
        </w:rPr>
        <w:t xml:space="preserve">Blue </w:t>
      </w:r>
      <w:r w:rsidRPr="00C455B8">
        <w:rPr>
          <w:rStyle w:val="CommentReference"/>
          <w:b w:val="0"/>
          <w:bCs/>
          <w:sz w:val="18"/>
          <w:szCs w:val="18"/>
        </w:rPr>
        <w:t xml:space="preserve">shading indicates data previously seen by the PBAC. </w:t>
      </w:r>
    </w:p>
    <w:p w14:paraId="5F7F6F9E" w14:textId="77777777" w:rsidR="00D24BA1" w:rsidRDefault="00D24BA1" w:rsidP="00D24BA1">
      <w:pPr>
        <w:pStyle w:val="TableFigureFooter"/>
      </w:pPr>
      <w:r>
        <w:t>Source: Table 2.5, pp84-85 of the submission.</w:t>
      </w:r>
    </w:p>
    <w:p w14:paraId="36E9F5D0" w14:textId="77777777" w:rsidR="00D24BA1" w:rsidRDefault="00D24BA1" w:rsidP="00D24BA1">
      <w:pPr>
        <w:pStyle w:val="TableFigureFooter"/>
      </w:pPr>
      <w:r>
        <w:t xml:space="preserve">ADA=adalimumab; CD=Crohn’s disease; CDAI=CD activity index; </w:t>
      </w:r>
      <w:r w:rsidRPr="0072416F">
        <w:t>DB=double blind;</w:t>
      </w:r>
      <w:r>
        <w:t xml:space="preserve"> GUS=guselkumab; IFX=infliximab; IP=induction phase;</w:t>
      </w:r>
      <w:r w:rsidRPr="0072416F">
        <w:t xml:space="preserve"> </w:t>
      </w:r>
      <w:r>
        <w:t xml:space="preserve">ITC=indirect treatment comparison; IV=intravenous; </w:t>
      </w:r>
      <w:r w:rsidRPr="0072416F">
        <w:t>MC=multi-centre;</w:t>
      </w:r>
      <w:r>
        <w:t xml:space="preserve"> MP=maintenance phase;</w:t>
      </w:r>
      <w:r w:rsidRPr="0072416F">
        <w:t xml:space="preserve"> </w:t>
      </w:r>
      <w:r>
        <w:t xml:space="preserve">NMA=network meta-analysis; </w:t>
      </w:r>
      <w:r w:rsidRPr="0072416F">
        <w:t>OL=open label;</w:t>
      </w:r>
      <w:r>
        <w:t xml:space="preserve"> PBO=placebo; PC=placebo-controlled;</w:t>
      </w:r>
      <w:r w:rsidRPr="00BA5604">
        <w:t xml:space="preserve"> P2=Phase 2</w:t>
      </w:r>
      <w:r>
        <w:t xml:space="preserve"> trial; P</w:t>
      </w:r>
      <w:r w:rsidRPr="00BA5604">
        <w:t>3</w:t>
      </w:r>
      <w:r>
        <w:t>=Phase 3 trial;</w:t>
      </w:r>
      <w:r w:rsidRPr="0072416F">
        <w:t xml:space="preserve"> </w:t>
      </w:r>
      <w:proofErr w:type="spellStart"/>
      <w:r>
        <w:t>QxW</w:t>
      </w:r>
      <w:proofErr w:type="spellEnd"/>
      <w:r>
        <w:t xml:space="preserve">=every x week; </w:t>
      </w:r>
      <w:r w:rsidRPr="0072416F">
        <w:t>R=randomised</w:t>
      </w:r>
      <w:r>
        <w:t xml:space="preserve">; </w:t>
      </w:r>
      <w:r w:rsidRPr="004F7C93">
        <w:t xml:space="preserve">RWD=randomised withdrawal design, </w:t>
      </w:r>
      <w:r>
        <w:t>SC=subcutaneous; SES-CD=</w:t>
      </w:r>
      <w:r w:rsidRPr="00B169D9">
        <w:t>Endoscopic Score for Crohn’s Disease</w:t>
      </w:r>
      <w:r>
        <w:t xml:space="preserve">; </w:t>
      </w:r>
      <w:proofErr w:type="spellStart"/>
      <w:r w:rsidRPr="004F7C93">
        <w:t>TNFi</w:t>
      </w:r>
      <w:proofErr w:type="spellEnd"/>
      <w:r w:rsidRPr="004F7C93">
        <w:t>=tumour necrosis factor inhibitor</w:t>
      </w:r>
      <w:r>
        <w:t>;</w:t>
      </w:r>
      <w:r w:rsidRPr="004F7C93">
        <w:t xml:space="preserve"> </w:t>
      </w:r>
      <w:r>
        <w:t xml:space="preserve">TT=treat-through; UPA=upadacitinib; </w:t>
      </w:r>
      <w:r w:rsidRPr="00BA5604">
        <w:t>UST=ustekinumab</w:t>
      </w:r>
      <w:r>
        <w:t xml:space="preserve">; VDZ=vedolizumab; S3=section 3 of the submission; D=daily; </w:t>
      </w:r>
      <w:proofErr w:type="spellStart"/>
      <w:r>
        <w:t>wk</w:t>
      </w:r>
      <w:proofErr w:type="spellEnd"/>
      <w:r>
        <w:t>=week;</w:t>
      </w:r>
    </w:p>
    <w:p w14:paraId="4887F83D" w14:textId="77777777" w:rsidR="00D24BA1" w:rsidRDefault="00D24BA1" w:rsidP="00D24BA1">
      <w:pPr>
        <w:pStyle w:val="TableFigureFooter"/>
        <w:ind w:left="165" w:hanging="165"/>
      </w:pPr>
      <w:r>
        <w:t>a</w:t>
      </w:r>
      <w:r>
        <w:tab/>
      </w:r>
      <w:r w:rsidRPr="000D51FA">
        <w:t>Clinical remission</w:t>
      </w:r>
      <w:r>
        <w:t xml:space="preserve">: </w:t>
      </w:r>
      <w:r w:rsidRPr="000D51FA">
        <w:t>CDAI score &lt;150</w:t>
      </w:r>
      <w:r>
        <w:t>.</w:t>
      </w:r>
    </w:p>
    <w:p w14:paraId="234B2789" w14:textId="77777777" w:rsidR="00D24BA1" w:rsidRDefault="00D24BA1" w:rsidP="00D24BA1">
      <w:pPr>
        <w:pStyle w:val="TableFigureFooter"/>
        <w:ind w:left="165" w:hanging="165"/>
      </w:pPr>
      <w:r>
        <w:t>b</w:t>
      </w:r>
      <w:r>
        <w:tab/>
        <w:t>Endoscopic response: ≥50% improvement from baseline in SES-CD score.</w:t>
      </w:r>
    </w:p>
    <w:p w14:paraId="1538716A" w14:textId="77777777" w:rsidR="00D24BA1" w:rsidRDefault="00D24BA1" w:rsidP="00D24BA1">
      <w:pPr>
        <w:pStyle w:val="TableFigureFooter"/>
        <w:ind w:left="165" w:hanging="165"/>
      </w:pPr>
      <w:r>
        <w:t>c</w:t>
      </w:r>
      <w:r>
        <w:tab/>
        <w:t>Clinical response (70-point response): reduction of ≥70 points in CDAI score.</w:t>
      </w:r>
    </w:p>
    <w:p w14:paraId="31639D4A" w14:textId="77777777" w:rsidR="00D24BA1" w:rsidRDefault="00D24BA1" w:rsidP="00D24BA1">
      <w:pPr>
        <w:pStyle w:val="TableFigureFooter"/>
        <w:ind w:left="165" w:hanging="165"/>
      </w:pPr>
      <w:r>
        <w:t>d</w:t>
      </w:r>
      <w:r>
        <w:tab/>
      </w:r>
      <w:r w:rsidRPr="00F0618F">
        <w:t>Clinical response</w:t>
      </w:r>
      <w:r>
        <w:t xml:space="preserve"> (100-point response)</w:t>
      </w:r>
      <w:r w:rsidRPr="00F0618F">
        <w:t xml:space="preserve">: reduction of </w:t>
      </w:r>
      <w:r>
        <w:t>≥100</w:t>
      </w:r>
      <w:r w:rsidRPr="00F0618F">
        <w:t xml:space="preserve"> points</w:t>
      </w:r>
      <w:r>
        <w:t xml:space="preserve"> </w:t>
      </w:r>
      <w:r w:rsidRPr="00F0618F">
        <w:t>in CDAI score.</w:t>
      </w:r>
    </w:p>
    <w:p w14:paraId="5595F90C" w14:textId="77777777" w:rsidR="00D24BA1" w:rsidRDefault="00D24BA1" w:rsidP="00D24BA1">
      <w:pPr>
        <w:pStyle w:val="TableFigureFooter"/>
        <w:ind w:left="165" w:hanging="165"/>
      </w:pPr>
      <w:r>
        <w:t>e</w:t>
      </w:r>
      <w:r>
        <w:tab/>
      </w:r>
      <w:r w:rsidRPr="00F0618F">
        <w:t>Clinical response</w:t>
      </w:r>
      <w:r>
        <w:t xml:space="preserve"> (100-point response)</w:t>
      </w:r>
      <w:r w:rsidRPr="00F0618F">
        <w:t xml:space="preserve">: reduction of </w:t>
      </w:r>
      <w:r>
        <w:t>≥100</w:t>
      </w:r>
      <w:r w:rsidRPr="00F0618F">
        <w:t xml:space="preserve"> points</w:t>
      </w:r>
      <w:r>
        <w:t xml:space="preserve"> </w:t>
      </w:r>
      <w:r w:rsidRPr="00F0618F">
        <w:t>in CDAI score</w:t>
      </w:r>
      <w:r>
        <w:t xml:space="preserve"> </w:t>
      </w:r>
      <w:r w:rsidRPr="00BA012F">
        <w:t>or a CDAI score &lt;150</w:t>
      </w:r>
      <w:r>
        <w:t>.</w:t>
      </w:r>
    </w:p>
    <w:p w14:paraId="7580210A" w14:textId="77777777" w:rsidR="00D24BA1" w:rsidRDefault="00D24BA1" w:rsidP="00D24BA1">
      <w:pPr>
        <w:pStyle w:val="TableFigureFooter"/>
        <w:ind w:left="165" w:hanging="165"/>
      </w:pPr>
      <w:r>
        <w:t>f</w:t>
      </w:r>
      <w:r>
        <w:tab/>
        <w:t xml:space="preserve">Primary analysis was in 315 patients with previous TNF antagonist failure (i.e., an inadequate response to, loss of response to, or intolerance of ≥1 </w:t>
      </w:r>
      <w:proofErr w:type="spellStart"/>
      <w:r>
        <w:t>TNFi</w:t>
      </w:r>
      <w:proofErr w:type="spellEnd"/>
      <w:r>
        <w:t xml:space="preserve">). </w:t>
      </w:r>
    </w:p>
    <w:p w14:paraId="4F807B1C" w14:textId="77777777" w:rsidR="00D24BA1" w:rsidRDefault="00D24BA1" w:rsidP="00D24BA1">
      <w:pPr>
        <w:pStyle w:val="TableFigureFooter"/>
        <w:ind w:left="165" w:hanging="165"/>
      </w:pPr>
      <w:r>
        <w:t>g</w:t>
      </w:r>
      <w:r>
        <w:tab/>
        <w:t>U-EXCEED had an additional 12-week OL, active single-group induction period to allow accrual of sufficient number of patients who had a clinical response while receiving UPA for entry into U-ENDURE.</w:t>
      </w:r>
    </w:p>
    <w:p w14:paraId="0EFFD264" w14:textId="77777777" w:rsidR="00D24BA1" w:rsidRDefault="00D24BA1" w:rsidP="00D24BA1">
      <w:pPr>
        <w:pStyle w:val="TableFigureFooter"/>
        <w:ind w:left="165" w:hanging="165"/>
      </w:pPr>
      <w:r>
        <w:t>h</w:t>
      </w:r>
      <w:r>
        <w:tab/>
        <w:t xml:space="preserve">Patients in UNITI-2 could have previously received one or more </w:t>
      </w:r>
      <w:proofErr w:type="spellStart"/>
      <w:r>
        <w:t>TNFi</w:t>
      </w:r>
      <w:proofErr w:type="spellEnd"/>
      <w:r>
        <w:t xml:space="preserve"> provided they had not had unacceptable side effects and had not met the criteria for non-response to treatment.</w:t>
      </w:r>
    </w:p>
    <w:p w14:paraId="07370B6A" w14:textId="77777777" w:rsidR="00D24BA1" w:rsidRDefault="00D24BA1" w:rsidP="00D24BA1">
      <w:pPr>
        <w:pStyle w:val="TableFigureFooter"/>
        <w:ind w:left="165" w:hanging="165"/>
      </w:pPr>
      <w:r>
        <w:t>i</w:t>
      </w:r>
      <w:r>
        <w:tab/>
        <w:t xml:space="preserve">In UNITI-1 and UNITI-2, follow-up for safety occurred either through </w:t>
      </w:r>
      <w:proofErr w:type="spellStart"/>
      <w:r>
        <w:t>Wk</w:t>
      </w:r>
      <w:proofErr w:type="spellEnd"/>
      <w:r>
        <w:t xml:space="preserve"> 8 in patients who entered the maintenance trial or 20 weeks after the induction dose in patients who did not enter the maintenance trial.</w:t>
      </w:r>
    </w:p>
    <w:p w14:paraId="65BDA71D" w14:textId="77777777" w:rsidR="00D24BA1" w:rsidRDefault="00D24BA1" w:rsidP="00D24BA1">
      <w:pPr>
        <w:pStyle w:val="TableFigureFooter"/>
        <w:ind w:left="165" w:hanging="165"/>
      </w:pPr>
      <w:r>
        <w:t>k</w:t>
      </w:r>
      <w:r w:rsidRPr="00475A14">
        <w:tab/>
      </w:r>
      <w:r>
        <w:t xml:space="preserve">Comparison of </w:t>
      </w:r>
      <w:r w:rsidRPr="003E67DF">
        <w:t>IV vs SC only</w:t>
      </w:r>
      <w:r>
        <w:t>.</w:t>
      </w:r>
    </w:p>
    <w:p w14:paraId="37C0F9EC" w14:textId="77777777" w:rsidR="00D24BA1" w:rsidRDefault="00D24BA1" w:rsidP="00D24BA1">
      <w:pPr>
        <w:pStyle w:val="TableFigureFooter"/>
        <w:ind w:left="165" w:hanging="165"/>
      </w:pPr>
      <w:r>
        <w:t>m</w:t>
      </w:r>
      <w:r>
        <w:tab/>
        <w:t>Included in s</w:t>
      </w:r>
      <w:r w:rsidRPr="00A2435B">
        <w:t xml:space="preserve">ensitivity </w:t>
      </w:r>
      <w:r>
        <w:t xml:space="preserve">analysis </w:t>
      </w:r>
      <w:r w:rsidRPr="00A2435B">
        <w:t>only</w:t>
      </w:r>
      <w:r>
        <w:t>.</w:t>
      </w:r>
    </w:p>
    <w:p w14:paraId="0140AC47" w14:textId="77777777" w:rsidR="00D24BA1" w:rsidRDefault="00D24BA1" w:rsidP="00D24BA1">
      <w:pPr>
        <w:pStyle w:val="TableFigureFooter"/>
        <w:ind w:left="165" w:hanging="165"/>
      </w:pPr>
      <w:r>
        <w:t>n</w:t>
      </w:r>
      <w:r>
        <w:tab/>
        <w:t>The submission excluded UNIT-1 and UNITI-2 in the ITC due to available direct evidence.</w:t>
      </w:r>
    </w:p>
    <w:p w14:paraId="291DD598" w14:textId="77777777" w:rsidR="00D24BA1" w:rsidRDefault="00D24BA1" w:rsidP="00D24BA1">
      <w:pPr>
        <w:pStyle w:val="TableFigureFooter"/>
        <w:ind w:left="165" w:hanging="165"/>
      </w:pPr>
      <w:r>
        <w:t>p</w:t>
      </w:r>
      <w:r>
        <w:tab/>
      </w:r>
      <w:r w:rsidRPr="004C1C9D">
        <w:t xml:space="preserve">The submission’s modelled economic evaluation used the pooled GALAXI trials results for UST in </w:t>
      </w:r>
      <w:r>
        <w:t>induction</w:t>
      </w:r>
      <w:r w:rsidRPr="004C1C9D">
        <w:t xml:space="preserve"> treatment.</w:t>
      </w:r>
      <w:r>
        <w:br w:type="page"/>
      </w:r>
    </w:p>
    <w:p w14:paraId="36A6366C" w14:textId="75516C18" w:rsidR="00D24BA1" w:rsidRPr="00EC5836" w:rsidRDefault="005F4460" w:rsidP="005F4460">
      <w:pPr>
        <w:pStyle w:val="Caption"/>
        <w:jc w:val="left"/>
        <w:rPr>
          <w:rStyle w:val="CommentReference"/>
          <w:b/>
          <w:szCs w:val="24"/>
        </w:rPr>
      </w:pPr>
      <w:bookmarkStart w:id="25" w:name="_Ref197674833"/>
      <w:r>
        <w:lastRenderedPageBreak/>
        <w:t xml:space="preserve">Table </w:t>
      </w:r>
      <w:r w:rsidR="00DC5F25">
        <w:fldChar w:fldCharType="begin"/>
      </w:r>
      <w:r w:rsidR="00DC5F25">
        <w:instrText xml:space="preserve"> SEQ Table \* ARABIC </w:instrText>
      </w:r>
      <w:r w:rsidR="00DC5F25">
        <w:fldChar w:fldCharType="separate"/>
      </w:r>
      <w:r w:rsidR="000756FD">
        <w:rPr>
          <w:noProof/>
        </w:rPr>
        <w:t>7</w:t>
      </w:r>
      <w:r w:rsidR="00DC5F25">
        <w:rPr>
          <w:noProof/>
        </w:rPr>
        <w:fldChar w:fldCharType="end"/>
      </w:r>
      <w:bookmarkEnd w:id="25"/>
      <w:r>
        <w:t>:</w:t>
      </w:r>
      <w:r w:rsidR="00D24BA1" w:rsidRPr="00EC5836">
        <w:rPr>
          <w:rStyle w:val="CommentReference"/>
          <w:b/>
          <w:szCs w:val="24"/>
        </w:rPr>
        <w:t xml:space="preserve"> Key features of the included </w:t>
      </w:r>
      <w:r w:rsidR="00D24BA1">
        <w:rPr>
          <w:rStyle w:val="CommentReference"/>
          <w:b/>
          <w:szCs w:val="24"/>
        </w:rPr>
        <w:t xml:space="preserve">indirect </w:t>
      </w:r>
      <w:r w:rsidR="00D24BA1" w:rsidRPr="00EC5836">
        <w:rPr>
          <w:rStyle w:val="CommentReference"/>
          <w:b/>
          <w:szCs w:val="24"/>
        </w:rPr>
        <w:t>evidence</w:t>
      </w:r>
      <w:r w:rsidR="00D24BA1">
        <w:rPr>
          <w:rStyle w:val="CommentReference"/>
          <w:b/>
          <w:szCs w:val="24"/>
        </w:rPr>
        <w:t xml:space="preserve"> </w:t>
      </w:r>
      <w:r w:rsidR="003B7E35">
        <w:rPr>
          <w:rStyle w:val="CommentReference"/>
          <w:b/>
          <w:szCs w:val="24"/>
        </w:rPr>
        <w:t xml:space="preserve">- </w:t>
      </w:r>
      <w:r w:rsidR="00D24BA1">
        <w:rPr>
          <w:rStyle w:val="CommentReference"/>
          <w:b/>
          <w:szCs w:val="24"/>
        </w:rPr>
        <w:t>maintenance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Key features of the included indirect evidence - maintenance treatment"/>
      </w:tblPr>
      <w:tblGrid>
        <w:gridCol w:w="1272"/>
        <w:gridCol w:w="706"/>
        <w:gridCol w:w="1984"/>
        <w:gridCol w:w="424"/>
        <w:gridCol w:w="1702"/>
        <w:gridCol w:w="3973"/>
        <w:gridCol w:w="2268"/>
        <w:gridCol w:w="566"/>
        <w:gridCol w:w="511"/>
        <w:gridCol w:w="544"/>
      </w:tblGrid>
      <w:tr w:rsidR="00D24BA1" w:rsidRPr="00B41614" w14:paraId="24D0B0FE" w14:textId="77777777" w:rsidTr="00286E68">
        <w:trPr>
          <w:cantSplit/>
          <w:tblHeader/>
        </w:trPr>
        <w:tc>
          <w:tcPr>
            <w:tcW w:w="456" w:type="pct"/>
            <w:vAlign w:val="center"/>
          </w:tcPr>
          <w:p w14:paraId="21828FB3" w14:textId="77777777" w:rsidR="00D24BA1" w:rsidRPr="00B41614" w:rsidRDefault="00D24BA1" w:rsidP="00286E68">
            <w:pPr>
              <w:pStyle w:val="In-tableHeading"/>
              <w:keepNext w:val="0"/>
            </w:pPr>
            <w:r w:rsidRPr="00B41614">
              <w:t>Trial</w:t>
            </w:r>
          </w:p>
        </w:tc>
        <w:tc>
          <w:tcPr>
            <w:tcW w:w="253" w:type="pct"/>
            <w:vAlign w:val="center"/>
          </w:tcPr>
          <w:p w14:paraId="28CF7DED" w14:textId="77777777" w:rsidR="00D24BA1" w:rsidRPr="00B41614" w:rsidRDefault="00D24BA1" w:rsidP="00286E68">
            <w:pPr>
              <w:pStyle w:val="In-tableHeading"/>
              <w:keepNext w:val="0"/>
              <w:jc w:val="center"/>
            </w:pPr>
            <w:r w:rsidRPr="00B41614">
              <w:t>N</w:t>
            </w:r>
          </w:p>
        </w:tc>
        <w:tc>
          <w:tcPr>
            <w:tcW w:w="711" w:type="pct"/>
            <w:vAlign w:val="center"/>
          </w:tcPr>
          <w:p w14:paraId="3B1EB3E8" w14:textId="77777777" w:rsidR="00D24BA1" w:rsidRPr="00B41614" w:rsidRDefault="00D24BA1" w:rsidP="00286E68">
            <w:pPr>
              <w:pStyle w:val="In-tableHeading"/>
              <w:keepNext w:val="0"/>
              <w:jc w:val="center"/>
            </w:pPr>
            <w:r w:rsidRPr="00B41614">
              <w:t>Design</w:t>
            </w:r>
          </w:p>
        </w:tc>
        <w:tc>
          <w:tcPr>
            <w:tcW w:w="152" w:type="pct"/>
            <w:vAlign w:val="center"/>
          </w:tcPr>
          <w:p w14:paraId="23E897B6" w14:textId="77777777" w:rsidR="00D24BA1" w:rsidRPr="00B41614" w:rsidRDefault="00D24BA1" w:rsidP="00286E68">
            <w:pPr>
              <w:pStyle w:val="In-tableHeading"/>
              <w:keepNext w:val="0"/>
              <w:jc w:val="center"/>
            </w:pPr>
            <w:r>
              <w:t>B</w:t>
            </w:r>
            <w:r w:rsidRPr="00B41614">
              <w:t>ias</w:t>
            </w:r>
          </w:p>
        </w:tc>
        <w:tc>
          <w:tcPr>
            <w:tcW w:w="610" w:type="pct"/>
            <w:vAlign w:val="center"/>
          </w:tcPr>
          <w:p w14:paraId="2D10DF16" w14:textId="77777777" w:rsidR="00D24BA1" w:rsidRPr="00B41614" w:rsidRDefault="00D24BA1" w:rsidP="00286E68">
            <w:pPr>
              <w:pStyle w:val="In-tableHeading"/>
              <w:keepNext w:val="0"/>
              <w:jc w:val="center"/>
            </w:pPr>
            <w:r>
              <w:t>P</w:t>
            </w:r>
            <w:r w:rsidRPr="00B41614">
              <w:t>opulation</w:t>
            </w:r>
          </w:p>
        </w:tc>
        <w:tc>
          <w:tcPr>
            <w:tcW w:w="1424" w:type="pct"/>
          </w:tcPr>
          <w:p w14:paraId="7B4B0AC8" w14:textId="77777777" w:rsidR="00D24BA1" w:rsidRPr="00B41614" w:rsidRDefault="00D24BA1" w:rsidP="00286E68">
            <w:pPr>
              <w:pStyle w:val="In-tableHeading"/>
              <w:keepNext w:val="0"/>
              <w:jc w:val="center"/>
            </w:pPr>
            <w:r>
              <w:t>Treatment</w:t>
            </w:r>
          </w:p>
        </w:tc>
        <w:tc>
          <w:tcPr>
            <w:tcW w:w="813" w:type="pct"/>
            <w:vAlign w:val="center"/>
          </w:tcPr>
          <w:p w14:paraId="08E998EA" w14:textId="77777777" w:rsidR="00D24BA1" w:rsidRPr="00B41614" w:rsidRDefault="00D24BA1" w:rsidP="00286E68">
            <w:pPr>
              <w:pStyle w:val="In-tableHeading"/>
              <w:keepNext w:val="0"/>
              <w:jc w:val="center"/>
            </w:pPr>
            <w:r w:rsidRPr="00B41614">
              <w:t>Outcome(s)</w:t>
            </w:r>
          </w:p>
        </w:tc>
        <w:tc>
          <w:tcPr>
            <w:tcW w:w="203" w:type="pct"/>
            <w:vAlign w:val="center"/>
          </w:tcPr>
          <w:p w14:paraId="049BFF09" w14:textId="77777777" w:rsidR="00D24BA1" w:rsidRPr="00B41614" w:rsidRDefault="00D24BA1" w:rsidP="00286E68">
            <w:pPr>
              <w:pStyle w:val="In-tableHeading"/>
              <w:keepNext w:val="0"/>
              <w:jc w:val="center"/>
            </w:pPr>
            <w:r>
              <w:t>ITC</w:t>
            </w:r>
          </w:p>
        </w:tc>
        <w:tc>
          <w:tcPr>
            <w:tcW w:w="183" w:type="pct"/>
            <w:vAlign w:val="center"/>
          </w:tcPr>
          <w:p w14:paraId="6F93AE52" w14:textId="77777777" w:rsidR="00D24BA1" w:rsidRDefault="00D24BA1" w:rsidP="00286E68">
            <w:pPr>
              <w:pStyle w:val="In-tableHeading"/>
              <w:keepNext w:val="0"/>
              <w:jc w:val="center"/>
            </w:pPr>
            <w:r>
              <w:t>NMA</w:t>
            </w:r>
          </w:p>
        </w:tc>
        <w:tc>
          <w:tcPr>
            <w:tcW w:w="195" w:type="pct"/>
            <w:vAlign w:val="center"/>
          </w:tcPr>
          <w:p w14:paraId="0F936685" w14:textId="77777777" w:rsidR="00D24BA1" w:rsidRDefault="00D24BA1" w:rsidP="00286E68">
            <w:pPr>
              <w:pStyle w:val="In-tableHeading"/>
              <w:keepNext w:val="0"/>
              <w:jc w:val="center"/>
            </w:pPr>
            <w:r>
              <w:t>S3</w:t>
            </w:r>
          </w:p>
        </w:tc>
      </w:tr>
      <w:tr w:rsidR="00D24BA1" w:rsidRPr="00E2771E" w14:paraId="53531083" w14:textId="77777777" w:rsidTr="00286E68">
        <w:trPr>
          <w:cantSplit/>
        </w:trPr>
        <w:tc>
          <w:tcPr>
            <w:tcW w:w="5000" w:type="pct"/>
            <w:gridSpan w:val="10"/>
            <w:vAlign w:val="center"/>
          </w:tcPr>
          <w:p w14:paraId="7522CE59" w14:textId="77777777" w:rsidR="00D24BA1" w:rsidRPr="00E40903" w:rsidRDefault="00D24BA1" w:rsidP="00286E68">
            <w:pPr>
              <w:pStyle w:val="TableText0"/>
              <w:keepNext w:val="0"/>
              <w:rPr>
                <w:b/>
                <w:bCs w:val="0"/>
                <w:lang w:val="en-US"/>
              </w:rPr>
            </w:pPr>
            <w:r>
              <w:rPr>
                <w:b/>
                <w:bCs w:val="0"/>
                <w:lang w:val="en-US"/>
              </w:rPr>
              <w:t>IFX vs PBO</w:t>
            </w:r>
          </w:p>
        </w:tc>
      </w:tr>
      <w:tr w:rsidR="00B23901" w:rsidRPr="00E2771E" w14:paraId="419FBD0E" w14:textId="77777777" w:rsidTr="00286E68">
        <w:trPr>
          <w:cantSplit/>
        </w:trPr>
        <w:tc>
          <w:tcPr>
            <w:tcW w:w="456" w:type="pct"/>
            <w:shd w:val="clear" w:color="auto" w:fill="B8CCE4" w:themeFill="accent1" w:themeFillTint="66"/>
            <w:vAlign w:val="center"/>
          </w:tcPr>
          <w:p w14:paraId="34AD45E3" w14:textId="77777777" w:rsidR="00D24BA1" w:rsidRDefault="00D24BA1" w:rsidP="00286E68">
            <w:pPr>
              <w:pStyle w:val="TableText0"/>
              <w:keepNext w:val="0"/>
              <w:rPr>
                <w:lang w:val="en-US"/>
              </w:rPr>
            </w:pPr>
            <w:r>
              <w:rPr>
                <w:lang w:val="en-US"/>
              </w:rPr>
              <w:t>ACCENT I</w:t>
            </w:r>
          </w:p>
          <w:p w14:paraId="765ED633" w14:textId="77777777" w:rsidR="00D24BA1" w:rsidRDefault="00D24BA1" w:rsidP="00286E68">
            <w:pPr>
              <w:pStyle w:val="TableText0"/>
              <w:keepNext w:val="0"/>
              <w:rPr>
                <w:lang w:val="en-US"/>
              </w:rPr>
            </w:pPr>
            <w:r>
              <w:rPr>
                <w:lang w:val="en-US"/>
              </w:rPr>
              <w:t>[maintenance]</w:t>
            </w:r>
          </w:p>
        </w:tc>
        <w:tc>
          <w:tcPr>
            <w:tcW w:w="253" w:type="pct"/>
            <w:shd w:val="clear" w:color="auto" w:fill="B8CCE4" w:themeFill="accent1" w:themeFillTint="66"/>
            <w:vAlign w:val="center"/>
          </w:tcPr>
          <w:p w14:paraId="2F4C6055" w14:textId="77777777" w:rsidR="00D24BA1" w:rsidRDefault="00D24BA1" w:rsidP="00286E68">
            <w:pPr>
              <w:pStyle w:val="TableText0"/>
              <w:keepNext w:val="0"/>
              <w:jc w:val="center"/>
              <w:rPr>
                <w:lang w:val="en-US"/>
              </w:rPr>
            </w:pPr>
            <w:r>
              <w:rPr>
                <w:lang w:val="en-US"/>
              </w:rPr>
              <w:t>MP: 335</w:t>
            </w:r>
            <w:r>
              <w:rPr>
                <w:vertAlign w:val="superscript"/>
                <w:lang w:val="en-US"/>
              </w:rPr>
              <w:t>f</w:t>
            </w:r>
          </w:p>
        </w:tc>
        <w:tc>
          <w:tcPr>
            <w:tcW w:w="711" w:type="pct"/>
            <w:shd w:val="clear" w:color="auto" w:fill="B8CCE4" w:themeFill="accent1" w:themeFillTint="66"/>
            <w:vAlign w:val="center"/>
          </w:tcPr>
          <w:p w14:paraId="201875D2" w14:textId="77777777" w:rsidR="00D24BA1" w:rsidRDefault="00D24BA1" w:rsidP="00286E68">
            <w:pPr>
              <w:pStyle w:val="TableText0"/>
              <w:keepNext w:val="0"/>
              <w:jc w:val="center"/>
              <w:rPr>
                <w:lang w:val="en-US"/>
              </w:rPr>
            </w:pPr>
            <w:r>
              <w:rPr>
                <w:lang w:val="en-US"/>
              </w:rPr>
              <w:t xml:space="preserve">P3, MC, R, DB 54 </w:t>
            </w:r>
            <w:proofErr w:type="spellStart"/>
            <w:r>
              <w:rPr>
                <w:lang w:val="en-US"/>
              </w:rPr>
              <w:t>wks</w:t>
            </w:r>
            <w:proofErr w:type="spellEnd"/>
          </w:p>
          <w:p w14:paraId="656CC411" w14:textId="77777777" w:rsidR="00D24BA1" w:rsidRDefault="00D24BA1" w:rsidP="00286E68">
            <w:pPr>
              <w:pStyle w:val="TableText0"/>
              <w:keepNext w:val="0"/>
              <w:jc w:val="center"/>
              <w:rPr>
                <w:lang w:val="en-US"/>
              </w:rPr>
            </w:pPr>
            <w:r>
              <w:rPr>
                <w:lang w:val="en-US"/>
              </w:rPr>
              <w:t xml:space="preserve">[IP: 2 </w:t>
            </w:r>
            <w:proofErr w:type="spellStart"/>
            <w:r>
              <w:rPr>
                <w:lang w:val="en-US"/>
              </w:rPr>
              <w:t>wks</w:t>
            </w:r>
            <w:proofErr w:type="spellEnd"/>
            <w:r>
              <w:rPr>
                <w:lang w:val="en-US"/>
              </w:rPr>
              <w:t xml:space="preserve"> + </w:t>
            </w:r>
            <w:proofErr w:type="spellStart"/>
            <w:r>
              <w:rPr>
                <w:lang w:val="en-US"/>
              </w:rPr>
              <w:t>MP</w:t>
            </w:r>
            <w:r w:rsidRPr="000829FA">
              <w:rPr>
                <w:vertAlign w:val="superscript"/>
                <w:lang w:val="en-US"/>
              </w:rPr>
              <w:t>f</w:t>
            </w:r>
            <w:proofErr w:type="spellEnd"/>
            <w:r>
              <w:rPr>
                <w:lang w:val="en-US"/>
              </w:rPr>
              <w:t xml:space="preserve">: 52 </w:t>
            </w:r>
            <w:proofErr w:type="spellStart"/>
            <w:r>
              <w:rPr>
                <w:lang w:val="en-US"/>
              </w:rPr>
              <w:t>wks</w:t>
            </w:r>
            <w:proofErr w:type="spellEnd"/>
            <w:r>
              <w:rPr>
                <w:lang w:val="en-US"/>
              </w:rPr>
              <w:t xml:space="preserve">], </w:t>
            </w:r>
            <w:r w:rsidRPr="003B4EC2">
              <w:rPr>
                <w:lang w:val="en-US"/>
              </w:rPr>
              <w:t>Type 2 TT</w:t>
            </w:r>
          </w:p>
        </w:tc>
        <w:tc>
          <w:tcPr>
            <w:tcW w:w="152" w:type="pct"/>
            <w:shd w:val="clear" w:color="auto" w:fill="B8CCE4" w:themeFill="accent1" w:themeFillTint="66"/>
            <w:vAlign w:val="center"/>
          </w:tcPr>
          <w:p w14:paraId="18AAA4A8"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657B8AC2" w14:textId="77777777" w:rsidR="00D24BA1" w:rsidRDefault="00D24BA1" w:rsidP="00286E68">
            <w:pPr>
              <w:pStyle w:val="TableText0"/>
              <w:keepNext w:val="0"/>
              <w:jc w:val="center"/>
              <w:rPr>
                <w:lang w:val="en-US"/>
              </w:rPr>
            </w:pPr>
            <w:r w:rsidRPr="003B4EC2">
              <w:rPr>
                <w:lang w:val="en-US"/>
              </w:rPr>
              <w:t>CDAI ≥220 and ≤400;</w:t>
            </w:r>
          </w:p>
          <w:p w14:paraId="4F872A7D" w14:textId="77777777" w:rsidR="00D24BA1" w:rsidRDefault="00D24BA1" w:rsidP="00286E68">
            <w:pPr>
              <w:pStyle w:val="TableText0"/>
              <w:keepNext w:val="0"/>
              <w:jc w:val="center"/>
              <w:rPr>
                <w:lang w:val="en-US"/>
              </w:rPr>
            </w:pPr>
            <w:r w:rsidRPr="003B4EC2">
              <w:rPr>
                <w:lang w:val="en-US"/>
              </w:rPr>
              <w:t>Biologic (</w:t>
            </w:r>
            <w:proofErr w:type="spellStart"/>
            <w:r w:rsidRPr="003B4EC2">
              <w:rPr>
                <w:lang w:val="en-US"/>
              </w:rPr>
              <w:t>TNFi</w:t>
            </w:r>
            <w:proofErr w:type="spellEnd"/>
            <w:r w:rsidRPr="003B4EC2">
              <w:rPr>
                <w:lang w:val="en-US"/>
              </w:rPr>
              <w:t xml:space="preserve">) </w:t>
            </w:r>
            <w:proofErr w:type="gramStart"/>
            <w:r>
              <w:rPr>
                <w:lang w:val="en-US"/>
              </w:rPr>
              <w:t>naïve</w:t>
            </w:r>
            <w:proofErr w:type="gramEnd"/>
          </w:p>
          <w:p w14:paraId="0F75DA79" w14:textId="77777777" w:rsidR="00D24BA1" w:rsidRPr="00376C38" w:rsidRDefault="00D24BA1" w:rsidP="00286E68">
            <w:pPr>
              <w:pStyle w:val="TableText0"/>
              <w:keepNext w:val="0"/>
              <w:jc w:val="center"/>
              <w:rPr>
                <w:lang w:val="en-US"/>
              </w:rPr>
            </w:pPr>
            <w:r>
              <w:rPr>
                <w:lang w:val="en-US"/>
              </w:rPr>
              <w:t xml:space="preserve">Response to IFX at </w:t>
            </w:r>
            <w:proofErr w:type="spellStart"/>
            <w:r>
              <w:rPr>
                <w:lang w:val="en-US"/>
              </w:rPr>
              <w:t>Wk</w:t>
            </w:r>
            <w:proofErr w:type="spellEnd"/>
            <w:r>
              <w:rPr>
                <w:lang w:val="en-US"/>
              </w:rPr>
              <w:t xml:space="preserve"> 2</w:t>
            </w:r>
          </w:p>
        </w:tc>
        <w:tc>
          <w:tcPr>
            <w:tcW w:w="1424" w:type="pct"/>
            <w:shd w:val="clear" w:color="auto" w:fill="B8CCE4" w:themeFill="accent1" w:themeFillTint="66"/>
            <w:vAlign w:val="center"/>
          </w:tcPr>
          <w:p w14:paraId="374B1E5D" w14:textId="77777777" w:rsidR="00D24BA1" w:rsidRDefault="00D24BA1" w:rsidP="00286E68">
            <w:pPr>
              <w:pStyle w:val="TableText0"/>
              <w:keepNext w:val="0"/>
              <w:jc w:val="center"/>
              <w:rPr>
                <w:lang w:val="en-US"/>
              </w:rPr>
            </w:pPr>
            <w:r>
              <w:rPr>
                <w:lang w:val="en-US"/>
              </w:rPr>
              <w:t xml:space="preserve">IFX 5mg/kg Wk0 IP -&gt; 5mg/kg </w:t>
            </w:r>
            <w:proofErr w:type="spellStart"/>
            <w:r>
              <w:rPr>
                <w:lang w:val="en-US"/>
              </w:rPr>
              <w:t>Wk</w:t>
            </w:r>
            <w:proofErr w:type="spellEnd"/>
            <w:r>
              <w:rPr>
                <w:lang w:val="en-US"/>
              </w:rPr>
              <w:t xml:space="preserve"> 2, 6, Q8W MP</w:t>
            </w:r>
          </w:p>
          <w:p w14:paraId="57D8976C" w14:textId="77777777" w:rsidR="00D24BA1" w:rsidRPr="003B4EC2" w:rsidRDefault="00D24BA1" w:rsidP="00286E68">
            <w:pPr>
              <w:pStyle w:val="TableText0"/>
              <w:keepNext w:val="0"/>
              <w:jc w:val="center"/>
              <w:rPr>
                <w:lang w:val="en-US"/>
              </w:rPr>
            </w:pPr>
            <w:r>
              <w:rPr>
                <w:lang w:val="en-US"/>
              </w:rPr>
              <w:t xml:space="preserve">IFX 5mg/kg Wk0 IP -&gt; 5mg/kg </w:t>
            </w:r>
            <w:proofErr w:type="spellStart"/>
            <w:r>
              <w:rPr>
                <w:lang w:val="en-US"/>
              </w:rPr>
              <w:t>Wk</w:t>
            </w:r>
            <w:proofErr w:type="spellEnd"/>
            <w:r>
              <w:rPr>
                <w:lang w:val="en-US"/>
              </w:rPr>
              <w:t xml:space="preserve"> 2, 6, 10mg/kg Q8W MP</w:t>
            </w:r>
          </w:p>
          <w:p w14:paraId="2B35E892" w14:textId="77777777" w:rsidR="00D24BA1" w:rsidRDefault="00D24BA1" w:rsidP="00286E68">
            <w:pPr>
              <w:pStyle w:val="TableText0"/>
              <w:keepNext w:val="0"/>
              <w:jc w:val="center"/>
              <w:rPr>
                <w:lang w:val="en-US"/>
              </w:rPr>
            </w:pPr>
            <w:r>
              <w:rPr>
                <w:lang w:val="en-US"/>
              </w:rPr>
              <w:t>IFX 5mg/kg Wk0 -&gt; PBO</w:t>
            </w:r>
          </w:p>
        </w:tc>
        <w:tc>
          <w:tcPr>
            <w:tcW w:w="813" w:type="pct"/>
            <w:shd w:val="clear" w:color="auto" w:fill="B8CCE4" w:themeFill="accent1" w:themeFillTint="66"/>
            <w:vAlign w:val="center"/>
          </w:tcPr>
          <w:p w14:paraId="4E27F6D0" w14:textId="77777777" w:rsidR="00D24BA1" w:rsidRDefault="00D24BA1" w:rsidP="00286E68">
            <w:pPr>
              <w:pStyle w:val="TableText0"/>
              <w:keepNext w:val="0"/>
              <w:jc w:val="center"/>
              <w:rPr>
                <w:lang w:val="en-US"/>
              </w:rPr>
            </w:pPr>
            <w:r w:rsidRPr="003B4EC2">
              <w:rPr>
                <w:lang w:val="en-US"/>
              </w:rPr>
              <w:t xml:space="preserve">1°: </w:t>
            </w:r>
            <w:r>
              <w:rPr>
                <w:lang w:val="en-US"/>
              </w:rPr>
              <w:t>clinical remission (CDAI)</w:t>
            </w:r>
            <w:r w:rsidRPr="00BB741B">
              <w:rPr>
                <w:vertAlign w:val="superscript"/>
                <w:lang w:val="en-US"/>
              </w:rPr>
              <w:t>a</w:t>
            </w:r>
            <w:r>
              <w:rPr>
                <w:lang w:val="en-US"/>
              </w:rPr>
              <w:t xml:space="preserve"> | </w:t>
            </w:r>
            <w:r w:rsidRPr="003B4EC2">
              <w:rPr>
                <w:lang w:val="en-US"/>
              </w:rPr>
              <w:t>clinical response (CDAI)</w:t>
            </w:r>
            <w:r w:rsidRPr="003B4EC2">
              <w:rPr>
                <w:vertAlign w:val="superscript"/>
                <w:lang w:val="en-US"/>
              </w:rPr>
              <w:t>c</w:t>
            </w:r>
          </w:p>
        </w:tc>
        <w:tc>
          <w:tcPr>
            <w:tcW w:w="203" w:type="pct"/>
            <w:vAlign w:val="center"/>
          </w:tcPr>
          <w:p w14:paraId="6E34783B" w14:textId="77777777" w:rsidR="00D24BA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6DF55422" w14:textId="77777777" w:rsidR="00D24BA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77A9A159" w14:textId="77777777" w:rsidR="00D24BA1" w:rsidRDefault="00D24BA1" w:rsidP="00286E68">
            <w:pPr>
              <w:pStyle w:val="TableText0"/>
              <w:keepNext w:val="0"/>
              <w:jc w:val="center"/>
              <w:rPr>
                <w:lang w:val="en-US"/>
              </w:rPr>
            </w:pPr>
            <w:r>
              <w:rPr>
                <w:lang w:val="en-US"/>
              </w:rPr>
              <w:t>MP: NMA</w:t>
            </w:r>
          </w:p>
        </w:tc>
      </w:tr>
      <w:tr w:rsidR="00D24BA1" w:rsidRPr="00E2771E" w14:paraId="2133911D" w14:textId="77777777" w:rsidTr="00286E68">
        <w:trPr>
          <w:cantSplit/>
        </w:trPr>
        <w:tc>
          <w:tcPr>
            <w:tcW w:w="5000" w:type="pct"/>
            <w:gridSpan w:val="10"/>
            <w:vAlign w:val="center"/>
          </w:tcPr>
          <w:p w14:paraId="2824A751" w14:textId="77777777" w:rsidR="00D24BA1" w:rsidRPr="000D51FA" w:rsidRDefault="00D24BA1" w:rsidP="00286E68">
            <w:pPr>
              <w:pStyle w:val="TableText0"/>
              <w:keepNext w:val="0"/>
              <w:rPr>
                <w:b/>
                <w:bCs w:val="0"/>
                <w:lang w:val="en-US"/>
              </w:rPr>
            </w:pPr>
            <w:r>
              <w:rPr>
                <w:b/>
                <w:bCs w:val="0"/>
                <w:lang w:val="en-US"/>
              </w:rPr>
              <w:t>ADA vs PBO</w:t>
            </w:r>
          </w:p>
        </w:tc>
      </w:tr>
      <w:tr w:rsidR="004B5B74" w:rsidRPr="00E2771E" w14:paraId="375E0E3D" w14:textId="77777777" w:rsidTr="00286E68">
        <w:trPr>
          <w:cantSplit/>
        </w:trPr>
        <w:tc>
          <w:tcPr>
            <w:tcW w:w="456" w:type="pct"/>
            <w:shd w:val="clear" w:color="auto" w:fill="B8CCE4" w:themeFill="accent1" w:themeFillTint="66"/>
            <w:vAlign w:val="center"/>
          </w:tcPr>
          <w:p w14:paraId="5252D256" w14:textId="77777777" w:rsidR="00D24BA1" w:rsidRDefault="00D24BA1" w:rsidP="00286E68">
            <w:pPr>
              <w:pStyle w:val="TableText0"/>
              <w:keepNext w:val="0"/>
              <w:rPr>
                <w:lang w:val="en-US"/>
              </w:rPr>
            </w:pPr>
            <w:r>
              <w:rPr>
                <w:lang w:val="en-US"/>
              </w:rPr>
              <w:t>Watanabe 2012</w:t>
            </w:r>
          </w:p>
          <w:p w14:paraId="4E5C0E0D" w14:textId="77777777" w:rsidR="00D24BA1" w:rsidRDefault="00D24BA1" w:rsidP="00286E68">
            <w:pPr>
              <w:pStyle w:val="TableText0"/>
              <w:keepNext w:val="0"/>
              <w:rPr>
                <w:lang w:val="en-US"/>
              </w:rPr>
            </w:pPr>
            <w:r>
              <w:rPr>
                <w:lang w:val="en-US"/>
              </w:rPr>
              <w:t>[induction + maintenance]</w:t>
            </w:r>
          </w:p>
        </w:tc>
        <w:tc>
          <w:tcPr>
            <w:tcW w:w="253" w:type="pct"/>
            <w:shd w:val="clear" w:color="auto" w:fill="B8CCE4" w:themeFill="accent1" w:themeFillTint="66"/>
            <w:vAlign w:val="center"/>
          </w:tcPr>
          <w:p w14:paraId="3C93D646" w14:textId="77777777" w:rsidR="00D24BA1" w:rsidRDefault="00D24BA1" w:rsidP="00286E68">
            <w:pPr>
              <w:pStyle w:val="TableText0"/>
              <w:keepNext w:val="0"/>
              <w:jc w:val="center"/>
              <w:rPr>
                <w:lang w:val="en-US"/>
              </w:rPr>
            </w:pPr>
            <w:r>
              <w:rPr>
                <w:lang w:val="en-US"/>
              </w:rPr>
              <w:t>MP: 50</w:t>
            </w:r>
          </w:p>
        </w:tc>
        <w:tc>
          <w:tcPr>
            <w:tcW w:w="711" w:type="pct"/>
            <w:shd w:val="clear" w:color="auto" w:fill="B8CCE4" w:themeFill="accent1" w:themeFillTint="66"/>
            <w:vAlign w:val="center"/>
          </w:tcPr>
          <w:p w14:paraId="0E901532" w14:textId="77777777" w:rsidR="00D24BA1" w:rsidRDefault="00D24BA1" w:rsidP="00286E68">
            <w:pPr>
              <w:pStyle w:val="TableText0"/>
              <w:keepNext w:val="0"/>
              <w:jc w:val="center"/>
              <w:rPr>
                <w:lang w:val="en-US"/>
              </w:rPr>
            </w:pPr>
            <w:r>
              <w:rPr>
                <w:lang w:val="en-US"/>
              </w:rPr>
              <w:t xml:space="preserve">P2/3, MC (Japan), R, PC, DB 56 </w:t>
            </w:r>
            <w:proofErr w:type="spellStart"/>
            <w:r>
              <w:rPr>
                <w:lang w:val="en-US"/>
              </w:rPr>
              <w:t>wks</w:t>
            </w:r>
            <w:proofErr w:type="spellEnd"/>
          </w:p>
          <w:p w14:paraId="4889E9DE" w14:textId="77777777" w:rsidR="00D24BA1" w:rsidRDefault="00D24BA1" w:rsidP="00286E68">
            <w:pPr>
              <w:pStyle w:val="TableText0"/>
              <w:keepNext w:val="0"/>
              <w:jc w:val="center"/>
              <w:rPr>
                <w:lang w:val="en-US"/>
              </w:rPr>
            </w:pPr>
            <w:r>
              <w:rPr>
                <w:lang w:val="en-US"/>
              </w:rPr>
              <w:t xml:space="preserve">[IP: 4 </w:t>
            </w:r>
            <w:proofErr w:type="spellStart"/>
            <w:r>
              <w:rPr>
                <w:lang w:val="en-US"/>
              </w:rPr>
              <w:t>wks</w:t>
            </w:r>
            <w:proofErr w:type="spellEnd"/>
            <w:r>
              <w:rPr>
                <w:lang w:val="en-US"/>
              </w:rPr>
              <w:t xml:space="preserve"> + </w:t>
            </w:r>
            <w:proofErr w:type="spellStart"/>
            <w:r>
              <w:rPr>
                <w:lang w:val="en-US"/>
              </w:rPr>
              <w:t>MP</w:t>
            </w:r>
            <w:r w:rsidRPr="000829FA">
              <w:rPr>
                <w:vertAlign w:val="superscript"/>
                <w:lang w:val="en-US"/>
              </w:rPr>
              <w:t>g</w:t>
            </w:r>
            <w:proofErr w:type="spellEnd"/>
            <w:r>
              <w:rPr>
                <w:lang w:val="en-US"/>
              </w:rPr>
              <w:t xml:space="preserve">: 52 </w:t>
            </w:r>
            <w:proofErr w:type="spellStart"/>
            <w:r>
              <w:rPr>
                <w:lang w:val="en-US"/>
              </w:rPr>
              <w:t>wks</w:t>
            </w:r>
            <w:proofErr w:type="spellEnd"/>
            <w:r>
              <w:rPr>
                <w:lang w:val="en-US"/>
              </w:rPr>
              <w:t>], Type 3 RWD</w:t>
            </w:r>
          </w:p>
        </w:tc>
        <w:tc>
          <w:tcPr>
            <w:tcW w:w="152" w:type="pct"/>
            <w:shd w:val="clear" w:color="auto" w:fill="B8CCE4" w:themeFill="accent1" w:themeFillTint="66"/>
            <w:vAlign w:val="center"/>
          </w:tcPr>
          <w:p w14:paraId="6DDDC728"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02E3DBE"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390397BD"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xml:space="preserve">) </w:t>
            </w:r>
            <w:proofErr w:type="gramStart"/>
            <w:r>
              <w:rPr>
                <w:lang w:val="en-US"/>
              </w:rPr>
              <w:t>naïve</w:t>
            </w:r>
            <w:proofErr w:type="gramEnd"/>
            <w:r>
              <w:rPr>
                <w:lang w:val="en-US"/>
              </w:rPr>
              <w:t xml:space="preserve"> and experienced (non-responders excluded)</w:t>
            </w:r>
          </w:p>
        </w:tc>
        <w:tc>
          <w:tcPr>
            <w:tcW w:w="1424" w:type="pct"/>
            <w:shd w:val="clear" w:color="auto" w:fill="B8CCE4" w:themeFill="accent1" w:themeFillTint="66"/>
            <w:vAlign w:val="center"/>
          </w:tcPr>
          <w:p w14:paraId="59E0EEEC" w14:textId="77777777" w:rsidR="00D24BA1" w:rsidRDefault="00D24BA1" w:rsidP="00286E68">
            <w:pPr>
              <w:pStyle w:val="TableText0"/>
              <w:keepNext w:val="0"/>
              <w:jc w:val="center"/>
              <w:rPr>
                <w:lang w:val="en-US"/>
              </w:rPr>
            </w:pPr>
            <w:r>
              <w:rPr>
                <w:lang w:val="en-US"/>
              </w:rPr>
              <w:t xml:space="preserve">ADA 160/80mg SC </w:t>
            </w:r>
            <w:proofErr w:type="spellStart"/>
            <w:r>
              <w:rPr>
                <w:lang w:val="en-US"/>
              </w:rPr>
              <w:t>Wk</w:t>
            </w:r>
            <w:proofErr w:type="spellEnd"/>
            <w:r>
              <w:rPr>
                <w:lang w:val="en-US"/>
              </w:rPr>
              <w:t xml:space="preserve"> 0, 2 IP -&gt; 40mg SC Q2W MP</w:t>
            </w:r>
          </w:p>
          <w:p w14:paraId="253AB598" w14:textId="77777777" w:rsidR="00D24BA1" w:rsidRDefault="00D24BA1" w:rsidP="00286E68">
            <w:pPr>
              <w:pStyle w:val="TableText0"/>
              <w:keepNext w:val="0"/>
              <w:jc w:val="center"/>
              <w:rPr>
                <w:lang w:val="en-US"/>
              </w:rPr>
            </w:pPr>
            <w:r>
              <w:rPr>
                <w:lang w:val="en-US"/>
              </w:rPr>
              <w:t xml:space="preserve">ADA 80/40mg SC </w:t>
            </w:r>
            <w:proofErr w:type="spellStart"/>
            <w:r>
              <w:rPr>
                <w:lang w:val="en-US"/>
              </w:rPr>
              <w:t>Wk</w:t>
            </w:r>
            <w:proofErr w:type="spellEnd"/>
            <w:r>
              <w:rPr>
                <w:lang w:val="en-US"/>
              </w:rPr>
              <w:t xml:space="preserve"> 0, 2 IP -&gt; 40mg SC Q2W MP</w:t>
            </w:r>
          </w:p>
          <w:p w14:paraId="5855443C" w14:textId="77777777" w:rsidR="00D24BA1" w:rsidRDefault="00D24BA1" w:rsidP="00286E68">
            <w:pPr>
              <w:pStyle w:val="TableText0"/>
              <w:keepNext w:val="0"/>
              <w:jc w:val="center"/>
              <w:rPr>
                <w:lang w:val="en-US"/>
              </w:rPr>
            </w:pPr>
            <w:r>
              <w:rPr>
                <w:lang w:val="en-US"/>
              </w:rPr>
              <w:t>PBO</w:t>
            </w:r>
          </w:p>
        </w:tc>
        <w:tc>
          <w:tcPr>
            <w:tcW w:w="813" w:type="pct"/>
            <w:shd w:val="clear" w:color="auto" w:fill="B8CCE4" w:themeFill="accent1" w:themeFillTint="66"/>
            <w:vAlign w:val="center"/>
          </w:tcPr>
          <w:p w14:paraId="5A279E97"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993F53">
              <w:rPr>
                <w:vertAlign w:val="superscript"/>
                <w:lang w:val="en-US"/>
              </w:rPr>
              <w:t>a</w:t>
            </w:r>
            <w:proofErr w:type="gramEnd"/>
          </w:p>
          <w:p w14:paraId="3CFBFD2B" w14:textId="77777777" w:rsidR="00D24BA1" w:rsidRDefault="00D24BA1" w:rsidP="00286E68">
            <w:pPr>
              <w:pStyle w:val="TableText0"/>
              <w:keepNext w:val="0"/>
              <w:jc w:val="center"/>
              <w:rPr>
                <w:lang w:val="en-US"/>
              </w:rPr>
            </w:pPr>
            <w:r>
              <w:rPr>
                <w:lang w:val="en-US"/>
              </w:rPr>
              <w:t>2°: clinical response (CDAI)</w:t>
            </w:r>
            <w:r w:rsidRPr="00870A90">
              <w:rPr>
                <w:vertAlign w:val="superscript"/>
                <w:lang w:val="en-US"/>
              </w:rPr>
              <w:t>c</w:t>
            </w:r>
            <w:r>
              <w:rPr>
                <w:vertAlign w:val="superscript"/>
                <w:lang w:val="en-US"/>
              </w:rPr>
              <w:t xml:space="preserve"> d</w:t>
            </w:r>
          </w:p>
        </w:tc>
        <w:tc>
          <w:tcPr>
            <w:tcW w:w="203" w:type="pct"/>
            <w:vAlign w:val="center"/>
          </w:tcPr>
          <w:p w14:paraId="2A2C2D32"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7BCE9115"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3EA0BC21" w14:textId="77777777" w:rsidR="00D24BA1" w:rsidRDefault="00D24BA1" w:rsidP="00286E68">
            <w:pPr>
              <w:pStyle w:val="TableText0"/>
              <w:keepNext w:val="0"/>
              <w:jc w:val="center"/>
              <w:rPr>
                <w:lang w:val="en-US"/>
              </w:rPr>
            </w:pPr>
            <w:r>
              <w:rPr>
                <w:lang w:val="en-US"/>
              </w:rPr>
              <w:t>MP: NMA</w:t>
            </w:r>
          </w:p>
        </w:tc>
      </w:tr>
      <w:tr w:rsidR="004B5B74" w:rsidRPr="00E2771E" w14:paraId="7124C172" w14:textId="77777777" w:rsidTr="00286E68">
        <w:trPr>
          <w:cantSplit/>
        </w:trPr>
        <w:tc>
          <w:tcPr>
            <w:tcW w:w="456" w:type="pct"/>
            <w:shd w:val="clear" w:color="auto" w:fill="B8CCE4" w:themeFill="accent1" w:themeFillTint="66"/>
            <w:vAlign w:val="center"/>
          </w:tcPr>
          <w:p w14:paraId="2E55023E" w14:textId="77777777" w:rsidR="00D24BA1" w:rsidRDefault="00D24BA1" w:rsidP="00286E68">
            <w:pPr>
              <w:pStyle w:val="TableText0"/>
              <w:keepNext w:val="0"/>
              <w:rPr>
                <w:lang w:val="en-US"/>
              </w:rPr>
            </w:pPr>
            <w:r>
              <w:rPr>
                <w:lang w:val="en-US"/>
              </w:rPr>
              <w:t>CHARM</w:t>
            </w:r>
          </w:p>
          <w:p w14:paraId="0E43D453" w14:textId="77777777" w:rsidR="00D24BA1" w:rsidRDefault="00D24BA1" w:rsidP="00286E68">
            <w:pPr>
              <w:pStyle w:val="TableText0"/>
              <w:keepNext w:val="0"/>
              <w:rPr>
                <w:lang w:val="en-US"/>
              </w:rPr>
            </w:pPr>
            <w:r>
              <w:rPr>
                <w:lang w:val="en-US"/>
              </w:rPr>
              <w:t>[maintenance]</w:t>
            </w:r>
          </w:p>
        </w:tc>
        <w:tc>
          <w:tcPr>
            <w:tcW w:w="253" w:type="pct"/>
            <w:shd w:val="clear" w:color="auto" w:fill="B8CCE4" w:themeFill="accent1" w:themeFillTint="66"/>
            <w:vAlign w:val="center"/>
          </w:tcPr>
          <w:p w14:paraId="5B3538C9" w14:textId="77777777" w:rsidR="00D24BA1" w:rsidRDefault="00D24BA1" w:rsidP="00286E68">
            <w:pPr>
              <w:pStyle w:val="TableText0"/>
              <w:keepNext w:val="0"/>
              <w:jc w:val="center"/>
              <w:rPr>
                <w:lang w:val="en-US"/>
              </w:rPr>
            </w:pPr>
            <w:r>
              <w:rPr>
                <w:lang w:val="en-US"/>
              </w:rPr>
              <w:t>MP: 778</w:t>
            </w:r>
          </w:p>
        </w:tc>
        <w:tc>
          <w:tcPr>
            <w:tcW w:w="711" w:type="pct"/>
            <w:shd w:val="clear" w:color="auto" w:fill="B8CCE4" w:themeFill="accent1" w:themeFillTint="66"/>
            <w:vAlign w:val="center"/>
          </w:tcPr>
          <w:p w14:paraId="23D05F8C" w14:textId="77777777" w:rsidR="00D24BA1" w:rsidRDefault="00D24BA1" w:rsidP="00286E68">
            <w:pPr>
              <w:pStyle w:val="TableText0"/>
              <w:keepNext w:val="0"/>
              <w:jc w:val="center"/>
              <w:rPr>
                <w:lang w:val="en-US"/>
              </w:rPr>
            </w:pPr>
            <w:r>
              <w:rPr>
                <w:lang w:val="en-US"/>
              </w:rPr>
              <w:t xml:space="preserve">P3, MC, R, PC, OL (IP) and DB (MP) 56 </w:t>
            </w:r>
            <w:proofErr w:type="spellStart"/>
            <w:r>
              <w:rPr>
                <w:lang w:val="en-US"/>
              </w:rPr>
              <w:t>wks</w:t>
            </w:r>
            <w:proofErr w:type="spellEnd"/>
          </w:p>
          <w:p w14:paraId="0BEE4040" w14:textId="77777777" w:rsidR="00D24BA1" w:rsidRDefault="00D24BA1" w:rsidP="00286E68">
            <w:pPr>
              <w:pStyle w:val="TableText0"/>
              <w:keepNext w:val="0"/>
              <w:jc w:val="center"/>
              <w:rPr>
                <w:lang w:val="en-US"/>
              </w:rPr>
            </w:pPr>
            <w:r>
              <w:rPr>
                <w:lang w:val="en-US"/>
              </w:rPr>
              <w:t xml:space="preserve">[IP: 4 </w:t>
            </w:r>
            <w:proofErr w:type="spellStart"/>
            <w:r>
              <w:rPr>
                <w:lang w:val="en-US"/>
              </w:rPr>
              <w:t>wks</w:t>
            </w:r>
            <w:proofErr w:type="spellEnd"/>
            <w:r>
              <w:rPr>
                <w:lang w:val="en-US"/>
              </w:rPr>
              <w:t xml:space="preserve"> + </w:t>
            </w:r>
            <w:proofErr w:type="spellStart"/>
            <w:r>
              <w:rPr>
                <w:lang w:val="en-US"/>
              </w:rPr>
              <w:t>MP</w:t>
            </w:r>
            <w:r w:rsidRPr="000829FA">
              <w:rPr>
                <w:vertAlign w:val="superscript"/>
                <w:lang w:val="en-US"/>
              </w:rPr>
              <w:t>g</w:t>
            </w:r>
            <w:proofErr w:type="spellEnd"/>
            <w:r>
              <w:rPr>
                <w:lang w:val="en-US"/>
              </w:rPr>
              <w:t xml:space="preserve">: 52 </w:t>
            </w:r>
            <w:proofErr w:type="spellStart"/>
            <w:r>
              <w:rPr>
                <w:lang w:val="en-US"/>
              </w:rPr>
              <w:t>wks</w:t>
            </w:r>
            <w:proofErr w:type="spellEnd"/>
            <w:r>
              <w:rPr>
                <w:lang w:val="en-US"/>
              </w:rPr>
              <w:t>],</w:t>
            </w:r>
          </w:p>
          <w:p w14:paraId="4E23882D" w14:textId="77777777" w:rsidR="00D24BA1" w:rsidRDefault="00D24BA1" w:rsidP="00286E68">
            <w:pPr>
              <w:pStyle w:val="TableText0"/>
              <w:keepNext w:val="0"/>
              <w:jc w:val="center"/>
              <w:rPr>
                <w:lang w:val="en-US"/>
              </w:rPr>
            </w:pPr>
            <w:r>
              <w:rPr>
                <w:lang w:val="en-US"/>
              </w:rPr>
              <w:t>Type 3 RWD</w:t>
            </w:r>
          </w:p>
        </w:tc>
        <w:tc>
          <w:tcPr>
            <w:tcW w:w="152" w:type="pct"/>
            <w:shd w:val="clear" w:color="auto" w:fill="B8CCE4" w:themeFill="accent1" w:themeFillTint="66"/>
            <w:vAlign w:val="center"/>
          </w:tcPr>
          <w:p w14:paraId="442C17A4"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6A93BAA1"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406B9A57"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xml:space="preserve">) </w:t>
            </w:r>
            <w:proofErr w:type="gramStart"/>
            <w:r>
              <w:rPr>
                <w:lang w:val="en-US"/>
              </w:rPr>
              <w:t>naïve</w:t>
            </w:r>
            <w:proofErr w:type="gramEnd"/>
            <w:r>
              <w:rPr>
                <w:lang w:val="en-US"/>
              </w:rPr>
              <w:t xml:space="preserve"> and experienced (non-responders excluded)</w:t>
            </w:r>
          </w:p>
        </w:tc>
        <w:tc>
          <w:tcPr>
            <w:tcW w:w="1424" w:type="pct"/>
            <w:shd w:val="clear" w:color="auto" w:fill="B8CCE4" w:themeFill="accent1" w:themeFillTint="66"/>
            <w:vAlign w:val="center"/>
          </w:tcPr>
          <w:p w14:paraId="7B0CCC00" w14:textId="77777777" w:rsidR="00D24BA1" w:rsidRDefault="00D24BA1" w:rsidP="00286E68">
            <w:pPr>
              <w:pStyle w:val="TableText0"/>
              <w:keepNext w:val="0"/>
              <w:jc w:val="center"/>
              <w:rPr>
                <w:lang w:val="en-US"/>
              </w:rPr>
            </w:pPr>
            <w:r>
              <w:rPr>
                <w:lang w:val="en-US"/>
              </w:rPr>
              <w:t xml:space="preserve">ADA 80/40mg SC </w:t>
            </w:r>
            <w:proofErr w:type="spellStart"/>
            <w:r>
              <w:rPr>
                <w:lang w:val="en-US"/>
              </w:rPr>
              <w:t>Wk</w:t>
            </w:r>
            <w:proofErr w:type="spellEnd"/>
            <w:r>
              <w:rPr>
                <w:lang w:val="en-US"/>
              </w:rPr>
              <w:t xml:space="preserve"> 0, 2 IP -&gt; 40mg Q2W MP</w:t>
            </w:r>
          </w:p>
          <w:p w14:paraId="34FB1862" w14:textId="77777777" w:rsidR="00D24BA1" w:rsidRDefault="00D24BA1" w:rsidP="00286E68">
            <w:pPr>
              <w:pStyle w:val="TableText0"/>
              <w:keepNext w:val="0"/>
              <w:jc w:val="center"/>
              <w:rPr>
                <w:lang w:val="en-US"/>
              </w:rPr>
            </w:pPr>
            <w:r>
              <w:rPr>
                <w:lang w:val="en-US"/>
              </w:rPr>
              <w:t xml:space="preserve">ADA 80/40mg SC </w:t>
            </w:r>
            <w:proofErr w:type="spellStart"/>
            <w:r>
              <w:rPr>
                <w:lang w:val="en-US"/>
              </w:rPr>
              <w:t>Wk</w:t>
            </w:r>
            <w:proofErr w:type="spellEnd"/>
            <w:r>
              <w:rPr>
                <w:lang w:val="en-US"/>
              </w:rPr>
              <w:t xml:space="preserve"> 0, 2 IP -&gt; 40mg QW MP</w:t>
            </w:r>
          </w:p>
          <w:p w14:paraId="1FE32F29" w14:textId="77777777" w:rsidR="00D24BA1" w:rsidRDefault="00D24BA1" w:rsidP="00286E68">
            <w:pPr>
              <w:pStyle w:val="TableText0"/>
              <w:keepNext w:val="0"/>
              <w:jc w:val="center"/>
              <w:rPr>
                <w:lang w:val="en-US"/>
              </w:rPr>
            </w:pPr>
            <w:r>
              <w:rPr>
                <w:lang w:val="en-US"/>
              </w:rPr>
              <w:t xml:space="preserve">ADA 80/40mg SC </w:t>
            </w:r>
            <w:proofErr w:type="spellStart"/>
            <w:r>
              <w:rPr>
                <w:lang w:val="en-US"/>
              </w:rPr>
              <w:t>Wk</w:t>
            </w:r>
            <w:proofErr w:type="spellEnd"/>
            <w:r>
              <w:rPr>
                <w:lang w:val="en-US"/>
              </w:rPr>
              <w:t xml:space="preserve"> 0, 2 -&gt; PBO</w:t>
            </w:r>
          </w:p>
        </w:tc>
        <w:tc>
          <w:tcPr>
            <w:tcW w:w="813" w:type="pct"/>
            <w:shd w:val="clear" w:color="auto" w:fill="B8CCE4" w:themeFill="accent1" w:themeFillTint="66"/>
            <w:vAlign w:val="center"/>
          </w:tcPr>
          <w:p w14:paraId="6994FD47" w14:textId="77777777" w:rsidR="00D24BA1" w:rsidRDefault="00D24BA1" w:rsidP="00286E68">
            <w:pPr>
              <w:pStyle w:val="TableText0"/>
              <w:keepNext w:val="0"/>
              <w:jc w:val="center"/>
              <w:rPr>
                <w:lang w:val="en-US"/>
              </w:rPr>
            </w:pPr>
            <w:r w:rsidRPr="003B4EC2">
              <w:rPr>
                <w:lang w:val="en-US"/>
              </w:rPr>
              <w:t xml:space="preserve">1°: </w:t>
            </w:r>
            <w:r>
              <w:rPr>
                <w:lang w:val="en-US"/>
              </w:rPr>
              <w:t>clinical remission (CDAI)</w:t>
            </w:r>
            <w:r>
              <w:rPr>
                <w:vertAlign w:val="superscript"/>
                <w:lang w:val="en-US"/>
              </w:rPr>
              <w:t>a</w:t>
            </w:r>
            <w:r>
              <w:rPr>
                <w:lang w:val="en-US"/>
              </w:rPr>
              <w:t xml:space="preserve"> | </w:t>
            </w:r>
            <w:r w:rsidRPr="003B4EC2">
              <w:rPr>
                <w:lang w:val="en-US"/>
              </w:rPr>
              <w:t>clinical response (CDAI)</w:t>
            </w:r>
            <w:r w:rsidRPr="009A5EAE">
              <w:rPr>
                <w:vertAlign w:val="superscript"/>
                <w:lang w:val="en-US"/>
              </w:rPr>
              <w:t>c</w:t>
            </w:r>
          </w:p>
        </w:tc>
        <w:tc>
          <w:tcPr>
            <w:tcW w:w="203" w:type="pct"/>
            <w:vAlign w:val="center"/>
          </w:tcPr>
          <w:p w14:paraId="13C56E47" w14:textId="77777777" w:rsidR="00D24BA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18245956" w14:textId="77777777" w:rsidR="00D24BA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4583ECEB" w14:textId="77777777" w:rsidR="00D24BA1" w:rsidRDefault="00D24BA1" w:rsidP="00286E68">
            <w:pPr>
              <w:pStyle w:val="TableText0"/>
              <w:keepNext w:val="0"/>
              <w:jc w:val="center"/>
              <w:rPr>
                <w:lang w:val="en-US"/>
              </w:rPr>
            </w:pPr>
            <w:r>
              <w:rPr>
                <w:lang w:val="en-US"/>
              </w:rPr>
              <w:t>MP: NMA</w:t>
            </w:r>
          </w:p>
        </w:tc>
      </w:tr>
      <w:tr w:rsidR="00D24BA1" w:rsidRPr="00E2771E" w14:paraId="5F559983" w14:textId="77777777" w:rsidTr="00286E68">
        <w:trPr>
          <w:cantSplit/>
        </w:trPr>
        <w:tc>
          <w:tcPr>
            <w:tcW w:w="5000" w:type="pct"/>
            <w:gridSpan w:val="10"/>
            <w:vAlign w:val="center"/>
          </w:tcPr>
          <w:p w14:paraId="2A1E1698" w14:textId="77777777" w:rsidR="00D24BA1" w:rsidRPr="000D51FA" w:rsidRDefault="00D24BA1" w:rsidP="00286E68">
            <w:pPr>
              <w:pStyle w:val="TableText0"/>
              <w:keepNext w:val="0"/>
              <w:rPr>
                <w:b/>
                <w:bCs w:val="0"/>
                <w:lang w:val="en-US"/>
              </w:rPr>
            </w:pPr>
            <w:r>
              <w:rPr>
                <w:b/>
                <w:bCs w:val="0"/>
                <w:lang w:val="en-US"/>
              </w:rPr>
              <w:t>ADA vs UST</w:t>
            </w:r>
          </w:p>
        </w:tc>
      </w:tr>
      <w:tr w:rsidR="00D24BA1" w:rsidRPr="00E2771E" w14:paraId="0ABE8A42" w14:textId="77777777" w:rsidTr="00286E68">
        <w:trPr>
          <w:cantSplit/>
        </w:trPr>
        <w:tc>
          <w:tcPr>
            <w:tcW w:w="456" w:type="pct"/>
            <w:vAlign w:val="center"/>
          </w:tcPr>
          <w:p w14:paraId="71EF1DB0" w14:textId="77777777" w:rsidR="00D24BA1" w:rsidRDefault="00D24BA1" w:rsidP="00286E68">
            <w:pPr>
              <w:pStyle w:val="TableText0"/>
              <w:keepNext w:val="0"/>
              <w:rPr>
                <w:lang w:val="en-US"/>
              </w:rPr>
            </w:pPr>
            <w:r>
              <w:rPr>
                <w:lang w:val="en-US"/>
              </w:rPr>
              <w:t>SEAVUE</w:t>
            </w:r>
          </w:p>
          <w:p w14:paraId="7D52E6BD" w14:textId="77777777" w:rsidR="00D24BA1" w:rsidRDefault="00D24BA1" w:rsidP="00286E68">
            <w:pPr>
              <w:pStyle w:val="TableText0"/>
              <w:keepNext w:val="0"/>
              <w:rPr>
                <w:lang w:val="en-US"/>
              </w:rPr>
            </w:pPr>
            <w:r>
              <w:rPr>
                <w:lang w:val="en-US"/>
              </w:rPr>
              <w:t>[induction + maintenance]</w:t>
            </w:r>
          </w:p>
        </w:tc>
        <w:tc>
          <w:tcPr>
            <w:tcW w:w="253" w:type="pct"/>
            <w:vAlign w:val="center"/>
          </w:tcPr>
          <w:p w14:paraId="706ADFF6" w14:textId="77777777" w:rsidR="00D24BA1" w:rsidRDefault="00D24BA1" w:rsidP="00286E68">
            <w:pPr>
              <w:pStyle w:val="TableText0"/>
              <w:keepNext w:val="0"/>
              <w:jc w:val="center"/>
              <w:rPr>
                <w:lang w:val="en-US"/>
              </w:rPr>
            </w:pPr>
            <w:r>
              <w:rPr>
                <w:lang w:val="en-US"/>
              </w:rPr>
              <w:t>386</w:t>
            </w:r>
          </w:p>
        </w:tc>
        <w:tc>
          <w:tcPr>
            <w:tcW w:w="711" w:type="pct"/>
            <w:vAlign w:val="center"/>
          </w:tcPr>
          <w:p w14:paraId="4F1ED195" w14:textId="77777777" w:rsidR="00D24BA1" w:rsidRDefault="00D24BA1" w:rsidP="00286E68">
            <w:pPr>
              <w:pStyle w:val="TableText0"/>
              <w:keepNext w:val="0"/>
              <w:jc w:val="center"/>
              <w:rPr>
                <w:lang w:val="en-US"/>
              </w:rPr>
            </w:pPr>
            <w:r>
              <w:rPr>
                <w:lang w:val="en-US"/>
              </w:rPr>
              <w:t xml:space="preserve">P3b, MC, R, parallel, DB 56 </w:t>
            </w:r>
            <w:proofErr w:type="spellStart"/>
            <w:r>
              <w:rPr>
                <w:lang w:val="en-US"/>
              </w:rPr>
              <w:t>wks</w:t>
            </w:r>
            <w:proofErr w:type="spellEnd"/>
          </w:p>
          <w:p w14:paraId="6C5B2CA6" w14:textId="77777777" w:rsidR="00D24BA1" w:rsidRDefault="00D24BA1" w:rsidP="00286E68">
            <w:pPr>
              <w:pStyle w:val="TableText0"/>
              <w:keepNext w:val="0"/>
              <w:jc w:val="center"/>
              <w:rPr>
                <w:lang w:val="en-US"/>
              </w:rPr>
            </w:pPr>
            <w:r>
              <w:rPr>
                <w:lang w:val="en-US"/>
              </w:rPr>
              <w:t xml:space="preserve">[IP: 4-8 </w:t>
            </w:r>
            <w:proofErr w:type="spellStart"/>
            <w:r>
              <w:rPr>
                <w:lang w:val="en-US"/>
              </w:rPr>
              <w:t>wks</w:t>
            </w:r>
            <w:proofErr w:type="spellEnd"/>
            <w:r>
              <w:rPr>
                <w:lang w:val="en-US"/>
              </w:rPr>
              <w:t xml:space="preserve"> + MP: 48-52</w:t>
            </w:r>
            <w:r w:rsidRPr="00E35625">
              <w:rPr>
                <w:lang w:val="en-US"/>
              </w:rPr>
              <w:t xml:space="preserve"> </w:t>
            </w:r>
            <w:proofErr w:type="spellStart"/>
            <w:r w:rsidRPr="00E35625">
              <w:rPr>
                <w:lang w:val="en-US"/>
              </w:rPr>
              <w:t>wks</w:t>
            </w:r>
            <w:proofErr w:type="spellEnd"/>
            <w:r>
              <w:rPr>
                <w:lang w:val="en-US"/>
              </w:rPr>
              <w:t>], Type 1 TT</w:t>
            </w:r>
          </w:p>
        </w:tc>
        <w:tc>
          <w:tcPr>
            <w:tcW w:w="152" w:type="pct"/>
            <w:vAlign w:val="center"/>
          </w:tcPr>
          <w:p w14:paraId="00CCCF40" w14:textId="77777777" w:rsidR="00D24BA1" w:rsidRPr="00123902" w:rsidRDefault="00D24BA1" w:rsidP="00286E68">
            <w:pPr>
              <w:pStyle w:val="TableText0"/>
              <w:keepNext w:val="0"/>
              <w:jc w:val="center"/>
              <w:rPr>
                <w:i/>
                <w:lang w:val="en-US"/>
              </w:rPr>
            </w:pPr>
          </w:p>
        </w:tc>
        <w:tc>
          <w:tcPr>
            <w:tcW w:w="610" w:type="pct"/>
            <w:vAlign w:val="center"/>
          </w:tcPr>
          <w:p w14:paraId="4C376FF0"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05CE320B"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naive</w:t>
            </w:r>
          </w:p>
        </w:tc>
        <w:tc>
          <w:tcPr>
            <w:tcW w:w="1424" w:type="pct"/>
            <w:vAlign w:val="center"/>
          </w:tcPr>
          <w:p w14:paraId="5262857E" w14:textId="77777777" w:rsidR="00D24BA1" w:rsidRPr="00932D53" w:rsidRDefault="00D24BA1" w:rsidP="00286E68">
            <w:pPr>
              <w:pStyle w:val="TableText0"/>
              <w:jc w:val="center"/>
              <w:rPr>
                <w:lang w:val="en-US"/>
              </w:rPr>
            </w:pPr>
            <w:r w:rsidRPr="00932D53">
              <w:rPr>
                <w:lang w:val="en-US"/>
              </w:rPr>
              <w:t>A</w:t>
            </w:r>
            <w:r>
              <w:rPr>
                <w:lang w:val="en-US"/>
              </w:rPr>
              <w:t>DA</w:t>
            </w:r>
            <w:r w:rsidRPr="00932D53">
              <w:rPr>
                <w:lang w:val="en-US"/>
              </w:rPr>
              <w:t xml:space="preserve"> 160/80mg</w:t>
            </w:r>
            <w:r>
              <w:rPr>
                <w:lang w:val="en-US"/>
              </w:rPr>
              <w:t xml:space="preserve"> SC</w:t>
            </w:r>
            <w:r w:rsidRPr="00932D53">
              <w:rPr>
                <w:lang w:val="en-US"/>
              </w:rPr>
              <w:t xml:space="preserve"> </w:t>
            </w:r>
            <w:proofErr w:type="spellStart"/>
            <w:r>
              <w:rPr>
                <w:lang w:val="en-US"/>
              </w:rPr>
              <w:t>W</w:t>
            </w:r>
            <w:r w:rsidRPr="00932D53">
              <w:rPr>
                <w:lang w:val="en-US"/>
              </w:rPr>
              <w:t>k</w:t>
            </w:r>
            <w:proofErr w:type="spellEnd"/>
            <w:r w:rsidRPr="00932D53">
              <w:rPr>
                <w:lang w:val="en-US"/>
              </w:rPr>
              <w:t xml:space="preserve"> 0, 2</w:t>
            </w:r>
            <w:r>
              <w:rPr>
                <w:lang w:val="en-US"/>
              </w:rPr>
              <w:t xml:space="preserve"> IP -&gt;</w:t>
            </w:r>
            <w:r w:rsidRPr="00932D53">
              <w:rPr>
                <w:lang w:val="en-US"/>
              </w:rPr>
              <w:t xml:space="preserve"> 40mg </w:t>
            </w:r>
            <w:r>
              <w:rPr>
                <w:lang w:val="en-US"/>
              </w:rPr>
              <w:t xml:space="preserve">SC </w:t>
            </w:r>
            <w:r w:rsidRPr="00932D53">
              <w:rPr>
                <w:lang w:val="en-US"/>
              </w:rPr>
              <w:t>Q2W</w:t>
            </w:r>
            <w:r>
              <w:rPr>
                <w:lang w:val="en-US"/>
              </w:rPr>
              <w:t xml:space="preserve"> MP</w:t>
            </w:r>
          </w:p>
          <w:p w14:paraId="28A82724" w14:textId="77777777" w:rsidR="00D24BA1" w:rsidRDefault="00D24BA1" w:rsidP="00286E68">
            <w:pPr>
              <w:pStyle w:val="TableText0"/>
              <w:keepNext w:val="0"/>
              <w:jc w:val="center"/>
              <w:rPr>
                <w:lang w:val="en-US"/>
              </w:rPr>
            </w:pPr>
            <w:r>
              <w:rPr>
                <w:lang w:val="en-US"/>
              </w:rPr>
              <w:t>UST</w:t>
            </w:r>
            <w:r w:rsidRPr="00932D53">
              <w:rPr>
                <w:lang w:val="en-US"/>
              </w:rPr>
              <w:t xml:space="preserve"> 6mg/kg</w:t>
            </w:r>
            <w:r>
              <w:rPr>
                <w:lang w:val="en-US"/>
              </w:rPr>
              <w:t xml:space="preserve"> IV </w:t>
            </w:r>
            <w:proofErr w:type="spellStart"/>
            <w:r>
              <w:rPr>
                <w:lang w:val="en-US"/>
              </w:rPr>
              <w:t>Wk</w:t>
            </w:r>
            <w:proofErr w:type="spellEnd"/>
            <w:r>
              <w:rPr>
                <w:lang w:val="en-US"/>
              </w:rPr>
              <w:t xml:space="preserve"> 0 IP -&gt;</w:t>
            </w:r>
            <w:r w:rsidRPr="00932D53">
              <w:rPr>
                <w:lang w:val="en-US"/>
              </w:rPr>
              <w:t xml:space="preserve"> </w:t>
            </w:r>
            <w:r>
              <w:rPr>
                <w:lang w:val="en-US"/>
              </w:rPr>
              <w:t xml:space="preserve">90mg SC </w:t>
            </w:r>
            <w:r w:rsidRPr="00932D53">
              <w:rPr>
                <w:lang w:val="en-US"/>
              </w:rPr>
              <w:t>Q8W</w:t>
            </w:r>
            <w:r>
              <w:rPr>
                <w:lang w:val="en-US"/>
              </w:rPr>
              <w:t xml:space="preserve"> MP</w:t>
            </w:r>
          </w:p>
        </w:tc>
        <w:tc>
          <w:tcPr>
            <w:tcW w:w="813" w:type="pct"/>
            <w:vAlign w:val="center"/>
          </w:tcPr>
          <w:p w14:paraId="55F246ED" w14:textId="77777777" w:rsidR="00D24BA1" w:rsidRDefault="00D24BA1" w:rsidP="00286E68">
            <w:pPr>
              <w:pStyle w:val="TableText0"/>
              <w:keepNext w:val="0"/>
              <w:jc w:val="center"/>
              <w:rPr>
                <w:vertAlign w:val="superscript"/>
                <w:lang w:val="en-US"/>
              </w:rPr>
            </w:pPr>
            <w:r>
              <w:rPr>
                <w:lang w:val="en-US"/>
              </w:rPr>
              <w:t>1°: clinical remission (CDAI</w:t>
            </w:r>
            <w:proofErr w:type="gramStart"/>
            <w:r>
              <w:rPr>
                <w:lang w:val="en-US"/>
              </w:rPr>
              <w:t>)</w:t>
            </w:r>
            <w:r w:rsidRPr="00993F53">
              <w:rPr>
                <w:vertAlign w:val="superscript"/>
                <w:lang w:val="en-US"/>
              </w:rPr>
              <w:t>a</w:t>
            </w:r>
            <w:proofErr w:type="gramEnd"/>
          </w:p>
          <w:p w14:paraId="4A97CA70" w14:textId="77777777" w:rsidR="00D24BA1" w:rsidRDefault="00D24BA1" w:rsidP="00286E68">
            <w:pPr>
              <w:pStyle w:val="TableText0"/>
              <w:keepNext w:val="0"/>
              <w:jc w:val="center"/>
              <w:rPr>
                <w:lang w:val="en-US"/>
              </w:rPr>
            </w:pPr>
            <w:r>
              <w:rPr>
                <w:lang w:val="en-US"/>
              </w:rPr>
              <w:t>2°: clinical response (CDAI)</w:t>
            </w:r>
            <w:r>
              <w:rPr>
                <w:vertAlign w:val="superscript"/>
                <w:lang w:val="en-US"/>
              </w:rPr>
              <w:t>e</w:t>
            </w:r>
          </w:p>
        </w:tc>
        <w:tc>
          <w:tcPr>
            <w:tcW w:w="203" w:type="pct"/>
            <w:vAlign w:val="center"/>
          </w:tcPr>
          <w:p w14:paraId="3C3E0A72"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183" w:type="pct"/>
            <w:vAlign w:val="center"/>
          </w:tcPr>
          <w:p w14:paraId="33239680"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195" w:type="pct"/>
            <w:vAlign w:val="center"/>
          </w:tcPr>
          <w:p w14:paraId="7751733B" w14:textId="77777777" w:rsidR="00D24BA1" w:rsidRDefault="00D24BA1" w:rsidP="00286E68">
            <w:pPr>
              <w:pStyle w:val="TableText0"/>
              <w:keepNext w:val="0"/>
              <w:jc w:val="center"/>
              <w:rPr>
                <w:lang w:val="en-US"/>
              </w:rPr>
            </w:pPr>
            <w:r>
              <w:rPr>
                <w:lang w:val="en-US"/>
              </w:rPr>
              <w:t>MP: NMA</w:t>
            </w:r>
          </w:p>
        </w:tc>
      </w:tr>
      <w:tr w:rsidR="00D24BA1" w:rsidRPr="00E2771E" w14:paraId="606CCF77" w14:textId="77777777" w:rsidTr="00286E68">
        <w:trPr>
          <w:cantSplit/>
        </w:trPr>
        <w:tc>
          <w:tcPr>
            <w:tcW w:w="5000" w:type="pct"/>
            <w:gridSpan w:val="10"/>
            <w:vAlign w:val="center"/>
          </w:tcPr>
          <w:p w14:paraId="4ACAC823" w14:textId="77777777" w:rsidR="00D24BA1" w:rsidRPr="000D51FA" w:rsidRDefault="00D24BA1" w:rsidP="00286E68">
            <w:pPr>
              <w:pStyle w:val="TableText0"/>
              <w:keepNext w:val="0"/>
              <w:rPr>
                <w:b/>
                <w:bCs w:val="0"/>
                <w:lang w:val="en-US"/>
              </w:rPr>
            </w:pPr>
            <w:r>
              <w:rPr>
                <w:b/>
                <w:bCs w:val="0"/>
                <w:lang w:val="en-US"/>
              </w:rPr>
              <w:t>VDZ vs PBO</w:t>
            </w:r>
          </w:p>
        </w:tc>
      </w:tr>
      <w:tr w:rsidR="004B5B74" w:rsidRPr="00E2771E" w14:paraId="0E2A8BAD" w14:textId="77777777" w:rsidTr="00286E68">
        <w:trPr>
          <w:cantSplit/>
        </w:trPr>
        <w:tc>
          <w:tcPr>
            <w:tcW w:w="456" w:type="pct"/>
            <w:shd w:val="clear" w:color="auto" w:fill="B8CCE4" w:themeFill="accent1" w:themeFillTint="66"/>
            <w:vAlign w:val="center"/>
          </w:tcPr>
          <w:p w14:paraId="495FDF86" w14:textId="77777777" w:rsidR="00D24BA1" w:rsidRDefault="00D24BA1" w:rsidP="00286E68">
            <w:pPr>
              <w:pStyle w:val="TableText0"/>
              <w:keepNext w:val="0"/>
              <w:rPr>
                <w:lang w:val="en-US"/>
              </w:rPr>
            </w:pPr>
            <w:r>
              <w:rPr>
                <w:lang w:val="en-US"/>
              </w:rPr>
              <w:t>GEMINI II</w:t>
            </w:r>
          </w:p>
          <w:p w14:paraId="7E0EE29B" w14:textId="77777777" w:rsidR="00D24BA1" w:rsidRDefault="00D24BA1" w:rsidP="00286E68">
            <w:pPr>
              <w:pStyle w:val="TableText0"/>
              <w:keepNext w:val="0"/>
              <w:rPr>
                <w:lang w:val="en-US"/>
              </w:rPr>
            </w:pPr>
            <w:r>
              <w:rPr>
                <w:lang w:val="en-US"/>
              </w:rPr>
              <w:t>[induction + maintenance]</w:t>
            </w:r>
          </w:p>
        </w:tc>
        <w:tc>
          <w:tcPr>
            <w:tcW w:w="253" w:type="pct"/>
            <w:shd w:val="clear" w:color="auto" w:fill="B8CCE4" w:themeFill="accent1" w:themeFillTint="66"/>
            <w:vAlign w:val="center"/>
          </w:tcPr>
          <w:p w14:paraId="1C1846BA" w14:textId="77777777" w:rsidR="00D24BA1" w:rsidRDefault="00D24BA1" w:rsidP="00286E68">
            <w:pPr>
              <w:pStyle w:val="TableText0"/>
              <w:keepNext w:val="0"/>
              <w:jc w:val="center"/>
              <w:rPr>
                <w:lang w:val="en-US"/>
              </w:rPr>
            </w:pPr>
            <w:r>
              <w:rPr>
                <w:lang w:val="en-US"/>
              </w:rPr>
              <w:t>368</w:t>
            </w:r>
          </w:p>
        </w:tc>
        <w:tc>
          <w:tcPr>
            <w:tcW w:w="711" w:type="pct"/>
            <w:shd w:val="clear" w:color="auto" w:fill="B8CCE4" w:themeFill="accent1" w:themeFillTint="66"/>
            <w:vAlign w:val="center"/>
          </w:tcPr>
          <w:p w14:paraId="6A5E0F21" w14:textId="77777777" w:rsidR="00D24BA1" w:rsidRDefault="00D24BA1" w:rsidP="00286E68">
            <w:pPr>
              <w:pStyle w:val="TableText0"/>
              <w:keepNext w:val="0"/>
              <w:jc w:val="center"/>
              <w:rPr>
                <w:lang w:val="en-US"/>
              </w:rPr>
            </w:pPr>
            <w:r>
              <w:rPr>
                <w:lang w:val="en-US"/>
              </w:rPr>
              <w:t xml:space="preserve">P3, MC, R, PC, DB 52 </w:t>
            </w:r>
            <w:proofErr w:type="spellStart"/>
            <w:r>
              <w:rPr>
                <w:lang w:val="en-US"/>
              </w:rPr>
              <w:t>wks</w:t>
            </w:r>
            <w:proofErr w:type="spellEnd"/>
          </w:p>
          <w:p w14:paraId="357762B8" w14:textId="77777777" w:rsidR="00D24BA1" w:rsidRDefault="00D24BA1" w:rsidP="00286E68">
            <w:pPr>
              <w:pStyle w:val="TableText0"/>
              <w:keepNext w:val="0"/>
              <w:jc w:val="center"/>
              <w:rPr>
                <w:lang w:val="en-US"/>
              </w:rPr>
            </w:pPr>
            <w:r>
              <w:rPr>
                <w:lang w:val="en-US"/>
              </w:rPr>
              <w:t xml:space="preserve">[IP: 6 </w:t>
            </w:r>
            <w:proofErr w:type="spellStart"/>
            <w:r>
              <w:rPr>
                <w:lang w:val="en-US"/>
              </w:rPr>
              <w:t>wks</w:t>
            </w:r>
            <w:proofErr w:type="spellEnd"/>
            <w:r>
              <w:rPr>
                <w:lang w:val="en-US"/>
              </w:rPr>
              <w:t xml:space="preserve"> + MP: </w:t>
            </w:r>
            <w:r w:rsidRPr="00CF7DC9">
              <w:rPr>
                <w:lang w:val="en-US"/>
              </w:rPr>
              <w:t xml:space="preserve">46 </w:t>
            </w:r>
            <w:proofErr w:type="spellStart"/>
            <w:r w:rsidRPr="00CF7DC9">
              <w:rPr>
                <w:lang w:val="en-US"/>
              </w:rPr>
              <w:t>wks</w:t>
            </w:r>
            <w:proofErr w:type="spellEnd"/>
            <w:r>
              <w:rPr>
                <w:lang w:val="en-US"/>
              </w:rPr>
              <w:t>], Type 3 RWD</w:t>
            </w:r>
          </w:p>
        </w:tc>
        <w:tc>
          <w:tcPr>
            <w:tcW w:w="152" w:type="pct"/>
            <w:shd w:val="clear" w:color="auto" w:fill="B8CCE4" w:themeFill="accent1" w:themeFillTint="66"/>
            <w:vAlign w:val="center"/>
          </w:tcPr>
          <w:p w14:paraId="4012FEBE"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33C386F5"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6F1D26DD" w14:textId="77777777" w:rsidR="00D24BA1" w:rsidRPr="00376C38" w:rsidRDefault="00D24BA1" w:rsidP="00286E68">
            <w:pPr>
              <w:pStyle w:val="TableText0"/>
              <w:keepNext w:val="0"/>
              <w:jc w:val="center"/>
              <w:rPr>
                <w:lang w:val="en-US"/>
              </w:rPr>
            </w:pPr>
            <w:r>
              <w:rPr>
                <w:lang w:val="en-US"/>
              </w:rPr>
              <w:t>Biologic (</w:t>
            </w:r>
            <w:proofErr w:type="spellStart"/>
            <w:r>
              <w:rPr>
                <w:lang w:val="en-US"/>
              </w:rPr>
              <w:t>TNFi</w:t>
            </w:r>
            <w:proofErr w:type="spellEnd"/>
            <w:r>
              <w:rPr>
                <w:lang w:val="en-US"/>
              </w:rPr>
              <w:t>) naïve and experienced</w:t>
            </w:r>
          </w:p>
        </w:tc>
        <w:tc>
          <w:tcPr>
            <w:tcW w:w="1424" w:type="pct"/>
            <w:shd w:val="clear" w:color="auto" w:fill="B8CCE4" w:themeFill="accent1" w:themeFillTint="66"/>
            <w:vAlign w:val="center"/>
          </w:tcPr>
          <w:p w14:paraId="4C68DF86" w14:textId="77777777" w:rsidR="00D24BA1" w:rsidRDefault="00D24BA1" w:rsidP="00286E68">
            <w:pPr>
              <w:pStyle w:val="TableText0"/>
              <w:keepNext w:val="0"/>
              <w:jc w:val="center"/>
              <w:rPr>
                <w:lang w:val="en-US"/>
              </w:rPr>
            </w:pPr>
            <w:r>
              <w:rPr>
                <w:lang w:val="en-US"/>
              </w:rPr>
              <w:t xml:space="preserve">VDZ 300mg IV </w:t>
            </w:r>
            <w:proofErr w:type="spellStart"/>
            <w:r>
              <w:rPr>
                <w:lang w:val="en-US"/>
              </w:rPr>
              <w:t>Wk</w:t>
            </w:r>
            <w:proofErr w:type="spellEnd"/>
            <w:r>
              <w:rPr>
                <w:lang w:val="en-US"/>
              </w:rPr>
              <w:t xml:space="preserve"> 0, 2, 6 IP -&gt; 300mg Q4W MP</w:t>
            </w:r>
          </w:p>
          <w:p w14:paraId="6E53FF9A" w14:textId="77777777" w:rsidR="00D24BA1" w:rsidRDefault="00D24BA1" w:rsidP="00286E68">
            <w:pPr>
              <w:pStyle w:val="TableText0"/>
              <w:keepNext w:val="0"/>
              <w:jc w:val="center"/>
              <w:rPr>
                <w:lang w:val="en-US"/>
              </w:rPr>
            </w:pPr>
            <w:r>
              <w:rPr>
                <w:lang w:val="en-US"/>
              </w:rPr>
              <w:t xml:space="preserve">VDZ 300mg IV </w:t>
            </w:r>
            <w:proofErr w:type="spellStart"/>
            <w:r>
              <w:rPr>
                <w:lang w:val="en-US"/>
              </w:rPr>
              <w:t>Wk</w:t>
            </w:r>
            <w:proofErr w:type="spellEnd"/>
            <w:r>
              <w:rPr>
                <w:lang w:val="en-US"/>
              </w:rPr>
              <w:t xml:space="preserve"> 0, 2, 6 IP -&gt; 300mg Q8W MP</w:t>
            </w:r>
          </w:p>
          <w:p w14:paraId="2781B4AD" w14:textId="77777777" w:rsidR="00D24BA1" w:rsidRDefault="00D24BA1" w:rsidP="00286E68">
            <w:pPr>
              <w:pStyle w:val="TableText0"/>
              <w:keepNext w:val="0"/>
              <w:jc w:val="center"/>
              <w:rPr>
                <w:lang w:val="en-US"/>
              </w:rPr>
            </w:pPr>
            <w:r>
              <w:rPr>
                <w:lang w:val="en-US"/>
              </w:rPr>
              <w:t xml:space="preserve">VDZ 300mg IV </w:t>
            </w:r>
            <w:proofErr w:type="spellStart"/>
            <w:r>
              <w:rPr>
                <w:lang w:val="en-US"/>
              </w:rPr>
              <w:t>Wk</w:t>
            </w:r>
            <w:proofErr w:type="spellEnd"/>
            <w:r>
              <w:rPr>
                <w:lang w:val="en-US"/>
              </w:rPr>
              <w:t xml:space="preserve"> 0, 2, 6 IP -&gt; PBO</w:t>
            </w:r>
          </w:p>
          <w:p w14:paraId="35FD22E5" w14:textId="77777777" w:rsidR="00D24BA1" w:rsidRDefault="00D24BA1" w:rsidP="00286E68">
            <w:pPr>
              <w:pStyle w:val="TableText0"/>
              <w:keepNext w:val="0"/>
              <w:jc w:val="center"/>
              <w:rPr>
                <w:lang w:val="en-US"/>
              </w:rPr>
            </w:pPr>
            <w:r>
              <w:rPr>
                <w:lang w:val="en-US"/>
              </w:rPr>
              <w:t>PBO</w:t>
            </w:r>
          </w:p>
        </w:tc>
        <w:tc>
          <w:tcPr>
            <w:tcW w:w="813" w:type="pct"/>
            <w:shd w:val="clear" w:color="auto" w:fill="B8CCE4" w:themeFill="accent1" w:themeFillTint="66"/>
            <w:vAlign w:val="center"/>
          </w:tcPr>
          <w:p w14:paraId="4B30810F" w14:textId="77777777" w:rsidR="00D24BA1" w:rsidRDefault="00D24BA1" w:rsidP="00286E68">
            <w:pPr>
              <w:pStyle w:val="TableText0"/>
              <w:keepNext w:val="0"/>
              <w:jc w:val="center"/>
              <w:rPr>
                <w:lang w:val="en-US"/>
              </w:rPr>
            </w:pPr>
            <w:r>
              <w:rPr>
                <w:lang w:val="en-US"/>
              </w:rPr>
              <w:t>1°: clinical remission (CDAI</w:t>
            </w:r>
            <w:proofErr w:type="gramStart"/>
            <w:r>
              <w:rPr>
                <w:lang w:val="en-US"/>
              </w:rPr>
              <w:t>)</w:t>
            </w:r>
            <w:r w:rsidRPr="00993F53">
              <w:rPr>
                <w:vertAlign w:val="superscript"/>
                <w:lang w:val="en-US"/>
              </w:rPr>
              <w:t>a</w:t>
            </w:r>
            <w:proofErr w:type="gramEnd"/>
            <w:r>
              <w:rPr>
                <w:lang w:val="en-US"/>
              </w:rPr>
              <w:t>, clinical response (CDAI)</w:t>
            </w:r>
            <w:r>
              <w:rPr>
                <w:vertAlign w:val="superscript"/>
                <w:lang w:val="en-US"/>
              </w:rPr>
              <w:t>d</w:t>
            </w:r>
          </w:p>
        </w:tc>
        <w:tc>
          <w:tcPr>
            <w:tcW w:w="203" w:type="pct"/>
            <w:vAlign w:val="center"/>
          </w:tcPr>
          <w:p w14:paraId="1ED3FC6F"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4587FBF3"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0CD97A03" w14:textId="77777777" w:rsidR="00D24BA1" w:rsidRDefault="00D24BA1" w:rsidP="00286E68">
            <w:pPr>
              <w:pStyle w:val="TableText0"/>
              <w:keepNext w:val="0"/>
              <w:jc w:val="center"/>
              <w:rPr>
                <w:lang w:val="en-US"/>
              </w:rPr>
            </w:pPr>
            <w:r>
              <w:rPr>
                <w:lang w:val="en-US"/>
              </w:rPr>
              <w:t>MP: NMA</w:t>
            </w:r>
          </w:p>
        </w:tc>
      </w:tr>
      <w:tr w:rsidR="00D24BA1" w:rsidRPr="00E2771E" w14:paraId="7182BDD6" w14:textId="77777777" w:rsidTr="00286E68">
        <w:trPr>
          <w:cantSplit/>
        </w:trPr>
        <w:tc>
          <w:tcPr>
            <w:tcW w:w="5000" w:type="pct"/>
            <w:gridSpan w:val="10"/>
            <w:vAlign w:val="center"/>
          </w:tcPr>
          <w:p w14:paraId="113D235F" w14:textId="77777777" w:rsidR="00D24BA1" w:rsidRPr="000D51FA" w:rsidRDefault="00D24BA1" w:rsidP="00286E68">
            <w:pPr>
              <w:pStyle w:val="TableText0"/>
              <w:keepNext w:val="0"/>
              <w:rPr>
                <w:b/>
                <w:bCs w:val="0"/>
                <w:lang w:val="en-US"/>
              </w:rPr>
            </w:pPr>
            <w:r>
              <w:rPr>
                <w:b/>
                <w:bCs w:val="0"/>
                <w:lang w:val="en-US"/>
              </w:rPr>
              <w:t>UPA vs PBO</w:t>
            </w:r>
          </w:p>
        </w:tc>
      </w:tr>
      <w:tr w:rsidR="00B23901" w:rsidRPr="00E2771E" w14:paraId="0CEEE114" w14:textId="77777777" w:rsidTr="00286E68">
        <w:trPr>
          <w:cantSplit/>
        </w:trPr>
        <w:tc>
          <w:tcPr>
            <w:tcW w:w="456" w:type="pct"/>
            <w:shd w:val="clear" w:color="auto" w:fill="B8CCE4" w:themeFill="accent1" w:themeFillTint="66"/>
            <w:vAlign w:val="center"/>
          </w:tcPr>
          <w:p w14:paraId="3FB9C223" w14:textId="77777777" w:rsidR="00D24BA1" w:rsidRDefault="00D24BA1" w:rsidP="00286E68">
            <w:pPr>
              <w:pStyle w:val="TableText0"/>
              <w:keepNext w:val="0"/>
              <w:rPr>
                <w:lang w:val="en-US"/>
              </w:rPr>
            </w:pPr>
            <w:r>
              <w:rPr>
                <w:lang w:val="en-US"/>
              </w:rPr>
              <w:t>U-ENDURE</w:t>
            </w:r>
          </w:p>
        </w:tc>
        <w:tc>
          <w:tcPr>
            <w:tcW w:w="253" w:type="pct"/>
            <w:shd w:val="clear" w:color="auto" w:fill="B8CCE4" w:themeFill="accent1" w:themeFillTint="66"/>
            <w:vAlign w:val="center"/>
          </w:tcPr>
          <w:p w14:paraId="54599B3F" w14:textId="77777777" w:rsidR="00D24BA1" w:rsidRDefault="00D24BA1" w:rsidP="00286E68">
            <w:pPr>
              <w:pStyle w:val="TableText0"/>
              <w:keepNext w:val="0"/>
              <w:jc w:val="center"/>
              <w:rPr>
                <w:lang w:val="en-US"/>
              </w:rPr>
            </w:pPr>
            <w:r>
              <w:rPr>
                <w:lang w:val="en-US"/>
              </w:rPr>
              <w:t>MP: 502</w:t>
            </w:r>
          </w:p>
        </w:tc>
        <w:tc>
          <w:tcPr>
            <w:tcW w:w="711" w:type="pct"/>
            <w:shd w:val="clear" w:color="auto" w:fill="B8CCE4" w:themeFill="accent1" w:themeFillTint="66"/>
            <w:vAlign w:val="center"/>
          </w:tcPr>
          <w:p w14:paraId="0CA59442" w14:textId="77777777" w:rsidR="00D24BA1" w:rsidRPr="007F367F" w:rsidRDefault="00D24BA1" w:rsidP="00286E68">
            <w:pPr>
              <w:pStyle w:val="TableText0"/>
              <w:jc w:val="center"/>
              <w:rPr>
                <w:lang w:val="en-US"/>
              </w:rPr>
            </w:pPr>
            <w:r w:rsidRPr="007F367F">
              <w:rPr>
                <w:lang w:val="en-US"/>
              </w:rPr>
              <w:t>P3, MC, R, PC, DB</w:t>
            </w:r>
            <w:r>
              <w:rPr>
                <w:lang w:val="en-US"/>
              </w:rPr>
              <w:t xml:space="preserve"> 52 </w:t>
            </w:r>
            <w:proofErr w:type="spellStart"/>
            <w:r>
              <w:rPr>
                <w:lang w:val="en-US"/>
              </w:rPr>
              <w:t>wks</w:t>
            </w:r>
            <w:proofErr w:type="spellEnd"/>
          </w:p>
          <w:p w14:paraId="47356FAF" w14:textId="77777777" w:rsidR="00D24BA1" w:rsidRDefault="00D24BA1" w:rsidP="00286E68">
            <w:pPr>
              <w:pStyle w:val="TableText0"/>
              <w:keepNext w:val="0"/>
              <w:jc w:val="center"/>
              <w:rPr>
                <w:lang w:val="en-US"/>
              </w:rPr>
            </w:pPr>
            <w:r w:rsidRPr="007F367F">
              <w:rPr>
                <w:lang w:val="en-US"/>
              </w:rPr>
              <w:t>[</w:t>
            </w:r>
            <w:proofErr w:type="spellStart"/>
            <w:r>
              <w:rPr>
                <w:lang w:val="en-US"/>
              </w:rPr>
              <w:t>MP</w:t>
            </w:r>
            <w:r>
              <w:rPr>
                <w:vertAlign w:val="superscript"/>
                <w:lang w:val="en-US"/>
              </w:rPr>
              <w:t>h</w:t>
            </w:r>
            <w:proofErr w:type="spellEnd"/>
            <w:r>
              <w:rPr>
                <w:lang w:val="en-US"/>
              </w:rPr>
              <w:t xml:space="preserve">: 52 </w:t>
            </w:r>
            <w:proofErr w:type="spellStart"/>
            <w:r>
              <w:rPr>
                <w:lang w:val="en-US"/>
              </w:rPr>
              <w:t>wks</w:t>
            </w:r>
            <w:proofErr w:type="spellEnd"/>
            <w:r w:rsidRPr="007F367F">
              <w:rPr>
                <w:lang w:val="en-US"/>
              </w:rPr>
              <w:t>]</w:t>
            </w:r>
            <w:r>
              <w:rPr>
                <w:lang w:val="en-US"/>
              </w:rPr>
              <w:t>, Type 4 RWD</w:t>
            </w:r>
          </w:p>
        </w:tc>
        <w:tc>
          <w:tcPr>
            <w:tcW w:w="152" w:type="pct"/>
            <w:shd w:val="clear" w:color="auto" w:fill="B8CCE4" w:themeFill="accent1" w:themeFillTint="66"/>
            <w:vAlign w:val="center"/>
          </w:tcPr>
          <w:p w14:paraId="680A5FE4"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10DAD6E" w14:textId="77777777" w:rsidR="00D24BA1" w:rsidRDefault="00D24BA1" w:rsidP="00286E68">
            <w:pPr>
              <w:pStyle w:val="TableText0"/>
              <w:keepNext w:val="0"/>
              <w:jc w:val="center"/>
              <w:rPr>
                <w:i/>
                <w:iCs/>
                <w:lang w:val="en-US"/>
              </w:rPr>
            </w:pPr>
            <w:r w:rsidRPr="007F367F">
              <w:rPr>
                <w:i/>
                <w:iCs/>
                <w:lang w:val="en-US"/>
              </w:rPr>
              <w:t>Mean CDAI 307</w:t>
            </w:r>
            <w:r>
              <w:rPr>
                <w:i/>
                <w:iCs/>
                <w:lang w:val="en-US"/>
              </w:rPr>
              <w:t>;</w:t>
            </w:r>
          </w:p>
          <w:p w14:paraId="34C33B9D" w14:textId="77777777" w:rsidR="00D24BA1" w:rsidRDefault="00D24BA1" w:rsidP="00286E68">
            <w:pPr>
              <w:pStyle w:val="TableText0"/>
              <w:keepNext w:val="0"/>
              <w:jc w:val="center"/>
              <w:rPr>
                <w:lang w:val="en-US"/>
              </w:rPr>
            </w:pPr>
            <w:r w:rsidRPr="007F367F">
              <w:rPr>
                <w:lang w:val="en-US"/>
              </w:rPr>
              <w:t>Biologic naïve and experienced</w:t>
            </w:r>
          </w:p>
          <w:p w14:paraId="40D2CA2E" w14:textId="77777777" w:rsidR="00D24BA1" w:rsidRPr="000B00FB" w:rsidRDefault="00D24BA1" w:rsidP="00286E68">
            <w:pPr>
              <w:pStyle w:val="TableText0"/>
              <w:keepNext w:val="0"/>
              <w:jc w:val="center"/>
              <w:rPr>
                <w:i/>
                <w:iCs/>
                <w:lang w:val="en-US"/>
              </w:rPr>
            </w:pPr>
            <w:r>
              <w:rPr>
                <w:lang w:val="en-US"/>
              </w:rPr>
              <w:t xml:space="preserve">Response to UPA at </w:t>
            </w:r>
            <w:proofErr w:type="spellStart"/>
            <w:r>
              <w:rPr>
                <w:lang w:val="en-US"/>
              </w:rPr>
              <w:t>Wk</w:t>
            </w:r>
            <w:proofErr w:type="spellEnd"/>
            <w:r>
              <w:rPr>
                <w:lang w:val="en-US"/>
              </w:rPr>
              <w:t xml:space="preserve"> 12</w:t>
            </w:r>
          </w:p>
        </w:tc>
        <w:tc>
          <w:tcPr>
            <w:tcW w:w="1424" w:type="pct"/>
            <w:shd w:val="clear" w:color="auto" w:fill="B8CCE4" w:themeFill="accent1" w:themeFillTint="66"/>
            <w:vAlign w:val="center"/>
          </w:tcPr>
          <w:p w14:paraId="71A31FDF" w14:textId="77777777" w:rsidR="00D24BA1" w:rsidRDefault="00D24BA1" w:rsidP="00286E68">
            <w:pPr>
              <w:pStyle w:val="TableText0"/>
              <w:keepNext w:val="0"/>
              <w:jc w:val="center"/>
              <w:rPr>
                <w:lang w:val="en-US"/>
              </w:rPr>
            </w:pPr>
            <w:r>
              <w:rPr>
                <w:lang w:val="en-US"/>
              </w:rPr>
              <w:t>UPA 15mg D</w:t>
            </w:r>
          </w:p>
          <w:p w14:paraId="1A0AB410" w14:textId="77777777" w:rsidR="00D24BA1" w:rsidRDefault="00D24BA1" w:rsidP="00286E68">
            <w:pPr>
              <w:pStyle w:val="TableText0"/>
              <w:keepNext w:val="0"/>
              <w:jc w:val="center"/>
              <w:rPr>
                <w:lang w:val="en-US"/>
              </w:rPr>
            </w:pPr>
            <w:r>
              <w:rPr>
                <w:lang w:val="en-US"/>
              </w:rPr>
              <w:t>UPA 30mg D</w:t>
            </w:r>
          </w:p>
          <w:p w14:paraId="27AA7BA4" w14:textId="77777777" w:rsidR="00D24BA1" w:rsidRDefault="00D24BA1" w:rsidP="00286E68">
            <w:pPr>
              <w:pStyle w:val="TableText0"/>
              <w:keepNext w:val="0"/>
              <w:jc w:val="center"/>
              <w:rPr>
                <w:lang w:val="en-US"/>
              </w:rPr>
            </w:pPr>
            <w:r>
              <w:rPr>
                <w:lang w:val="en-US"/>
              </w:rPr>
              <w:t>PBO</w:t>
            </w:r>
          </w:p>
        </w:tc>
        <w:tc>
          <w:tcPr>
            <w:tcW w:w="813" w:type="pct"/>
            <w:shd w:val="clear" w:color="auto" w:fill="B8CCE4" w:themeFill="accent1" w:themeFillTint="66"/>
            <w:vAlign w:val="center"/>
          </w:tcPr>
          <w:p w14:paraId="52561466" w14:textId="77777777" w:rsidR="00D24BA1" w:rsidRPr="007F367F" w:rsidRDefault="00D24BA1" w:rsidP="00286E68">
            <w:pPr>
              <w:pStyle w:val="TableText0"/>
              <w:keepNext w:val="0"/>
              <w:jc w:val="center"/>
              <w:rPr>
                <w:lang w:val="en-US"/>
              </w:rPr>
            </w:pPr>
            <w:r w:rsidRPr="007F367F">
              <w:rPr>
                <w:lang w:val="en-US"/>
              </w:rPr>
              <w:t>1°: clinical remission (CDAI</w:t>
            </w:r>
            <w:proofErr w:type="gramStart"/>
            <w:r w:rsidRPr="007F367F">
              <w:rPr>
                <w:lang w:val="en-US"/>
              </w:rPr>
              <w:t>)</w:t>
            </w:r>
            <w:r w:rsidRPr="007F367F">
              <w:rPr>
                <w:vertAlign w:val="superscript"/>
                <w:lang w:val="en-US"/>
              </w:rPr>
              <w:t>a</w:t>
            </w:r>
            <w:proofErr w:type="gramEnd"/>
            <w:r w:rsidRPr="007F367F">
              <w:rPr>
                <w:lang w:val="en-US"/>
              </w:rPr>
              <w:t>, endoscopic response (SES-</w:t>
            </w:r>
            <w:proofErr w:type="gramStart"/>
            <w:r w:rsidRPr="007F367F">
              <w:rPr>
                <w:lang w:val="en-US"/>
              </w:rPr>
              <w:t>CD)</w:t>
            </w:r>
            <w:r w:rsidRPr="007F367F">
              <w:rPr>
                <w:vertAlign w:val="superscript"/>
                <w:lang w:val="en-US"/>
              </w:rPr>
              <w:t>b</w:t>
            </w:r>
            <w:proofErr w:type="gramEnd"/>
          </w:p>
          <w:p w14:paraId="4B597461" w14:textId="77777777" w:rsidR="00D24BA1" w:rsidRDefault="00D24BA1" w:rsidP="00286E68">
            <w:pPr>
              <w:pStyle w:val="TableText0"/>
              <w:keepNext w:val="0"/>
              <w:jc w:val="center"/>
              <w:rPr>
                <w:lang w:val="en-US"/>
              </w:rPr>
            </w:pPr>
            <w:r w:rsidRPr="007F367F">
              <w:rPr>
                <w:lang w:val="en-US"/>
              </w:rPr>
              <w:t>2°: clinical response (CDAI)</w:t>
            </w:r>
            <w:r w:rsidRPr="007F367F">
              <w:rPr>
                <w:vertAlign w:val="superscript"/>
                <w:lang w:val="en-US"/>
              </w:rPr>
              <w:t>d</w:t>
            </w:r>
          </w:p>
        </w:tc>
        <w:tc>
          <w:tcPr>
            <w:tcW w:w="203" w:type="pct"/>
            <w:vAlign w:val="center"/>
          </w:tcPr>
          <w:p w14:paraId="41D29996" w14:textId="77777777" w:rsidR="00D24BA1" w:rsidRPr="007811B5"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475ADBFE" w14:textId="77777777" w:rsidR="00D24BA1" w:rsidRPr="007811B5"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03B68A93" w14:textId="77777777" w:rsidR="00D24BA1" w:rsidRDefault="00D24BA1" w:rsidP="00286E68">
            <w:pPr>
              <w:pStyle w:val="TableText0"/>
              <w:keepNext w:val="0"/>
              <w:jc w:val="center"/>
              <w:rPr>
                <w:lang w:val="en-US"/>
              </w:rPr>
            </w:pPr>
            <w:r>
              <w:rPr>
                <w:lang w:val="en-US"/>
              </w:rPr>
              <w:t>MP: NMA</w:t>
            </w:r>
          </w:p>
        </w:tc>
      </w:tr>
      <w:tr w:rsidR="00D24BA1" w:rsidRPr="00E2771E" w14:paraId="26B8406A" w14:textId="77777777" w:rsidTr="00286E68">
        <w:trPr>
          <w:cantSplit/>
        </w:trPr>
        <w:tc>
          <w:tcPr>
            <w:tcW w:w="5000" w:type="pct"/>
            <w:gridSpan w:val="10"/>
            <w:vAlign w:val="center"/>
          </w:tcPr>
          <w:p w14:paraId="433D6E2B" w14:textId="77777777" w:rsidR="00D24BA1" w:rsidRPr="000D51FA" w:rsidRDefault="00D24BA1" w:rsidP="00286E68">
            <w:pPr>
              <w:pStyle w:val="TableText0"/>
              <w:keepNext w:val="0"/>
              <w:rPr>
                <w:b/>
                <w:bCs w:val="0"/>
                <w:lang w:val="en-US"/>
              </w:rPr>
            </w:pPr>
            <w:r>
              <w:rPr>
                <w:b/>
                <w:bCs w:val="0"/>
                <w:lang w:val="en-US"/>
              </w:rPr>
              <w:t>UST vs PBO</w:t>
            </w:r>
          </w:p>
        </w:tc>
      </w:tr>
      <w:tr w:rsidR="004B5B74" w:rsidRPr="00E2771E" w14:paraId="1749E120" w14:textId="77777777" w:rsidTr="00286E68">
        <w:trPr>
          <w:cantSplit/>
        </w:trPr>
        <w:tc>
          <w:tcPr>
            <w:tcW w:w="456" w:type="pct"/>
            <w:shd w:val="clear" w:color="auto" w:fill="B8CCE4" w:themeFill="accent1" w:themeFillTint="66"/>
            <w:vAlign w:val="center"/>
          </w:tcPr>
          <w:p w14:paraId="058BDF5A" w14:textId="77777777" w:rsidR="00D24BA1" w:rsidRDefault="00D24BA1" w:rsidP="00286E68">
            <w:pPr>
              <w:pStyle w:val="TableText0"/>
              <w:keepNext w:val="0"/>
              <w:rPr>
                <w:lang w:val="en-US"/>
              </w:rPr>
            </w:pPr>
            <w:r>
              <w:rPr>
                <w:lang w:val="en-US"/>
              </w:rPr>
              <w:lastRenderedPageBreak/>
              <w:t>IM-UNITI</w:t>
            </w:r>
          </w:p>
        </w:tc>
        <w:tc>
          <w:tcPr>
            <w:tcW w:w="253" w:type="pct"/>
            <w:shd w:val="clear" w:color="auto" w:fill="B8CCE4" w:themeFill="accent1" w:themeFillTint="66"/>
            <w:vAlign w:val="center"/>
          </w:tcPr>
          <w:p w14:paraId="6204460D" w14:textId="77777777" w:rsidR="00D24BA1" w:rsidRDefault="00D24BA1" w:rsidP="00286E68">
            <w:pPr>
              <w:pStyle w:val="TableText0"/>
              <w:keepNext w:val="0"/>
              <w:jc w:val="center"/>
              <w:rPr>
                <w:lang w:val="en-US"/>
              </w:rPr>
            </w:pPr>
            <w:r>
              <w:rPr>
                <w:lang w:val="en-US"/>
              </w:rPr>
              <w:t>397</w:t>
            </w:r>
          </w:p>
        </w:tc>
        <w:tc>
          <w:tcPr>
            <w:tcW w:w="711" w:type="pct"/>
            <w:shd w:val="clear" w:color="auto" w:fill="B8CCE4" w:themeFill="accent1" w:themeFillTint="66"/>
            <w:vAlign w:val="center"/>
          </w:tcPr>
          <w:p w14:paraId="59005011" w14:textId="77777777" w:rsidR="00D24BA1" w:rsidRDefault="00D24BA1" w:rsidP="00286E68">
            <w:pPr>
              <w:pStyle w:val="TableText0"/>
              <w:keepNext w:val="0"/>
              <w:jc w:val="center"/>
              <w:rPr>
                <w:lang w:val="en-US"/>
              </w:rPr>
            </w:pPr>
            <w:r>
              <w:rPr>
                <w:lang w:val="en-US"/>
              </w:rPr>
              <w:t xml:space="preserve">P3, MC, R, PC, DB 44 </w:t>
            </w:r>
            <w:proofErr w:type="spellStart"/>
            <w:r>
              <w:rPr>
                <w:lang w:val="en-US"/>
              </w:rPr>
              <w:t>wks</w:t>
            </w:r>
            <w:proofErr w:type="spellEnd"/>
            <w:r>
              <w:rPr>
                <w:lang w:val="en-US"/>
              </w:rPr>
              <w:t xml:space="preserve"> / OL LTE 5 y</w:t>
            </w:r>
          </w:p>
          <w:p w14:paraId="7C0C72DD" w14:textId="77777777" w:rsidR="00D24BA1" w:rsidRDefault="00D24BA1" w:rsidP="00286E68">
            <w:pPr>
              <w:pStyle w:val="TableText0"/>
              <w:keepNext w:val="0"/>
              <w:jc w:val="center"/>
              <w:rPr>
                <w:lang w:val="en-US"/>
              </w:rPr>
            </w:pPr>
            <w:r>
              <w:rPr>
                <w:lang w:val="en-US"/>
              </w:rPr>
              <w:t>[</w:t>
            </w:r>
            <w:proofErr w:type="spellStart"/>
            <w:r>
              <w:rPr>
                <w:lang w:val="en-US"/>
              </w:rPr>
              <w:t>MP</w:t>
            </w:r>
            <w:r w:rsidRPr="00A33DC6">
              <w:rPr>
                <w:vertAlign w:val="superscript"/>
                <w:lang w:val="en-US"/>
              </w:rPr>
              <w:t>i</w:t>
            </w:r>
            <w:proofErr w:type="spellEnd"/>
            <w:r>
              <w:rPr>
                <w:lang w:val="en-US"/>
              </w:rPr>
              <w:t xml:space="preserve">: 44 </w:t>
            </w:r>
            <w:proofErr w:type="spellStart"/>
            <w:r>
              <w:rPr>
                <w:lang w:val="en-US"/>
              </w:rPr>
              <w:t>wks</w:t>
            </w:r>
            <w:proofErr w:type="spellEnd"/>
            <w:r>
              <w:rPr>
                <w:lang w:val="en-US"/>
              </w:rPr>
              <w:t>], Type 3 RWD</w:t>
            </w:r>
          </w:p>
        </w:tc>
        <w:tc>
          <w:tcPr>
            <w:tcW w:w="152" w:type="pct"/>
            <w:shd w:val="clear" w:color="auto" w:fill="B8CCE4" w:themeFill="accent1" w:themeFillTint="66"/>
            <w:vAlign w:val="center"/>
          </w:tcPr>
          <w:p w14:paraId="049F8E90"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82CCA9A"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69658129" w14:textId="77777777" w:rsidR="00D24BA1" w:rsidRDefault="00D24BA1" w:rsidP="00286E68">
            <w:pPr>
              <w:pStyle w:val="TableText0"/>
              <w:keepNext w:val="0"/>
              <w:jc w:val="center"/>
              <w:rPr>
                <w:lang w:val="en-US"/>
              </w:rPr>
            </w:pPr>
            <w:proofErr w:type="gramStart"/>
            <w:r>
              <w:rPr>
                <w:lang w:val="en-US"/>
              </w:rPr>
              <w:t>Biologic</w:t>
            </w:r>
            <w:proofErr w:type="gramEnd"/>
            <w:r>
              <w:rPr>
                <w:lang w:val="en-US"/>
              </w:rPr>
              <w:t xml:space="preserve"> (</w:t>
            </w:r>
            <w:proofErr w:type="spellStart"/>
            <w:r>
              <w:rPr>
                <w:lang w:val="en-US"/>
              </w:rPr>
              <w:t>TNFi</w:t>
            </w:r>
            <w:proofErr w:type="spellEnd"/>
            <w:r>
              <w:rPr>
                <w:lang w:val="en-US"/>
              </w:rPr>
              <w:t xml:space="preserve">) </w:t>
            </w:r>
            <w:proofErr w:type="gramStart"/>
            <w:r>
              <w:rPr>
                <w:lang w:val="en-US"/>
              </w:rPr>
              <w:t>experienced</w:t>
            </w:r>
            <w:proofErr w:type="gramEnd"/>
          </w:p>
          <w:p w14:paraId="7618EE9D" w14:textId="77777777" w:rsidR="00D24BA1" w:rsidRPr="00376C38" w:rsidRDefault="00D24BA1" w:rsidP="00286E68">
            <w:pPr>
              <w:pStyle w:val="TableText0"/>
              <w:keepNext w:val="0"/>
              <w:jc w:val="center"/>
              <w:rPr>
                <w:lang w:val="en-US"/>
              </w:rPr>
            </w:pPr>
            <w:r>
              <w:rPr>
                <w:lang w:val="en-US"/>
              </w:rPr>
              <w:t xml:space="preserve">Response to UST at </w:t>
            </w:r>
            <w:proofErr w:type="spellStart"/>
            <w:r>
              <w:rPr>
                <w:lang w:val="en-US"/>
              </w:rPr>
              <w:t>Wk</w:t>
            </w:r>
            <w:proofErr w:type="spellEnd"/>
            <w:r>
              <w:rPr>
                <w:lang w:val="en-US"/>
              </w:rPr>
              <w:t xml:space="preserve"> 8</w:t>
            </w:r>
          </w:p>
        </w:tc>
        <w:tc>
          <w:tcPr>
            <w:tcW w:w="1424" w:type="pct"/>
            <w:shd w:val="clear" w:color="auto" w:fill="B8CCE4" w:themeFill="accent1" w:themeFillTint="66"/>
            <w:vAlign w:val="center"/>
          </w:tcPr>
          <w:p w14:paraId="3586EC61" w14:textId="77777777" w:rsidR="00D24BA1" w:rsidRDefault="00D24BA1" w:rsidP="00286E68">
            <w:pPr>
              <w:pStyle w:val="TableText0"/>
              <w:keepNext w:val="0"/>
              <w:jc w:val="center"/>
              <w:rPr>
                <w:lang w:val="en-US"/>
              </w:rPr>
            </w:pPr>
            <w:r>
              <w:rPr>
                <w:lang w:val="en-US"/>
              </w:rPr>
              <w:t>UST 90mg SC Q8W</w:t>
            </w:r>
          </w:p>
          <w:p w14:paraId="14271C15" w14:textId="77777777" w:rsidR="00D24BA1" w:rsidRDefault="00D24BA1" w:rsidP="00286E68">
            <w:pPr>
              <w:pStyle w:val="TableText0"/>
              <w:keepNext w:val="0"/>
              <w:jc w:val="center"/>
              <w:rPr>
                <w:lang w:val="en-US"/>
              </w:rPr>
            </w:pPr>
            <w:r>
              <w:rPr>
                <w:lang w:val="en-US"/>
              </w:rPr>
              <w:t>UST 90mg SC Q12W</w:t>
            </w:r>
          </w:p>
          <w:p w14:paraId="3B6D191C" w14:textId="77777777" w:rsidR="00D24BA1" w:rsidRPr="003B7941" w:rsidRDefault="00D24BA1" w:rsidP="00286E68">
            <w:pPr>
              <w:pStyle w:val="TableText0"/>
              <w:keepNext w:val="0"/>
              <w:jc w:val="center"/>
              <w:rPr>
                <w:lang w:val="en-US"/>
              </w:rPr>
            </w:pPr>
            <w:r>
              <w:rPr>
                <w:lang w:val="en-US"/>
              </w:rPr>
              <w:t>PBO</w:t>
            </w:r>
          </w:p>
        </w:tc>
        <w:tc>
          <w:tcPr>
            <w:tcW w:w="813" w:type="pct"/>
            <w:shd w:val="clear" w:color="auto" w:fill="B8CCE4" w:themeFill="accent1" w:themeFillTint="66"/>
            <w:vAlign w:val="center"/>
          </w:tcPr>
          <w:p w14:paraId="63692BF3" w14:textId="77777777" w:rsidR="00D24BA1" w:rsidRDefault="00D24BA1" w:rsidP="00286E68">
            <w:pPr>
              <w:pStyle w:val="TableText0"/>
              <w:keepNext w:val="0"/>
              <w:jc w:val="center"/>
              <w:rPr>
                <w:vertAlign w:val="superscript"/>
                <w:lang w:val="en-US"/>
              </w:rPr>
            </w:pPr>
            <w:r w:rsidRPr="007F367F">
              <w:rPr>
                <w:lang w:val="en-US"/>
              </w:rPr>
              <w:t>1°: clinical remission (CDAI</w:t>
            </w:r>
            <w:proofErr w:type="gramStart"/>
            <w:r w:rsidRPr="007F367F">
              <w:rPr>
                <w:lang w:val="en-US"/>
              </w:rPr>
              <w:t>)</w:t>
            </w:r>
            <w:r w:rsidRPr="007F367F">
              <w:rPr>
                <w:vertAlign w:val="superscript"/>
                <w:lang w:val="en-US"/>
              </w:rPr>
              <w:t>a</w:t>
            </w:r>
            <w:proofErr w:type="gramEnd"/>
          </w:p>
          <w:p w14:paraId="54C7EEE1" w14:textId="77777777" w:rsidR="00D24BA1" w:rsidRDefault="00D24BA1" w:rsidP="00286E68">
            <w:pPr>
              <w:pStyle w:val="TableText0"/>
              <w:keepNext w:val="0"/>
              <w:jc w:val="center"/>
              <w:rPr>
                <w:lang w:val="en-US"/>
              </w:rPr>
            </w:pPr>
            <w:r w:rsidRPr="007F367F">
              <w:rPr>
                <w:lang w:val="en-US"/>
              </w:rPr>
              <w:t>2°: clinical response (CDAI)</w:t>
            </w:r>
            <w:r w:rsidRPr="00A33DC6">
              <w:rPr>
                <w:vertAlign w:val="superscript"/>
                <w:lang w:val="en-US"/>
              </w:rPr>
              <w:t>e</w:t>
            </w:r>
          </w:p>
        </w:tc>
        <w:tc>
          <w:tcPr>
            <w:tcW w:w="203" w:type="pct"/>
            <w:vAlign w:val="center"/>
          </w:tcPr>
          <w:p w14:paraId="15241345" w14:textId="77777777" w:rsidR="00D24BA1" w:rsidRDefault="00D24BA1" w:rsidP="00286E68">
            <w:pPr>
              <w:pStyle w:val="TableText0"/>
              <w:keepNext w:val="0"/>
              <w:jc w:val="center"/>
              <w:rPr>
                <w:lang w:val="en-US"/>
              </w:rPr>
            </w:pPr>
            <w:r>
              <w:rPr>
                <w:lang w:val="en-US"/>
              </w:rPr>
              <w:t>-</w:t>
            </w:r>
          </w:p>
        </w:tc>
        <w:tc>
          <w:tcPr>
            <w:tcW w:w="183" w:type="pct"/>
            <w:vAlign w:val="center"/>
          </w:tcPr>
          <w:p w14:paraId="2403F644" w14:textId="77777777" w:rsidR="00D24BA1" w:rsidRPr="00056813"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470B4B05" w14:textId="77777777" w:rsidR="00D24BA1" w:rsidRDefault="00D24BA1" w:rsidP="00286E68">
            <w:pPr>
              <w:pStyle w:val="TableText0"/>
              <w:keepNext w:val="0"/>
              <w:jc w:val="center"/>
              <w:rPr>
                <w:lang w:val="en-US"/>
              </w:rPr>
            </w:pPr>
            <w:r>
              <w:rPr>
                <w:lang w:val="en-US"/>
              </w:rPr>
              <w:t>-</w:t>
            </w:r>
            <w:r w:rsidRPr="004C1C9D">
              <w:rPr>
                <w:vertAlign w:val="superscript"/>
                <w:lang w:val="en-US"/>
              </w:rPr>
              <w:t>k</w:t>
            </w:r>
          </w:p>
        </w:tc>
      </w:tr>
    </w:tbl>
    <w:p w14:paraId="084E4818" w14:textId="77777777" w:rsidR="00D24BA1" w:rsidRDefault="00D24BA1" w:rsidP="00D24BA1">
      <w:pPr>
        <w:pStyle w:val="FooterTableFigure"/>
        <w:spacing w:after="0"/>
      </w:pPr>
      <w:r w:rsidRPr="00C455B8">
        <w:rPr>
          <w:rStyle w:val="CommentReference"/>
          <w:b w:val="0"/>
          <w:bCs/>
          <w:sz w:val="18"/>
          <w:szCs w:val="18"/>
          <w:shd w:val="clear" w:color="auto" w:fill="B8CCE4" w:themeFill="accent1" w:themeFillTint="66"/>
        </w:rPr>
        <w:t xml:space="preserve">Blue </w:t>
      </w:r>
      <w:r w:rsidRPr="00C455B8">
        <w:rPr>
          <w:rStyle w:val="CommentReference"/>
          <w:b w:val="0"/>
          <w:bCs/>
          <w:sz w:val="18"/>
          <w:szCs w:val="18"/>
        </w:rPr>
        <w:t xml:space="preserve">shading indicates data previously seen by the PBAC. </w:t>
      </w:r>
    </w:p>
    <w:p w14:paraId="3E306E6D" w14:textId="77777777" w:rsidR="00D24BA1" w:rsidRDefault="00D24BA1" w:rsidP="00D24BA1">
      <w:pPr>
        <w:pStyle w:val="TableFigureFooter"/>
      </w:pPr>
      <w:r>
        <w:t>Source: Table 2.5, pp84-85 of the submission.</w:t>
      </w:r>
    </w:p>
    <w:p w14:paraId="63091DCB" w14:textId="77777777" w:rsidR="00D24BA1" w:rsidRDefault="00D24BA1" w:rsidP="00D24BA1">
      <w:pPr>
        <w:pStyle w:val="TableFigureFooter"/>
      </w:pPr>
      <w:r>
        <w:t xml:space="preserve">ADA=adalimumab; CD=Crohn’s disease; CDAI=CD activity index; </w:t>
      </w:r>
      <w:r w:rsidRPr="0072416F">
        <w:t>DB=double blind;</w:t>
      </w:r>
      <w:r>
        <w:t xml:space="preserve"> IFX=infliximab; IP=induction phase;</w:t>
      </w:r>
      <w:r w:rsidRPr="0072416F">
        <w:t xml:space="preserve"> </w:t>
      </w:r>
      <w:r>
        <w:t xml:space="preserve">ITC=indirect treatment comparison; IV=intravenous; </w:t>
      </w:r>
      <w:r w:rsidRPr="0072416F">
        <w:t>MC=multi-centre;</w:t>
      </w:r>
      <w:r>
        <w:t xml:space="preserve"> MP=maintenance phase;</w:t>
      </w:r>
      <w:r w:rsidRPr="0072416F">
        <w:t xml:space="preserve"> </w:t>
      </w:r>
      <w:r>
        <w:t xml:space="preserve">NMA=network meta-analysis; </w:t>
      </w:r>
      <w:r w:rsidRPr="0072416F">
        <w:t>OL=open label;</w:t>
      </w:r>
      <w:r>
        <w:t xml:space="preserve"> PBO=placebo; PC=placebo-controlled;</w:t>
      </w:r>
      <w:r w:rsidRPr="00BA5604">
        <w:t xml:space="preserve"> P2=Phase 2</w:t>
      </w:r>
      <w:r>
        <w:t xml:space="preserve"> trial; P</w:t>
      </w:r>
      <w:r w:rsidRPr="00BA5604">
        <w:t>3</w:t>
      </w:r>
      <w:r>
        <w:t>=Phase 3 trial;</w:t>
      </w:r>
      <w:r w:rsidRPr="0072416F">
        <w:t xml:space="preserve"> </w:t>
      </w:r>
      <w:proofErr w:type="spellStart"/>
      <w:r>
        <w:t>QxW</w:t>
      </w:r>
      <w:proofErr w:type="spellEnd"/>
      <w:r>
        <w:t xml:space="preserve">=every x week; </w:t>
      </w:r>
      <w:r w:rsidRPr="0072416F">
        <w:t>R=randomised</w:t>
      </w:r>
      <w:r>
        <w:t xml:space="preserve">; </w:t>
      </w:r>
      <w:r w:rsidRPr="004F7C93">
        <w:t xml:space="preserve">RWD=randomised withdrawal design, </w:t>
      </w:r>
      <w:r>
        <w:t>SC=subcutaneous; SES-CD=</w:t>
      </w:r>
      <w:r w:rsidRPr="00B169D9">
        <w:t>Endoscopic Score for Crohn’s Disease</w:t>
      </w:r>
      <w:r>
        <w:t xml:space="preserve">; </w:t>
      </w:r>
      <w:proofErr w:type="spellStart"/>
      <w:r w:rsidRPr="004F7C93">
        <w:t>TNFi</w:t>
      </w:r>
      <w:proofErr w:type="spellEnd"/>
      <w:r w:rsidRPr="004F7C93">
        <w:t>=tumour necrosis factor inhibitor</w:t>
      </w:r>
      <w:r>
        <w:t>;</w:t>
      </w:r>
      <w:r w:rsidRPr="004F7C93">
        <w:t xml:space="preserve"> </w:t>
      </w:r>
      <w:r>
        <w:t xml:space="preserve">TT=treat-through; UPA=upadacitinib; </w:t>
      </w:r>
      <w:r w:rsidRPr="00BA5604">
        <w:t>UST=ustekinumab</w:t>
      </w:r>
      <w:r>
        <w:t xml:space="preserve">; VDZ=vedolizumab; S3=section 3 of the submission; D=daily; </w:t>
      </w:r>
      <w:proofErr w:type="spellStart"/>
      <w:r>
        <w:t>wk</w:t>
      </w:r>
      <w:proofErr w:type="spellEnd"/>
      <w:r>
        <w:t>=week; i=analysis with imputed data to adjust for trial design;</w:t>
      </w:r>
    </w:p>
    <w:p w14:paraId="6FC8D88C" w14:textId="77777777" w:rsidR="00D24BA1" w:rsidRDefault="00D24BA1" w:rsidP="00D24BA1">
      <w:pPr>
        <w:pStyle w:val="TableFigureFooter"/>
        <w:ind w:left="165" w:hanging="165"/>
      </w:pPr>
      <w:r>
        <w:t>a</w:t>
      </w:r>
      <w:r>
        <w:tab/>
      </w:r>
      <w:r w:rsidRPr="000D51FA">
        <w:t>Clinical remission</w:t>
      </w:r>
      <w:r>
        <w:t xml:space="preserve">: </w:t>
      </w:r>
      <w:r w:rsidRPr="000D51FA">
        <w:t>CDAI score &lt;150</w:t>
      </w:r>
      <w:r>
        <w:t>.</w:t>
      </w:r>
    </w:p>
    <w:p w14:paraId="072870F8" w14:textId="77777777" w:rsidR="00D24BA1" w:rsidRDefault="00D24BA1" w:rsidP="00D24BA1">
      <w:pPr>
        <w:pStyle w:val="TableFigureFooter"/>
        <w:ind w:left="165" w:hanging="165"/>
      </w:pPr>
      <w:r>
        <w:t>b</w:t>
      </w:r>
      <w:r>
        <w:tab/>
        <w:t>Endoscopic response: ≥50% improvement from baseline in SES-CD score.</w:t>
      </w:r>
    </w:p>
    <w:p w14:paraId="3582822E" w14:textId="77777777" w:rsidR="00D24BA1" w:rsidRDefault="00D24BA1" w:rsidP="00D24BA1">
      <w:pPr>
        <w:pStyle w:val="TableFigureFooter"/>
        <w:ind w:left="165" w:hanging="165"/>
      </w:pPr>
      <w:r>
        <w:t>c</w:t>
      </w:r>
      <w:r>
        <w:tab/>
        <w:t>Clinical response (70-point response): reduction of ≥70 points in CDAI score.</w:t>
      </w:r>
    </w:p>
    <w:p w14:paraId="6AC8FF5E" w14:textId="77777777" w:rsidR="00D24BA1" w:rsidRDefault="00D24BA1" w:rsidP="00D24BA1">
      <w:pPr>
        <w:pStyle w:val="TableFigureFooter"/>
        <w:ind w:left="165" w:hanging="165"/>
      </w:pPr>
      <w:r>
        <w:t>d</w:t>
      </w:r>
      <w:r>
        <w:tab/>
      </w:r>
      <w:r w:rsidRPr="00F0618F">
        <w:t>Clinical response</w:t>
      </w:r>
      <w:r>
        <w:t xml:space="preserve"> (100-point response)</w:t>
      </w:r>
      <w:r w:rsidRPr="00F0618F">
        <w:t xml:space="preserve">: reduction of </w:t>
      </w:r>
      <w:r>
        <w:t>≥100</w:t>
      </w:r>
      <w:r w:rsidRPr="00F0618F">
        <w:t xml:space="preserve"> points</w:t>
      </w:r>
      <w:r>
        <w:t xml:space="preserve"> </w:t>
      </w:r>
      <w:r w:rsidRPr="00F0618F">
        <w:t>in CDAI score.</w:t>
      </w:r>
    </w:p>
    <w:p w14:paraId="3BF99F20" w14:textId="77777777" w:rsidR="00D24BA1" w:rsidRDefault="00D24BA1" w:rsidP="00D24BA1">
      <w:pPr>
        <w:pStyle w:val="TableFigureFooter"/>
        <w:ind w:left="165" w:hanging="165"/>
      </w:pPr>
      <w:r>
        <w:t>e</w:t>
      </w:r>
      <w:r>
        <w:tab/>
      </w:r>
      <w:r w:rsidRPr="00F0618F">
        <w:t>Clinical response</w:t>
      </w:r>
      <w:r>
        <w:t xml:space="preserve"> (100-point response)</w:t>
      </w:r>
      <w:r w:rsidRPr="00F0618F">
        <w:t xml:space="preserve">: reduction of </w:t>
      </w:r>
      <w:r>
        <w:t>≥100</w:t>
      </w:r>
      <w:r w:rsidRPr="00F0618F">
        <w:t xml:space="preserve"> points</w:t>
      </w:r>
      <w:r>
        <w:t xml:space="preserve"> </w:t>
      </w:r>
      <w:r w:rsidRPr="00F0618F">
        <w:t>in CDAI score</w:t>
      </w:r>
      <w:r>
        <w:t xml:space="preserve"> </w:t>
      </w:r>
      <w:r w:rsidRPr="00BA012F">
        <w:t>or a CDAI score &lt;150</w:t>
      </w:r>
      <w:r>
        <w:t>.</w:t>
      </w:r>
    </w:p>
    <w:p w14:paraId="725A70B4" w14:textId="77777777" w:rsidR="00D24BA1" w:rsidRDefault="00D24BA1" w:rsidP="00D24BA1">
      <w:pPr>
        <w:pStyle w:val="TableFigureFooter"/>
        <w:ind w:left="165" w:hanging="165"/>
      </w:pPr>
      <w:r>
        <w:t>f</w:t>
      </w:r>
      <w:r>
        <w:tab/>
        <w:t xml:space="preserve">In ACCENT 1, 335 patients were IFX responders at </w:t>
      </w:r>
      <w:proofErr w:type="spellStart"/>
      <w:r>
        <w:t>Wk</w:t>
      </w:r>
      <w:proofErr w:type="spellEnd"/>
      <w:r>
        <w:t xml:space="preserve"> 2 and were randomly assigned to PBO, IFX 5 mg/kg or 10 mg/kg maintenance regimen and included in the predefined primary efficacy analyses. Response was defined as decrease in CDAI score ≥70 points from baseline value and ≥25% reduction in the total score.</w:t>
      </w:r>
    </w:p>
    <w:p w14:paraId="12A2A0AE" w14:textId="77777777" w:rsidR="00D24BA1" w:rsidRDefault="00D24BA1" w:rsidP="00D24BA1">
      <w:pPr>
        <w:pStyle w:val="TableFigureFooter"/>
        <w:ind w:left="165" w:hanging="165"/>
      </w:pPr>
      <w:r>
        <w:t>g</w:t>
      </w:r>
      <w:r>
        <w:tab/>
        <w:t xml:space="preserve">Patients who achieved response (defined as </w:t>
      </w:r>
      <w:r w:rsidRPr="000829FA">
        <w:t>reduction of ≥70 points in CDAI score</w:t>
      </w:r>
      <w:r>
        <w:t xml:space="preserve"> compared to baseline) were randomised to maintenance therapy.</w:t>
      </w:r>
    </w:p>
    <w:p w14:paraId="03FAED49" w14:textId="77777777" w:rsidR="00D24BA1" w:rsidRDefault="00D24BA1" w:rsidP="00D24BA1">
      <w:pPr>
        <w:pStyle w:val="TableFigureFooter"/>
        <w:ind w:left="165" w:hanging="165"/>
      </w:pPr>
      <w:r>
        <w:t>h</w:t>
      </w:r>
      <w:r>
        <w:tab/>
        <w:t xml:space="preserve">Patients who had a clinical response to UPA induction therapy at </w:t>
      </w:r>
      <w:proofErr w:type="spellStart"/>
      <w:r>
        <w:t>Wk</w:t>
      </w:r>
      <w:proofErr w:type="spellEnd"/>
      <w:r>
        <w:t xml:space="preserve"> 12 in U-EXCEL and U-EXCEED were randomly assigned to UPA maintenance therapy in the U-ENDURE for 52 weeks. Response was defined as decrease of ≥30% in average daily frequency of very soft or liquid stools or in the abdominal pain score (range, 0 [no pain] to 3 [severe pain]), with neither worse than baseline.</w:t>
      </w:r>
    </w:p>
    <w:p w14:paraId="4C6DB43A" w14:textId="77777777" w:rsidR="00D24BA1" w:rsidRDefault="00D24BA1" w:rsidP="00D24BA1">
      <w:pPr>
        <w:pStyle w:val="TableFigureFooter"/>
        <w:spacing w:after="0"/>
        <w:ind w:left="165" w:hanging="165"/>
      </w:pPr>
      <w:r>
        <w:t>i</w:t>
      </w:r>
      <w:r>
        <w:tab/>
        <w:t xml:space="preserve">Patients who completed the two 8-week induction trials (UNITI-1 or UNITI-2) and had a clinical response to UST could enrol in the IM-UNITI maintenance trial. Response was defined as </w:t>
      </w:r>
      <w:r w:rsidRPr="00A33DC6">
        <w:t>≥100 points in CDAI score</w:t>
      </w:r>
      <w:r>
        <w:t xml:space="preserve"> from baseline.</w:t>
      </w:r>
    </w:p>
    <w:p w14:paraId="6812CCBA" w14:textId="27A80371" w:rsidR="00D24BA1" w:rsidRDefault="00D24BA1" w:rsidP="00D24BA1">
      <w:pPr>
        <w:pStyle w:val="TableFigureFooter"/>
        <w:spacing w:after="0"/>
        <w:ind w:left="165" w:hanging="165"/>
      </w:pPr>
      <w:r>
        <w:t>k</w:t>
      </w:r>
      <w:r>
        <w:tab/>
        <w:t>The submission’s modelled economic evaluation used the pooled GALAXI trials results for UST in maintenance treatment.</w:t>
      </w:r>
    </w:p>
    <w:p w14:paraId="02D913C2" w14:textId="77777777" w:rsidR="00D24BA1" w:rsidRDefault="00D24BA1" w:rsidP="00D24BA1">
      <w:pPr>
        <w:pStyle w:val="3-BodyText"/>
        <w:numPr>
          <w:ilvl w:val="0"/>
          <w:numId w:val="0"/>
        </w:numPr>
      </w:pPr>
    </w:p>
    <w:p w14:paraId="3DF1AC92" w14:textId="7B764244" w:rsidR="00D24BA1" w:rsidRDefault="00D24BA1" w:rsidP="00D24BA1">
      <w:pPr>
        <w:pStyle w:val="3-BodyText"/>
        <w:numPr>
          <w:ilvl w:val="0"/>
          <w:numId w:val="0"/>
        </w:numPr>
        <w:sectPr w:rsidR="00D24BA1" w:rsidSect="009262AD">
          <w:pgSz w:w="16840" w:h="11907" w:orient="landscape" w:code="9"/>
          <w:pgMar w:top="1440" w:right="1440" w:bottom="1440" w:left="1440" w:header="1440" w:footer="1440" w:gutter="0"/>
          <w:cols w:space="708"/>
          <w:docGrid w:linePitch="360"/>
        </w:sectPr>
      </w:pPr>
    </w:p>
    <w:p w14:paraId="4F0F7F3E" w14:textId="7BC3565A" w:rsidR="00D24BA1" w:rsidRPr="00D24BA1" w:rsidRDefault="000C5DE8" w:rsidP="002E4F02">
      <w:pPr>
        <w:pStyle w:val="3-BodyText"/>
      </w:pPr>
      <w:r>
        <w:lastRenderedPageBreak/>
        <w:t xml:space="preserve">GALAXI 1, GALAXI 2 and GALAXI 3 trials were all multicentre </w:t>
      </w:r>
      <w:r w:rsidRPr="00901488">
        <w:rPr>
          <w:i/>
          <w:iCs/>
        </w:rPr>
        <w:t>(</w:t>
      </w:r>
      <w:r w:rsidRPr="00AF2131">
        <w:t>including Australia),</w:t>
      </w:r>
      <w:r>
        <w:t xml:space="preserve"> randomised, placebo-controlled, double-blind trials with </w:t>
      </w:r>
      <w:r w:rsidR="00CF133F">
        <w:t xml:space="preserve">a </w:t>
      </w:r>
      <w:r>
        <w:t xml:space="preserve">treat-through design where patients with </w:t>
      </w:r>
      <w:r w:rsidR="00937D03">
        <w:t xml:space="preserve">moderate to </w:t>
      </w:r>
      <w:r>
        <w:t>severe CD were randomised to GUS, UST or PBO for 48 weeks. In each trial, p</w:t>
      </w:r>
      <w:r w:rsidRPr="005D6CBB">
        <w:t xml:space="preserve">atients </w:t>
      </w:r>
      <w:r>
        <w:t>randomised to GUS or UST remained on the same treatment for induction (Weeks 0-12) and maintenance therapy (Weeks 12-48) irrespective of induction response. In contrast, only patients randomised to PBO who achieved clinical response at Week 12 remained on PBO until the end of the trial</w:t>
      </w:r>
      <w:r w:rsidR="00CF133F">
        <w:t xml:space="preserve"> and patients</w:t>
      </w:r>
      <w:r>
        <w:t xml:space="preserve"> with non-response at Week 12 crossed over to UST.</w:t>
      </w:r>
      <w:r w:rsidR="007646EC">
        <w:t xml:space="preserve"> </w:t>
      </w:r>
      <w:r>
        <w:t>Patients who completed GALAXI 1, GALAXI 2 and GALAXI 3 may enter long-term extension for additional 4 years of treatment (Week 48 to Week 252).</w:t>
      </w:r>
      <w:r w:rsidRPr="00F97BAD">
        <w:t xml:space="preserve"> At Week 12, a high number of PBO non-responders crossed over to UST treatment to Week 48: 44 (72.1%) in GALAXI 1, 49 (64.5%) in GALAXI 2 and 49 (68.1%) in GALAXI 3</w:t>
      </w:r>
      <w:r w:rsidR="00CF133F" w:rsidRPr="00F97BAD">
        <w:t>.</w:t>
      </w:r>
    </w:p>
    <w:p w14:paraId="007FAB8E" w14:textId="1CD47354" w:rsidR="00D24BA1" w:rsidRPr="00D24BA1" w:rsidRDefault="000C5DE8" w:rsidP="002E4F02">
      <w:pPr>
        <w:pStyle w:val="3-BodyText"/>
      </w:pPr>
      <w:r>
        <w:t>GRAVITI was a multicentre, randomised placebo-controlled, double-blind trial with treat-through design</w:t>
      </w:r>
      <w:r w:rsidR="006E3E65">
        <w:t xml:space="preserve"> where patients </w:t>
      </w:r>
      <w:r w:rsidR="00937D03">
        <w:t xml:space="preserve">with moderate to </w:t>
      </w:r>
      <w:r w:rsidR="006E3E65">
        <w:t>severe CD were randomised to GUS 400 mg SC induction followed by either GUS 200 mg or 100 mg maintenance, or PBO</w:t>
      </w:r>
      <w:r>
        <w:t xml:space="preserve">. </w:t>
      </w:r>
      <w:r w:rsidRPr="002E00D4">
        <w:t xml:space="preserve">Patients </w:t>
      </w:r>
      <w:r>
        <w:t>in PBO group</w:t>
      </w:r>
      <w:r w:rsidRPr="002E00D4">
        <w:t xml:space="preserve"> could receive </w:t>
      </w:r>
      <w:r w:rsidR="00066AE6" w:rsidRPr="002E00D4">
        <w:t>rescue treatment</w:t>
      </w:r>
      <w:r w:rsidR="00066AE6">
        <w:t xml:space="preserve"> with</w:t>
      </w:r>
      <w:r w:rsidR="00066AE6" w:rsidRPr="002E00D4">
        <w:t xml:space="preserve"> </w:t>
      </w:r>
      <w:r>
        <w:t>GUS (i.e. GUS 400 mg SC induction then 100 mg Q8W maintenance)</w:t>
      </w:r>
      <w:r w:rsidRPr="002E00D4">
        <w:t xml:space="preserve"> from </w:t>
      </w:r>
      <w:r>
        <w:t>W</w:t>
      </w:r>
      <w:r w:rsidRPr="002E00D4">
        <w:t>eek 16 onwards</w:t>
      </w:r>
      <w:r w:rsidR="00597238">
        <w:t xml:space="preserve"> if rescue criteria were met</w:t>
      </w:r>
      <w:r w:rsidRPr="002E00D4">
        <w:t xml:space="preserve">. </w:t>
      </w:r>
      <w:r>
        <w:t>At Week 24, all patients enter</w:t>
      </w:r>
      <w:r w:rsidR="00786A28">
        <w:t>ed a</w:t>
      </w:r>
      <w:r>
        <w:t xml:space="preserve"> treatment extension </w:t>
      </w:r>
      <w:r w:rsidR="00786A28">
        <w:t xml:space="preserve">phase </w:t>
      </w:r>
      <w:r w:rsidR="00066AE6">
        <w:t xml:space="preserve">on </w:t>
      </w:r>
      <w:r>
        <w:t>the same maintenance dose regimen to Week 96.</w:t>
      </w:r>
    </w:p>
    <w:p w14:paraId="3D8179D6" w14:textId="09B1FDCB" w:rsidR="00D24BA1" w:rsidRDefault="000C5DE8" w:rsidP="002E4F02">
      <w:pPr>
        <w:pStyle w:val="3-BodyText"/>
      </w:pPr>
      <w:r>
        <w:t>For GUS and the comparator trials, the design of the induction trials / phases was similar in that eligible patients were randomised to active treatment or control (PBO) with response to treatment assessed at Week 4 to 14. In contrast, the maintenance trials / phases differed in terms of trial designs. The submission described four categories of maintenance trial designs:</w:t>
      </w:r>
    </w:p>
    <w:p w14:paraId="187B55BF" w14:textId="77777777" w:rsidR="000C5DE8" w:rsidRDefault="000C5DE8" w:rsidP="00096092">
      <w:pPr>
        <w:pStyle w:val="ListParagraph"/>
        <w:widowControl w:val="0"/>
        <w:numPr>
          <w:ilvl w:val="0"/>
          <w:numId w:val="11"/>
        </w:numPr>
        <w:spacing w:after="0"/>
        <w:contextualSpacing/>
      </w:pPr>
      <w:r>
        <w:t>Type 1: Treat-through design, where continuing treatment in the trial is not conditional on having response at a pre-defined time point. GALAXI trials (GUS and UST arm) and SEAVUE were Type 1 treat-through designs.</w:t>
      </w:r>
    </w:p>
    <w:p w14:paraId="4E954758" w14:textId="77777777" w:rsidR="000C5DE8" w:rsidRDefault="000C5DE8" w:rsidP="00096092">
      <w:pPr>
        <w:pStyle w:val="ListParagraph"/>
        <w:widowControl w:val="0"/>
        <w:numPr>
          <w:ilvl w:val="0"/>
          <w:numId w:val="11"/>
        </w:numPr>
        <w:spacing w:after="0"/>
        <w:contextualSpacing/>
      </w:pPr>
      <w:r>
        <w:t xml:space="preserve">Type 2: </w:t>
      </w:r>
      <w:r w:rsidRPr="001D0946">
        <w:t xml:space="preserve">Treat-through </w:t>
      </w:r>
      <w:r>
        <w:t>design,</w:t>
      </w:r>
      <w:r w:rsidRPr="001D0946">
        <w:t xml:space="preserve"> where </w:t>
      </w:r>
      <w:r>
        <w:t xml:space="preserve">continuing treatment in the trial </w:t>
      </w:r>
      <w:r w:rsidRPr="001D0946">
        <w:t>is conditional on an initial response by a defined timepoint</w:t>
      </w:r>
      <w:r>
        <w:t xml:space="preserve"> (either at induction or after induction). GALAXI trials (PBO arm) and ACCENT-1 trial were Type 2 treat-through designs.</w:t>
      </w:r>
    </w:p>
    <w:p w14:paraId="4FDED555" w14:textId="0347C57B" w:rsidR="000C5DE8" w:rsidRDefault="000C5DE8" w:rsidP="00096092">
      <w:pPr>
        <w:pStyle w:val="ListParagraph"/>
        <w:widowControl w:val="0"/>
        <w:numPr>
          <w:ilvl w:val="0"/>
          <w:numId w:val="11"/>
        </w:numPr>
        <w:spacing w:after="0"/>
        <w:contextualSpacing/>
      </w:pPr>
      <w:r>
        <w:t xml:space="preserve">Type 3: </w:t>
      </w:r>
      <w:r w:rsidRPr="001D0946">
        <w:t xml:space="preserve">Randomised </w:t>
      </w:r>
      <w:r>
        <w:t xml:space="preserve">withdrawal design, where patients who respond to </w:t>
      </w:r>
      <w:r w:rsidR="00283DE4">
        <w:t xml:space="preserve">active induction </w:t>
      </w:r>
      <w:r>
        <w:t>treatment by a</w:t>
      </w:r>
      <w:r w:rsidR="00283DE4">
        <w:t xml:space="preserve"> given </w:t>
      </w:r>
      <w:r>
        <w:t xml:space="preserve">timepoint are </w:t>
      </w:r>
      <w:r w:rsidR="00283DE4">
        <w:t xml:space="preserve">randomised or </w:t>
      </w:r>
      <w:r>
        <w:t xml:space="preserve">re-randomised to continue either active therapy or PBO </w:t>
      </w:r>
      <w:r w:rsidR="00283DE4">
        <w:t>(</w:t>
      </w:r>
      <w:r>
        <w:t>withdrawal</w:t>
      </w:r>
      <w:r w:rsidR="00283DE4">
        <w:t>) for maintenance treatment</w:t>
      </w:r>
      <w:r>
        <w:t>. CHARM, Watanabe 2012 and GEMINI II trials were Type 3 randomised withdrawal designs.</w:t>
      </w:r>
    </w:p>
    <w:p w14:paraId="5FE42DEF" w14:textId="03A1B800" w:rsidR="000C5DE8" w:rsidRPr="00D24BA1" w:rsidRDefault="000C5DE8" w:rsidP="00096092">
      <w:pPr>
        <w:pStyle w:val="ListParagraph"/>
        <w:widowControl w:val="0"/>
        <w:numPr>
          <w:ilvl w:val="0"/>
          <w:numId w:val="11"/>
        </w:numPr>
        <w:spacing w:after="0"/>
        <w:contextualSpacing/>
      </w:pPr>
      <w:r>
        <w:t xml:space="preserve">Type 4: </w:t>
      </w:r>
      <w:r w:rsidRPr="001D0946">
        <w:t xml:space="preserve">Randomised </w:t>
      </w:r>
      <w:r>
        <w:t xml:space="preserve">withdrawal design, </w:t>
      </w:r>
      <w:r w:rsidR="00283DE4">
        <w:t xml:space="preserve">the same Type 3 above but where patients who do not respond to </w:t>
      </w:r>
      <w:r>
        <w:t xml:space="preserve">active </w:t>
      </w:r>
      <w:r w:rsidR="00283DE4">
        <w:t xml:space="preserve">induction treatment by the given timepoint remain on active </w:t>
      </w:r>
      <w:r>
        <w:t>treatment to allow for delayed response</w:t>
      </w:r>
      <w:r w:rsidR="00283DE4">
        <w:t xml:space="preserve"> (prior to randomisation or re-randomisation to active maintenance or PBO withdrawal)</w:t>
      </w:r>
      <w:r>
        <w:t>. U-ENDURE trial had a Type 4 randomised withdrawal design.</w:t>
      </w:r>
    </w:p>
    <w:p w14:paraId="58387372" w14:textId="54FED68D" w:rsidR="003965BF" w:rsidRPr="00F97BAD" w:rsidRDefault="00516309" w:rsidP="003965BF">
      <w:pPr>
        <w:pStyle w:val="3-BodyText"/>
      </w:pPr>
      <w:r w:rsidRPr="00F97BAD">
        <w:lastRenderedPageBreak/>
        <w:t xml:space="preserve">The baseline characteristics were generally balanced between treatment arms within </w:t>
      </w:r>
      <w:r w:rsidR="00937D03" w:rsidRPr="00F97BAD">
        <w:t xml:space="preserve">the included trials but there was a high degree of heterogeneity across the trials with respect to disease duration, prior exposure to conventional and biologic therapy, baseline concomitant therapies and </w:t>
      </w:r>
      <w:r w:rsidR="005B57FE" w:rsidRPr="00F97BAD">
        <w:t xml:space="preserve">the </w:t>
      </w:r>
      <w:r w:rsidR="00937D03" w:rsidRPr="00F97BAD">
        <w:t>definition of the clinical response</w:t>
      </w:r>
      <w:r w:rsidR="005B57FE" w:rsidRPr="00F97BAD">
        <w:t xml:space="preserve"> to induction treatment (required for enrolment in the randomised withdrawal trials/phases)</w:t>
      </w:r>
      <w:r w:rsidR="00937D03" w:rsidRPr="00F97BAD">
        <w:t>.</w:t>
      </w:r>
      <w:r w:rsidR="00581354" w:rsidRPr="00F97BAD">
        <w:t xml:space="preserve"> </w:t>
      </w:r>
      <w:r w:rsidR="003965BF" w:rsidRPr="00F97BAD">
        <w:t xml:space="preserve">The trial populations may also not be completely representative of the proposed PBS population, given the trials generally enrolled patients with less severe disease on average than permitted by the PBS restriction criteria and </w:t>
      </w:r>
      <w:proofErr w:type="gramStart"/>
      <w:r w:rsidR="003965BF" w:rsidRPr="00F97BAD">
        <w:t>a number of</w:t>
      </w:r>
      <w:proofErr w:type="gramEnd"/>
      <w:r w:rsidR="003965BF" w:rsidRPr="00F97BAD">
        <w:t xml:space="preserve"> trials likely enrolled patients with more refractory disease (indicated by time since diagnosis and prior exposure to b/</w:t>
      </w:r>
      <w:proofErr w:type="spellStart"/>
      <w:r w:rsidR="003965BF" w:rsidRPr="00F97BAD">
        <w:t>tsDMARDs</w:t>
      </w:r>
      <w:proofErr w:type="spellEnd"/>
      <w:r w:rsidR="003965BF" w:rsidRPr="00F97BAD">
        <w:t>).</w:t>
      </w:r>
    </w:p>
    <w:p w14:paraId="65BAE5D9" w14:textId="21A35C35" w:rsidR="003965BF" w:rsidRPr="00F97BAD" w:rsidRDefault="003965BF" w:rsidP="003965BF">
      <w:pPr>
        <w:pStyle w:val="3-BodyText"/>
      </w:pPr>
      <w:r w:rsidRPr="00F97BAD">
        <w:t xml:space="preserve">Overall, the risk of bias </w:t>
      </w:r>
      <w:r w:rsidR="0075125C" w:rsidRPr="00F97BAD">
        <w:t xml:space="preserve">within each of the </w:t>
      </w:r>
      <w:r w:rsidRPr="00F97BAD">
        <w:t xml:space="preserve">included trials was considered low. In general, discontinuations and loss to follow-up were low across most trials and any differences across treatment arms were unlikely to favour the active treatment due to non-responder imputation assumptions. In GALAXI 1, there was a temporary pause of induction dosing during the study to evaluate an event of toxic hepatitis in a patient treated with GUS. Patients who had their induction treatment paused due to the evaluation of this event were discontinued from the study (n=51). Data from these discontinued patients were included in the safety </w:t>
      </w:r>
      <w:r w:rsidR="00C74692" w:rsidRPr="00F97BAD">
        <w:t>analyses but</w:t>
      </w:r>
      <w:r w:rsidRPr="00F97BAD">
        <w:t xml:space="preserve"> were not included in the primary efficacy analysis.</w:t>
      </w:r>
    </w:p>
    <w:p w14:paraId="531E08C6" w14:textId="15C86910" w:rsidR="00A6678A" w:rsidRPr="00F97BAD" w:rsidRDefault="00A6678A" w:rsidP="00286E68">
      <w:pPr>
        <w:pStyle w:val="3-BodyText"/>
      </w:pPr>
      <w:r w:rsidRPr="00F97BAD">
        <w:t>The risk of bias for the indirect comparisons was considered high due to the numerous differences across the included trials in terms of the enrolled populations, concomitant therapies permitted during the trial periods, outcome definitions and the timing of reported outcomes (see comparative effectiveness). The differences will likely have an impact on the transitivity of the trials included in the indirect comparisons, however the direction of impact is unclear. However, the PBAC ha</w:t>
      </w:r>
      <w:r w:rsidR="00974ABF" w:rsidRPr="00F97BAD">
        <w:t>d</w:t>
      </w:r>
      <w:r w:rsidRPr="00F97BAD">
        <w:t xml:space="preserve"> previously </w:t>
      </w:r>
      <w:r w:rsidR="00670FEA" w:rsidRPr="00F97BAD">
        <w:t>used this data to make decisions on the</w:t>
      </w:r>
      <w:r w:rsidRPr="00F97BAD">
        <w:t xml:space="preserve"> clinical</w:t>
      </w:r>
      <w:r w:rsidR="00670FEA" w:rsidRPr="00F97BAD">
        <w:t xml:space="preserve"> effectiveness</w:t>
      </w:r>
      <w:r w:rsidRPr="00F97BAD">
        <w:t xml:space="preserve"> and safety claims for severe CD for UPA, UST, VDZ and risankizumab (paragraph 6.12, upadacitinib PSD July 2023 PBAC meeting).</w:t>
      </w:r>
    </w:p>
    <w:p w14:paraId="4A4FE085" w14:textId="1C5613CC" w:rsidR="00B60939" w:rsidRPr="00C9624D" w:rsidRDefault="00B60939" w:rsidP="005F4460">
      <w:pPr>
        <w:pStyle w:val="Heading2"/>
      </w:pPr>
      <w:bookmarkStart w:id="26" w:name="_Toc22897641"/>
      <w:bookmarkStart w:id="27" w:name="_Ref197674484"/>
      <w:bookmarkStart w:id="28" w:name="_Toc198715635"/>
      <w:r w:rsidRPr="00C9624D">
        <w:t>Comparative effectiveness</w:t>
      </w:r>
      <w:bookmarkEnd w:id="26"/>
      <w:bookmarkEnd w:id="27"/>
      <w:bookmarkEnd w:id="28"/>
    </w:p>
    <w:p w14:paraId="32173A11" w14:textId="44734063" w:rsidR="00AF0093" w:rsidRDefault="00AF0093" w:rsidP="002A34A7">
      <w:pPr>
        <w:pStyle w:val="3-BodyText"/>
      </w:pPr>
      <w:r>
        <w:t>The PBAC had previously based recommendations for listing of b/</w:t>
      </w:r>
      <w:proofErr w:type="spellStart"/>
      <w:r>
        <w:t>tsDMARDs</w:t>
      </w:r>
      <w:proofErr w:type="spellEnd"/>
      <w:r>
        <w:t xml:space="preserve"> for the treatment of severe CD on the proportion of patients achieving and maintaining ‘clinical response’ (</w:t>
      </w:r>
      <w:r w:rsidRPr="00AF0093">
        <w:t>≥100 point or ≥70 point reduction in CDAI from baseline, i.e. CR-100 or CR-70</w:t>
      </w:r>
      <w:r>
        <w:t xml:space="preserve">) </w:t>
      </w:r>
      <w:r w:rsidRPr="00AF0093">
        <w:t>and</w:t>
      </w:r>
      <w:r>
        <w:t xml:space="preserve"> ‘clinical remission’ (</w:t>
      </w:r>
      <w:r w:rsidRPr="00AF0093">
        <w:t>CDAI&lt;150 points</w:t>
      </w:r>
      <w:r>
        <w:t>)</w:t>
      </w:r>
      <w:r w:rsidR="002B1DC4" w:rsidRPr="002B1DC4">
        <w:t xml:space="preserve"> (see infliximab PSD, March 2007 PBAC meeting and vedolizumab PSD, March 2015 PBAC meeting)</w:t>
      </w:r>
      <w:r>
        <w:t xml:space="preserve">. This </w:t>
      </w:r>
      <w:r w:rsidR="00974ABF">
        <w:t>wa</w:t>
      </w:r>
      <w:r>
        <w:t>s consistent with the current response criteria on the PBS, requiring patients with severe CD to demonstrate ‘clinical remission’.</w:t>
      </w:r>
      <w:r w:rsidR="002A34A7">
        <w:t xml:space="preserve"> </w:t>
      </w:r>
      <w:r>
        <w:t>In addition to the clinical response and clinical remission, the submission argued that the PBAC should also consider ‘endoscopic response’ and ‘endoscopic remission’ defined by the SES-CD.</w:t>
      </w:r>
    </w:p>
    <w:p w14:paraId="4E1A7401" w14:textId="1EEA3B76" w:rsidR="00F97E12" w:rsidRPr="00F97BAD" w:rsidRDefault="00F97E12" w:rsidP="00F97E12">
      <w:pPr>
        <w:pStyle w:val="3-BodyText"/>
      </w:pPr>
      <w:r w:rsidRPr="00F97BAD">
        <w:t xml:space="preserve">Across the trials, </w:t>
      </w:r>
      <w:r w:rsidRPr="00F97BAD" w:rsidDel="00432DA2">
        <w:t>the definition of clinical remission was generally similar (CDAI &lt;150 in all trials and CDAI ≤150 in VDZ trials)</w:t>
      </w:r>
      <w:r w:rsidRPr="00F97BAD">
        <w:t xml:space="preserve"> but</w:t>
      </w:r>
      <w:r w:rsidRPr="00F97BAD" w:rsidDel="00432DA2">
        <w:t xml:space="preserve"> the definition of clinical response varied</w:t>
      </w:r>
      <w:r w:rsidRPr="00F97BAD">
        <w:t xml:space="preserve"> (</w:t>
      </w:r>
      <w:r w:rsidRPr="00F97BAD" w:rsidDel="00432DA2">
        <w:t xml:space="preserve">CR-100 or CDAI&lt;150 in GUS </w:t>
      </w:r>
      <w:r w:rsidRPr="00F97BAD">
        <w:t xml:space="preserve">trials </w:t>
      </w:r>
      <w:r w:rsidRPr="00F97BAD" w:rsidDel="00432DA2">
        <w:t xml:space="preserve">and </w:t>
      </w:r>
      <w:r w:rsidRPr="00F97BAD">
        <w:t xml:space="preserve">the </w:t>
      </w:r>
      <w:r w:rsidRPr="00F97BAD" w:rsidDel="00432DA2">
        <w:t xml:space="preserve">ADA vs UST </w:t>
      </w:r>
      <w:r w:rsidRPr="00F97BAD">
        <w:t xml:space="preserve">trial </w:t>
      </w:r>
      <w:r w:rsidRPr="00F97BAD" w:rsidDel="00432DA2">
        <w:t>(SEAVUE), or CR-70 or CR-100 in all other trials</w:t>
      </w:r>
      <w:r w:rsidRPr="00F97BAD">
        <w:t>)</w:t>
      </w:r>
      <w:r w:rsidRPr="00F97BAD" w:rsidDel="00432DA2">
        <w:t xml:space="preserve">. </w:t>
      </w:r>
      <w:r w:rsidRPr="00F97BAD">
        <w:t xml:space="preserve">Further, </w:t>
      </w:r>
      <w:r w:rsidRPr="00F97BAD" w:rsidDel="00432DA2">
        <w:t xml:space="preserve">the clinical response and clinical remission outcomes </w:t>
      </w:r>
      <w:r w:rsidRPr="00F97BAD" w:rsidDel="00432DA2">
        <w:lastRenderedPageBreak/>
        <w:t>were reported at different time points for induction (Week 12 for GUS and UPA</w:t>
      </w:r>
      <w:r w:rsidRPr="00F97BAD">
        <w:t xml:space="preserve"> </w:t>
      </w:r>
      <w:r w:rsidRPr="00F97BAD" w:rsidDel="00432DA2">
        <w:t>trials, Weeks 2-4 for IFX and ADA</w:t>
      </w:r>
      <w:r w:rsidR="005A428D" w:rsidRPr="00F97BAD">
        <w:t xml:space="preserve"> </w:t>
      </w:r>
      <w:r w:rsidR="0046126C" w:rsidRPr="00F97BAD">
        <w:t>trials</w:t>
      </w:r>
      <w:r w:rsidRPr="00F97BAD" w:rsidDel="00432DA2">
        <w:t>, Weeks 6 to 10 for VDZ, Week 8 for UST</w:t>
      </w:r>
      <w:r w:rsidR="0046126C" w:rsidRPr="00F97BAD">
        <w:t xml:space="preserve"> trials</w:t>
      </w:r>
      <w:r w:rsidRPr="00F97BAD" w:rsidDel="00432DA2">
        <w:t xml:space="preserve"> and Week 16 ADA vs UST trial</w:t>
      </w:r>
      <w:r w:rsidR="0046126C" w:rsidRPr="00F97BAD">
        <w:t xml:space="preserve"> (SEAVUE)</w:t>
      </w:r>
      <w:r w:rsidRPr="00F97BAD" w:rsidDel="00432DA2">
        <w:t>) and maintenance therapy (Week 48 for GUS, Week</w:t>
      </w:r>
      <w:r w:rsidR="00085A1E" w:rsidRPr="00F97BAD">
        <w:t>s</w:t>
      </w:r>
      <w:r w:rsidRPr="00F97BAD" w:rsidDel="00432DA2">
        <w:t xml:space="preserve"> 52-60 for IFX, ADA, UST, UPA and VDZ</w:t>
      </w:r>
      <w:r w:rsidR="0046126C" w:rsidRPr="00F97BAD">
        <w:t xml:space="preserve"> trials</w:t>
      </w:r>
      <w:r w:rsidRPr="00F97BAD" w:rsidDel="00432DA2">
        <w:t>).</w:t>
      </w:r>
    </w:p>
    <w:p w14:paraId="0150BA61" w14:textId="5A494767" w:rsidR="00F97E12" w:rsidRPr="00F97BAD" w:rsidRDefault="00EA34A1" w:rsidP="00286E68">
      <w:pPr>
        <w:pStyle w:val="3-BodyText"/>
      </w:pPr>
      <w:r w:rsidRPr="00F97BAD">
        <w:t>Not all trials reported endoscopic outcomes and there were differences in the</w:t>
      </w:r>
      <w:r w:rsidR="005A428D" w:rsidRPr="00F97BAD">
        <w:t>i</w:t>
      </w:r>
      <w:r w:rsidRPr="00F97BAD">
        <w:t xml:space="preserve">r definitions across the </w:t>
      </w:r>
      <w:r w:rsidR="0046126C" w:rsidRPr="00F97BAD">
        <w:t>trials</w:t>
      </w:r>
      <w:r w:rsidRPr="00F97BAD">
        <w:t xml:space="preserve"> that included them for </w:t>
      </w:r>
      <w:r w:rsidR="0046126C" w:rsidRPr="00F97BAD">
        <w:t xml:space="preserve">GUS (GALAXI trials and GRAVITI), ADA vs UST (SEAVUE) and UPA (U-ENDURE). Endoscopic response was defined as </w:t>
      </w:r>
      <w:r w:rsidR="00974ABF" w:rsidRPr="00F97BAD">
        <w:t xml:space="preserve">a </w:t>
      </w:r>
      <w:r w:rsidR="0046126C" w:rsidRPr="00F97BAD">
        <w:t xml:space="preserve">reduction of SES-CD score ≥50% from baseline, or </w:t>
      </w:r>
      <w:r w:rsidR="00974ABF" w:rsidRPr="00F97BAD">
        <w:t xml:space="preserve">a </w:t>
      </w:r>
      <w:r w:rsidR="0046126C" w:rsidRPr="00F97BAD">
        <w:t>SES-CD score ≤3, or</w:t>
      </w:r>
      <w:r w:rsidR="00974ABF" w:rsidRPr="00F97BAD">
        <w:t xml:space="preserve"> a</w:t>
      </w:r>
      <w:r w:rsidR="0046126C" w:rsidRPr="00F97BAD">
        <w:t xml:space="preserve"> SES-CD of 0 if baseline SES-CD =3 in the ADA vs UST (SEAVUE) trial; reduction of SES-CD score ≥50% from baseline, or reduction of ≥2 points from baseline if baseline SES-CD=4 in UPA (U-ENDURE) trial; and reduction of </w:t>
      </w:r>
      <w:r w:rsidR="00974ABF" w:rsidRPr="00F97BAD">
        <w:t xml:space="preserve">a </w:t>
      </w:r>
      <w:r w:rsidR="0046126C" w:rsidRPr="00F97BAD">
        <w:t>SES-CD score ≥50% from baseline, or reduction of ≥2 points from baseline in the GUS trials.</w:t>
      </w:r>
      <w:r w:rsidRPr="00F97BAD">
        <w:t xml:space="preserve"> </w:t>
      </w:r>
      <w:r w:rsidR="00F97E12" w:rsidRPr="00F97BAD">
        <w:t xml:space="preserve">For endoscopic remission, the GALAXI 2 and GALAXI 3 trials included two definitions based on global-specific (SES-CD ≤4 with at least a 2-point reduction from baseline and no </w:t>
      </w:r>
      <w:proofErr w:type="spellStart"/>
      <w:r w:rsidR="00F97E12" w:rsidRPr="00F97BAD">
        <w:t>subscore</w:t>
      </w:r>
      <w:proofErr w:type="spellEnd"/>
      <w:r w:rsidR="00F97E12" w:rsidRPr="00F97BAD">
        <w:t xml:space="preserve"> greater than 1 in any individual subcomponent) and region-specific (SES-CD score ≤2) testing modules. Whereas endoscopic remission was defined as SES-CD score ≤3, or SES-CD of 0 for patients with baseline SES-CD of 3 in SEAVUE and SES-CD ≤4, reduction of ≥2 points from baseline and no </w:t>
      </w:r>
      <w:proofErr w:type="spellStart"/>
      <w:r w:rsidR="00F97E12" w:rsidRPr="00F97BAD">
        <w:t>subscore</w:t>
      </w:r>
      <w:proofErr w:type="spellEnd"/>
      <w:r w:rsidR="00F97E12" w:rsidRPr="00F97BAD">
        <w:t xml:space="preserve"> &gt;1 in any individual subcomponent in U-ENDURE.</w:t>
      </w:r>
    </w:p>
    <w:p w14:paraId="27FBD2FE" w14:textId="48451382" w:rsidR="00516309" w:rsidRPr="00F97BAD" w:rsidRDefault="0046126C" w:rsidP="00BD4439">
      <w:pPr>
        <w:pStyle w:val="3-BodyText"/>
      </w:pPr>
      <w:r w:rsidRPr="00F97BAD">
        <w:t>In GALAXI 2 and GALAXI 3, t</w:t>
      </w:r>
      <w:r w:rsidR="00516309" w:rsidRPr="00F97BAD">
        <w:t xml:space="preserve">he results </w:t>
      </w:r>
      <w:r w:rsidR="00AF0440" w:rsidRPr="00F97BAD">
        <w:t xml:space="preserve">between </w:t>
      </w:r>
      <w:r w:rsidR="00516309" w:rsidRPr="00F97BAD">
        <w:t>the two testing modules</w:t>
      </w:r>
      <w:r w:rsidRPr="00F97BAD">
        <w:t xml:space="preserve"> (global’ (US FDA guidance) and ‘region-specific’ (EMA guidance))</w:t>
      </w:r>
      <w:r w:rsidR="00516309" w:rsidRPr="00F97BAD">
        <w:t xml:space="preserve"> were generally consistent</w:t>
      </w:r>
      <w:r w:rsidR="003F7848" w:rsidRPr="00F97BAD">
        <w:t xml:space="preserve"> </w:t>
      </w:r>
      <w:r w:rsidR="00AF0440" w:rsidRPr="00F97BAD">
        <w:t>except</w:t>
      </w:r>
      <w:r w:rsidR="003F7848" w:rsidRPr="00F97BAD">
        <w:t xml:space="preserve"> </w:t>
      </w:r>
      <w:r w:rsidR="00AF0440" w:rsidRPr="00F97BAD">
        <w:t>for</w:t>
      </w:r>
      <w:r w:rsidR="003F7848" w:rsidRPr="00F97BAD">
        <w:t xml:space="preserve"> endoscopic remission</w:t>
      </w:r>
      <w:r w:rsidRPr="00F97BAD">
        <w:t xml:space="preserve"> outcome</w:t>
      </w:r>
      <w:r w:rsidR="00974ABF" w:rsidRPr="00F97BAD">
        <w:t>,</w:t>
      </w:r>
      <w:r w:rsidR="003F7848" w:rsidRPr="00F97BAD">
        <w:t xml:space="preserve"> given</w:t>
      </w:r>
      <w:r w:rsidR="00AF0440" w:rsidRPr="00F97BAD">
        <w:t xml:space="preserve"> differen</w:t>
      </w:r>
      <w:r w:rsidR="003F7E9E" w:rsidRPr="00F97BAD">
        <w:t>ces in the</w:t>
      </w:r>
      <w:r w:rsidR="00EA34A1" w:rsidRPr="00F97BAD">
        <w:t>ir</w:t>
      </w:r>
      <w:r w:rsidR="00AF0440" w:rsidRPr="00F97BAD">
        <w:t xml:space="preserve"> </w:t>
      </w:r>
      <w:r w:rsidR="003F7E9E" w:rsidRPr="00F97BAD">
        <w:t xml:space="preserve">outcome </w:t>
      </w:r>
      <w:r w:rsidR="00AF0440" w:rsidRPr="00F97BAD">
        <w:t>definitions</w:t>
      </w:r>
      <w:r w:rsidR="00516309" w:rsidRPr="00F97BAD">
        <w:t xml:space="preserve">. The submission </w:t>
      </w:r>
      <w:r w:rsidR="00EA34A1" w:rsidRPr="00F97BAD">
        <w:t xml:space="preserve">used </w:t>
      </w:r>
      <w:r w:rsidR="00516309" w:rsidRPr="00F97BAD">
        <w:t xml:space="preserve">global-specific outcomes for the meta-analyses, which showed significantly more patients treated with GUS </w:t>
      </w:r>
      <w:r w:rsidRPr="00F97BAD">
        <w:t xml:space="preserve">100 mg Q8W and 200 mg Q4W </w:t>
      </w:r>
      <w:r w:rsidR="00516309" w:rsidRPr="00F97BAD">
        <w:t xml:space="preserve">achieved endoscopic remission compared to UST at Week 48. </w:t>
      </w:r>
      <w:r w:rsidRPr="00F97BAD">
        <w:t xml:space="preserve">Whereas </w:t>
      </w:r>
      <w:r w:rsidR="00EA34A1" w:rsidRPr="00F97BAD">
        <w:t>the</w:t>
      </w:r>
      <w:r w:rsidRPr="00F97BAD">
        <w:t xml:space="preserve"> meta-analysis conducted during the evaluation based on </w:t>
      </w:r>
      <w:r w:rsidR="00516309" w:rsidRPr="00F97BAD">
        <w:t xml:space="preserve">region-specific </w:t>
      </w:r>
      <w:r w:rsidRPr="00F97BAD">
        <w:t xml:space="preserve">definition indicated no difference with GUS 200 mg Q4W and </w:t>
      </w:r>
      <w:r w:rsidR="00516309" w:rsidRPr="00F97BAD">
        <w:t xml:space="preserve">only GUS 100 mg Q8W </w:t>
      </w:r>
      <w:r w:rsidR="00EE49B7" w:rsidRPr="00F97BAD">
        <w:t>was</w:t>
      </w:r>
      <w:r w:rsidRPr="00F97BAD">
        <w:t xml:space="preserve"> significantly </w:t>
      </w:r>
      <w:r w:rsidR="00EE49B7" w:rsidRPr="00F97BAD">
        <w:t>more effective in terms of</w:t>
      </w:r>
      <w:r w:rsidR="00516309" w:rsidRPr="00F97BAD">
        <w:t xml:space="preserve"> endoscopic remission compared to UST.</w:t>
      </w:r>
      <w:r w:rsidR="00E27BFC" w:rsidRPr="00F97BAD">
        <w:t xml:space="preserve"> See below.</w:t>
      </w:r>
    </w:p>
    <w:p w14:paraId="10288C56" w14:textId="6EF43CE3" w:rsidR="009262AD" w:rsidRPr="00083FDC" w:rsidRDefault="0043360C" w:rsidP="009262AD">
      <w:pPr>
        <w:pStyle w:val="3-BodyText"/>
      </w:pPr>
      <w:r>
        <w:t>To estimate the indirect treatment effects between GUS versus all PBS-li</w:t>
      </w:r>
      <w:r w:rsidR="00B96065">
        <w:t>s</w:t>
      </w:r>
      <w:r>
        <w:t>ted b/</w:t>
      </w:r>
      <w:proofErr w:type="spellStart"/>
      <w:r>
        <w:t>tsDMARDs</w:t>
      </w:r>
      <w:proofErr w:type="spellEnd"/>
      <w:r>
        <w:t xml:space="preserve">, the submission conducted both (i) </w:t>
      </w:r>
      <w:r w:rsidR="009262AD">
        <w:t xml:space="preserve">ITCs using the Bucher method and </w:t>
      </w:r>
      <w:r>
        <w:t xml:space="preserve">(ii) </w:t>
      </w:r>
      <w:r w:rsidR="009262AD">
        <w:t>a Bayesian NMA</w:t>
      </w:r>
      <w:r>
        <w:t>. The submission stated that an ‘Australian’ NMA was estimated by excluding b/</w:t>
      </w:r>
      <w:proofErr w:type="spellStart"/>
      <w:r>
        <w:t>tsDMARDs</w:t>
      </w:r>
      <w:proofErr w:type="spellEnd"/>
      <w:r>
        <w:t xml:space="preserve"> that are not currently PBS-listed from a ‘global’ NMA containing data for </w:t>
      </w:r>
      <w:r w:rsidR="009262AD">
        <w:t>IFX, ADA, UST, UPA, VDZ and GUS, as well as other</w:t>
      </w:r>
      <w:r>
        <w:t xml:space="preserve"> treatments with regulatory approval in other countrie</w:t>
      </w:r>
      <w:r w:rsidR="009262AD">
        <w:t>s (such as mirikizumab, risankizumab, certolizumab, n</w:t>
      </w:r>
      <w:r w:rsidR="009262AD" w:rsidRPr="00EC1D95">
        <w:t>atalizumab</w:t>
      </w:r>
      <w:r w:rsidR="009262AD">
        <w:t>)</w:t>
      </w:r>
      <w:r>
        <w:t xml:space="preserve">. </w:t>
      </w:r>
      <w:r w:rsidRPr="00F97BAD">
        <w:t>The submission did not provide any rationale for excluding non-relevant interventions when estimating the Australian NMA (given data for non-PBS-listed treatments may still improve inferences between PBS-listed treatments) or</w:t>
      </w:r>
      <w:r>
        <w:rPr>
          <w:i/>
          <w:iCs/>
        </w:rPr>
        <w:t xml:space="preserve"> </w:t>
      </w:r>
      <w:r w:rsidRPr="00F97BAD">
        <w:t xml:space="preserve">provide the results of the global NMA for comparison to assess the impact of removing data </w:t>
      </w:r>
      <w:r w:rsidR="009262AD" w:rsidRPr="00F97BAD">
        <w:t>(Cochrane handbook 2024</w:t>
      </w:r>
      <w:r w:rsidR="009262AD" w:rsidRPr="00F97BAD">
        <w:rPr>
          <w:rStyle w:val="FootnoteReference"/>
        </w:rPr>
        <w:footnoteReference w:id="8"/>
      </w:r>
      <w:r w:rsidR="009262AD" w:rsidRPr="00F97BAD">
        <w:t>).</w:t>
      </w:r>
    </w:p>
    <w:p w14:paraId="14B75DEE" w14:textId="27D84B12" w:rsidR="00516309" w:rsidRPr="00516309" w:rsidRDefault="00516309" w:rsidP="00516309">
      <w:pPr>
        <w:pStyle w:val="3-BodyText"/>
        <w:numPr>
          <w:ilvl w:val="0"/>
          <w:numId w:val="0"/>
        </w:numPr>
        <w:rPr>
          <w:u w:val="single"/>
        </w:rPr>
      </w:pPr>
      <w:r w:rsidRPr="00516309">
        <w:rPr>
          <w:u w:val="single"/>
        </w:rPr>
        <w:lastRenderedPageBreak/>
        <w:t>Head-to-head evidence</w:t>
      </w:r>
      <w:r w:rsidR="0043360C">
        <w:rPr>
          <w:u w:val="single"/>
        </w:rPr>
        <w:t xml:space="preserve"> for induction and maintenance treatment</w:t>
      </w:r>
      <w:r w:rsidRPr="00516309">
        <w:rPr>
          <w:u w:val="single"/>
        </w:rPr>
        <w:t>: GUS versus UST</w:t>
      </w:r>
    </w:p>
    <w:p w14:paraId="20B1BA1C" w14:textId="647230C1" w:rsidR="00473388" w:rsidRPr="00F97BAD" w:rsidRDefault="00066AE6" w:rsidP="00185675">
      <w:pPr>
        <w:pStyle w:val="3-BodyText"/>
        <w:spacing w:after="120"/>
      </w:pPr>
      <w:r>
        <w:fldChar w:fldCharType="begin"/>
      </w:r>
      <w:r>
        <w:instrText xml:space="preserve"> REF _Ref197675157 \h </w:instrText>
      </w:r>
      <w:r>
        <w:fldChar w:fldCharType="separate"/>
      </w:r>
      <w:r w:rsidR="000756FD">
        <w:t xml:space="preserve">Table </w:t>
      </w:r>
      <w:r w:rsidR="000756FD">
        <w:rPr>
          <w:noProof/>
        </w:rPr>
        <w:t>8</w:t>
      </w:r>
      <w:r>
        <w:fldChar w:fldCharType="end"/>
      </w:r>
      <w:r>
        <w:t xml:space="preserve"> </w:t>
      </w:r>
      <w:r w:rsidR="00516309">
        <w:t>presents the key outcomes of clinical remission, clinical response, endoscopic remission and endoscopic response for induction and maintenance in GALAXI 1, GALAXI 2 and GALAXI 3 comparing GUS to UST.</w:t>
      </w:r>
      <w:r w:rsidR="00473388">
        <w:t xml:space="preserve"> </w:t>
      </w:r>
      <w:r w:rsidR="00473388">
        <w:fldChar w:fldCharType="begin"/>
      </w:r>
      <w:r w:rsidR="00473388">
        <w:instrText xml:space="preserve"> REF _Ref197675218 \h </w:instrText>
      </w:r>
      <w:r w:rsidR="00473388">
        <w:fldChar w:fldCharType="separate"/>
      </w:r>
      <w:r w:rsidR="000756FD">
        <w:t xml:space="preserve">Figure </w:t>
      </w:r>
      <w:r w:rsidR="000756FD">
        <w:rPr>
          <w:noProof/>
        </w:rPr>
        <w:t>1</w:t>
      </w:r>
      <w:r w:rsidR="00473388">
        <w:fldChar w:fldCharType="end"/>
      </w:r>
      <w:r w:rsidR="00473388">
        <w:t xml:space="preserve"> presents </w:t>
      </w:r>
      <w:r w:rsidR="00A356AB">
        <w:t xml:space="preserve">the </w:t>
      </w:r>
      <w:r w:rsidR="00473388">
        <w:t>proportion of patients in each trial with clinical remission by study visit to Week 48.</w:t>
      </w:r>
      <w:r w:rsidR="00A03452">
        <w:t xml:space="preserve"> </w:t>
      </w:r>
      <w:r w:rsidR="00A03452" w:rsidRPr="00F97BAD">
        <w:t xml:space="preserve">The table </w:t>
      </w:r>
      <w:r w:rsidR="005A428D" w:rsidRPr="00F97BAD">
        <w:t>presents results including and excluding GALAXI 1 from the meta-analysis</w:t>
      </w:r>
      <w:r w:rsidR="00A356AB" w:rsidRPr="00F97BAD">
        <w:t>,</w:t>
      </w:r>
      <w:r w:rsidR="005A428D" w:rsidRPr="00F97BAD">
        <w:t xml:space="preserve"> as results were inconsistently </w:t>
      </w:r>
      <w:r w:rsidR="00A03452" w:rsidRPr="00F97BAD">
        <w:t xml:space="preserve">applied </w:t>
      </w:r>
      <w:r w:rsidR="005A428D" w:rsidRPr="00F97BAD">
        <w:t>in the modelled economic evaluation. The rationale for excluding GALAXI 1 from</w:t>
      </w:r>
      <w:r w:rsidR="00A356AB" w:rsidRPr="00F97BAD">
        <w:t xml:space="preserve"> the</w:t>
      </w:r>
      <w:r w:rsidR="005A428D" w:rsidRPr="00F97BAD">
        <w:t xml:space="preserve"> maintenance phase results was due to the different induction doses used (despite no difference in effectiveness observed).</w:t>
      </w:r>
    </w:p>
    <w:p w14:paraId="72EF5121" w14:textId="751C8B7E" w:rsidR="00516309" w:rsidRPr="002D158B" w:rsidRDefault="00066AE6" w:rsidP="00185675">
      <w:pPr>
        <w:pStyle w:val="Caption"/>
        <w:rPr>
          <w:b w:val="0"/>
          <w:bCs w:val="0"/>
        </w:rPr>
      </w:pPr>
      <w:bookmarkStart w:id="29" w:name="_Ref197675157"/>
      <w:r>
        <w:t xml:space="preserve">Table </w:t>
      </w:r>
      <w:r w:rsidR="00DC5F25">
        <w:fldChar w:fldCharType="begin"/>
      </w:r>
      <w:r w:rsidR="00DC5F25">
        <w:instrText xml:space="preserve"> SEQ Table \* ARABIC </w:instrText>
      </w:r>
      <w:r w:rsidR="00DC5F25">
        <w:fldChar w:fldCharType="separate"/>
      </w:r>
      <w:r w:rsidR="000756FD">
        <w:rPr>
          <w:noProof/>
        </w:rPr>
        <w:t>8</w:t>
      </w:r>
      <w:r w:rsidR="00DC5F25">
        <w:rPr>
          <w:noProof/>
        </w:rPr>
        <w:fldChar w:fldCharType="end"/>
      </w:r>
      <w:bookmarkEnd w:id="29"/>
      <w:r w:rsidRPr="002D158B">
        <w:t>:</w:t>
      </w:r>
      <w:r w:rsidR="00516309" w:rsidRPr="002D158B">
        <w:t xml:space="preserve"> </w:t>
      </w:r>
      <w:r w:rsidR="00473388" w:rsidRPr="002D158B">
        <w:t>Summary of h</w:t>
      </w:r>
      <w:r w:rsidR="00516309" w:rsidRPr="002D158B">
        <w:t>ead-to-head evidence: GUS vs UST (GALAXI 1, GALAXI 2 and GALAXI 3)</w:t>
      </w:r>
    </w:p>
    <w:tbl>
      <w:tblPr>
        <w:tblStyle w:val="TableGrid"/>
        <w:tblW w:w="0" w:type="auto"/>
        <w:tblCellMar>
          <w:left w:w="28" w:type="dxa"/>
          <w:right w:w="28" w:type="dxa"/>
        </w:tblCellMar>
        <w:tblLook w:val="04A0" w:firstRow="1" w:lastRow="0" w:firstColumn="1" w:lastColumn="0" w:noHBand="0" w:noVBand="1"/>
        <w:tblCaption w:val="Table 8: Summary of head-to-head evidence: GUS vs UST (GALAXI 1, GALAXI 2 and GALAXI 3)"/>
      </w:tblPr>
      <w:tblGrid>
        <w:gridCol w:w="2689"/>
        <w:gridCol w:w="1134"/>
        <w:gridCol w:w="1134"/>
        <w:gridCol w:w="1353"/>
        <w:gridCol w:w="1353"/>
        <w:gridCol w:w="1353"/>
      </w:tblGrid>
      <w:tr w:rsidR="00516309" w:rsidRPr="002D158B" w14:paraId="4ED158AB" w14:textId="77777777" w:rsidTr="00286E68">
        <w:tc>
          <w:tcPr>
            <w:tcW w:w="2689" w:type="dxa"/>
            <w:tcBorders>
              <w:bottom w:val="single" w:sz="4" w:space="0" w:color="auto"/>
            </w:tcBorders>
          </w:tcPr>
          <w:p w14:paraId="62084723" w14:textId="77777777" w:rsidR="00516309" w:rsidRPr="002D158B" w:rsidRDefault="00516309" w:rsidP="00185675">
            <w:pPr>
              <w:keepNext/>
              <w:keepLines/>
              <w:rPr>
                <w:rFonts w:ascii="Arial Narrow" w:hAnsi="Arial Narrow"/>
                <w:sz w:val="20"/>
              </w:rPr>
            </w:pPr>
          </w:p>
        </w:tc>
        <w:tc>
          <w:tcPr>
            <w:tcW w:w="1134" w:type="dxa"/>
            <w:tcBorders>
              <w:bottom w:val="single" w:sz="4" w:space="0" w:color="auto"/>
            </w:tcBorders>
            <w:vAlign w:val="center"/>
          </w:tcPr>
          <w:p w14:paraId="729DF622"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GUS</w:t>
            </w:r>
          </w:p>
        </w:tc>
        <w:tc>
          <w:tcPr>
            <w:tcW w:w="1134" w:type="dxa"/>
            <w:tcBorders>
              <w:bottom w:val="single" w:sz="4" w:space="0" w:color="auto"/>
            </w:tcBorders>
            <w:vAlign w:val="center"/>
          </w:tcPr>
          <w:p w14:paraId="30F87030"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UST</w:t>
            </w:r>
          </w:p>
        </w:tc>
        <w:tc>
          <w:tcPr>
            <w:tcW w:w="1353" w:type="dxa"/>
            <w:tcBorders>
              <w:bottom w:val="single" w:sz="4" w:space="0" w:color="auto"/>
            </w:tcBorders>
            <w:vAlign w:val="center"/>
          </w:tcPr>
          <w:p w14:paraId="45F4A266"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OR</w:t>
            </w:r>
          </w:p>
        </w:tc>
        <w:tc>
          <w:tcPr>
            <w:tcW w:w="1353" w:type="dxa"/>
            <w:tcBorders>
              <w:bottom w:val="single" w:sz="4" w:space="0" w:color="auto"/>
            </w:tcBorders>
            <w:vAlign w:val="center"/>
          </w:tcPr>
          <w:p w14:paraId="55070F66"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RR</w:t>
            </w:r>
          </w:p>
        </w:tc>
        <w:tc>
          <w:tcPr>
            <w:tcW w:w="1353" w:type="dxa"/>
            <w:tcBorders>
              <w:bottom w:val="single" w:sz="4" w:space="0" w:color="auto"/>
            </w:tcBorders>
            <w:vAlign w:val="center"/>
          </w:tcPr>
          <w:p w14:paraId="0AE6AEEC"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RD</w:t>
            </w:r>
          </w:p>
        </w:tc>
      </w:tr>
      <w:tr w:rsidR="00516309" w:rsidRPr="002D158B" w14:paraId="785911EA" w14:textId="77777777" w:rsidTr="00286E68">
        <w:tc>
          <w:tcPr>
            <w:tcW w:w="2689" w:type="dxa"/>
            <w:tcBorders>
              <w:bottom w:val="nil"/>
            </w:tcBorders>
          </w:tcPr>
          <w:p w14:paraId="50437628" w14:textId="77777777" w:rsidR="00516309" w:rsidRPr="002D158B" w:rsidRDefault="00516309" w:rsidP="00185675">
            <w:pPr>
              <w:keepNext/>
              <w:keepLines/>
              <w:rPr>
                <w:rFonts w:ascii="Arial Narrow" w:hAnsi="Arial Narrow"/>
                <w:b/>
                <w:bCs/>
                <w:sz w:val="20"/>
              </w:rPr>
            </w:pPr>
            <w:r w:rsidRPr="002D158B">
              <w:rPr>
                <w:rFonts w:ascii="Arial Narrow" w:hAnsi="Arial Narrow"/>
                <w:b/>
                <w:bCs/>
                <w:sz w:val="20"/>
              </w:rPr>
              <w:t>Induction, GUS IV vs UST IV</w:t>
            </w:r>
          </w:p>
        </w:tc>
        <w:tc>
          <w:tcPr>
            <w:tcW w:w="1134" w:type="dxa"/>
            <w:tcBorders>
              <w:bottom w:val="nil"/>
            </w:tcBorders>
            <w:vAlign w:val="center"/>
          </w:tcPr>
          <w:p w14:paraId="4718B4CC" w14:textId="77777777" w:rsidR="00516309" w:rsidRPr="002D158B" w:rsidRDefault="00516309" w:rsidP="00185675">
            <w:pPr>
              <w:keepNext/>
              <w:keepLines/>
              <w:jc w:val="center"/>
              <w:rPr>
                <w:rFonts w:ascii="Arial Narrow" w:hAnsi="Arial Narrow"/>
                <w:b/>
                <w:bCs/>
                <w:sz w:val="20"/>
              </w:rPr>
            </w:pPr>
          </w:p>
        </w:tc>
        <w:tc>
          <w:tcPr>
            <w:tcW w:w="1134" w:type="dxa"/>
            <w:tcBorders>
              <w:bottom w:val="nil"/>
            </w:tcBorders>
            <w:vAlign w:val="center"/>
          </w:tcPr>
          <w:p w14:paraId="19DCCEE7" w14:textId="77777777" w:rsidR="00516309" w:rsidRPr="002D158B" w:rsidRDefault="00516309" w:rsidP="00185675">
            <w:pPr>
              <w:keepNext/>
              <w:keepLines/>
              <w:jc w:val="center"/>
              <w:rPr>
                <w:rFonts w:ascii="Arial Narrow" w:hAnsi="Arial Narrow"/>
                <w:b/>
                <w:bCs/>
                <w:sz w:val="20"/>
              </w:rPr>
            </w:pPr>
          </w:p>
        </w:tc>
        <w:tc>
          <w:tcPr>
            <w:tcW w:w="1353" w:type="dxa"/>
            <w:tcBorders>
              <w:bottom w:val="nil"/>
            </w:tcBorders>
            <w:vAlign w:val="center"/>
          </w:tcPr>
          <w:p w14:paraId="46FA30C2" w14:textId="77777777" w:rsidR="00516309" w:rsidRPr="002D158B" w:rsidRDefault="00516309" w:rsidP="00185675">
            <w:pPr>
              <w:keepNext/>
              <w:keepLines/>
              <w:jc w:val="center"/>
              <w:rPr>
                <w:rFonts w:ascii="Arial Narrow" w:hAnsi="Arial Narrow"/>
                <w:b/>
                <w:bCs/>
                <w:sz w:val="20"/>
              </w:rPr>
            </w:pPr>
          </w:p>
        </w:tc>
        <w:tc>
          <w:tcPr>
            <w:tcW w:w="1353" w:type="dxa"/>
            <w:tcBorders>
              <w:bottom w:val="nil"/>
            </w:tcBorders>
            <w:vAlign w:val="center"/>
          </w:tcPr>
          <w:p w14:paraId="072D6F34" w14:textId="77777777" w:rsidR="00516309" w:rsidRPr="002D158B" w:rsidRDefault="00516309" w:rsidP="00185675">
            <w:pPr>
              <w:keepNext/>
              <w:keepLines/>
              <w:jc w:val="center"/>
              <w:rPr>
                <w:rFonts w:ascii="Arial Narrow" w:hAnsi="Arial Narrow"/>
                <w:b/>
                <w:bCs/>
                <w:sz w:val="20"/>
              </w:rPr>
            </w:pPr>
          </w:p>
        </w:tc>
        <w:tc>
          <w:tcPr>
            <w:tcW w:w="1353" w:type="dxa"/>
            <w:tcBorders>
              <w:bottom w:val="nil"/>
            </w:tcBorders>
            <w:vAlign w:val="center"/>
          </w:tcPr>
          <w:p w14:paraId="750FC081" w14:textId="77777777" w:rsidR="00516309" w:rsidRPr="002D158B" w:rsidRDefault="00516309" w:rsidP="00185675">
            <w:pPr>
              <w:keepNext/>
              <w:keepLines/>
              <w:jc w:val="center"/>
              <w:rPr>
                <w:rFonts w:ascii="Arial Narrow" w:hAnsi="Arial Narrow"/>
                <w:b/>
                <w:bCs/>
                <w:sz w:val="20"/>
              </w:rPr>
            </w:pPr>
          </w:p>
        </w:tc>
      </w:tr>
      <w:tr w:rsidR="00516309" w:rsidRPr="002D158B" w14:paraId="6B27CB2A" w14:textId="77777777" w:rsidTr="00286E68">
        <w:tc>
          <w:tcPr>
            <w:tcW w:w="2689" w:type="dxa"/>
            <w:tcBorders>
              <w:top w:val="nil"/>
              <w:bottom w:val="nil"/>
            </w:tcBorders>
          </w:tcPr>
          <w:p w14:paraId="0C11445C" w14:textId="77777777" w:rsidR="00516309" w:rsidRPr="002D158B" w:rsidRDefault="00516309" w:rsidP="00185675">
            <w:pPr>
              <w:keepNext/>
              <w:keepLines/>
              <w:ind w:left="109"/>
              <w:rPr>
                <w:rFonts w:ascii="Arial Narrow" w:hAnsi="Arial Narrow"/>
                <w:b/>
                <w:bCs/>
                <w:sz w:val="20"/>
              </w:rPr>
            </w:pPr>
            <w:r w:rsidRPr="002D158B">
              <w:rPr>
                <w:rFonts w:ascii="Arial Narrow" w:hAnsi="Arial Narrow"/>
                <w:b/>
                <w:bCs/>
                <w:sz w:val="20"/>
              </w:rPr>
              <w:t>Clinical remission (Wk12)</w:t>
            </w:r>
          </w:p>
        </w:tc>
        <w:tc>
          <w:tcPr>
            <w:tcW w:w="1134" w:type="dxa"/>
            <w:tcBorders>
              <w:top w:val="nil"/>
              <w:bottom w:val="nil"/>
            </w:tcBorders>
            <w:vAlign w:val="center"/>
          </w:tcPr>
          <w:p w14:paraId="0D7824C3"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55270E2D"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5657BD2C"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7F011F3E"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69187AB1" w14:textId="77777777" w:rsidR="00516309" w:rsidRPr="002D158B" w:rsidRDefault="00516309" w:rsidP="00185675">
            <w:pPr>
              <w:keepNext/>
              <w:keepLines/>
              <w:jc w:val="center"/>
              <w:rPr>
                <w:rFonts w:ascii="Arial Narrow" w:hAnsi="Arial Narrow"/>
                <w:sz w:val="20"/>
              </w:rPr>
            </w:pPr>
          </w:p>
        </w:tc>
      </w:tr>
      <w:tr w:rsidR="00516309" w:rsidRPr="002D158B" w14:paraId="2F4239EB" w14:textId="77777777" w:rsidTr="00286E68">
        <w:tc>
          <w:tcPr>
            <w:tcW w:w="2689" w:type="dxa"/>
            <w:tcBorders>
              <w:top w:val="nil"/>
              <w:bottom w:val="nil"/>
            </w:tcBorders>
          </w:tcPr>
          <w:p w14:paraId="70A9F58D" w14:textId="2BEA53B1"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w:t>
            </w:r>
            <w:r w:rsidR="00C74692" w:rsidRPr="002D158B">
              <w:rPr>
                <w:rFonts w:ascii="Arial Narrow" w:hAnsi="Arial Narrow"/>
                <w:sz w:val="20"/>
              </w:rPr>
              <w:t>analyses</w:t>
            </w:r>
          </w:p>
        </w:tc>
        <w:tc>
          <w:tcPr>
            <w:tcW w:w="1134" w:type="dxa"/>
            <w:tcBorders>
              <w:top w:val="nil"/>
              <w:bottom w:val="nil"/>
            </w:tcBorders>
            <w:vAlign w:val="center"/>
          </w:tcPr>
          <w:p w14:paraId="433E269F"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309/643 (48.1)</w:t>
            </w:r>
          </w:p>
        </w:tc>
        <w:tc>
          <w:tcPr>
            <w:tcW w:w="1134" w:type="dxa"/>
            <w:tcBorders>
              <w:top w:val="nil"/>
              <w:bottom w:val="nil"/>
            </w:tcBorders>
            <w:vAlign w:val="center"/>
          </w:tcPr>
          <w:p w14:paraId="425C7A1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166/354 (46.9)</w:t>
            </w:r>
          </w:p>
        </w:tc>
        <w:tc>
          <w:tcPr>
            <w:tcW w:w="1353" w:type="dxa"/>
            <w:tcBorders>
              <w:top w:val="nil"/>
              <w:bottom w:val="nil"/>
            </w:tcBorders>
            <w:vAlign w:val="center"/>
          </w:tcPr>
          <w:p w14:paraId="70C51733"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1.08 (0.80, 1.44)</w:t>
            </w:r>
          </w:p>
        </w:tc>
        <w:tc>
          <w:tcPr>
            <w:tcW w:w="1353" w:type="dxa"/>
            <w:tcBorders>
              <w:top w:val="nil"/>
              <w:bottom w:val="nil"/>
            </w:tcBorders>
            <w:vAlign w:val="center"/>
          </w:tcPr>
          <w:p w14:paraId="541804F9"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(0.89, 1.21)</w:t>
            </w:r>
          </w:p>
        </w:tc>
        <w:tc>
          <w:tcPr>
            <w:tcW w:w="1353" w:type="dxa"/>
            <w:tcBorders>
              <w:top w:val="nil"/>
              <w:bottom w:val="nil"/>
            </w:tcBorders>
            <w:vAlign w:val="center"/>
          </w:tcPr>
          <w:p w14:paraId="3883B1A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0.02 (-0.05, 0.09)</w:t>
            </w:r>
          </w:p>
        </w:tc>
      </w:tr>
      <w:tr w:rsidR="00516309" w:rsidRPr="002D158B" w14:paraId="506D0A36" w14:textId="77777777" w:rsidTr="00286E68">
        <w:tc>
          <w:tcPr>
            <w:tcW w:w="2689" w:type="dxa"/>
            <w:tcBorders>
              <w:top w:val="nil"/>
              <w:bottom w:val="nil"/>
            </w:tcBorders>
          </w:tcPr>
          <w:p w14:paraId="1AB4AA57" w14:textId="77777777" w:rsidR="00516309" w:rsidRPr="002D158B" w:rsidRDefault="00516309" w:rsidP="00185675">
            <w:pPr>
              <w:keepNext/>
              <w:keepLines/>
              <w:ind w:left="109"/>
              <w:rPr>
                <w:rFonts w:ascii="Arial Narrow" w:hAnsi="Arial Narrow"/>
                <w:b/>
                <w:bCs/>
                <w:sz w:val="20"/>
              </w:rPr>
            </w:pPr>
            <w:r w:rsidRPr="002D158B">
              <w:rPr>
                <w:rFonts w:ascii="Arial Narrow" w:hAnsi="Arial Narrow"/>
                <w:b/>
                <w:bCs/>
                <w:sz w:val="20"/>
              </w:rPr>
              <w:t>Clinical response (Wk12)</w:t>
            </w:r>
          </w:p>
        </w:tc>
        <w:tc>
          <w:tcPr>
            <w:tcW w:w="1134" w:type="dxa"/>
            <w:tcBorders>
              <w:top w:val="nil"/>
              <w:bottom w:val="nil"/>
            </w:tcBorders>
            <w:vAlign w:val="center"/>
          </w:tcPr>
          <w:p w14:paraId="1FF78767"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76122BF1"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322CBF3A"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79B0E584"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1261E3CE" w14:textId="77777777" w:rsidR="00516309" w:rsidRPr="002D158B" w:rsidRDefault="00516309" w:rsidP="00185675">
            <w:pPr>
              <w:keepNext/>
              <w:keepLines/>
              <w:jc w:val="center"/>
              <w:rPr>
                <w:rFonts w:ascii="Arial Narrow" w:hAnsi="Arial Narrow"/>
                <w:sz w:val="20"/>
              </w:rPr>
            </w:pPr>
          </w:p>
        </w:tc>
      </w:tr>
      <w:tr w:rsidR="00516309" w:rsidRPr="002D158B" w14:paraId="0A01EA4C" w14:textId="77777777" w:rsidTr="00286E68">
        <w:tc>
          <w:tcPr>
            <w:tcW w:w="2689" w:type="dxa"/>
            <w:tcBorders>
              <w:top w:val="nil"/>
              <w:bottom w:val="single" w:sz="4" w:space="0" w:color="auto"/>
            </w:tcBorders>
          </w:tcPr>
          <w:p w14:paraId="022D9230"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single" w:sz="4" w:space="0" w:color="auto"/>
            </w:tcBorders>
          </w:tcPr>
          <w:p w14:paraId="294DE36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406/643 (63.1)</w:t>
            </w:r>
          </w:p>
        </w:tc>
        <w:tc>
          <w:tcPr>
            <w:tcW w:w="1134" w:type="dxa"/>
            <w:tcBorders>
              <w:top w:val="nil"/>
              <w:bottom w:val="single" w:sz="4" w:space="0" w:color="auto"/>
            </w:tcBorders>
          </w:tcPr>
          <w:p w14:paraId="2C18AC9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213/354 (60.2)</w:t>
            </w:r>
          </w:p>
        </w:tc>
        <w:tc>
          <w:tcPr>
            <w:tcW w:w="1353" w:type="dxa"/>
            <w:tcBorders>
              <w:top w:val="nil"/>
              <w:bottom w:val="single" w:sz="4" w:space="0" w:color="auto"/>
            </w:tcBorders>
          </w:tcPr>
          <w:p w14:paraId="49A2487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1.17 (0.89, 1.53)</w:t>
            </w:r>
          </w:p>
        </w:tc>
        <w:tc>
          <w:tcPr>
            <w:tcW w:w="1353" w:type="dxa"/>
            <w:tcBorders>
              <w:top w:val="nil"/>
              <w:bottom w:val="single" w:sz="4" w:space="0" w:color="auto"/>
            </w:tcBorders>
          </w:tcPr>
          <w:p w14:paraId="71C1EF3D"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1.06 (0.96, 1.18)</w:t>
            </w:r>
          </w:p>
        </w:tc>
        <w:tc>
          <w:tcPr>
            <w:tcW w:w="1353" w:type="dxa"/>
            <w:tcBorders>
              <w:top w:val="nil"/>
              <w:bottom w:val="single" w:sz="4" w:space="0" w:color="auto"/>
            </w:tcBorders>
          </w:tcPr>
          <w:p w14:paraId="3803EF59"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(-0.03, 0.1)</w:t>
            </w:r>
          </w:p>
        </w:tc>
      </w:tr>
      <w:tr w:rsidR="00516309" w:rsidRPr="002D158B" w14:paraId="1679FDB2" w14:textId="77777777" w:rsidTr="00286E68">
        <w:tc>
          <w:tcPr>
            <w:tcW w:w="2689" w:type="dxa"/>
            <w:tcBorders>
              <w:bottom w:val="nil"/>
            </w:tcBorders>
          </w:tcPr>
          <w:p w14:paraId="06862B99" w14:textId="77777777" w:rsidR="00516309" w:rsidRPr="002D158B" w:rsidRDefault="00516309" w:rsidP="00185675">
            <w:pPr>
              <w:keepNext/>
              <w:keepLines/>
              <w:rPr>
                <w:rFonts w:ascii="Arial Narrow" w:hAnsi="Arial Narrow"/>
                <w:b/>
                <w:bCs/>
                <w:sz w:val="20"/>
              </w:rPr>
            </w:pPr>
            <w:r w:rsidRPr="002D158B">
              <w:rPr>
                <w:rFonts w:ascii="Arial Narrow" w:hAnsi="Arial Narrow"/>
                <w:b/>
                <w:bCs/>
                <w:sz w:val="20"/>
              </w:rPr>
              <w:t>Maintenance, GUS 100 vs UST 90</w:t>
            </w:r>
          </w:p>
        </w:tc>
        <w:tc>
          <w:tcPr>
            <w:tcW w:w="1134" w:type="dxa"/>
            <w:tcBorders>
              <w:bottom w:val="nil"/>
            </w:tcBorders>
            <w:vAlign w:val="center"/>
          </w:tcPr>
          <w:p w14:paraId="644332B8" w14:textId="77777777" w:rsidR="00516309" w:rsidRPr="002D158B" w:rsidRDefault="00516309" w:rsidP="00185675">
            <w:pPr>
              <w:keepNext/>
              <w:keepLines/>
              <w:jc w:val="center"/>
              <w:rPr>
                <w:rFonts w:ascii="Arial Narrow" w:hAnsi="Arial Narrow"/>
                <w:sz w:val="20"/>
              </w:rPr>
            </w:pPr>
          </w:p>
        </w:tc>
        <w:tc>
          <w:tcPr>
            <w:tcW w:w="1134" w:type="dxa"/>
            <w:tcBorders>
              <w:bottom w:val="nil"/>
            </w:tcBorders>
            <w:vAlign w:val="center"/>
          </w:tcPr>
          <w:p w14:paraId="00FDA825" w14:textId="77777777" w:rsidR="00516309" w:rsidRPr="002D158B" w:rsidRDefault="00516309" w:rsidP="00185675">
            <w:pPr>
              <w:keepNext/>
              <w:keepLines/>
              <w:jc w:val="center"/>
              <w:rPr>
                <w:rFonts w:ascii="Arial Narrow" w:hAnsi="Arial Narrow"/>
                <w:sz w:val="20"/>
              </w:rPr>
            </w:pPr>
          </w:p>
        </w:tc>
        <w:tc>
          <w:tcPr>
            <w:tcW w:w="1353" w:type="dxa"/>
            <w:tcBorders>
              <w:bottom w:val="nil"/>
            </w:tcBorders>
            <w:vAlign w:val="center"/>
          </w:tcPr>
          <w:p w14:paraId="1E284B1E" w14:textId="77777777" w:rsidR="00516309" w:rsidRPr="002D158B" w:rsidRDefault="00516309" w:rsidP="00185675">
            <w:pPr>
              <w:keepNext/>
              <w:keepLines/>
              <w:jc w:val="center"/>
              <w:rPr>
                <w:rFonts w:ascii="Arial Narrow" w:hAnsi="Arial Narrow"/>
                <w:sz w:val="20"/>
              </w:rPr>
            </w:pPr>
          </w:p>
        </w:tc>
        <w:tc>
          <w:tcPr>
            <w:tcW w:w="1353" w:type="dxa"/>
            <w:tcBorders>
              <w:bottom w:val="nil"/>
            </w:tcBorders>
            <w:vAlign w:val="center"/>
          </w:tcPr>
          <w:p w14:paraId="0AD66FCE" w14:textId="77777777" w:rsidR="00516309" w:rsidRPr="002D158B" w:rsidRDefault="00516309" w:rsidP="00185675">
            <w:pPr>
              <w:keepNext/>
              <w:keepLines/>
              <w:jc w:val="center"/>
              <w:rPr>
                <w:rFonts w:ascii="Arial Narrow" w:hAnsi="Arial Narrow"/>
                <w:sz w:val="20"/>
              </w:rPr>
            </w:pPr>
          </w:p>
        </w:tc>
        <w:tc>
          <w:tcPr>
            <w:tcW w:w="1353" w:type="dxa"/>
            <w:tcBorders>
              <w:bottom w:val="nil"/>
            </w:tcBorders>
            <w:vAlign w:val="center"/>
          </w:tcPr>
          <w:p w14:paraId="5F8BEFC3" w14:textId="77777777" w:rsidR="00516309" w:rsidRPr="002D158B" w:rsidRDefault="00516309" w:rsidP="00185675">
            <w:pPr>
              <w:keepNext/>
              <w:keepLines/>
              <w:jc w:val="center"/>
              <w:rPr>
                <w:rFonts w:ascii="Arial Narrow" w:hAnsi="Arial Narrow"/>
                <w:sz w:val="20"/>
              </w:rPr>
            </w:pPr>
          </w:p>
        </w:tc>
      </w:tr>
      <w:tr w:rsidR="00516309" w:rsidRPr="002D158B" w14:paraId="00665476" w14:textId="77777777" w:rsidTr="00286E68">
        <w:trPr>
          <w:trHeight w:val="60"/>
        </w:trPr>
        <w:tc>
          <w:tcPr>
            <w:tcW w:w="2689" w:type="dxa"/>
            <w:tcBorders>
              <w:top w:val="nil"/>
              <w:bottom w:val="nil"/>
            </w:tcBorders>
          </w:tcPr>
          <w:p w14:paraId="61065C65"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Clinical remission (Wk48)</w:t>
            </w:r>
          </w:p>
        </w:tc>
        <w:tc>
          <w:tcPr>
            <w:tcW w:w="1134" w:type="dxa"/>
            <w:tcBorders>
              <w:top w:val="nil"/>
              <w:bottom w:val="nil"/>
            </w:tcBorders>
            <w:vAlign w:val="center"/>
          </w:tcPr>
          <w:p w14:paraId="4C137A83"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224FDC0B"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6CB94D6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1BDBB6EC"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57054649" w14:textId="77777777" w:rsidR="00516309" w:rsidRPr="002D158B" w:rsidRDefault="00516309" w:rsidP="00185675">
            <w:pPr>
              <w:keepNext/>
              <w:keepLines/>
              <w:jc w:val="center"/>
              <w:rPr>
                <w:rFonts w:ascii="Arial Narrow" w:hAnsi="Arial Narrow"/>
                <w:sz w:val="20"/>
              </w:rPr>
            </w:pPr>
          </w:p>
        </w:tc>
      </w:tr>
      <w:tr w:rsidR="00516309" w:rsidRPr="002D158B" w14:paraId="479B562B" w14:textId="77777777" w:rsidTr="00286E68">
        <w:tc>
          <w:tcPr>
            <w:tcW w:w="2689" w:type="dxa"/>
            <w:tcBorders>
              <w:top w:val="nil"/>
              <w:bottom w:val="nil"/>
            </w:tcBorders>
          </w:tcPr>
          <w:p w14:paraId="70C2E298"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7F7BD61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226/347 (65.1)</w:t>
            </w:r>
          </w:p>
        </w:tc>
        <w:tc>
          <w:tcPr>
            <w:tcW w:w="1134" w:type="dxa"/>
            <w:tcBorders>
              <w:top w:val="nil"/>
              <w:bottom w:val="nil"/>
            </w:tcBorders>
          </w:tcPr>
          <w:p w14:paraId="4CD1BFD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220/354 (62.1)</w:t>
            </w:r>
          </w:p>
        </w:tc>
        <w:tc>
          <w:tcPr>
            <w:tcW w:w="1353" w:type="dxa"/>
            <w:tcBorders>
              <w:top w:val="nil"/>
              <w:bottom w:val="nil"/>
            </w:tcBorders>
          </w:tcPr>
          <w:p w14:paraId="25B8B86D"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1.14 (0.84, 1.55)</w:t>
            </w:r>
          </w:p>
        </w:tc>
        <w:tc>
          <w:tcPr>
            <w:tcW w:w="1353" w:type="dxa"/>
            <w:tcBorders>
              <w:top w:val="nil"/>
              <w:bottom w:val="nil"/>
            </w:tcBorders>
          </w:tcPr>
          <w:p w14:paraId="3A87FEF8"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1.05 (0.94, 1.17)</w:t>
            </w:r>
          </w:p>
        </w:tc>
        <w:tc>
          <w:tcPr>
            <w:tcW w:w="1353" w:type="dxa"/>
            <w:tcBorders>
              <w:top w:val="nil"/>
              <w:bottom w:val="nil"/>
            </w:tcBorders>
          </w:tcPr>
          <w:p w14:paraId="0E4D53F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0.03 (-0.04, 0.1)</w:t>
            </w:r>
          </w:p>
        </w:tc>
      </w:tr>
      <w:tr w:rsidR="00516309" w:rsidRPr="002D158B" w14:paraId="08BF34A5" w14:textId="77777777" w:rsidTr="00286E68">
        <w:tc>
          <w:tcPr>
            <w:tcW w:w="2689" w:type="dxa"/>
            <w:tcBorders>
              <w:top w:val="nil"/>
              <w:bottom w:val="nil"/>
            </w:tcBorders>
          </w:tcPr>
          <w:p w14:paraId="2D4579E0"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tcPr>
          <w:p w14:paraId="5D61607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187/286 (65.4)</w:t>
            </w:r>
          </w:p>
        </w:tc>
        <w:tc>
          <w:tcPr>
            <w:tcW w:w="1134" w:type="dxa"/>
            <w:tcBorders>
              <w:top w:val="nil"/>
              <w:bottom w:val="nil"/>
            </w:tcBorders>
          </w:tcPr>
          <w:p w14:paraId="7BBD8F43"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183/291 (62.9)</w:t>
            </w:r>
          </w:p>
        </w:tc>
        <w:tc>
          <w:tcPr>
            <w:tcW w:w="1353" w:type="dxa"/>
            <w:tcBorders>
              <w:top w:val="nil"/>
              <w:bottom w:val="nil"/>
            </w:tcBorders>
          </w:tcPr>
          <w:p w14:paraId="322DF0B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1.11 (0.79, 1.57)</w:t>
            </w:r>
          </w:p>
        </w:tc>
        <w:tc>
          <w:tcPr>
            <w:tcW w:w="1353" w:type="dxa"/>
            <w:tcBorders>
              <w:top w:val="nil"/>
              <w:bottom w:val="nil"/>
            </w:tcBorders>
          </w:tcPr>
          <w:p w14:paraId="27790549"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(0.92, 1.17)</w:t>
            </w:r>
          </w:p>
        </w:tc>
        <w:tc>
          <w:tcPr>
            <w:tcW w:w="1353" w:type="dxa"/>
            <w:tcBorders>
              <w:top w:val="nil"/>
              <w:bottom w:val="nil"/>
            </w:tcBorders>
          </w:tcPr>
          <w:p w14:paraId="68CC82B4"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0.02 (-0.05,0.10)</w:t>
            </w:r>
          </w:p>
        </w:tc>
      </w:tr>
      <w:tr w:rsidR="00516309" w:rsidRPr="002D158B" w14:paraId="5166C5DF" w14:textId="77777777" w:rsidTr="00286E68">
        <w:tc>
          <w:tcPr>
            <w:tcW w:w="2689" w:type="dxa"/>
            <w:tcBorders>
              <w:top w:val="nil"/>
              <w:bottom w:val="nil"/>
            </w:tcBorders>
          </w:tcPr>
          <w:p w14:paraId="2A535E15"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Clinical response (Wk48)</w:t>
            </w:r>
          </w:p>
        </w:tc>
        <w:tc>
          <w:tcPr>
            <w:tcW w:w="1134" w:type="dxa"/>
            <w:tcBorders>
              <w:top w:val="nil"/>
              <w:bottom w:val="nil"/>
            </w:tcBorders>
            <w:vAlign w:val="center"/>
          </w:tcPr>
          <w:p w14:paraId="5B4D11AF"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36AC606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0DFB5CF6"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7F2A016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09851441" w14:textId="77777777" w:rsidR="00516309" w:rsidRPr="002D158B" w:rsidRDefault="00516309" w:rsidP="00185675">
            <w:pPr>
              <w:keepNext/>
              <w:keepLines/>
              <w:jc w:val="center"/>
              <w:rPr>
                <w:rFonts w:ascii="Arial Narrow" w:hAnsi="Arial Narrow"/>
                <w:sz w:val="20"/>
              </w:rPr>
            </w:pPr>
          </w:p>
        </w:tc>
      </w:tr>
      <w:tr w:rsidR="00516309" w:rsidRPr="002D158B" w14:paraId="28174770" w14:textId="77777777" w:rsidTr="00286E68">
        <w:tc>
          <w:tcPr>
            <w:tcW w:w="2689" w:type="dxa"/>
            <w:tcBorders>
              <w:top w:val="nil"/>
              <w:bottom w:val="nil"/>
            </w:tcBorders>
          </w:tcPr>
          <w:p w14:paraId="6EC1E80E"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1FF05E7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256/347 (73.8)</w:t>
            </w:r>
          </w:p>
        </w:tc>
        <w:tc>
          <w:tcPr>
            <w:tcW w:w="1134" w:type="dxa"/>
            <w:tcBorders>
              <w:top w:val="nil"/>
              <w:bottom w:val="nil"/>
            </w:tcBorders>
          </w:tcPr>
          <w:p w14:paraId="6363EA8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247/354 (69.8)</w:t>
            </w:r>
          </w:p>
        </w:tc>
        <w:tc>
          <w:tcPr>
            <w:tcW w:w="1353" w:type="dxa"/>
            <w:tcBorders>
              <w:top w:val="nil"/>
              <w:bottom w:val="nil"/>
            </w:tcBorders>
          </w:tcPr>
          <w:p w14:paraId="0B29BA0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1.22 (0.88, 1.69)</w:t>
            </w:r>
          </w:p>
        </w:tc>
        <w:tc>
          <w:tcPr>
            <w:tcW w:w="1353" w:type="dxa"/>
            <w:tcBorders>
              <w:top w:val="nil"/>
              <w:bottom w:val="nil"/>
            </w:tcBorders>
          </w:tcPr>
          <w:p w14:paraId="5AD1743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1.06 (0.96, 1.16)</w:t>
            </w:r>
          </w:p>
        </w:tc>
        <w:tc>
          <w:tcPr>
            <w:tcW w:w="1353" w:type="dxa"/>
            <w:tcBorders>
              <w:top w:val="nil"/>
              <w:bottom w:val="nil"/>
            </w:tcBorders>
          </w:tcPr>
          <w:p w14:paraId="3064DA4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(-0.03, 0.11)</w:t>
            </w:r>
          </w:p>
        </w:tc>
      </w:tr>
      <w:tr w:rsidR="00516309" w:rsidRPr="002D158B" w14:paraId="77A6BA4E" w14:textId="77777777" w:rsidTr="00286E68">
        <w:tc>
          <w:tcPr>
            <w:tcW w:w="2689" w:type="dxa"/>
            <w:tcBorders>
              <w:top w:val="nil"/>
              <w:bottom w:val="nil"/>
            </w:tcBorders>
          </w:tcPr>
          <w:p w14:paraId="201C6583"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tcPr>
          <w:p w14:paraId="7C6F138D"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211/286 (73.8)</w:t>
            </w:r>
          </w:p>
        </w:tc>
        <w:tc>
          <w:tcPr>
            <w:tcW w:w="1134" w:type="dxa"/>
            <w:tcBorders>
              <w:top w:val="nil"/>
              <w:bottom w:val="nil"/>
            </w:tcBorders>
          </w:tcPr>
          <w:p w14:paraId="4C4DF49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204/291 (70.1)</w:t>
            </w:r>
          </w:p>
        </w:tc>
        <w:tc>
          <w:tcPr>
            <w:tcW w:w="1353" w:type="dxa"/>
            <w:tcBorders>
              <w:top w:val="nil"/>
              <w:bottom w:val="nil"/>
            </w:tcBorders>
          </w:tcPr>
          <w:p w14:paraId="65AC51B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1.20 (0.83, 1.72)</w:t>
            </w:r>
          </w:p>
        </w:tc>
        <w:tc>
          <w:tcPr>
            <w:tcW w:w="1353" w:type="dxa"/>
            <w:tcBorders>
              <w:top w:val="nil"/>
              <w:bottom w:val="nil"/>
            </w:tcBorders>
          </w:tcPr>
          <w:p w14:paraId="1EC6C62C"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1.05 (0.95, 1.16)</w:t>
            </w:r>
          </w:p>
        </w:tc>
        <w:tc>
          <w:tcPr>
            <w:tcW w:w="1353" w:type="dxa"/>
            <w:tcBorders>
              <w:top w:val="nil"/>
              <w:bottom w:val="nil"/>
            </w:tcBorders>
          </w:tcPr>
          <w:p w14:paraId="4AAD5BC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(-0.04, 0.11)</w:t>
            </w:r>
          </w:p>
        </w:tc>
      </w:tr>
      <w:tr w:rsidR="00516309" w:rsidRPr="002D158B" w14:paraId="36AF7A5B" w14:textId="77777777" w:rsidTr="00286E68">
        <w:tc>
          <w:tcPr>
            <w:tcW w:w="2689" w:type="dxa"/>
            <w:tcBorders>
              <w:top w:val="nil"/>
              <w:bottom w:val="nil"/>
            </w:tcBorders>
          </w:tcPr>
          <w:p w14:paraId="52463A72"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Endoscopic remission (Wk48)</w:t>
            </w:r>
          </w:p>
        </w:tc>
        <w:tc>
          <w:tcPr>
            <w:tcW w:w="1134" w:type="dxa"/>
            <w:tcBorders>
              <w:top w:val="nil"/>
              <w:bottom w:val="nil"/>
            </w:tcBorders>
            <w:vAlign w:val="center"/>
          </w:tcPr>
          <w:p w14:paraId="6B3D07D8"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1F62E0E8"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2F5AEC70"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4E2D5B74"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3D1A5805" w14:textId="77777777" w:rsidR="00516309" w:rsidRPr="002D158B" w:rsidRDefault="00516309" w:rsidP="00185675">
            <w:pPr>
              <w:keepNext/>
              <w:keepLines/>
              <w:jc w:val="center"/>
              <w:rPr>
                <w:rFonts w:ascii="Arial Narrow" w:hAnsi="Arial Narrow"/>
                <w:sz w:val="20"/>
              </w:rPr>
            </w:pPr>
          </w:p>
        </w:tc>
      </w:tr>
      <w:tr w:rsidR="00516309" w:rsidRPr="002D158B" w14:paraId="103EE51B" w14:textId="77777777" w:rsidTr="00286E68">
        <w:tc>
          <w:tcPr>
            <w:tcW w:w="2689" w:type="dxa"/>
            <w:tcBorders>
              <w:top w:val="nil"/>
              <w:bottom w:val="nil"/>
            </w:tcBorders>
          </w:tcPr>
          <w:p w14:paraId="04F5B3ED"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61044DC8"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106/347 (30.5)</w:t>
            </w:r>
          </w:p>
        </w:tc>
        <w:tc>
          <w:tcPr>
            <w:tcW w:w="1134" w:type="dxa"/>
            <w:tcBorders>
              <w:top w:val="nil"/>
              <w:bottom w:val="nil"/>
            </w:tcBorders>
          </w:tcPr>
          <w:p w14:paraId="7D28E4D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76/354 (21.5)</w:t>
            </w:r>
          </w:p>
        </w:tc>
        <w:tc>
          <w:tcPr>
            <w:tcW w:w="1353" w:type="dxa"/>
            <w:tcBorders>
              <w:top w:val="nil"/>
              <w:bottom w:val="nil"/>
            </w:tcBorders>
          </w:tcPr>
          <w:p w14:paraId="24DF2D19" w14:textId="77777777" w:rsidR="00516309" w:rsidRPr="002D158B" w:rsidRDefault="00516309" w:rsidP="00185675">
            <w:pPr>
              <w:keepNext/>
              <w:keepLines/>
              <w:jc w:val="center"/>
              <w:rPr>
                <w:rFonts w:ascii="Arial Narrow" w:hAnsi="Arial Narrow"/>
                <w:sz w:val="20"/>
              </w:rPr>
            </w:pPr>
            <w:r w:rsidRPr="002D158B">
              <w:rPr>
                <w:rFonts w:ascii="Arial Narrow" w:eastAsiaTheme="minorHAnsi" w:hAnsi="Arial Narrow" w:cstheme="minorBidi"/>
                <w:b/>
                <w:bCs/>
                <w:sz w:val="20"/>
              </w:rPr>
              <w:t>1.61 (1.14, 2.28)</w:t>
            </w:r>
          </w:p>
        </w:tc>
        <w:tc>
          <w:tcPr>
            <w:tcW w:w="1353" w:type="dxa"/>
            <w:tcBorders>
              <w:top w:val="nil"/>
              <w:bottom w:val="nil"/>
            </w:tcBorders>
          </w:tcPr>
          <w:p w14:paraId="20D1E5A3" w14:textId="77777777" w:rsidR="00516309" w:rsidRPr="002D158B" w:rsidRDefault="00516309" w:rsidP="00185675">
            <w:pPr>
              <w:keepNext/>
              <w:keepLines/>
              <w:jc w:val="center"/>
              <w:rPr>
                <w:rFonts w:ascii="Arial Narrow" w:hAnsi="Arial Narrow"/>
                <w:sz w:val="20"/>
              </w:rPr>
            </w:pPr>
            <w:r w:rsidRPr="002D158B">
              <w:rPr>
                <w:rFonts w:ascii="Arial Narrow" w:eastAsiaTheme="minorHAnsi" w:hAnsi="Arial Narrow" w:cstheme="minorBidi"/>
                <w:b/>
                <w:bCs/>
                <w:sz w:val="20"/>
              </w:rPr>
              <w:t>1.40 (1.07, 1.82)</w:t>
            </w:r>
          </w:p>
        </w:tc>
        <w:tc>
          <w:tcPr>
            <w:tcW w:w="1353" w:type="dxa"/>
            <w:tcBorders>
              <w:top w:val="nil"/>
              <w:bottom w:val="nil"/>
            </w:tcBorders>
          </w:tcPr>
          <w:p w14:paraId="2F63519E" w14:textId="77777777" w:rsidR="00516309" w:rsidRPr="002D158B" w:rsidRDefault="00516309" w:rsidP="00185675">
            <w:pPr>
              <w:keepNext/>
              <w:keepLines/>
              <w:jc w:val="center"/>
              <w:rPr>
                <w:rFonts w:ascii="Arial Narrow" w:hAnsi="Arial Narrow"/>
                <w:sz w:val="20"/>
              </w:rPr>
            </w:pPr>
            <w:r w:rsidRPr="002D158B">
              <w:rPr>
                <w:rFonts w:ascii="Arial Narrow" w:eastAsiaTheme="minorHAnsi" w:hAnsi="Arial Narrow" w:cstheme="minorBidi"/>
                <w:b/>
                <w:bCs/>
                <w:sz w:val="20"/>
              </w:rPr>
              <w:t>0.09 (0.03, 0.16)</w:t>
            </w:r>
          </w:p>
        </w:tc>
      </w:tr>
      <w:tr w:rsidR="00516309" w:rsidRPr="002D158B" w14:paraId="4C333759" w14:textId="77777777" w:rsidTr="00286E68">
        <w:tc>
          <w:tcPr>
            <w:tcW w:w="2689" w:type="dxa"/>
            <w:tcBorders>
              <w:top w:val="nil"/>
              <w:bottom w:val="nil"/>
            </w:tcBorders>
          </w:tcPr>
          <w:p w14:paraId="57E7F3F4"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tcPr>
          <w:p w14:paraId="7886CBD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95/286 (33.2)</w:t>
            </w:r>
          </w:p>
        </w:tc>
        <w:tc>
          <w:tcPr>
            <w:tcW w:w="1134" w:type="dxa"/>
            <w:tcBorders>
              <w:top w:val="nil"/>
              <w:bottom w:val="nil"/>
            </w:tcBorders>
          </w:tcPr>
          <w:p w14:paraId="66475FD5"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72/291 (24.7)</w:t>
            </w:r>
          </w:p>
        </w:tc>
        <w:tc>
          <w:tcPr>
            <w:tcW w:w="1353" w:type="dxa"/>
            <w:tcBorders>
              <w:top w:val="nil"/>
              <w:bottom w:val="nil"/>
            </w:tcBorders>
          </w:tcPr>
          <w:p w14:paraId="5B344F1C"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1.51 (1.05, 2.17)</w:t>
            </w:r>
          </w:p>
        </w:tc>
        <w:tc>
          <w:tcPr>
            <w:tcW w:w="1353" w:type="dxa"/>
            <w:tcBorders>
              <w:top w:val="nil"/>
              <w:bottom w:val="nil"/>
            </w:tcBorders>
          </w:tcPr>
          <w:p w14:paraId="00CBD21F"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1.34 (1.03, 1.74)</w:t>
            </w:r>
          </w:p>
        </w:tc>
        <w:tc>
          <w:tcPr>
            <w:tcW w:w="1353" w:type="dxa"/>
            <w:tcBorders>
              <w:top w:val="nil"/>
              <w:bottom w:val="nil"/>
            </w:tcBorders>
          </w:tcPr>
          <w:p w14:paraId="2648A6C9"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0.09 (0.01, 0.16)</w:t>
            </w:r>
          </w:p>
        </w:tc>
      </w:tr>
      <w:tr w:rsidR="00516309" w:rsidRPr="002D158B" w14:paraId="567D4767" w14:textId="77777777" w:rsidTr="00286E68">
        <w:tc>
          <w:tcPr>
            <w:tcW w:w="2689" w:type="dxa"/>
            <w:tcBorders>
              <w:top w:val="nil"/>
              <w:bottom w:val="nil"/>
            </w:tcBorders>
          </w:tcPr>
          <w:p w14:paraId="63DF3DDD"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w:t>
            </w:r>
            <w:proofErr w:type="spellStart"/>
            <w:r w:rsidRPr="002D158B">
              <w:rPr>
                <w:rFonts w:ascii="Arial Narrow" w:hAnsi="Arial Narrow"/>
                <w:sz w:val="20"/>
              </w:rPr>
              <w:t>analysis</w:t>
            </w:r>
            <w:r w:rsidRPr="002D158B">
              <w:rPr>
                <w:rFonts w:ascii="Arial Narrow" w:hAnsi="Arial Narrow"/>
                <w:sz w:val="20"/>
                <w:vertAlign w:val="superscript"/>
              </w:rPr>
              <w:t>a</w:t>
            </w:r>
            <w:proofErr w:type="spellEnd"/>
          </w:p>
        </w:tc>
        <w:tc>
          <w:tcPr>
            <w:tcW w:w="1134" w:type="dxa"/>
            <w:tcBorders>
              <w:top w:val="nil"/>
              <w:bottom w:val="nil"/>
            </w:tcBorders>
          </w:tcPr>
          <w:p w14:paraId="0655386E"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72/286 (25.2)</w:t>
            </w:r>
          </w:p>
        </w:tc>
        <w:tc>
          <w:tcPr>
            <w:tcW w:w="1134" w:type="dxa"/>
            <w:tcBorders>
              <w:top w:val="nil"/>
              <w:bottom w:val="nil"/>
            </w:tcBorders>
          </w:tcPr>
          <w:p w14:paraId="0E629214"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48/291 (16.5)</w:t>
            </w:r>
          </w:p>
        </w:tc>
        <w:tc>
          <w:tcPr>
            <w:tcW w:w="1353" w:type="dxa"/>
            <w:tcBorders>
              <w:top w:val="nil"/>
              <w:bottom w:val="nil"/>
            </w:tcBorders>
          </w:tcPr>
          <w:p w14:paraId="768AD2FE"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1.70 (1.13, 2.56)</w:t>
            </w:r>
          </w:p>
        </w:tc>
        <w:tc>
          <w:tcPr>
            <w:tcW w:w="1353" w:type="dxa"/>
            <w:tcBorders>
              <w:top w:val="nil"/>
              <w:bottom w:val="nil"/>
            </w:tcBorders>
          </w:tcPr>
          <w:p w14:paraId="46CD5049"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1.53 (1.10, 2.12)</w:t>
            </w:r>
          </w:p>
        </w:tc>
        <w:tc>
          <w:tcPr>
            <w:tcW w:w="1353" w:type="dxa"/>
            <w:tcBorders>
              <w:top w:val="nil"/>
              <w:bottom w:val="nil"/>
            </w:tcBorders>
          </w:tcPr>
          <w:p w14:paraId="4D8DDDA8"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0.09 (0.02, 0.15)</w:t>
            </w:r>
          </w:p>
        </w:tc>
      </w:tr>
      <w:tr w:rsidR="00516309" w:rsidRPr="002D158B" w14:paraId="22723764" w14:textId="77777777" w:rsidTr="00286E68">
        <w:tc>
          <w:tcPr>
            <w:tcW w:w="2689" w:type="dxa"/>
            <w:tcBorders>
              <w:top w:val="nil"/>
              <w:bottom w:val="nil"/>
            </w:tcBorders>
          </w:tcPr>
          <w:p w14:paraId="1F291E4D"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Endoscopic response (Wk48)</w:t>
            </w:r>
          </w:p>
        </w:tc>
        <w:tc>
          <w:tcPr>
            <w:tcW w:w="1134" w:type="dxa"/>
            <w:tcBorders>
              <w:top w:val="nil"/>
              <w:bottom w:val="nil"/>
            </w:tcBorders>
          </w:tcPr>
          <w:p w14:paraId="077C2853"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tcPr>
          <w:p w14:paraId="41239C0B"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tcPr>
          <w:p w14:paraId="0E262C10" w14:textId="77777777" w:rsidR="00516309" w:rsidRPr="002D158B" w:rsidRDefault="00516309" w:rsidP="00185675">
            <w:pPr>
              <w:keepNext/>
              <w:keepLines/>
              <w:jc w:val="center"/>
              <w:rPr>
                <w:rFonts w:ascii="Arial Narrow" w:hAnsi="Arial Narrow"/>
                <w:b/>
                <w:bCs/>
                <w:sz w:val="20"/>
              </w:rPr>
            </w:pPr>
          </w:p>
        </w:tc>
        <w:tc>
          <w:tcPr>
            <w:tcW w:w="1353" w:type="dxa"/>
            <w:tcBorders>
              <w:top w:val="nil"/>
              <w:bottom w:val="nil"/>
            </w:tcBorders>
          </w:tcPr>
          <w:p w14:paraId="69752206" w14:textId="77777777" w:rsidR="00516309" w:rsidRPr="002D158B" w:rsidRDefault="00516309" w:rsidP="00185675">
            <w:pPr>
              <w:keepNext/>
              <w:keepLines/>
              <w:jc w:val="center"/>
              <w:rPr>
                <w:rFonts w:ascii="Arial Narrow" w:hAnsi="Arial Narrow"/>
                <w:b/>
                <w:bCs/>
                <w:sz w:val="20"/>
              </w:rPr>
            </w:pPr>
          </w:p>
        </w:tc>
        <w:tc>
          <w:tcPr>
            <w:tcW w:w="1353" w:type="dxa"/>
            <w:tcBorders>
              <w:top w:val="nil"/>
              <w:bottom w:val="nil"/>
            </w:tcBorders>
          </w:tcPr>
          <w:p w14:paraId="4DA73392" w14:textId="77777777" w:rsidR="00516309" w:rsidRPr="002D158B" w:rsidRDefault="00516309" w:rsidP="00185675">
            <w:pPr>
              <w:keepNext/>
              <w:keepLines/>
              <w:jc w:val="center"/>
              <w:rPr>
                <w:rFonts w:ascii="Arial Narrow" w:hAnsi="Arial Narrow"/>
                <w:b/>
                <w:bCs/>
                <w:sz w:val="20"/>
              </w:rPr>
            </w:pPr>
          </w:p>
        </w:tc>
      </w:tr>
      <w:tr w:rsidR="00516309" w:rsidRPr="002D158B" w14:paraId="5C9172B4" w14:textId="77777777" w:rsidTr="00286E68">
        <w:tc>
          <w:tcPr>
            <w:tcW w:w="2689" w:type="dxa"/>
            <w:tcBorders>
              <w:top w:val="nil"/>
              <w:bottom w:val="nil"/>
            </w:tcBorders>
          </w:tcPr>
          <w:p w14:paraId="12C3B885"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798A7AD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164/347 (47.3)</w:t>
            </w:r>
          </w:p>
        </w:tc>
        <w:tc>
          <w:tcPr>
            <w:tcW w:w="1134" w:type="dxa"/>
            <w:tcBorders>
              <w:top w:val="nil"/>
              <w:bottom w:val="nil"/>
            </w:tcBorders>
          </w:tcPr>
          <w:p w14:paraId="5097709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127/354 (35.9)</w:t>
            </w:r>
          </w:p>
        </w:tc>
        <w:tc>
          <w:tcPr>
            <w:tcW w:w="1353" w:type="dxa"/>
            <w:tcBorders>
              <w:top w:val="nil"/>
              <w:bottom w:val="nil"/>
            </w:tcBorders>
          </w:tcPr>
          <w:p w14:paraId="5CC7D6BA" w14:textId="77777777" w:rsidR="00516309" w:rsidRPr="002D158B" w:rsidRDefault="00516309" w:rsidP="00185675">
            <w:pPr>
              <w:keepNext/>
              <w:keepLines/>
              <w:jc w:val="center"/>
              <w:rPr>
                <w:rFonts w:ascii="Arial Narrow" w:hAnsi="Arial Narrow"/>
                <w:b/>
                <w:bCs/>
                <w:sz w:val="20"/>
              </w:rPr>
            </w:pPr>
            <w:r w:rsidRPr="002D158B">
              <w:rPr>
                <w:rFonts w:ascii="Arial Narrow" w:eastAsiaTheme="minorHAnsi" w:hAnsi="Arial Narrow" w:cstheme="minorBidi"/>
                <w:b/>
                <w:bCs/>
                <w:sz w:val="20"/>
              </w:rPr>
              <w:t>1.60 (1.18, 2.17)</w:t>
            </w:r>
          </w:p>
        </w:tc>
        <w:tc>
          <w:tcPr>
            <w:tcW w:w="1353" w:type="dxa"/>
            <w:tcBorders>
              <w:top w:val="nil"/>
              <w:bottom w:val="nil"/>
            </w:tcBorders>
          </w:tcPr>
          <w:p w14:paraId="79859767" w14:textId="77777777" w:rsidR="00516309" w:rsidRPr="002D158B" w:rsidRDefault="00516309" w:rsidP="00185675">
            <w:pPr>
              <w:keepNext/>
              <w:keepLines/>
              <w:jc w:val="center"/>
              <w:rPr>
                <w:rFonts w:ascii="Arial Narrow" w:hAnsi="Arial Narrow"/>
                <w:b/>
                <w:bCs/>
                <w:sz w:val="20"/>
              </w:rPr>
            </w:pPr>
            <w:r w:rsidRPr="002D158B">
              <w:rPr>
                <w:rFonts w:ascii="Arial Narrow" w:eastAsiaTheme="minorHAnsi" w:hAnsi="Arial Narrow" w:cstheme="minorBidi"/>
                <w:b/>
                <w:bCs/>
                <w:sz w:val="20"/>
              </w:rPr>
              <w:t>1.31 (1.09, 1.56)</w:t>
            </w:r>
          </w:p>
        </w:tc>
        <w:tc>
          <w:tcPr>
            <w:tcW w:w="1353" w:type="dxa"/>
            <w:tcBorders>
              <w:top w:val="nil"/>
              <w:bottom w:val="nil"/>
            </w:tcBorders>
          </w:tcPr>
          <w:p w14:paraId="150E3199" w14:textId="77777777" w:rsidR="00516309" w:rsidRPr="002D158B" w:rsidRDefault="00516309" w:rsidP="00185675">
            <w:pPr>
              <w:keepNext/>
              <w:keepLines/>
              <w:jc w:val="center"/>
              <w:rPr>
                <w:rFonts w:ascii="Arial Narrow" w:hAnsi="Arial Narrow"/>
                <w:b/>
                <w:bCs/>
                <w:sz w:val="20"/>
              </w:rPr>
            </w:pPr>
            <w:r w:rsidRPr="002D158B">
              <w:rPr>
                <w:rFonts w:ascii="Arial Narrow" w:eastAsiaTheme="minorHAnsi" w:hAnsi="Arial Narrow" w:cstheme="minorBidi"/>
                <w:b/>
                <w:bCs/>
                <w:sz w:val="20"/>
              </w:rPr>
              <w:t>0.11 (0.04, 0.19)</w:t>
            </w:r>
          </w:p>
        </w:tc>
      </w:tr>
      <w:tr w:rsidR="00516309" w:rsidRPr="002D158B" w14:paraId="63FFD829" w14:textId="77777777" w:rsidTr="00286E68">
        <w:tc>
          <w:tcPr>
            <w:tcW w:w="2689" w:type="dxa"/>
            <w:tcBorders>
              <w:top w:val="nil"/>
              <w:bottom w:val="nil"/>
            </w:tcBorders>
          </w:tcPr>
          <w:p w14:paraId="52EA3F1A"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tcPr>
          <w:p w14:paraId="7F83AEDE"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137/286 (47.9)</w:t>
            </w:r>
          </w:p>
        </w:tc>
        <w:tc>
          <w:tcPr>
            <w:tcW w:w="1134" w:type="dxa"/>
            <w:tcBorders>
              <w:top w:val="nil"/>
              <w:bottom w:val="nil"/>
            </w:tcBorders>
          </w:tcPr>
          <w:p w14:paraId="79D88676"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108/291 (37.1)</w:t>
            </w:r>
          </w:p>
        </w:tc>
        <w:tc>
          <w:tcPr>
            <w:tcW w:w="1353" w:type="dxa"/>
            <w:tcBorders>
              <w:top w:val="nil"/>
              <w:bottom w:val="nil"/>
            </w:tcBorders>
          </w:tcPr>
          <w:p w14:paraId="02AB5AFA"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1.59 (1.12, 2.17)</w:t>
            </w:r>
          </w:p>
        </w:tc>
        <w:tc>
          <w:tcPr>
            <w:tcW w:w="1353" w:type="dxa"/>
            <w:tcBorders>
              <w:top w:val="nil"/>
              <w:bottom w:val="nil"/>
            </w:tcBorders>
          </w:tcPr>
          <w:p w14:paraId="02CDD0E9"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1.28 (1.04, 1.58)</w:t>
            </w:r>
          </w:p>
        </w:tc>
        <w:tc>
          <w:tcPr>
            <w:tcW w:w="1353" w:type="dxa"/>
            <w:tcBorders>
              <w:top w:val="nil"/>
              <w:bottom w:val="nil"/>
            </w:tcBorders>
          </w:tcPr>
          <w:p w14:paraId="2CD434F1"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0.11 (0.03, 0.19)</w:t>
            </w:r>
          </w:p>
        </w:tc>
      </w:tr>
      <w:tr w:rsidR="00516309" w:rsidRPr="002D158B" w14:paraId="693A1E14" w14:textId="77777777" w:rsidTr="00286E68">
        <w:tc>
          <w:tcPr>
            <w:tcW w:w="2689" w:type="dxa"/>
            <w:tcBorders>
              <w:top w:val="nil"/>
              <w:bottom w:val="nil"/>
            </w:tcBorders>
          </w:tcPr>
          <w:p w14:paraId="6914948E"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Clinical remission (Wk48) │induction remission (Wk12)</w:t>
            </w:r>
          </w:p>
        </w:tc>
        <w:tc>
          <w:tcPr>
            <w:tcW w:w="1134" w:type="dxa"/>
            <w:tcBorders>
              <w:top w:val="nil"/>
              <w:bottom w:val="nil"/>
            </w:tcBorders>
            <w:vAlign w:val="center"/>
          </w:tcPr>
          <w:p w14:paraId="5593E87F"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264B32F8"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2DEF1DF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495DB70B"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2B43F5D1" w14:textId="77777777" w:rsidR="00516309" w:rsidRPr="002D158B" w:rsidRDefault="00516309" w:rsidP="00185675">
            <w:pPr>
              <w:keepNext/>
              <w:keepLines/>
              <w:jc w:val="center"/>
              <w:rPr>
                <w:rFonts w:ascii="Arial Narrow" w:hAnsi="Arial Narrow"/>
                <w:sz w:val="20"/>
              </w:rPr>
            </w:pPr>
          </w:p>
        </w:tc>
      </w:tr>
      <w:tr w:rsidR="00516309" w:rsidRPr="002D158B" w14:paraId="4426C7ED" w14:textId="77777777" w:rsidTr="00286E68">
        <w:tc>
          <w:tcPr>
            <w:tcW w:w="2689" w:type="dxa"/>
            <w:tcBorders>
              <w:top w:val="nil"/>
              <w:bottom w:val="nil"/>
            </w:tcBorders>
          </w:tcPr>
          <w:p w14:paraId="75A0C638"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33E1543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140/171 (81.9)</w:t>
            </w:r>
          </w:p>
        </w:tc>
        <w:tc>
          <w:tcPr>
            <w:tcW w:w="1134" w:type="dxa"/>
            <w:tcBorders>
              <w:top w:val="nil"/>
              <w:bottom w:val="nil"/>
            </w:tcBorders>
            <w:vAlign w:val="center"/>
          </w:tcPr>
          <w:p w14:paraId="6667D3C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134/165 (81.2)</w:t>
            </w:r>
          </w:p>
        </w:tc>
        <w:tc>
          <w:tcPr>
            <w:tcW w:w="1353" w:type="dxa"/>
            <w:tcBorders>
              <w:top w:val="nil"/>
              <w:bottom w:val="nil"/>
            </w:tcBorders>
            <w:vAlign w:val="center"/>
          </w:tcPr>
          <w:p w14:paraId="3833B243"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1.27 (0.71, 2.28)</w:t>
            </w:r>
          </w:p>
        </w:tc>
        <w:tc>
          <w:tcPr>
            <w:tcW w:w="1353" w:type="dxa"/>
            <w:tcBorders>
              <w:top w:val="nil"/>
              <w:bottom w:val="nil"/>
            </w:tcBorders>
            <w:vAlign w:val="center"/>
          </w:tcPr>
          <w:p w14:paraId="324A86B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(0.95, 1.15)</w:t>
            </w:r>
          </w:p>
        </w:tc>
        <w:tc>
          <w:tcPr>
            <w:tcW w:w="1353" w:type="dxa"/>
            <w:tcBorders>
              <w:top w:val="nil"/>
              <w:bottom w:val="nil"/>
            </w:tcBorders>
            <w:vAlign w:val="center"/>
          </w:tcPr>
          <w:p w14:paraId="701DD95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(-0.04, 0.11)</w:t>
            </w:r>
          </w:p>
        </w:tc>
      </w:tr>
      <w:tr w:rsidR="00516309" w:rsidRPr="002D158B" w14:paraId="76A3F1BF" w14:textId="77777777" w:rsidTr="00286E68">
        <w:tc>
          <w:tcPr>
            <w:tcW w:w="2689" w:type="dxa"/>
            <w:tcBorders>
              <w:top w:val="nil"/>
              <w:bottom w:val="nil"/>
            </w:tcBorders>
          </w:tcPr>
          <w:p w14:paraId="1ED09E4D"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4455A339"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114/133 (85.7)</w:t>
            </w:r>
          </w:p>
        </w:tc>
        <w:tc>
          <w:tcPr>
            <w:tcW w:w="1134" w:type="dxa"/>
            <w:tcBorders>
              <w:top w:val="nil"/>
              <w:bottom w:val="nil"/>
            </w:tcBorders>
            <w:vAlign w:val="center"/>
          </w:tcPr>
          <w:p w14:paraId="2463A4D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112/137 (81.8)</w:t>
            </w:r>
          </w:p>
        </w:tc>
        <w:tc>
          <w:tcPr>
            <w:tcW w:w="1353" w:type="dxa"/>
            <w:tcBorders>
              <w:top w:val="nil"/>
              <w:bottom w:val="nil"/>
            </w:tcBorders>
            <w:vAlign w:val="center"/>
          </w:tcPr>
          <w:p w14:paraId="1DB78B7F"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1.33 (0.69, 2.56)</w:t>
            </w:r>
          </w:p>
        </w:tc>
        <w:tc>
          <w:tcPr>
            <w:tcW w:w="1353" w:type="dxa"/>
            <w:tcBorders>
              <w:top w:val="nil"/>
              <w:bottom w:val="nil"/>
            </w:tcBorders>
            <w:vAlign w:val="center"/>
          </w:tcPr>
          <w:p w14:paraId="256F543D"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(0.94, 1.16)</w:t>
            </w:r>
          </w:p>
        </w:tc>
        <w:tc>
          <w:tcPr>
            <w:tcW w:w="1353" w:type="dxa"/>
            <w:tcBorders>
              <w:top w:val="nil"/>
              <w:bottom w:val="nil"/>
            </w:tcBorders>
            <w:vAlign w:val="center"/>
          </w:tcPr>
          <w:p w14:paraId="3AFF7E7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(-0.05, 0.12)</w:t>
            </w:r>
          </w:p>
        </w:tc>
      </w:tr>
      <w:tr w:rsidR="00516309" w:rsidRPr="002D158B" w14:paraId="6829DBBD" w14:textId="77777777" w:rsidTr="00286E68">
        <w:tc>
          <w:tcPr>
            <w:tcW w:w="2689" w:type="dxa"/>
            <w:tcBorders>
              <w:top w:val="nil"/>
              <w:bottom w:val="nil"/>
            </w:tcBorders>
          </w:tcPr>
          <w:p w14:paraId="0A7E2E04"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 xml:space="preserve">Durable clinical </w:t>
            </w:r>
            <w:proofErr w:type="spellStart"/>
            <w:r w:rsidRPr="002D158B">
              <w:rPr>
                <w:rFonts w:ascii="Arial Narrow" w:hAnsi="Arial Narrow"/>
                <w:b/>
                <w:bCs/>
                <w:sz w:val="20"/>
              </w:rPr>
              <w:t>remission</w:t>
            </w:r>
            <w:r w:rsidRPr="002D158B">
              <w:rPr>
                <w:rFonts w:ascii="Arial Narrow" w:hAnsi="Arial Narrow"/>
                <w:b/>
                <w:bCs/>
                <w:sz w:val="20"/>
                <w:vertAlign w:val="superscript"/>
              </w:rPr>
              <w:t>c</w:t>
            </w:r>
            <w:proofErr w:type="spellEnd"/>
            <w:r w:rsidRPr="002D158B">
              <w:rPr>
                <w:rFonts w:ascii="Arial Narrow" w:hAnsi="Arial Narrow"/>
                <w:b/>
                <w:bCs/>
                <w:sz w:val="20"/>
              </w:rPr>
              <w:t xml:space="preserve"> (clinical remission Wk12-48)</w:t>
            </w:r>
          </w:p>
        </w:tc>
        <w:tc>
          <w:tcPr>
            <w:tcW w:w="1134" w:type="dxa"/>
            <w:tcBorders>
              <w:top w:val="nil"/>
              <w:bottom w:val="nil"/>
            </w:tcBorders>
            <w:vAlign w:val="center"/>
          </w:tcPr>
          <w:p w14:paraId="25B80C39"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20B9A61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0D25DA30"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00301365"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4F64C6C2" w14:textId="77777777" w:rsidR="00516309" w:rsidRPr="002D158B" w:rsidRDefault="00516309" w:rsidP="00185675">
            <w:pPr>
              <w:keepNext/>
              <w:keepLines/>
              <w:jc w:val="center"/>
              <w:rPr>
                <w:rFonts w:ascii="Arial Narrow" w:hAnsi="Arial Narrow"/>
                <w:sz w:val="20"/>
              </w:rPr>
            </w:pPr>
          </w:p>
        </w:tc>
      </w:tr>
      <w:tr w:rsidR="00516309" w:rsidRPr="002D158B" w14:paraId="52F81F3F" w14:textId="77777777" w:rsidTr="00286E68">
        <w:tc>
          <w:tcPr>
            <w:tcW w:w="2689" w:type="dxa"/>
            <w:tcBorders>
              <w:top w:val="nil"/>
              <w:bottom w:val="nil"/>
            </w:tcBorders>
          </w:tcPr>
          <w:p w14:paraId="28DFD307"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2DAF869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169/347 (48.7)</w:t>
            </w:r>
          </w:p>
        </w:tc>
        <w:tc>
          <w:tcPr>
            <w:tcW w:w="1134" w:type="dxa"/>
            <w:tcBorders>
              <w:top w:val="nil"/>
              <w:bottom w:val="nil"/>
            </w:tcBorders>
            <w:vAlign w:val="center"/>
          </w:tcPr>
          <w:p w14:paraId="41CA260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152/354 (42.9)</w:t>
            </w:r>
          </w:p>
        </w:tc>
        <w:tc>
          <w:tcPr>
            <w:tcW w:w="1353" w:type="dxa"/>
            <w:tcBorders>
              <w:top w:val="nil"/>
              <w:bottom w:val="nil"/>
            </w:tcBorders>
            <w:vAlign w:val="center"/>
          </w:tcPr>
          <w:p w14:paraId="032244C6"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1.26 (0.94, 1.70)</w:t>
            </w:r>
          </w:p>
        </w:tc>
        <w:tc>
          <w:tcPr>
            <w:tcW w:w="1353" w:type="dxa"/>
            <w:tcBorders>
              <w:top w:val="nil"/>
              <w:bottom w:val="nil"/>
            </w:tcBorders>
            <w:vAlign w:val="center"/>
          </w:tcPr>
          <w:p w14:paraId="54B50C1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1.13 (0.96, 1.33)</w:t>
            </w:r>
          </w:p>
        </w:tc>
        <w:tc>
          <w:tcPr>
            <w:tcW w:w="1353" w:type="dxa"/>
            <w:tcBorders>
              <w:top w:val="nil"/>
              <w:bottom w:val="nil"/>
            </w:tcBorders>
            <w:vAlign w:val="center"/>
          </w:tcPr>
          <w:p w14:paraId="409C9B2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0.06 (-0.02, 0.13)</w:t>
            </w:r>
          </w:p>
        </w:tc>
      </w:tr>
      <w:tr w:rsidR="00516309" w:rsidRPr="002D158B" w14:paraId="632EA742" w14:textId="77777777" w:rsidTr="00286E68">
        <w:tc>
          <w:tcPr>
            <w:tcW w:w="2689" w:type="dxa"/>
            <w:tcBorders>
              <w:top w:val="nil"/>
              <w:bottom w:val="nil"/>
            </w:tcBorders>
          </w:tcPr>
          <w:p w14:paraId="13D3A10F"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38D688E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138/286 (48.3)</w:t>
            </w:r>
          </w:p>
        </w:tc>
        <w:tc>
          <w:tcPr>
            <w:tcW w:w="1134" w:type="dxa"/>
            <w:tcBorders>
              <w:top w:val="nil"/>
              <w:bottom w:val="nil"/>
            </w:tcBorders>
            <w:vAlign w:val="center"/>
          </w:tcPr>
          <w:p w14:paraId="194DDDB5"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122/291 (41.9)</w:t>
            </w:r>
          </w:p>
        </w:tc>
        <w:tc>
          <w:tcPr>
            <w:tcW w:w="1353" w:type="dxa"/>
            <w:tcBorders>
              <w:top w:val="nil"/>
              <w:bottom w:val="nil"/>
            </w:tcBorders>
            <w:vAlign w:val="center"/>
          </w:tcPr>
          <w:p w14:paraId="5B3F248C"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1.29 (0.87, 1.90)</w:t>
            </w:r>
          </w:p>
        </w:tc>
        <w:tc>
          <w:tcPr>
            <w:tcW w:w="1353" w:type="dxa"/>
            <w:tcBorders>
              <w:top w:val="nil"/>
              <w:bottom w:val="nil"/>
            </w:tcBorders>
            <w:vAlign w:val="center"/>
          </w:tcPr>
          <w:p w14:paraId="2069E6C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1.15 (0.93, 1.43)</w:t>
            </w:r>
          </w:p>
        </w:tc>
        <w:tc>
          <w:tcPr>
            <w:tcW w:w="1353" w:type="dxa"/>
            <w:tcBorders>
              <w:top w:val="nil"/>
              <w:bottom w:val="nil"/>
            </w:tcBorders>
            <w:vAlign w:val="center"/>
          </w:tcPr>
          <w:p w14:paraId="19C6301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0.06 (-0.03, 0.16)</w:t>
            </w:r>
          </w:p>
        </w:tc>
      </w:tr>
      <w:tr w:rsidR="00516309" w:rsidRPr="002D158B" w14:paraId="20A33776" w14:textId="77777777" w:rsidTr="00286E68">
        <w:tc>
          <w:tcPr>
            <w:tcW w:w="2689" w:type="dxa"/>
            <w:tcBorders>
              <w:top w:val="nil"/>
              <w:bottom w:val="nil"/>
            </w:tcBorders>
            <w:vAlign w:val="center"/>
          </w:tcPr>
          <w:p w14:paraId="0FD379D4"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 xml:space="preserve">Sustained clinical </w:t>
            </w:r>
            <w:proofErr w:type="spellStart"/>
            <w:r w:rsidRPr="002D158B">
              <w:rPr>
                <w:rFonts w:ascii="Arial Narrow" w:hAnsi="Arial Narrow"/>
                <w:b/>
                <w:bCs/>
                <w:sz w:val="20"/>
              </w:rPr>
              <w:t>remission</w:t>
            </w:r>
            <w:r w:rsidRPr="002D158B">
              <w:rPr>
                <w:rFonts w:ascii="Arial Narrow" w:hAnsi="Arial Narrow"/>
                <w:b/>
                <w:bCs/>
                <w:sz w:val="20"/>
                <w:vertAlign w:val="superscript"/>
              </w:rPr>
              <w:t>d</w:t>
            </w:r>
            <w:proofErr w:type="spellEnd"/>
            <w:r w:rsidRPr="002D158B">
              <w:rPr>
                <w:rFonts w:ascii="Arial Narrow" w:hAnsi="Arial Narrow"/>
                <w:b/>
                <w:bCs/>
                <w:sz w:val="20"/>
              </w:rPr>
              <w:t xml:space="preserve"> (clinical remission Wk12&amp;48)</w:t>
            </w:r>
          </w:p>
        </w:tc>
        <w:tc>
          <w:tcPr>
            <w:tcW w:w="1134" w:type="dxa"/>
            <w:tcBorders>
              <w:top w:val="nil"/>
              <w:bottom w:val="nil"/>
            </w:tcBorders>
            <w:vAlign w:val="center"/>
          </w:tcPr>
          <w:p w14:paraId="3EF56E3E"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68930B26"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6C1FADB5"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1657F117"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46C8CE68" w14:textId="77777777" w:rsidR="00516309" w:rsidRPr="002D158B" w:rsidRDefault="00516309" w:rsidP="00185675">
            <w:pPr>
              <w:keepNext/>
              <w:keepLines/>
              <w:jc w:val="center"/>
              <w:rPr>
                <w:rFonts w:ascii="Arial Narrow" w:hAnsi="Arial Narrow"/>
                <w:sz w:val="20"/>
              </w:rPr>
            </w:pPr>
          </w:p>
        </w:tc>
      </w:tr>
      <w:tr w:rsidR="00516309" w:rsidRPr="002D158B" w14:paraId="224DFDA3" w14:textId="77777777" w:rsidTr="00286E68">
        <w:tc>
          <w:tcPr>
            <w:tcW w:w="2689" w:type="dxa"/>
            <w:tcBorders>
              <w:top w:val="nil"/>
              <w:bottom w:val="nil"/>
            </w:tcBorders>
          </w:tcPr>
          <w:p w14:paraId="30936EE1"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23116C6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140/347 (40.3)</w:t>
            </w:r>
          </w:p>
        </w:tc>
        <w:tc>
          <w:tcPr>
            <w:tcW w:w="1134" w:type="dxa"/>
            <w:tcBorders>
              <w:top w:val="nil"/>
              <w:bottom w:val="nil"/>
            </w:tcBorders>
            <w:vAlign w:val="center"/>
          </w:tcPr>
          <w:p w14:paraId="6E77996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134/354 (37.9)</w:t>
            </w:r>
          </w:p>
        </w:tc>
        <w:tc>
          <w:tcPr>
            <w:tcW w:w="1353" w:type="dxa"/>
            <w:tcBorders>
              <w:top w:val="nil"/>
              <w:bottom w:val="nil"/>
            </w:tcBorders>
            <w:vAlign w:val="center"/>
          </w:tcPr>
          <w:p w14:paraId="7D441DC3"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1.11 (0.82, 1.51)</w:t>
            </w:r>
          </w:p>
        </w:tc>
        <w:tc>
          <w:tcPr>
            <w:tcW w:w="1353" w:type="dxa"/>
            <w:tcBorders>
              <w:top w:val="nil"/>
              <w:bottom w:val="nil"/>
            </w:tcBorders>
            <w:vAlign w:val="center"/>
          </w:tcPr>
          <w:p w14:paraId="3936C80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1.07 (0.89, 1.28)</w:t>
            </w:r>
          </w:p>
        </w:tc>
        <w:tc>
          <w:tcPr>
            <w:tcW w:w="1353" w:type="dxa"/>
            <w:tcBorders>
              <w:top w:val="nil"/>
              <w:bottom w:val="nil"/>
            </w:tcBorders>
            <w:vAlign w:val="center"/>
          </w:tcPr>
          <w:p w14:paraId="05A4E76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0.03 (-0.05, 0.10)</w:t>
            </w:r>
          </w:p>
        </w:tc>
      </w:tr>
      <w:tr w:rsidR="00516309" w:rsidRPr="002D158B" w14:paraId="3FD767E1" w14:textId="77777777" w:rsidTr="00286E68">
        <w:tc>
          <w:tcPr>
            <w:tcW w:w="2689" w:type="dxa"/>
            <w:tcBorders>
              <w:top w:val="nil"/>
              <w:bottom w:val="single" w:sz="4" w:space="0" w:color="auto"/>
            </w:tcBorders>
          </w:tcPr>
          <w:p w14:paraId="250817EE"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single" w:sz="4" w:space="0" w:color="auto"/>
            </w:tcBorders>
            <w:vAlign w:val="center"/>
          </w:tcPr>
          <w:p w14:paraId="428AC46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114/286 (39.9)</w:t>
            </w:r>
          </w:p>
        </w:tc>
        <w:tc>
          <w:tcPr>
            <w:tcW w:w="1134" w:type="dxa"/>
            <w:tcBorders>
              <w:top w:val="nil"/>
              <w:bottom w:val="single" w:sz="4" w:space="0" w:color="auto"/>
            </w:tcBorders>
            <w:vAlign w:val="center"/>
          </w:tcPr>
          <w:p w14:paraId="609D6D1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112/291 (38.5)</w:t>
            </w:r>
          </w:p>
        </w:tc>
        <w:tc>
          <w:tcPr>
            <w:tcW w:w="1353" w:type="dxa"/>
            <w:tcBorders>
              <w:top w:val="nil"/>
              <w:bottom w:val="single" w:sz="4" w:space="0" w:color="auto"/>
            </w:tcBorders>
            <w:vAlign w:val="center"/>
          </w:tcPr>
          <w:p w14:paraId="126E3A96"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1.06 (0.76, 1.48)</w:t>
            </w:r>
          </w:p>
        </w:tc>
        <w:tc>
          <w:tcPr>
            <w:tcW w:w="1353" w:type="dxa"/>
            <w:tcBorders>
              <w:top w:val="nil"/>
              <w:bottom w:val="single" w:sz="4" w:space="0" w:color="auto"/>
            </w:tcBorders>
            <w:vAlign w:val="center"/>
          </w:tcPr>
          <w:p w14:paraId="29CA475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(0.85, 1.27)</w:t>
            </w:r>
          </w:p>
        </w:tc>
        <w:tc>
          <w:tcPr>
            <w:tcW w:w="1353" w:type="dxa"/>
            <w:tcBorders>
              <w:top w:val="nil"/>
              <w:bottom w:val="single" w:sz="4" w:space="0" w:color="auto"/>
            </w:tcBorders>
            <w:vAlign w:val="center"/>
          </w:tcPr>
          <w:p w14:paraId="501E921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0.01 (-0.07, 0.09)</w:t>
            </w:r>
          </w:p>
        </w:tc>
      </w:tr>
      <w:tr w:rsidR="00516309" w:rsidRPr="002D158B" w14:paraId="57A7175C" w14:textId="77777777" w:rsidTr="00286E68">
        <w:tc>
          <w:tcPr>
            <w:tcW w:w="2689" w:type="dxa"/>
            <w:tcBorders>
              <w:top w:val="single" w:sz="4" w:space="0" w:color="auto"/>
              <w:bottom w:val="nil"/>
            </w:tcBorders>
          </w:tcPr>
          <w:p w14:paraId="45B8EF51" w14:textId="77777777" w:rsidR="00516309" w:rsidRPr="002D158B" w:rsidRDefault="00516309" w:rsidP="00185675">
            <w:pPr>
              <w:keepNext/>
              <w:keepLines/>
              <w:rPr>
                <w:rFonts w:ascii="Arial Narrow" w:hAnsi="Arial Narrow"/>
                <w:sz w:val="20"/>
              </w:rPr>
            </w:pPr>
            <w:r w:rsidRPr="002D158B">
              <w:rPr>
                <w:rFonts w:ascii="Arial Narrow" w:hAnsi="Arial Narrow"/>
                <w:b/>
                <w:bCs/>
                <w:sz w:val="20"/>
              </w:rPr>
              <w:t>Maintenance, GUS 200 vs UST 90</w:t>
            </w:r>
          </w:p>
        </w:tc>
        <w:tc>
          <w:tcPr>
            <w:tcW w:w="1134" w:type="dxa"/>
            <w:tcBorders>
              <w:top w:val="single" w:sz="4" w:space="0" w:color="auto"/>
              <w:bottom w:val="nil"/>
            </w:tcBorders>
            <w:vAlign w:val="center"/>
          </w:tcPr>
          <w:p w14:paraId="62C1C254" w14:textId="77777777" w:rsidR="00516309" w:rsidRPr="002D158B" w:rsidRDefault="00516309" w:rsidP="00185675">
            <w:pPr>
              <w:keepNext/>
              <w:keepLines/>
              <w:jc w:val="center"/>
              <w:rPr>
                <w:rFonts w:ascii="Arial Narrow" w:hAnsi="Arial Narrow"/>
                <w:sz w:val="20"/>
              </w:rPr>
            </w:pPr>
          </w:p>
        </w:tc>
        <w:tc>
          <w:tcPr>
            <w:tcW w:w="1134" w:type="dxa"/>
            <w:tcBorders>
              <w:top w:val="single" w:sz="4" w:space="0" w:color="auto"/>
              <w:bottom w:val="nil"/>
            </w:tcBorders>
            <w:vAlign w:val="center"/>
          </w:tcPr>
          <w:p w14:paraId="3E48EA6E" w14:textId="77777777" w:rsidR="00516309" w:rsidRPr="002D158B" w:rsidRDefault="00516309" w:rsidP="00185675">
            <w:pPr>
              <w:keepNext/>
              <w:keepLines/>
              <w:jc w:val="center"/>
              <w:rPr>
                <w:rFonts w:ascii="Arial Narrow" w:hAnsi="Arial Narrow"/>
                <w:sz w:val="20"/>
              </w:rPr>
            </w:pPr>
          </w:p>
        </w:tc>
        <w:tc>
          <w:tcPr>
            <w:tcW w:w="1353" w:type="dxa"/>
            <w:tcBorders>
              <w:top w:val="single" w:sz="4" w:space="0" w:color="auto"/>
              <w:bottom w:val="nil"/>
            </w:tcBorders>
            <w:vAlign w:val="center"/>
          </w:tcPr>
          <w:p w14:paraId="0E56569B" w14:textId="77777777" w:rsidR="00516309" w:rsidRPr="002D158B" w:rsidRDefault="00516309" w:rsidP="00185675">
            <w:pPr>
              <w:keepNext/>
              <w:keepLines/>
              <w:jc w:val="center"/>
              <w:rPr>
                <w:rFonts w:ascii="Arial Narrow" w:hAnsi="Arial Narrow"/>
                <w:sz w:val="20"/>
              </w:rPr>
            </w:pPr>
          </w:p>
        </w:tc>
        <w:tc>
          <w:tcPr>
            <w:tcW w:w="1353" w:type="dxa"/>
            <w:tcBorders>
              <w:top w:val="single" w:sz="4" w:space="0" w:color="auto"/>
              <w:bottom w:val="nil"/>
            </w:tcBorders>
            <w:vAlign w:val="center"/>
          </w:tcPr>
          <w:p w14:paraId="21452737" w14:textId="77777777" w:rsidR="00516309" w:rsidRPr="002D158B" w:rsidRDefault="00516309" w:rsidP="00185675">
            <w:pPr>
              <w:keepNext/>
              <w:keepLines/>
              <w:jc w:val="center"/>
              <w:rPr>
                <w:rFonts w:ascii="Arial Narrow" w:hAnsi="Arial Narrow"/>
                <w:sz w:val="20"/>
              </w:rPr>
            </w:pPr>
          </w:p>
        </w:tc>
        <w:tc>
          <w:tcPr>
            <w:tcW w:w="1353" w:type="dxa"/>
            <w:tcBorders>
              <w:top w:val="single" w:sz="4" w:space="0" w:color="auto"/>
              <w:bottom w:val="nil"/>
            </w:tcBorders>
            <w:vAlign w:val="center"/>
          </w:tcPr>
          <w:p w14:paraId="74FE3794" w14:textId="77777777" w:rsidR="00516309" w:rsidRPr="002D158B" w:rsidRDefault="00516309" w:rsidP="00185675">
            <w:pPr>
              <w:keepNext/>
              <w:keepLines/>
              <w:jc w:val="center"/>
              <w:rPr>
                <w:rFonts w:ascii="Arial Narrow" w:hAnsi="Arial Narrow"/>
                <w:sz w:val="20"/>
              </w:rPr>
            </w:pPr>
          </w:p>
        </w:tc>
      </w:tr>
      <w:tr w:rsidR="00516309" w:rsidRPr="002D158B" w14:paraId="7059CD1D" w14:textId="77777777" w:rsidTr="00286E68">
        <w:tc>
          <w:tcPr>
            <w:tcW w:w="2689" w:type="dxa"/>
            <w:tcBorders>
              <w:top w:val="nil"/>
              <w:bottom w:val="nil"/>
            </w:tcBorders>
          </w:tcPr>
          <w:p w14:paraId="40380228"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Clinical remission (Wk48)</w:t>
            </w:r>
          </w:p>
        </w:tc>
        <w:tc>
          <w:tcPr>
            <w:tcW w:w="1134" w:type="dxa"/>
            <w:tcBorders>
              <w:top w:val="nil"/>
              <w:bottom w:val="nil"/>
            </w:tcBorders>
            <w:vAlign w:val="center"/>
          </w:tcPr>
          <w:p w14:paraId="3FB79B49"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01CD28CC"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36A2D574"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1FE39797"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793B3B2B" w14:textId="77777777" w:rsidR="00516309" w:rsidRPr="002D158B" w:rsidRDefault="00516309" w:rsidP="00185675">
            <w:pPr>
              <w:keepNext/>
              <w:keepLines/>
              <w:jc w:val="center"/>
              <w:rPr>
                <w:rFonts w:ascii="Arial Narrow" w:hAnsi="Arial Narrow"/>
                <w:sz w:val="20"/>
              </w:rPr>
            </w:pPr>
          </w:p>
        </w:tc>
      </w:tr>
      <w:tr w:rsidR="00516309" w:rsidRPr="002D158B" w14:paraId="341AB7FE" w14:textId="77777777" w:rsidTr="00286E68">
        <w:tc>
          <w:tcPr>
            <w:tcW w:w="2689" w:type="dxa"/>
            <w:tcBorders>
              <w:top w:val="nil"/>
              <w:bottom w:val="nil"/>
            </w:tcBorders>
          </w:tcPr>
          <w:p w14:paraId="401ED256"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7978105E" w14:textId="77777777" w:rsidR="00516309" w:rsidRPr="002D158B" w:rsidRDefault="00516309" w:rsidP="00286E68">
            <w:pPr>
              <w:jc w:val="center"/>
              <w:rPr>
                <w:rFonts w:ascii="Arial Narrow" w:hAnsi="Arial Narrow"/>
                <w:sz w:val="20"/>
              </w:rPr>
            </w:pPr>
            <w:r w:rsidRPr="002D158B">
              <w:rPr>
                <w:rFonts w:ascii="Arial Narrow" w:hAnsi="Arial Narrow"/>
                <w:sz w:val="20"/>
              </w:rPr>
              <w:t>289/420 (68.8)</w:t>
            </w:r>
          </w:p>
        </w:tc>
        <w:tc>
          <w:tcPr>
            <w:tcW w:w="1134" w:type="dxa"/>
            <w:tcBorders>
              <w:top w:val="nil"/>
              <w:bottom w:val="nil"/>
            </w:tcBorders>
          </w:tcPr>
          <w:p w14:paraId="0E18F245" w14:textId="77777777" w:rsidR="00516309" w:rsidRPr="002D158B" w:rsidRDefault="00516309" w:rsidP="00286E68">
            <w:pPr>
              <w:jc w:val="center"/>
              <w:rPr>
                <w:rFonts w:ascii="Arial Narrow" w:hAnsi="Arial Narrow"/>
                <w:sz w:val="20"/>
              </w:rPr>
            </w:pPr>
            <w:r w:rsidRPr="002D158B">
              <w:rPr>
                <w:rFonts w:ascii="Arial Narrow" w:hAnsi="Arial Narrow"/>
                <w:sz w:val="20"/>
              </w:rPr>
              <w:t>220/354 (62.1)</w:t>
            </w:r>
          </w:p>
        </w:tc>
        <w:tc>
          <w:tcPr>
            <w:tcW w:w="1353" w:type="dxa"/>
            <w:tcBorders>
              <w:top w:val="nil"/>
              <w:bottom w:val="nil"/>
            </w:tcBorders>
          </w:tcPr>
          <w:p w14:paraId="6E12E7F4"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1.38 (1.02, 1.87)</w:t>
            </w:r>
          </w:p>
        </w:tc>
        <w:tc>
          <w:tcPr>
            <w:tcW w:w="1353" w:type="dxa"/>
            <w:tcBorders>
              <w:top w:val="nil"/>
              <w:bottom w:val="nil"/>
            </w:tcBorders>
          </w:tcPr>
          <w:p w14:paraId="66595FE5"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1.12 (1.01, 1.24)</w:t>
            </w:r>
          </w:p>
        </w:tc>
        <w:tc>
          <w:tcPr>
            <w:tcW w:w="1353" w:type="dxa"/>
            <w:tcBorders>
              <w:top w:val="nil"/>
              <w:bottom w:val="nil"/>
            </w:tcBorders>
          </w:tcPr>
          <w:p w14:paraId="0DC0AF88"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0.07 (0.01, 0.14)</w:t>
            </w:r>
          </w:p>
        </w:tc>
      </w:tr>
      <w:tr w:rsidR="00516309" w:rsidRPr="002D158B" w14:paraId="5F59F077" w14:textId="77777777" w:rsidTr="00286E68">
        <w:tc>
          <w:tcPr>
            <w:tcW w:w="2689" w:type="dxa"/>
            <w:tcBorders>
              <w:top w:val="nil"/>
              <w:bottom w:val="nil"/>
            </w:tcBorders>
          </w:tcPr>
          <w:p w14:paraId="00115EF9"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357525D0" w14:textId="77777777" w:rsidR="00516309" w:rsidRPr="002D158B" w:rsidRDefault="00516309" w:rsidP="00286E68">
            <w:pPr>
              <w:jc w:val="center"/>
              <w:rPr>
                <w:rFonts w:ascii="Arial Narrow" w:hAnsi="Arial Narrow"/>
                <w:sz w:val="20"/>
              </w:rPr>
            </w:pPr>
            <w:r w:rsidRPr="002D158B">
              <w:rPr>
                <w:rFonts w:ascii="Arial Narrow" w:hAnsi="Arial Narrow"/>
                <w:sz w:val="20"/>
              </w:rPr>
              <w:t>208/296 (70.3)</w:t>
            </w:r>
          </w:p>
        </w:tc>
        <w:tc>
          <w:tcPr>
            <w:tcW w:w="1134" w:type="dxa"/>
            <w:tcBorders>
              <w:top w:val="nil"/>
              <w:bottom w:val="nil"/>
            </w:tcBorders>
            <w:vAlign w:val="center"/>
          </w:tcPr>
          <w:p w14:paraId="6A386E9C" w14:textId="77777777" w:rsidR="00516309" w:rsidRPr="002D158B" w:rsidRDefault="00516309" w:rsidP="00286E68">
            <w:pPr>
              <w:jc w:val="center"/>
              <w:rPr>
                <w:rFonts w:ascii="Arial Narrow" w:hAnsi="Arial Narrow"/>
                <w:sz w:val="20"/>
              </w:rPr>
            </w:pPr>
            <w:r w:rsidRPr="002D158B">
              <w:rPr>
                <w:rFonts w:ascii="Arial Narrow" w:hAnsi="Arial Narrow"/>
                <w:sz w:val="20"/>
              </w:rPr>
              <w:t>183/291 (62.9)</w:t>
            </w:r>
          </w:p>
        </w:tc>
        <w:tc>
          <w:tcPr>
            <w:tcW w:w="1353" w:type="dxa"/>
            <w:tcBorders>
              <w:top w:val="nil"/>
              <w:bottom w:val="nil"/>
            </w:tcBorders>
            <w:vAlign w:val="center"/>
          </w:tcPr>
          <w:p w14:paraId="11F83A2E" w14:textId="77777777" w:rsidR="00516309" w:rsidRPr="002D158B" w:rsidRDefault="00516309" w:rsidP="00286E68">
            <w:pPr>
              <w:jc w:val="center"/>
              <w:rPr>
                <w:rFonts w:ascii="Arial Narrow" w:hAnsi="Arial Narrow"/>
                <w:sz w:val="20"/>
              </w:rPr>
            </w:pPr>
            <w:r w:rsidRPr="002D158B">
              <w:rPr>
                <w:rFonts w:ascii="Arial Narrow" w:hAnsi="Arial Narrow"/>
                <w:sz w:val="20"/>
              </w:rPr>
              <w:t>1.40 (0.99, 1.97)</w:t>
            </w:r>
          </w:p>
        </w:tc>
        <w:tc>
          <w:tcPr>
            <w:tcW w:w="1353" w:type="dxa"/>
            <w:tcBorders>
              <w:top w:val="nil"/>
              <w:bottom w:val="nil"/>
            </w:tcBorders>
            <w:vAlign w:val="center"/>
          </w:tcPr>
          <w:p w14:paraId="7ADCB293" w14:textId="77777777" w:rsidR="00516309" w:rsidRPr="002D158B" w:rsidRDefault="00516309" w:rsidP="00286E68">
            <w:pPr>
              <w:jc w:val="center"/>
              <w:rPr>
                <w:rFonts w:ascii="Arial Narrow" w:hAnsi="Arial Narrow"/>
                <w:sz w:val="20"/>
              </w:rPr>
            </w:pPr>
            <w:r w:rsidRPr="002D158B">
              <w:rPr>
                <w:rFonts w:ascii="Arial Narrow" w:hAnsi="Arial Narrow"/>
                <w:sz w:val="20"/>
              </w:rPr>
              <w:t>1.12 (1.00, 1.26)</w:t>
            </w:r>
          </w:p>
        </w:tc>
        <w:tc>
          <w:tcPr>
            <w:tcW w:w="1353" w:type="dxa"/>
            <w:tcBorders>
              <w:top w:val="nil"/>
              <w:bottom w:val="nil"/>
            </w:tcBorders>
            <w:vAlign w:val="center"/>
          </w:tcPr>
          <w:p w14:paraId="7FBBB69F" w14:textId="77777777" w:rsidR="00516309" w:rsidRPr="002D158B" w:rsidRDefault="00516309" w:rsidP="00286E68">
            <w:pPr>
              <w:jc w:val="center"/>
              <w:rPr>
                <w:rFonts w:ascii="Arial Narrow" w:hAnsi="Arial Narrow"/>
                <w:sz w:val="20"/>
              </w:rPr>
            </w:pPr>
            <w:r w:rsidRPr="002D158B">
              <w:rPr>
                <w:rFonts w:ascii="Arial Narrow" w:hAnsi="Arial Narrow"/>
                <w:sz w:val="20"/>
              </w:rPr>
              <w:t>0.07 (0.00, 0.15)</w:t>
            </w:r>
          </w:p>
        </w:tc>
      </w:tr>
      <w:tr w:rsidR="00516309" w:rsidRPr="002D158B" w14:paraId="16577D5D" w14:textId="77777777" w:rsidTr="00286E68">
        <w:tc>
          <w:tcPr>
            <w:tcW w:w="2689" w:type="dxa"/>
            <w:tcBorders>
              <w:top w:val="nil"/>
              <w:bottom w:val="nil"/>
            </w:tcBorders>
          </w:tcPr>
          <w:p w14:paraId="186AE511" w14:textId="77777777" w:rsidR="00516309" w:rsidRPr="002D158B" w:rsidRDefault="00516309" w:rsidP="00286E68">
            <w:pPr>
              <w:ind w:left="109"/>
              <w:rPr>
                <w:rFonts w:ascii="Arial Narrow" w:hAnsi="Arial Narrow"/>
                <w:sz w:val="20"/>
              </w:rPr>
            </w:pPr>
            <w:r w:rsidRPr="002D158B">
              <w:rPr>
                <w:rFonts w:ascii="Arial Narrow" w:hAnsi="Arial Narrow"/>
                <w:b/>
                <w:bCs/>
                <w:sz w:val="20"/>
              </w:rPr>
              <w:t>Clinical response (Wk48)</w:t>
            </w:r>
          </w:p>
        </w:tc>
        <w:tc>
          <w:tcPr>
            <w:tcW w:w="1134" w:type="dxa"/>
            <w:tcBorders>
              <w:top w:val="nil"/>
              <w:bottom w:val="nil"/>
            </w:tcBorders>
            <w:vAlign w:val="center"/>
          </w:tcPr>
          <w:p w14:paraId="57E27CDD"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26DD1343"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0A38B72D"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3CD7F7EA"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444E992F" w14:textId="77777777" w:rsidR="00516309" w:rsidRPr="002D158B" w:rsidRDefault="00516309" w:rsidP="00286E68">
            <w:pPr>
              <w:jc w:val="center"/>
              <w:rPr>
                <w:rFonts w:ascii="Arial Narrow" w:hAnsi="Arial Narrow"/>
                <w:sz w:val="20"/>
              </w:rPr>
            </w:pPr>
          </w:p>
        </w:tc>
      </w:tr>
      <w:tr w:rsidR="00516309" w:rsidRPr="002D158B" w14:paraId="198D7611" w14:textId="77777777" w:rsidTr="00286E68">
        <w:tc>
          <w:tcPr>
            <w:tcW w:w="2689" w:type="dxa"/>
            <w:tcBorders>
              <w:top w:val="nil"/>
              <w:bottom w:val="nil"/>
            </w:tcBorders>
          </w:tcPr>
          <w:p w14:paraId="357111BB" w14:textId="77777777" w:rsidR="00516309" w:rsidRPr="002D158B" w:rsidRDefault="00516309" w:rsidP="00286E68">
            <w:pPr>
              <w:ind w:left="251"/>
              <w:rPr>
                <w:rFonts w:ascii="Arial Narrow" w:hAnsi="Arial Narrow"/>
                <w:sz w:val="20"/>
              </w:rPr>
            </w:pPr>
            <w:r w:rsidRPr="002D158B">
              <w:rPr>
                <w:rFonts w:ascii="Arial Narrow" w:hAnsi="Arial Narrow"/>
                <w:sz w:val="20"/>
              </w:rPr>
              <w:lastRenderedPageBreak/>
              <w:t>GALAXI 1, 2, 3 meta-analysis</w:t>
            </w:r>
          </w:p>
        </w:tc>
        <w:tc>
          <w:tcPr>
            <w:tcW w:w="1134" w:type="dxa"/>
            <w:tcBorders>
              <w:top w:val="nil"/>
              <w:bottom w:val="nil"/>
            </w:tcBorders>
          </w:tcPr>
          <w:p w14:paraId="4DC20E92" w14:textId="77777777" w:rsidR="00516309" w:rsidRPr="002D158B" w:rsidRDefault="00516309" w:rsidP="00286E68">
            <w:pPr>
              <w:jc w:val="center"/>
              <w:rPr>
                <w:rFonts w:ascii="Arial Narrow" w:hAnsi="Arial Narrow"/>
                <w:sz w:val="20"/>
              </w:rPr>
            </w:pPr>
            <w:r w:rsidRPr="002D158B">
              <w:rPr>
                <w:rFonts w:ascii="Arial Narrow" w:hAnsi="Arial Narrow"/>
                <w:sz w:val="20"/>
              </w:rPr>
              <w:t>319/420 (76.0)</w:t>
            </w:r>
          </w:p>
        </w:tc>
        <w:tc>
          <w:tcPr>
            <w:tcW w:w="1134" w:type="dxa"/>
            <w:tcBorders>
              <w:top w:val="nil"/>
              <w:bottom w:val="nil"/>
            </w:tcBorders>
          </w:tcPr>
          <w:p w14:paraId="28B5D680" w14:textId="77777777" w:rsidR="00516309" w:rsidRPr="002D158B" w:rsidRDefault="00516309" w:rsidP="00286E68">
            <w:pPr>
              <w:jc w:val="center"/>
              <w:rPr>
                <w:rFonts w:ascii="Arial Narrow" w:hAnsi="Arial Narrow"/>
                <w:sz w:val="20"/>
              </w:rPr>
            </w:pPr>
            <w:r w:rsidRPr="002D158B">
              <w:rPr>
                <w:rFonts w:ascii="Arial Narrow" w:hAnsi="Arial Narrow"/>
                <w:sz w:val="20"/>
              </w:rPr>
              <w:t>247/354 (69.8)</w:t>
            </w:r>
          </w:p>
        </w:tc>
        <w:tc>
          <w:tcPr>
            <w:tcW w:w="1353" w:type="dxa"/>
            <w:tcBorders>
              <w:top w:val="nil"/>
              <w:bottom w:val="nil"/>
            </w:tcBorders>
          </w:tcPr>
          <w:p w14:paraId="62F2AFB5" w14:textId="77777777" w:rsidR="00516309" w:rsidRPr="002D158B" w:rsidRDefault="00516309" w:rsidP="00286E68">
            <w:pPr>
              <w:jc w:val="center"/>
              <w:rPr>
                <w:rFonts w:ascii="Arial Narrow" w:hAnsi="Arial Narrow"/>
                <w:sz w:val="20"/>
              </w:rPr>
            </w:pPr>
            <w:r w:rsidRPr="002D158B">
              <w:rPr>
                <w:rFonts w:ascii="Arial Narrow" w:hAnsi="Arial Narrow"/>
                <w:sz w:val="20"/>
              </w:rPr>
              <w:t>1.38 (1.00, 1.90)</w:t>
            </w:r>
          </w:p>
        </w:tc>
        <w:tc>
          <w:tcPr>
            <w:tcW w:w="1353" w:type="dxa"/>
            <w:tcBorders>
              <w:top w:val="nil"/>
              <w:bottom w:val="nil"/>
            </w:tcBorders>
          </w:tcPr>
          <w:p w14:paraId="134BB056"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sz w:val="20"/>
              </w:rPr>
              <w:t>1.09 (1.00, 1.19)</w:t>
            </w:r>
          </w:p>
        </w:tc>
        <w:tc>
          <w:tcPr>
            <w:tcW w:w="1353" w:type="dxa"/>
            <w:tcBorders>
              <w:top w:val="nil"/>
              <w:bottom w:val="nil"/>
            </w:tcBorders>
          </w:tcPr>
          <w:p w14:paraId="59B89733"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sz w:val="20"/>
              </w:rPr>
              <w:t>0.06 (0.00, 0.13)</w:t>
            </w:r>
          </w:p>
        </w:tc>
      </w:tr>
      <w:tr w:rsidR="00516309" w:rsidRPr="002D158B" w14:paraId="1A93198A" w14:textId="77777777" w:rsidTr="00286E68">
        <w:tc>
          <w:tcPr>
            <w:tcW w:w="2689" w:type="dxa"/>
            <w:tcBorders>
              <w:top w:val="nil"/>
              <w:bottom w:val="nil"/>
            </w:tcBorders>
          </w:tcPr>
          <w:p w14:paraId="62F72B49"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3F4489CE" w14:textId="77777777" w:rsidR="00516309" w:rsidRPr="002D158B" w:rsidRDefault="00516309" w:rsidP="00286E68">
            <w:pPr>
              <w:jc w:val="center"/>
              <w:rPr>
                <w:rFonts w:ascii="Arial Narrow" w:hAnsi="Arial Narrow"/>
                <w:sz w:val="20"/>
              </w:rPr>
            </w:pPr>
            <w:r w:rsidRPr="002D158B">
              <w:rPr>
                <w:rFonts w:ascii="Arial Narrow" w:hAnsi="Arial Narrow"/>
                <w:sz w:val="20"/>
              </w:rPr>
              <w:t>225/296 (76.0)</w:t>
            </w:r>
          </w:p>
        </w:tc>
        <w:tc>
          <w:tcPr>
            <w:tcW w:w="1134" w:type="dxa"/>
            <w:tcBorders>
              <w:top w:val="nil"/>
              <w:bottom w:val="nil"/>
            </w:tcBorders>
            <w:vAlign w:val="center"/>
          </w:tcPr>
          <w:p w14:paraId="43676819" w14:textId="77777777" w:rsidR="00516309" w:rsidRPr="002D158B" w:rsidRDefault="00516309" w:rsidP="00286E68">
            <w:pPr>
              <w:jc w:val="center"/>
              <w:rPr>
                <w:rFonts w:ascii="Arial Narrow" w:hAnsi="Arial Narrow"/>
                <w:sz w:val="20"/>
              </w:rPr>
            </w:pPr>
            <w:r w:rsidRPr="002D158B">
              <w:rPr>
                <w:rFonts w:ascii="Arial Narrow" w:hAnsi="Arial Narrow"/>
                <w:sz w:val="20"/>
              </w:rPr>
              <w:t>204/291 (70.1)</w:t>
            </w:r>
          </w:p>
        </w:tc>
        <w:tc>
          <w:tcPr>
            <w:tcW w:w="1353" w:type="dxa"/>
            <w:tcBorders>
              <w:top w:val="nil"/>
              <w:bottom w:val="nil"/>
            </w:tcBorders>
            <w:vAlign w:val="center"/>
          </w:tcPr>
          <w:p w14:paraId="71114CC3" w14:textId="77777777" w:rsidR="00516309" w:rsidRPr="002D158B" w:rsidRDefault="00516309" w:rsidP="00286E68">
            <w:pPr>
              <w:jc w:val="center"/>
              <w:rPr>
                <w:rFonts w:ascii="Arial Narrow" w:hAnsi="Arial Narrow"/>
                <w:sz w:val="20"/>
              </w:rPr>
            </w:pPr>
            <w:r w:rsidRPr="002D158B">
              <w:rPr>
                <w:rFonts w:ascii="Arial Narrow" w:hAnsi="Arial Narrow"/>
                <w:sz w:val="20"/>
              </w:rPr>
              <w:t>1.35 (0.94, 1.96)</w:t>
            </w:r>
          </w:p>
        </w:tc>
        <w:tc>
          <w:tcPr>
            <w:tcW w:w="1353" w:type="dxa"/>
            <w:tcBorders>
              <w:top w:val="nil"/>
              <w:bottom w:val="nil"/>
            </w:tcBorders>
            <w:vAlign w:val="center"/>
          </w:tcPr>
          <w:p w14:paraId="3FBAD232" w14:textId="77777777" w:rsidR="00516309" w:rsidRPr="002D158B" w:rsidRDefault="00516309" w:rsidP="00286E68">
            <w:pPr>
              <w:jc w:val="center"/>
              <w:rPr>
                <w:rFonts w:ascii="Arial Narrow" w:hAnsi="Arial Narrow"/>
                <w:sz w:val="20"/>
              </w:rPr>
            </w:pPr>
            <w:r w:rsidRPr="002D158B">
              <w:rPr>
                <w:rFonts w:ascii="Arial Narrow" w:hAnsi="Arial Narrow"/>
                <w:sz w:val="20"/>
              </w:rPr>
              <w:t>1.09 (0.99, 1.20)</w:t>
            </w:r>
          </w:p>
        </w:tc>
        <w:tc>
          <w:tcPr>
            <w:tcW w:w="1353" w:type="dxa"/>
            <w:tcBorders>
              <w:top w:val="nil"/>
              <w:bottom w:val="nil"/>
            </w:tcBorders>
            <w:vAlign w:val="center"/>
          </w:tcPr>
          <w:p w14:paraId="7D1E9DA7" w14:textId="77777777" w:rsidR="00516309" w:rsidRPr="002D158B" w:rsidRDefault="00516309" w:rsidP="00286E68">
            <w:pPr>
              <w:jc w:val="center"/>
              <w:rPr>
                <w:rFonts w:ascii="Arial Narrow" w:hAnsi="Arial Narrow"/>
                <w:sz w:val="20"/>
              </w:rPr>
            </w:pPr>
            <w:r w:rsidRPr="002D158B">
              <w:rPr>
                <w:rFonts w:ascii="Arial Narrow" w:hAnsi="Arial Narrow"/>
                <w:sz w:val="20"/>
              </w:rPr>
              <w:t>0.06 (-0.01, 0.13)</w:t>
            </w:r>
          </w:p>
        </w:tc>
      </w:tr>
      <w:tr w:rsidR="00516309" w:rsidRPr="002D158B" w14:paraId="634C6EC7" w14:textId="77777777" w:rsidTr="00286E68">
        <w:tc>
          <w:tcPr>
            <w:tcW w:w="2689" w:type="dxa"/>
            <w:tcBorders>
              <w:top w:val="nil"/>
              <w:bottom w:val="nil"/>
            </w:tcBorders>
          </w:tcPr>
          <w:p w14:paraId="18477F01" w14:textId="77777777" w:rsidR="00516309" w:rsidRPr="002D158B" w:rsidRDefault="00516309" w:rsidP="00286E68">
            <w:pPr>
              <w:ind w:left="109"/>
              <w:rPr>
                <w:rFonts w:ascii="Arial Narrow" w:hAnsi="Arial Narrow"/>
                <w:sz w:val="20"/>
              </w:rPr>
            </w:pPr>
            <w:r w:rsidRPr="002D158B">
              <w:rPr>
                <w:rFonts w:ascii="Arial Narrow" w:hAnsi="Arial Narrow"/>
                <w:b/>
                <w:bCs/>
                <w:sz w:val="20"/>
              </w:rPr>
              <w:t>Endoscopic remission (Wk48)</w:t>
            </w:r>
          </w:p>
        </w:tc>
        <w:tc>
          <w:tcPr>
            <w:tcW w:w="1134" w:type="dxa"/>
            <w:tcBorders>
              <w:top w:val="nil"/>
              <w:bottom w:val="nil"/>
            </w:tcBorders>
            <w:vAlign w:val="center"/>
          </w:tcPr>
          <w:p w14:paraId="09E001DD"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71B42D1C"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2833835C"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5B432162"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396498F3" w14:textId="77777777" w:rsidR="00516309" w:rsidRPr="002D158B" w:rsidRDefault="00516309" w:rsidP="00286E68">
            <w:pPr>
              <w:jc w:val="center"/>
              <w:rPr>
                <w:rFonts w:ascii="Arial Narrow" w:hAnsi="Arial Narrow"/>
                <w:sz w:val="20"/>
              </w:rPr>
            </w:pPr>
          </w:p>
        </w:tc>
      </w:tr>
      <w:tr w:rsidR="00516309" w:rsidRPr="002D158B" w14:paraId="33E3CB72" w14:textId="77777777" w:rsidTr="00286E68">
        <w:tc>
          <w:tcPr>
            <w:tcW w:w="2689" w:type="dxa"/>
            <w:tcBorders>
              <w:top w:val="nil"/>
              <w:bottom w:val="nil"/>
            </w:tcBorders>
          </w:tcPr>
          <w:p w14:paraId="0642B398"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47F085E4" w14:textId="77777777" w:rsidR="00516309" w:rsidRPr="002D158B" w:rsidRDefault="00516309" w:rsidP="00286E68">
            <w:pPr>
              <w:jc w:val="center"/>
              <w:rPr>
                <w:rFonts w:ascii="Arial Narrow" w:hAnsi="Arial Narrow"/>
                <w:sz w:val="20"/>
              </w:rPr>
            </w:pPr>
            <w:r w:rsidRPr="002D158B">
              <w:rPr>
                <w:rFonts w:ascii="Arial Narrow" w:hAnsi="Arial Narrow"/>
                <w:sz w:val="20"/>
              </w:rPr>
              <w:t>141/420 (33.6)</w:t>
            </w:r>
          </w:p>
        </w:tc>
        <w:tc>
          <w:tcPr>
            <w:tcW w:w="1134" w:type="dxa"/>
            <w:tcBorders>
              <w:top w:val="nil"/>
              <w:bottom w:val="nil"/>
            </w:tcBorders>
          </w:tcPr>
          <w:p w14:paraId="714D5417" w14:textId="77777777" w:rsidR="00516309" w:rsidRPr="002D158B" w:rsidRDefault="00516309" w:rsidP="00286E68">
            <w:pPr>
              <w:jc w:val="center"/>
              <w:rPr>
                <w:rFonts w:ascii="Arial Narrow" w:hAnsi="Arial Narrow"/>
                <w:sz w:val="20"/>
              </w:rPr>
            </w:pPr>
            <w:r w:rsidRPr="002D158B">
              <w:rPr>
                <w:rFonts w:ascii="Arial Narrow" w:hAnsi="Arial Narrow"/>
                <w:sz w:val="20"/>
              </w:rPr>
              <w:t>76/354 (21.5)</w:t>
            </w:r>
          </w:p>
        </w:tc>
        <w:tc>
          <w:tcPr>
            <w:tcW w:w="1353" w:type="dxa"/>
            <w:tcBorders>
              <w:top w:val="nil"/>
              <w:bottom w:val="nil"/>
            </w:tcBorders>
          </w:tcPr>
          <w:p w14:paraId="3E9FF582"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2.15 (1.24, 3.7)</w:t>
            </w:r>
          </w:p>
        </w:tc>
        <w:tc>
          <w:tcPr>
            <w:tcW w:w="1353" w:type="dxa"/>
            <w:tcBorders>
              <w:top w:val="nil"/>
              <w:bottom w:val="nil"/>
            </w:tcBorders>
          </w:tcPr>
          <w:p w14:paraId="199A5F82"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1.70 (1.14, 2.53)</w:t>
            </w:r>
          </w:p>
        </w:tc>
        <w:tc>
          <w:tcPr>
            <w:tcW w:w="1353" w:type="dxa"/>
            <w:tcBorders>
              <w:top w:val="nil"/>
              <w:bottom w:val="nil"/>
            </w:tcBorders>
          </w:tcPr>
          <w:p w14:paraId="524ECB8D"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0.14 (0.07, 0.22)</w:t>
            </w:r>
          </w:p>
        </w:tc>
      </w:tr>
      <w:tr w:rsidR="00516309" w:rsidRPr="002D158B" w14:paraId="003E16E2" w14:textId="77777777" w:rsidTr="00286E68">
        <w:tc>
          <w:tcPr>
            <w:tcW w:w="2689" w:type="dxa"/>
            <w:tcBorders>
              <w:top w:val="nil"/>
              <w:bottom w:val="nil"/>
            </w:tcBorders>
          </w:tcPr>
          <w:p w14:paraId="4500AB7B"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45BF6A12" w14:textId="77777777" w:rsidR="00516309" w:rsidRPr="002D158B" w:rsidRDefault="00516309" w:rsidP="00286E68">
            <w:pPr>
              <w:jc w:val="center"/>
              <w:rPr>
                <w:rFonts w:ascii="Arial Narrow" w:hAnsi="Arial Narrow"/>
                <w:sz w:val="20"/>
              </w:rPr>
            </w:pPr>
            <w:r w:rsidRPr="002D158B">
              <w:rPr>
                <w:rFonts w:ascii="Arial Narrow" w:hAnsi="Arial Narrow"/>
                <w:sz w:val="20"/>
              </w:rPr>
              <w:t>110/296 (37.2)</w:t>
            </w:r>
          </w:p>
        </w:tc>
        <w:tc>
          <w:tcPr>
            <w:tcW w:w="1134" w:type="dxa"/>
            <w:tcBorders>
              <w:top w:val="nil"/>
              <w:bottom w:val="nil"/>
            </w:tcBorders>
            <w:vAlign w:val="center"/>
          </w:tcPr>
          <w:p w14:paraId="5B550CF4" w14:textId="77777777" w:rsidR="00516309" w:rsidRPr="002D158B" w:rsidRDefault="00516309" w:rsidP="00286E68">
            <w:pPr>
              <w:jc w:val="center"/>
              <w:rPr>
                <w:rFonts w:ascii="Arial Narrow" w:hAnsi="Arial Narrow"/>
                <w:sz w:val="20"/>
              </w:rPr>
            </w:pPr>
            <w:r w:rsidRPr="002D158B">
              <w:rPr>
                <w:rFonts w:ascii="Arial Narrow" w:hAnsi="Arial Narrow"/>
                <w:sz w:val="20"/>
              </w:rPr>
              <w:t>72/291 (24.7)</w:t>
            </w:r>
          </w:p>
        </w:tc>
        <w:tc>
          <w:tcPr>
            <w:tcW w:w="1353" w:type="dxa"/>
            <w:tcBorders>
              <w:top w:val="nil"/>
              <w:bottom w:val="nil"/>
            </w:tcBorders>
            <w:vAlign w:val="center"/>
          </w:tcPr>
          <w:p w14:paraId="68DED35D" w14:textId="77777777" w:rsidR="00516309" w:rsidRPr="002D158B" w:rsidRDefault="00516309" w:rsidP="00286E68">
            <w:pPr>
              <w:jc w:val="center"/>
              <w:rPr>
                <w:rFonts w:ascii="Arial Narrow" w:hAnsi="Arial Narrow"/>
                <w:sz w:val="20"/>
              </w:rPr>
            </w:pPr>
            <w:r w:rsidRPr="002D158B">
              <w:rPr>
                <w:rFonts w:ascii="Arial Narrow" w:hAnsi="Arial Narrow"/>
                <w:b/>
                <w:bCs/>
                <w:sz w:val="20"/>
              </w:rPr>
              <w:t>1.80 (1.18, 2.75)</w:t>
            </w:r>
          </w:p>
        </w:tc>
        <w:tc>
          <w:tcPr>
            <w:tcW w:w="1353" w:type="dxa"/>
            <w:tcBorders>
              <w:top w:val="nil"/>
              <w:bottom w:val="nil"/>
            </w:tcBorders>
            <w:vAlign w:val="center"/>
          </w:tcPr>
          <w:p w14:paraId="475F981C" w14:textId="77777777" w:rsidR="00516309" w:rsidRPr="002D158B" w:rsidRDefault="00516309" w:rsidP="00286E68">
            <w:pPr>
              <w:jc w:val="center"/>
              <w:rPr>
                <w:rFonts w:ascii="Arial Narrow" w:hAnsi="Arial Narrow"/>
                <w:sz w:val="20"/>
              </w:rPr>
            </w:pPr>
            <w:r w:rsidRPr="002D158B">
              <w:rPr>
                <w:rFonts w:ascii="Arial Narrow" w:hAnsi="Arial Narrow"/>
                <w:b/>
                <w:bCs/>
                <w:sz w:val="20"/>
              </w:rPr>
              <w:t>1.51 (1.18, 1.93)</w:t>
            </w:r>
          </w:p>
        </w:tc>
        <w:tc>
          <w:tcPr>
            <w:tcW w:w="1353" w:type="dxa"/>
            <w:tcBorders>
              <w:top w:val="nil"/>
              <w:bottom w:val="nil"/>
            </w:tcBorders>
            <w:vAlign w:val="center"/>
          </w:tcPr>
          <w:p w14:paraId="395B57A5" w14:textId="77777777" w:rsidR="00516309" w:rsidRPr="002D158B" w:rsidRDefault="00516309" w:rsidP="00286E68">
            <w:pPr>
              <w:jc w:val="center"/>
              <w:rPr>
                <w:rFonts w:ascii="Arial Narrow" w:hAnsi="Arial Narrow"/>
                <w:sz w:val="20"/>
              </w:rPr>
            </w:pPr>
            <w:r w:rsidRPr="002D158B">
              <w:rPr>
                <w:rFonts w:ascii="Arial Narrow" w:hAnsi="Arial Narrow"/>
                <w:b/>
                <w:bCs/>
                <w:sz w:val="20"/>
              </w:rPr>
              <w:t>0.12 (0.02, 0.23)</w:t>
            </w:r>
          </w:p>
        </w:tc>
      </w:tr>
      <w:tr w:rsidR="00516309" w:rsidRPr="002D158B" w14:paraId="6B92C830" w14:textId="77777777" w:rsidTr="00286E68">
        <w:tc>
          <w:tcPr>
            <w:tcW w:w="2689" w:type="dxa"/>
            <w:tcBorders>
              <w:top w:val="nil"/>
              <w:bottom w:val="nil"/>
            </w:tcBorders>
          </w:tcPr>
          <w:p w14:paraId="69008995"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w:t>
            </w:r>
            <w:proofErr w:type="spellStart"/>
            <w:r w:rsidRPr="002D158B">
              <w:rPr>
                <w:rFonts w:ascii="Arial Narrow" w:hAnsi="Arial Narrow"/>
                <w:sz w:val="20"/>
              </w:rPr>
              <w:t>analysis</w:t>
            </w:r>
            <w:r w:rsidRPr="002D158B">
              <w:rPr>
                <w:rFonts w:ascii="Arial Narrow" w:hAnsi="Arial Narrow"/>
                <w:sz w:val="20"/>
                <w:vertAlign w:val="superscript"/>
              </w:rPr>
              <w:t>a</w:t>
            </w:r>
            <w:proofErr w:type="spellEnd"/>
          </w:p>
        </w:tc>
        <w:tc>
          <w:tcPr>
            <w:tcW w:w="1134" w:type="dxa"/>
            <w:tcBorders>
              <w:top w:val="nil"/>
              <w:bottom w:val="nil"/>
            </w:tcBorders>
            <w:vAlign w:val="center"/>
          </w:tcPr>
          <w:p w14:paraId="54AAFCC9" w14:textId="77777777" w:rsidR="00516309" w:rsidRPr="002D158B" w:rsidRDefault="00516309" w:rsidP="00286E68">
            <w:pPr>
              <w:jc w:val="center"/>
              <w:rPr>
                <w:rFonts w:ascii="Arial Narrow" w:hAnsi="Arial Narrow"/>
                <w:sz w:val="20"/>
              </w:rPr>
            </w:pPr>
            <w:r w:rsidRPr="002D158B">
              <w:rPr>
                <w:rFonts w:ascii="Arial Narrow" w:hAnsi="Arial Narrow"/>
                <w:sz w:val="20"/>
              </w:rPr>
              <w:t>60/296 (20.3)</w:t>
            </w:r>
          </w:p>
        </w:tc>
        <w:tc>
          <w:tcPr>
            <w:tcW w:w="1134" w:type="dxa"/>
            <w:tcBorders>
              <w:top w:val="nil"/>
              <w:bottom w:val="nil"/>
            </w:tcBorders>
            <w:vAlign w:val="center"/>
          </w:tcPr>
          <w:p w14:paraId="3EB08336" w14:textId="77777777" w:rsidR="00516309" w:rsidRPr="002D158B" w:rsidRDefault="00516309" w:rsidP="00286E68">
            <w:pPr>
              <w:jc w:val="center"/>
              <w:rPr>
                <w:rFonts w:ascii="Arial Narrow" w:hAnsi="Arial Narrow"/>
                <w:sz w:val="20"/>
              </w:rPr>
            </w:pPr>
            <w:r w:rsidRPr="002D158B">
              <w:rPr>
                <w:rFonts w:ascii="Arial Narrow" w:hAnsi="Arial Narrow"/>
                <w:sz w:val="20"/>
              </w:rPr>
              <w:t>48/291 (16.5)</w:t>
            </w:r>
          </w:p>
        </w:tc>
        <w:tc>
          <w:tcPr>
            <w:tcW w:w="1353" w:type="dxa"/>
            <w:tcBorders>
              <w:top w:val="nil"/>
              <w:bottom w:val="nil"/>
            </w:tcBorders>
            <w:vAlign w:val="center"/>
          </w:tcPr>
          <w:p w14:paraId="14A68071" w14:textId="77777777" w:rsidR="00516309" w:rsidRPr="002D158B" w:rsidRDefault="00516309" w:rsidP="00286E68">
            <w:pPr>
              <w:jc w:val="center"/>
              <w:rPr>
                <w:rFonts w:ascii="Arial Narrow" w:hAnsi="Arial Narrow"/>
                <w:sz w:val="20"/>
              </w:rPr>
            </w:pPr>
            <w:r w:rsidRPr="002D158B">
              <w:rPr>
                <w:rFonts w:ascii="Arial Narrow" w:hAnsi="Arial Narrow"/>
                <w:sz w:val="20"/>
              </w:rPr>
              <w:t>1.29 (0.85, 1.96)</w:t>
            </w:r>
          </w:p>
        </w:tc>
        <w:tc>
          <w:tcPr>
            <w:tcW w:w="1353" w:type="dxa"/>
            <w:tcBorders>
              <w:top w:val="nil"/>
              <w:bottom w:val="nil"/>
            </w:tcBorders>
            <w:vAlign w:val="center"/>
          </w:tcPr>
          <w:p w14:paraId="529A3003" w14:textId="77777777" w:rsidR="00516309" w:rsidRPr="002D158B" w:rsidRDefault="00516309" w:rsidP="00286E68">
            <w:pPr>
              <w:jc w:val="center"/>
              <w:rPr>
                <w:rFonts w:ascii="Arial Narrow" w:hAnsi="Arial Narrow"/>
                <w:sz w:val="20"/>
              </w:rPr>
            </w:pPr>
            <w:r w:rsidRPr="002D158B">
              <w:rPr>
                <w:rFonts w:ascii="Arial Narrow" w:hAnsi="Arial Narrow"/>
                <w:sz w:val="20"/>
              </w:rPr>
              <w:t>1.23 (0.87, 1.73)</w:t>
            </w:r>
          </w:p>
        </w:tc>
        <w:tc>
          <w:tcPr>
            <w:tcW w:w="1353" w:type="dxa"/>
            <w:tcBorders>
              <w:top w:val="nil"/>
              <w:bottom w:val="nil"/>
            </w:tcBorders>
            <w:vAlign w:val="center"/>
          </w:tcPr>
          <w:p w14:paraId="0030CF71" w14:textId="77777777" w:rsidR="00516309" w:rsidRPr="002D158B" w:rsidRDefault="00516309" w:rsidP="00286E68">
            <w:pPr>
              <w:jc w:val="center"/>
              <w:rPr>
                <w:rFonts w:ascii="Arial Narrow" w:hAnsi="Arial Narrow"/>
                <w:sz w:val="20"/>
              </w:rPr>
            </w:pPr>
            <w:r w:rsidRPr="002D158B">
              <w:rPr>
                <w:rFonts w:ascii="Arial Narrow" w:hAnsi="Arial Narrow"/>
                <w:sz w:val="20"/>
              </w:rPr>
              <w:t>0.04 (-0.02, 0.10)</w:t>
            </w:r>
          </w:p>
        </w:tc>
      </w:tr>
      <w:tr w:rsidR="00516309" w:rsidRPr="002D158B" w14:paraId="051973C8" w14:textId="77777777" w:rsidTr="00286E68">
        <w:tc>
          <w:tcPr>
            <w:tcW w:w="2689" w:type="dxa"/>
            <w:tcBorders>
              <w:top w:val="nil"/>
              <w:bottom w:val="nil"/>
            </w:tcBorders>
          </w:tcPr>
          <w:p w14:paraId="7916C4BC" w14:textId="77777777" w:rsidR="00516309" w:rsidRPr="002D158B" w:rsidRDefault="00516309" w:rsidP="00286E68">
            <w:pPr>
              <w:ind w:left="109"/>
              <w:rPr>
                <w:rFonts w:ascii="Arial Narrow" w:hAnsi="Arial Narrow"/>
                <w:sz w:val="20"/>
              </w:rPr>
            </w:pPr>
            <w:r w:rsidRPr="002D158B">
              <w:rPr>
                <w:rFonts w:ascii="Arial Narrow" w:hAnsi="Arial Narrow"/>
                <w:b/>
                <w:bCs/>
                <w:sz w:val="20"/>
              </w:rPr>
              <w:t>Endoscopic response (Wk48)</w:t>
            </w:r>
          </w:p>
        </w:tc>
        <w:tc>
          <w:tcPr>
            <w:tcW w:w="1134" w:type="dxa"/>
            <w:tcBorders>
              <w:top w:val="nil"/>
              <w:bottom w:val="nil"/>
            </w:tcBorders>
            <w:vAlign w:val="center"/>
          </w:tcPr>
          <w:p w14:paraId="79864CB7"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303A0264"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3C7A7E2F"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4247B255"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539137E0" w14:textId="77777777" w:rsidR="00516309" w:rsidRPr="002D158B" w:rsidRDefault="00516309" w:rsidP="00286E68">
            <w:pPr>
              <w:jc w:val="center"/>
              <w:rPr>
                <w:rFonts w:ascii="Arial Narrow" w:hAnsi="Arial Narrow"/>
                <w:sz w:val="20"/>
              </w:rPr>
            </w:pPr>
          </w:p>
        </w:tc>
      </w:tr>
      <w:tr w:rsidR="00516309" w:rsidRPr="002D158B" w14:paraId="1825CC01" w14:textId="77777777" w:rsidTr="00286E68">
        <w:tc>
          <w:tcPr>
            <w:tcW w:w="2689" w:type="dxa"/>
            <w:tcBorders>
              <w:top w:val="nil"/>
              <w:bottom w:val="nil"/>
            </w:tcBorders>
          </w:tcPr>
          <w:p w14:paraId="3C7B663F"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650E4744" w14:textId="77777777" w:rsidR="00516309" w:rsidRPr="002D158B" w:rsidRDefault="00516309" w:rsidP="00286E68">
            <w:pPr>
              <w:jc w:val="center"/>
              <w:rPr>
                <w:rFonts w:ascii="Arial Narrow" w:hAnsi="Arial Narrow"/>
                <w:sz w:val="20"/>
              </w:rPr>
            </w:pPr>
            <w:r w:rsidRPr="002D158B">
              <w:rPr>
                <w:rFonts w:ascii="Arial Narrow" w:hAnsi="Arial Narrow"/>
                <w:sz w:val="20"/>
              </w:rPr>
              <w:t>212/420 (50.5)</w:t>
            </w:r>
          </w:p>
        </w:tc>
        <w:tc>
          <w:tcPr>
            <w:tcW w:w="1134" w:type="dxa"/>
            <w:tcBorders>
              <w:top w:val="nil"/>
              <w:bottom w:val="nil"/>
            </w:tcBorders>
          </w:tcPr>
          <w:p w14:paraId="6FD0E75F" w14:textId="77777777" w:rsidR="00516309" w:rsidRPr="002D158B" w:rsidRDefault="00516309" w:rsidP="00286E68">
            <w:pPr>
              <w:jc w:val="center"/>
              <w:rPr>
                <w:rFonts w:ascii="Arial Narrow" w:hAnsi="Arial Narrow"/>
                <w:sz w:val="20"/>
              </w:rPr>
            </w:pPr>
            <w:r w:rsidRPr="002D158B">
              <w:rPr>
                <w:rFonts w:ascii="Arial Narrow" w:hAnsi="Arial Narrow"/>
                <w:sz w:val="20"/>
              </w:rPr>
              <w:t>127/354 (35.9)</w:t>
            </w:r>
          </w:p>
        </w:tc>
        <w:tc>
          <w:tcPr>
            <w:tcW w:w="1353" w:type="dxa"/>
            <w:tcBorders>
              <w:top w:val="nil"/>
              <w:bottom w:val="nil"/>
            </w:tcBorders>
          </w:tcPr>
          <w:p w14:paraId="3C492864"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1.90 (1.41, 2.55)</w:t>
            </w:r>
          </w:p>
        </w:tc>
        <w:tc>
          <w:tcPr>
            <w:tcW w:w="1353" w:type="dxa"/>
            <w:tcBorders>
              <w:top w:val="nil"/>
              <w:bottom w:val="nil"/>
            </w:tcBorders>
          </w:tcPr>
          <w:p w14:paraId="5D9F47FD"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1.43 (1.20, 1.69)</w:t>
            </w:r>
          </w:p>
        </w:tc>
        <w:tc>
          <w:tcPr>
            <w:tcW w:w="1353" w:type="dxa"/>
            <w:tcBorders>
              <w:top w:val="nil"/>
              <w:bottom w:val="nil"/>
            </w:tcBorders>
          </w:tcPr>
          <w:p w14:paraId="42998F93"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0.15 (0.09, 0.22)</w:t>
            </w:r>
          </w:p>
        </w:tc>
      </w:tr>
      <w:tr w:rsidR="00516309" w:rsidRPr="002D158B" w14:paraId="546E4252" w14:textId="77777777" w:rsidTr="00286E68">
        <w:tc>
          <w:tcPr>
            <w:tcW w:w="2689" w:type="dxa"/>
            <w:tcBorders>
              <w:top w:val="nil"/>
              <w:bottom w:val="nil"/>
            </w:tcBorders>
          </w:tcPr>
          <w:p w14:paraId="7D0FEE6B"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673A7794" w14:textId="77777777" w:rsidR="00516309" w:rsidRPr="002D158B" w:rsidRDefault="00516309" w:rsidP="00286E68">
            <w:pPr>
              <w:jc w:val="center"/>
              <w:rPr>
                <w:rFonts w:ascii="Arial Narrow" w:hAnsi="Arial Narrow"/>
                <w:sz w:val="20"/>
              </w:rPr>
            </w:pPr>
            <w:r w:rsidRPr="002D158B">
              <w:rPr>
                <w:rFonts w:ascii="Arial Narrow" w:hAnsi="Arial Narrow"/>
                <w:sz w:val="20"/>
              </w:rPr>
              <w:t>156/296 (52.7)</w:t>
            </w:r>
          </w:p>
        </w:tc>
        <w:tc>
          <w:tcPr>
            <w:tcW w:w="1134" w:type="dxa"/>
            <w:tcBorders>
              <w:top w:val="nil"/>
              <w:bottom w:val="nil"/>
            </w:tcBorders>
            <w:vAlign w:val="center"/>
          </w:tcPr>
          <w:p w14:paraId="490A5A95" w14:textId="77777777" w:rsidR="00516309" w:rsidRPr="002D158B" w:rsidRDefault="00516309" w:rsidP="00286E68">
            <w:pPr>
              <w:jc w:val="center"/>
              <w:rPr>
                <w:rFonts w:ascii="Arial Narrow" w:hAnsi="Arial Narrow"/>
                <w:sz w:val="20"/>
              </w:rPr>
            </w:pPr>
            <w:r w:rsidRPr="002D158B">
              <w:rPr>
                <w:rFonts w:ascii="Arial Narrow" w:hAnsi="Arial Narrow"/>
                <w:sz w:val="20"/>
              </w:rPr>
              <w:t>108/291 (37.1)</w:t>
            </w:r>
          </w:p>
        </w:tc>
        <w:tc>
          <w:tcPr>
            <w:tcW w:w="1353" w:type="dxa"/>
            <w:tcBorders>
              <w:top w:val="nil"/>
              <w:bottom w:val="nil"/>
            </w:tcBorders>
            <w:vAlign w:val="center"/>
          </w:tcPr>
          <w:p w14:paraId="2D41DC99" w14:textId="77777777" w:rsidR="00516309" w:rsidRPr="002D158B" w:rsidRDefault="00516309" w:rsidP="00286E68">
            <w:pPr>
              <w:jc w:val="center"/>
              <w:rPr>
                <w:rFonts w:ascii="Arial Narrow" w:hAnsi="Arial Narrow"/>
                <w:sz w:val="20"/>
              </w:rPr>
            </w:pPr>
            <w:r w:rsidRPr="002D158B">
              <w:rPr>
                <w:rFonts w:ascii="Arial Narrow" w:hAnsi="Arial Narrow"/>
                <w:b/>
                <w:bCs/>
                <w:sz w:val="20"/>
              </w:rPr>
              <w:t>1.90 (1.36, 2.64)</w:t>
            </w:r>
          </w:p>
        </w:tc>
        <w:tc>
          <w:tcPr>
            <w:tcW w:w="1353" w:type="dxa"/>
            <w:tcBorders>
              <w:top w:val="nil"/>
              <w:bottom w:val="nil"/>
            </w:tcBorders>
            <w:vAlign w:val="center"/>
          </w:tcPr>
          <w:p w14:paraId="52B8A496" w14:textId="77777777" w:rsidR="00516309" w:rsidRPr="002D158B" w:rsidRDefault="00516309" w:rsidP="00286E68">
            <w:pPr>
              <w:jc w:val="center"/>
              <w:rPr>
                <w:rFonts w:ascii="Arial Narrow" w:hAnsi="Arial Narrow"/>
                <w:sz w:val="20"/>
              </w:rPr>
            </w:pPr>
            <w:r w:rsidRPr="002D158B">
              <w:rPr>
                <w:rFonts w:ascii="Arial Narrow" w:hAnsi="Arial Narrow"/>
                <w:b/>
                <w:bCs/>
                <w:sz w:val="20"/>
              </w:rPr>
              <w:t>1.41 (1.18, 1.70)</w:t>
            </w:r>
          </w:p>
        </w:tc>
        <w:tc>
          <w:tcPr>
            <w:tcW w:w="1353" w:type="dxa"/>
            <w:tcBorders>
              <w:top w:val="nil"/>
              <w:bottom w:val="nil"/>
            </w:tcBorders>
            <w:vAlign w:val="center"/>
          </w:tcPr>
          <w:p w14:paraId="108EE184" w14:textId="77777777" w:rsidR="00516309" w:rsidRPr="002D158B" w:rsidRDefault="00516309" w:rsidP="00286E68">
            <w:pPr>
              <w:jc w:val="center"/>
              <w:rPr>
                <w:rFonts w:ascii="Arial Narrow" w:hAnsi="Arial Narrow"/>
                <w:sz w:val="20"/>
              </w:rPr>
            </w:pPr>
            <w:r w:rsidRPr="002D158B">
              <w:rPr>
                <w:rFonts w:ascii="Arial Narrow" w:hAnsi="Arial Narrow"/>
                <w:b/>
                <w:bCs/>
                <w:sz w:val="20"/>
              </w:rPr>
              <w:t>0.16 (0.08, 0.24)</w:t>
            </w:r>
          </w:p>
        </w:tc>
      </w:tr>
      <w:tr w:rsidR="00516309" w:rsidRPr="002D158B" w14:paraId="41C0542B" w14:textId="77777777" w:rsidTr="00286E68">
        <w:tc>
          <w:tcPr>
            <w:tcW w:w="2689" w:type="dxa"/>
            <w:tcBorders>
              <w:top w:val="nil"/>
              <w:bottom w:val="nil"/>
            </w:tcBorders>
          </w:tcPr>
          <w:p w14:paraId="24F31490" w14:textId="77777777" w:rsidR="00516309" w:rsidRPr="002D158B" w:rsidRDefault="00516309" w:rsidP="00286E68">
            <w:pPr>
              <w:ind w:left="109"/>
              <w:rPr>
                <w:rFonts w:ascii="Arial Narrow" w:hAnsi="Arial Narrow"/>
                <w:sz w:val="20"/>
              </w:rPr>
            </w:pPr>
            <w:r w:rsidRPr="002D158B">
              <w:rPr>
                <w:rFonts w:ascii="Arial Narrow" w:hAnsi="Arial Narrow"/>
                <w:b/>
                <w:bCs/>
                <w:sz w:val="20"/>
              </w:rPr>
              <w:t>Clinical remission (Wk48) │induction remission (Wk12)</w:t>
            </w:r>
          </w:p>
        </w:tc>
        <w:tc>
          <w:tcPr>
            <w:tcW w:w="1134" w:type="dxa"/>
            <w:tcBorders>
              <w:top w:val="nil"/>
              <w:bottom w:val="nil"/>
            </w:tcBorders>
            <w:vAlign w:val="center"/>
          </w:tcPr>
          <w:p w14:paraId="1C68AAD0"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766DA083"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66B3AF35"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16557A92"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684BDF3F" w14:textId="77777777" w:rsidR="00516309" w:rsidRPr="002D158B" w:rsidRDefault="00516309" w:rsidP="00286E68">
            <w:pPr>
              <w:jc w:val="center"/>
              <w:rPr>
                <w:rFonts w:ascii="Arial Narrow" w:hAnsi="Arial Narrow"/>
                <w:sz w:val="20"/>
              </w:rPr>
            </w:pPr>
          </w:p>
        </w:tc>
      </w:tr>
      <w:tr w:rsidR="00516309" w:rsidRPr="002D158B" w14:paraId="74F70B0C" w14:textId="77777777" w:rsidTr="00286E68">
        <w:tc>
          <w:tcPr>
            <w:tcW w:w="2689" w:type="dxa"/>
            <w:tcBorders>
              <w:top w:val="nil"/>
              <w:bottom w:val="nil"/>
            </w:tcBorders>
          </w:tcPr>
          <w:p w14:paraId="0A69DF20"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1AA17883" w14:textId="77777777" w:rsidR="00516309" w:rsidRPr="002D158B" w:rsidRDefault="00516309" w:rsidP="00286E68">
            <w:pPr>
              <w:jc w:val="center"/>
              <w:rPr>
                <w:rFonts w:ascii="Arial Narrow" w:hAnsi="Arial Narrow"/>
                <w:sz w:val="20"/>
              </w:rPr>
            </w:pPr>
            <w:r w:rsidRPr="002D158B">
              <w:rPr>
                <w:rFonts w:ascii="Arial Narrow" w:hAnsi="Arial Narrow"/>
                <w:sz w:val="20"/>
              </w:rPr>
              <w:t>177/203 (87.2)</w:t>
            </w:r>
          </w:p>
        </w:tc>
        <w:tc>
          <w:tcPr>
            <w:tcW w:w="1134" w:type="dxa"/>
            <w:tcBorders>
              <w:top w:val="nil"/>
              <w:bottom w:val="nil"/>
            </w:tcBorders>
            <w:vAlign w:val="center"/>
          </w:tcPr>
          <w:p w14:paraId="3F9901AC" w14:textId="77777777" w:rsidR="00516309" w:rsidRPr="002D158B" w:rsidRDefault="00516309" w:rsidP="00286E68">
            <w:pPr>
              <w:jc w:val="center"/>
              <w:rPr>
                <w:rFonts w:ascii="Arial Narrow" w:hAnsi="Arial Narrow"/>
                <w:sz w:val="20"/>
              </w:rPr>
            </w:pPr>
            <w:r w:rsidRPr="002D158B">
              <w:rPr>
                <w:rFonts w:ascii="Arial Narrow" w:hAnsi="Arial Narrow"/>
                <w:sz w:val="20"/>
              </w:rPr>
              <w:t>134/165 (81.2)</w:t>
            </w:r>
          </w:p>
        </w:tc>
        <w:tc>
          <w:tcPr>
            <w:tcW w:w="1353" w:type="dxa"/>
            <w:tcBorders>
              <w:top w:val="nil"/>
              <w:bottom w:val="nil"/>
            </w:tcBorders>
            <w:vAlign w:val="center"/>
          </w:tcPr>
          <w:p w14:paraId="6BE1F348" w14:textId="77777777" w:rsidR="00516309" w:rsidRPr="002D158B" w:rsidRDefault="00516309" w:rsidP="00286E68">
            <w:pPr>
              <w:jc w:val="center"/>
              <w:rPr>
                <w:rFonts w:ascii="Arial Narrow" w:hAnsi="Arial Narrow"/>
                <w:sz w:val="20"/>
              </w:rPr>
            </w:pPr>
            <w:r w:rsidRPr="002D158B">
              <w:rPr>
                <w:rFonts w:ascii="Arial Narrow" w:hAnsi="Arial Narrow"/>
                <w:sz w:val="20"/>
              </w:rPr>
              <w:t>1.65 (0.92, 2.94)</w:t>
            </w:r>
          </w:p>
        </w:tc>
        <w:tc>
          <w:tcPr>
            <w:tcW w:w="1353" w:type="dxa"/>
            <w:tcBorders>
              <w:top w:val="nil"/>
              <w:bottom w:val="nil"/>
            </w:tcBorders>
            <w:vAlign w:val="center"/>
          </w:tcPr>
          <w:p w14:paraId="563EFC27" w14:textId="77777777" w:rsidR="00516309" w:rsidRPr="002D158B" w:rsidRDefault="00516309" w:rsidP="00286E68">
            <w:pPr>
              <w:jc w:val="center"/>
              <w:rPr>
                <w:rFonts w:ascii="Arial Narrow" w:hAnsi="Arial Narrow"/>
                <w:sz w:val="20"/>
              </w:rPr>
            </w:pPr>
            <w:r w:rsidRPr="002D158B">
              <w:rPr>
                <w:rFonts w:ascii="Arial Narrow" w:hAnsi="Arial Narrow"/>
                <w:sz w:val="20"/>
              </w:rPr>
              <w:t>1.08 (0.98, 1.18)</w:t>
            </w:r>
          </w:p>
        </w:tc>
        <w:tc>
          <w:tcPr>
            <w:tcW w:w="1353" w:type="dxa"/>
            <w:tcBorders>
              <w:top w:val="nil"/>
              <w:bottom w:val="nil"/>
            </w:tcBorders>
            <w:vAlign w:val="center"/>
          </w:tcPr>
          <w:p w14:paraId="495C4CB1" w14:textId="77777777" w:rsidR="00516309" w:rsidRPr="002D158B" w:rsidRDefault="00516309" w:rsidP="00286E68">
            <w:pPr>
              <w:jc w:val="center"/>
              <w:rPr>
                <w:rFonts w:ascii="Arial Narrow" w:hAnsi="Arial Narrow"/>
                <w:sz w:val="20"/>
              </w:rPr>
            </w:pPr>
            <w:r w:rsidRPr="002D158B">
              <w:rPr>
                <w:rFonts w:ascii="Arial Narrow" w:hAnsi="Arial Narrow"/>
                <w:sz w:val="20"/>
              </w:rPr>
              <w:t>0.06 (-0.01, 0.14)</w:t>
            </w:r>
          </w:p>
        </w:tc>
      </w:tr>
      <w:tr w:rsidR="00516309" w:rsidRPr="002D158B" w14:paraId="2197A6F7" w14:textId="77777777" w:rsidTr="00286E68">
        <w:tc>
          <w:tcPr>
            <w:tcW w:w="2689" w:type="dxa"/>
            <w:tcBorders>
              <w:top w:val="nil"/>
              <w:bottom w:val="nil"/>
            </w:tcBorders>
          </w:tcPr>
          <w:p w14:paraId="446FC904"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0F7F6976" w14:textId="77777777" w:rsidR="00516309" w:rsidRPr="002D158B" w:rsidRDefault="00516309" w:rsidP="00286E68">
            <w:pPr>
              <w:jc w:val="center"/>
              <w:rPr>
                <w:rFonts w:ascii="Arial Narrow" w:hAnsi="Arial Narrow"/>
                <w:sz w:val="20"/>
              </w:rPr>
            </w:pPr>
            <w:r w:rsidRPr="002D158B">
              <w:rPr>
                <w:rFonts w:ascii="Arial Narrow" w:hAnsi="Arial Narrow"/>
                <w:sz w:val="20"/>
              </w:rPr>
              <w:t>124/141 (87.9)</w:t>
            </w:r>
          </w:p>
        </w:tc>
        <w:tc>
          <w:tcPr>
            <w:tcW w:w="1134" w:type="dxa"/>
            <w:tcBorders>
              <w:top w:val="nil"/>
              <w:bottom w:val="nil"/>
            </w:tcBorders>
            <w:vAlign w:val="center"/>
          </w:tcPr>
          <w:p w14:paraId="25FD8087" w14:textId="77777777" w:rsidR="00516309" w:rsidRPr="002D158B" w:rsidRDefault="00516309" w:rsidP="00286E68">
            <w:pPr>
              <w:jc w:val="center"/>
              <w:rPr>
                <w:rFonts w:ascii="Arial Narrow" w:hAnsi="Arial Narrow"/>
                <w:sz w:val="20"/>
              </w:rPr>
            </w:pPr>
            <w:r w:rsidRPr="002D158B">
              <w:rPr>
                <w:rFonts w:ascii="Arial Narrow" w:hAnsi="Arial Narrow"/>
                <w:sz w:val="20"/>
              </w:rPr>
              <w:t>112/137 (81.8)</w:t>
            </w:r>
          </w:p>
        </w:tc>
        <w:tc>
          <w:tcPr>
            <w:tcW w:w="1353" w:type="dxa"/>
            <w:tcBorders>
              <w:top w:val="nil"/>
              <w:bottom w:val="nil"/>
            </w:tcBorders>
            <w:vAlign w:val="center"/>
          </w:tcPr>
          <w:p w14:paraId="0938786A" w14:textId="77777777" w:rsidR="00516309" w:rsidRPr="002D158B" w:rsidRDefault="00516309" w:rsidP="00286E68">
            <w:pPr>
              <w:jc w:val="center"/>
              <w:rPr>
                <w:rFonts w:ascii="Arial Narrow" w:hAnsi="Arial Narrow"/>
                <w:sz w:val="20"/>
              </w:rPr>
            </w:pPr>
            <w:r w:rsidRPr="002D158B">
              <w:rPr>
                <w:rFonts w:ascii="Arial Narrow" w:hAnsi="Arial Narrow"/>
                <w:sz w:val="20"/>
              </w:rPr>
              <w:t>1.59 (0.81, 3.12)</w:t>
            </w:r>
          </w:p>
        </w:tc>
        <w:tc>
          <w:tcPr>
            <w:tcW w:w="1353" w:type="dxa"/>
            <w:tcBorders>
              <w:top w:val="nil"/>
              <w:bottom w:val="nil"/>
            </w:tcBorders>
            <w:vAlign w:val="center"/>
          </w:tcPr>
          <w:p w14:paraId="567024EB" w14:textId="77777777" w:rsidR="00516309" w:rsidRPr="002D158B" w:rsidRDefault="00516309" w:rsidP="00286E68">
            <w:pPr>
              <w:jc w:val="center"/>
              <w:rPr>
                <w:rFonts w:ascii="Arial Narrow" w:hAnsi="Arial Narrow"/>
                <w:sz w:val="20"/>
              </w:rPr>
            </w:pPr>
            <w:r w:rsidRPr="002D158B">
              <w:rPr>
                <w:rFonts w:ascii="Arial Narrow" w:hAnsi="Arial Narrow"/>
                <w:sz w:val="20"/>
              </w:rPr>
              <w:t>1.07 (0.97, 1.18)</w:t>
            </w:r>
          </w:p>
        </w:tc>
        <w:tc>
          <w:tcPr>
            <w:tcW w:w="1353" w:type="dxa"/>
            <w:tcBorders>
              <w:top w:val="nil"/>
              <w:bottom w:val="nil"/>
            </w:tcBorders>
            <w:vAlign w:val="center"/>
          </w:tcPr>
          <w:p w14:paraId="27451DDE" w14:textId="77777777" w:rsidR="00516309" w:rsidRPr="002D158B" w:rsidRDefault="00516309" w:rsidP="00286E68">
            <w:pPr>
              <w:jc w:val="center"/>
              <w:rPr>
                <w:rFonts w:ascii="Arial Narrow" w:hAnsi="Arial Narrow"/>
                <w:sz w:val="20"/>
              </w:rPr>
            </w:pPr>
            <w:r w:rsidRPr="002D158B">
              <w:rPr>
                <w:rFonts w:ascii="Arial Narrow" w:hAnsi="Arial Narrow"/>
                <w:sz w:val="20"/>
              </w:rPr>
              <w:t>0.06 (-0.03, 0.14)</w:t>
            </w:r>
          </w:p>
        </w:tc>
      </w:tr>
      <w:tr w:rsidR="00516309" w:rsidRPr="002D158B" w14:paraId="1E22C35A" w14:textId="77777777" w:rsidTr="00286E68">
        <w:tc>
          <w:tcPr>
            <w:tcW w:w="2689" w:type="dxa"/>
            <w:tcBorders>
              <w:top w:val="nil"/>
              <w:bottom w:val="nil"/>
            </w:tcBorders>
          </w:tcPr>
          <w:p w14:paraId="51ED18FD" w14:textId="77777777" w:rsidR="00516309" w:rsidRPr="002D158B" w:rsidRDefault="00516309" w:rsidP="00286E68">
            <w:pPr>
              <w:ind w:left="109"/>
              <w:rPr>
                <w:rFonts w:ascii="Arial Narrow" w:hAnsi="Arial Narrow"/>
                <w:sz w:val="20"/>
              </w:rPr>
            </w:pPr>
            <w:r w:rsidRPr="002D158B">
              <w:rPr>
                <w:rFonts w:ascii="Arial Narrow" w:hAnsi="Arial Narrow"/>
                <w:b/>
                <w:bCs/>
                <w:sz w:val="20"/>
              </w:rPr>
              <w:t xml:space="preserve">Durable clinical </w:t>
            </w:r>
            <w:proofErr w:type="spellStart"/>
            <w:r w:rsidRPr="002D158B">
              <w:rPr>
                <w:rFonts w:ascii="Arial Narrow" w:hAnsi="Arial Narrow"/>
                <w:b/>
                <w:bCs/>
                <w:sz w:val="20"/>
              </w:rPr>
              <w:t>remission</w:t>
            </w:r>
            <w:r w:rsidRPr="002D158B">
              <w:rPr>
                <w:rFonts w:ascii="Arial Narrow" w:hAnsi="Arial Narrow"/>
                <w:b/>
                <w:bCs/>
                <w:sz w:val="20"/>
                <w:vertAlign w:val="superscript"/>
              </w:rPr>
              <w:t>c</w:t>
            </w:r>
            <w:proofErr w:type="spellEnd"/>
            <w:r w:rsidRPr="002D158B">
              <w:rPr>
                <w:rFonts w:ascii="Arial Narrow" w:hAnsi="Arial Narrow"/>
                <w:b/>
                <w:bCs/>
                <w:sz w:val="20"/>
              </w:rPr>
              <w:t xml:space="preserve"> (clinical remission Wk12-48)</w:t>
            </w:r>
          </w:p>
        </w:tc>
        <w:tc>
          <w:tcPr>
            <w:tcW w:w="1134" w:type="dxa"/>
            <w:tcBorders>
              <w:top w:val="nil"/>
              <w:bottom w:val="nil"/>
            </w:tcBorders>
            <w:vAlign w:val="center"/>
          </w:tcPr>
          <w:p w14:paraId="0FE471C9"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49EDF79F"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4941732A"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6EEBFB61"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6E17B25E" w14:textId="77777777" w:rsidR="00516309" w:rsidRPr="002D158B" w:rsidRDefault="00516309" w:rsidP="00286E68">
            <w:pPr>
              <w:jc w:val="center"/>
              <w:rPr>
                <w:rFonts w:ascii="Arial Narrow" w:hAnsi="Arial Narrow"/>
                <w:sz w:val="20"/>
              </w:rPr>
            </w:pPr>
          </w:p>
        </w:tc>
      </w:tr>
      <w:tr w:rsidR="00516309" w:rsidRPr="002D158B" w14:paraId="58B05FBD" w14:textId="77777777" w:rsidTr="00286E68">
        <w:tc>
          <w:tcPr>
            <w:tcW w:w="2689" w:type="dxa"/>
            <w:tcBorders>
              <w:top w:val="nil"/>
              <w:bottom w:val="nil"/>
            </w:tcBorders>
          </w:tcPr>
          <w:p w14:paraId="36AD0945"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27497109" w14:textId="77777777" w:rsidR="00516309" w:rsidRPr="002D158B" w:rsidRDefault="00516309" w:rsidP="00286E68">
            <w:pPr>
              <w:jc w:val="center"/>
              <w:rPr>
                <w:rFonts w:ascii="Arial Narrow" w:hAnsi="Arial Narrow"/>
                <w:sz w:val="20"/>
              </w:rPr>
            </w:pPr>
            <w:r w:rsidRPr="002D158B">
              <w:rPr>
                <w:rFonts w:ascii="Arial Narrow" w:hAnsi="Arial Narrow"/>
                <w:sz w:val="20"/>
              </w:rPr>
              <w:t>213/420 (50.7)</w:t>
            </w:r>
          </w:p>
        </w:tc>
        <w:tc>
          <w:tcPr>
            <w:tcW w:w="1134" w:type="dxa"/>
            <w:tcBorders>
              <w:top w:val="nil"/>
              <w:bottom w:val="nil"/>
            </w:tcBorders>
            <w:vAlign w:val="center"/>
          </w:tcPr>
          <w:p w14:paraId="47823F5C" w14:textId="77777777" w:rsidR="00516309" w:rsidRPr="002D158B" w:rsidRDefault="00516309" w:rsidP="00286E68">
            <w:pPr>
              <w:jc w:val="center"/>
              <w:rPr>
                <w:rFonts w:ascii="Arial Narrow" w:hAnsi="Arial Narrow"/>
                <w:sz w:val="20"/>
              </w:rPr>
            </w:pPr>
            <w:r w:rsidRPr="002D158B">
              <w:rPr>
                <w:rFonts w:ascii="Arial Narrow" w:hAnsi="Arial Narrow"/>
                <w:sz w:val="20"/>
              </w:rPr>
              <w:t>152/354 (42.9)</w:t>
            </w:r>
          </w:p>
        </w:tc>
        <w:tc>
          <w:tcPr>
            <w:tcW w:w="1353" w:type="dxa"/>
            <w:tcBorders>
              <w:top w:val="nil"/>
              <w:bottom w:val="nil"/>
            </w:tcBorders>
            <w:vAlign w:val="center"/>
          </w:tcPr>
          <w:p w14:paraId="6AC58522" w14:textId="77777777" w:rsidR="00516309" w:rsidRPr="002D158B" w:rsidRDefault="00516309" w:rsidP="00286E68">
            <w:pPr>
              <w:jc w:val="center"/>
              <w:rPr>
                <w:rFonts w:ascii="Arial Narrow" w:hAnsi="Arial Narrow"/>
                <w:sz w:val="20"/>
              </w:rPr>
            </w:pPr>
            <w:r w:rsidRPr="002D158B">
              <w:rPr>
                <w:rFonts w:ascii="Arial Narrow" w:hAnsi="Arial Narrow"/>
                <w:b/>
                <w:bCs/>
                <w:sz w:val="20"/>
              </w:rPr>
              <w:t>1.35 (1.01, 1.80)</w:t>
            </w:r>
          </w:p>
        </w:tc>
        <w:tc>
          <w:tcPr>
            <w:tcW w:w="1353" w:type="dxa"/>
            <w:tcBorders>
              <w:top w:val="nil"/>
              <w:bottom w:val="nil"/>
            </w:tcBorders>
            <w:vAlign w:val="center"/>
          </w:tcPr>
          <w:p w14:paraId="36916BF4" w14:textId="77777777" w:rsidR="00516309" w:rsidRPr="002D158B" w:rsidRDefault="00516309" w:rsidP="00286E68">
            <w:pPr>
              <w:jc w:val="center"/>
              <w:rPr>
                <w:rFonts w:ascii="Arial Narrow" w:hAnsi="Arial Narrow"/>
                <w:sz w:val="20"/>
              </w:rPr>
            </w:pPr>
            <w:r w:rsidRPr="002D158B">
              <w:rPr>
                <w:rFonts w:ascii="Arial Narrow" w:hAnsi="Arial Narrow"/>
                <w:sz w:val="20"/>
              </w:rPr>
              <w:t>1.17 (1.00, 1.36)</w:t>
            </w:r>
          </w:p>
        </w:tc>
        <w:tc>
          <w:tcPr>
            <w:tcW w:w="1353" w:type="dxa"/>
            <w:tcBorders>
              <w:top w:val="nil"/>
              <w:bottom w:val="nil"/>
            </w:tcBorders>
            <w:vAlign w:val="center"/>
          </w:tcPr>
          <w:p w14:paraId="03E73A33" w14:textId="77777777" w:rsidR="00516309" w:rsidRPr="002D158B" w:rsidRDefault="00516309" w:rsidP="00286E68">
            <w:pPr>
              <w:jc w:val="center"/>
              <w:rPr>
                <w:rFonts w:ascii="Arial Narrow" w:hAnsi="Arial Narrow"/>
                <w:sz w:val="20"/>
              </w:rPr>
            </w:pPr>
            <w:r w:rsidRPr="002D158B">
              <w:rPr>
                <w:rFonts w:ascii="Arial Narrow" w:hAnsi="Arial Narrow"/>
                <w:sz w:val="20"/>
              </w:rPr>
              <w:t>0.07 (0.00, 0.15)</w:t>
            </w:r>
          </w:p>
        </w:tc>
      </w:tr>
      <w:tr w:rsidR="00516309" w:rsidRPr="002D158B" w14:paraId="07D7930D" w14:textId="77777777" w:rsidTr="00286E68">
        <w:tc>
          <w:tcPr>
            <w:tcW w:w="2689" w:type="dxa"/>
            <w:tcBorders>
              <w:top w:val="nil"/>
              <w:bottom w:val="nil"/>
            </w:tcBorders>
          </w:tcPr>
          <w:p w14:paraId="0155ABC2"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4EAAD9A3" w14:textId="77777777" w:rsidR="00516309" w:rsidRPr="002D158B" w:rsidRDefault="00516309" w:rsidP="00286E68">
            <w:pPr>
              <w:jc w:val="center"/>
              <w:rPr>
                <w:rFonts w:ascii="Arial Narrow" w:hAnsi="Arial Narrow"/>
                <w:sz w:val="20"/>
              </w:rPr>
            </w:pPr>
            <w:r w:rsidRPr="002D158B">
              <w:rPr>
                <w:rFonts w:ascii="Arial Narrow" w:hAnsi="Arial Narrow"/>
                <w:sz w:val="20"/>
              </w:rPr>
              <w:t>149/296 (50.3)</w:t>
            </w:r>
          </w:p>
        </w:tc>
        <w:tc>
          <w:tcPr>
            <w:tcW w:w="1134" w:type="dxa"/>
            <w:tcBorders>
              <w:top w:val="nil"/>
              <w:bottom w:val="nil"/>
            </w:tcBorders>
            <w:vAlign w:val="center"/>
          </w:tcPr>
          <w:p w14:paraId="0B6C29D8" w14:textId="77777777" w:rsidR="00516309" w:rsidRPr="002D158B" w:rsidRDefault="00516309" w:rsidP="00286E68">
            <w:pPr>
              <w:jc w:val="center"/>
              <w:rPr>
                <w:rFonts w:ascii="Arial Narrow" w:hAnsi="Arial Narrow"/>
                <w:sz w:val="20"/>
              </w:rPr>
            </w:pPr>
            <w:r w:rsidRPr="002D158B">
              <w:rPr>
                <w:rFonts w:ascii="Arial Narrow" w:hAnsi="Arial Narrow"/>
                <w:sz w:val="20"/>
              </w:rPr>
              <w:t>122/291 (41.9)</w:t>
            </w:r>
          </w:p>
        </w:tc>
        <w:tc>
          <w:tcPr>
            <w:tcW w:w="1353" w:type="dxa"/>
            <w:tcBorders>
              <w:top w:val="nil"/>
              <w:bottom w:val="nil"/>
            </w:tcBorders>
            <w:vAlign w:val="center"/>
          </w:tcPr>
          <w:p w14:paraId="4F8E0A6D" w14:textId="77777777" w:rsidR="00516309" w:rsidRPr="002D158B" w:rsidRDefault="00516309" w:rsidP="00286E68">
            <w:pPr>
              <w:jc w:val="center"/>
              <w:rPr>
                <w:rFonts w:ascii="Arial Narrow" w:hAnsi="Arial Narrow"/>
                <w:sz w:val="20"/>
              </w:rPr>
            </w:pPr>
            <w:r w:rsidRPr="002D158B">
              <w:rPr>
                <w:rFonts w:ascii="Arial Narrow" w:hAnsi="Arial Narrow"/>
                <w:b/>
                <w:bCs/>
                <w:sz w:val="20"/>
              </w:rPr>
              <w:t>1.40 (1.01, 1.95)</w:t>
            </w:r>
          </w:p>
        </w:tc>
        <w:tc>
          <w:tcPr>
            <w:tcW w:w="1353" w:type="dxa"/>
            <w:tcBorders>
              <w:top w:val="nil"/>
              <w:bottom w:val="nil"/>
            </w:tcBorders>
            <w:vAlign w:val="center"/>
          </w:tcPr>
          <w:p w14:paraId="1732D1F7" w14:textId="77777777" w:rsidR="00516309" w:rsidRPr="002D158B" w:rsidRDefault="00516309" w:rsidP="00286E68">
            <w:pPr>
              <w:jc w:val="center"/>
              <w:rPr>
                <w:rFonts w:ascii="Arial Narrow" w:hAnsi="Arial Narrow"/>
                <w:sz w:val="20"/>
              </w:rPr>
            </w:pPr>
            <w:r w:rsidRPr="002D158B">
              <w:rPr>
                <w:rFonts w:ascii="Arial Narrow" w:hAnsi="Arial Narrow"/>
                <w:b/>
                <w:bCs/>
                <w:sz w:val="20"/>
              </w:rPr>
              <w:t>1.20 (1.01, 1.43)</w:t>
            </w:r>
          </w:p>
        </w:tc>
        <w:tc>
          <w:tcPr>
            <w:tcW w:w="1353" w:type="dxa"/>
            <w:tcBorders>
              <w:top w:val="nil"/>
              <w:bottom w:val="nil"/>
            </w:tcBorders>
            <w:vAlign w:val="center"/>
          </w:tcPr>
          <w:p w14:paraId="13ADA675" w14:textId="77777777" w:rsidR="00516309" w:rsidRPr="002D158B" w:rsidRDefault="00516309" w:rsidP="00286E68">
            <w:pPr>
              <w:jc w:val="center"/>
              <w:rPr>
                <w:rFonts w:ascii="Arial Narrow" w:hAnsi="Arial Narrow"/>
                <w:sz w:val="20"/>
              </w:rPr>
            </w:pPr>
            <w:r w:rsidRPr="002D158B">
              <w:rPr>
                <w:rFonts w:ascii="Arial Narrow" w:hAnsi="Arial Narrow"/>
                <w:sz w:val="20"/>
              </w:rPr>
              <w:t>0.08 (0.00, 0.16)</w:t>
            </w:r>
          </w:p>
        </w:tc>
      </w:tr>
      <w:tr w:rsidR="00516309" w:rsidRPr="002D158B" w14:paraId="16EA3237" w14:textId="77777777" w:rsidTr="00286E68">
        <w:tc>
          <w:tcPr>
            <w:tcW w:w="2689" w:type="dxa"/>
            <w:tcBorders>
              <w:top w:val="nil"/>
              <w:bottom w:val="nil"/>
            </w:tcBorders>
            <w:vAlign w:val="center"/>
          </w:tcPr>
          <w:p w14:paraId="74310434" w14:textId="77777777" w:rsidR="00516309" w:rsidRPr="002D158B" w:rsidRDefault="00516309" w:rsidP="00286E68">
            <w:pPr>
              <w:ind w:left="109"/>
              <w:rPr>
                <w:rFonts w:ascii="Arial Narrow" w:hAnsi="Arial Narrow"/>
                <w:sz w:val="20"/>
              </w:rPr>
            </w:pPr>
            <w:r w:rsidRPr="002D158B">
              <w:rPr>
                <w:rFonts w:ascii="Arial Narrow" w:hAnsi="Arial Narrow"/>
                <w:b/>
                <w:bCs/>
                <w:sz w:val="20"/>
              </w:rPr>
              <w:t xml:space="preserve">Sustained clinical </w:t>
            </w:r>
            <w:proofErr w:type="spellStart"/>
            <w:r w:rsidRPr="002D158B">
              <w:rPr>
                <w:rFonts w:ascii="Arial Narrow" w:hAnsi="Arial Narrow"/>
                <w:b/>
                <w:bCs/>
                <w:sz w:val="20"/>
              </w:rPr>
              <w:t>remission</w:t>
            </w:r>
            <w:r w:rsidRPr="002D158B">
              <w:rPr>
                <w:rFonts w:ascii="Arial Narrow" w:hAnsi="Arial Narrow"/>
                <w:b/>
                <w:bCs/>
                <w:sz w:val="20"/>
                <w:vertAlign w:val="superscript"/>
              </w:rPr>
              <w:t>d</w:t>
            </w:r>
            <w:proofErr w:type="spellEnd"/>
            <w:r w:rsidRPr="002D158B">
              <w:rPr>
                <w:rFonts w:ascii="Arial Narrow" w:hAnsi="Arial Narrow"/>
                <w:b/>
                <w:bCs/>
                <w:sz w:val="20"/>
              </w:rPr>
              <w:t xml:space="preserve"> (clinical remission Wk12&amp;48)</w:t>
            </w:r>
          </w:p>
        </w:tc>
        <w:tc>
          <w:tcPr>
            <w:tcW w:w="1134" w:type="dxa"/>
            <w:tcBorders>
              <w:top w:val="nil"/>
              <w:bottom w:val="nil"/>
            </w:tcBorders>
            <w:vAlign w:val="center"/>
          </w:tcPr>
          <w:p w14:paraId="177B3EB9"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6E21EE2F"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26BB7D02"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01B779FE"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76CFA497" w14:textId="77777777" w:rsidR="00516309" w:rsidRPr="002D158B" w:rsidRDefault="00516309" w:rsidP="00286E68">
            <w:pPr>
              <w:jc w:val="center"/>
              <w:rPr>
                <w:rFonts w:ascii="Arial Narrow" w:hAnsi="Arial Narrow"/>
                <w:sz w:val="20"/>
              </w:rPr>
            </w:pPr>
          </w:p>
        </w:tc>
      </w:tr>
      <w:tr w:rsidR="00516309" w:rsidRPr="002D158B" w14:paraId="6594ECFA" w14:textId="77777777" w:rsidTr="00286E68">
        <w:tc>
          <w:tcPr>
            <w:tcW w:w="2689" w:type="dxa"/>
            <w:tcBorders>
              <w:top w:val="nil"/>
              <w:bottom w:val="nil"/>
            </w:tcBorders>
          </w:tcPr>
          <w:p w14:paraId="31952E0A"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4314091A" w14:textId="77777777" w:rsidR="00516309" w:rsidRPr="002D158B" w:rsidRDefault="00516309" w:rsidP="00286E68">
            <w:pPr>
              <w:jc w:val="center"/>
              <w:rPr>
                <w:rFonts w:ascii="Arial Narrow" w:hAnsi="Arial Narrow"/>
                <w:sz w:val="20"/>
              </w:rPr>
            </w:pPr>
            <w:r w:rsidRPr="002D158B">
              <w:rPr>
                <w:rFonts w:ascii="Arial Narrow" w:hAnsi="Arial Narrow"/>
                <w:sz w:val="20"/>
              </w:rPr>
              <w:t>177/420 (42.1)</w:t>
            </w:r>
          </w:p>
        </w:tc>
        <w:tc>
          <w:tcPr>
            <w:tcW w:w="1134" w:type="dxa"/>
            <w:tcBorders>
              <w:top w:val="nil"/>
              <w:bottom w:val="nil"/>
            </w:tcBorders>
            <w:vAlign w:val="center"/>
          </w:tcPr>
          <w:p w14:paraId="72AE119E" w14:textId="77777777" w:rsidR="00516309" w:rsidRPr="002D158B" w:rsidRDefault="00516309" w:rsidP="00286E68">
            <w:pPr>
              <w:jc w:val="center"/>
              <w:rPr>
                <w:rFonts w:ascii="Arial Narrow" w:hAnsi="Arial Narrow"/>
                <w:sz w:val="20"/>
              </w:rPr>
            </w:pPr>
            <w:r w:rsidRPr="002D158B">
              <w:rPr>
                <w:rFonts w:ascii="Arial Narrow" w:hAnsi="Arial Narrow"/>
                <w:sz w:val="20"/>
              </w:rPr>
              <w:t>134/354 (37.9)</w:t>
            </w:r>
          </w:p>
        </w:tc>
        <w:tc>
          <w:tcPr>
            <w:tcW w:w="1353" w:type="dxa"/>
            <w:tcBorders>
              <w:top w:val="nil"/>
              <w:bottom w:val="nil"/>
            </w:tcBorders>
            <w:vAlign w:val="center"/>
          </w:tcPr>
          <w:p w14:paraId="1AE6DF2D" w14:textId="77777777" w:rsidR="00516309" w:rsidRPr="002D158B" w:rsidRDefault="00516309" w:rsidP="00286E68">
            <w:pPr>
              <w:jc w:val="center"/>
              <w:rPr>
                <w:rFonts w:ascii="Arial Narrow" w:hAnsi="Arial Narrow"/>
                <w:sz w:val="20"/>
              </w:rPr>
            </w:pPr>
            <w:r w:rsidRPr="002D158B">
              <w:rPr>
                <w:rFonts w:ascii="Arial Narrow" w:hAnsi="Arial Narrow"/>
                <w:sz w:val="20"/>
              </w:rPr>
              <w:t>1.20 (0.90, 1.61)</w:t>
            </w:r>
          </w:p>
        </w:tc>
        <w:tc>
          <w:tcPr>
            <w:tcW w:w="1353" w:type="dxa"/>
            <w:tcBorders>
              <w:top w:val="nil"/>
              <w:bottom w:val="nil"/>
            </w:tcBorders>
            <w:vAlign w:val="center"/>
          </w:tcPr>
          <w:p w14:paraId="260C6FBB" w14:textId="77777777" w:rsidR="00516309" w:rsidRPr="002D158B" w:rsidRDefault="00516309" w:rsidP="00286E68">
            <w:pPr>
              <w:jc w:val="center"/>
              <w:rPr>
                <w:rFonts w:ascii="Arial Narrow" w:hAnsi="Arial Narrow"/>
                <w:sz w:val="20"/>
              </w:rPr>
            </w:pPr>
            <w:r w:rsidRPr="002D158B">
              <w:rPr>
                <w:rFonts w:ascii="Arial Narrow" w:hAnsi="Arial Narrow"/>
                <w:sz w:val="20"/>
              </w:rPr>
              <w:t>1.11 (0.93, 1.33)</w:t>
            </w:r>
          </w:p>
        </w:tc>
        <w:tc>
          <w:tcPr>
            <w:tcW w:w="1353" w:type="dxa"/>
            <w:tcBorders>
              <w:top w:val="nil"/>
              <w:bottom w:val="nil"/>
            </w:tcBorders>
            <w:vAlign w:val="center"/>
          </w:tcPr>
          <w:p w14:paraId="46271D1E" w14:textId="77777777" w:rsidR="00516309" w:rsidRPr="002D158B" w:rsidRDefault="00516309" w:rsidP="00286E68">
            <w:pPr>
              <w:jc w:val="center"/>
              <w:rPr>
                <w:rFonts w:ascii="Arial Narrow" w:hAnsi="Arial Narrow"/>
                <w:sz w:val="20"/>
              </w:rPr>
            </w:pPr>
            <w:r w:rsidRPr="002D158B">
              <w:rPr>
                <w:rFonts w:ascii="Arial Narrow" w:hAnsi="Arial Narrow"/>
                <w:sz w:val="20"/>
              </w:rPr>
              <w:t>0.04 (-0.03, 0.11)</w:t>
            </w:r>
          </w:p>
        </w:tc>
      </w:tr>
      <w:tr w:rsidR="00516309" w:rsidRPr="002D158B" w14:paraId="2DC5C144" w14:textId="77777777" w:rsidTr="00286E68">
        <w:tc>
          <w:tcPr>
            <w:tcW w:w="2689" w:type="dxa"/>
            <w:tcBorders>
              <w:top w:val="nil"/>
              <w:bottom w:val="single" w:sz="4" w:space="0" w:color="auto"/>
            </w:tcBorders>
          </w:tcPr>
          <w:p w14:paraId="1D540DF0"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single" w:sz="4" w:space="0" w:color="auto"/>
            </w:tcBorders>
            <w:vAlign w:val="center"/>
          </w:tcPr>
          <w:p w14:paraId="3CA75EDE" w14:textId="77777777" w:rsidR="00516309" w:rsidRPr="002D158B" w:rsidRDefault="00516309" w:rsidP="00286E68">
            <w:pPr>
              <w:jc w:val="center"/>
              <w:rPr>
                <w:rFonts w:ascii="Arial Narrow" w:hAnsi="Arial Narrow"/>
                <w:sz w:val="20"/>
              </w:rPr>
            </w:pPr>
            <w:r w:rsidRPr="002D158B">
              <w:rPr>
                <w:rFonts w:ascii="Arial Narrow" w:hAnsi="Arial Narrow"/>
                <w:sz w:val="20"/>
              </w:rPr>
              <w:t>124/296 (41.9)</w:t>
            </w:r>
          </w:p>
        </w:tc>
        <w:tc>
          <w:tcPr>
            <w:tcW w:w="1134" w:type="dxa"/>
            <w:tcBorders>
              <w:top w:val="nil"/>
              <w:bottom w:val="single" w:sz="4" w:space="0" w:color="auto"/>
            </w:tcBorders>
            <w:vAlign w:val="center"/>
          </w:tcPr>
          <w:p w14:paraId="7BEF4AB4" w14:textId="77777777" w:rsidR="00516309" w:rsidRPr="002D158B" w:rsidRDefault="00516309" w:rsidP="00286E68">
            <w:pPr>
              <w:jc w:val="center"/>
              <w:rPr>
                <w:rFonts w:ascii="Arial Narrow" w:hAnsi="Arial Narrow"/>
                <w:sz w:val="20"/>
              </w:rPr>
            </w:pPr>
            <w:r w:rsidRPr="002D158B">
              <w:rPr>
                <w:rFonts w:ascii="Arial Narrow" w:hAnsi="Arial Narrow"/>
                <w:sz w:val="20"/>
              </w:rPr>
              <w:t>112/291 (38.5)</w:t>
            </w:r>
          </w:p>
        </w:tc>
        <w:tc>
          <w:tcPr>
            <w:tcW w:w="1353" w:type="dxa"/>
            <w:tcBorders>
              <w:top w:val="nil"/>
              <w:bottom w:val="single" w:sz="4" w:space="0" w:color="auto"/>
            </w:tcBorders>
            <w:vAlign w:val="center"/>
          </w:tcPr>
          <w:p w14:paraId="2611D65A" w14:textId="77777777" w:rsidR="00516309" w:rsidRPr="002D158B" w:rsidRDefault="00516309" w:rsidP="00286E68">
            <w:pPr>
              <w:jc w:val="center"/>
              <w:rPr>
                <w:rFonts w:ascii="Arial Narrow" w:hAnsi="Arial Narrow"/>
                <w:sz w:val="20"/>
              </w:rPr>
            </w:pPr>
            <w:r w:rsidRPr="002D158B">
              <w:rPr>
                <w:rFonts w:ascii="Arial Narrow" w:hAnsi="Arial Narrow"/>
                <w:sz w:val="20"/>
              </w:rPr>
              <w:t>1.15 (0.83, 1.60)</w:t>
            </w:r>
          </w:p>
        </w:tc>
        <w:tc>
          <w:tcPr>
            <w:tcW w:w="1353" w:type="dxa"/>
            <w:tcBorders>
              <w:top w:val="nil"/>
              <w:bottom w:val="single" w:sz="4" w:space="0" w:color="auto"/>
            </w:tcBorders>
            <w:vAlign w:val="center"/>
          </w:tcPr>
          <w:p w14:paraId="1558F105" w14:textId="77777777" w:rsidR="00516309" w:rsidRPr="002D158B" w:rsidRDefault="00516309" w:rsidP="00286E68">
            <w:pPr>
              <w:jc w:val="center"/>
              <w:rPr>
                <w:rFonts w:ascii="Arial Narrow" w:hAnsi="Arial Narrow"/>
                <w:sz w:val="20"/>
              </w:rPr>
            </w:pPr>
            <w:r w:rsidRPr="002D158B">
              <w:rPr>
                <w:rFonts w:ascii="Arial Narrow" w:hAnsi="Arial Narrow"/>
                <w:sz w:val="20"/>
              </w:rPr>
              <w:t>1.09 (0.89, 1.33)</w:t>
            </w:r>
          </w:p>
        </w:tc>
        <w:tc>
          <w:tcPr>
            <w:tcW w:w="1353" w:type="dxa"/>
            <w:tcBorders>
              <w:top w:val="nil"/>
              <w:bottom w:val="single" w:sz="4" w:space="0" w:color="auto"/>
            </w:tcBorders>
            <w:vAlign w:val="center"/>
          </w:tcPr>
          <w:p w14:paraId="10231ABF" w14:textId="77777777" w:rsidR="00516309" w:rsidRPr="002D158B" w:rsidRDefault="00516309" w:rsidP="00286E68">
            <w:pPr>
              <w:jc w:val="center"/>
              <w:rPr>
                <w:rFonts w:ascii="Arial Narrow" w:hAnsi="Arial Narrow"/>
                <w:sz w:val="20"/>
              </w:rPr>
            </w:pPr>
            <w:r w:rsidRPr="002D158B">
              <w:rPr>
                <w:rFonts w:ascii="Arial Narrow" w:hAnsi="Arial Narrow"/>
                <w:sz w:val="20"/>
              </w:rPr>
              <w:t>0.03 (-0.05, 0.11)</w:t>
            </w:r>
          </w:p>
        </w:tc>
      </w:tr>
    </w:tbl>
    <w:p w14:paraId="4CEAEDDD" w14:textId="11446E46" w:rsidR="00085A1E" w:rsidRPr="002D158B" w:rsidRDefault="00085A1E" w:rsidP="00085A1E">
      <w:pPr>
        <w:pStyle w:val="TableFigureFooter"/>
        <w:spacing w:after="0"/>
        <w:rPr>
          <w:rStyle w:val="CommentReference"/>
          <w:b w:val="0"/>
          <w:bCs/>
          <w:sz w:val="18"/>
          <w:szCs w:val="18"/>
        </w:rPr>
      </w:pPr>
      <w:r w:rsidRPr="002D158B">
        <w:rPr>
          <w:rStyle w:val="CommentReference"/>
          <w:sz w:val="18"/>
          <w:szCs w:val="18"/>
        </w:rPr>
        <w:t xml:space="preserve">bold </w:t>
      </w:r>
      <w:r w:rsidRPr="002D158B">
        <w:rPr>
          <w:rStyle w:val="CommentReference"/>
          <w:b w:val="0"/>
          <w:bCs/>
          <w:sz w:val="18"/>
          <w:szCs w:val="18"/>
        </w:rPr>
        <w:t>text indicates statistical significance p&lt;0.05.</w:t>
      </w:r>
    </w:p>
    <w:p w14:paraId="16942A2B" w14:textId="750B488B" w:rsidR="00516309" w:rsidRDefault="00516309" w:rsidP="00516309">
      <w:pPr>
        <w:pStyle w:val="TableFigureFooter"/>
        <w:spacing w:after="0"/>
        <w:rPr>
          <w:rStyle w:val="CommentReference"/>
          <w:b w:val="0"/>
          <w:bCs/>
          <w:sz w:val="18"/>
          <w:szCs w:val="18"/>
        </w:rPr>
      </w:pPr>
      <w:r w:rsidRPr="002D158B">
        <w:rPr>
          <w:rStyle w:val="CommentReference"/>
          <w:b w:val="0"/>
          <w:bCs/>
          <w:sz w:val="18"/>
          <w:szCs w:val="18"/>
        </w:rPr>
        <w:t>Risk statistics calculated</w:t>
      </w:r>
      <w:r>
        <w:rPr>
          <w:rStyle w:val="CommentReference"/>
          <w:b w:val="0"/>
          <w:bCs/>
          <w:sz w:val="18"/>
          <w:szCs w:val="18"/>
        </w:rPr>
        <w:t xml:space="preserve"> </w:t>
      </w:r>
      <w:r w:rsidRPr="004F7CA7">
        <w:rPr>
          <w:rStyle w:val="CommentReference"/>
          <w:b w:val="0"/>
          <w:bCs/>
          <w:sz w:val="18"/>
          <w:szCs w:val="18"/>
        </w:rPr>
        <w:t>using Review Manager (version 5.3)</w:t>
      </w:r>
      <w:r>
        <w:rPr>
          <w:rStyle w:val="CommentReference"/>
          <w:b w:val="0"/>
          <w:bCs/>
          <w:sz w:val="18"/>
          <w:szCs w:val="18"/>
        </w:rPr>
        <w:t>.</w:t>
      </w:r>
    </w:p>
    <w:p w14:paraId="4D226CA4" w14:textId="77777777" w:rsidR="00516309" w:rsidRPr="001909D4" w:rsidRDefault="00516309" w:rsidP="00516309">
      <w:pPr>
        <w:rPr>
          <w:rFonts w:ascii="Arial Narrow" w:hAnsi="Arial Narrow"/>
          <w:sz w:val="18"/>
          <w:szCs w:val="18"/>
        </w:rPr>
      </w:pPr>
      <w:r w:rsidRPr="001909D4">
        <w:rPr>
          <w:rFonts w:ascii="Arial Narrow" w:hAnsi="Arial Narrow"/>
          <w:sz w:val="18"/>
          <w:szCs w:val="18"/>
        </w:rPr>
        <w:t>Source:</w:t>
      </w:r>
      <w:r>
        <w:rPr>
          <w:rFonts w:ascii="Arial Narrow" w:hAnsi="Arial Narrow"/>
          <w:sz w:val="18"/>
          <w:szCs w:val="18"/>
        </w:rPr>
        <w:t xml:space="preserve"> Tables 2.93 and 2.94, pp205-206, Tables 2.95 and 2.96, pp208-209, Tables 2.133 to 2.135, pp264-268 of the submission. Attachment 2.33 GALAXI GUS vs UST – meta-analysis.xlsx.</w:t>
      </w:r>
    </w:p>
    <w:p w14:paraId="3CAEB22F" w14:textId="77777777" w:rsidR="00516309" w:rsidRPr="001909D4" w:rsidRDefault="00516309" w:rsidP="00516309">
      <w:pPr>
        <w:rPr>
          <w:rFonts w:ascii="Arial Narrow" w:hAnsi="Arial Narrow"/>
          <w:sz w:val="18"/>
          <w:szCs w:val="18"/>
        </w:rPr>
      </w:pPr>
      <w:r w:rsidRPr="001909D4">
        <w:rPr>
          <w:rFonts w:ascii="Arial Narrow" w:hAnsi="Arial Narrow"/>
          <w:sz w:val="18"/>
          <w:szCs w:val="18"/>
        </w:rPr>
        <w:t xml:space="preserve">GUS=guselkumab; </w:t>
      </w:r>
      <w:r w:rsidRPr="00AF7259">
        <w:rPr>
          <w:rFonts w:ascii="Arial Narrow" w:hAnsi="Arial Narrow"/>
          <w:sz w:val="18"/>
          <w:szCs w:val="18"/>
        </w:rPr>
        <w:t>SES-CD=simplified endoscopic activity score for CD;</w:t>
      </w:r>
      <w:r>
        <w:rPr>
          <w:rFonts w:ascii="Arial Narrow" w:hAnsi="Arial Narrow"/>
          <w:sz w:val="18"/>
          <w:szCs w:val="18"/>
        </w:rPr>
        <w:t xml:space="preserve"> </w:t>
      </w:r>
      <w:r w:rsidRPr="001909D4">
        <w:rPr>
          <w:rFonts w:ascii="Arial Narrow" w:hAnsi="Arial Narrow"/>
          <w:sz w:val="18"/>
          <w:szCs w:val="18"/>
        </w:rPr>
        <w:t>UST=ustekinumab;</w:t>
      </w:r>
      <w:r>
        <w:rPr>
          <w:rFonts w:ascii="Arial Narrow" w:hAnsi="Arial Narrow"/>
          <w:sz w:val="18"/>
          <w:szCs w:val="18"/>
        </w:rPr>
        <w:t xml:space="preserve"> </w:t>
      </w:r>
      <w:proofErr w:type="spellStart"/>
      <w:r>
        <w:rPr>
          <w:rFonts w:ascii="Arial Narrow" w:hAnsi="Arial Narrow"/>
          <w:sz w:val="18"/>
          <w:szCs w:val="18"/>
        </w:rPr>
        <w:t>wk</w:t>
      </w:r>
      <w:proofErr w:type="spellEnd"/>
      <w:r>
        <w:rPr>
          <w:rFonts w:ascii="Arial Narrow" w:hAnsi="Arial Narrow"/>
          <w:sz w:val="18"/>
          <w:szCs w:val="18"/>
        </w:rPr>
        <w:t>=week;</w:t>
      </w:r>
    </w:p>
    <w:p w14:paraId="14F6906A" w14:textId="77777777" w:rsidR="00516309" w:rsidRDefault="00516309" w:rsidP="00516309">
      <w:pPr>
        <w:rPr>
          <w:rFonts w:ascii="Arial Narrow" w:hAnsi="Arial Narrow"/>
          <w:sz w:val="18"/>
          <w:szCs w:val="18"/>
        </w:rPr>
      </w:pPr>
      <w:r w:rsidRPr="001909D4">
        <w:rPr>
          <w:rFonts w:ascii="Arial Narrow" w:hAnsi="Arial Narrow"/>
          <w:sz w:val="18"/>
          <w:szCs w:val="18"/>
        </w:rPr>
        <w:t>a</w:t>
      </w:r>
      <w:r w:rsidRPr="001909D4">
        <w:rPr>
          <w:rFonts w:ascii="Arial Narrow" w:hAnsi="Arial Narrow"/>
          <w:sz w:val="18"/>
          <w:szCs w:val="18"/>
        </w:rPr>
        <w:tab/>
        <w:t>region-specific defin</w:t>
      </w:r>
      <w:r>
        <w:rPr>
          <w:rFonts w:ascii="Arial Narrow" w:hAnsi="Arial Narrow"/>
          <w:sz w:val="18"/>
          <w:szCs w:val="18"/>
        </w:rPr>
        <w:t>i</w:t>
      </w:r>
      <w:r w:rsidRPr="001909D4">
        <w:rPr>
          <w:rFonts w:ascii="Arial Narrow" w:hAnsi="Arial Narrow"/>
          <w:sz w:val="18"/>
          <w:szCs w:val="18"/>
        </w:rPr>
        <w:t>tion</w:t>
      </w:r>
      <w:r>
        <w:rPr>
          <w:rFonts w:ascii="Arial Narrow" w:hAnsi="Arial Narrow"/>
          <w:sz w:val="18"/>
          <w:szCs w:val="18"/>
        </w:rPr>
        <w:t xml:space="preserve"> of endoscopic remission (</w:t>
      </w:r>
      <w:r w:rsidRPr="00AF7259">
        <w:rPr>
          <w:rFonts w:ascii="Arial Narrow" w:hAnsi="Arial Narrow"/>
          <w:sz w:val="18"/>
          <w:szCs w:val="18"/>
        </w:rPr>
        <w:t>SES-CD score ≤2</w:t>
      </w:r>
      <w:r>
        <w:rPr>
          <w:rFonts w:ascii="Arial Narrow" w:hAnsi="Arial Narrow"/>
          <w:sz w:val="18"/>
          <w:szCs w:val="18"/>
        </w:rPr>
        <w:t>).</w:t>
      </w:r>
    </w:p>
    <w:p w14:paraId="520EF618" w14:textId="77777777" w:rsidR="00516309" w:rsidRDefault="00516309" w:rsidP="00516309">
      <w:pPr>
        <w:rPr>
          <w:rFonts w:ascii="Arial Narrow" w:hAnsi="Arial Narrow"/>
          <w:sz w:val="18"/>
          <w:szCs w:val="18"/>
        </w:rPr>
      </w:pPr>
      <w:r>
        <w:rPr>
          <w:rFonts w:ascii="Arial Narrow" w:hAnsi="Arial Narrow"/>
          <w:sz w:val="18"/>
          <w:szCs w:val="18"/>
        </w:rPr>
        <w:t>b</w:t>
      </w:r>
      <w:r>
        <w:rPr>
          <w:rFonts w:ascii="Arial Narrow" w:hAnsi="Arial Narrow"/>
          <w:sz w:val="18"/>
          <w:szCs w:val="18"/>
        </w:rPr>
        <w:tab/>
        <w:t xml:space="preserve">calculated during the evaluation using </w:t>
      </w:r>
      <w:proofErr w:type="spellStart"/>
      <w:r>
        <w:rPr>
          <w:rFonts w:ascii="Arial Narrow" w:hAnsi="Arial Narrow"/>
          <w:sz w:val="18"/>
          <w:szCs w:val="18"/>
        </w:rPr>
        <w:t>RevMan</w:t>
      </w:r>
      <w:proofErr w:type="spellEnd"/>
      <w:r>
        <w:rPr>
          <w:rFonts w:ascii="Arial Narrow" w:hAnsi="Arial Narrow"/>
          <w:sz w:val="18"/>
          <w:szCs w:val="18"/>
        </w:rPr>
        <w:t xml:space="preserve"> v.5.3.</w:t>
      </w:r>
    </w:p>
    <w:p w14:paraId="2303CA6A" w14:textId="77777777" w:rsidR="00516309" w:rsidRDefault="00516309" w:rsidP="00A356AB">
      <w:pPr>
        <w:ind w:left="165" w:hanging="165"/>
        <w:rPr>
          <w:rFonts w:ascii="Arial Narrow" w:hAnsi="Arial Narrow"/>
          <w:sz w:val="18"/>
          <w:szCs w:val="18"/>
        </w:rPr>
      </w:pPr>
      <w:r>
        <w:rPr>
          <w:rFonts w:ascii="Arial Narrow" w:hAnsi="Arial Narrow"/>
          <w:sz w:val="18"/>
          <w:szCs w:val="18"/>
        </w:rPr>
        <w:t>c</w:t>
      </w:r>
      <w:r>
        <w:rPr>
          <w:rFonts w:ascii="Arial Narrow" w:hAnsi="Arial Narrow"/>
          <w:sz w:val="18"/>
          <w:szCs w:val="18"/>
        </w:rPr>
        <w:tab/>
        <w:t xml:space="preserve">Durable clinical remission defined as </w:t>
      </w:r>
      <w:r w:rsidRPr="00BF4673">
        <w:rPr>
          <w:rFonts w:ascii="Arial Narrow" w:hAnsi="Arial Narrow"/>
          <w:sz w:val="18"/>
          <w:szCs w:val="18"/>
        </w:rPr>
        <w:t>CDAI &lt;150 for ≥80% of all visits between Week 12 and Week 48</w:t>
      </w:r>
      <w:r>
        <w:rPr>
          <w:rFonts w:ascii="Arial Narrow" w:hAnsi="Arial Narrow"/>
          <w:sz w:val="18"/>
          <w:szCs w:val="18"/>
        </w:rPr>
        <w:t xml:space="preserve"> </w:t>
      </w:r>
      <w:r w:rsidRPr="00BF4673">
        <w:rPr>
          <w:rFonts w:ascii="Arial Narrow" w:hAnsi="Arial Narrow"/>
          <w:sz w:val="18"/>
          <w:szCs w:val="18"/>
        </w:rPr>
        <w:t>[i</w:t>
      </w:r>
      <w:r>
        <w:rPr>
          <w:rFonts w:ascii="Arial Narrow" w:hAnsi="Arial Narrow"/>
          <w:sz w:val="18"/>
          <w:szCs w:val="18"/>
        </w:rPr>
        <w:t>.</w:t>
      </w:r>
      <w:r w:rsidRPr="00BF4673">
        <w:rPr>
          <w:rFonts w:ascii="Arial Narrow" w:hAnsi="Arial Narrow"/>
          <w:sz w:val="18"/>
          <w:szCs w:val="18"/>
        </w:rPr>
        <w:t>e</w:t>
      </w:r>
      <w:r>
        <w:rPr>
          <w:rFonts w:ascii="Arial Narrow" w:hAnsi="Arial Narrow"/>
          <w:sz w:val="18"/>
          <w:szCs w:val="18"/>
        </w:rPr>
        <w:t>.</w:t>
      </w:r>
      <w:r w:rsidRPr="00BF4673">
        <w:rPr>
          <w:rFonts w:ascii="Arial Narrow" w:hAnsi="Arial Narrow"/>
          <w:sz w:val="18"/>
          <w:szCs w:val="18"/>
        </w:rPr>
        <w:t>, at least 8 of 10 visits]), which must include Week 48</w:t>
      </w:r>
      <w:r>
        <w:rPr>
          <w:rFonts w:ascii="Arial Narrow" w:hAnsi="Arial Narrow"/>
          <w:sz w:val="18"/>
          <w:szCs w:val="18"/>
        </w:rPr>
        <w:t>.</w:t>
      </w:r>
    </w:p>
    <w:p w14:paraId="63791A39" w14:textId="77777777" w:rsidR="00516309" w:rsidRDefault="00516309" w:rsidP="00516309">
      <w:pPr>
        <w:rPr>
          <w:rFonts w:ascii="Arial Narrow" w:hAnsi="Arial Narrow"/>
          <w:sz w:val="18"/>
          <w:szCs w:val="18"/>
        </w:rPr>
      </w:pPr>
      <w:r>
        <w:rPr>
          <w:rFonts w:ascii="Arial Narrow" w:hAnsi="Arial Narrow"/>
          <w:sz w:val="18"/>
          <w:szCs w:val="18"/>
        </w:rPr>
        <w:t>d</w:t>
      </w:r>
      <w:r>
        <w:rPr>
          <w:rFonts w:ascii="Arial Narrow" w:hAnsi="Arial Narrow"/>
          <w:sz w:val="18"/>
          <w:szCs w:val="18"/>
        </w:rPr>
        <w:tab/>
        <w:t xml:space="preserve">Sustained clinical remission defined as </w:t>
      </w:r>
      <w:r w:rsidRPr="00BF4673">
        <w:rPr>
          <w:rFonts w:ascii="Arial Narrow" w:hAnsi="Arial Narrow"/>
          <w:sz w:val="18"/>
          <w:szCs w:val="18"/>
        </w:rPr>
        <w:t>clinical remission at both Weeks 12 and 48</w:t>
      </w:r>
      <w:r>
        <w:rPr>
          <w:rFonts w:ascii="Arial Narrow" w:hAnsi="Arial Narrow"/>
          <w:sz w:val="18"/>
          <w:szCs w:val="18"/>
        </w:rPr>
        <w:t>.</w:t>
      </w:r>
    </w:p>
    <w:p w14:paraId="30054BAC" w14:textId="5634D32F" w:rsidR="00516309" w:rsidRDefault="00516309" w:rsidP="00516309">
      <w:pPr>
        <w:pStyle w:val="3-BodyText"/>
        <w:numPr>
          <w:ilvl w:val="0"/>
          <w:numId w:val="0"/>
        </w:numPr>
      </w:pPr>
    </w:p>
    <w:p w14:paraId="1104512E" w14:textId="56D90BEF" w:rsidR="00516309" w:rsidRPr="00B34A29" w:rsidRDefault="00066AE6" w:rsidP="00066AE6">
      <w:pPr>
        <w:pStyle w:val="Caption"/>
        <w:rPr>
          <w:b w:val="0"/>
          <w:bCs w:val="0"/>
        </w:rPr>
      </w:pPr>
      <w:bookmarkStart w:id="30" w:name="_Ref197675218"/>
      <w:r>
        <w:lastRenderedPageBreak/>
        <w:t xml:space="preserve">Figure </w:t>
      </w:r>
      <w:r w:rsidR="00DC5F25">
        <w:fldChar w:fldCharType="begin"/>
      </w:r>
      <w:r w:rsidR="00DC5F25">
        <w:instrText xml:space="preserve"> SEQ Figure \* ARABIC </w:instrText>
      </w:r>
      <w:r w:rsidR="00DC5F25">
        <w:fldChar w:fldCharType="separate"/>
      </w:r>
      <w:r w:rsidR="000756FD">
        <w:rPr>
          <w:noProof/>
        </w:rPr>
        <w:t>1</w:t>
      </w:r>
      <w:r w:rsidR="00DC5F25">
        <w:rPr>
          <w:noProof/>
        </w:rPr>
        <w:fldChar w:fldCharType="end"/>
      </w:r>
      <w:bookmarkEnd w:id="30"/>
      <w:r>
        <w:t>:</w:t>
      </w:r>
      <w:r w:rsidR="00516309" w:rsidRPr="00B34A29">
        <w:t xml:space="preserve"> Clinical remission by visit through to 48 weeks in GALAXI 1, GALAXI 2 and GALAXI 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546"/>
        <w:gridCol w:w="481"/>
      </w:tblGrid>
      <w:tr w:rsidR="00473388" w:rsidRPr="005325C3" w14:paraId="74A12C3F" w14:textId="77777777" w:rsidTr="00A356AB">
        <w:tc>
          <w:tcPr>
            <w:tcW w:w="2500" w:type="pct"/>
            <w:vAlign w:val="center"/>
          </w:tcPr>
          <w:p w14:paraId="5C3962BC" w14:textId="47B7F316" w:rsidR="00473388" w:rsidRPr="005325C3" w:rsidRDefault="00473388" w:rsidP="00473388">
            <w:pPr>
              <w:keepNext/>
              <w:keepLines/>
              <w:rPr>
                <w:noProof/>
                <w:sz w:val="20"/>
              </w:rPr>
            </w:pPr>
            <w:r>
              <w:rPr>
                <w:b/>
                <w:bCs/>
                <w:sz w:val="20"/>
              </w:rPr>
              <w:t xml:space="preserve">[A] </w:t>
            </w:r>
            <w:r w:rsidRPr="005325C3">
              <w:rPr>
                <w:b/>
                <w:bCs/>
                <w:sz w:val="20"/>
              </w:rPr>
              <w:t>GALAXI 1</w:t>
            </w:r>
          </w:p>
        </w:tc>
        <w:tc>
          <w:tcPr>
            <w:tcW w:w="2500" w:type="pct"/>
            <w:vAlign w:val="center"/>
          </w:tcPr>
          <w:p w14:paraId="2559380F" w14:textId="77777777" w:rsidR="00F07500" w:rsidRDefault="00F07500" w:rsidP="00473388">
            <w:pPr>
              <w:keepNext/>
              <w:keepLines/>
              <w:rPr>
                <w:b/>
                <w:bCs/>
                <w:sz w:val="20"/>
              </w:rPr>
            </w:pPr>
          </w:p>
          <w:p w14:paraId="208DA289" w14:textId="3C0C27FE" w:rsidR="00473388" w:rsidRPr="005325C3" w:rsidRDefault="00473388" w:rsidP="00473388">
            <w:pPr>
              <w:keepNext/>
              <w:keepLines/>
              <w:rPr>
                <w:noProof/>
                <w:sz w:val="20"/>
              </w:rPr>
            </w:pPr>
          </w:p>
        </w:tc>
      </w:tr>
      <w:tr w:rsidR="00473388" w:rsidRPr="005325C3" w14:paraId="459A65A8" w14:textId="69BC42B1" w:rsidTr="00F07500">
        <w:tc>
          <w:tcPr>
            <w:tcW w:w="2500" w:type="pct"/>
          </w:tcPr>
          <w:p w14:paraId="47E37A95" w14:textId="77777777" w:rsidR="00473388" w:rsidRDefault="00473388" w:rsidP="00473388">
            <w:pPr>
              <w:keepNext/>
              <w:keepLines/>
              <w:rPr>
                <w:noProof/>
                <w:sz w:val="20"/>
              </w:rPr>
            </w:pPr>
            <w:r w:rsidRPr="005325C3">
              <w:rPr>
                <w:noProof/>
                <w:sz w:val="20"/>
              </w:rPr>
              <w:drawing>
                <wp:inline distT="0" distB="0" distL="0" distR="0" wp14:anchorId="5A561222" wp14:editId="1D44C1A8">
                  <wp:extent cx="5384829" cy="2679700"/>
                  <wp:effectExtent l="0" t="0" r="6350" b="6350"/>
                  <wp:docPr id="2" name="Picture 2" descr="Figure 1a: Clinical remission by visit through to 48 weeks in GALAX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a: Clinical remission by visit through to 48 weeks in GALAXI 1"/>
                          <pic:cNvPicPr/>
                        </pic:nvPicPr>
                        <pic:blipFill rotWithShape="1">
                          <a:blip r:embed="rId17"/>
                          <a:srcRect l="4174"/>
                          <a:stretch/>
                        </pic:blipFill>
                        <pic:spPr bwMode="auto">
                          <a:xfrm>
                            <a:off x="0" y="0"/>
                            <a:ext cx="5498712" cy="2736372"/>
                          </a:xfrm>
                          <a:prstGeom prst="rect">
                            <a:avLst/>
                          </a:prstGeom>
                          <a:ln>
                            <a:noFill/>
                          </a:ln>
                          <a:extLst>
                            <a:ext uri="{53640926-AAD7-44D8-BBD7-CCE9431645EC}">
                              <a14:shadowObscured xmlns:a14="http://schemas.microsoft.com/office/drawing/2010/main"/>
                            </a:ext>
                          </a:extLst>
                        </pic:spPr>
                      </pic:pic>
                    </a:graphicData>
                  </a:graphic>
                </wp:inline>
              </w:drawing>
            </w:r>
          </w:p>
          <w:p w14:paraId="558E0D20" w14:textId="19C9CDF5" w:rsidR="00F07500" w:rsidRPr="00F07500" w:rsidRDefault="00F07500" w:rsidP="00F07500">
            <w:pPr>
              <w:rPr>
                <w:sz w:val="20"/>
              </w:rPr>
            </w:pPr>
            <w:r>
              <w:rPr>
                <w:b/>
                <w:bCs/>
                <w:sz w:val="20"/>
              </w:rPr>
              <w:t xml:space="preserve">[B] </w:t>
            </w:r>
            <w:r w:rsidRPr="005325C3">
              <w:rPr>
                <w:b/>
                <w:bCs/>
                <w:sz w:val="20"/>
              </w:rPr>
              <w:t xml:space="preserve">GALAXI </w:t>
            </w:r>
            <w:r>
              <w:rPr>
                <w:b/>
                <w:bCs/>
                <w:sz w:val="20"/>
              </w:rPr>
              <w:t>2</w:t>
            </w:r>
          </w:p>
        </w:tc>
        <w:tc>
          <w:tcPr>
            <w:tcW w:w="2500" w:type="pct"/>
          </w:tcPr>
          <w:p w14:paraId="5159E47D" w14:textId="77777777" w:rsidR="00473388" w:rsidRDefault="00473388" w:rsidP="00473388">
            <w:pPr>
              <w:keepNext/>
              <w:keepLines/>
              <w:rPr>
                <w:noProof/>
                <w:sz w:val="20"/>
              </w:rPr>
            </w:pPr>
          </w:p>
          <w:p w14:paraId="7E958DEB" w14:textId="77777777" w:rsidR="00F07500" w:rsidRDefault="00F07500" w:rsidP="00473388">
            <w:pPr>
              <w:keepNext/>
              <w:keepLines/>
              <w:rPr>
                <w:noProof/>
                <w:sz w:val="20"/>
              </w:rPr>
            </w:pPr>
          </w:p>
          <w:p w14:paraId="23445577" w14:textId="77777777" w:rsidR="00F07500" w:rsidRDefault="00F07500" w:rsidP="00473388">
            <w:pPr>
              <w:keepNext/>
              <w:keepLines/>
              <w:rPr>
                <w:noProof/>
                <w:sz w:val="20"/>
              </w:rPr>
            </w:pPr>
          </w:p>
          <w:p w14:paraId="105D8250" w14:textId="77777777" w:rsidR="00F07500" w:rsidRDefault="00F07500" w:rsidP="00473388">
            <w:pPr>
              <w:keepNext/>
              <w:keepLines/>
              <w:rPr>
                <w:noProof/>
                <w:sz w:val="20"/>
              </w:rPr>
            </w:pPr>
          </w:p>
          <w:p w14:paraId="7BE0F5D9" w14:textId="77777777" w:rsidR="00F07500" w:rsidRDefault="00F07500" w:rsidP="00473388">
            <w:pPr>
              <w:keepNext/>
              <w:keepLines/>
              <w:rPr>
                <w:noProof/>
                <w:sz w:val="20"/>
              </w:rPr>
            </w:pPr>
          </w:p>
          <w:p w14:paraId="5DC5F0D0" w14:textId="77777777" w:rsidR="00F07500" w:rsidRDefault="00F07500" w:rsidP="00473388">
            <w:pPr>
              <w:keepNext/>
              <w:keepLines/>
              <w:rPr>
                <w:noProof/>
                <w:sz w:val="20"/>
              </w:rPr>
            </w:pPr>
          </w:p>
          <w:p w14:paraId="5512B4BE" w14:textId="77777777" w:rsidR="00F07500" w:rsidRDefault="00F07500" w:rsidP="00473388">
            <w:pPr>
              <w:keepNext/>
              <w:keepLines/>
              <w:rPr>
                <w:noProof/>
                <w:sz w:val="20"/>
              </w:rPr>
            </w:pPr>
          </w:p>
          <w:p w14:paraId="0448D2EF" w14:textId="77777777" w:rsidR="00F07500" w:rsidRDefault="00F07500" w:rsidP="00473388">
            <w:pPr>
              <w:keepNext/>
              <w:keepLines/>
              <w:rPr>
                <w:noProof/>
                <w:sz w:val="20"/>
              </w:rPr>
            </w:pPr>
          </w:p>
          <w:p w14:paraId="7ADDF04B" w14:textId="77777777" w:rsidR="00F07500" w:rsidRDefault="00F07500" w:rsidP="00473388">
            <w:pPr>
              <w:keepNext/>
              <w:keepLines/>
              <w:rPr>
                <w:noProof/>
                <w:sz w:val="20"/>
              </w:rPr>
            </w:pPr>
          </w:p>
          <w:p w14:paraId="6B410AFE" w14:textId="77777777" w:rsidR="00F07500" w:rsidRDefault="00F07500" w:rsidP="00473388">
            <w:pPr>
              <w:keepNext/>
              <w:keepLines/>
              <w:rPr>
                <w:noProof/>
                <w:sz w:val="20"/>
              </w:rPr>
            </w:pPr>
          </w:p>
          <w:p w14:paraId="3E68478F" w14:textId="77777777" w:rsidR="00F07500" w:rsidRDefault="00F07500" w:rsidP="00473388">
            <w:pPr>
              <w:keepNext/>
              <w:keepLines/>
              <w:rPr>
                <w:noProof/>
                <w:sz w:val="20"/>
              </w:rPr>
            </w:pPr>
          </w:p>
          <w:p w14:paraId="7FBEE038" w14:textId="77777777" w:rsidR="00F07500" w:rsidRDefault="00F07500" w:rsidP="00473388">
            <w:pPr>
              <w:keepNext/>
              <w:keepLines/>
              <w:rPr>
                <w:noProof/>
                <w:sz w:val="20"/>
              </w:rPr>
            </w:pPr>
          </w:p>
          <w:p w14:paraId="7647E8AD" w14:textId="77777777" w:rsidR="00F07500" w:rsidRDefault="00F07500" w:rsidP="00473388">
            <w:pPr>
              <w:keepNext/>
              <w:keepLines/>
              <w:rPr>
                <w:noProof/>
                <w:sz w:val="20"/>
              </w:rPr>
            </w:pPr>
          </w:p>
          <w:p w14:paraId="4AB6B5B6" w14:textId="77777777" w:rsidR="00F07500" w:rsidRDefault="00F07500" w:rsidP="00473388">
            <w:pPr>
              <w:keepNext/>
              <w:keepLines/>
              <w:rPr>
                <w:noProof/>
                <w:sz w:val="20"/>
              </w:rPr>
            </w:pPr>
          </w:p>
          <w:p w14:paraId="042F174B" w14:textId="77777777" w:rsidR="00F07500" w:rsidRDefault="00F07500" w:rsidP="00473388">
            <w:pPr>
              <w:keepNext/>
              <w:keepLines/>
              <w:rPr>
                <w:noProof/>
                <w:sz w:val="20"/>
              </w:rPr>
            </w:pPr>
          </w:p>
          <w:p w14:paraId="3729A179" w14:textId="77777777" w:rsidR="00F07500" w:rsidRDefault="00F07500" w:rsidP="00473388">
            <w:pPr>
              <w:keepNext/>
              <w:keepLines/>
              <w:rPr>
                <w:noProof/>
                <w:sz w:val="20"/>
              </w:rPr>
            </w:pPr>
          </w:p>
          <w:p w14:paraId="39439B65" w14:textId="77777777" w:rsidR="00F07500" w:rsidRDefault="00F07500" w:rsidP="00473388">
            <w:pPr>
              <w:keepNext/>
              <w:keepLines/>
              <w:rPr>
                <w:noProof/>
                <w:sz w:val="20"/>
              </w:rPr>
            </w:pPr>
          </w:p>
          <w:p w14:paraId="1E4BE832" w14:textId="77777777" w:rsidR="00F07500" w:rsidRDefault="00F07500" w:rsidP="00473388">
            <w:pPr>
              <w:keepNext/>
              <w:keepLines/>
              <w:rPr>
                <w:noProof/>
                <w:sz w:val="20"/>
              </w:rPr>
            </w:pPr>
          </w:p>
          <w:p w14:paraId="76577257" w14:textId="008A657D" w:rsidR="00F07500" w:rsidRPr="005325C3" w:rsidRDefault="00F07500" w:rsidP="00473388">
            <w:pPr>
              <w:keepNext/>
              <w:keepLines/>
              <w:rPr>
                <w:noProof/>
                <w:sz w:val="20"/>
              </w:rPr>
            </w:pPr>
          </w:p>
        </w:tc>
      </w:tr>
      <w:tr w:rsidR="00473388" w:rsidRPr="005325C3" w14:paraId="78B11F63" w14:textId="13CA5EFB" w:rsidTr="00A356AB">
        <w:trPr>
          <w:trHeight w:val="50"/>
        </w:trPr>
        <w:tc>
          <w:tcPr>
            <w:tcW w:w="2500" w:type="pct"/>
            <w:vAlign w:val="center"/>
          </w:tcPr>
          <w:p w14:paraId="1DEFBC85" w14:textId="77777777" w:rsidR="00F07500" w:rsidRDefault="00F07500" w:rsidP="00473388">
            <w:pPr>
              <w:keepNext/>
              <w:keepLines/>
              <w:rPr>
                <w:b/>
                <w:bCs/>
                <w:sz w:val="20"/>
              </w:rPr>
            </w:pPr>
            <w:r w:rsidRPr="005325C3">
              <w:rPr>
                <w:noProof/>
                <w:sz w:val="20"/>
              </w:rPr>
              <w:drawing>
                <wp:inline distT="0" distB="0" distL="0" distR="0" wp14:anchorId="70806D7A" wp14:editId="3F8CC421">
                  <wp:extent cx="4346499" cy="2266950"/>
                  <wp:effectExtent l="0" t="0" r="0" b="0"/>
                  <wp:docPr id="9" name="Picture 9" descr="Figure 1b: Clinical remission by visit through to 48 weeks in GALAX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b: Clinical remission by visit through to 48 weeks in GALAXI 2"/>
                          <pic:cNvPicPr/>
                        </pic:nvPicPr>
                        <pic:blipFill rotWithShape="1">
                          <a:blip r:embed="rId18"/>
                          <a:srcRect l="6042"/>
                          <a:stretch/>
                        </pic:blipFill>
                        <pic:spPr bwMode="auto">
                          <a:xfrm>
                            <a:off x="0" y="0"/>
                            <a:ext cx="4461030" cy="2326684"/>
                          </a:xfrm>
                          <a:prstGeom prst="rect">
                            <a:avLst/>
                          </a:prstGeom>
                          <a:ln>
                            <a:noFill/>
                          </a:ln>
                          <a:extLst>
                            <a:ext uri="{53640926-AAD7-44D8-BBD7-CCE9431645EC}">
                              <a14:shadowObscured xmlns:a14="http://schemas.microsoft.com/office/drawing/2010/main"/>
                            </a:ext>
                          </a:extLst>
                        </pic:spPr>
                      </pic:pic>
                    </a:graphicData>
                  </a:graphic>
                </wp:inline>
              </w:drawing>
            </w:r>
            <w:r>
              <w:rPr>
                <w:b/>
                <w:bCs/>
                <w:sz w:val="20"/>
              </w:rPr>
              <w:t xml:space="preserve"> </w:t>
            </w:r>
          </w:p>
          <w:p w14:paraId="1BF748D0" w14:textId="1664391D" w:rsidR="00473388" w:rsidRPr="005325C3" w:rsidRDefault="00473388" w:rsidP="00473388">
            <w:pPr>
              <w:keepNext/>
              <w:keepLines/>
              <w:rPr>
                <w:sz w:val="20"/>
              </w:rPr>
            </w:pPr>
            <w:r>
              <w:rPr>
                <w:b/>
                <w:bCs/>
                <w:sz w:val="20"/>
              </w:rPr>
              <w:t xml:space="preserve">[C] </w:t>
            </w:r>
            <w:r w:rsidRPr="005325C3">
              <w:rPr>
                <w:b/>
                <w:bCs/>
                <w:sz w:val="20"/>
              </w:rPr>
              <w:t xml:space="preserve">GALAXI </w:t>
            </w:r>
            <w:r>
              <w:rPr>
                <w:b/>
                <w:bCs/>
                <w:sz w:val="20"/>
              </w:rPr>
              <w:t>3</w:t>
            </w:r>
          </w:p>
        </w:tc>
        <w:tc>
          <w:tcPr>
            <w:tcW w:w="2500" w:type="pct"/>
          </w:tcPr>
          <w:p w14:paraId="55AA81E6" w14:textId="77777777" w:rsidR="00473388" w:rsidRPr="005325C3" w:rsidRDefault="00473388" w:rsidP="00473388">
            <w:pPr>
              <w:keepNext/>
              <w:keepLines/>
              <w:rPr>
                <w:noProof/>
                <w:sz w:val="20"/>
              </w:rPr>
            </w:pPr>
          </w:p>
        </w:tc>
      </w:tr>
      <w:tr w:rsidR="00473388" w:rsidRPr="005325C3" w14:paraId="7444E090" w14:textId="09462FAC" w:rsidTr="00F07500">
        <w:tc>
          <w:tcPr>
            <w:tcW w:w="2500" w:type="pct"/>
          </w:tcPr>
          <w:p w14:paraId="3CDFE444" w14:textId="77777777" w:rsidR="00473388" w:rsidRPr="005325C3" w:rsidRDefault="00473388" w:rsidP="00473388">
            <w:pPr>
              <w:keepNext/>
              <w:keepLines/>
              <w:rPr>
                <w:sz w:val="20"/>
              </w:rPr>
            </w:pPr>
            <w:r w:rsidRPr="00CB3825">
              <w:rPr>
                <w:noProof/>
                <w:sz w:val="20"/>
              </w:rPr>
              <w:drawing>
                <wp:inline distT="0" distB="0" distL="0" distR="0" wp14:anchorId="5F65CF5C" wp14:editId="1C01C47F">
                  <wp:extent cx="4406900" cy="2218113"/>
                  <wp:effectExtent l="0" t="0" r="0" b="0"/>
                  <wp:docPr id="10" name="Picture 10" descr="Figure 1c: Clinical remission by visit through to 48 weeks in GALAX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1c: Clinical remission by visit through to 48 weeks in GALAXI 3"/>
                          <pic:cNvPicPr/>
                        </pic:nvPicPr>
                        <pic:blipFill>
                          <a:blip r:embed="rId19"/>
                          <a:stretch>
                            <a:fillRect/>
                          </a:stretch>
                        </pic:blipFill>
                        <pic:spPr>
                          <a:xfrm>
                            <a:off x="0" y="0"/>
                            <a:ext cx="4430126" cy="2229803"/>
                          </a:xfrm>
                          <a:prstGeom prst="rect">
                            <a:avLst/>
                          </a:prstGeom>
                        </pic:spPr>
                      </pic:pic>
                    </a:graphicData>
                  </a:graphic>
                </wp:inline>
              </w:drawing>
            </w:r>
          </w:p>
        </w:tc>
        <w:tc>
          <w:tcPr>
            <w:tcW w:w="2500" w:type="pct"/>
          </w:tcPr>
          <w:p w14:paraId="649F882A" w14:textId="77777777" w:rsidR="00473388" w:rsidRPr="00CB3825" w:rsidRDefault="00473388" w:rsidP="00473388">
            <w:pPr>
              <w:keepNext/>
              <w:keepLines/>
              <w:rPr>
                <w:noProof/>
                <w:sz w:val="20"/>
              </w:rPr>
            </w:pPr>
          </w:p>
        </w:tc>
      </w:tr>
    </w:tbl>
    <w:p w14:paraId="1167E8AE" w14:textId="77777777" w:rsidR="00516309" w:rsidRPr="008178B3" w:rsidRDefault="00516309" w:rsidP="00516309">
      <w:pPr>
        <w:keepNext/>
        <w:keepLines/>
        <w:rPr>
          <w:rFonts w:ascii="Arial Narrow" w:hAnsi="Arial Narrow"/>
          <w:sz w:val="18"/>
          <w:szCs w:val="18"/>
        </w:rPr>
      </w:pPr>
      <w:r w:rsidRPr="008178B3">
        <w:rPr>
          <w:rFonts w:ascii="Arial Narrow" w:hAnsi="Arial Narrow"/>
          <w:sz w:val="18"/>
          <w:szCs w:val="18"/>
        </w:rPr>
        <w:lastRenderedPageBreak/>
        <w:t>Source: Figure 5, p130 GALAXI 1 CSR; Figure 8, p150 GALAXI 2 CSR; Figure 8, p145 GALAXI 3 CSR</w:t>
      </w:r>
    </w:p>
    <w:p w14:paraId="411BFC89" w14:textId="399A90A4" w:rsidR="00516309" w:rsidRPr="00CA3DD2" w:rsidRDefault="00516309" w:rsidP="00EC5836">
      <w:pPr>
        <w:pStyle w:val="3-BodyText"/>
      </w:pPr>
      <w:r w:rsidRPr="00CA3DD2">
        <w:t>The head-to-head evidence of GALAXI 1, GALAXI 2 and GALAXI 3 showed:</w:t>
      </w:r>
    </w:p>
    <w:p w14:paraId="3A8FDB52" w14:textId="622ACFB6" w:rsidR="00516309" w:rsidRPr="00CA3DD2" w:rsidRDefault="00516309" w:rsidP="00096092">
      <w:pPr>
        <w:pStyle w:val="ListParagraph"/>
        <w:widowControl w:val="0"/>
        <w:numPr>
          <w:ilvl w:val="0"/>
          <w:numId w:val="11"/>
        </w:numPr>
        <w:spacing w:after="0"/>
        <w:contextualSpacing/>
      </w:pPr>
      <w:r w:rsidRPr="00CA3DD2">
        <w:t>For induction treatment (i.e. Week 12), no difference between GUS and UST in terms of clinical remission or clinical response. Comparisons versus PBO (not presented in the table or figure) confirmed that both GUS and UST were more effective than PBO across both outcomes at the same time point.</w:t>
      </w:r>
    </w:p>
    <w:p w14:paraId="4434B397" w14:textId="332B396E" w:rsidR="00516309" w:rsidRDefault="00516309" w:rsidP="00096092">
      <w:pPr>
        <w:pStyle w:val="ListParagraph"/>
        <w:widowControl w:val="0"/>
        <w:numPr>
          <w:ilvl w:val="0"/>
          <w:numId w:val="11"/>
        </w:numPr>
        <w:spacing w:after="0"/>
        <w:contextualSpacing/>
      </w:pPr>
      <w:r w:rsidRPr="00CA3DD2">
        <w:t xml:space="preserve">For maintenance treatment (i.e. Week 48), generally no difference between GUS 100 mg SC, GUS 200 mg SC and UST in terms of clinical remission and clinical response outcomes, </w:t>
      </w:r>
      <w:proofErr w:type="gramStart"/>
      <w:r w:rsidRPr="00CA3DD2">
        <w:t>with the exception of</w:t>
      </w:r>
      <w:proofErr w:type="gramEnd"/>
      <w:r w:rsidRPr="00CA3DD2">
        <w:t xml:space="preserve"> a few comparisons that favoured GUS 200 mg SC over UST on maintenance of clinical remission and durable clinical remission. In contrast, GUS 100 mg SC and GUS 200 mg SC were </w:t>
      </w:r>
      <w:r w:rsidR="0043360C" w:rsidRPr="00CA3DD2">
        <w:t xml:space="preserve">generally </w:t>
      </w:r>
      <w:r w:rsidRPr="00CA3DD2">
        <w:t>more</w:t>
      </w:r>
      <w:r>
        <w:rPr>
          <w:i/>
          <w:iCs/>
        </w:rPr>
        <w:t xml:space="preserve"> </w:t>
      </w:r>
      <w:r w:rsidRPr="00CA3DD2">
        <w:t xml:space="preserve">effective than UST in </w:t>
      </w:r>
      <w:r w:rsidR="0043360C" w:rsidRPr="00CA3DD2">
        <w:t xml:space="preserve">terms of </w:t>
      </w:r>
      <w:r w:rsidRPr="00CA3DD2">
        <w:t>endoscopic remission and endoscopic response outcomes.</w:t>
      </w:r>
    </w:p>
    <w:p w14:paraId="7389A5D6" w14:textId="5AB950F4" w:rsidR="001A2087" w:rsidRDefault="00B81DB2" w:rsidP="001A2087">
      <w:pPr>
        <w:pStyle w:val="3-BodyText"/>
      </w:pPr>
      <w:bookmarkStart w:id="31" w:name="_Ref204003288"/>
      <w:r>
        <w:t xml:space="preserve">The pre-PBAC response stated </w:t>
      </w:r>
      <w:r w:rsidR="003B1B58">
        <w:t xml:space="preserve">the CDAI </w:t>
      </w:r>
      <w:r w:rsidR="00E85B64">
        <w:t xml:space="preserve">is </w:t>
      </w:r>
      <w:r w:rsidR="00E85B64" w:rsidRPr="00E85B64">
        <w:t xml:space="preserve">a subjective measure of severity and not inflammation </w:t>
      </w:r>
      <w:r w:rsidR="00E85B64">
        <w:t xml:space="preserve">and </w:t>
      </w:r>
      <w:r w:rsidR="00E85B64" w:rsidRPr="00E85B64">
        <w:t>underestimates the efficacy value of treatments by not capturing the long-term benefits of reduced inflammation</w:t>
      </w:r>
      <w:r w:rsidR="00E85B64">
        <w:t xml:space="preserve">. </w:t>
      </w:r>
      <w:r w:rsidR="00CA4724">
        <w:t>It stated p</w:t>
      </w:r>
      <w:r w:rsidR="007C3BC9" w:rsidRPr="007C3BC9">
        <w:t>atients can have obtained symptomatic CDAI remission but still show signs of inflammation and therefore the continued presence of disease.</w:t>
      </w:r>
      <w:r w:rsidR="005C2DF0" w:rsidRPr="005C2DF0">
        <w:t xml:space="preserve"> </w:t>
      </w:r>
      <w:r w:rsidR="005C2DF0">
        <w:t>The pre-PBAC noted that s</w:t>
      </w:r>
      <w:r w:rsidR="005C2DF0" w:rsidRPr="005C2DF0">
        <w:t xml:space="preserve">ince the </w:t>
      </w:r>
      <w:r w:rsidR="005C2DF0">
        <w:t xml:space="preserve">listing </w:t>
      </w:r>
      <w:r w:rsidR="005C2DF0" w:rsidRPr="005C2DF0">
        <w:t>of infliximab for CD in 2007</w:t>
      </w:r>
      <w:r w:rsidR="005C2DF0">
        <w:t>,</w:t>
      </w:r>
      <w:r w:rsidR="005C2DF0" w:rsidRPr="005C2DF0">
        <w:t xml:space="preserve"> endoscopic remission has gained recognition as a key treatment objective in CD. The international clinical guideline STRIDE-II recommends that symptom control (i.e. clinical response and remission) and normalisation of CRP should be the short to intermediate term treatment target for CD and recommends endoscopic healing as a long-term treatment target for patients with CD.</w:t>
      </w:r>
      <w:r w:rsidR="00901C10" w:rsidRPr="00901C10">
        <w:t xml:space="preserve"> As such, </w:t>
      </w:r>
      <w:r w:rsidR="00901C10">
        <w:t xml:space="preserve">since 2022, </w:t>
      </w:r>
      <w:r w:rsidR="00901C10" w:rsidRPr="00901C10">
        <w:t>the US FDA has required that endoscopic remission be included as a co-primary endpoint in combination with clinical remission to be assessed at the end of the trial induction period and at Week 52 for all clinical trials in CD and UC. This recognises that an assessment of the benefits of treatments should cover symptoms (CDAI remission) and degree of inflammation (endoscopic remission).</w:t>
      </w:r>
      <w:bookmarkEnd w:id="31"/>
    </w:p>
    <w:p w14:paraId="2477AE08" w14:textId="77C0A447" w:rsidR="00C44ECF" w:rsidRDefault="009C34E6" w:rsidP="001A2087">
      <w:pPr>
        <w:pStyle w:val="3-BodyText"/>
      </w:pPr>
      <w:bookmarkStart w:id="32" w:name="_Ref204163601"/>
      <w:r>
        <w:t xml:space="preserve">The pre-PBAC response noted that </w:t>
      </w:r>
      <w:r w:rsidRPr="009C34E6">
        <w:t>110</w:t>
      </w:r>
      <w:r w:rsidR="00ED1B52">
        <w:t xml:space="preserve"> patients treated with GUS 200 mg </w:t>
      </w:r>
      <w:r w:rsidRPr="009C34E6">
        <w:t>achiev</w:t>
      </w:r>
      <w:r w:rsidR="00ED1B52">
        <w:t xml:space="preserve">ed </w:t>
      </w:r>
      <w:r w:rsidRPr="009C34E6">
        <w:t>endoscopic remission</w:t>
      </w:r>
      <w:r w:rsidR="00824126">
        <w:t xml:space="preserve"> at 48 weeks and </w:t>
      </w:r>
      <w:r w:rsidR="00B43313">
        <w:t>100 patients achieved deep remission (</w:t>
      </w:r>
      <w:r w:rsidR="00B43313" w:rsidRPr="007966CC">
        <w:t xml:space="preserve">both </w:t>
      </w:r>
      <w:r w:rsidR="00B43313">
        <w:t xml:space="preserve">clinical </w:t>
      </w:r>
      <w:r w:rsidR="00B43313" w:rsidRPr="007966CC">
        <w:t>remission and endoscopic remission</w:t>
      </w:r>
      <w:r w:rsidR="00B43313">
        <w:t>)</w:t>
      </w:r>
      <w:r w:rsidRPr="009C34E6">
        <w:t xml:space="preserve">. </w:t>
      </w:r>
      <w:r w:rsidR="00E84666">
        <w:t xml:space="preserve">Therefore, </w:t>
      </w:r>
      <w:r w:rsidR="00DF36A7">
        <w:t xml:space="preserve">the </w:t>
      </w:r>
      <w:r w:rsidR="00E84666">
        <w:t xml:space="preserve">pre-PBAC response noted </w:t>
      </w:r>
      <w:proofErr w:type="gramStart"/>
      <w:r w:rsidRPr="009C34E6">
        <w:t>the vast majority of</w:t>
      </w:r>
      <w:proofErr w:type="gramEnd"/>
      <w:r w:rsidRPr="009C34E6">
        <w:t xml:space="preserve"> patients who achieve endoscopic remission also achieved clinical remission (100/110 [90%]). </w:t>
      </w:r>
      <w:r w:rsidR="00E84666">
        <w:t>The pre-</w:t>
      </w:r>
      <w:r w:rsidR="005A6F4B">
        <w:t>P</w:t>
      </w:r>
      <w:r w:rsidR="00E84666">
        <w:t xml:space="preserve">BAC response noted this correlation </w:t>
      </w:r>
      <w:r w:rsidRPr="009C34E6">
        <w:t xml:space="preserve">also existed for UST, with 65 out of 72 patients (90%) </w:t>
      </w:r>
      <w:r w:rsidR="009401B5">
        <w:t xml:space="preserve">who </w:t>
      </w:r>
      <w:r w:rsidRPr="009C34E6">
        <w:t>achieved endoscopic remission also achieving clinical remission.</w:t>
      </w:r>
      <w:r w:rsidR="00BC4972">
        <w:t xml:space="preserve"> </w:t>
      </w:r>
      <w:r w:rsidR="005A6F4B">
        <w:t xml:space="preserve">The pre-PBAC response noted the relationship between endoscopic score after 52 weeks of treatment and </w:t>
      </w:r>
      <w:r w:rsidR="009F10F1">
        <w:t xml:space="preserve">clinical </w:t>
      </w:r>
      <w:r w:rsidR="00C41342">
        <w:t xml:space="preserve">outcomes </w:t>
      </w:r>
      <w:r w:rsidR="004934B3">
        <w:t xml:space="preserve">is supported by </w:t>
      </w:r>
      <w:r w:rsidR="004934B3" w:rsidRPr="0043466C">
        <w:t>an analysis of</w:t>
      </w:r>
      <w:r w:rsidR="00E00B17">
        <w:t xml:space="preserve"> GUS</w:t>
      </w:r>
      <w:r w:rsidR="00570512">
        <w:t xml:space="preserve"> and </w:t>
      </w:r>
      <w:r w:rsidR="00E00B17">
        <w:t xml:space="preserve">UST </w:t>
      </w:r>
      <w:r w:rsidR="00570512">
        <w:t>trial data</w:t>
      </w:r>
      <w:r w:rsidR="004934B3" w:rsidRPr="0043466C">
        <w:t xml:space="preserve"> </w:t>
      </w:r>
      <w:r w:rsidR="009F181A" w:rsidRPr="0043466C">
        <w:t xml:space="preserve">which demonstrated that patients with endoscopic response at 52 weeks </w:t>
      </w:r>
      <w:r w:rsidR="00E67989" w:rsidRPr="0043466C">
        <w:t xml:space="preserve">are almost twice as likely to maintain clinical </w:t>
      </w:r>
      <w:r w:rsidR="00E67989" w:rsidRPr="0043466C">
        <w:lastRenderedPageBreak/>
        <w:t>remission at Year 2 (odds ratio 1.91, 95%CI: 1.11, 3.28)</w:t>
      </w:r>
      <w:r w:rsidR="00425A52">
        <w:rPr>
          <w:rStyle w:val="FootnoteReference"/>
        </w:rPr>
        <w:footnoteReference w:id="9"/>
      </w:r>
      <w:r w:rsidR="00E67989" w:rsidRPr="0043466C">
        <w:t xml:space="preserve">. </w:t>
      </w:r>
      <w:r w:rsidR="00C03BB0">
        <w:t xml:space="preserve">The PBAC noted this analysis </w:t>
      </w:r>
      <w:r w:rsidR="00C05C87">
        <w:t xml:space="preserve">appeared to be conducted </w:t>
      </w:r>
      <w:r w:rsidR="00C03BB0">
        <w:t xml:space="preserve">using </w:t>
      </w:r>
      <w:r w:rsidR="000C2567">
        <w:t xml:space="preserve">the </w:t>
      </w:r>
      <w:r w:rsidR="00C03BB0">
        <w:t>GALAXI 1 and IM-UNITI trials</w:t>
      </w:r>
      <w:r w:rsidR="00D765FB">
        <w:t xml:space="preserve"> and limited details regarding the analysis were available</w:t>
      </w:r>
      <w:r w:rsidR="00C03BB0">
        <w:t>.</w:t>
      </w:r>
      <w:bookmarkEnd w:id="32"/>
    </w:p>
    <w:p w14:paraId="6D971E56" w14:textId="4EB6EF4B" w:rsidR="005B73A6" w:rsidRPr="0043466C" w:rsidRDefault="00C44ECF" w:rsidP="001852B2">
      <w:pPr>
        <w:pStyle w:val="3-BodyText"/>
      </w:pPr>
      <w:bookmarkStart w:id="33" w:name="_Ref204163603"/>
      <w:r>
        <w:t>The pre-PBAC response</w:t>
      </w:r>
      <w:r w:rsidR="007C4051">
        <w:t xml:space="preserve"> stated</w:t>
      </w:r>
      <w:r w:rsidR="00A37BE0">
        <w:t xml:space="preserve"> that</w:t>
      </w:r>
      <w:r w:rsidR="00F07ACA">
        <w:t xml:space="preserve"> attainment of endoscopic outcomes resulted in highly impactful benefits to patients and the health system including </w:t>
      </w:r>
      <w:r w:rsidR="006773F7">
        <w:t xml:space="preserve">increased </w:t>
      </w:r>
      <w:r w:rsidR="0096350F">
        <w:t xml:space="preserve">long term </w:t>
      </w:r>
      <w:r w:rsidR="00D765FB">
        <w:t xml:space="preserve">clinical remission, </w:t>
      </w:r>
      <w:r w:rsidR="0096350F">
        <w:t>corticosteroid-free remission,</w:t>
      </w:r>
      <w:r w:rsidR="007C2EE5">
        <w:t xml:space="preserve"> reduced risk of hospitalisation and surgery</w:t>
      </w:r>
      <w:r w:rsidR="005715AF">
        <w:t xml:space="preserve"> and </w:t>
      </w:r>
      <w:r w:rsidR="003042DB">
        <w:t>improved quality of life</w:t>
      </w:r>
      <w:r w:rsidR="005715AF">
        <w:t>.</w:t>
      </w:r>
      <w:r w:rsidR="00E67989" w:rsidRPr="0043466C">
        <w:t xml:space="preserve"> </w:t>
      </w:r>
      <w:bookmarkEnd w:id="33"/>
      <w:r w:rsidR="00425A52">
        <w:t xml:space="preserve"> </w:t>
      </w:r>
    </w:p>
    <w:p w14:paraId="53741D14" w14:textId="0478CDDB" w:rsidR="00516309" w:rsidRPr="0085190F" w:rsidRDefault="00516309" w:rsidP="004D1769">
      <w:pPr>
        <w:pStyle w:val="ListBullet"/>
        <w:numPr>
          <w:ilvl w:val="0"/>
          <w:numId w:val="0"/>
        </w:numPr>
        <w:ind w:left="360" w:hanging="360"/>
        <w:rPr>
          <w:u w:val="single"/>
        </w:rPr>
      </w:pPr>
      <w:r w:rsidRPr="0085190F">
        <w:rPr>
          <w:u w:val="single"/>
        </w:rPr>
        <w:t>Indirect evidence</w:t>
      </w:r>
      <w:r w:rsidR="0043360C" w:rsidRPr="0085190F">
        <w:rPr>
          <w:u w:val="single"/>
        </w:rPr>
        <w:t xml:space="preserve"> for induction treatment</w:t>
      </w:r>
      <w:r w:rsidRPr="0085190F">
        <w:rPr>
          <w:u w:val="single"/>
        </w:rPr>
        <w:t>: GUS versus other b/</w:t>
      </w:r>
      <w:proofErr w:type="spellStart"/>
      <w:r w:rsidRPr="0085190F">
        <w:rPr>
          <w:u w:val="single"/>
        </w:rPr>
        <w:t>tsDMARDs</w:t>
      </w:r>
      <w:proofErr w:type="spellEnd"/>
    </w:p>
    <w:p w14:paraId="2E649957" w14:textId="7E0BEF1F" w:rsidR="00F07500" w:rsidRDefault="0043360C" w:rsidP="0043360C">
      <w:pPr>
        <w:pStyle w:val="3-BodyText"/>
      </w:pPr>
      <w:r>
        <w:fldChar w:fldCharType="begin"/>
      </w:r>
      <w:r>
        <w:instrText xml:space="preserve"> REF _Ref197675280 \h </w:instrText>
      </w:r>
      <w:r>
        <w:fldChar w:fldCharType="separate"/>
      </w:r>
      <w:r w:rsidR="000756FD">
        <w:t xml:space="preserve">Table </w:t>
      </w:r>
      <w:r w:rsidR="000756FD">
        <w:rPr>
          <w:noProof/>
        </w:rPr>
        <w:t>9</w:t>
      </w:r>
      <w:r>
        <w:fldChar w:fldCharType="end"/>
      </w:r>
      <w:r>
        <w:t xml:space="preserve"> presents a summary of the results from the indirect evidence (ITC and NMA) for</w:t>
      </w:r>
      <w:r w:rsidRPr="00D3618B">
        <w:t xml:space="preserve"> </w:t>
      </w:r>
      <w:r>
        <w:t>i</w:t>
      </w:r>
      <w:r w:rsidRPr="00D3618B">
        <w:t xml:space="preserve">nduction treatment </w:t>
      </w:r>
      <w:r>
        <w:t xml:space="preserve">with </w:t>
      </w:r>
      <w:r w:rsidRPr="00D3618B">
        <w:t xml:space="preserve">GUS 200mg IV versus </w:t>
      </w:r>
      <w:r>
        <w:t>comparator b/</w:t>
      </w:r>
      <w:proofErr w:type="spellStart"/>
      <w:r>
        <w:t>tsDMARDs</w:t>
      </w:r>
      <w:proofErr w:type="spellEnd"/>
      <w:r>
        <w:t xml:space="preserve">, in the ITT population (including biologic naïve and experienced patients). The outcomes presented included clinical remission and clinical response at Week 4-16. </w:t>
      </w:r>
      <w:r w:rsidRPr="00CA3DD2">
        <w:t>The table also includes direct results from the head-to-head trials (GALAXI 1, GALAXI 2 and GALAXI 3) extracted during the evaluation for comparison.</w:t>
      </w:r>
    </w:p>
    <w:p w14:paraId="33E8F3C4" w14:textId="77777777" w:rsidR="00F07500" w:rsidRDefault="00F07500">
      <w:pPr>
        <w:jc w:val="left"/>
        <w:rPr>
          <w:rFonts w:asciiTheme="minorHAnsi" w:hAnsiTheme="minorHAnsi"/>
          <w:snapToGrid w:val="0"/>
        </w:rPr>
      </w:pPr>
      <w:r>
        <w:br w:type="page"/>
      </w:r>
    </w:p>
    <w:p w14:paraId="645B7D76" w14:textId="317DAE89" w:rsidR="0043360C" w:rsidRPr="0013241E" w:rsidRDefault="0043360C" w:rsidP="0043360C">
      <w:pPr>
        <w:pStyle w:val="Caption"/>
        <w:rPr>
          <w:b w:val="0"/>
          <w:bCs w:val="0"/>
        </w:rPr>
      </w:pPr>
      <w:bookmarkStart w:id="34" w:name="_Ref197675280"/>
      <w:r>
        <w:lastRenderedPageBreak/>
        <w:t xml:space="preserve">Table </w:t>
      </w:r>
      <w:r w:rsidR="00DC5F25">
        <w:fldChar w:fldCharType="begin"/>
      </w:r>
      <w:r w:rsidR="00DC5F25">
        <w:instrText xml:space="preserve"> SEQ Table \* ARABIC </w:instrText>
      </w:r>
      <w:r w:rsidR="00DC5F25">
        <w:fldChar w:fldCharType="separate"/>
      </w:r>
      <w:r w:rsidR="000756FD">
        <w:rPr>
          <w:noProof/>
        </w:rPr>
        <w:t>9</w:t>
      </w:r>
      <w:r w:rsidR="00DC5F25">
        <w:rPr>
          <w:noProof/>
        </w:rPr>
        <w:fldChar w:fldCharType="end"/>
      </w:r>
      <w:bookmarkEnd w:id="34"/>
      <w:r>
        <w:t xml:space="preserve">: </w:t>
      </w:r>
      <w:r w:rsidRPr="0013241E">
        <w:t>Induction treatment</w:t>
      </w:r>
      <w:r>
        <w:t>:</w:t>
      </w:r>
      <w:r w:rsidRPr="0013241E">
        <w:t xml:space="preserve"> GUS 200mg IV (</w:t>
      </w:r>
      <w:proofErr w:type="spellStart"/>
      <w:r w:rsidRPr="0013241E">
        <w:t>Wk</w:t>
      </w:r>
      <w:proofErr w:type="spellEnd"/>
      <w:r>
        <w:t xml:space="preserve"> </w:t>
      </w:r>
      <w:r w:rsidRPr="0013241E">
        <w:t>12) versus comparators</w:t>
      </w:r>
      <w:r>
        <w:t xml:space="preserve"> (</w:t>
      </w:r>
      <w:proofErr w:type="spellStart"/>
      <w:r>
        <w:t>Wk</w:t>
      </w:r>
      <w:proofErr w:type="spellEnd"/>
      <w:r>
        <w:t xml:space="preserve"> 4-16) – direct and indirect comparisons (ITC and NMA)</w:t>
      </w:r>
    </w:p>
    <w:tbl>
      <w:tblPr>
        <w:tblStyle w:val="TableGrid"/>
        <w:tblW w:w="5000" w:type="pct"/>
        <w:tblCellMar>
          <w:left w:w="28" w:type="dxa"/>
          <w:right w:w="28" w:type="dxa"/>
        </w:tblCellMar>
        <w:tblLook w:val="04A0" w:firstRow="1" w:lastRow="0" w:firstColumn="1" w:lastColumn="0" w:noHBand="0" w:noVBand="1"/>
        <w:tblCaption w:val="Table 9: Induction treatment: GUS 200mg IV (Wk 12) versus comparators (Wk 4-16) – direct and indirect comparisons (ITC and NMA)"/>
      </w:tblPr>
      <w:tblGrid>
        <w:gridCol w:w="1554"/>
        <w:gridCol w:w="2487"/>
        <w:gridCol w:w="2487"/>
        <w:gridCol w:w="2489"/>
      </w:tblGrid>
      <w:tr w:rsidR="0043360C" w:rsidRPr="00CA3DD2" w14:paraId="34BDB147" w14:textId="77777777" w:rsidTr="00286E68">
        <w:trPr>
          <w:trHeight w:val="50"/>
        </w:trPr>
        <w:tc>
          <w:tcPr>
            <w:tcW w:w="862" w:type="pct"/>
          </w:tcPr>
          <w:p w14:paraId="24E9166C" w14:textId="77777777" w:rsidR="0043360C" w:rsidRPr="00CA3DD2" w:rsidRDefault="0043360C" w:rsidP="005A428D">
            <w:pPr>
              <w:keepNext/>
              <w:rPr>
                <w:rFonts w:ascii="Arial Narrow" w:hAnsi="Arial Narrow"/>
                <w:sz w:val="20"/>
              </w:rPr>
            </w:pPr>
          </w:p>
        </w:tc>
        <w:tc>
          <w:tcPr>
            <w:tcW w:w="1379" w:type="pct"/>
            <w:vAlign w:val="center"/>
          </w:tcPr>
          <w:p w14:paraId="1D0DFF0F" w14:textId="77777777" w:rsidR="0043360C" w:rsidRPr="00CA3DD2" w:rsidRDefault="0043360C" w:rsidP="005A428D">
            <w:pPr>
              <w:keepNext/>
              <w:jc w:val="center"/>
              <w:rPr>
                <w:rFonts w:ascii="Arial Narrow" w:hAnsi="Arial Narrow"/>
                <w:b/>
                <w:bCs/>
                <w:sz w:val="20"/>
              </w:rPr>
            </w:pPr>
            <w:r w:rsidRPr="00CA3DD2">
              <w:rPr>
                <w:rFonts w:ascii="Arial Narrow" w:hAnsi="Arial Narrow"/>
                <w:b/>
                <w:bCs/>
                <w:sz w:val="20"/>
              </w:rPr>
              <w:t>OR</w:t>
            </w:r>
          </w:p>
        </w:tc>
        <w:tc>
          <w:tcPr>
            <w:tcW w:w="1379" w:type="pct"/>
            <w:vAlign w:val="center"/>
          </w:tcPr>
          <w:p w14:paraId="3CFEA36A" w14:textId="77777777" w:rsidR="0043360C" w:rsidRPr="00CA3DD2" w:rsidRDefault="0043360C" w:rsidP="005A428D">
            <w:pPr>
              <w:keepNext/>
              <w:jc w:val="center"/>
              <w:rPr>
                <w:rFonts w:ascii="Arial Narrow" w:hAnsi="Arial Narrow"/>
                <w:b/>
                <w:bCs/>
                <w:sz w:val="20"/>
              </w:rPr>
            </w:pPr>
            <w:r w:rsidRPr="00CA3DD2">
              <w:rPr>
                <w:rFonts w:ascii="Arial Narrow" w:hAnsi="Arial Narrow"/>
                <w:b/>
                <w:bCs/>
                <w:sz w:val="20"/>
              </w:rPr>
              <w:t>RR</w:t>
            </w:r>
          </w:p>
        </w:tc>
        <w:tc>
          <w:tcPr>
            <w:tcW w:w="1380" w:type="pct"/>
            <w:vAlign w:val="center"/>
          </w:tcPr>
          <w:p w14:paraId="0FCFDF7E" w14:textId="77777777" w:rsidR="0043360C" w:rsidRPr="00CA3DD2" w:rsidRDefault="0043360C" w:rsidP="005A428D">
            <w:pPr>
              <w:keepNext/>
              <w:jc w:val="center"/>
              <w:rPr>
                <w:rFonts w:ascii="Arial Narrow" w:hAnsi="Arial Narrow"/>
                <w:b/>
                <w:bCs/>
                <w:sz w:val="20"/>
              </w:rPr>
            </w:pPr>
            <w:r w:rsidRPr="00CA3DD2">
              <w:rPr>
                <w:rFonts w:ascii="Arial Narrow" w:hAnsi="Arial Narrow"/>
                <w:b/>
                <w:bCs/>
                <w:sz w:val="20"/>
              </w:rPr>
              <w:t>RD</w:t>
            </w:r>
          </w:p>
        </w:tc>
      </w:tr>
      <w:tr w:rsidR="0043360C" w:rsidRPr="00CA3DD2" w14:paraId="6FB67E9A" w14:textId="77777777" w:rsidTr="00286E68">
        <w:tc>
          <w:tcPr>
            <w:tcW w:w="5000" w:type="pct"/>
            <w:gridSpan w:val="4"/>
            <w:vAlign w:val="center"/>
          </w:tcPr>
          <w:p w14:paraId="6C46B5BA" w14:textId="77777777" w:rsidR="0043360C" w:rsidRPr="00CA3DD2" w:rsidRDefault="0043360C" w:rsidP="005A428D">
            <w:pPr>
              <w:keepNext/>
              <w:jc w:val="left"/>
              <w:rPr>
                <w:rFonts w:ascii="Arial Narrow" w:hAnsi="Arial Narrow"/>
                <w:sz w:val="20"/>
              </w:rPr>
            </w:pPr>
            <w:r w:rsidRPr="00CA3DD2">
              <w:rPr>
                <w:rFonts w:ascii="Arial Narrow" w:hAnsi="Arial Narrow"/>
                <w:b/>
                <w:bCs/>
                <w:sz w:val="20"/>
              </w:rPr>
              <w:t>Clinical remission</w:t>
            </w:r>
          </w:p>
        </w:tc>
      </w:tr>
      <w:tr w:rsidR="0043360C" w:rsidRPr="00CA3DD2" w14:paraId="07DA2E8C" w14:textId="77777777" w:rsidTr="00286E68">
        <w:tc>
          <w:tcPr>
            <w:tcW w:w="862" w:type="pct"/>
            <w:vAlign w:val="center"/>
          </w:tcPr>
          <w:p w14:paraId="4723D8A6" w14:textId="77777777" w:rsidR="0043360C" w:rsidRPr="00CA3DD2" w:rsidRDefault="0043360C" w:rsidP="005A428D">
            <w:pPr>
              <w:keepNext/>
              <w:jc w:val="left"/>
              <w:rPr>
                <w:rFonts w:ascii="Arial Narrow" w:hAnsi="Arial Narrow"/>
                <w:sz w:val="20"/>
              </w:rPr>
            </w:pPr>
            <w:r w:rsidRPr="00CA3DD2">
              <w:rPr>
                <w:rFonts w:ascii="Arial Narrow" w:hAnsi="Arial Narrow"/>
                <w:sz w:val="20"/>
              </w:rPr>
              <w:t>vs GUS 400 mg SC (Wk12)</w:t>
            </w:r>
          </w:p>
        </w:tc>
        <w:tc>
          <w:tcPr>
            <w:tcW w:w="1379" w:type="pct"/>
            <w:tcBorders>
              <w:bottom w:val="nil"/>
            </w:tcBorders>
            <w:vAlign w:val="center"/>
          </w:tcPr>
          <w:p w14:paraId="453B3823" w14:textId="77777777" w:rsidR="0043360C" w:rsidRPr="00CA3DD2" w:rsidRDefault="0043360C" w:rsidP="005A428D">
            <w:pPr>
              <w:keepNext/>
              <w:jc w:val="center"/>
              <w:rPr>
                <w:rFonts w:ascii="Arial Narrow" w:hAnsi="Arial Narrow" w:cs="Times New Roman"/>
                <w:sz w:val="20"/>
              </w:rPr>
            </w:pPr>
            <w:r w:rsidRPr="00CA3DD2">
              <w:rPr>
                <w:rFonts w:ascii="Arial Narrow" w:hAnsi="Arial Narrow"/>
                <w:sz w:val="20"/>
                <w:szCs w:val="20"/>
              </w:rPr>
              <w:t>ITC (PBO): 0.91 (0.48, 1.74)</w:t>
            </w:r>
          </w:p>
        </w:tc>
        <w:tc>
          <w:tcPr>
            <w:tcW w:w="1379" w:type="pct"/>
            <w:tcBorders>
              <w:bottom w:val="nil"/>
            </w:tcBorders>
            <w:vAlign w:val="center"/>
          </w:tcPr>
          <w:p w14:paraId="0BE57CC5" w14:textId="77777777" w:rsidR="0043360C" w:rsidRPr="00CA3DD2" w:rsidRDefault="0043360C" w:rsidP="005A428D">
            <w:pPr>
              <w:keepNext/>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1.01 (0.63, 1.62)</w:t>
            </w:r>
          </w:p>
        </w:tc>
        <w:tc>
          <w:tcPr>
            <w:tcW w:w="1380" w:type="pct"/>
            <w:tcBorders>
              <w:bottom w:val="nil"/>
            </w:tcBorders>
            <w:vAlign w:val="center"/>
          </w:tcPr>
          <w:p w14:paraId="7DF0542D" w14:textId="77777777" w:rsidR="0043360C" w:rsidRPr="00CA3DD2" w:rsidRDefault="0043360C" w:rsidP="005A428D">
            <w:pPr>
              <w:keepNext/>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-0.04 (-0.16, 0.08)</w:t>
            </w:r>
          </w:p>
        </w:tc>
      </w:tr>
      <w:tr w:rsidR="0043360C" w:rsidRPr="00CA3DD2" w14:paraId="71795584" w14:textId="77777777" w:rsidTr="00286E68">
        <w:tc>
          <w:tcPr>
            <w:tcW w:w="862" w:type="pct"/>
            <w:vMerge w:val="restart"/>
            <w:vAlign w:val="center"/>
          </w:tcPr>
          <w:p w14:paraId="58386F6C" w14:textId="77777777" w:rsidR="0043360C" w:rsidRPr="00CA3DD2" w:rsidRDefault="0043360C" w:rsidP="00286E68">
            <w:pPr>
              <w:jc w:val="left"/>
              <w:rPr>
                <w:rFonts w:ascii="Arial Narrow" w:hAnsi="Arial Narrow"/>
                <w:sz w:val="20"/>
              </w:rPr>
            </w:pPr>
            <w:r w:rsidRPr="00CA3DD2">
              <w:rPr>
                <w:rFonts w:ascii="Arial Narrow" w:hAnsi="Arial Narrow"/>
                <w:sz w:val="20"/>
              </w:rPr>
              <w:t>vs UST (Wk8-12)</w:t>
            </w:r>
          </w:p>
        </w:tc>
        <w:tc>
          <w:tcPr>
            <w:tcW w:w="1379" w:type="pct"/>
            <w:tcBorders>
              <w:bottom w:val="nil"/>
            </w:tcBorders>
            <w:vAlign w:val="center"/>
          </w:tcPr>
          <w:p w14:paraId="081775C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Direct (G1,2,3): </w:t>
            </w:r>
            <w:r w:rsidRPr="00CA3DD2">
              <w:rPr>
                <w:rFonts w:ascii="Arial Narrow" w:hAnsi="Arial Narrow"/>
                <w:sz w:val="20"/>
              </w:rPr>
              <w:t>1.08 (0.80, 1.44)</w:t>
            </w:r>
          </w:p>
        </w:tc>
        <w:tc>
          <w:tcPr>
            <w:tcW w:w="1379" w:type="pct"/>
            <w:tcBorders>
              <w:bottom w:val="nil"/>
            </w:tcBorders>
            <w:vAlign w:val="center"/>
          </w:tcPr>
          <w:p w14:paraId="070E0A38"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w:t>
            </w:r>
            <w:r w:rsidRPr="00CA3DD2">
              <w:rPr>
                <w:rFonts w:ascii="Arial Narrow" w:hAnsi="Arial Narrow"/>
                <w:sz w:val="20"/>
              </w:rPr>
              <w:t xml:space="preserve"> 1.04 (0.89, 1.21)</w:t>
            </w:r>
          </w:p>
        </w:tc>
        <w:tc>
          <w:tcPr>
            <w:tcW w:w="1380" w:type="pct"/>
            <w:tcBorders>
              <w:bottom w:val="nil"/>
            </w:tcBorders>
            <w:vAlign w:val="center"/>
          </w:tcPr>
          <w:p w14:paraId="40AABF4A"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w:t>
            </w:r>
            <w:r w:rsidRPr="00CA3DD2">
              <w:rPr>
                <w:rFonts w:ascii="Arial Narrow" w:hAnsi="Arial Narrow"/>
                <w:sz w:val="20"/>
              </w:rPr>
              <w:t xml:space="preserve"> 0.02 (-0.05, 0.09)</w:t>
            </w:r>
          </w:p>
        </w:tc>
      </w:tr>
      <w:tr w:rsidR="0043360C" w:rsidRPr="00CA3DD2" w14:paraId="351CF92D" w14:textId="77777777" w:rsidTr="00286E68">
        <w:tc>
          <w:tcPr>
            <w:tcW w:w="862" w:type="pct"/>
            <w:vMerge/>
          </w:tcPr>
          <w:p w14:paraId="56D2AEC6" w14:textId="77777777" w:rsidR="0043360C" w:rsidRPr="00CA3DD2" w:rsidRDefault="0043360C" w:rsidP="00286E68">
            <w:pPr>
              <w:rPr>
                <w:rFonts w:ascii="Arial Narrow" w:hAnsi="Arial Narrow"/>
                <w:sz w:val="20"/>
              </w:rPr>
            </w:pPr>
          </w:p>
        </w:tc>
        <w:tc>
          <w:tcPr>
            <w:tcW w:w="1379" w:type="pct"/>
            <w:tcBorders>
              <w:top w:val="nil"/>
              <w:bottom w:val="nil"/>
            </w:tcBorders>
            <w:vAlign w:val="center"/>
          </w:tcPr>
          <w:p w14:paraId="6B87CBA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 1.48 (0.83, 2.61)</w:t>
            </w:r>
          </w:p>
        </w:tc>
        <w:tc>
          <w:tcPr>
            <w:tcW w:w="1379" w:type="pct"/>
            <w:tcBorders>
              <w:top w:val="nil"/>
              <w:bottom w:val="nil"/>
            </w:tcBorders>
            <w:vAlign w:val="center"/>
          </w:tcPr>
          <w:p w14:paraId="539CAAD2"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rPr>
              <w:t>1.17 (0.76, 1.82)</w:t>
            </w:r>
          </w:p>
        </w:tc>
        <w:tc>
          <w:tcPr>
            <w:tcW w:w="1380" w:type="pct"/>
            <w:tcBorders>
              <w:top w:val="nil"/>
              <w:bottom w:val="nil"/>
            </w:tcBorders>
            <w:vAlign w:val="center"/>
          </w:tcPr>
          <w:p w14:paraId="3C521C85"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0.15 (0.04, 0.09)</w:t>
            </w:r>
          </w:p>
        </w:tc>
      </w:tr>
      <w:tr w:rsidR="0043360C" w:rsidRPr="00CA3DD2" w14:paraId="5A6AE0EA" w14:textId="77777777" w:rsidTr="00286E68">
        <w:tc>
          <w:tcPr>
            <w:tcW w:w="862" w:type="pct"/>
            <w:vMerge/>
          </w:tcPr>
          <w:p w14:paraId="33900B8A" w14:textId="77777777" w:rsidR="0043360C" w:rsidRPr="00CA3DD2" w:rsidRDefault="0043360C" w:rsidP="00286E68">
            <w:pPr>
              <w:rPr>
                <w:rFonts w:ascii="Arial Narrow" w:hAnsi="Arial Narrow"/>
                <w:sz w:val="20"/>
              </w:rPr>
            </w:pPr>
          </w:p>
        </w:tc>
        <w:tc>
          <w:tcPr>
            <w:tcW w:w="1379" w:type="pct"/>
            <w:tcBorders>
              <w:top w:val="nil"/>
            </w:tcBorders>
            <w:vAlign w:val="center"/>
          </w:tcPr>
          <w:p w14:paraId="38177EF5" w14:textId="77777777" w:rsidR="0043360C" w:rsidRPr="00CA3DD2" w:rsidRDefault="0043360C" w:rsidP="00286E68">
            <w:pPr>
              <w:jc w:val="center"/>
              <w:rPr>
                <w:rFonts w:ascii="Arial Narrow" w:hAnsi="Arial Narrow"/>
                <w:sz w:val="20"/>
              </w:rPr>
            </w:pPr>
            <w:r w:rsidRPr="00CA3DD2">
              <w:rPr>
                <w:rFonts w:ascii="Arial Narrow" w:hAnsi="Arial Narrow" w:cs="Times New Roman"/>
                <w:sz w:val="20"/>
              </w:rPr>
              <w:t>NMA: 1.14 (0.89,1.46)</w:t>
            </w:r>
          </w:p>
        </w:tc>
        <w:tc>
          <w:tcPr>
            <w:tcW w:w="1379" w:type="pct"/>
            <w:tcBorders>
              <w:top w:val="nil"/>
            </w:tcBorders>
            <w:vAlign w:val="center"/>
          </w:tcPr>
          <w:p w14:paraId="786E3DF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1.07 (0.94,1.21)</w:t>
            </w:r>
          </w:p>
        </w:tc>
        <w:tc>
          <w:tcPr>
            <w:tcW w:w="1380" w:type="pct"/>
            <w:tcBorders>
              <w:top w:val="nil"/>
            </w:tcBorders>
            <w:vAlign w:val="center"/>
          </w:tcPr>
          <w:p w14:paraId="384C1914"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0.03 (-0.03, 0.09)</w:t>
            </w:r>
          </w:p>
        </w:tc>
      </w:tr>
      <w:tr w:rsidR="0043360C" w:rsidRPr="00CA3DD2" w14:paraId="04423879" w14:textId="77777777" w:rsidTr="00286E68">
        <w:trPr>
          <w:trHeight w:val="277"/>
        </w:trPr>
        <w:tc>
          <w:tcPr>
            <w:tcW w:w="862" w:type="pct"/>
            <w:vMerge w:val="restart"/>
            <w:tcBorders>
              <w:bottom w:val="single" w:sz="4" w:space="0" w:color="auto"/>
            </w:tcBorders>
            <w:vAlign w:val="center"/>
          </w:tcPr>
          <w:p w14:paraId="51436A3E" w14:textId="77777777" w:rsidR="0043360C" w:rsidRPr="00CA3DD2" w:rsidRDefault="0043360C" w:rsidP="00286E68">
            <w:pPr>
              <w:jc w:val="left"/>
              <w:rPr>
                <w:rFonts w:ascii="Arial Narrow" w:hAnsi="Arial Narrow"/>
                <w:sz w:val="20"/>
              </w:rPr>
            </w:pPr>
            <w:r w:rsidRPr="00CA3DD2">
              <w:rPr>
                <w:rFonts w:ascii="Arial Narrow" w:hAnsi="Arial Narrow"/>
                <w:sz w:val="20"/>
              </w:rPr>
              <w:t>vs ADA (Wk4-16)</w:t>
            </w:r>
          </w:p>
        </w:tc>
        <w:tc>
          <w:tcPr>
            <w:tcW w:w="1379" w:type="pct"/>
            <w:tcBorders>
              <w:bottom w:val="nil"/>
            </w:tcBorders>
            <w:vAlign w:val="center"/>
          </w:tcPr>
          <w:p w14:paraId="224FA252" w14:textId="77777777" w:rsidR="0043360C" w:rsidRPr="00CA3DD2" w:rsidRDefault="0043360C" w:rsidP="00286E68">
            <w:pPr>
              <w:jc w:val="center"/>
              <w:rPr>
                <w:rFonts w:ascii="Arial Narrow" w:hAnsi="Arial Narrow"/>
                <w:sz w:val="20"/>
              </w:rPr>
            </w:pPr>
            <w:r w:rsidRPr="00CA3DD2">
              <w:rPr>
                <w:rFonts w:ascii="Arial Narrow" w:hAnsi="Arial Narrow" w:cs="Times New Roman"/>
                <w:sz w:val="20"/>
              </w:rPr>
              <w:t>ITC (PBO):</w:t>
            </w:r>
            <w:r w:rsidRPr="00CA3DD2">
              <w:rPr>
                <w:rFonts w:ascii="Arial Narrow" w:hAnsi="Arial Narrow"/>
                <w:sz w:val="20"/>
              </w:rPr>
              <w:t xml:space="preserve"> 0.98 (0.53,1.84)</w:t>
            </w:r>
          </w:p>
        </w:tc>
        <w:tc>
          <w:tcPr>
            <w:tcW w:w="1379" w:type="pct"/>
            <w:tcBorders>
              <w:bottom w:val="nil"/>
            </w:tcBorders>
            <w:vAlign w:val="center"/>
          </w:tcPr>
          <w:p w14:paraId="6412D670"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0.79 (0.49,1.29)</w:t>
            </w:r>
          </w:p>
        </w:tc>
        <w:tc>
          <w:tcPr>
            <w:tcW w:w="1380" w:type="pct"/>
            <w:tcBorders>
              <w:bottom w:val="nil"/>
            </w:tcBorders>
            <w:vAlign w:val="center"/>
          </w:tcPr>
          <w:p w14:paraId="41B97EC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0.1(-0.02,0.21)</w:t>
            </w:r>
          </w:p>
        </w:tc>
      </w:tr>
      <w:tr w:rsidR="0043360C" w:rsidRPr="00CA3DD2" w14:paraId="2C3D63D5" w14:textId="77777777" w:rsidTr="00286E68">
        <w:trPr>
          <w:trHeight w:val="229"/>
        </w:trPr>
        <w:tc>
          <w:tcPr>
            <w:tcW w:w="862" w:type="pct"/>
            <w:vMerge/>
          </w:tcPr>
          <w:p w14:paraId="7B7D1DB2" w14:textId="77777777" w:rsidR="0043360C" w:rsidRPr="00CA3DD2" w:rsidRDefault="0043360C" w:rsidP="00286E68">
            <w:pPr>
              <w:rPr>
                <w:rFonts w:ascii="Arial Narrow" w:hAnsi="Arial Narrow"/>
                <w:sz w:val="20"/>
              </w:rPr>
            </w:pPr>
          </w:p>
        </w:tc>
        <w:tc>
          <w:tcPr>
            <w:tcW w:w="1379" w:type="pct"/>
            <w:tcBorders>
              <w:top w:val="nil"/>
              <w:bottom w:val="nil"/>
            </w:tcBorders>
            <w:vAlign w:val="center"/>
          </w:tcPr>
          <w:p w14:paraId="09E92828"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(UST):</w:t>
            </w:r>
            <w:r w:rsidRPr="00CA3DD2">
              <w:rPr>
                <w:rFonts w:ascii="Arial Narrow" w:hAnsi="Arial Narrow"/>
                <w:sz w:val="20"/>
              </w:rPr>
              <w:t xml:space="preserve"> 0.95 (0.58,1.57)</w:t>
            </w:r>
          </w:p>
        </w:tc>
        <w:tc>
          <w:tcPr>
            <w:tcW w:w="1379" w:type="pct"/>
            <w:tcBorders>
              <w:top w:val="nil"/>
              <w:bottom w:val="nil"/>
            </w:tcBorders>
            <w:vAlign w:val="center"/>
          </w:tcPr>
          <w:p w14:paraId="50B64EFC"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(UST):</w:t>
            </w:r>
            <w:r w:rsidRPr="00CA3DD2">
              <w:rPr>
                <w:rFonts w:ascii="Arial Narrow" w:hAnsi="Arial Narrow"/>
                <w:sz w:val="20"/>
              </w:rPr>
              <w:t xml:space="preserve"> 0.98 (0.79,1.22)</w:t>
            </w:r>
          </w:p>
        </w:tc>
        <w:tc>
          <w:tcPr>
            <w:tcW w:w="1380" w:type="pct"/>
            <w:tcBorders>
              <w:top w:val="nil"/>
              <w:bottom w:val="nil"/>
            </w:tcBorders>
            <w:vAlign w:val="center"/>
          </w:tcPr>
          <w:p w14:paraId="7D010C2F"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(UST):</w:t>
            </w:r>
            <w:r w:rsidRPr="00CA3DD2">
              <w:rPr>
                <w:rFonts w:ascii="Arial Narrow" w:hAnsi="Arial Narrow"/>
                <w:sz w:val="20"/>
              </w:rPr>
              <w:t xml:space="preserve"> -0.01(-0.13,0.1)</w:t>
            </w:r>
          </w:p>
        </w:tc>
      </w:tr>
      <w:tr w:rsidR="0043360C" w:rsidRPr="00CA3DD2" w14:paraId="278F878F" w14:textId="77777777" w:rsidTr="00286E68">
        <w:trPr>
          <w:trHeight w:val="229"/>
        </w:trPr>
        <w:tc>
          <w:tcPr>
            <w:tcW w:w="862" w:type="pct"/>
            <w:vMerge/>
          </w:tcPr>
          <w:p w14:paraId="4A2BA67D" w14:textId="77777777" w:rsidR="0043360C" w:rsidRPr="00CA3DD2" w:rsidRDefault="0043360C" w:rsidP="00286E68">
            <w:pPr>
              <w:rPr>
                <w:rFonts w:ascii="Arial Narrow" w:hAnsi="Arial Narrow"/>
                <w:sz w:val="20"/>
              </w:rPr>
            </w:pPr>
          </w:p>
        </w:tc>
        <w:tc>
          <w:tcPr>
            <w:tcW w:w="1379" w:type="pct"/>
            <w:tcBorders>
              <w:top w:val="nil"/>
            </w:tcBorders>
            <w:vAlign w:val="center"/>
          </w:tcPr>
          <w:p w14:paraId="079EE78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1</w:t>
            </w:r>
            <w:r w:rsidRPr="00CA3DD2">
              <w:rPr>
                <w:rFonts w:ascii="Arial Narrow" w:hAnsi="Arial Narrow"/>
                <w:sz w:val="20"/>
              </w:rPr>
              <w:t>.05 (0.72,1.51)</w:t>
            </w:r>
          </w:p>
        </w:tc>
        <w:tc>
          <w:tcPr>
            <w:tcW w:w="1379" w:type="pct"/>
            <w:tcBorders>
              <w:top w:val="nil"/>
            </w:tcBorders>
            <w:vAlign w:val="center"/>
          </w:tcPr>
          <w:p w14:paraId="7624B88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1.02 (0.85,1.25)</w:t>
            </w:r>
          </w:p>
        </w:tc>
        <w:tc>
          <w:tcPr>
            <w:tcW w:w="1380" w:type="pct"/>
            <w:tcBorders>
              <w:top w:val="nil"/>
            </w:tcBorders>
            <w:vAlign w:val="center"/>
          </w:tcPr>
          <w:p w14:paraId="79C8CDE3"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0.01 (-0.08,0.10)</w:t>
            </w:r>
          </w:p>
        </w:tc>
      </w:tr>
      <w:tr w:rsidR="0043360C" w:rsidRPr="00CA3DD2" w14:paraId="0E123756" w14:textId="77777777" w:rsidTr="00286E68">
        <w:tc>
          <w:tcPr>
            <w:tcW w:w="862" w:type="pct"/>
            <w:vMerge w:val="restart"/>
            <w:vAlign w:val="center"/>
          </w:tcPr>
          <w:p w14:paraId="485049CC" w14:textId="77777777" w:rsidR="0043360C" w:rsidRPr="00CA3DD2" w:rsidRDefault="0043360C" w:rsidP="00286E68">
            <w:pPr>
              <w:jc w:val="left"/>
              <w:rPr>
                <w:rFonts w:ascii="Arial Narrow" w:hAnsi="Arial Narrow"/>
                <w:sz w:val="20"/>
              </w:rPr>
            </w:pPr>
            <w:r w:rsidRPr="00CA3DD2">
              <w:rPr>
                <w:rFonts w:ascii="Arial Narrow" w:hAnsi="Arial Narrow"/>
                <w:sz w:val="20"/>
              </w:rPr>
              <w:t>vs VDZ (Wk6-10)</w:t>
            </w:r>
          </w:p>
        </w:tc>
        <w:tc>
          <w:tcPr>
            <w:tcW w:w="1379" w:type="pct"/>
            <w:tcBorders>
              <w:bottom w:val="nil"/>
            </w:tcBorders>
            <w:vAlign w:val="center"/>
          </w:tcPr>
          <w:p w14:paraId="4B2BF093" w14:textId="77777777" w:rsidR="0043360C" w:rsidRPr="00CA3DD2" w:rsidRDefault="0043360C" w:rsidP="00286E68">
            <w:pPr>
              <w:jc w:val="center"/>
              <w:rPr>
                <w:rFonts w:ascii="Arial Narrow" w:hAnsi="Arial Narrow"/>
                <w:b/>
                <w:bCs/>
                <w:sz w:val="20"/>
              </w:rPr>
            </w:pPr>
            <w:r w:rsidRPr="00CA3DD2">
              <w:rPr>
                <w:rFonts w:ascii="Arial Narrow" w:hAnsi="Arial Narrow" w:cs="Times New Roman"/>
                <w:sz w:val="20"/>
              </w:rPr>
              <w:t>ITC (PBO):</w:t>
            </w:r>
            <w:r w:rsidRPr="00CA3DD2">
              <w:rPr>
                <w:rFonts w:ascii="Arial Narrow" w:hAnsi="Arial Narrow"/>
                <w:b/>
                <w:bCs/>
                <w:sz w:val="20"/>
              </w:rPr>
              <w:t xml:space="preserve"> 2.65 (1.45, 4.87)</w:t>
            </w:r>
          </w:p>
        </w:tc>
        <w:tc>
          <w:tcPr>
            <w:tcW w:w="1379" w:type="pct"/>
            <w:tcBorders>
              <w:bottom w:val="nil"/>
            </w:tcBorders>
            <w:vAlign w:val="center"/>
          </w:tcPr>
          <w:p w14:paraId="6FB90C98"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(PBO):</w:t>
            </w:r>
            <w:r w:rsidRPr="00CA3DD2">
              <w:rPr>
                <w:rFonts w:ascii="Arial Narrow" w:hAnsi="Arial Narrow"/>
                <w:b/>
                <w:bCs/>
                <w:sz w:val="20"/>
              </w:rPr>
              <w:t xml:space="preserve"> 1.73 (1.08, 2.77)</w:t>
            </w:r>
          </w:p>
        </w:tc>
        <w:tc>
          <w:tcPr>
            <w:tcW w:w="1380" w:type="pct"/>
            <w:tcBorders>
              <w:bottom w:val="nil"/>
            </w:tcBorders>
            <w:vAlign w:val="center"/>
          </w:tcPr>
          <w:p w14:paraId="29251137"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(PBO):</w:t>
            </w:r>
            <w:r w:rsidRPr="00CA3DD2">
              <w:rPr>
                <w:rFonts w:ascii="Arial Narrow" w:hAnsi="Arial Narrow"/>
                <w:sz w:val="20"/>
              </w:rPr>
              <w:t xml:space="preserve"> </w:t>
            </w:r>
            <w:r w:rsidRPr="00CA3DD2">
              <w:rPr>
                <w:rFonts w:ascii="Arial Narrow" w:hAnsi="Arial Narrow"/>
                <w:b/>
                <w:bCs/>
                <w:sz w:val="20"/>
              </w:rPr>
              <w:t>0.26 (0.16, 0.35)</w:t>
            </w:r>
          </w:p>
        </w:tc>
      </w:tr>
      <w:tr w:rsidR="0043360C" w:rsidRPr="00CA3DD2" w14:paraId="6DEB4226" w14:textId="77777777" w:rsidTr="00286E68">
        <w:tc>
          <w:tcPr>
            <w:tcW w:w="862" w:type="pct"/>
            <w:vMerge/>
          </w:tcPr>
          <w:p w14:paraId="6BE1953D" w14:textId="77777777" w:rsidR="0043360C" w:rsidRPr="00CA3DD2" w:rsidRDefault="0043360C" w:rsidP="00286E68">
            <w:pPr>
              <w:rPr>
                <w:rFonts w:ascii="Arial Narrow" w:hAnsi="Arial Narrow"/>
                <w:sz w:val="20"/>
              </w:rPr>
            </w:pPr>
          </w:p>
        </w:tc>
        <w:tc>
          <w:tcPr>
            <w:tcW w:w="1379" w:type="pct"/>
            <w:tcBorders>
              <w:top w:val="nil"/>
            </w:tcBorders>
            <w:vAlign w:val="center"/>
          </w:tcPr>
          <w:p w14:paraId="48272B70"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1.99 (1.23,3.25)</w:t>
            </w:r>
          </w:p>
        </w:tc>
        <w:tc>
          <w:tcPr>
            <w:tcW w:w="1379" w:type="pct"/>
            <w:tcBorders>
              <w:top w:val="nil"/>
            </w:tcBorders>
            <w:vAlign w:val="center"/>
          </w:tcPr>
          <w:p w14:paraId="21BA3F48"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1.5 (1.12,2.10)</w:t>
            </w:r>
          </w:p>
        </w:tc>
        <w:tc>
          <w:tcPr>
            <w:tcW w:w="1380" w:type="pct"/>
            <w:tcBorders>
              <w:top w:val="nil"/>
            </w:tcBorders>
            <w:vAlign w:val="center"/>
          </w:tcPr>
          <w:p w14:paraId="011A6D99"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0.16 (0.05,0.27)</w:t>
            </w:r>
          </w:p>
        </w:tc>
      </w:tr>
      <w:tr w:rsidR="0043360C" w:rsidRPr="00CA3DD2" w14:paraId="194B7BC7" w14:textId="77777777" w:rsidTr="00286E68">
        <w:tc>
          <w:tcPr>
            <w:tcW w:w="862" w:type="pct"/>
            <w:vMerge w:val="restart"/>
            <w:vAlign w:val="center"/>
          </w:tcPr>
          <w:p w14:paraId="75559527" w14:textId="77777777" w:rsidR="0043360C" w:rsidRPr="00CA3DD2" w:rsidRDefault="0043360C" w:rsidP="00286E68">
            <w:pPr>
              <w:jc w:val="left"/>
              <w:rPr>
                <w:rFonts w:ascii="Arial Narrow" w:hAnsi="Arial Narrow"/>
                <w:sz w:val="20"/>
              </w:rPr>
            </w:pPr>
            <w:r w:rsidRPr="00CA3DD2">
              <w:rPr>
                <w:rFonts w:ascii="Arial Narrow" w:hAnsi="Arial Narrow"/>
                <w:sz w:val="20"/>
              </w:rPr>
              <w:t>vs UPA (Wk12)</w:t>
            </w:r>
          </w:p>
        </w:tc>
        <w:tc>
          <w:tcPr>
            <w:tcW w:w="1379" w:type="pct"/>
            <w:tcBorders>
              <w:bottom w:val="nil"/>
            </w:tcBorders>
            <w:vAlign w:val="center"/>
          </w:tcPr>
          <w:p w14:paraId="6F47ED61" w14:textId="77777777" w:rsidR="0043360C" w:rsidRPr="00CA3DD2" w:rsidRDefault="0043360C" w:rsidP="00286E68">
            <w:pPr>
              <w:jc w:val="center"/>
              <w:rPr>
                <w:rFonts w:ascii="Arial Narrow" w:hAnsi="Arial Narrow"/>
                <w:b/>
                <w:bCs/>
                <w:sz w:val="20"/>
              </w:rPr>
            </w:pPr>
            <w:r w:rsidRPr="00CA3DD2">
              <w:rPr>
                <w:rFonts w:ascii="Arial Narrow" w:hAnsi="Arial Narrow" w:cs="Times New Roman"/>
                <w:sz w:val="20"/>
              </w:rPr>
              <w:t>ITC (PBO):</w:t>
            </w:r>
            <w:r w:rsidRPr="00CA3DD2">
              <w:rPr>
                <w:rFonts w:ascii="Arial Narrow" w:hAnsi="Arial Narrow"/>
                <w:b/>
                <w:bCs/>
                <w:sz w:val="20"/>
              </w:rPr>
              <w:t xml:space="preserve"> 1.83 (1.07, 3.12)</w:t>
            </w:r>
          </w:p>
        </w:tc>
        <w:tc>
          <w:tcPr>
            <w:tcW w:w="1379" w:type="pct"/>
            <w:tcBorders>
              <w:bottom w:val="nil"/>
            </w:tcBorders>
            <w:vAlign w:val="center"/>
          </w:tcPr>
          <w:p w14:paraId="356A97F4"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b/>
                <w:bCs/>
                <w:sz w:val="20"/>
              </w:rPr>
              <w:t xml:space="preserve"> 1.52 (1.05, 2.2)</w:t>
            </w:r>
          </w:p>
        </w:tc>
        <w:tc>
          <w:tcPr>
            <w:tcW w:w="1380" w:type="pct"/>
            <w:tcBorders>
              <w:bottom w:val="nil"/>
            </w:tcBorders>
            <w:vAlign w:val="center"/>
          </w:tcPr>
          <w:p w14:paraId="55542CE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w:t>
            </w:r>
            <w:r w:rsidRPr="00CA3DD2">
              <w:rPr>
                <w:rFonts w:ascii="Arial Narrow" w:hAnsi="Arial Narrow"/>
                <w:b/>
                <w:bCs/>
                <w:sz w:val="20"/>
              </w:rPr>
              <w:t>0.12 (0.02, 0.22)</w:t>
            </w:r>
          </w:p>
        </w:tc>
      </w:tr>
      <w:tr w:rsidR="0043360C" w:rsidRPr="00CA3DD2" w14:paraId="63D28E98" w14:textId="77777777" w:rsidTr="00286E68">
        <w:tc>
          <w:tcPr>
            <w:tcW w:w="862" w:type="pct"/>
            <w:vMerge/>
          </w:tcPr>
          <w:p w14:paraId="7FD83D4F" w14:textId="77777777" w:rsidR="0043360C" w:rsidRPr="00CA3DD2" w:rsidRDefault="0043360C" w:rsidP="00286E68">
            <w:pPr>
              <w:rPr>
                <w:rFonts w:ascii="Arial Narrow" w:hAnsi="Arial Narrow"/>
                <w:sz w:val="20"/>
              </w:rPr>
            </w:pPr>
          </w:p>
        </w:tc>
        <w:tc>
          <w:tcPr>
            <w:tcW w:w="1379" w:type="pct"/>
            <w:tcBorders>
              <w:top w:val="nil"/>
            </w:tcBorders>
            <w:vAlign w:val="center"/>
          </w:tcPr>
          <w:p w14:paraId="25B4EC7F"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1.55 (1.01,2.33)</w:t>
            </w:r>
          </w:p>
        </w:tc>
        <w:tc>
          <w:tcPr>
            <w:tcW w:w="1379" w:type="pct"/>
            <w:tcBorders>
              <w:top w:val="nil"/>
            </w:tcBorders>
            <w:vAlign w:val="center"/>
          </w:tcPr>
          <w:p w14:paraId="28E1941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1.27 (0.85,1.25)</w:t>
            </w:r>
          </w:p>
        </w:tc>
        <w:tc>
          <w:tcPr>
            <w:tcW w:w="1380" w:type="pct"/>
            <w:tcBorders>
              <w:top w:val="nil"/>
            </w:tcBorders>
            <w:vAlign w:val="center"/>
          </w:tcPr>
          <w:p w14:paraId="70FAE28F"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0.11 (0.00,0.20)</w:t>
            </w:r>
          </w:p>
        </w:tc>
      </w:tr>
      <w:tr w:rsidR="0043360C" w:rsidRPr="00CA3DD2" w14:paraId="2DBDF66F" w14:textId="77777777" w:rsidTr="00286E68">
        <w:tc>
          <w:tcPr>
            <w:tcW w:w="862" w:type="pct"/>
          </w:tcPr>
          <w:p w14:paraId="1FB546CC" w14:textId="77777777" w:rsidR="0043360C" w:rsidRPr="00CA3DD2" w:rsidRDefault="0043360C" w:rsidP="00286E68">
            <w:pPr>
              <w:rPr>
                <w:rFonts w:ascii="Arial Narrow" w:hAnsi="Arial Narrow"/>
                <w:sz w:val="20"/>
              </w:rPr>
            </w:pPr>
            <w:r w:rsidRPr="00CA3DD2">
              <w:rPr>
                <w:rFonts w:ascii="Arial Narrow" w:hAnsi="Arial Narrow"/>
                <w:sz w:val="20"/>
              </w:rPr>
              <w:t>vs IFX (Wk4)</w:t>
            </w:r>
          </w:p>
        </w:tc>
        <w:tc>
          <w:tcPr>
            <w:tcW w:w="1379" w:type="pct"/>
            <w:vAlign w:val="center"/>
          </w:tcPr>
          <w:p w14:paraId="0869B0F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0.21 (0.02, 1.83)</w:t>
            </w:r>
          </w:p>
        </w:tc>
        <w:tc>
          <w:tcPr>
            <w:tcW w:w="1379" w:type="pct"/>
            <w:vAlign w:val="center"/>
          </w:tcPr>
          <w:p w14:paraId="59B6B7B0"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0.23 (0.03, 1.68)</w:t>
            </w:r>
          </w:p>
        </w:tc>
        <w:tc>
          <w:tcPr>
            <w:tcW w:w="1380" w:type="pct"/>
            <w:vAlign w:val="center"/>
          </w:tcPr>
          <w:p w14:paraId="51B1D179"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-0.13 (-0.35,0.09)</w:t>
            </w:r>
          </w:p>
        </w:tc>
      </w:tr>
      <w:tr w:rsidR="0043360C" w:rsidRPr="00CA3DD2" w14:paraId="07123926" w14:textId="77777777" w:rsidTr="00286E68">
        <w:tc>
          <w:tcPr>
            <w:tcW w:w="5000" w:type="pct"/>
            <w:gridSpan w:val="4"/>
            <w:vAlign w:val="center"/>
          </w:tcPr>
          <w:p w14:paraId="6BA3D43E" w14:textId="77777777" w:rsidR="0043360C" w:rsidRPr="00CA3DD2" w:rsidRDefault="0043360C" w:rsidP="00286E68">
            <w:pPr>
              <w:jc w:val="left"/>
              <w:rPr>
                <w:rFonts w:ascii="Arial Narrow" w:hAnsi="Arial Narrow" w:cs="Times New Roman"/>
                <w:b/>
                <w:bCs/>
                <w:sz w:val="20"/>
              </w:rPr>
            </w:pPr>
            <w:r w:rsidRPr="00CA3DD2">
              <w:rPr>
                <w:rFonts w:ascii="Arial Narrow" w:hAnsi="Arial Narrow" w:cs="Times New Roman"/>
                <w:b/>
                <w:bCs/>
                <w:sz w:val="20"/>
              </w:rPr>
              <w:t>Clinical response</w:t>
            </w:r>
          </w:p>
        </w:tc>
      </w:tr>
      <w:tr w:rsidR="0043360C" w:rsidRPr="00CA3DD2" w14:paraId="2B210184" w14:textId="77777777" w:rsidTr="00286E68">
        <w:tc>
          <w:tcPr>
            <w:tcW w:w="862" w:type="pct"/>
            <w:vAlign w:val="center"/>
          </w:tcPr>
          <w:p w14:paraId="61272C90" w14:textId="77777777" w:rsidR="0043360C" w:rsidRPr="00CA3DD2" w:rsidRDefault="0043360C" w:rsidP="00286E68">
            <w:pPr>
              <w:jc w:val="left"/>
              <w:rPr>
                <w:rFonts w:ascii="Arial Narrow" w:hAnsi="Arial Narrow"/>
                <w:sz w:val="20"/>
              </w:rPr>
            </w:pPr>
            <w:r w:rsidRPr="00CA3DD2">
              <w:rPr>
                <w:rFonts w:ascii="Arial Narrow" w:hAnsi="Arial Narrow"/>
                <w:sz w:val="20"/>
              </w:rPr>
              <w:t>vs GUS 400 mg SC (Wk12)</w:t>
            </w:r>
          </w:p>
        </w:tc>
        <w:tc>
          <w:tcPr>
            <w:tcW w:w="1379" w:type="pct"/>
            <w:tcBorders>
              <w:bottom w:val="nil"/>
            </w:tcBorders>
            <w:vAlign w:val="center"/>
          </w:tcPr>
          <w:p w14:paraId="36E56E4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1.03 (0.56, 1.89)</w:t>
            </w:r>
          </w:p>
        </w:tc>
        <w:tc>
          <w:tcPr>
            <w:tcW w:w="1379" w:type="pct"/>
            <w:tcBorders>
              <w:bottom w:val="nil"/>
            </w:tcBorders>
            <w:vAlign w:val="center"/>
          </w:tcPr>
          <w:p w14:paraId="1AC444BB"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1.2 (0.83, 1.72)</w:t>
            </w:r>
          </w:p>
        </w:tc>
        <w:tc>
          <w:tcPr>
            <w:tcW w:w="1380" w:type="pct"/>
            <w:tcBorders>
              <w:bottom w:val="nil"/>
            </w:tcBorders>
            <w:vAlign w:val="center"/>
          </w:tcPr>
          <w:p w14:paraId="768D707A"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0 (-0.12, 0.13)</w:t>
            </w:r>
          </w:p>
        </w:tc>
      </w:tr>
      <w:tr w:rsidR="0043360C" w:rsidRPr="00CA3DD2" w14:paraId="6908A533" w14:textId="77777777" w:rsidTr="00286E68">
        <w:tc>
          <w:tcPr>
            <w:tcW w:w="862" w:type="pct"/>
            <w:vMerge w:val="restart"/>
            <w:vAlign w:val="center"/>
          </w:tcPr>
          <w:p w14:paraId="2C43EEE9" w14:textId="77777777" w:rsidR="0043360C" w:rsidRPr="00CA3DD2" w:rsidRDefault="0043360C" w:rsidP="00286E68">
            <w:pPr>
              <w:jc w:val="left"/>
              <w:rPr>
                <w:rFonts w:ascii="Arial Narrow" w:hAnsi="Arial Narrow"/>
                <w:sz w:val="20"/>
              </w:rPr>
            </w:pPr>
            <w:r w:rsidRPr="00CA3DD2">
              <w:rPr>
                <w:rFonts w:ascii="Arial Narrow" w:hAnsi="Arial Narrow"/>
                <w:sz w:val="20"/>
              </w:rPr>
              <w:t>vs UST (Wk8-12)</w:t>
            </w:r>
          </w:p>
        </w:tc>
        <w:tc>
          <w:tcPr>
            <w:tcW w:w="1379" w:type="pct"/>
            <w:tcBorders>
              <w:bottom w:val="nil"/>
            </w:tcBorders>
            <w:vAlign w:val="center"/>
          </w:tcPr>
          <w:p w14:paraId="45311ED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 1.17 (0.89, 1.53)</w:t>
            </w:r>
          </w:p>
        </w:tc>
        <w:tc>
          <w:tcPr>
            <w:tcW w:w="1379" w:type="pct"/>
            <w:tcBorders>
              <w:bottom w:val="nil"/>
            </w:tcBorders>
            <w:vAlign w:val="center"/>
          </w:tcPr>
          <w:p w14:paraId="0878C872"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 1.06 (0.96, 1.18)</w:t>
            </w:r>
          </w:p>
        </w:tc>
        <w:tc>
          <w:tcPr>
            <w:tcW w:w="1380" w:type="pct"/>
            <w:tcBorders>
              <w:bottom w:val="nil"/>
            </w:tcBorders>
            <w:vAlign w:val="center"/>
          </w:tcPr>
          <w:p w14:paraId="1CAE6295"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 0.04 (-0.03, 0.1)</w:t>
            </w:r>
          </w:p>
        </w:tc>
      </w:tr>
      <w:tr w:rsidR="0043360C" w:rsidRPr="00CA3DD2" w14:paraId="368DF103" w14:textId="77777777" w:rsidTr="00286E68">
        <w:tc>
          <w:tcPr>
            <w:tcW w:w="862" w:type="pct"/>
            <w:vMerge/>
          </w:tcPr>
          <w:p w14:paraId="0BB682C7" w14:textId="77777777" w:rsidR="0043360C" w:rsidRPr="00CA3DD2" w:rsidRDefault="0043360C" w:rsidP="00286E68">
            <w:pPr>
              <w:rPr>
                <w:rFonts w:ascii="Arial Narrow" w:hAnsi="Arial Narrow"/>
                <w:sz w:val="20"/>
              </w:rPr>
            </w:pPr>
          </w:p>
        </w:tc>
        <w:tc>
          <w:tcPr>
            <w:tcW w:w="1379" w:type="pct"/>
            <w:tcBorders>
              <w:top w:val="nil"/>
              <w:bottom w:val="nil"/>
            </w:tcBorders>
            <w:vAlign w:val="center"/>
          </w:tcPr>
          <w:p w14:paraId="73C3B952"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cs="Times New Roman"/>
                <w:b/>
                <w:bCs/>
                <w:sz w:val="20"/>
              </w:rPr>
              <w:t>2.16 (1.35, 3.45)</w:t>
            </w:r>
          </w:p>
        </w:tc>
        <w:tc>
          <w:tcPr>
            <w:tcW w:w="1379" w:type="pct"/>
            <w:tcBorders>
              <w:top w:val="nil"/>
              <w:bottom w:val="nil"/>
            </w:tcBorders>
            <w:vAlign w:val="center"/>
          </w:tcPr>
          <w:p w14:paraId="36A9855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1.44 (1.06, 1.97)</w:t>
            </w:r>
          </w:p>
        </w:tc>
        <w:tc>
          <w:tcPr>
            <w:tcW w:w="1380" w:type="pct"/>
            <w:tcBorders>
              <w:top w:val="nil"/>
              <w:bottom w:val="nil"/>
            </w:tcBorders>
            <w:vAlign w:val="center"/>
          </w:tcPr>
          <w:p w14:paraId="206DFCF4"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0.20 (0.09, 0.31)</w:t>
            </w:r>
          </w:p>
        </w:tc>
      </w:tr>
      <w:tr w:rsidR="0043360C" w:rsidRPr="00CA3DD2" w14:paraId="3D3C64B5" w14:textId="77777777" w:rsidTr="00286E68">
        <w:tc>
          <w:tcPr>
            <w:tcW w:w="862" w:type="pct"/>
            <w:vMerge/>
          </w:tcPr>
          <w:p w14:paraId="7E63C7CB" w14:textId="77777777" w:rsidR="0043360C" w:rsidRPr="00CA3DD2" w:rsidRDefault="0043360C" w:rsidP="00286E68">
            <w:pPr>
              <w:rPr>
                <w:rFonts w:ascii="Arial Narrow" w:hAnsi="Arial Narrow"/>
                <w:sz w:val="20"/>
              </w:rPr>
            </w:pPr>
          </w:p>
        </w:tc>
        <w:tc>
          <w:tcPr>
            <w:tcW w:w="1379" w:type="pct"/>
            <w:tcBorders>
              <w:top w:val="nil"/>
            </w:tcBorders>
            <w:vAlign w:val="center"/>
          </w:tcPr>
          <w:p w14:paraId="54F4B06E"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1.34 (1.03, 1.72)</w:t>
            </w:r>
          </w:p>
        </w:tc>
        <w:tc>
          <w:tcPr>
            <w:tcW w:w="1379" w:type="pct"/>
            <w:tcBorders>
              <w:top w:val="nil"/>
            </w:tcBorders>
            <w:vAlign w:val="center"/>
          </w:tcPr>
          <w:p w14:paraId="4A214533"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1.10 (1.01, 1.21)</w:t>
            </w:r>
          </w:p>
        </w:tc>
        <w:tc>
          <w:tcPr>
            <w:tcW w:w="1380" w:type="pct"/>
            <w:tcBorders>
              <w:top w:val="nil"/>
            </w:tcBorders>
            <w:vAlign w:val="center"/>
          </w:tcPr>
          <w:p w14:paraId="79689C2D"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0.06 (0.01, 0.12)</w:t>
            </w:r>
          </w:p>
        </w:tc>
      </w:tr>
      <w:tr w:rsidR="0043360C" w:rsidRPr="00CA3DD2" w14:paraId="1CD89A35" w14:textId="77777777" w:rsidTr="00286E68">
        <w:tc>
          <w:tcPr>
            <w:tcW w:w="862" w:type="pct"/>
            <w:vMerge w:val="restart"/>
            <w:vAlign w:val="center"/>
          </w:tcPr>
          <w:p w14:paraId="50F03F0E" w14:textId="77777777" w:rsidR="0043360C" w:rsidRPr="00CA3DD2" w:rsidRDefault="0043360C" w:rsidP="00286E68">
            <w:pPr>
              <w:jc w:val="left"/>
              <w:rPr>
                <w:rFonts w:ascii="Arial Narrow" w:hAnsi="Arial Narrow"/>
                <w:sz w:val="20"/>
              </w:rPr>
            </w:pPr>
            <w:r w:rsidRPr="00CA3DD2">
              <w:rPr>
                <w:rFonts w:ascii="Arial Narrow" w:hAnsi="Arial Narrow"/>
                <w:sz w:val="20"/>
              </w:rPr>
              <w:t>vs ADA (Wk4-16)</w:t>
            </w:r>
          </w:p>
        </w:tc>
        <w:tc>
          <w:tcPr>
            <w:tcW w:w="1379" w:type="pct"/>
            <w:tcBorders>
              <w:bottom w:val="nil"/>
            </w:tcBorders>
            <w:vAlign w:val="center"/>
          </w:tcPr>
          <w:p w14:paraId="2BAFEAFB"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1.8 (0.92, 3.51)</w:t>
            </w:r>
          </w:p>
        </w:tc>
        <w:tc>
          <w:tcPr>
            <w:tcW w:w="1379" w:type="pct"/>
            <w:tcBorders>
              <w:bottom w:val="nil"/>
            </w:tcBorders>
            <w:vAlign w:val="center"/>
          </w:tcPr>
          <w:p w14:paraId="16D6726F"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1.33 (0.93, 1.89)</w:t>
            </w:r>
          </w:p>
        </w:tc>
        <w:tc>
          <w:tcPr>
            <w:tcW w:w="1380" w:type="pct"/>
            <w:tcBorders>
              <w:bottom w:val="nil"/>
            </w:tcBorders>
            <w:vAlign w:val="center"/>
          </w:tcPr>
          <w:p w14:paraId="3BF0B83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0.14 (-0.01, 0.3)</w:t>
            </w:r>
          </w:p>
        </w:tc>
      </w:tr>
      <w:tr w:rsidR="0043360C" w:rsidRPr="00CA3DD2" w14:paraId="14834369" w14:textId="77777777" w:rsidTr="00286E68">
        <w:tc>
          <w:tcPr>
            <w:tcW w:w="862" w:type="pct"/>
            <w:vMerge/>
          </w:tcPr>
          <w:p w14:paraId="3CA0B6E0" w14:textId="77777777" w:rsidR="0043360C" w:rsidRPr="00CA3DD2" w:rsidRDefault="0043360C" w:rsidP="00286E68">
            <w:pPr>
              <w:rPr>
                <w:rFonts w:ascii="Arial Narrow" w:hAnsi="Arial Narrow"/>
                <w:sz w:val="20"/>
              </w:rPr>
            </w:pPr>
          </w:p>
        </w:tc>
        <w:tc>
          <w:tcPr>
            <w:tcW w:w="1379" w:type="pct"/>
            <w:tcBorders>
              <w:top w:val="nil"/>
              <w:bottom w:val="nil"/>
            </w:tcBorders>
            <w:vAlign w:val="center"/>
          </w:tcPr>
          <w:p w14:paraId="7C947E1F"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(UST):</w:t>
            </w:r>
            <w:r w:rsidRPr="00CA3DD2">
              <w:rPr>
                <w:rFonts w:ascii="Arial Narrow" w:hAnsi="Arial Narrow"/>
                <w:sz w:val="20"/>
              </w:rPr>
              <w:t xml:space="preserve"> 1.23 (0.73, 2.07)</w:t>
            </w:r>
          </w:p>
        </w:tc>
        <w:tc>
          <w:tcPr>
            <w:tcW w:w="1379" w:type="pct"/>
            <w:tcBorders>
              <w:top w:val="nil"/>
              <w:bottom w:val="nil"/>
            </w:tcBorders>
            <w:vAlign w:val="center"/>
          </w:tcPr>
          <w:p w14:paraId="67B767CA"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(UST):</w:t>
            </w:r>
            <w:r w:rsidRPr="00CA3DD2">
              <w:rPr>
                <w:rFonts w:ascii="Arial Narrow" w:hAnsi="Arial Narrow"/>
                <w:sz w:val="20"/>
              </w:rPr>
              <w:t xml:space="preserve"> 1.07 (0.91, 1.26)</w:t>
            </w:r>
          </w:p>
        </w:tc>
        <w:tc>
          <w:tcPr>
            <w:tcW w:w="1380" w:type="pct"/>
            <w:tcBorders>
              <w:top w:val="nil"/>
              <w:bottom w:val="nil"/>
            </w:tcBorders>
            <w:vAlign w:val="center"/>
          </w:tcPr>
          <w:p w14:paraId="0215AC65"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(UST):</w:t>
            </w:r>
            <w:r w:rsidRPr="00CA3DD2">
              <w:rPr>
                <w:rFonts w:ascii="Arial Narrow" w:hAnsi="Arial Narrow"/>
                <w:sz w:val="20"/>
              </w:rPr>
              <w:t xml:space="preserve"> 0.05 (-0.06, 0.16)</w:t>
            </w:r>
          </w:p>
        </w:tc>
      </w:tr>
      <w:tr w:rsidR="0043360C" w:rsidRPr="00CA3DD2" w14:paraId="4D534C7E" w14:textId="77777777" w:rsidTr="00286E68">
        <w:tc>
          <w:tcPr>
            <w:tcW w:w="862" w:type="pct"/>
            <w:vMerge/>
          </w:tcPr>
          <w:p w14:paraId="0ABDC6C7" w14:textId="77777777" w:rsidR="0043360C" w:rsidRPr="00CA3DD2" w:rsidRDefault="0043360C" w:rsidP="00286E68">
            <w:pPr>
              <w:rPr>
                <w:rFonts w:ascii="Arial Narrow" w:hAnsi="Arial Narrow"/>
                <w:sz w:val="20"/>
              </w:rPr>
            </w:pPr>
          </w:p>
        </w:tc>
        <w:tc>
          <w:tcPr>
            <w:tcW w:w="1379" w:type="pct"/>
            <w:tcBorders>
              <w:top w:val="nil"/>
            </w:tcBorders>
            <w:vAlign w:val="center"/>
          </w:tcPr>
          <w:p w14:paraId="2D7F6A2E"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1.48 (1.04, 2.11)</w:t>
            </w:r>
            <w:r w:rsidRPr="00CA3DD2">
              <w:rPr>
                <w:rFonts w:ascii="Arial Narrow" w:hAnsi="Arial Narrow" w:cs="Times New Roman"/>
                <w:sz w:val="20"/>
                <w:vertAlign w:val="superscript"/>
              </w:rPr>
              <w:t>a</w:t>
            </w:r>
          </w:p>
        </w:tc>
        <w:tc>
          <w:tcPr>
            <w:tcW w:w="1379" w:type="pct"/>
            <w:tcBorders>
              <w:top w:val="nil"/>
            </w:tcBorders>
            <w:vAlign w:val="center"/>
          </w:tcPr>
          <w:p w14:paraId="0C192EC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1.15 (1.01, 1.33)</w:t>
            </w:r>
            <w:r w:rsidRPr="00CA3DD2">
              <w:rPr>
                <w:rFonts w:ascii="Arial Narrow" w:hAnsi="Arial Narrow" w:cs="Times New Roman"/>
                <w:sz w:val="20"/>
                <w:vertAlign w:val="superscript"/>
              </w:rPr>
              <w:t>a</w:t>
            </w:r>
          </w:p>
        </w:tc>
        <w:tc>
          <w:tcPr>
            <w:tcW w:w="1380" w:type="pct"/>
            <w:tcBorders>
              <w:top w:val="nil"/>
            </w:tcBorders>
            <w:vAlign w:val="center"/>
          </w:tcPr>
          <w:p w14:paraId="3D24F18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0.09 (0.01, 0.17)</w:t>
            </w:r>
            <w:r w:rsidRPr="00CA3DD2">
              <w:rPr>
                <w:rFonts w:ascii="Arial Narrow" w:hAnsi="Arial Narrow" w:cs="Times New Roman"/>
                <w:sz w:val="20"/>
                <w:vertAlign w:val="superscript"/>
              </w:rPr>
              <w:t>a</w:t>
            </w:r>
          </w:p>
        </w:tc>
      </w:tr>
      <w:tr w:rsidR="0043360C" w:rsidRPr="00CA3DD2" w14:paraId="00EAE533" w14:textId="77777777" w:rsidTr="00286E68">
        <w:trPr>
          <w:trHeight w:val="50"/>
        </w:trPr>
        <w:tc>
          <w:tcPr>
            <w:tcW w:w="862" w:type="pct"/>
            <w:vMerge w:val="restart"/>
            <w:vAlign w:val="center"/>
          </w:tcPr>
          <w:p w14:paraId="0FAA664D" w14:textId="77777777" w:rsidR="0043360C" w:rsidRPr="00CA3DD2" w:rsidRDefault="0043360C" w:rsidP="00286E68">
            <w:pPr>
              <w:jc w:val="left"/>
              <w:rPr>
                <w:rFonts w:ascii="Arial Narrow" w:hAnsi="Arial Narrow"/>
                <w:sz w:val="20"/>
              </w:rPr>
            </w:pPr>
            <w:r w:rsidRPr="00CA3DD2">
              <w:rPr>
                <w:rFonts w:ascii="Arial Narrow" w:hAnsi="Arial Narrow"/>
                <w:sz w:val="20"/>
              </w:rPr>
              <w:t>vs VDZ (Wk6-10)</w:t>
            </w:r>
          </w:p>
        </w:tc>
        <w:tc>
          <w:tcPr>
            <w:tcW w:w="1379" w:type="pct"/>
            <w:tcBorders>
              <w:bottom w:val="nil"/>
            </w:tcBorders>
            <w:vAlign w:val="center"/>
          </w:tcPr>
          <w:p w14:paraId="17235A5D"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3.93 (2.2, 7.03)</w:t>
            </w:r>
          </w:p>
        </w:tc>
        <w:tc>
          <w:tcPr>
            <w:tcW w:w="1379" w:type="pct"/>
            <w:tcBorders>
              <w:bottom w:val="nil"/>
            </w:tcBorders>
            <w:vAlign w:val="center"/>
          </w:tcPr>
          <w:p w14:paraId="424E52B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2.01 (1.34, 3.02)</w:t>
            </w:r>
          </w:p>
        </w:tc>
        <w:tc>
          <w:tcPr>
            <w:tcW w:w="1380" w:type="pct"/>
            <w:tcBorders>
              <w:bottom w:val="nil"/>
            </w:tcBorders>
            <w:vAlign w:val="center"/>
          </w:tcPr>
          <w:p w14:paraId="51C80168"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cs="Times New Roman"/>
                <w:b/>
                <w:bCs/>
                <w:sz w:val="20"/>
              </w:rPr>
              <w:t>0.33 (0.22, 0.45)</w:t>
            </w:r>
          </w:p>
        </w:tc>
      </w:tr>
      <w:tr w:rsidR="0043360C" w:rsidRPr="00CA3DD2" w14:paraId="43300AA9" w14:textId="77777777" w:rsidTr="00286E68">
        <w:tc>
          <w:tcPr>
            <w:tcW w:w="862" w:type="pct"/>
            <w:vMerge/>
          </w:tcPr>
          <w:p w14:paraId="4E679704" w14:textId="77777777" w:rsidR="0043360C" w:rsidRPr="00CA3DD2" w:rsidRDefault="0043360C" w:rsidP="00286E68">
            <w:pPr>
              <w:rPr>
                <w:rFonts w:ascii="Arial Narrow" w:hAnsi="Arial Narrow"/>
                <w:sz w:val="20"/>
              </w:rPr>
            </w:pPr>
          </w:p>
        </w:tc>
        <w:tc>
          <w:tcPr>
            <w:tcW w:w="1379" w:type="pct"/>
            <w:tcBorders>
              <w:top w:val="nil"/>
            </w:tcBorders>
            <w:vAlign w:val="center"/>
          </w:tcPr>
          <w:p w14:paraId="771944D9"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2.56 (1.72, 3.85)</w:t>
            </w:r>
          </w:p>
        </w:tc>
        <w:tc>
          <w:tcPr>
            <w:tcW w:w="1379" w:type="pct"/>
            <w:tcBorders>
              <w:top w:val="nil"/>
            </w:tcBorders>
            <w:vAlign w:val="center"/>
          </w:tcPr>
          <w:p w14:paraId="1F7340AE"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1.49 (1.23, 1.85)</w:t>
            </w:r>
          </w:p>
        </w:tc>
        <w:tc>
          <w:tcPr>
            <w:tcW w:w="1380" w:type="pct"/>
            <w:tcBorders>
              <w:top w:val="nil"/>
            </w:tcBorders>
            <w:vAlign w:val="center"/>
          </w:tcPr>
          <w:p w14:paraId="238512D4"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0.22 (0.13, 0.32)</w:t>
            </w:r>
          </w:p>
        </w:tc>
      </w:tr>
      <w:tr w:rsidR="0043360C" w:rsidRPr="00CA3DD2" w14:paraId="55D14874" w14:textId="77777777" w:rsidTr="00286E68">
        <w:tc>
          <w:tcPr>
            <w:tcW w:w="862" w:type="pct"/>
            <w:vMerge w:val="restart"/>
            <w:vAlign w:val="center"/>
          </w:tcPr>
          <w:p w14:paraId="2515BF5A" w14:textId="77777777" w:rsidR="0043360C" w:rsidRPr="00CA3DD2" w:rsidRDefault="0043360C" w:rsidP="00286E68">
            <w:pPr>
              <w:jc w:val="left"/>
              <w:rPr>
                <w:rFonts w:ascii="Arial Narrow" w:hAnsi="Arial Narrow"/>
                <w:sz w:val="20"/>
              </w:rPr>
            </w:pPr>
            <w:r w:rsidRPr="00CA3DD2">
              <w:rPr>
                <w:rFonts w:ascii="Arial Narrow" w:hAnsi="Arial Narrow"/>
                <w:sz w:val="20"/>
              </w:rPr>
              <w:t>vs UPA (Wk12)</w:t>
            </w:r>
          </w:p>
        </w:tc>
        <w:tc>
          <w:tcPr>
            <w:tcW w:w="1379" w:type="pct"/>
            <w:tcBorders>
              <w:bottom w:val="nil"/>
            </w:tcBorders>
            <w:vAlign w:val="center"/>
          </w:tcPr>
          <w:p w14:paraId="4E5A9DE3"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2.37 (1.5, 3.76)</w:t>
            </w:r>
          </w:p>
        </w:tc>
        <w:tc>
          <w:tcPr>
            <w:tcW w:w="1379" w:type="pct"/>
            <w:tcBorders>
              <w:bottom w:val="nil"/>
            </w:tcBorders>
            <w:vAlign w:val="center"/>
          </w:tcPr>
          <w:p w14:paraId="0567DE2B"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cs="Times New Roman"/>
                <w:b/>
                <w:bCs/>
                <w:sz w:val="20"/>
              </w:rPr>
              <w:t>1.61 (1.12, 2.21)</w:t>
            </w:r>
          </w:p>
        </w:tc>
        <w:tc>
          <w:tcPr>
            <w:tcW w:w="1380" w:type="pct"/>
            <w:tcBorders>
              <w:bottom w:val="nil"/>
            </w:tcBorders>
            <w:vAlign w:val="center"/>
          </w:tcPr>
          <w:p w14:paraId="7CC2BCC8"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t xml:space="preserve"> </w:t>
            </w:r>
            <w:r w:rsidRPr="00CA3DD2">
              <w:rPr>
                <w:rFonts w:ascii="Arial Narrow" w:hAnsi="Arial Narrow"/>
                <w:b/>
                <w:bCs/>
                <w:sz w:val="20"/>
              </w:rPr>
              <w:t>0.19 (0.1, 0.29)</w:t>
            </w:r>
          </w:p>
        </w:tc>
      </w:tr>
      <w:tr w:rsidR="0043360C" w:rsidRPr="00CA3DD2" w14:paraId="41FFA78E" w14:textId="77777777" w:rsidTr="00286E68">
        <w:tc>
          <w:tcPr>
            <w:tcW w:w="862" w:type="pct"/>
            <w:vMerge/>
          </w:tcPr>
          <w:p w14:paraId="58D57776" w14:textId="77777777" w:rsidR="0043360C" w:rsidRPr="00CA3DD2" w:rsidRDefault="0043360C" w:rsidP="00286E68">
            <w:pPr>
              <w:rPr>
                <w:rFonts w:ascii="Arial Narrow" w:hAnsi="Arial Narrow"/>
                <w:sz w:val="20"/>
              </w:rPr>
            </w:pPr>
          </w:p>
        </w:tc>
        <w:tc>
          <w:tcPr>
            <w:tcW w:w="1379" w:type="pct"/>
            <w:tcBorders>
              <w:top w:val="nil"/>
            </w:tcBorders>
            <w:vAlign w:val="center"/>
          </w:tcPr>
          <w:p w14:paraId="1054C43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1.87 (1.26, 2.76)</w:t>
            </w:r>
          </w:p>
        </w:tc>
        <w:tc>
          <w:tcPr>
            <w:tcW w:w="1379" w:type="pct"/>
            <w:tcBorders>
              <w:top w:val="nil"/>
            </w:tcBorders>
            <w:vAlign w:val="center"/>
          </w:tcPr>
          <w:p w14:paraId="1EF8E78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1.27 (1.09, 1.53)</w:t>
            </w:r>
          </w:p>
        </w:tc>
        <w:tc>
          <w:tcPr>
            <w:tcW w:w="1380" w:type="pct"/>
            <w:tcBorders>
              <w:top w:val="nil"/>
            </w:tcBorders>
            <w:vAlign w:val="center"/>
          </w:tcPr>
          <w:p w14:paraId="4DD6BC39"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0.15 (0.05, 0.24)</w:t>
            </w:r>
          </w:p>
        </w:tc>
      </w:tr>
      <w:tr w:rsidR="0043360C" w:rsidRPr="00CA3DD2" w14:paraId="57F1D9D7" w14:textId="77777777" w:rsidTr="00286E68">
        <w:tc>
          <w:tcPr>
            <w:tcW w:w="862" w:type="pct"/>
          </w:tcPr>
          <w:p w14:paraId="07CBCC0E" w14:textId="77777777" w:rsidR="0043360C" w:rsidRPr="00CA3DD2" w:rsidRDefault="0043360C" w:rsidP="00286E68">
            <w:pPr>
              <w:rPr>
                <w:rFonts w:ascii="Arial Narrow" w:hAnsi="Arial Narrow"/>
                <w:sz w:val="20"/>
              </w:rPr>
            </w:pPr>
            <w:r w:rsidRPr="00CA3DD2">
              <w:rPr>
                <w:rFonts w:ascii="Arial Narrow" w:hAnsi="Arial Narrow"/>
                <w:sz w:val="20"/>
              </w:rPr>
              <w:t>vs IFX (Wk4)</w:t>
            </w:r>
          </w:p>
        </w:tc>
        <w:tc>
          <w:tcPr>
            <w:tcW w:w="1379" w:type="pct"/>
            <w:vAlign w:val="center"/>
          </w:tcPr>
          <w:p w14:paraId="305FE3EB"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 0.26 (0.06, 1.16)</w:t>
            </w:r>
          </w:p>
        </w:tc>
        <w:tc>
          <w:tcPr>
            <w:tcW w:w="1379" w:type="pct"/>
            <w:vAlign w:val="center"/>
          </w:tcPr>
          <w:p w14:paraId="69B77600"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 0.54 (0.21, 1.39)</w:t>
            </w:r>
          </w:p>
        </w:tc>
        <w:tc>
          <w:tcPr>
            <w:tcW w:w="1380" w:type="pct"/>
            <w:vAlign w:val="center"/>
          </w:tcPr>
          <w:p w14:paraId="3E36D0B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cs="Times New Roman"/>
                <w:b/>
                <w:bCs/>
                <w:sz w:val="20"/>
              </w:rPr>
              <w:t>-0.24 (-0.46, -0.02)</w:t>
            </w:r>
          </w:p>
        </w:tc>
      </w:tr>
    </w:tbl>
    <w:p w14:paraId="42ABB49F" w14:textId="5F922C0C" w:rsidR="00085A1E" w:rsidRPr="00085A1E" w:rsidRDefault="00085A1E" w:rsidP="00085A1E">
      <w:pPr>
        <w:pStyle w:val="TableFigureFooter"/>
        <w:spacing w:after="0"/>
        <w:rPr>
          <w:rStyle w:val="CommentReference"/>
          <w:b w:val="0"/>
          <w:bCs/>
          <w:sz w:val="18"/>
          <w:szCs w:val="18"/>
        </w:rPr>
      </w:pPr>
      <w:r w:rsidRPr="00085A1E">
        <w:rPr>
          <w:rStyle w:val="CommentReference"/>
          <w:b w:val="0"/>
          <w:bCs/>
          <w:sz w:val="18"/>
          <w:szCs w:val="18"/>
        </w:rPr>
        <w:t xml:space="preserve">The </w:t>
      </w:r>
      <w:r w:rsidRPr="00085A1E">
        <w:rPr>
          <w:rStyle w:val="CommentReference"/>
          <w:sz w:val="18"/>
          <w:szCs w:val="18"/>
        </w:rPr>
        <w:t xml:space="preserve">bold </w:t>
      </w:r>
      <w:r w:rsidRPr="00085A1E">
        <w:rPr>
          <w:rStyle w:val="CommentReference"/>
          <w:b w:val="0"/>
          <w:bCs/>
          <w:sz w:val="18"/>
          <w:szCs w:val="18"/>
        </w:rPr>
        <w:t>text indicates statistical significance p&lt;0.05</w:t>
      </w:r>
      <w:r>
        <w:rPr>
          <w:rStyle w:val="CommentReference"/>
          <w:b w:val="0"/>
          <w:bCs/>
          <w:sz w:val="18"/>
          <w:szCs w:val="18"/>
        </w:rPr>
        <w:t>.</w:t>
      </w:r>
    </w:p>
    <w:p w14:paraId="743EF361" w14:textId="503D0BE8" w:rsidR="0043360C" w:rsidRDefault="0043360C" w:rsidP="0043360C">
      <w:pPr>
        <w:pStyle w:val="TableFigureFooter"/>
        <w:spacing w:after="0"/>
        <w:rPr>
          <w:rStyle w:val="CommentReference"/>
          <w:b w:val="0"/>
          <w:bCs/>
          <w:sz w:val="18"/>
          <w:szCs w:val="18"/>
        </w:rPr>
      </w:pPr>
      <w:r>
        <w:rPr>
          <w:rStyle w:val="CommentReference"/>
          <w:b w:val="0"/>
          <w:bCs/>
          <w:sz w:val="18"/>
          <w:szCs w:val="18"/>
        </w:rPr>
        <w:t xml:space="preserve">Risk statistics calculated </w:t>
      </w:r>
      <w:r w:rsidRPr="004F7CA7">
        <w:rPr>
          <w:rStyle w:val="CommentReference"/>
          <w:b w:val="0"/>
          <w:bCs/>
          <w:sz w:val="18"/>
          <w:szCs w:val="18"/>
        </w:rPr>
        <w:t>using Review Manager (version 5.3)</w:t>
      </w:r>
      <w:r>
        <w:rPr>
          <w:rStyle w:val="CommentReference"/>
          <w:b w:val="0"/>
          <w:bCs/>
          <w:sz w:val="18"/>
          <w:szCs w:val="18"/>
        </w:rPr>
        <w:t>.</w:t>
      </w:r>
    </w:p>
    <w:p w14:paraId="2E0BCE1F" w14:textId="77777777" w:rsidR="0043360C" w:rsidRDefault="0043360C" w:rsidP="0043360C">
      <w:pPr>
        <w:rPr>
          <w:rFonts w:ascii="Arial Narrow" w:hAnsi="Arial Narrow"/>
          <w:sz w:val="18"/>
          <w:szCs w:val="18"/>
        </w:rPr>
      </w:pPr>
      <w:r w:rsidRPr="00AF30DB">
        <w:rPr>
          <w:rFonts w:ascii="Arial Narrow" w:hAnsi="Arial Narrow"/>
          <w:sz w:val="18"/>
          <w:szCs w:val="18"/>
        </w:rPr>
        <w:t>Source:</w:t>
      </w:r>
      <w:r>
        <w:rPr>
          <w:rFonts w:ascii="Arial Narrow" w:hAnsi="Arial Narrow"/>
          <w:sz w:val="18"/>
          <w:szCs w:val="18"/>
        </w:rPr>
        <w:t xml:space="preserve"> Tables 2.104 and 2.105, pp220-221, Tables 2.110 and 2.111, pp226-227, Tables 2.116 and 2.117, pp232-233, Tables 2.118 and 2.119, pp235-236, Tables 2.124 and 2.125, pp242-243, Tables 2.131 and 2.132, p249 of the submission, Attachment 2.34 Induction ITC inputs and results.xlsx.</w:t>
      </w:r>
    </w:p>
    <w:p w14:paraId="15EF34BC" w14:textId="77777777" w:rsidR="0043360C" w:rsidRDefault="0043360C" w:rsidP="0043360C">
      <w:pPr>
        <w:rPr>
          <w:rFonts w:ascii="Arial Narrow" w:hAnsi="Arial Narrow"/>
          <w:sz w:val="18"/>
          <w:szCs w:val="18"/>
        </w:rPr>
      </w:pPr>
      <w:r w:rsidRPr="00AF30DB">
        <w:rPr>
          <w:rFonts w:ascii="Arial Narrow" w:hAnsi="Arial Narrow"/>
          <w:sz w:val="18"/>
          <w:szCs w:val="18"/>
        </w:rPr>
        <w:t>ADA=adalimumab; GUS=guselkumab; IFX=infliximab; ITC=indirect treatment comparison; IV=intravenous; NMA=network meta-analysis; PBO=placebo; UPA=upadacitinib; UST=ustekinumab; VDZ=vedolizumab</w:t>
      </w:r>
      <w:r>
        <w:rPr>
          <w:rFonts w:ascii="Arial Narrow" w:hAnsi="Arial Narrow"/>
          <w:sz w:val="18"/>
          <w:szCs w:val="18"/>
        </w:rPr>
        <w:t xml:space="preserve">; </w:t>
      </w:r>
      <w:proofErr w:type="spellStart"/>
      <w:r>
        <w:rPr>
          <w:rFonts w:ascii="Arial Narrow" w:hAnsi="Arial Narrow"/>
          <w:sz w:val="18"/>
          <w:szCs w:val="18"/>
        </w:rPr>
        <w:t>wk</w:t>
      </w:r>
      <w:proofErr w:type="spellEnd"/>
      <w:r>
        <w:rPr>
          <w:rFonts w:ascii="Arial Narrow" w:hAnsi="Arial Narrow"/>
          <w:sz w:val="18"/>
          <w:szCs w:val="18"/>
        </w:rPr>
        <w:t>=week;</w:t>
      </w:r>
    </w:p>
    <w:p w14:paraId="14C6CFFD" w14:textId="77777777" w:rsidR="0043360C" w:rsidRPr="00CA3DD2" w:rsidRDefault="0043360C" w:rsidP="0043360C">
      <w:pPr>
        <w:pStyle w:val="3-BodyText"/>
      </w:pPr>
      <w:bookmarkStart w:id="35" w:name="_Ref203640066"/>
      <w:r w:rsidRPr="00CA3DD2">
        <w:t>For induction treatment (i.e. Week 4-12), the indirect evidence showed:</w:t>
      </w:r>
      <w:bookmarkEnd w:id="35"/>
    </w:p>
    <w:p w14:paraId="2A25DF86" w14:textId="77777777" w:rsidR="0043360C" w:rsidRPr="00CA3DD2" w:rsidRDefault="0043360C" w:rsidP="00096092">
      <w:pPr>
        <w:pStyle w:val="ListParagraph"/>
        <w:widowControl w:val="0"/>
        <w:numPr>
          <w:ilvl w:val="0"/>
          <w:numId w:val="11"/>
        </w:numPr>
        <w:spacing w:after="0"/>
        <w:contextualSpacing/>
      </w:pPr>
      <w:r w:rsidRPr="00CA3DD2">
        <w:t xml:space="preserve">no difference between the GUS IV and GUS SC dosing regimens in terms of clinical remission or clinical response. </w:t>
      </w:r>
    </w:p>
    <w:p w14:paraId="09FCDD84" w14:textId="77777777" w:rsidR="0043360C" w:rsidRPr="00CA3DD2" w:rsidRDefault="0043360C" w:rsidP="00096092">
      <w:pPr>
        <w:pStyle w:val="ListParagraph"/>
        <w:widowControl w:val="0"/>
        <w:numPr>
          <w:ilvl w:val="0"/>
          <w:numId w:val="11"/>
        </w:numPr>
        <w:spacing w:after="0"/>
        <w:contextualSpacing/>
      </w:pPr>
      <w:r w:rsidRPr="00CA3DD2">
        <w:t>no difference between GUS versus ADA and IFX in terms of clinical remission or clinical response, with one exception: the NMA indicated GUS was more effective than ADA in terms of clinical response, but this finding was not supported by the ITC using either PBO or UST as the common comparator.</w:t>
      </w:r>
    </w:p>
    <w:p w14:paraId="44CACF85" w14:textId="77777777" w:rsidR="0043360C" w:rsidRPr="00CA3DD2" w:rsidRDefault="0043360C" w:rsidP="00096092">
      <w:pPr>
        <w:pStyle w:val="ListParagraph"/>
        <w:widowControl w:val="0"/>
        <w:numPr>
          <w:ilvl w:val="0"/>
          <w:numId w:val="11"/>
        </w:numPr>
        <w:spacing w:after="0"/>
        <w:contextualSpacing/>
      </w:pPr>
      <w:r w:rsidRPr="00CA3DD2">
        <w:t xml:space="preserve">no difference between GUS versus UST in terms of clinical remission but GUS was more effective than UST in terms of clinical response. However, the results of the indirect evidence differed from the direct head-to-head evidence, which showed no difference between GUS versus UST for either outcome. The magnitude of the treatment effects (point estimates) estimated from the direct and indirect </w:t>
      </w:r>
      <w:r w:rsidRPr="00CA3DD2">
        <w:lastRenderedPageBreak/>
        <w:t>evidence also varied greatly.</w:t>
      </w:r>
    </w:p>
    <w:p w14:paraId="3387EE7E" w14:textId="6C0A7127" w:rsidR="0043360C" w:rsidRPr="00CA3DD2" w:rsidRDefault="0043360C" w:rsidP="00096092">
      <w:pPr>
        <w:pStyle w:val="ListParagraph"/>
        <w:widowControl w:val="0"/>
        <w:numPr>
          <w:ilvl w:val="0"/>
          <w:numId w:val="11"/>
        </w:numPr>
        <w:spacing w:after="0"/>
        <w:contextualSpacing/>
      </w:pPr>
      <w:r w:rsidRPr="00CA3DD2">
        <w:t>GUS was more effective than VDZ and UPA for both clinical remission and clinical response, with one exception: the NMA generally indicated no difference between GUS versus UPA in terms of clinical remission.</w:t>
      </w:r>
    </w:p>
    <w:p w14:paraId="3D2C9F19" w14:textId="77777777" w:rsidR="00972763" w:rsidRDefault="00972763" w:rsidP="00972763">
      <w:pPr>
        <w:pStyle w:val="ListBullet"/>
        <w:numPr>
          <w:ilvl w:val="0"/>
          <w:numId w:val="0"/>
        </w:numPr>
        <w:ind w:left="360" w:hanging="360"/>
        <w:rPr>
          <w:u w:val="single"/>
        </w:rPr>
      </w:pPr>
    </w:p>
    <w:p w14:paraId="1524C4F4" w14:textId="67B95886" w:rsidR="00972763" w:rsidRPr="00516309" w:rsidRDefault="00972763" w:rsidP="00972763">
      <w:pPr>
        <w:pStyle w:val="ListBullet"/>
        <w:numPr>
          <w:ilvl w:val="0"/>
          <w:numId w:val="0"/>
        </w:numPr>
        <w:ind w:left="360" w:hanging="360"/>
        <w:rPr>
          <w:u w:val="single"/>
        </w:rPr>
      </w:pPr>
      <w:r w:rsidRPr="00516309">
        <w:rPr>
          <w:u w:val="single"/>
        </w:rPr>
        <w:t>Indirect evidence</w:t>
      </w:r>
      <w:r>
        <w:rPr>
          <w:u w:val="single"/>
        </w:rPr>
        <w:t xml:space="preserve"> for maintenance treatment</w:t>
      </w:r>
      <w:r w:rsidRPr="00516309">
        <w:rPr>
          <w:u w:val="single"/>
        </w:rPr>
        <w:t>: GUS versus other b/</w:t>
      </w:r>
      <w:proofErr w:type="spellStart"/>
      <w:r w:rsidRPr="00516309">
        <w:rPr>
          <w:u w:val="single"/>
        </w:rPr>
        <w:t>tsDMARDs</w:t>
      </w:r>
      <w:proofErr w:type="spellEnd"/>
    </w:p>
    <w:p w14:paraId="747B1821" w14:textId="606E08B9" w:rsidR="005B376A" w:rsidRDefault="00083FDC" w:rsidP="00286E68">
      <w:pPr>
        <w:pStyle w:val="3-BodyText"/>
      </w:pPr>
      <w:r>
        <w:t xml:space="preserve">The submission argued that </w:t>
      </w:r>
      <w:r w:rsidR="00972763">
        <w:t xml:space="preserve">conducting </w:t>
      </w:r>
      <w:r>
        <w:t xml:space="preserve">indirect comparisons between GUS versus the </w:t>
      </w:r>
      <w:r w:rsidR="005B376A">
        <w:t xml:space="preserve">other </w:t>
      </w:r>
      <w:r>
        <w:t xml:space="preserve">comparators (ADA, IFX, VDZ and UPA) </w:t>
      </w:r>
      <w:r w:rsidR="00972763">
        <w:t xml:space="preserve">based on the reported results of the maintenance phase trials </w:t>
      </w:r>
      <w:r>
        <w:t xml:space="preserve">would be biased against GUS </w:t>
      </w:r>
      <w:r w:rsidR="00972763">
        <w:t xml:space="preserve">because the PBO arms are not interchangeable due </w:t>
      </w:r>
      <w:r w:rsidR="00A356AB">
        <w:t xml:space="preserve">to </w:t>
      </w:r>
      <w:r w:rsidR="00972763">
        <w:t>differences in trial design. P</w:t>
      </w:r>
      <w:r w:rsidR="00A040CD" w:rsidRPr="00A040CD">
        <w:t xml:space="preserve">atients in the PBO arm </w:t>
      </w:r>
      <w:r w:rsidR="00972763">
        <w:t>of treat</w:t>
      </w:r>
      <w:r w:rsidR="00E8406F">
        <w:t>-</w:t>
      </w:r>
      <w:r w:rsidR="00972763">
        <w:t xml:space="preserve">through trials </w:t>
      </w:r>
      <w:r w:rsidR="00A040CD" w:rsidRPr="00A040CD">
        <w:t xml:space="preserve">represented a ‘true placebo’ comparator </w:t>
      </w:r>
      <w:r w:rsidR="00972763">
        <w:t xml:space="preserve">whereas patients in the </w:t>
      </w:r>
      <w:r w:rsidR="00A040CD" w:rsidRPr="00A040CD">
        <w:t>PBO arm of randomised withdrawal trials ha</w:t>
      </w:r>
      <w:r w:rsidR="00A356AB">
        <w:t>d</w:t>
      </w:r>
      <w:r w:rsidR="00A040CD" w:rsidRPr="00A040CD">
        <w:t xml:space="preserve"> ‘carry-over’ benefits of active </w:t>
      </w:r>
      <w:r w:rsidR="00972763">
        <w:t xml:space="preserve">induction </w:t>
      </w:r>
      <w:r w:rsidR="00A040CD" w:rsidRPr="00A040CD">
        <w:t>treatment</w:t>
      </w:r>
      <w:r w:rsidR="00972763">
        <w:t xml:space="preserve">. </w:t>
      </w:r>
      <w:bookmarkStart w:id="36" w:name="_Hlk197943626"/>
      <w:r w:rsidR="00972763">
        <w:t>Patients who respond</w:t>
      </w:r>
      <w:r w:rsidR="00A356AB">
        <w:t>ed</w:t>
      </w:r>
      <w:r w:rsidR="00972763">
        <w:t xml:space="preserve"> to PBO induction treatment and continue PBO in maintenance </w:t>
      </w:r>
      <w:r w:rsidR="00A356AB">
        <w:t>we</w:t>
      </w:r>
      <w:r w:rsidR="00972763">
        <w:t>re also likely</w:t>
      </w:r>
      <w:r w:rsidR="00A356AB">
        <w:t xml:space="preserve"> to be</w:t>
      </w:r>
      <w:r w:rsidR="00972763">
        <w:t xml:space="preserve"> different </w:t>
      </w:r>
      <w:r w:rsidR="00A356AB">
        <w:t>from</w:t>
      </w:r>
      <w:r w:rsidR="00972763">
        <w:t xml:space="preserve"> patients who respond to active induction treatment and receive PBO in maintenance in terms of their underlying probability of spontaneous resolution.</w:t>
      </w:r>
      <w:r w:rsidR="005B376A">
        <w:t xml:space="preserve"> The submission noted that the PBO response rate in the GALAXI trials at Week 48 (including those who crossed over to UST at Week 12) was higher than the randomised withdrawal comparator trials.</w:t>
      </w:r>
      <w:bookmarkEnd w:id="36"/>
    </w:p>
    <w:p w14:paraId="61B9F4FA" w14:textId="0C31BBA8" w:rsidR="005B376A" w:rsidRPr="006628DA" w:rsidRDefault="005B376A" w:rsidP="00286E68">
      <w:pPr>
        <w:pStyle w:val="3-BodyText"/>
      </w:pPr>
      <w:r w:rsidRPr="006628DA">
        <w:t>The PBAC had previously accepted that carry over effects were plausible and would likely bias against active treatment in a randomised withdrawal trial when indirectly compared to active treatment in a Type 1 treat</w:t>
      </w:r>
      <w:r w:rsidR="00591482" w:rsidRPr="006628DA">
        <w:t>-</w:t>
      </w:r>
      <w:r w:rsidRPr="006628DA">
        <w:t xml:space="preserve">through trial using PBO as common comparator (paragraph 7.9, </w:t>
      </w:r>
      <w:r w:rsidR="00E8406F" w:rsidRPr="006628DA">
        <w:t>ustekinumab</w:t>
      </w:r>
      <w:r w:rsidRPr="006628DA">
        <w:t xml:space="preserve"> PSD July 2022</w:t>
      </w:r>
      <w:r w:rsidR="00E8406F" w:rsidRPr="006628DA">
        <w:t xml:space="preserve"> PBAC meeting</w:t>
      </w:r>
      <w:r w:rsidRPr="006628DA">
        <w:t>). In contrast, this submission argued that active treatment in a Type 2 treat through trial would be biased against when indirectly compared to active treatment in a randomised withdrawal trial using PBO as common comparator. This bias would not be from carry over effects, but rather the fact that patients in the PBO arm in the GALAXI trials receive</w:t>
      </w:r>
      <w:r w:rsidR="00D44764" w:rsidRPr="006628DA">
        <w:t>d</w:t>
      </w:r>
      <w:r w:rsidRPr="006628DA">
        <w:t xml:space="preserve"> PBO induction followed by PBO or UST maintenance treatment, whereas patients in the PBO arm of the randomised withdrawal trials received active induction followed by </w:t>
      </w:r>
      <w:r w:rsidR="00D44764" w:rsidRPr="006628DA">
        <w:t>PBO</w:t>
      </w:r>
      <w:r w:rsidRPr="006628DA">
        <w:t xml:space="preserve"> maintenance.</w:t>
      </w:r>
    </w:p>
    <w:p w14:paraId="641170CD" w14:textId="6D7A8D95" w:rsidR="005B376A" w:rsidRDefault="005B376A" w:rsidP="005B376A">
      <w:pPr>
        <w:pStyle w:val="3-BodyText"/>
      </w:pPr>
      <w:r>
        <w:t xml:space="preserve">Given the differences in the trial designs, the submission argued that it was appropriate to impute / model </w:t>
      </w:r>
      <w:proofErr w:type="gramStart"/>
      <w:r>
        <w:t>all of</w:t>
      </w:r>
      <w:proofErr w:type="gramEnd"/>
      <w:r>
        <w:t xml:space="preserve"> the trial data to mimic a ‘Type 1’ treat</w:t>
      </w:r>
      <w:r w:rsidR="00591482">
        <w:t>-</w:t>
      </w:r>
      <w:r>
        <w:t xml:space="preserve">through design, using a similar approach presented in the UST July 2022 PBAC submission for ulcerative colitis. </w:t>
      </w:r>
      <w:r w:rsidRPr="004725A7">
        <w:t>Th</w:t>
      </w:r>
      <w:r>
        <w:t xml:space="preserve">is involved modelling the (i) ‘missing’ PBO data in the GUS trials (given the PBO arm had a Type 2 trial design), and (ii) ‘missing’ PBO/active data in the comparator trials (Types 2, 3 and 4 trial designs). </w:t>
      </w:r>
      <w:r w:rsidRPr="00C667E7">
        <w:t xml:space="preserve">For Type 3 and Type 4 randomised withdrawal trials (GEMINI II, U-ENDURE and Watanabe 2012), the submission </w:t>
      </w:r>
      <w:r>
        <w:t xml:space="preserve">also </w:t>
      </w:r>
      <w:r w:rsidRPr="00C667E7">
        <w:t xml:space="preserve">recalculated the intention-to-treat (ITT) sample sizes for the active treatment arm to replicate the population from induction baseline, as these trials re-randomised patients who achieved response from active treatment at induction. </w:t>
      </w:r>
      <w:r>
        <w:t>The submission then conducted ITCs and NMA based on the imputed / modelled trial data.</w:t>
      </w:r>
    </w:p>
    <w:p w14:paraId="0D1D3BD2" w14:textId="45449280" w:rsidR="005B376A" w:rsidRPr="005A428D" w:rsidRDefault="005B376A" w:rsidP="005349E5">
      <w:pPr>
        <w:pStyle w:val="3-BodyText"/>
      </w:pPr>
      <w:bookmarkStart w:id="37" w:name="_Hlk197944869"/>
      <w:r w:rsidRPr="005A428D">
        <w:t>The results of the ‘</w:t>
      </w:r>
      <w:r w:rsidR="00CA7ED5">
        <w:t>trial-design-adjusted</w:t>
      </w:r>
      <w:r w:rsidRPr="005A428D">
        <w:t>’ ITCs and NMA – based on imputed data - found that GUS was more effective than all other b/</w:t>
      </w:r>
      <w:proofErr w:type="spellStart"/>
      <w:r w:rsidRPr="005A428D">
        <w:t>tsDMARDs</w:t>
      </w:r>
      <w:proofErr w:type="spellEnd"/>
      <w:r w:rsidRPr="005A428D">
        <w:t xml:space="preserve"> for one or more of the </w:t>
      </w:r>
      <w:r w:rsidRPr="005A428D">
        <w:lastRenderedPageBreak/>
        <w:t>outcomes presented (clinical remission, clinical response, endoscopic remission, endoscopic response)</w:t>
      </w:r>
      <w:r w:rsidR="007B04E5" w:rsidRPr="005A428D">
        <w:t xml:space="preserve"> at Week 48-60</w:t>
      </w:r>
      <w:r w:rsidRPr="005A428D">
        <w:t>. The submission argued that any non-statistically significant findings versus ADA and UPA using the RR statistic were due to the non-symmetric nature of the variance of the log RR, and this comparison became statistically significant using non-responder results.</w:t>
      </w:r>
    </w:p>
    <w:bookmarkEnd w:id="37"/>
    <w:p w14:paraId="4B78F13D" w14:textId="31D46C1B" w:rsidR="00CE4E52" w:rsidRPr="008A2601" w:rsidRDefault="00CE4E52" w:rsidP="005B376A">
      <w:pPr>
        <w:pStyle w:val="3-BodyText"/>
      </w:pPr>
      <w:r w:rsidRPr="008A2601">
        <w:t xml:space="preserve">The submission did not provide </w:t>
      </w:r>
      <w:r w:rsidR="00527AB9" w:rsidRPr="008A2601">
        <w:t xml:space="preserve">a </w:t>
      </w:r>
      <w:r w:rsidRPr="008A2601">
        <w:t>clear rationale for selecting the many different data sources used to inform the required parameters of the proposed imputation / modelling approach. For example, for the GALAXI trials it was unclear the rationale to impute the proportion of PBO induction non-responders achieving clinical remission and clinical response outcomes in maintenance using the PBO clinical remission rates at induction from the GEMINI II (VDZ) trial. Whereas the same parameter (PBO induction non-responders) achieving endoscopic outcomes was calculated using the pooled PBO clinical response rates from the GALAXI trials (response defined by CDAI) and VIVID-1 (mirikizumab) and FORTIFY (risankizumab) trials (response defined by decrease in stool frequency and/or abdominal pain), which are also non-PBS treatments that have been excluded from the submission’s ‘Australian’ NMA.</w:t>
      </w:r>
    </w:p>
    <w:p w14:paraId="1D9B21FC" w14:textId="0553F169" w:rsidR="005B376A" w:rsidRPr="008A2601" w:rsidRDefault="005B376A" w:rsidP="005B376A">
      <w:pPr>
        <w:pStyle w:val="3-BodyText"/>
      </w:pPr>
      <w:r w:rsidRPr="008A2601">
        <w:t>Overall, the submission’s approach for adjusting carry over effects was</w:t>
      </w:r>
      <w:r w:rsidRPr="00ED7928">
        <w:rPr>
          <w:i/>
          <w:iCs/>
        </w:rPr>
        <w:t xml:space="preserve"> </w:t>
      </w:r>
      <w:r w:rsidRPr="008A2601">
        <w:t xml:space="preserve">poorly described, not transparent, relied on many assumptions that cannot be validated, ignores the many other differences (transitivity assumptions) across the trials. In general, methods used for treatment effect elicitation should be as simple as possible, and any benefit (i.e. reduction in uncertainty) from using complex methods must be balanced against any loss of transparency, interpretability and validation. The ESC had previously considered that the same or similar modelling approach presented in the ustekinumab submission for ulcerative colitis “introduced additional uncertainties in the indirect comparisons” and “the reliability of the modelled approach to address the issue was uncertain” (paragraph 6.38, </w:t>
      </w:r>
      <w:r w:rsidR="00596CC3" w:rsidRPr="008A2601">
        <w:t>ustekinumab</w:t>
      </w:r>
      <w:r w:rsidRPr="008A2601">
        <w:t xml:space="preserve"> PSD July 2022</w:t>
      </w:r>
      <w:r w:rsidR="00596CC3" w:rsidRPr="008A2601">
        <w:t xml:space="preserve"> PBAC meeting</w:t>
      </w:r>
      <w:r w:rsidRPr="008A2601">
        <w:t>).</w:t>
      </w:r>
    </w:p>
    <w:p w14:paraId="77AA49C4" w14:textId="6E59ECBF" w:rsidR="00842CA6" w:rsidRPr="008A2601" w:rsidRDefault="00842CA6" w:rsidP="00EC5836">
      <w:pPr>
        <w:pStyle w:val="3-BodyText"/>
      </w:pPr>
      <w:r w:rsidRPr="008A2601">
        <w:t>The results of the submission’s trial-design-adjusted indirect comparisons (ITC and Australian NMA) are considered highly uncertain</w:t>
      </w:r>
      <w:r w:rsidR="005349E5" w:rsidRPr="008A2601">
        <w:t xml:space="preserve"> (noting that the magnitude of the treatment effect</w:t>
      </w:r>
      <w:r w:rsidR="0032055A" w:rsidRPr="008A2601">
        <w:t>s</w:t>
      </w:r>
      <w:r w:rsidR="005349E5" w:rsidRPr="008A2601">
        <w:t xml:space="preserve"> varied</w:t>
      </w:r>
      <w:r w:rsidR="0032055A" w:rsidRPr="008A2601">
        <w:t xml:space="preserve"> considerably</w:t>
      </w:r>
      <w:r w:rsidR="005349E5" w:rsidRPr="008A2601">
        <w:t>)</w:t>
      </w:r>
      <w:r w:rsidRPr="008A2601">
        <w:t xml:space="preserve"> and </w:t>
      </w:r>
      <w:r w:rsidR="005349E5" w:rsidRPr="008A2601">
        <w:t xml:space="preserve">could not be </w:t>
      </w:r>
      <w:r w:rsidR="0032055A" w:rsidRPr="008A2601">
        <w:t xml:space="preserve">externally </w:t>
      </w:r>
      <w:r w:rsidR="005349E5" w:rsidRPr="008A2601">
        <w:t>validated</w:t>
      </w:r>
      <w:r w:rsidRPr="008A2601">
        <w:t>:</w:t>
      </w:r>
    </w:p>
    <w:p w14:paraId="2E15888D" w14:textId="5F614469" w:rsidR="00842CA6" w:rsidRPr="008A2601" w:rsidRDefault="00842CA6" w:rsidP="00096092">
      <w:pPr>
        <w:pStyle w:val="ListParagraph"/>
        <w:widowControl w:val="0"/>
        <w:numPr>
          <w:ilvl w:val="0"/>
          <w:numId w:val="11"/>
        </w:numPr>
        <w:spacing w:after="0"/>
        <w:contextualSpacing/>
      </w:pPr>
      <w:r w:rsidRPr="008A2601">
        <w:t>First, the imputed results for some comparator trials (such as ACCENT 1, Watanabe 2012 and GEMINI II) indicated no difference between active treatment and PBO despite the observed results finding a statistically significant difference favouring active treatment compared to PBO.</w:t>
      </w:r>
    </w:p>
    <w:p w14:paraId="0B2455E1" w14:textId="3D440BB2" w:rsidR="00842CA6" w:rsidRPr="008A2601" w:rsidRDefault="00842CA6" w:rsidP="00096092">
      <w:pPr>
        <w:pStyle w:val="ListParagraph"/>
        <w:widowControl w:val="0"/>
        <w:numPr>
          <w:ilvl w:val="0"/>
          <w:numId w:val="11"/>
        </w:numPr>
        <w:spacing w:after="0"/>
        <w:contextualSpacing/>
      </w:pPr>
      <w:r w:rsidRPr="008A2601">
        <w:t>Second, some results of the indirect comparisons between GUS versus UST using the imputed data differed from the direct results between GUS versus UST observed in the head-to-head GALAXI trials (e.g. the NMA found GUS 200 mg SC was superior to UST 90 mg Q8W in terms of clinical remission</w:t>
      </w:r>
      <w:r w:rsidR="00527AB9" w:rsidRPr="008A2601">
        <w:t>,</w:t>
      </w:r>
      <w:r w:rsidRPr="008A2601">
        <w:t xml:space="preserve"> but the direct evidence showed no difference).</w:t>
      </w:r>
    </w:p>
    <w:p w14:paraId="0BFF4540" w14:textId="4F6C90BB" w:rsidR="00842CA6" w:rsidRPr="008A2601" w:rsidRDefault="00842CA6" w:rsidP="00096092">
      <w:pPr>
        <w:pStyle w:val="ListParagraph"/>
        <w:widowControl w:val="0"/>
        <w:numPr>
          <w:ilvl w:val="0"/>
          <w:numId w:val="11"/>
        </w:numPr>
        <w:spacing w:after="0"/>
        <w:contextualSpacing/>
      </w:pPr>
      <w:r w:rsidRPr="008A2601">
        <w:t xml:space="preserve">Third, the results of the indirect comparisons between GUS versus ADA based on the imputed data (PBO as common comparator) differed from the results of the indirect comparisons between GUS versus ADA based on observed data in the GALAXI trials and SEAVUE (UST as the common comparator), which generally </w:t>
      </w:r>
      <w:r w:rsidRPr="008A2601">
        <w:lastRenderedPageBreak/>
        <w:t xml:space="preserve">showed no difference between the treatments. The indirect comparison between GUS </w:t>
      </w:r>
      <w:r w:rsidR="00527AB9" w:rsidRPr="008A2601">
        <w:t xml:space="preserve">and </w:t>
      </w:r>
      <w:r w:rsidRPr="008A2601">
        <w:t>ADA</w:t>
      </w:r>
      <w:r w:rsidR="00527AB9" w:rsidRPr="008A2601">
        <w:t>,</w:t>
      </w:r>
      <w:r w:rsidRPr="008A2601">
        <w:t xml:space="preserve"> using UST as the common comparator</w:t>
      </w:r>
      <w:r w:rsidR="005349E5" w:rsidRPr="008A2601">
        <w:t xml:space="preserve">, </w:t>
      </w:r>
      <w:r w:rsidRPr="008A2601">
        <w:t>without the need for any adjustment/imputation of data</w:t>
      </w:r>
      <w:r w:rsidR="005349E5" w:rsidRPr="008A2601">
        <w:t>,</w:t>
      </w:r>
      <w:r w:rsidRPr="008A2601">
        <w:t xml:space="preserve"> was considered more reliable.</w:t>
      </w:r>
    </w:p>
    <w:p w14:paraId="121E43A3" w14:textId="56C54F76" w:rsidR="00842CA6" w:rsidRPr="008A2601" w:rsidRDefault="00842CA6" w:rsidP="00096092">
      <w:pPr>
        <w:pStyle w:val="ListParagraph"/>
        <w:widowControl w:val="0"/>
        <w:numPr>
          <w:ilvl w:val="0"/>
          <w:numId w:val="11"/>
        </w:numPr>
        <w:spacing w:after="0"/>
        <w:contextualSpacing/>
      </w:pPr>
      <w:r w:rsidRPr="008A2601">
        <w:t xml:space="preserve">Finally, the results of the adjusted/imputed analysis implied </w:t>
      </w:r>
      <w:r w:rsidR="005349E5" w:rsidRPr="008A2601">
        <w:t xml:space="preserve">large </w:t>
      </w:r>
      <w:r w:rsidRPr="008A2601">
        <w:t>differences between the comparator b/</w:t>
      </w:r>
      <w:proofErr w:type="spellStart"/>
      <w:r w:rsidRPr="008A2601">
        <w:t>tsDMARDs</w:t>
      </w:r>
      <w:proofErr w:type="spellEnd"/>
      <w:r w:rsidRPr="008A2601">
        <w:t xml:space="preserve"> in terms of continuation rates, but real-world data shows no or negligible differences between continuation </w:t>
      </w:r>
      <w:r w:rsidR="005349E5" w:rsidRPr="008A2601">
        <w:t>/</w:t>
      </w:r>
      <w:r w:rsidRPr="008A2601">
        <w:t>persistence rates in practice</w:t>
      </w:r>
      <w:r w:rsidR="005349E5" w:rsidRPr="008A2601">
        <w:t xml:space="preserve"> (see below)</w:t>
      </w:r>
      <w:r w:rsidRPr="008A2601">
        <w:t>. In addition, the submission acknowledged (p384 of the submission) that the PBAC had previously determined that the comparators are non-inferior to each other based on data at Week 48.</w:t>
      </w:r>
    </w:p>
    <w:p w14:paraId="4997121D" w14:textId="5695F904" w:rsidR="004D13A6" w:rsidRPr="008A2601" w:rsidRDefault="006B1608" w:rsidP="004D13A6">
      <w:pPr>
        <w:pStyle w:val="3-BodyText"/>
      </w:pPr>
      <w:r w:rsidRPr="008A2601">
        <w:fldChar w:fldCharType="begin"/>
      </w:r>
      <w:r w:rsidRPr="008A2601">
        <w:instrText xml:space="preserve"> REF _Ref197677828 \h  \* MERGEFORMAT </w:instrText>
      </w:r>
      <w:r w:rsidRPr="008A2601">
        <w:fldChar w:fldCharType="separate"/>
      </w:r>
      <w:r w:rsidR="000756FD" w:rsidRPr="008A2601">
        <w:t xml:space="preserve">Figure </w:t>
      </w:r>
      <w:r w:rsidR="000756FD">
        <w:rPr>
          <w:noProof/>
        </w:rPr>
        <w:t>2</w:t>
      </w:r>
      <w:r w:rsidRPr="008A2601">
        <w:fldChar w:fldCharType="end"/>
      </w:r>
      <w:r w:rsidRPr="008A2601">
        <w:t xml:space="preserve"> </w:t>
      </w:r>
      <w:r w:rsidR="0039363F" w:rsidRPr="008A2601">
        <w:t xml:space="preserve">illustrates the </w:t>
      </w:r>
      <w:r w:rsidR="005349E5" w:rsidRPr="008A2601">
        <w:t xml:space="preserve">estimated proportion of patients </w:t>
      </w:r>
      <w:r w:rsidR="00B4001D" w:rsidRPr="008A2601">
        <w:t xml:space="preserve">on treatment in the modelled economic evaluation – based on the proportion of patients with </w:t>
      </w:r>
      <w:r w:rsidR="005349E5" w:rsidRPr="008A2601">
        <w:t xml:space="preserve">clinical remission </w:t>
      </w:r>
      <w:r w:rsidR="00B4001D" w:rsidRPr="008A2601">
        <w:t>estimating using</w:t>
      </w:r>
      <w:r w:rsidR="005349E5" w:rsidRPr="008A2601">
        <w:t xml:space="preserve"> the </w:t>
      </w:r>
      <w:r w:rsidR="00B4001D" w:rsidRPr="008A2601">
        <w:t xml:space="preserve">results of the </w:t>
      </w:r>
      <w:r w:rsidR="00CA7ED5" w:rsidRPr="008A2601">
        <w:t>trial-design-adjusted</w:t>
      </w:r>
      <w:r w:rsidR="005349E5" w:rsidRPr="008A2601">
        <w:t xml:space="preserve"> NMA</w:t>
      </w:r>
      <w:r w:rsidR="00B4001D" w:rsidRPr="008A2601">
        <w:t xml:space="preserve"> – was much lower </w:t>
      </w:r>
      <w:r w:rsidR="005349E5" w:rsidRPr="008A2601">
        <w:t>compared to the proportion of patients who remain on treatment in Australian practice</w:t>
      </w:r>
      <w:r w:rsidR="00B4001D" w:rsidRPr="008A2601">
        <w:t>, as</w:t>
      </w:r>
      <w:r w:rsidR="005349E5" w:rsidRPr="008A2601">
        <w:t xml:space="preserve"> reported in </w:t>
      </w:r>
      <w:r w:rsidR="0039363F" w:rsidRPr="008A2601">
        <w:t>Ko 2021</w:t>
      </w:r>
      <w:r w:rsidR="0039363F" w:rsidRPr="008A2601">
        <w:rPr>
          <w:rStyle w:val="FootnoteReference"/>
        </w:rPr>
        <w:footnoteReference w:id="10"/>
      </w:r>
      <w:r w:rsidR="0039363F" w:rsidRPr="008A2601">
        <w:t xml:space="preserve">. </w:t>
      </w:r>
    </w:p>
    <w:p w14:paraId="2260CD21" w14:textId="6541036F" w:rsidR="0039363F" w:rsidRPr="008A2601" w:rsidRDefault="006B1608" w:rsidP="006B1608">
      <w:pPr>
        <w:pStyle w:val="Caption"/>
        <w:rPr>
          <w:b w:val="0"/>
          <w:bCs w:val="0"/>
          <w:szCs w:val="20"/>
        </w:rPr>
      </w:pPr>
      <w:bookmarkStart w:id="38" w:name="_Ref197677828"/>
      <w:r w:rsidRPr="008A2601">
        <w:t xml:space="preserve">Figure </w:t>
      </w:r>
      <w:r w:rsidR="00DC5F25">
        <w:fldChar w:fldCharType="begin"/>
      </w:r>
      <w:r w:rsidR="00DC5F25">
        <w:instrText xml:space="preserve"> SEQ Figure \* ARABIC </w:instrText>
      </w:r>
      <w:r w:rsidR="00DC5F25">
        <w:fldChar w:fldCharType="separate"/>
      </w:r>
      <w:r w:rsidR="000756FD">
        <w:rPr>
          <w:noProof/>
        </w:rPr>
        <w:t>2</w:t>
      </w:r>
      <w:r w:rsidR="00DC5F25">
        <w:rPr>
          <w:noProof/>
        </w:rPr>
        <w:fldChar w:fldCharType="end"/>
      </w:r>
      <w:bookmarkEnd w:id="38"/>
      <w:r w:rsidRPr="008A2601">
        <w:t>:</w:t>
      </w:r>
      <w:r w:rsidR="0039363F" w:rsidRPr="008A2601">
        <w:rPr>
          <w:szCs w:val="20"/>
        </w:rPr>
        <w:t xml:space="preserve"> </w:t>
      </w:r>
      <w:r w:rsidR="00527AB9" w:rsidRPr="008A2601">
        <w:rPr>
          <w:szCs w:val="20"/>
        </w:rPr>
        <w:t>T</w:t>
      </w:r>
      <w:r w:rsidR="0039363F" w:rsidRPr="008A2601">
        <w:rPr>
          <w:szCs w:val="20"/>
        </w:rPr>
        <w:t>reatment continuation (persistence) in the model compared to real-world evidence (Ko 2021).</w:t>
      </w:r>
    </w:p>
    <w:p w14:paraId="76AA2641" w14:textId="77777777" w:rsidR="0039363F" w:rsidRDefault="0039363F" w:rsidP="0039363F">
      <w:r>
        <w:rPr>
          <w:noProof/>
        </w:rPr>
        <w:drawing>
          <wp:inline distT="0" distB="0" distL="0" distR="0" wp14:anchorId="74485815" wp14:editId="5C68D45E">
            <wp:extent cx="5709697" cy="3281636"/>
            <wp:effectExtent l="0" t="0" r="5715" b="0"/>
            <wp:docPr id="12" name="Picture 12" descr="Figure 2: Treatment continuation (persistence) in the model compared to real-world evidence (K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2: Treatment continuation (persistence) in the model compared to real-world evidence (Ko 20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155" cy="3289945"/>
                    </a:xfrm>
                    <a:prstGeom prst="rect">
                      <a:avLst/>
                    </a:prstGeom>
                    <a:noFill/>
                  </pic:spPr>
                </pic:pic>
              </a:graphicData>
            </a:graphic>
          </wp:inline>
        </w:drawing>
      </w:r>
    </w:p>
    <w:p w14:paraId="788A7F73" w14:textId="77777777" w:rsidR="0039363F" w:rsidRPr="008A2601" w:rsidRDefault="0039363F" w:rsidP="00FA1D8F">
      <w:pPr>
        <w:spacing w:after="120"/>
        <w:rPr>
          <w:rFonts w:ascii="Arial Narrow" w:hAnsi="Arial Narrow"/>
          <w:sz w:val="18"/>
          <w:szCs w:val="18"/>
        </w:rPr>
      </w:pPr>
      <w:r w:rsidRPr="008A2601">
        <w:rPr>
          <w:rFonts w:ascii="Arial Narrow" w:hAnsi="Arial Narrow"/>
          <w:sz w:val="18"/>
          <w:szCs w:val="18"/>
        </w:rPr>
        <w:t xml:space="preserve">Source: generated during the evaluation from Ko 2021 </w:t>
      </w:r>
      <w:bookmarkStart w:id="39" w:name="_Hlk197091679"/>
      <w:r w:rsidRPr="008A2601">
        <w:rPr>
          <w:rFonts w:ascii="Arial Narrow" w:hAnsi="Arial Narrow"/>
          <w:sz w:val="18"/>
          <w:szCs w:val="18"/>
        </w:rPr>
        <w:t>and Attachment 3.1 Guselkumab CD Economic Model.xlsx.</w:t>
      </w:r>
      <w:bookmarkEnd w:id="39"/>
    </w:p>
    <w:p w14:paraId="441A0F69" w14:textId="0060EB77" w:rsidR="00FA1D8F" w:rsidRDefault="00FA1D8F" w:rsidP="00D86231">
      <w:pPr>
        <w:pStyle w:val="3-BodyText"/>
      </w:pPr>
      <w:bookmarkStart w:id="40" w:name="_Toc22897642"/>
      <w:bookmarkStart w:id="41" w:name="_Toc198715636"/>
      <w:r w:rsidRPr="00FA1D8F">
        <w:rPr>
          <w:rStyle w:val="3-BodyTextChar"/>
        </w:rPr>
        <w:t xml:space="preserve">The PSCR stated that lack of direct head-to-head trials comparing GUS to any treatments other than ustekinumab, as well as variation in patient populations and clinical trial designs (e.g., treat through vs. re-randomization trials), make cross-trial comparison very challenging. The PSCR acknowledged that there is an inherent </w:t>
      </w:r>
      <w:r w:rsidRPr="00FA1D8F">
        <w:rPr>
          <w:rStyle w:val="3-BodyTextChar"/>
        </w:rPr>
        <w:lastRenderedPageBreak/>
        <w:t xml:space="preserve">amount of uncertainty associated with such imputation modelling techniques due to the adjusted (imputed) comparator data used in some of the maintenance phase comparisons. However, the </w:t>
      </w:r>
      <w:r w:rsidR="00C26C9F">
        <w:rPr>
          <w:rStyle w:val="3-BodyTextChar"/>
        </w:rPr>
        <w:t>PSCR</w:t>
      </w:r>
      <w:r w:rsidR="00C26C9F" w:rsidRPr="00FA1D8F">
        <w:rPr>
          <w:rStyle w:val="3-BodyTextChar"/>
        </w:rPr>
        <w:t xml:space="preserve"> </w:t>
      </w:r>
      <w:r w:rsidRPr="00FA1D8F">
        <w:rPr>
          <w:rStyle w:val="3-BodyTextChar"/>
        </w:rPr>
        <w:t>reiterated that comparisons on unadjusted maintenance data would be highly biased against GUS and unreliable for decision-making due to the notable heterogeneities in trial design</w:t>
      </w:r>
      <w:r w:rsidRPr="00FA1D8F">
        <w:t>.</w:t>
      </w:r>
    </w:p>
    <w:p w14:paraId="1452C351" w14:textId="47F60491" w:rsidR="00B60939" w:rsidRPr="00C9624D" w:rsidRDefault="00B60939" w:rsidP="00D86231">
      <w:pPr>
        <w:pStyle w:val="4-SubsectionHeading"/>
      </w:pPr>
      <w:r w:rsidRPr="00C9624D">
        <w:t>Comparative harms</w:t>
      </w:r>
      <w:bookmarkEnd w:id="40"/>
      <w:bookmarkEnd w:id="41"/>
    </w:p>
    <w:p w14:paraId="28235DFB" w14:textId="1880B0B5" w:rsidR="00842CA6" w:rsidRDefault="00066AE6" w:rsidP="00D86231">
      <w:pPr>
        <w:pStyle w:val="3-BodyText"/>
      </w:pPr>
      <w:r>
        <w:fldChar w:fldCharType="begin"/>
      </w:r>
      <w:r>
        <w:instrText xml:space="preserve"> REF _Ref197675408 \h </w:instrText>
      </w:r>
      <w:r>
        <w:fldChar w:fldCharType="separate"/>
      </w:r>
      <w:r w:rsidR="000756FD">
        <w:t xml:space="preserve">Table </w:t>
      </w:r>
      <w:r w:rsidR="000756FD">
        <w:rPr>
          <w:noProof/>
        </w:rPr>
        <w:t>10</w:t>
      </w:r>
      <w:r>
        <w:fldChar w:fldCharType="end"/>
      </w:r>
      <w:r>
        <w:t xml:space="preserve"> </w:t>
      </w:r>
      <w:r w:rsidR="00CC7246">
        <w:t xml:space="preserve">summarises the AEs reported in the GALAXI trials </w:t>
      </w:r>
      <w:r w:rsidR="00E73904">
        <w:t xml:space="preserve">for </w:t>
      </w:r>
      <w:r w:rsidR="00CC7246">
        <w:t>induction and maintenance treatment</w:t>
      </w:r>
      <w:r w:rsidR="00E73904">
        <w:t>, comparing safety outcomes with GUS and UST</w:t>
      </w:r>
      <w:r w:rsidR="00CC7246">
        <w:t>.</w:t>
      </w:r>
    </w:p>
    <w:p w14:paraId="7F90CF03" w14:textId="39F10B89" w:rsidR="00CC7246" w:rsidRPr="00CC7246" w:rsidRDefault="00066AE6" w:rsidP="00066AE6">
      <w:pPr>
        <w:pStyle w:val="Caption"/>
        <w:rPr>
          <w:b w:val="0"/>
          <w:bCs w:val="0"/>
          <w:szCs w:val="20"/>
        </w:rPr>
      </w:pPr>
      <w:bookmarkStart w:id="42" w:name="_Ref197675408"/>
      <w:r>
        <w:t xml:space="preserve">Table </w:t>
      </w:r>
      <w:r w:rsidR="00DC5F25">
        <w:fldChar w:fldCharType="begin"/>
      </w:r>
      <w:r w:rsidR="00DC5F25">
        <w:instrText xml:space="preserve"> SEQ Table \* ARABIC </w:instrText>
      </w:r>
      <w:r w:rsidR="00DC5F25">
        <w:fldChar w:fldCharType="separate"/>
      </w:r>
      <w:r w:rsidR="000756FD">
        <w:rPr>
          <w:noProof/>
        </w:rPr>
        <w:t>10</w:t>
      </w:r>
      <w:r w:rsidR="00DC5F25">
        <w:rPr>
          <w:noProof/>
        </w:rPr>
        <w:fldChar w:fldCharType="end"/>
      </w:r>
      <w:bookmarkEnd w:id="42"/>
      <w:r>
        <w:t>:</w:t>
      </w:r>
      <w:r w:rsidR="00CC7246" w:rsidRPr="00CC7246">
        <w:rPr>
          <w:szCs w:val="20"/>
        </w:rPr>
        <w:t xml:space="preserve"> </w:t>
      </w:r>
      <w:r w:rsidR="00CC7246">
        <w:rPr>
          <w:szCs w:val="20"/>
        </w:rPr>
        <w:t>Summary of</w:t>
      </w:r>
      <w:r w:rsidR="00CC7246" w:rsidRPr="00CC7246">
        <w:rPr>
          <w:szCs w:val="20"/>
        </w:rPr>
        <w:t xml:space="preserve"> AEs in</w:t>
      </w:r>
      <w:r w:rsidR="00CC7246">
        <w:rPr>
          <w:szCs w:val="20"/>
        </w:rPr>
        <w:t xml:space="preserve"> the pooled</w:t>
      </w:r>
      <w:r w:rsidR="00CC7246" w:rsidRPr="00CC7246">
        <w:rPr>
          <w:szCs w:val="20"/>
        </w:rPr>
        <w:t xml:space="preserve"> GALAXI</w:t>
      </w:r>
      <w:r w:rsidR="00CC7246">
        <w:rPr>
          <w:szCs w:val="20"/>
        </w:rPr>
        <w:t xml:space="preserve"> 1, GALAXI 2 and GALAXI 3</w:t>
      </w:r>
      <w:r w:rsidR="00CC7246" w:rsidRPr="00CC7246">
        <w:rPr>
          <w:szCs w:val="20"/>
        </w:rPr>
        <w:t xml:space="preserve"> trials </w:t>
      </w:r>
      <w:r w:rsidR="00E73904">
        <w:rPr>
          <w:szCs w:val="20"/>
        </w:rPr>
        <w:t xml:space="preserve">for </w:t>
      </w:r>
      <w:r w:rsidR="00CC7246" w:rsidRPr="00CC7246">
        <w:rPr>
          <w:szCs w:val="20"/>
        </w:rPr>
        <w:t>induction and maintenance treatment</w:t>
      </w:r>
      <w:r w:rsidR="00E73904">
        <w:rPr>
          <w:szCs w:val="20"/>
        </w:rPr>
        <w:t xml:space="preserve"> with GUS and UST</w:t>
      </w:r>
    </w:p>
    <w:tbl>
      <w:tblPr>
        <w:tblStyle w:val="TableGrid"/>
        <w:tblW w:w="0" w:type="auto"/>
        <w:tblCellMar>
          <w:left w:w="28" w:type="dxa"/>
          <w:right w:w="28" w:type="dxa"/>
        </w:tblCellMar>
        <w:tblLook w:val="04A0" w:firstRow="1" w:lastRow="0" w:firstColumn="1" w:lastColumn="0" w:noHBand="0" w:noVBand="1"/>
        <w:tblCaption w:val="Table 10: Summary of AEs in the pooled GALAXI 1, GALAXI 2 and GALAXI 3 trials for induction and maintenance treatment with GUS and UST"/>
      </w:tblPr>
      <w:tblGrid>
        <w:gridCol w:w="1390"/>
        <w:gridCol w:w="1271"/>
        <w:gridCol w:w="1271"/>
        <w:gridCol w:w="1271"/>
        <w:gridCol w:w="1271"/>
        <w:gridCol w:w="1271"/>
        <w:gridCol w:w="1272"/>
      </w:tblGrid>
      <w:tr w:rsidR="00CC7246" w:rsidRPr="004C5D28" w14:paraId="3BDCBA92" w14:textId="77777777" w:rsidTr="00286E68">
        <w:tc>
          <w:tcPr>
            <w:tcW w:w="1390" w:type="dxa"/>
            <w:vMerge w:val="restart"/>
            <w:vAlign w:val="center"/>
          </w:tcPr>
          <w:p w14:paraId="71629009" w14:textId="77777777" w:rsidR="00CC7246" w:rsidRPr="00011D59" w:rsidRDefault="00CC7246" w:rsidP="00286E68">
            <w:pPr>
              <w:jc w:val="left"/>
              <w:rPr>
                <w:rFonts w:ascii="Arial Narrow" w:hAnsi="Arial Narrow"/>
                <w:b/>
                <w:bCs/>
                <w:sz w:val="20"/>
                <w:szCs w:val="20"/>
              </w:rPr>
            </w:pPr>
            <w:r w:rsidRPr="00011D59">
              <w:rPr>
                <w:rFonts w:ascii="Arial Narrow" w:hAnsi="Arial Narrow"/>
                <w:b/>
                <w:bCs/>
                <w:sz w:val="20"/>
                <w:szCs w:val="20"/>
              </w:rPr>
              <w:t>AEs, n/N (%)</w:t>
            </w:r>
          </w:p>
        </w:tc>
        <w:tc>
          <w:tcPr>
            <w:tcW w:w="3813" w:type="dxa"/>
            <w:gridSpan w:val="3"/>
            <w:vAlign w:val="center"/>
          </w:tcPr>
          <w:p w14:paraId="6D3CA37A"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Induction (Week 12)</w:t>
            </w:r>
          </w:p>
        </w:tc>
        <w:tc>
          <w:tcPr>
            <w:tcW w:w="3814" w:type="dxa"/>
            <w:gridSpan w:val="3"/>
          </w:tcPr>
          <w:p w14:paraId="4A58630D"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Maintenance (Week 48)</w:t>
            </w:r>
          </w:p>
        </w:tc>
      </w:tr>
      <w:tr w:rsidR="00CC7246" w:rsidRPr="004C5D28" w14:paraId="36F73DE6" w14:textId="77777777" w:rsidTr="00286E68">
        <w:tc>
          <w:tcPr>
            <w:tcW w:w="1390" w:type="dxa"/>
            <w:vMerge/>
          </w:tcPr>
          <w:p w14:paraId="1DEE4C81" w14:textId="77777777" w:rsidR="00CC7246" w:rsidRPr="00011D59" w:rsidRDefault="00CC7246" w:rsidP="00286E68">
            <w:pPr>
              <w:rPr>
                <w:rFonts w:ascii="Arial Narrow" w:hAnsi="Arial Narrow"/>
                <w:b/>
                <w:bCs/>
                <w:sz w:val="20"/>
                <w:szCs w:val="20"/>
              </w:rPr>
            </w:pPr>
          </w:p>
        </w:tc>
        <w:tc>
          <w:tcPr>
            <w:tcW w:w="1271" w:type="dxa"/>
            <w:vAlign w:val="center"/>
          </w:tcPr>
          <w:p w14:paraId="59F9C60E"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GUS IV</w:t>
            </w:r>
          </w:p>
        </w:tc>
        <w:tc>
          <w:tcPr>
            <w:tcW w:w="1271" w:type="dxa"/>
            <w:vAlign w:val="center"/>
          </w:tcPr>
          <w:p w14:paraId="5E2FF514"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UST</w:t>
            </w:r>
          </w:p>
        </w:tc>
        <w:tc>
          <w:tcPr>
            <w:tcW w:w="1271" w:type="dxa"/>
            <w:vAlign w:val="center"/>
          </w:tcPr>
          <w:p w14:paraId="70D9F2FA"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PBO</w:t>
            </w:r>
          </w:p>
        </w:tc>
        <w:tc>
          <w:tcPr>
            <w:tcW w:w="1271" w:type="dxa"/>
            <w:vAlign w:val="center"/>
          </w:tcPr>
          <w:p w14:paraId="744B648B"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GUS 100</w:t>
            </w:r>
          </w:p>
        </w:tc>
        <w:tc>
          <w:tcPr>
            <w:tcW w:w="1271" w:type="dxa"/>
            <w:vAlign w:val="center"/>
          </w:tcPr>
          <w:p w14:paraId="0B5D0EED"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GUS 200</w:t>
            </w:r>
            <w:r w:rsidRPr="00C1267C">
              <w:rPr>
                <w:rFonts w:ascii="Arial Narrow" w:hAnsi="Arial Narrow"/>
                <w:b/>
                <w:bCs/>
                <w:sz w:val="20"/>
                <w:szCs w:val="20"/>
                <w:vertAlign w:val="superscript"/>
              </w:rPr>
              <w:t>a</w:t>
            </w:r>
          </w:p>
        </w:tc>
        <w:tc>
          <w:tcPr>
            <w:tcW w:w="1272" w:type="dxa"/>
            <w:vAlign w:val="center"/>
          </w:tcPr>
          <w:p w14:paraId="0C125944"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UST</w:t>
            </w:r>
          </w:p>
        </w:tc>
      </w:tr>
      <w:tr w:rsidR="00CC7246" w:rsidRPr="004C5D28" w14:paraId="099F179F" w14:textId="77777777" w:rsidTr="00286E68">
        <w:tc>
          <w:tcPr>
            <w:tcW w:w="1390" w:type="dxa"/>
          </w:tcPr>
          <w:p w14:paraId="460E833C" w14:textId="77777777" w:rsidR="00CC7246" w:rsidRPr="004C5D28" w:rsidRDefault="00CC7246" w:rsidP="00286E68">
            <w:pPr>
              <w:rPr>
                <w:rFonts w:ascii="Arial Narrow" w:hAnsi="Arial Narrow"/>
                <w:sz w:val="20"/>
                <w:szCs w:val="20"/>
              </w:rPr>
            </w:pPr>
            <w:r>
              <w:rPr>
                <w:rFonts w:ascii="Arial Narrow" w:hAnsi="Arial Narrow"/>
                <w:sz w:val="20"/>
                <w:szCs w:val="20"/>
              </w:rPr>
              <w:t>Any AE</w:t>
            </w:r>
          </w:p>
        </w:tc>
        <w:tc>
          <w:tcPr>
            <w:tcW w:w="1271" w:type="dxa"/>
            <w:vAlign w:val="center"/>
          </w:tcPr>
          <w:p w14:paraId="35CD771B"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306/655 (46.7)</w:t>
            </w:r>
          </w:p>
        </w:tc>
        <w:tc>
          <w:tcPr>
            <w:tcW w:w="1271" w:type="dxa"/>
            <w:vAlign w:val="center"/>
          </w:tcPr>
          <w:p w14:paraId="265F0646"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171/362 (47.2)</w:t>
            </w:r>
          </w:p>
        </w:tc>
        <w:tc>
          <w:tcPr>
            <w:tcW w:w="1271" w:type="dxa"/>
            <w:vAlign w:val="center"/>
          </w:tcPr>
          <w:p w14:paraId="26807F80"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113/218 (51.8)</w:t>
            </w:r>
          </w:p>
        </w:tc>
        <w:tc>
          <w:tcPr>
            <w:tcW w:w="1271" w:type="dxa"/>
            <w:vAlign w:val="center"/>
          </w:tcPr>
          <w:p w14:paraId="2AA823B3"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271/359 (75.5)</w:t>
            </w:r>
          </w:p>
        </w:tc>
        <w:tc>
          <w:tcPr>
            <w:tcW w:w="1271" w:type="dxa"/>
            <w:vAlign w:val="center"/>
          </w:tcPr>
          <w:p w14:paraId="0F6E4779"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340/442 (76.9)</w:t>
            </w:r>
          </w:p>
        </w:tc>
        <w:tc>
          <w:tcPr>
            <w:tcW w:w="1272" w:type="dxa"/>
            <w:vAlign w:val="center"/>
          </w:tcPr>
          <w:p w14:paraId="14B89E56"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289/362 (79.8)</w:t>
            </w:r>
          </w:p>
        </w:tc>
      </w:tr>
      <w:tr w:rsidR="00CC7246" w:rsidRPr="004C5D28" w14:paraId="5CC79F74" w14:textId="77777777" w:rsidTr="00286E68">
        <w:tc>
          <w:tcPr>
            <w:tcW w:w="1390" w:type="dxa"/>
          </w:tcPr>
          <w:p w14:paraId="3759E217" w14:textId="77777777" w:rsidR="00CC7246" w:rsidRPr="004C5D28" w:rsidRDefault="00CC7246" w:rsidP="00286E68">
            <w:pPr>
              <w:rPr>
                <w:rFonts w:ascii="Arial Narrow" w:hAnsi="Arial Narrow"/>
                <w:sz w:val="20"/>
                <w:szCs w:val="20"/>
              </w:rPr>
            </w:pPr>
            <w:r w:rsidRPr="004C5D28">
              <w:rPr>
                <w:rFonts w:ascii="Arial Narrow" w:hAnsi="Arial Narrow"/>
                <w:sz w:val="20"/>
                <w:szCs w:val="20"/>
              </w:rPr>
              <w:t>Grade ≥3 AEs</w:t>
            </w:r>
          </w:p>
        </w:tc>
        <w:tc>
          <w:tcPr>
            <w:tcW w:w="1271" w:type="dxa"/>
            <w:vAlign w:val="center"/>
          </w:tcPr>
          <w:p w14:paraId="0E435018"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21/655 (3.2)</w:t>
            </w:r>
          </w:p>
        </w:tc>
        <w:tc>
          <w:tcPr>
            <w:tcW w:w="1271" w:type="dxa"/>
            <w:vAlign w:val="center"/>
          </w:tcPr>
          <w:p w14:paraId="476463F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13/362 (3.6)</w:t>
            </w:r>
          </w:p>
        </w:tc>
        <w:tc>
          <w:tcPr>
            <w:tcW w:w="1271" w:type="dxa"/>
            <w:vAlign w:val="center"/>
          </w:tcPr>
          <w:p w14:paraId="715CAE62"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9/218 (4.1)</w:t>
            </w:r>
          </w:p>
        </w:tc>
        <w:tc>
          <w:tcPr>
            <w:tcW w:w="1271" w:type="dxa"/>
            <w:vAlign w:val="center"/>
          </w:tcPr>
          <w:p w14:paraId="0B9ADEC4"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23/359 (6.4)</w:t>
            </w:r>
          </w:p>
        </w:tc>
        <w:tc>
          <w:tcPr>
            <w:tcW w:w="1271" w:type="dxa"/>
            <w:vAlign w:val="center"/>
          </w:tcPr>
          <w:p w14:paraId="4F60ADB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33/442 (7.5)</w:t>
            </w:r>
          </w:p>
        </w:tc>
        <w:tc>
          <w:tcPr>
            <w:tcW w:w="1272" w:type="dxa"/>
            <w:vAlign w:val="center"/>
          </w:tcPr>
          <w:p w14:paraId="4AF60FC4"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32/362 (8.8)</w:t>
            </w:r>
          </w:p>
        </w:tc>
      </w:tr>
      <w:tr w:rsidR="00CC7246" w:rsidRPr="004C5D28" w14:paraId="1F501E1B" w14:textId="77777777" w:rsidTr="00286E68">
        <w:tc>
          <w:tcPr>
            <w:tcW w:w="1390" w:type="dxa"/>
          </w:tcPr>
          <w:p w14:paraId="713D0964" w14:textId="77777777" w:rsidR="00CC7246" w:rsidRPr="004C5D28" w:rsidRDefault="00CC7246" w:rsidP="00286E68">
            <w:pPr>
              <w:rPr>
                <w:rFonts w:ascii="Arial Narrow" w:hAnsi="Arial Narrow"/>
                <w:sz w:val="20"/>
                <w:szCs w:val="20"/>
              </w:rPr>
            </w:pPr>
            <w:r w:rsidRPr="004C5D28">
              <w:rPr>
                <w:rFonts w:ascii="Arial Narrow" w:hAnsi="Arial Narrow"/>
                <w:sz w:val="20"/>
                <w:szCs w:val="20"/>
              </w:rPr>
              <w:t>Serious AEs</w:t>
            </w:r>
          </w:p>
        </w:tc>
        <w:tc>
          <w:tcPr>
            <w:tcW w:w="1271" w:type="dxa"/>
            <w:vAlign w:val="center"/>
          </w:tcPr>
          <w:p w14:paraId="4D9E42E1"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19/655 (2.9)</w:t>
            </w:r>
          </w:p>
        </w:tc>
        <w:tc>
          <w:tcPr>
            <w:tcW w:w="1271" w:type="dxa"/>
            <w:vAlign w:val="center"/>
          </w:tcPr>
          <w:p w14:paraId="4B788DD3"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20/362 (5.5)</w:t>
            </w:r>
          </w:p>
        </w:tc>
        <w:tc>
          <w:tcPr>
            <w:tcW w:w="1271" w:type="dxa"/>
            <w:vAlign w:val="center"/>
          </w:tcPr>
          <w:p w14:paraId="6AE5BA8E"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13/218 (6.0)</w:t>
            </w:r>
          </w:p>
        </w:tc>
        <w:tc>
          <w:tcPr>
            <w:tcW w:w="1271" w:type="dxa"/>
            <w:vAlign w:val="center"/>
          </w:tcPr>
          <w:p w14:paraId="0A32D0C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36/359 (10.0)</w:t>
            </w:r>
          </w:p>
        </w:tc>
        <w:tc>
          <w:tcPr>
            <w:tcW w:w="1271" w:type="dxa"/>
            <w:vAlign w:val="center"/>
          </w:tcPr>
          <w:p w14:paraId="5A80FBA6"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31/442 (7.0)</w:t>
            </w:r>
          </w:p>
        </w:tc>
        <w:tc>
          <w:tcPr>
            <w:tcW w:w="1272" w:type="dxa"/>
            <w:vAlign w:val="center"/>
          </w:tcPr>
          <w:p w14:paraId="2142EB78"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43/362 (11.9)</w:t>
            </w:r>
          </w:p>
        </w:tc>
      </w:tr>
      <w:tr w:rsidR="00CC7246" w:rsidRPr="004C5D28" w14:paraId="1B2CE67C" w14:textId="77777777" w:rsidTr="00286E68">
        <w:tc>
          <w:tcPr>
            <w:tcW w:w="1390" w:type="dxa"/>
          </w:tcPr>
          <w:p w14:paraId="5F9FBE89" w14:textId="77777777" w:rsidR="00CC7246" w:rsidRPr="004C5D28" w:rsidRDefault="00CC7246" w:rsidP="00286E68">
            <w:pPr>
              <w:rPr>
                <w:rFonts w:ascii="Arial Narrow" w:hAnsi="Arial Narrow"/>
                <w:sz w:val="20"/>
                <w:szCs w:val="20"/>
              </w:rPr>
            </w:pPr>
            <w:r w:rsidRPr="004C5D28">
              <w:rPr>
                <w:rFonts w:ascii="Arial Narrow" w:hAnsi="Arial Narrow"/>
                <w:sz w:val="20"/>
                <w:szCs w:val="20"/>
              </w:rPr>
              <w:t>Discontinuation due to AEs</w:t>
            </w:r>
          </w:p>
        </w:tc>
        <w:tc>
          <w:tcPr>
            <w:tcW w:w="1271" w:type="dxa"/>
            <w:vAlign w:val="center"/>
          </w:tcPr>
          <w:p w14:paraId="0E5D679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12/655 (1.8)</w:t>
            </w:r>
          </w:p>
        </w:tc>
        <w:tc>
          <w:tcPr>
            <w:tcW w:w="1271" w:type="dxa"/>
            <w:vAlign w:val="center"/>
          </w:tcPr>
          <w:p w14:paraId="305C9D58"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8/362 (2.2)</w:t>
            </w:r>
          </w:p>
        </w:tc>
        <w:tc>
          <w:tcPr>
            <w:tcW w:w="1271" w:type="dxa"/>
            <w:vAlign w:val="center"/>
          </w:tcPr>
          <w:p w14:paraId="6C0D125B"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9/218 (4.1)</w:t>
            </w:r>
          </w:p>
        </w:tc>
        <w:tc>
          <w:tcPr>
            <w:tcW w:w="1271" w:type="dxa"/>
            <w:vAlign w:val="center"/>
          </w:tcPr>
          <w:p w14:paraId="4C8621A6"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25/359 (7.0)</w:t>
            </w:r>
          </w:p>
        </w:tc>
        <w:tc>
          <w:tcPr>
            <w:tcW w:w="1271" w:type="dxa"/>
            <w:vAlign w:val="center"/>
          </w:tcPr>
          <w:p w14:paraId="50C5A90E"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27/442 (6.1)</w:t>
            </w:r>
          </w:p>
        </w:tc>
        <w:tc>
          <w:tcPr>
            <w:tcW w:w="1272" w:type="dxa"/>
            <w:vAlign w:val="center"/>
          </w:tcPr>
          <w:p w14:paraId="49F3706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28/362 (7.7)</w:t>
            </w:r>
          </w:p>
        </w:tc>
      </w:tr>
      <w:tr w:rsidR="00CC7246" w:rsidRPr="004C5D28" w14:paraId="11D62ADC" w14:textId="77777777" w:rsidTr="00286E68">
        <w:tc>
          <w:tcPr>
            <w:tcW w:w="1390" w:type="dxa"/>
          </w:tcPr>
          <w:p w14:paraId="2492D134" w14:textId="77777777" w:rsidR="00CC7246" w:rsidRPr="004C5D28" w:rsidRDefault="00CC7246" w:rsidP="00286E68">
            <w:pPr>
              <w:rPr>
                <w:rFonts w:ascii="Arial Narrow" w:hAnsi="Arial Narrow"/>
                <w:sz w:val="20"/>
                <w:szCs w:val="20"/>
              </w:rPr>
            </w:pPr>
            <w:r>
              <w:rPr>
                <w:rFonts w:ascii="Arial Narrow" w:hAnsi="Arial Narrow"/>
                <w:sz w:val="20"/>
                <w:szCs w:val="20"/>
              </w:rPr>
              <w:t>Serious infection</w:t>
            </w:r>
          </w:p>
        </w:tc>
        <w:tc>
          <w:tcPr>
            <w:tcW w:w="1271" w:type="dxa"/>
            <w:vAlign w:val="center"/>
          </w:tcPr>
          <w:p w14:paraId="2F708D89" w14:textId="77777777" w:rsidR="00CC7246" w:rsidRPr="00011D59" w:rsidRDefault="00CC7246" w:rsidP="00286E68">
            <w:pPr>
              <w:jc w:val="center"/>
              <w:rPr>
                <w:rFonts w:ascii="Arial Narrow" w:hAnsi="Arial Narrow"/>
                <w:sz w:val="20"/>
                <w:szCs w:val="20"/>
              </w:rPr>
            </w:pPr>
            <w:r>
              <w:rPr>
                <w:rFonts w:ascii="Arial Narrow" w:hAnsi="Arial Narrow"/>
                <w:sz w:val="20"/>
                <w:szCs w:val="20"/>
              </w:rPr>
              <w:t>1/655 (0.2)</w:t>
            </w:r>
          </w:p>
        </w:tc>
        <w:tc>
          <w:tcPr>
            <w:tcW w:w="1271" w:type="dxa"/>
            <w:vAlign w:val="center"/>
          </w:tcPr>
          <w:p w14:paraId="0BF28BDA" w14:textId="77777777" w:rsidR="00CC7246" w:rsidRPr="00C1267C" w:rsidRDefault="00CC7246" w:rsidP="00286E68">
            <w:pPr>
              <w:jc w:val="center"/>
              <w:rPr>
                <w:rFonts w:ascii="Arial Narrow" w:hAnsi="Arial Narrow"/>
                <w:i/>
                <w:iCs/>
                <w:sz w:val="20"/>
                <w:szCs w:val="20"/>
              </w:rPr>
            </w:pPr>
            <w:r w:rsidRPr="00C1267C">
              <w:rPr>
                <w:rFonts w:ascii="Arial Narrow" w:hAnsi="Arial Narrow"/>
                <w:i/>
                <w:iCs/>
                <w:sz w:val="20"/>
                <w:szCs w:val="20"/>
              </w:rPr>
              <w:t>6/362 (1.7)</w:t>
            </w:r>
          </w:p>
        </w:tc>
        <w:tc>
          <w:tcPr>
            <w:tcW w:w="1271" w:type="dxa"/>
            <w:vAlign w:val="center"/>
          </w:tcPr>
          <w:p w14:paraId="72EBDDD1"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5DA9A0E5" w14:textId="77777777" w:rsidR="00CC7246" w:rsidRPr="00C1267C" w:rsidRDefault="00CC7246" w:rsidP="00286E68">
            <w:pPr>
              <w:jc w:val="center"/>
              <w:rPr>
                <w:rFonts w:ascii="Arial Narrow" w:hAnsi="Arial Narrow"/>
                <w:i/>
                <w:iCs/>
                <w:sz w:val="20"/>
                <w:szCs w:val="20"/>
              </w:rPr>
            </w:pPr>
            <w:r w:rsidRPr="00C1267C">
              <w:rPr>
                <w:rFonts w:ascii="Arial Narrow" w:hAnsi="Arial Narrow"/>
                <w:i/>
                <w:iCs/>
                <w:sz w:val="20"/>
                <w:szCs w:val="20"/>
              </w:rPr>
              <w:t>3/359 (0.8)</w:t>
            </w:r>
          </w:p>
        </w:tc>
        <w:tc>
          <w:tcPr>
            <w:tcW w:w="1271" w:type="dxa"/>
            <w:vAlign w:val="center"/>
          </w:tcPr>
          <w:p w14:paraId="4F8E68B4" w14:textId="77777777" w:rsidR="00CC7246" w:rsidRPr="00C1267C" w:rsidRDefault="00CC7246" w:rsidP="00286E68">
            <w:pPr>
              <w:jc w:val="center"/>
              <w:rPr>
                <w:rFonts w:ascii="Arial Narrow" w:hAnsi="Arial Narrow"/>
                <w:i/>
                <w:iCs/>
                <w:sz w:val="20"/>
                <w:szCs w:val="20"/>
              </w:rPr>
            </w:pPr>
            <w:r w:rsidRPr="00C1267C">
              <w:rPr>
                <w:rFonts w:ascii="Arial Narrow" w:hAnsi="Arial Narrow"/>
                <w:i/>
                <w:iCs/>
                <w:sz w:val="20"/>
                <w:szCs w:val="20"/>
              </w:rPr>
              <w:t>5/442 (1.1)</w:t>
            </w:r>
          </w:p>
        </w:tc>
        <w:tc>
          <w:tcPr>
            <w:tcW w:w="1272" w:type="dxa"/>
            <w:vAlign w:val="center"/>
          </w:tcPr>
          <w:p w14:paraId="2553905E" w14:textId="77777777" w:rsidR="00CC7246" w:rsidRPr="00C1267C" w:rsidRDefault="00CC7246" w:rsidP="00286E68">
            <w:pPr>
              <w:jc w:val="center"/>
              <w:rPr>
                <w:rFonts w:ascii="Arial Narrow" w:hAnsi="Arial Narrow"/>
                <w:i/>
                <w:iCs/>
                <w:sz w:val="20"/>
                <w:szCs w:val="20"/>
              </w:rPr>
            </w:pPr>
            <w:r w:rsidRPr="00C1267C">
              <w:rPr>
                <w:rFonts w:ascii="Arial Narrow" w:hAnsi="Arial Narrow"/>
                <w:i/>
                <w:iCs/>
                <w:sz w:val="20"/>
                <w:szCs w:val="20"/>
              </w:rPr>
              <w:t>13/362 (3.6)</w:t>
            </w:r>
          </w:p>
        </w:tc>
      </w:tr>
      <w:tr w:rsidR="00CC7246" w:rsidRPr="004C5D28" w14:paraId="7766578C" w14:textId="77777777" w:rsidTr="00286E68">
        <w:tc>
          <w:tcPr>
            <w:tcW w:w="1390" w:type="dxa"/>
          </w:tcPr>
          <w:p w14:paraId="6037030D" w14:textId="77777777" w:rsidR="00CC7246" w:rsidRDefault="00CC7246" w:rsidP="00286E68">
            <w:pPr>
              <w:rPr>
                <w:rFonts w:ascii="Arial Narrow" w:hAnsi="Arial Narrow"/>
                <w:sz w:val="20"/>
                <w:szCs w:val="20"/>
              </w:rPr>
            </w:pPr>
            <w:r>
              <w:rPr>
                <w:rFonts w:ascii="Arial Narrow" w:hAnsi="Arial Narrow"/>
                <w:sz w:val="20"/>
                <w:szCs w:val="20"/>
              </w:rPr>
              <w:t>Death</w:t>
            </w:r>
          </w:p>
        </w:tc>
        <w:tc>
          <w:tcPr>
            <w:tcW w:w="1271" w:type="dxa"/>
            <w:vAlign w:val="center"/>
          </w:tcPr>
          <w:p w14:paraId="397CEE5A"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08D0CA5D"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4CF01931"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32034A9D"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43522C65"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2" w:type="dxa"/>
            <w:vAlign w:val="center"/>
          </w:tcPr>
          <w:p w14:paraId="427E03D8"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r>
    </w:tbl>
    <w:p w14:paraId="2C398D26" w14:textId="77777777" w:rsidR="00CC7246" w:rsidRDefault="00CC7246" w:rsidP="00CC7246">
      <w:pPr>
        <w:rPr>
          <w:rFonts w:ascii="Arial Narrow" w:hAnsi="Arial Narrow"/>
          <w:sz w:val="18"/>
          <w:szCs w:val="18"/>
        </w:rPr>
      </w:pPr>
      <w:r w:rsidRPr="00011D59">
        <w:rPr>
          <w:rFonts w:ascii="Arial Narrow" w:hAnsi="Arial Narrow"/>
          <w:sz w:val="18"/>
          <w:szCs w:val="18"/>
        </w:rPr>
        <w:t xml:space="preserve">Source: Table 2.95, p206, Table 2.97, p209, Tables 2.136 and 2.137pp270-272 of the submission, </w:t>
      </w:r>
      <w:r>
        <w:rPr>
          <w:rFonts w:ascii="Arial Narrow" w:hAnsi="Arial Narrow"/>
          <w:sz w:val="18"/>
          <w:szCs w:val="18"/>
        </w:rPr>
        <w:t>Attachment 2.33 GALAXI GUS vs UST – meta-analyses.xlsx, Attachment 2.34 Induction ITC inputs and results.xlsx.</w:t>
      </w:r>
    </w:p>
    <w:p w14:paraId="36E8A4E0" w14:textId="77777777" w:rsidR="00CC7246" w:rsidRDefault="00CC7246" w:rsidP="00CC7246">
      <w:pPr>
        <w:rPr>
          <w:rFonts w:ascii="Arial Narrow" w:hAnsi="Arial Narrow"/>
          <w:sz w:val="18"/>
          <w:szCs w:val="18"/>
        </w:rPr>
      </w:pPr>
      <w:r>
        <w:rPr>
          <w:rFonts w:ascii="Arial Narrow" w:hAnsi="Arial Narrow"/>
          <w:sz w:val="18"/>
          <w:szCs w:val="18"/>
        </w:rPr>
        <w:t xml:space="preserve">AE=adverse event; GUS=guselkumab; IV=intravenous; PBO=placebo; UST=ustekinumab; </w:t>
      </w:r>
      <w:proofErr w:type="spellStart"/>
      <w:r>
        <w:rPr>
          <w:rFonts w:ascii="Arial Narrow" w:hAnsi="Arial Narrow"/>
          <w:sz w:val="18"/>
          <w:szCs w:val="18"/>
        </w:rPr>
        <w:t>QxW</w:t>
      </w:r>
      <w:proofErr w:type="spellEnd"/>
      <w:r>
        <w:rPr>
          <w:rFonts w:ascii="Arial Narrow" w:hAnsi="Arial Narrow"/>
          <w:sz w:val="18"/>
          <w:szCs w:val="18"/>
        </w:rPr>
        <w:t>=every x week;</w:t>
      </w:r>
    </w:p>
    <w:p w14:paraId="1609F673" w14:textId="77777777" w:rsidR="00CC7246" w:rsidRPr="00011D59" w:rsidRDefault="00CC7246" w:rsidP="00CC7246">
      <w:pPr>
        <w:ind w:left="170" w:hanging="170"/>
        <w:rPr>
          <w:rFonts w:ascii="Arial Narrow" w:hAnsi="Arial Narrow"/>
          <w:sz w:val="18"/>
          <w:szCs w:val="18"/>
        </w:rPr>
      </w:pPr>
      <w:proofErr w:type="spellStart"/>
      <w:r>
        <w:rPr>
          <w:rFonts w:ascii="Arial Narrow" w:hAnsi="Arial Narrow"/>
          <w:sz w:val="18"/>
          <w:szCs w:val="18"/>
        </w:rPr>
        <w:t>a</w:t>
      </w:r>
      <w:proofErr w:type="spellEnd"/>
      <w:r>
        <w:rPr>
          <w:rFonts w:ascii="Arial Narrow" w:hAnsi="Arial Narrow"/>
          <w:sz w:val="18"/>
          <w:szCs w:val="18"/>
        </w:rPr>
        <w:tab/>
        <w:t>The submission pooled patients from GALAXI 1, where patients on GUS 200 mg Q4W maintenance received either GUS 600 mg IV or GUS 1200 mg IV as induction, which was inconsistent with the draft TGA PI and induction doses in GALAXI 2 and GALAXI 3 (GUS 200 mg IV).</w:t>
      </w:r>
    </w:p>
    <w:p w14:paraId="7791D05D" w14:textId="7BB35BB8" w:rsidR="00842CA6" w:rsidRPr="008A2601" w:rsidRDefault="00CC7246" w:rsidP="00D86231">
      <w:pPr>
        <w:pStyle w:val="3-BodyText"/>
      </w:pPr>
      <w:r w:rsidRPr="008A2601">
        <w:t xml:space="preserve">Overall, the incidence of AEs was generally similar between GUS, UST and PBO for induction and maintenance therapy across GALAXI 1, GALAXI 2 and GALAXI 3, with few patients experiencing serious or severe AEs. More patients treated with PBO experienced serious AEs or discontinuation due to AEs (mostly attributed to worsening CD) during induction and maintenance. The </w:t>
      </w:r>
      <w:proofErr w:type="gramStart"/>
      <w:r w:rsidRPr="008A2601">
        <w:t>most commonly reported</w:t>
      </w:r>
      <w:proofErr w:type="gramEnd"/>
      <w:r w:rsidRPr="008A2601">
        <w:t xml:space="preserve"> AEs </w:t>
      </w:r>
      <w:r w:rsidR="00434985" w:rsidRPr="008A2601">
        <w:t>were</w:t>
      </w:r>
      <w:r>
        <w:rPr>
          <w:i/>
          <w:iCs/>
        </w:rPr>
        <w:t xml:space="preserve"> </w:t>
      </w:r>
      <w:r w:rsidRPr="008A2601">
        <w:t xml:space="preserve">infections and gastrointestinal disorders. Safety data </w:t>
      </w:r>
      <w:r w:rsidR="00E73904" w:rsidRPr="008A2601">
        <w:t>reported in the GALAXI trials</w:t>
      </w:r>
      <w:r w:rsidRPr="008A2601">
        <w:t xml:space="preserve"> were consistent with the safety profile of GUS in its approved indications. Based on the direct evidence, the submission claimed that GUS was non-inferior to UST in safety.</w:t>
      </w:r>
    </w:p>
    <w:p w14:paraId="2B20230E" w14:textId="2DC2BEDF" w:rsidR="00842CA6" w:rsidRPr="00842CA6" w:rsidRDefault="00E73904" w:rsidP="00D86231">
      <w:pPr>
        <w:pStyle w:val="3-BodyText"/>
      </w:pPr>
      <w:r>
        <w:t>For comparison of safety outcomes versus other b/</w:t>
      </w:r>
      <w:proofErr w:type="spellStart"/>
      <w:r>
        <w:t>tsDMARDs</w:t>
      </w:r>
      <w:proofErr w:type="spellEnd"/>
      <w:r>
        <w:t xml:space="preserve"> (ADA, IFX, UPA and VDZ), t</w:t>
      </w:r>
      <w:r w:rsidR="00CC7246">
        <w:t xml:space="preserve">he submission presented an ITC (using Bucher method) </w:t>
      </w:r>
      <w:r>
        <w:t>at Week 4-16 based on safety data reported in the induction phase trials and an unanchored (naïve) ITC at Weeks 48-60 based on safety data reported in the maintenance phase trials. The submission stated that an unanchored (</w:t>
      </w:r>
      <w:r w:rsidR="00CC7246" w:rsidRPr="00CC7246">
        <w:t>naïve</w:t>
      </w:r>
      <w:r>
        <w:t>)</w:t>
      </w:r>
      <w:r w:rsidR="00CC7246" w:rsidRPr="00CC7246">
        <w:t xml:space="preserve"> comparison was used for safety outcomes in maintenance treatment due to the high proportion of induction non-responders in PBO that crossover to UST maintenance treatment, and therefore</w:t>
      </w:r>
      <w:r w:rsidR="00434985">
        <w:t>,</w:t>
      </w:r>
      <w:r w:rsidR="00CC7246" w:rsidRPr="00CC7246">
        <w:t xml:space="preserve"> the duration of PBO exposure was less than the trial duration follow-up of 48 weeks.</w:t>
      </w:r>
    </w:p>
    <w:p w14:paraId="59972689" w14:textId="0E0EBD85" w:rsidR="00842CA6" w:rsidRDefault="00C653F0" w:rsidP="00D86231">
      <w:pPr>
        <w:pStyle w:val="3-BodyText"/>
      </w:pPr>
      <w:r w:rsidRPr="008A2601">
        <w:t>Overall, the proportions of patients experiencing AEs with GUS appeared to be generally comparable to other b/</w:t>
      </w:r>
      <w:proofErr w:type="spellStart"/>
      <w:r w:rsidRPr="008A2601">
        <w:t>tsDMARDs</w:t>
      </w:r>
      <w:proofErr w:type="spellEnd"/>
      <w:r w:rsidRPr="008A2601">
        <w:t xml:space="preserve"> for induction and maintenance treatment. The submission noted that the results of the unanchored ITC statistically </w:t>
      </w:r>
      <w:r w:rsidRPr="008A2601">
        <w:lastRenderedPageBreak/>
        <w:t xml:space="preserve">favoured GUS over some of the comparator treatment for some outcomes, including versus IFX in terms of serious AEs and AEs leading to discontinuation. These findings were considered uncertain and potentially unreliable, given that the submission’s approach does not account for differences between the trials (e.g. populations, concomitant therapies) or the duration of treatment follow-up, and none of the trials were powered to detect differences in safety outcomes. </w:t>
      </w:r>
      <w:r w:rsidR="00CC7246" w:rsidRPr="008A2601">
        <w:t>In the July 2023 meeting, the PBAC considered the claim of non-inferior comparative safety of UPA to the nominated comparators (all b/</w:t>
      </w:r>
      <w:proofErr w:type="spellStart"/>
      <w:r w:rsidR="00CC7246" w:rsidRPr="008A2601">
        <w:t>tsDMARDs</w:t>
      </w:r>
      <w:proofErr w:type="spellEnd"/>
      <w:r w:rsidR="00CC7246" w:rsidRPr="008A2601">
        <w:t xml:space="preserve"> for CD) was, on balance, likely to be reasonable (paragraph 7.6, upadacitinib PSD July 2023 PBAC meeting).</w:t>
      </w:r>
    </w:p>
    <w:p w14:paraId="3E1AF456" w14:textId="225717C9" w:rsidR="00ED1178" w:rsidRPr="00BA1D25" w:rsidRDefault="00ED1178" w:rsidP="00D86231">
      <w:pPr>
        <w:pStyle w:val="3-BodyText"/>
      </w:pPr>
      <w:bookmarkStart w:id="43" w:name="_Ref201219171"/>
      <w:r w:rsidRPr="00BA1D25">
        <w:t xml:space="preserve">The ESC noted the submission claimed superiority </w:t>
      </w:r>
      <w:r w:rsidR="008F73CB" w:rsidRPr="00BA1D25">
        <w:t>to IFX in terms of safety based on an unadjusted (naïve) comparison</w:t>
      </w:r>
      <w:r w:rsidR="00620664" w:rsidRPr="00BA1D25">
        <w:t xml:space="preserve"> in the maint</w:t>
      </w:r>
      <w:r w:rsidR="00FB3C30" w:rsidRPr="00BA1D25">
        <w:t>ena</w:t>
      </w:r>
      <w:r w:rsidR="00620664" w:rsidRPr="00BA1D25">
        <w:t>nce phase</w:t>
      </w:r>
      <w:r w:rsidR="00FB3C30" w:rsidRPr="00BA1D25">
        <w:t xml:space="preserve">, based on </w:t>
      </w:r>
      <w:r w:rsidR="006C7DD5" w:rsidRPr="00BA1D25">
        <w:t>serious AEs and AEs leading to discontinuation</w:t>
      </w:r>
      <w:r w:rsidR="008F73CB" w:rsidRPr="00BA1D25">
        <w:t xml:space="preserve">. </w:t>
      </w:r>
      <w:r w:rsidR="00FB3C30" w:rsidRPr="00BA1D25">
        <w:t xml:space="preserve">The ESC noted the data for IFX was </w:t>
      </w:r>
      <w:r w:rsidR="008E11F1" w:rsidRPr="00BA1D25">
        <w:t xml:space="preserve">published </w:t>
      </w:r>
      <w:r w:rsidR="00834694" w:rsidRPr="00BA1D25">
        <w:t xml:space="preserve">in 2002 </w:t>
      </w:r>
      <w:r w:rsidR="00E5655A" w:rsidRPr="00BA1D25">
        <w:t xml:space="preserve">and </w:t>
      </w:r>
      <w:r w:rsidR="00FB3C30" w:rsidRPr="00BA1D25">
        <w:t xml:space="preserve">most of the </w:t>
      </w:r>
      <w:r w:rsidR="006C7DD5" w:rsidRPr="00BA1D25">
        <w:t xml:space="preserve">AEs </w:t>
      </w:r>
      <w:r w:rsidR="00E5655A" w:rsidRPr="00BA1D25">
        <w:t>were related to infusion reactions</w:t>
      </w:r>
      <w:r w:rsidR="00234407" w:rsidRPr="00BA1D25">
        <w:t>.</w:t>
      </w:r>
      <w:r w:rsidR="00FE181A" w:rsidRPr="00BA1D25">
        <w:t xml:space="preserve"> </w:t>
      </w:r>
      <w:r w:rsidR="00A5670B" w:rsidRPr="00BA1D25">
        <w:t>The ESC noted that contemporary evidence demonstrates significantly reduced incidence of infusion reactions with IFX, likely due to improved infusion protocols and greater understanding of infusion reactions with biological medicines.</w:t>
      </w:r>
      <w:bookmarkEnd w:id="43"/>
    </w:p>
    <w:p w14:paraId="04908C7F" w14:textId="415B9B7D" w:rsidR="007F1017" w:rsidRPr="00C9624D" w:rsidRDefault="007F1017" w:rsidP="00D86231">
      <w:pPr>
        <w:pStyle w:val="4-SubsectionHeading"/>
      </w:pPr>
      <w:bookmarkStart w:id="44" w:name="_Toc22897643"/>
      <w:bookmarkStart w:id="45" w:name="_Toc198715637"/>
      <w:r w:rsidRPr="00C9624D">
        <w:t>Benefits/harms</w:t>
      </w:r>
      <w:bookmarkEnd w:id="44"/>
      <w:bookmarkEnd w:id="45"/>
    </w:p>
    <w:p w14:paraId="1B7A674F" w14:textId="062EA7E6" w:rsidR="00CC7246" w:rsidRPr="00CC7246" w:rsidRDefault="00CC7246" w:rsidP="00D2155B">
      <w:pPr>
        <w:pStyle w:val="3-BodyText"/>
      </w:pPr>
      <w:r w:rsidRPr="00CC7246">
        <w:t xml:space="preserve">The indirect nature of the comparisons and exchangeability issues with the clinical trials presented in the submission did not allow for a reliable comparison of the benefits and harms of </w:t>
      </w:r>
      <w:r>
        <w:t>GUS</w:t>
      </w:r>
      <w:r w:rsidRPr="00CC7246">
        <w:t xml:space="preserve"> vs comparators.</w:t>
      </w:r>
      <w:r w:rsidR="00C50A23">
        <w:t xml:space="preserve"> </w:t>
      </w:r>
      <w:r w:rsidR="00C50A23" w:rsidRPr="00C50A23">
        <w:t xml:space="preserve">Overall, </w:t>
      </w:r>
      <w:proofErr w:type="gramStart"/>
      <w:r w:rsidR="00C50A23">
        <w:t>on the basis of</w:t>
      </w:r>
      <w:proofErr w:type="gramEnd"/>
      <w:r w:rsidR="00C50A23">
        <w:t xml:space="preserve"> direct evidence</w:t>
      </w:r>
      <w:r w:rsidR="00C50A23" w:rsidRPr="00C50A23">
        <w:t xml:space="preserve">, there were no expected clinically meaningful differences in terms of efficacy or safety between </w:t>
      </w:r>
      <w:r w:rsidR="00C50A23">
        <w:t>GUS</w:t>
      </w:r>
      <w:r w:rsidR="00C50A23" w:rsidRPr="00C50A23">
        <w:t xml:space="preserve"> and</w:t>
      </w:r>
      <w:r w:rsidR="00C50A23">
        <w:t xml:space="preserve"> UST</w:t>
      </w:r>
      <w:r w:rsidR="00C50A23" w:rsidRPr="00C50A23">
        <w:t xml:space="preserve"> </w:t>
      </w:r>
      <w:r w:rsidR="00C50A23">
        <w:t>(</w:t>
      </w:r>
      <w:r w:rsidR="00C50A23" w:rsidRPr="00C50A23">
        <w:t>and by extension to the other nominated comparators, given the PBAC had previously accepted non-inferior effectiveness</w:t>
      </w:r>
      <w:r w:rsidR="00C50A23">
        <w:t xml:space="preserve"> and safety</w:t>
      </w:r>
      <w:r w:rsidR="00C50A23" w:rsidRPr="00C50A23">
        <w:t xml:space="preserve"> between </w:t>
      </w:r>
      <w:proofErr w:type="gramStart"/>
      <w:r w:rsidR="00C50A23" w:rsidRPr="00C50A23">
        <w:t>all of</w:t>
      </w:r>
      <w:proofErr w:type="gramEnd"/>
      <w:r w:rsidR="00C50A23" w:rsidRPr="00C50A23">
        <w:t xml:space="preserve"> the nominated comparators</w:t>
      </w:r>
      <w:r w:rsidR="00C50A23">
        <w:t>), in the treatment of</w:t>
      </w:r>
      <w:r w:rsidR="00C50A23" w:rsidRPr="00C50A23">
        <w:t xml:space="preserve"> adults with severe CD</w:t>
      </w:r>
      <w:r w:rsidR="00C50A23">
        <w:t>.</w:t>
      </w:r>
    </w:p>
    <w:p w14:paraId="7A1772B6" w14:textId="32AA2CCB" w:rsidR="00B60939" w:rsidRPr="00C9624D" w:rsidRDefault="00B60939" w:rsidP="00E9094A">
      <w:pPr>
        <w:pStyle w:val="4-SubsectionHeading"/>
      </w:pPr>
      <w:bookmarkStart w:id="46" w:name="_Toc22897644"/>
      <w:bookmarkStart w:id="47" w:name="_Toc198715638"/>
      <w:r w:rsidRPr="00C9624D">
        <w:t>Clinical claim</w:t>
      </w:r>
      <w:bookmarkEnd w:id="46"/>
      <w:bookmarkEnd w:id="47"/>
    </w:p>
    <w:p w14:paraId="1E6FFC22" w14:textId="75FA7163" w:rsidR="00C50A23" w:rsidRPr="00C50A23" w:rsidRDefault="00C50A23" w:rsidP="00E9094A">
      <w:pPr>
        <w:pStyle w:val="3-BodyText"/>
      </w:pPr>
      <w:r>
        <w:t>In patients with severe CD, the submission described GUS as superior compared to all currently PBS-listed b/</w:t>
      </w:r>
      <w:proofErr w:type="spellStart"/>
      <w:r>
        <w:t>tsDMARDs</w:t>
      </w:r>
      <w:proofErr w:type="spellEnd"/>
      <w:r>
        <w:t xml:space="preserve"> (ADA, IFX, UST, UPA and VDZ) in terms of effectiveness based on maintenance outcomes at Week 48-60. In terms of safety, the submission described GUS as superior compared to IFX and non-inferior compared to ADA, UST, UPA and VDZ. The submission also described GUS IV and GUS SC induction dosing regimens as being non-inferior in terms of efficacy and safety.</w:t>
      </w:r>
    </w:p>
    <w:p w14:paraId="2C6D89CD" w14:textId="27A11C1A" w:rsidR="00C50A23" w:rsidRPr="008A2601" w:rsidRDefault="00C50A23" w:rsidP="00E9094A">
      <w:pPr>
        <w:pStyle w:val="3-BodyText"/>
      </w:pPr>
      <w:r w:rsidRPr="008A2601">
        <w:t>T</w:t>
      </w:r>
      <w:r w:rsidRPr="008A2601" w:rsidDel="00CB1952">
        <w:t xml:space="preserve">he </w:t>
      </w:r>
      <w:r w:rsidR="00FC4187" w:rsidRPr="00BA1D25">
        <w:t>ESC considered the</w:t>
      </w:r>
      <w:r w:rsidR="00FC4187">
        <w:t xml:space="preserve"> </w:t>
      </w:r>
      <w:r w:rsidRPr="008A2601" w:rsidDel="00CB1952">
        <w:t xml:space="preserve">clinical claim </w:t>
      </w:r>
      <w:r w:rsidRPr="008A2601">
        <w:t>of</w:t>
      </w:r>
      <w:r w:rsidRPr="008A2601" w:rsidDel="00CB1952">
        <w:t xml:space="preserve"> non-inferior efficacy and safety </w:t>
      </w:r>
      <w:r w:rsidRPr="008A2601">
        <w:t>between the GUS IV and GUS SC induction dosing regimens was reasonably support</w:t>
      </w:r>
      <w:r w:rsidR="00664AE0" w:rsidRPr="008A2601">
        <w:t>ed</w:t>
      </w:r>
      <w:r w:rsidRPr="008A2601">
        <w:t xml:space="preserve"> by the evidence presented in the submission.</w:t>
      </w:r>
    </w:p>
    <w:p w14:paraId="657FAF1C" w14:textId="312C155B" w:rsidR="00C50A23" w:rsidRPr="008A2601" w:rsidRDefault="00C50A23" w:rsidP="00E9094A">
      <w:pPr>
        <w:pStyle w:val="3-BodyText"/>
      </w:pPr>
      <w:bookmarkStart w:id="48" w:name="_Ref203640965"/>
      <w:r w:rsidRPr="008A2601">
        <w:t xml:space="preserve">The </w:t>
      </w:r>
      <w:r w:rsidR="00FC4187" w:rsidRPr="00BA1D25">
        <w:t>ESC considered the</w:t>
      </w:r>
      <w:r w:rsidR="00FC4187">
        <w:t xml:space="preserve"> </w:t>
      </w:r>
      <w:r w:rsidRPr="008A2601">
        <w:t>clinical claim of superior efficacy versus all PBS-listed b/</w:t>
      </w:r>
      <w:proofErr w:type="spellStart"/>
      <w:r w:rsidRPr="008A2601">
        <w:t>tsDMARDs</w:t>
      </w:r>
      <w:proofErr w:type="spellEnd"/>
      <w:r w:rsidRPr="008A2601">
        <w:t xml:space="preserve"> (ADA, IFX, UST, UPA and VDZ) was not adequately supported by the evidence presented in the submission:</w:t>
      </w:r>
      <w:bookmarkEnd w:id="48"/>
    </w:p>
    <w:p w14:paraId="00C6CA17" w14:textId="77777777" w:rsidR="00C50A23" w:rsidRPr="008A2601" w:rsidRDefault="00C50A23" w:rsidP="00096092">
      <w:pPr>
        <w:pStyle w:val="ListParagraph"/>
        <w:widowControl w:val="0"/>
        <w:numPr>
          <w:ilvl w:val="0"/>
          <w:numId w:val="11"/>
        </w:numPr>
        <w:spacing w:after="0"/>
        <w:contextualSpacing/>
      </w:pPr>
      <w:r w:rsidRPr="008A2601">
        <w:t xml:space="preserve">First, the submission’s claim was based on maintenance outcomes at Week 48-60 for patients who remained (or assumed to remain) on treatment irrespective of response to induction treatment - including clinical remission, clinical response, </w:t>
      </w:r>
      <w:r w:rsidRPr="008A2601">
        <w:lastRenderedPageBreak/>
        <w:t>endoscopic remission and endoscopic response - which are not the relevant patient outcomes for maintenance treatment on the PBS. As patients can only access maintenance treatment on the PBS after achieving clinical remission following induction treatment, the most relevant outcome for maintenance treatment is clinical response at Week 48 in patients with clinical response at Week 12.</w:t>
      </w:r>
    </w:p>
    <w:p w14:paraId="38691D5A" w14:textId="6CEC05FD" w:rsidR="00173F65" w:rsidRPr="008A2601" w:rsidRDefault="00173F65" w:rsidP="00096092">
      <w:pPr>
        <w:pStyle w:val="ListParagraph"/>
        <w:widowControl w:val="0"/>
        <w:numPr>
          <w:ilvl w:val="0"/>
          <w:numId w:val="11"/>
        </w:numPr>
        <w:spacing w:after="0"/>
        <w:contextualSpacing/>
      </w:pPr>
      <w:r w:rsidRPr="008A2601">
        <w:t>Second, for comparison between GUS versus UST in the maintenance setting, the submission relied on the results of the head-to-head evidence from the GALAXI trials, which demonstrated no difference between GUS and UST for the patient relevant outcome clinical remission at Week 48 in patients with clinical remission at Week 12. Although, the direct evidence generally showed that GUS was superior to UST in terms of the proportion of patients with endoscopic remission and endoscopic response at Week 48 (in all randomised patients), the PBAC had not previously used these outcomes to establish therapeutic relativities between treatments for CD.</w:t>
      </w:r>
    </w:p>
    <w:p w14:paraId="65439817" w14:textId="34B1E67B" w:rsidR="00C50A23" w:rsidRDefault="00173F65" w:rsidP="00096092">
      <w:pPr>
        <w:pStyle w:val="ListParagraph"/>
        <w:widowControl w:val="0"/>
        <w:numPr>
          <w:ilvl w:val="0"/>
          <w:numId w:val="11"/>
        </w:numPr>
        <w:spacing w:after="0"/>
        <w:contextualSpacing/>
        <w:rPr>
          <w:i/>
          <w:iCs/>
        </w:rPr>
      </w:pPr>
      <w:r w:rsidRPr="008A2601">
        <w:t>Third</w:t>
      </w:r>
      <w:r w:rsidR="00C50A23" w:rsidRPr="008A2601">
        <w:t>, for comparison between GUS versus ADA, IFX, UPA and VDZ in the maintenance setting,</w:t>
      </w:r>
      <w:r w:rsidR="00C50A23" w:rsidRPr="008A2601" w:rsidDel="00CB1952">
        <w:t xml:space="preserve"> </w:t>
      </w:r>
      <w:r w:rsidR="00C50A23" w:rsidRPr="008A2601">
        <w:t>the submission relied on the results of ‘</w:t>
      </w:r>
      <w:r w:rsidR="00C50A23" w:rsidRPr="008A2601" w:rsidDel="00CB1952">
        <w:t>trial-design-adjusted</w:t>
      </w:r>
      <w:r w:rsidR="00C50A23" w:rsidRPr="008A2601">
        <w:t>’</w:t>
      </w:r>
      <w:r w:rsidR="00C50A23" w:rsidRPr="008A2601" w:rsidDel="00CB1952">
        <w:t xml:space="preserve"> indirect comparisons (ITC</w:t>
      </w:r>
      <w:r w:rsidR="00C50A23" w:rsidRPr="008A2601">
        <w:t>s</w:t>
      </w:r>
      <w:r w:rsidR="00C50A23" w:rsidRPr="008A2601" w:rsidDel="00CB1952">
        <w:t xml:space="preserve"> and the Australian NMA), which </w:t>
      </w:r>
      <w:r w:rsidR="00C50A23" w:rsidRPr="008A2601">
        <w:t xml:space="preserve">produced </w:t>
      </w:r>
      <w:r w:rsidR="00C50A23" w:rsidRPr="008A2601" w:rsidDel="00CB1952">
        <w:t xml:space="preserve">highly uncertain and </w:t>
      </w:r>
      <w:r w:rsidR="00C50A23" w:rsidRPr="008A2601">
        <w:t>likely</w:t>
      </w:r>
      <w:r w:rsidR="00C50A23" w:rsidRPr="008A2601" w:rsidDel="00CB1952">
        <w:t xml:space="preserve"> misleading</w:t>
      </w:r>
      <w:r w:rsidR="00C50A23" w:rsidRPr="008A2601">
        <w:t xml:space="preserve"> results</w:t>
      </w:r>
      <w:r w:rsidR="00C50A23" w:rsidRPr="008A2601" w:rsidDel="00CB1952">
        <w:t>.</w:t>
      </w:r>
      <w:r w:rsidR="00C50A23" w:rsidRPr="008A2601">
        <w:t xml:space="preserve"> </w:t>
      </w:r>
      <w:r w:rsidR="00C50A23" w:rsidRPr="008A2601" w:rsidDel="00CB1952">
        <w:t xml:space="preserve">The submission’s methodological approach </w:t>
      </w:r>
      <w:r w:rsidR="00C50A23" w:rsidRPr="008A2601">
        <w:t xml:space="preserve">for </w:t>
      </w:r>
      <w:r w:rsidR="00C50A23" w:rsidRPr="008A2601" w:rsidDel="00CB1952">
        <w:t>adjust</w:t>
      </w:r>
      <w:r w:rsidR="00C50A23" w:rsidRPr="008A2601">
        <w:t>ing</w:t>
      </w:r>
      <w:r w:rsidR="00C50A23" w:rsidRPr="008A2601" w:rsidDel="00CB1952">
        <w:t>/imput</w:t>
      </w:r>
      <w:r w:rsidR="00C50A23" w:rsidRPr="008A2601">
        <w:t xml:space="preserve">ing/modelling data for each trial - </w:t>
      </w:r>
      <w:r w:rsidR="00434985" w:rsidRPr="008A2601">
        <w:t>which</w:t>
      </w:r>
      <w:r w:rsidR="00C50A23" w:rsidRPr="008A2601">
        <w:t xml:space="preserve"> attempted to mimic results at Week 48-60</w:t>
      </w:r>
      <w:r w:rsidR="00434985" w:rsidRPr="008A2601">
        <w:t>,</w:t>
      </w:r>
      <w:r w:rsidR="00C50A23" w:rsidRPr="008A2601">
        <w:t xml:space="preserve"> assuming patients remained on treatment irrespective of response to induction treatment</w:t>
      </w:r>
      <w:r w:rsidR="00434985" w:rsidRPr="008A2601">
        <w:t>,</w:t>
      </w:r>
      <w:r w:rsidR="00C50A23" w:rsidRPr="008A2601">
        <w:t xml:space="preserve"> was inappropriate and likely increased uncertainty (i.e. not fit-for-purpose). In short, the approach </w:t>
      </w:r>
      <w:r w:rsidR="00C50A23" w:rsidRPr="008A2601" w:rsidDel="00CB1952">
        <w:t>lacked transparency, relie</w:t>
      </w:r>
      <w:r w:rsidR="00C50A23" w:rsidRPr="008A2601">
        <w:t>d</w:t>
      </w:r>
      <w:r w:rsidR="00C50A23" w:rsidRPr="008A2601" w:rsidDel="00CB1952">
        <w:t xml:space="preserve"> on many assumptions that cannot be validated, and ignore</w:t>
      </w:r>
      <w:r w:rsidR="00434985" w:rsidRPr="008A2601">
        <w:t>d</w:t>
      </w:r>
      <w:r w:rsidR="00C50A23" w:rsidRPr="008A2601" w:rsidDel="00CB1952">
        <w:t xml:space="preserve"> the many other differences across the trials and enrolled populations.</w:t>
      </w:r>
      <w:r w:rsidR="00C50A23" w:rsidRPr="008A2601">
        <w:t xml:space="preserve"> The results produced by the trial-design</w:t>
      </w:r>
      <w:r w:rsidR="00CA7ED5" w:rsidRPr="008A2601">
        <w:t>-</w:t>
      </w:r>
      <w:r w:rsidR="00C50A23" w:rsidRPr="008A2601">
        <w:t>adjusted indirect comparisons did not align with other unadjusted data sources (refer above</w:t>
      </w:r>
      <w:r w:rsidR="00C74692" w:rsidRPr="008A2601">
        <w:t>) and</w:t>
      </w:r>
      <w:r w:rsidR="00C50A23" w:rsidRPr="008A2601">
        <w:t xml:space="preserve"> should not be relied upon to establish clinical superiority</w:t>
      </w:r>
      <w:r w:rsidR="00C50A23">
        <w:rPr>
          <w:i/>
          <w:iCs/>
        </w:rPr>
        <w:t>.</w:t>
      </w:r>
    </w:p>
    <w:p w14:paraId="7EAAF106" w14:textId="0D2B4D70" w:rsidR="00C50A23" w:rsidRPr="008A2601" w:rsidRDefault="00C50A23" w:rsidP="00E9094A">
      <w:pPr>
        <w:pStyle w:val="3-BodyText"/>
      </w:pPr>
      <w:r w:rsidRPr="008A2601">
        <w:t xml:space="preserve">The </w:t>
      </w:r>
      <w:r w:rsidR="00FC4187" w:rsidRPr="00BA1D25">
        <w:t xml:space="preserve">ESC considered the </w:t>
      </w:r>
      <w:r w:rsidRPr="00BA1D25">
        <w:t xml:space="preserve">claim of non-inferior safety versus ADA, UST, UPA and VDZ was reasonable, but the submission’s claim of superior safety versus IFX </w:t>
      </w:r>
      <w:r w:rsidR="00FC4187" w:rsidRPr="00BA1D25">
        <w:t>was not</w:t>
      </w:r>
      <w:r w:rsidRPr="00BA1D25">
        <w:t xml:space="preserve"> adequately supported by the evidence presented in the submission. The claim of superior safety versus IFX was based on the results of naïve unanchored indirect comparisons at Week 48-</w:t>
      </w:r>
      <w:r w:rsidR="002E0E37" w:rsidRPr="00BA1D25">
        <w:t xml:space="preserve">60 </w:t>
      </w:r>
      <w:r w:rsidRPr="00BA1D25">
        <w:t xml:space="preserve">that favoured GUS for some safety outcomes (serious AEs, discontinuation due to AEs, infections). </w:t>
      </w:r>
      <w:r w:rsidR="00635886" w:rsidRPr="00BA1D25">
        <w:t xml:space="preserve">Additionally, the ESC noted the </w:t>
      </w:r>
      <w:r w:rsidR="00A5670B" w:rsidRPr="00BA1D25">
        <w:t xml:space="preserve">understanding and </w:t>
      </w:r>
      <w:r w:rsidR="00635886" w:rsidRPr="00BA1D25">
        <w:t xml:space="preserve">management of the infusion reactions for IFX has evolved over time (see paragraph </w:t>
      </w:r>
      <w:r w:rsidR="00635886" w:rsidRPr="00BA1D25">
        <w:fldChar w:fldCharType="begin"/>
      </w:r>
      <w:r w:rsidR="00635886" w:rsidRPr="00BA1D25">
        <w:instrText xml:space="preserve"> REF _Ref201219171 \r \h  \* MERGEFORMAT </w:instrText>
      </w:r>
      <w:r w:rsidR="00635886" w:rsidRPr="00BA1D25">
        <w:fldChar w:fldCharType="separate"/>
      </w:r>
      <w:r w:rsidR="000756FD">
        <w:t>6.41</w:t>
      </w:r>
      <w:r w:rsidR="00635886" w:rsidRPr="00BA1D25">
        <w:fldChar w:fldCharType="end"/>
      </w:r>
      <w:r w:rsidR="00635886" w:rsidRPr="00BA1D25">
        <w:t>).</w:t>
      </w:r>
      <w:r w:rsidR="00635886">
        <w:t xml:space="preserve"> </w:t>
      </w:r>
      <w:r w:rsidRPr="008A2601">
        <w:t xml:space="preserve">These conclusions should be interpreted with caution given </w:t>
      </w:r>
      <w:r w:rsidR="00434985" w:rsidRPr="008A2601">
        <w:t xml:space="preserve">that </w:t>
      </w:r>
      <w:r w:rsidRPr="008A2601">
        <w:t>the unanchored comparisons do not account for differences between the trials, patient populations, or duration of treatment follow-up; and none of the trials were powered to detect differences in safety outcomes (based on small numbers). Overall, the proportions of patients experiencing AEs with GUS appeared to be generally comparable to other b/</w:t>
      </w:r>
      <w:proofErr w:type="spellStart"/>
      <w:r w:rsidRPr="008A2601">
        <w:t>tsDMARDs</w:t>
      </w:r>
      <w:proofErr w:type="spellEnd"/>
      <w:r w:rsidRPr="008A2601">
        <w:t xml:space="preserve"> for induction and maintenance treatment.</w:t>
      </w:r>
    </w:p>
    <w:p w14:paraId="39F11A18" w14:textId="071E7C0D" w:rsidR="00C50A23" w:rsidRPr="008170EC" w:rsidRDefault="001A7914" w:rsidP="00E9094A">
      <w:pPr>
        <w:pStyle w:val="3-BodyText"/>
      </w:pPr>
      <w:r w:rsidRPr="00BA1D25">
        <w:t>The</w:t>
      </w:r>
      <w:r w:rsidR="00D44B86" w:rsidRPr="00BA1D25">
        <w:t xml:space="preserve"> evaluation considered a</w:t>
      </w:r>
      <w:r w:rsidR="00C50A23" w:rsidRPr="00BA1D25">
        <w:t xml:space="preserve"> claim of non-inferior efficacy and safety versus ADA, IFX, UST, UPA and VDZ may be more reasonable given that: direct evidence showed no difference between GUS and UST for induction and maintenance treatment (with the </w:t>
      </w:r>
      <w:r w:rsidR="00C50A23" w:rsidRPr="00BA1D25">
        <w:lastRenderedPageBreak/>
        <w:t>exception of endoscopic outcomes at Week 48); the indirect evidence without data manipulation showed no difference between GUS versus ADA, IFX, UP</w:t>
      </w:r>
      <w:r w:rsidRPr="00BA1D25">
        <w:t>A</w:t>
      </w:r>
      <w:r w:rsidR="00C50A23" w:rsidRPr="00BA1D25">
        <w:t xml:space="preserve"> and VDZ for induction treatment; and the indirect evidence without data manipulation showed no difference between GUS versus ADA for maintenance treatment. </w:t>
      </w:r>
      <w:r w:rsidR="00D75C77" w:rsidRPr="00BA1D25">
        <w:t xml:space="preserve"> </w:t>
      </w:r>
      <w:r w:rsidR="0004347A" w:rsidRPr="00BA1D25">
        <w:t xml:space="preserve">The ESC </w:t>
      </w:r>
      <w:r w:rsidR="00C54346" w:rsidRPr="00BA1D25">
        <w:t xml:space="preserve">noted </w:t>
      </w:r>
      <w:r w:rsidR="00DC22C4" w:rsidRPr="00BA1D25">
        <w:t xml:space="preserve">the </w:t>
      </w:r>
      <w:r w:rsidR="00DC22C4" w:rsidRPr="008170EC">
        <w:t xml:space="preserve">direct evidence suggested </w:t>
      </w:r>
      <w:r w:rsidR="005640AA" w:rsidRPr="008170EC">
        <w:t xml:space="preserve">statistically significant </w:t>
      </w:r>
      <w:r w:rsidR="00DC22C4" w:rsidRPr="008170EC">
        <w:t>improved endoscopic outcomes v</w:t>
      </w:r>
      <w:r w:rsidR="00250EC4" w:rsidRPr="008170EC">
        <w:t>ersus</w:t>
      </w:r>
      <w:r w:rsidR="00DC22C4" w:rsidRPr="008170EC">
        <w:t xml:space="preserve"> UST but the</w:t>
      </w:r>
      <w:r w:rsidR="00DB5092" w:rsidRPr="008170EC">
        <w:t xml:space="preserve"> impact on patient outcomes is unclear. </w:t>
      </w:r>
      <w:r w:rsidR="00DC22C4" w:rsidRPr="008170EC">
        <w:t xml:space="preserve"> </w:t>
      </w:r>
    </w:p>
    <w:p w14:paraId="431AB24B" w14:textId="4AECBDD7" w:rsidR="00430E91" w:rsidRPr="008170EC" w:rsidRDefault="00430E91" w:rsidP="00430E91">
      <w:pPr>
        <w:pStyle w:val="ListParagraph"/>
        <w:numPr>
          <w:ilvl w:val="1"/>
          <w:numId w:val="1"/>
        </w:numPr>
        <w:ind w:left="810" w:hanging="810"/>
        <w:rPr>
          <w:szCs w:val="20"/>
          <w:lang w:eastAsia="en-US"/>
        </w:rPr>
      </w:pPr>
      <w:r w:rsidRPr="008170EC">
        <w:rPr>
          <w:szCs w:val="20"/>
          <w:lang w:eastAsia="en-US"/>
        </w:rPr>
        <w:t xml:space="preserve">The PBAC considered that </w:t>
      </w:r>
      <w:r w:rsidR="00A52DA4" w:rsidRPr="008170EC">
        <w:rPr>
          <w:szCs w:val="20"/>
          <w:lang w:eastAsia="en-US"/>
        </w:rPr>
        <w:t xml:space="preserve">a </w:t>
      </w:r>
      <w:r w:rsidRPr="008170EC">
        <w:rPr>
          <w:szCs w:val="20"/>
          <w:lang w:eastAsia="en-US"/>
        </w:rPr>
        <w:t>claim of superior comparative effectiveness</w:t>
      </w:r>
      <w:r w:rsidR="002D158B" w:rsidRPr="008170EC">
        <w:rPr>
          <w:szCs w:val="20"/>
          <w:lang w:eastAsia="en-US"/>
        </w:rPr>
        <w:t xml:space="preserve"> versus </w:t>
      </w:r>
      <w:r w:rsidR="00A52DA4" w:rsidRPr="008170EC">
        <w:rPr>
          <w:szCs w:val="20"/>
          <w:lang w:eastAsia="en-US"/>
        </w:rPr>
        <w:t>UST based on endoscopic outcomes at Week 48</w:t>
      </w:r>
      <w:r w:rsidR="008170EC" w:rsidRPr="008170EC">
        <w:rPr>
          <w:szCs w:val="20"/>
          <w:lang w:eastAsia="en-US"/>
        </w:rPr>
        <w:t xml:space="preserve"> was supported by the clinical trial evidence presented in the submission</w:t>
      </w:r>
      <w:r w:rsidR="00166B97">
        <w:rPr>
          <w:szCs w:val="20"/>
          <w:lang w:eastAsia="en-US"/>
        </w:rPr>
        <w:t>. However</w:t>
      </w:r>
      <w:r w:rsidR="00F64DE2">
        <w:rPr>
          <w:szCs w:val="20"/>
          <w:lang w:eastAsia="en-US"/>
        </w:rPr>
        <w:t xml:space="preserve">, the clinical relevance </w:t>
      </w:r>
      <w:r w:rsidR="00166B97">
        <w:rPr>
          <w:szCs w:val="20"/>
          <w:lang w:eastAsia="en-US"/>
        </w:rPr>
        <w:t xml:space="preserve">of this outcome </w:t>
      </w:r>
      <w:r w:rsidR="00F64DE2">
        <w:rPr>
          <w:szCs w:val="20"/>
          <w:lang w:eastAsia="en-US"/>
        </w:rPr>
        <w:t>was uncertain</w:t>
      </w:r>
      <w:r w:rsidR="00166B97">
        <w:rPr>
          <w:szCs w:val="20"/>
          <w:lang w:eastAsia="en-US"/>
        </w:rPr>
        <w:t xml:space="preserve"> given there was no difference </w:t>
      </w:r>
      <w:r w:rsidR="00166B97" w:rsidRPr="008A2601">
        <w:t xml:space="preserve">between GUS and UST for the patient relevant outcome </w:t>
      </w:r>
      <w:r w:rsidR="00166B97">
        <w:t xml:space="preserve">of </w:t>
      </w:r>
      <w:r w:rsidR="00166B97" w:rsidRPr="008A2601">
        <w:t>clinical remission at Week 48 in patients with clinical remission at Week 12</w:t>
      </w:r>
      <w:r w:rsidR="00166B97">
        <w:t>.</w:t>
      </w:r>
    </w:p>
    <w:p w14:paraId="7236C8F3" w14:textId="0C61CB93" w:rsidR="00430E91" w:rsidRPr="008170EC" w:rsidRDefault="00430E91" w:rsidP="00430E91">
      <w:pPr>
        <w:pStyle w:val="ListParagraph"/>
        <w:numPr>
          <w:ilvl w:val="1"/>
          <w:numId w:val="1"/>
        </w:numPr>
        <w:ind w:left="810" w:hanging="810"/>
        <w:rPr>
          <w:szCs w:val="20"/>
          <w:lang w:eastAsia="en-US"/>
        </w:rPr>
      </w:pPr>
      <w:r w:rsidRPr="008170EC">
        <w:rPr>
          <w:szCs w:val="20"/>
          <w:lang w:eastAsia="en-US"/>
        </w:rPr>
        <w:t xml:space="preserve">The PBAC considered that the claim of non-inferior comparative safety </w:t>
      </w:r>
      <w:r w:rsidR="002D158B" w:rsidRPr="008170EC">
        <w:rPr>
          <w:szCs w:val="20"/>
          <w:lang w:eastAsia="en-US"/>
        </w:rPr>
        <w:t>versus all other b/</w:t>
      </w:r>
      <w:proofErr w:type="spellStart"/>
      <w:r w:rsidR="002D158B" w:rsidRPr="008170EC">
        <w:rPr>
          <w:szCs w:val="20"/>
          <w:lang w:eastAsia="en-US"/>
        </w:rPr>
        <w:t>tsDMARDs</w:t>
      </w:r>
      <w:proofErr w:type="spellEnd"/>
      <w:r w:rsidR="002D158B" w:rsidRPr="008170EC">
        <w:rPr>
          <w:szCs w:val="20"/>
          <w:lang w:eastAsia="en-US"/>
        </w:rPr>
        <w:t xml:space="preserve"> was reasonable but the claim of superior safety to IFX </w:t>
      </w:r>
      <w:r w:rsidRPr="008170EC">
        <w:rPr>
          <w:szCs w:val="20"/>
          <w:lang w:eastAsia="en-US"/>
        </w:rPr>
        <w:t>was not adequately supported by the data.</w:t>
      </w:r>
    </w:p>
    <w:p w14:paraId="74A1172E" w14:textId="128C170E" w:rsidR="00B60939" w:rsidRPr="00C9624D" w:rsidRDefault="00B60939" w:rsidP="00E9094A">
      <w:pPr>
        <w:pStyle w:val="4-SubsectionHeading"/>
      </w:pPr>
      <w:bookmarkStart w:id="49" w:name="_Toc22897645"/>
      <w:bookmarkStart w:id="50" w:name="_Toc198715639"/>
      <w:r w:rsidRPr="00C9624D">
        <w:t>Economic analysis</w:t>
      </w:r>
      <w:bookmarkEnd w:id="49"/>
      <w:bookmarkEnd w:id="50"/>
      <w:r w:rsidR="00491B3A" w:rsidRPr="00C9624D">
        <w:t xml:space="preserve"> </w:t>
      </w:r>
    </w:p>
    <w:p w14:paraId="4A0FE438" w14:textId="29AE6639" w:rsidR="00B907B2" w:rsidRPr="003C3921" w:rsidRDefault="00B907B2" w:rsidP="00B907B2">
      <w:pPr>
        <w:pStyle w:val="3-BodyText"/>
        <w:rPr>
          <w:lang w:val="en-US"/>
        </w:rPr>
      </w:pPr>
      <w:bookmarkStart w:id="51" w:name="_Ref201311210"/>
      <w:r>
        <w:rPr>
          <w:lang w:val="en-US"/>
        </w:rPr>
        <w:t xml:space="preserve">The submission presented a </w:t>
      </w:r>
      <w:r w:rsidRPr="003C3921">
        <w:rPr>
          <w:lang w:val="en-US"/>
        </w:rPr>
        <w:t>cost-utility analys</w:t>
      </w:r>
      <w:r w:rsidR="00BB75C9">
        <w:rPr>
          <w:lang w:val="en-US"/>
        </w:rPr>
        <w:t>i</w:t>
      </w:r>
      <w:r w:rsidRPr="003C3921">
        <w:rPr>
          <w:lang w:val="en-US"/>
        </w:rPr>
        <w:t>s</w:t>
      </w:r>
      <w:r>
        <w:rPr>
          <w:lang w:val="en-US"/>
        </w:rPr>
        <w:t xml:space="preserve"> comparing</w:t>
      </w:r>
      <w:r w:rsidRPr="003C3921">
        <w:rPr>
          <w:lang w:val="en-US"/>
        </w:rPr>
        <w:t xml:space="preserve"> GUS (GUS 200</w:t>
      </w:r>
      <w:r>
        <w:rPr>
          <w:lang w:val="en-US"/>
        </w:rPr>
        <w:t xml:space="preserve"> mg</w:t>
      </w:r>
      <w:r w:rsidRPr="003C3921">
        <w:rPr>
          <w:lang w:val="en-US"/>
        </w:rPr>
        <w:t xml:space="preserve"> Q4W and GUS 100 </w:t>
      </w:r>
      <w:r>
        <w:rPr>
          <w:lang w:val="en-US"/>
        </w:rPr>
        <w:t xml:space="preserve">mg </w:t>
      </w:r>
      <w:r w:rsidRPr="003C3921">
        <w:rPr>
          <w:lang w:val="en-US"/>
        </w:rPr>
        <w:t xml:space="preserve">Q8W separately) versus </w:t>
      </w:r>
      <w:r>
        <w:rPr>
          <w:lang w:val="en-US"/>
        </w:rPr>
        <w:t>a weighted comparator of other b/</w:t>
      </w:r>
      <w:proofErr w:type="spellStart"/>
      <w:r>
        <w:rPr>
          <w:lang w:val="en-US"/>
        </w:rPr>
        <w:t>tsDMARDs</w:t>
      </w:r>
      <w:proofErr w:type="spellEnd"/>
      <w:r w:rsidRPr="003C3921">
        <w:rPr>
          <w:lang w:val="en-US"/>
        </w:rPr>
        <w:t xml:space="preserve">, </w:t>
      </w:r>
      <w:r>
        <w:rPr>
          <w:lang w:val="en-US"/>
        </w:rPr>
        <w:t>informed by the direct and indirect evidence presented in the submission and parameters from the literature</w:t>
      </w:r>
      <w:r w:rsidR="00BE451C">
        <w:rPr>
          <w:lang w:val="en-US"/>
        </w:rPr>
        <w:t>. The main treatment effect in the model was derived from the trial-design</w:t>
      </w:r>
      <w:r w:rsidR="00CA7ED5">
        <w:rPr>
          <w:lang w:val="en-US"/>
        </w:rPr>
        <w:t>-</w:t>
      </w:r>
      <w:r w:rsidR="00BE451C">
        <w:rPr>
          <w:lang w:val="en-US"/>
        </w:rPr>
        <w:t>adjusted Australian NMA for maintenance treatment.</w:t>
      </w:r>
      <w:bookmarkEnd w:id="51"/>
    </w:p>
    <w:p w14:paraId="0274B01E" w14:textId="4749B544" w:rsidR="00AE5432" w:rsidRPr="008A2601" w:rsidRDefault="00B907B2" w:rsidP="00641FB3">
      <w:pPr>
        <w:pStyle w:val="3-BodyText"/>
        <w:rPr>
          <w:b/>
          <w:bCs/>
          <w:lang w:val="en-US"/>
        </w:rPr>
      </w:pPr>
      <w:r w:rsidRPr="008A2601">
        <w:t xml:space="preserve">Overall, the </w:t>
      </w:r>
      <w:r w:rsidR="00587170" w:rsidRPr="00BA1D25">
        <w:t>ESC considered the</w:t>
      </w:r>
      <w:r w:rsidR="00587170">
        <w:t xml:space="preserve"> </w:t>
      </w:r>
      <w:r w:rsidRPr="008A2601">
        <w:t xml:space="preserve">modelled economic evaluation presented in the submission was largely uninformative for decision-making, given </w:t>
      </w:r>
      <w:r w:rsidR="00434985" w:rsidRPr="008A2601">
        <w:t xml:space="preserve">that </w:t>
      </w:r>
      <w:r w:rsidRPr="008A2601">
        <w:t xml:space="preserve">the </w:t>
      </w:r>
      <w:r w:rsidR="00BE451C" w:rsidRPr="008A2601">
        <w:t>trial-design</w:t>
      </w:r>
      <w:r w:rsidR="00CA7ED5" w:rsidRPr="008A2601">
        <w:t>-</w:t>
      </w:r>
      <w:r w:rsidR="00BE451C" w:rsidRPr="008A2601">
        <w:t xml:space="preserve">adjusted Australian NMA was considered unreliable and the other </w:t>
      </w:r>
      <w:r w:rsidRPr="008A2601">
        <w:t>clinical evidence on balance indicated that GUS was comparable to other b/</w:t>
      </w:r>
      <w:proofErr w:type="spellStart"/>
      <w:r w:rsidRPr="008A2601">
        <w:t>tsDMARDs</w:t>
      </w:r>
      <w:proofErr w:type="spellEnd"/>
      <w:r w:rsidR="00EB67B2" w:rsidRPr="008A2601">
        <w:t xml:space="preserve"> in terms of effectiveness</w:t>
      </w:r>
      <w:r w:rsidRPr="00FB42D1">
        <w:t xml:space="preserve">. In addition, a major programming error was identified during the evaluation, which </w:t>
      </w:r>
      <w:r w:rsidR="003C3921" w:rsidRPr="00FB42D1">
        <w:t xml:space="preserve">miscounted the total number of QALYs for patients in remission on subsequent lines of treatment. </w:t>
      </w:r>
      <w:r w:rsidRPr="008A2601">
        <w:t xml:space="preserve">After correcting this </w:t>
      </w:r>
      <w:r w:rsidR="003C3921" w:rsidRPr="008A2601">
        <w:t>programming error</w:t>
      </w:r>
      <w:r w:rsidRPr="008A2601">
        <w:t>,</w:t>
      </w:r>
      <w:r w:rsidR="003C3921" w:rsidRPr="008A2601">
        <w:t xml:space="preserve"> </w:t>
      </w:r>
      <w:r w:rsidRPr="008A2601">
        <w:t xml:space="preserve">the base case </w:t>
      </w:r>
      <w:r w:rsidR="003C3921" w:rsidRPr="008A2601">
        <w:t xml:space="preserve">ICER for GUS 100 mg </w:t>
      </w:r>
      <w:r w:rsidRPr="008A2601">
        <w:t xml:space="preserve">increased </w:t>
      </w:r>
      <w:r w:rsidR="003C3921" w:rsidRPr="008A2601">
        <w:t xml:space="preserve">by </w:t>
      </w:r>
      <w:r w:rsidR="00E77A69" w:rsidRPr="00E77A69">
        <w:rPr>
          <w:color w:val="000000"/>
          <w:w w:val="59"/>
          <w:shd w:val="solid" w:color="000000" w:fill="000000"/>
          <w:fitText w:val="460" w:id="-628921338"/>
          <w14:textFill>
            <w14:solidFill>
              <w14:srgbClr w14:val="000000">
                <w14:alpha w14:val="100000"/>
              </w14:srgbClr>
            </w14:solidFill>
          </w14:textFill>
        </w:rPr>
        <w:t>|||  ||</w:t>
      </w:r>
      <w:r w:rsidR="00E77A69" w:rsidRPr="00E77A69">
        <w:rPr>
          <w:color w:val="000000"/>
          <w:spacing w:val="5"/>
          <w:w w:val="59"/>
          <w:shd w:val="solid" w:color="000000" w:fill="000000"/>
          <w:fitText w:val="460" w:id="-628921338"/>
          <w14:textFill>
            <w14:solidFill>
              <w14:srgbClr w14:val="000000">
                <w14:alpha w14:val="100000"/>
              </w14:srgbClr>
            </w14:solidFill>
          </w14:textFill>
        </w:rPr>
        <w:t>|</w:t>
      </w:r>
      <w:r w:rsidR="003C3921" w:rsidRPr="008A2601">
        <w:t xml:space="preserve">% (from </w:t>
      </w:r>
      <w:r w:rsidR="004C75ED" w:rsidRPr="004C75ED">
        <w:t>$25,000 to &lt; $35,000</w:t>
      </w:r>
      <w:r w:rsidR="003C3921" w:rsidRPr="008A2601">
        <w:t xml:space="preserve">/QALY to </w:t>
      </w:r>
      <w:r w:rsidR="00037D0E" w:rsidRPr="00037D0E">
        <w:t>$75,000 to &lt; $95,000</w:t>
      </w:r>
      <w:r w:rsidR="003C3921" w:rsidRPr="008A2601">
        <w:t xml:space="preserve">/QALY) and </w:t>
      </w:r>
      <w:r w:rsidRPr="008A2601">
        <w:t xml:space="preserve">the base case ICER </w:t>
      </w:r>
      <w:r w:rsidR="003C3921" w:rsidRPr="008A2601">
        <w:t xml:space="preserve">for GUS 200 mg </w:t>
      </w:r>
      <w:r w:rsidRPr="008A2601">
        <w:t xml:space="preserve">increased </w:t>
      </w:r>
      <w:r w:rsidR="003C3921" w:rsidRPr="008A2601">
        <w:t xml:space="preserve">by </w:t>
      </w:r>
      <w:r w:rsidR="00E77A69" w:rsidRPr="00E77A69">
        <w:rPr>
          <w:color w:val="000000"/>
          <w:w w:val="59"/>
          <w:shd w:val="solid" w:color="000000" w:fill="000000"/>
          <w:fitText w:val="460" w:id="-628921337"/>
          <w14:textFill>
            <w14:solidFill>
              <w14:srgbClr w14:val="000000">
                <w14:alpha w14:val="100000"/>
              </w14:srgbClr>
            </w14:solidFill>
          </w14:textFill>
        </w:rPr>
        <w:t>|||  ||</w:t>
      </w:r>
      <w:r w:rsidR="00E77A69" w:rsidRPr="00E77A69">
        <w:rPr>
          <w:color w:val="000000"/>
          <w:spacing w:val="5"/>
          <w:w w:val="59"/>
          <w:shd w:val="solid" w:color="000000" w:fill="000000"/>
          <w:fitText w:val="460" w:id="-628921337"/>
          <w14:textFill>
            <w14:solidFill>
              <w14:srgbClr w14:val="000000">
                <w14:alpha w14:val="100000"/>
              </w14:srgbClr>
            </w14:solidFill>
          </w14:textFill>
        </w:rPr>
        <w:t>|</w:t>
      </w:r>
      <w:r w:rsidR="003C3921" w:rsidRPr="008A2601">
        <w:t xml:space="preserve">% (from </w:t>
      </w:r>
      <w:r w:rsidR="00C235D2" w:rsidRPr="00C235D2">
        <w:t>$15,000 to &lt; $25,000</w:t>
      </w:r>
      <w:r w:rsidR="003C3921" w:rsidRPr="008A2601">
        <w:t xml:space="preserve">/QALY to </w:t>
      </w:r>
      <w:r w:rsidR="00BF24DD" w:rsidRPr="00BF24DD">
        <w:t xml:space="preserve">$55,000 to &lt; $75,000 </w:t>
      </w:r>
      <w:r w:rsidR="003C3921" w:rsidRPr="008A2601">
        <w:t>/QALY).</w:t>
      </w:r>
    </w:p>
    <w:p w14:paraId="445767D9" w14:textId="5E14A916" w:rsidR="00AE5432" w:rsidRDefault="003C3921" w:rsidP="00641FB3">
      <w:pPr>
        <w:pStyle w:val="3-BodyText"/>
        <w:rPr>
          <w:lang w:val="en-US"/>
        </w:rPr>
      </w:pPr>
      <w:r w:rsidRPr="003C3921">
        <w:rPr>
          <w:lang w:val="en-US"/>
        </w:rPr>
        <w:t xml:space="preserve">Key components of the economic evaluation are </w:t>
      </w:r>
      <w:proofErr w:type="spellStart"/>
      <w:r w:rsidRPr="003C3921">
        <w:rPr>
          <w:lang w:val="en-US"/>
        </w:rPr>
        <w:t>summarised</w:t>
      </w:r>
      <w:proofErr w:type="spellEnd"/>
      <w:r w:rsidRPr="003C3921">
        <w:rPr>
          <w:lang w:val="en-US"/>
        </w:rPr>
        <w:t xml:space="preserve"> in </w:t>
      </w:r>
      <w:r>
        <w:rPr>
          <w:lang w:val="en-US"/>
        </w:rPr>
        <w:fldChar w:fldCharType="begin"/>
      </w:r>
      <w:r>
        <w:rPr>
          <w:lang w:val="en-US"/>
        </w:rPr>
        <w:instrText xml:space="preserve"> REF _Ref197700436 \h </w:instrText>
      </w:r>
      <w:r>
        <w:rPr>
          <w:lang w:val="en-US"/>
        </w:rPr>
      </w:r>
      <w:r>
        <w:rPr>
          <w:lang w:val="en-US"/>
        </w:rPr>
        <w:fldChar w:fldCharType="separate"/>
      </w:r>
      <w:r w:rsidR="000756FD">
        <w:t xml:space="preserve">Table </w:t>
      </w:r>
      <w:r w:rsidR="000756FD">
        <w:rPr>
          <w:noProof/>
        </w:rPr>
        <w:t>11</w:t>
      </w:r>
      <w:r>
        <w:rPr>
          <w:lang w:val="en-US"/>
        </w:rPr>
        <w:fldChar w:fldCharType="end"/>
      </w:r>
      <w:r w:rsidRPr="003C3921">
        <w:rPr>
          <w:lang w:val="en-US"/>
        </w:rPr>
        <w:t>.</w:t>
      </w:r>
    </w:p>
    <w:p w14:paraId="23818614" w14:textId="066C4E1B" w:rsidR="003C3921" w:rsidRPr="00DE2304" w:rsidRDefault="003C3921" w:rsidP="00185675">
      <w:pPr>
        <w:pStyle w:val="Caption"/>
        <w:jc w:val="left"/>
        <w:rPr>
          <w:rStyle w:val="CommentReference"/>
          <w:b/>
          <w:szCs w:val="24"/>
        </w:rPr>
      </w:pPr>
      <w:bookmarkStart w:id="52" w:name="_Ref197700436"/>
      <w:r>
        <w:lastRenderedPageBreak/>
        <w:t xml:space="preserve">Table </w:t>
      </w:r>
      <w:r w:rsidR="00DC5F25">
        <w:fldChar w:fldCharType="begin"/>
      </w:r>
      <w:r w:rsidR="00DC5F25">
        <w:instrText xml:space="preserve"> SEQ Table \* ARABIC </w:instrText>
      </w:r>
      <w:r w:rsidR="00DC5F25">
        <w:fldChar w:fldCharType="separate"/>
      </w:r>
      <w:r w:rsidR="000756FD">
        <w:rPr>
          <w:noProof/>
        </w:rPr>
        <w:t>11</w:t>
      </w:r>
      <w:r w:rsidR="00DC5F25">
        <w:rPr>
          <w:noProof/>
        </w:rPr>
        <w:fldChar w:fldCharType="end"/>
      </w:r>
      <w:bookmarkEnd w:id="52"/>
      <w:r>
        <w:t>:</w:t>
      </w:r>
      <w:r w:rsidRPr="00DE2304">
        <w:rPr>
          <w:rStyle w:val="CommentReference"/>
          <w:b/>
          <w:szCs w:val="24"/>
        </w:rPr>
        <w:t xml:space="preserve">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1: Key components of the economic evaluation"/>
      </w:tblPr>
      <w:tblGrid>
        <w:gridCol w:w="1271"/>
        <w:gridCol w:w="7746"/>
      </w:tblGrid>
      <w:tr w:rsidR="00763CA8" w:rsidRPr="00E05630" w14:paraId="07D66462" w14:textId="77777777" w:rsidTr="00185675">
        <w:trPr>
          <w:cantSplit/>
          <w:tblHeader/>
        </w:trPr>
        <w:tc>
          <w:tcPr>
            <w:tcW w:w="705" w:type="pct"/>
            <w:vAlign w:val="center"/>
          </w:tcPr>
          <w:p w14:paraId="3B01629D" w14:textId="77777777" w:rsidR="00763CA8" w:rsidRPr="00E05630" w:rsidRDefault="00763CA8" w:rsidP="00185675">
            <w:pPr>
              <w:pStyle w:val="In-tableHeading"/>
              <w:keepLines/>
              <w:jc w:val="center"/>
            </w:pPr>
            <w:r w:rsidRPr="00E05630">
              <w:t>Component</w:t>
            </w:r>
          </w:p>
        </w:tc>
        <w:tc>
          <w:tcPr>
            <w:tcW w:w="4295" w:type="pct"/>
          </w:tcPr>
          <w:p w14:paraId="56F81F52" w14:textId="6C90AA92" w:rsidR="00763CA8" w:rsidRPr="00E05630" w:rsidRDefault="00763CA8" w:rsidP="00185675">
            <w:pPr>
              <w:pStyle w:val="In-tableHeading"/>
              <w:keepLines/>
              <w:jc w:val="center"/>
            </w:pPr>
            <w:r>
              <w:t>Summary</w:t>
            </w:r>
          </w:p>
        </w:tc>
      </w:tr>
      <w:tr w:rsidR="00763CA8" w:rsidRPr="004E2ADC" w14:paraId="3F6FA212" w14:textId="77777777" w:rsidTr="00185675">
        <w:trPr>
          <w:cantSplit/>
        </w:trPr>
        <w:tc>
          <w:tcPr>
            <w:tcW w:w="705" w:type="pct"/>
            <w:vAlign w:val="center"/>
          </w:tcPr>
          <w:p w14:paraId="46D5C40A" w14:textId="77777777" w:rsidR="00763CA8" w:rsidRPr="004E2ADC" w:rsidRDefault="00763CA8" w:rsidP="00185675">
            <w:pPr>
              <w:pStyle w:val="TableText0"/>
              <w:keepLines/>
            </w:pPr>
            <w:r>
              <w:t>Type of analysis</w:t>
            </w:r>
          </w:p>
        </w:tc>
        <w:tc>
          <w:tcPr>
            <w:tcW w:w="4295" w:type="pct"/>
            <w:vAlign w:val="center"/>
          </w:tcPr>
          <w:p w14:paraId="3D4C9EAA" w14:textId="54D872B0" w:rsidR="00763CA8" w:rsidRPr="008A2601" w:rsidRDefault="00763CA8" w:rsidP="00185675">
            <w:pPr>
              <w:pStyle w:val="TableText0"/>
              <w:keepLines/>
            </w:pPr>
            <w:r w:rsidRPr="008A2601">
              <w:t>Cost-utility analysis</w:t>
            </w:r>
          </w:p>
        </w:tc>
      </w:tr>
      <w:tr w:rsidR="00763CA8" w:rsidRPr="004E2ADC" w14:paraId="148F39BF" w14:textId="77777777" w:rsidTr="00185675">
        <w:trPr>
          <w:cantSplit/>
        </w:trPr>
        <w:tc>
          <w:tcPr>
            <w:tcW w:w="705" w:type="pct"/>
            <w:vAlign w:val="center"/>
          </w:tcPr>
          <w:p w14:paraId="38A95CDD" w14:textId="77777777" w:rsidR="00763CA8" w:rsidRPr="004E2ADC" w:rsidRDefault="00763CA8" w:rsidP="00185675">
            <w:pPr>
              <w:pStyle w:val="TableText0"/>
              <w:keepLines/>
            </w:pPr>
            <w:r>
              <w:t>Outcomes</w:t>
            </w:r>
          </w:p>
        </w:tc>
        <w:tc>
          <w:tcPr>
            <w:tcW w:w="4295" w:type="pct"/>
            <w:vAlign w:val="center"/>
          </w:tcPr>
          <w:p w14:paraId="5CF24B1E" w14:textId="77777777" w:rsidR="00763CA8" w:rsidRPr="008A2601" w:rsidRDefault="00763CA8" w:rsidP="00185675">
            <w:pPr>
              <w:pStyle w:val="TableText0"/>
              <w:keepLines/>
            </w:pPr>
            <w:r w:rsidRPr="008A2601">
              <w:t>Life years (LYs) gained, quality-adjusted life years (QALYs) gained</w:t>
            </w:r>
          </w:p>
          <w:p w14:paraId="75DC03EB" w14:textId="08EDD767" w:rsidR="00763CA8" w:rsidRPr="008A2601" w:rsidRDefault="00763CA8" w:rsidP="00185675">
            <w:pPr>
              <w:pStyle w:val="TableText0"/>
              <w:keepLines/>
            </w:pPr>
          </w:p>
        </w:tc>
      </w:tr>
      <w:tr w:rsidR="001A17FB" w:rsidRPr="004E2ADC" w14:paraId="46730955" w14:textId="77777777" w:rsidTr="00185675">
        <w:trPr>
          <w:cantSplit/>
        </w:trPr>
        <w:tc>
          <w:tcPr>
            <w:tcW w:w="705" w:type="pct"/>
            <w:vAlign w:val="center"/>
          </w:tcPr>
          <w:p w14:paraId="55A7131A" w14:textId="77777777" w:rsidR="001A17FB" w:rsidRPr="004E2ADC" w:rsidRDefault="001A17FB" w:rsidP="00185675">
            <w:pPr>
              <w:pStyle w:val="TableText0"/>
              <w:keepLines/>
            </w:pPr>
            <w:r>
              <w:t>Time horizon</w:t>
            </w:r>
          </w:p>
        </w:tc>
        <w:tc>
          <w:tcPr>
            <w:tcW w:w="4295" w:type="pct"/>
            <w:vAlign w:val="center"/>
          </w:tcPr>
          <w:p w14:paraId="32ECEDFE" w14:textId="58D3F487" w:rsidR="001A17FB" w:rsidRPr="008A2601" w:rsidRDefault="001A17FB" w:rsidP="00185675">
            <w:pPr>
              <w:pStyle w:val="TableText0"/>
              <w:keepLines/>
            </w:pPr>
            <w:r w:rsidRPr="008A2601">
              <w:t>10 years vs 48 weeks in GALAXI trials</w:t>
            </w:r>
            <w:r w:rsidR="00434985" w:rsidRPr="008A2601">
              <w:t>.</w:t>
            </w:r>
          </w:p>
        </w:tc>
      </w:tr>
      <w:tr w:rsidR="001A17FB" w:rsidRPr="004E2ADC" w14:paraId="7FFCD415" w14:textId="77777777" w:rsidTr="00185675">
        <w:trPr>
          <w:cantSplit/>
        </w:trPr>
        <w:tc>
          <w:tcPr>
            <w:tcW w:w="705" w:type="pct"/>
            <w:vAlign w:val="center"/>
          </w:tcPr>
          <w:p w14:paraId="4639D679" w14:textId="77777777" w:rsidR="001A17FB" w:rsidRPr="004E2ADC" w:rsidRDefault="001A17FB" w:rsidP="00185675">
            <w:pPr>
              <w:pStyle w:val="TableText0"/>
              <w:keepLines/>
            </w:pPr>
            <w:r>
              <w:t>Methods used to generate results</w:t>
            </w:r>
          </w:p>
        </w:tc>
        <w:tc>
          <w:tcPr>
            <w:tcW w:w="4295" w:type="pct"/>
            <w:vAlign w:val="center"/>
          </w:tcPr>
          <w:p w14:paraId="6838C258" w14:textId="413E0B23" w:rsidR="001A17FB" w:rsidRPr="008A2601" w:rsidRDefault="001A17FB" w:rsidP="00185675">
            <w:pPr>
              <w:pStyle w:val="TableText0"/>
              <w:keepLines/>
            </w:pPr>
            <w:r w:rsidRPr="008A2601">
              <w:t>Induction period: decision-tree</w:t>
            </w:r>
            <w:r w:rsidR="00434985" w:rsidRPr="008A2601">
              <w:t>.</w:t>
            </w:r>
          </w:p>
          <w:p w14:paraId="3AC05800" w14:textId="50CDF032" w:rsidR="001A17FB" w:rsidRPr="008A2601" w:rsidRDefault="001A17FB" w:rsidP="00185675">
            <w:pPr>
              <w:pStyle w:val="TableText0"/>
              <w:keepLines/>
            </w:pPr>
            <w:r w:rsidRPr="008A2601">
              <w:t>Maintenance (post-induction) period: Markov model</w:t>
            </w:r>
            <w:r w:rsidR="00434985" w:rsidRPr="008A2601">
              <w:t>.</w:t>
            </w:r>
          </w:p>
        </w:tc>
      </w:tr>
      <w:tr w:rsidR="001A17FB" w:rsidRPr="004E2ADC" w14:paraId="14BA1294" w14:textId="77777777" w:rsidTr="00185675">
        <w:trPr>
          <w:cantSplit/>
        </w:trPr>
        <w:tc>
          <w:tcPr>
            <w:tcW w:w="705" w:type="pct"/>
            <w:vAlign w:val="center"/>
          </w:tcPr>
          <w:p w14:paraId="216132E6" w14:textId="77777777" w:rsidR="001A17FB" w:rsidRPr="004E2ADC" w:rsidRDefault="001A17FB" w:rsidP="00185675">
            <w:pPr>
              <w:pStyle w:val="TableText0"/>
              <w:keepLines/>
            </w:pPr>
            <w:r>
              <w:t>Health states</w:t>
            </w:r>
          </w:p>
        </w:tc>
        <w:tc>
          <w:tcPr>
            <w:tcW w:w="4295" w:type="pct"/>
            <w:vAlign w:val="center"/>
          </w:tcPr>
          <w:p w14:paraId="05A79C3F" w14:textId="7C88512B" w:rsidR="001A17FB" w:rsidRPr="008A2601" w:rsidRDefault="001A17FB" w:rsidP="00185675">
            <w:pPr>
              <w:pStyle w:val="TableText0"/>
              <w:keepLines/>
            </w:pPr>
            <w:r w:rsidRPr="008A2601">
              <w:t>Clinical remission (CDAI &lt;150), Clinical remission with endoscopic response (CDAI &lt;150 and ≥ 50% improvement from baseline in the SES-CD or SES-CD score ≤ 2), Clinical remission without endoscopic response, Active Crohn’s disease (CDAI ≥ 150), and Death</w:t>
            </w:r>
            <w:r w:rsidR="00434985" w:rsidRPr="008A2601">
              <w:t>.</w:t>
            </w:r>
          </w:p>
          <w:p w14:paraId="04C500BD" w14:textId="4EFF4B6C" w:rsidR="001A17FB" w:rsidRPr="008A2601" w:rsidRDefault="001A17FB" w:rsidP="00185675">
            <w:pPr>
              <w:pStyle w:val="TableText0"/>
              <w:keepLines/>
            </w:pPr>
            <w:r w:rsidRPr="008A2601">
              <w:t xml:space="preserve">In general, the health states were consistent with published models in CD, which include health states based on response or non-response and disease activity (mild, moderate-severe). However, none of the models in the literature split the clinical remission health state </w:t>
            </w:r>
            <w:r w:rsidR="00434985" w:rsidRPr="008A2601">
              <w:t xml:space="preserve">into </w:t>
            </w:r>
            <w:r w:rsidRPr="008A2601">
              <w:t>those with and without endoscopic response.</w:t>
            </w:r>
          </w:p>
        </w:tc>
      </w:tr>
      <w:tr w:rsidR="001A17FB" w:rsidRPr="004E2ADC" w14:paraId="4ED70D86" w14:textId="77777777" w:rsidTr="00185675">
        <w:trPr>
          <w:cantSplit/>
        </w:trPr>
        <w:tc>
          <w:tcPr>
            <w:tcW w:w="705" w:type="pct"/>
            <w:vAlign w:val="center"/>
          </w:tcPr>
          <w:p w14:paraId="416768EB" w14:textId="77777777" w:rsidR="001A17FB" w:rsidRPr="004E2ADC" w:rsidRDefault="001A17FB" w:rsidP="00286E68">
            <w:pPr>
              <w:pStyle w:val="TableText0"/>
              <w:keepNext w:val="0"/>
            </w:pPr>
            <w:r>
              <w:t>Cycle length</w:t>
            </w:r>
          </w:p>
        </w:tc>
        <w:tc>
          <w:tcPr>
            <w:tcW w:w="4295" w:type="pct"/>
            <w:vAlign w:val="center"/>
          </w:tcPr>
          <w:p w14:paraId="68EFB3F1" w14:textId="7864615C" w:rsidR="001A17FB" w:rsidRPr="008A2601" w:rsidRDefault="001A17FB" w:rsidP="00286E68">
            <w:pPr>
              <w:pStyle w:val="TableText0"/>
              <w:keepNext w:val="0"/>
            </w:pPr>
            <w:r w:rsidRPr="008A2601">
              <w:t xml:space="preserve">2 weeks </w:t>
            </w:r>
          </w:p>
        </w:tc>
      </w:tr>
      <w:tr w:rsidR="001A17FB" w:rsidRPr="004E2ADC" w14:paraId="3C2EC918" w14:textId="77777777" w:rsidTr="00185675">
        <w:trPr>
          <w:cantSplit/>
        </w:trPr>
        <w:tc>
          <w:tcPr>
            <w:tcW w:w="705" w:type="pct"/>
            <w:vAlign w:val="center"/>
          </w:tcPr>
          <w:p w14:paraId="2B2EB9E1" w14:textId="77777777" w:rsidR="001A17FB" w:rsidRPr="004E2ADC" w:rsidRDefault="001A17FB" w:rsidP="00286E68">
            <w:pPr>
              <w:pStyle w:val="TableText0"/>
              <w:keepNext w:val="0"/>
            </w:pPr>
            <w:r>
              <w:t>Transition probabilities</w:t>
            </w:r>
          </w:p>
        </w:tc>
        <w:tc>
          <w:tcPr>
            <w:tcW w:w="4295" w:type="pct"/>
            <w:vAlign w:val="center"/>
          </w:tcPr>
          <w:p w14:paraId="27738B70" w14:textId="2CC0F31D" w:rsidR="001A17FB" w:rsidRPr="008A2601" w:rsidRDefault="001A17FB" w:rsidP="00096092">
            <w:pPr>
              <w:pStyle w:val="TableText0"/>
              <w:keepNext w:val="0"/>
              <w:numPr>
                <w:ilvl w:val="0"/>
                <w:numId w:val="18"/>
              </w:numPr>
              <w:ind w:left="253" w:hanging="253"/>
            </w:pPr>
            <w:r w:rsidRPr="008A2601">
              <w:t>Proportion of patients with clinical remission at the end of induction treatment, based on a</w:t>
            </w:r>
            <w:r w:rsidR="00744DAF">
              <w:t>n unanchored (naïve)</w:t>
            </w:r>
            <w:r w:rsidRPr="008A2601">
              <w:t xml:space="preserve">comparison of the active treatment arms in the induction phase trials. </w:t>
            </w:r>
          </w:p>
          <w:p w14:paraId="16B903B5" w14:textId="013B5FE7" w:rsidR="001A17FB" w:rsidRPr="008A2601" w:rsidRDefault="001A17FB" w:rsidP="00096092">
            <w:pPr>
              <w:pStyle w:val="TableText0"/>
              <w:keepNext w:val="0"/>
              <w:numPr>
                <w:ilvl w:val="0"/>
                <w:numId w:val="18"/>
              </w:numPr>
              <w:ind w:left="253" w:hanging="253"/>
            </w:pPr>
            <w:r w:rsidRPr="008A2601">
              <w:t xml:space="preserve">Loss of clinical remission after </w:t>
            </w:r>
            <w:r w:rsidR="00434985" w:rsidRPr="008A2601">
              <w:t xml:space="preserve">the </w:t>
            </w:r>
            <w:r w:rsidRPr="008A2601">
              <w:t>induction period per cycle, calculated assuming an exponential discontinuation rate based on the proportion of patients who maintain clinical remission between the end of induction and Week 48</w:t>
            </w:r>
            <w:r w:rsidR="00AC0142" w:rsidRPr="008A2601">
              <w:t>-</w:t>
            </w:r>
            <w:r w:rsidRPr="008A2601">
              <w:t>60. The proportion of patients in clinical remission at Week 48</w:t>
            </w:r>
            <w:r w:rsidR="00AC0142" w:rsidRPr="008A2601">
              <w:t>-</w:t>
            </w:r>
            <w:r w:rsidRPr="008A2601">
              <w:t>60</w:t>
            </w:r>
            <w:r w:rsidR="00A244A4" w:rsidRPr="008A2601">
              <w:t>,</w:t>
            </w:r>
            <w:r w:rsidRPr="008A2601">
              <w:t xml:space="preserve"> conditional on clinical remission at the end of induction</w:t>
            </w:r>
            <w:r w:rsidR="00A244A4" w:rsidRPr="008A2601">
              <w:t>,</w:t>
            </w:r>
            <w:r w:rsidRPr="008A2601">
              <w:t xml:space="preserve"> was estimated from the proportion of patients with sustained clinical remission in the GALAXI trials and results of the trial-design-adjusted NMA in terms of clinical remission at Week 48-60.</w:t>
            </w:r>
            <w:r w:rsidR="0040374D" w:rsidRPr="008A2601">
              <w:t xml:space="preserve"> </w:t>
            </w:r>
          </w:p>
          <w:p w14:paraId="52CFFD30" w14:textId="4F5BA7FB" w:rsidR="001A17FB" w:rsidRPr="008A2601" w:rsidRDefault="001A17FB" w:rsidP="00096092">
            <w:pPr>
              <w:pStyle w:val="TableText0"/>
              <w:keepNext w:val="0"/>
              <w:numPr>
                <w:ilvl w:val="0"/>
                <w:numId w:val="18"/>
              </w:numPr>
              <w:ind w:left="253" w:hanging="253"/>
            </w:pPr>
            <w:r w:rsidRPr="008A2601">
              <w:t>From Week 48,</w:t>
            </w:r>
            <w:r w:rsidR="00A244A4" w:rsidRPr="008A2601">
              <w:t xml:space="preserve"> the</w:t>
            </w:r>
            <w:r w:rsidRPr="008A2601">
              <w:t xml:space="preserve"> proportion</w:t>
            </w:r>
            <w:r w:rsidR="00A244A4" w:rsidRPr="008A2601">
              <w:t>s</w:t>
            </w:r>
            <w:r w:rsidRPr="008A2601">
              <w:t xml:space="preserve"> of patients in sustained remission with and without endoscopic response were derived from post-hoc analysis from GALAXI 2 and GALAXI 3.</w:t>
            </w:r>
          </w:p>
          <w:p w14:paraId="1030EA64" w14:textId="0D6599AB" w:rsidR="001A17FB" w:rsidRPr="008A2601" w:rsidRDefault="00A244A4" w:rsidP="00096092">
            <w:pPr>
              <w:pStyle w:val="TableText0"/>
              <w:keepNext w:val="0"/>
              <w:numPr>
                <w:ilvl w:val="0"/>
                <w:numId w:val="18"/>
              </w:numPr>
              <w:ind w:left="253" w:hanging="253"/>
            </w:pPr>
            <w:r w:rsidRPr="008A2601">
              <w:t>The p</w:t>
            </w:r>
            <w:r w:rsidR="001A17FB" w:rsidRPr="008A2601">
              <w:t>roportion</w:t>
            </w:r>
            <w:r w:rsidRPr="008A2601">
              <w:t>s</w:t>
            </w:r>
            <w:r w:rsidR="001A17FB" w:rsidRPr="008A2601">
              <w:t xml:space="preserve"> of patient with loss of clinical remission that move to subsequent treatment with b/</w:t>
            </w:r>
            <w:proofErr w:type="spellStart"/>
            <w:r w:rsidR="001A17FB" w:rsidRPr="008A2601">
              <w:t>tsDMARDs</w:t>
            </w:r>
            <w:proofErr w:type="spellEnd"/>
            <w:r w:rsidR="001A17FB" w:rsidRPr="008A2601">
              <w:t xml:space="preserve"> (2L and 3L) or conventional therapy w</w:t>
            </w:r>
            <w:r w:rsidRPr="008A2601">
              <w:t>ere</w:t>
            </w:r>
            <w:r w:rsidR="001A17FB" w:rsidRPr="008A2601">
              <w:t xml:space="preserve"> estimated from the sponsor commissioned analysis of 10% PBS data by Prospection.</w:t>
            </w:r>
            <w:r w:rsidR="0040374D" w:rsidRPr="008A2601">
              <w:t xml:space="preserve"> </w:t>
            </w:r>
            <w:proofErr w:type="gramStart"/>
            <w:r w:rsidR="0040374D" w:rsidRPr="008A2601">
              <w:t>A number of</w:t>
            </w:r>
            <w:proofErr w:type="gramEnd"/>
            <w:r w:rsidR="0040374D" w:rsidRPr="008A2601">
              <w:t xml:space="preserve"> parameters for subsequent treatments could not be verified from the Prospection report. It was also unclear whether assuming different subsequent treatment options and uptakes was reasonable, given </w:t>
            </w:r>
            <w:r w:rsidRPr="008A2601">
              <w:t xml:space="preserve">that </w:t>
            </w:r>
            <w:r w:rsidR="0040374D" w:rsidRPr="008A2601">
              <w:t>the assumptions favoured GUS.</w:t>
            </w:r>
          </w:p>
          <w:p w14:paraId="1CDF438A" w14:textId="53C14D50" w:rsidR="001A17FB" w:rsidRPr="008A2601" w:rsidRDefault="001A17FB" w:rsidP="00096092">
            <w:pPr>
              <w:pStyle w:val="TableText0"/>
              <w:keepNext w:val="0"/>
              <w:numPr>
                <w:ilvl w:val="0"/>
                <w:numId w:val="18"/>
              </w:numPr>
              <w:ind w:left="253" w:hanging="253"/>
            </w:pPr>
            <w:r w:rsidRPr="008A2601">
              <w:t>All-cause mortality (life tables)</w:t>
            </w:r>
          </w:p>
        </w:tc>
      </w:tr>
      <w:tr w:rsidR="000D22DF" w:rsidRPr="004E2ADC" w14:paraId="0F6FF522" w14:textId="77777777" w:rsidTr="00185675">
        <w:trPr>
          <w:cantSplit/>
        </w:trPr>
        <w:tc>
          <w:tcPr>
            <w:tcW w:w="705" w:type="pct"/>
            <w:vAlign w:val="center"/>
          </w:tcPr>
          <w:p w14:paraId="75EE5C35" w14:textId="68C6EDAC" w:rsidR="000D22DF" w:rsidRDefault="000D22DF" w:rsidP="00286E68">
            <w:pPr>
              <w:pStyle w:val="TableText0"/>
              <w:keepNext w:val="0"/>
            </w:pPr>
            <w:r>
              <w:t>Utilities</w:t>
            </w:r>
          </w:p>
        </w:tc>
        <w:tc>
          <w:tcPr>
            <w:tcW w:w="4295" w:type="pct"/>
            <w:vAlign w:val="center"/>
          </w:tcPr>
          <w:p w14:paraId="0C89438B" w14:textId="036A610C" w:rsidR="000D22DF" w:rsidRPr="008A2601" w:rsidRDefault="000D22DF" w:rsidP="00286E68">
            <w:pPr>
              <w:pStyle w:val="TableText0"/>
              <w:keepNext w:val="0"/>
            </w:pPr>
            <w:r w:rsidRPr="008A2601">
              <w:t xml:space="preserve">Health state utilities for remission (before Week 48) and active CD based on </w:t>
            </w:r>
            <w:proofErr w:type="spellStart"/>
            <w:r w:rsidRPr="008A2601">
              <w:t>AQoL</w:t>
            </w:r>
            <w:proofErr w:type="spellEnd"/>
            <w:r w:rsidRPr="008A2601">
              <w:t xml:space="preserve"> values reported in Gibson 2007. Utilities for clinical remission with/without endoscopic response were calculated using the ratio of EQ-5D values for remission with/without endoscopic remission reported in Danese 2019 to overall EQ-5D value for remission multiplied by the </w:t>
            </w:r>
            <w:proofErr w:type="spellStart"/>
            <w:r w:rsidRPr="008A2601">
              <w:t>AQoL</w:t>
            </w:r>
            <w:proofErr w:type="spellEnd"/>
            <w:r w:rsidRPr="008A2601">
              <w:t xml:space="preserve"> utility for remission and Danese 2019.</w:t>
            </w:r>
          </w:p>
          <w:tbl>
            <w:tblPr>
              <w:tblStyle w:val="TableGrid"/>
              <w:tblW w:w="0" w:type="auto"/>
              <w:tblCellMar>
                <w:left w:w="28" w:type="dxa"/>
                <w:right w:w="28" w:type="dxa"/>
              </w:tblCellMar>
              <w:tblLook w:val="04A0" w:firstRow="1" w:lastRow="0" w:firstColumn="1" w:lastColumn="0" w:noHBand="0" w:noVBand="1"/>
            </w:tblPr>
            <w:tblGrid>
              <w:gridCol w:w="3796"/>
              <w:gridCol w:w="2051"/>
            </w:tblGrid>
            <w:tr w:rsidR="000D22DF" w:rsidRPr="008A2601" w14:paraId="4E0798E8" w14:textId="77777777" w:rsidTr="000D22DF">
              <w:trPr>
                <w:trHeight w:val="201"/>
              </w:trPr>
              <w:tc>
                <w:tcPr>
                  <w:tcW w:w="3796" w:type="dxa"/>
                  <w:vAlign w:val="center"/>
                </w:tcPr>
                <w:p w14:paraId="2BFA7397" w14:textId="77777777" w:rsidR="000D22DF" w:rsidRPr="008A2601" w:rsidRDefault="000D22DF" w:rsidP="000D22DF">
                  <w:pPr>
                    <w:jc w:val="left"/>
                    <w:rPr>
                      <w:rFonts w:ascii="Arial Narrow" w:hAnsi="Arial Narrow"/>
                      <w:b/>
                      <w:bCs/>
                      <w:sz w:val="18"/>
                      <w:szCs w:val="18"/>
                    </w:rPr>
                  </w:pPr>
                  <w:r w:rsidRPr="008A2601">
                    <w:rPr>
                      <w:rFonts w:ascii="Arial Narrow" w:hAnsi="Arial Narrow"/>
                      <w:b/>
                      <w:bCs/>
                      <w:sz w:val="18"/>
                      <w:szCs w:val="18"/>
                    </w:rPr>
                    <w:t>Health State</w:t>
                  </w:r>
                </w:p>
              </w:tc>
              <w:tc>
                <w:tcPr>
                  <w:tcW w:w="2051" w:type="dxa"/>
                  <w:vAlign w:val="center"/>
                </w:tcPr>
                <w:p w14:paraId="520968D5" w14:textId="77777777" w:rsidR="000D22DF" w:rsidRPr="008A2601" w:rsidRDefault="000D22DF" w:rsidP="000D22DF">
                  <w:pPr>
                    <w:jc w:val="center"/>
                    <w:rPr>
                      <w:rFonts w:ascii="Arial Narrow" w:hAnsi="Arial Narrow"/>
                      <w:b/>
                      <w:bCs/>
                      <w:sz w:val="18"/>
                      <w:szCs w:val="18"/>
                    </w:rPr>
                  </w:pPr>
                  <w:r w:rsidRPr="008A2601">
                    <w:rPr>
                      <w:rFonts w:ascii="Arial Narrow" w:hAnsi="Arial Narrow"/>
                      <w:b/>
                      <w:bCs/>
                      <w:sz w:val="18"/>
                      <w:szCs w:val="18"/>
                    </w:rPr>
                    <w:t>Modelled utility values</w:t>
                  </w:r>
                </w:p>
              </w:tc>
            </w:tr>
            <w:tr w:rsidR="000D22DF" w:rsidRPr="008A2601" w14:paraId="786F9740" w14:textId="77777777" w:rsidTr="000D22DF">
              <w:trPr>
                <w:trHeight w:val="214"/>
              </w:trPr>
              <w:tc>
                <w:tcPr>
                  <w:tcW w:w="3796" w:type="dxa"/>
                  <w:vAlign w:val="center"/>
                </w:tcPr>
                <w:p w14:paraId="1481DAD8" w14:textId="77777777" w:rsidR="000D22DF" w:rsidRPr="008A2601" w:rsidRDefault="000D22DF" w:rsidP="000D22DF">
                  <w:pPr>
                    <w:jc w:val="left"/>
                    <w:rPr>
                      <w:rFonts w:ascii="Arial Narrow" w:hAnsi="Arial Narrow"/>
                      <w:sz w:val="18"/>
                      <w:szCs w:val="18"/>
                    </w:rPr>
                  </w:pPr>
                  <w:r w:rsidRPr="008A2601">
                    <w:rPr>
                      <w:rFonts w:ascii="Arial Narrow" w:hAnsi="Arial Narrow"/>
                      <w:sz w:val="18"/>
                      <w:szCs w:val="18"/>
                    </w:rPr>
                    <w:t>Remission (before Week 48)</w:t>
                  </w:r>
                </w:p>
              </w:tc>
              <w:tc>
                <w:tcPr>
                  <w:tcW w:w="2051" w:type="dxa"/>
                  <w:vAlign w:val="center"/>
                </w:tcPr>
                <w:p w14:paraId="6B535EFA" w14:textId="77777777" w:rsidR="000D22DF" w:rsidRPr="008A2601" w:rsidRDefault="000D22DF" w:rsidP="000D22DF">
                  <w:pPr>
                    <w:jc w:val="center"/>
                    <w:rPr>
                      <w:rFonts w:ascii="Arial Narrow" w:hAnsi="Arial Narrow"/>
                      <w:sz w:val="18"/>
                      <w:szCs w:val="18"/>
                    </w:rPr>
                  </w:pPr>
                  <w:r w:rsidRPr="008A2601">
                    <w:rPr>
                      <w:rFonts w:ascii="Arial Narrow" w:hAnsi="Arial Narrow"/>
                      <w:sz w:val="18"/>
                      <w:szCs w:val="18"/>
                    </w:rPr>
                    <w:t>0.766</w:t>
                  </w:r>
                </w:p>
              </w:tc>
            </w:tr>
            <w:tr w:rsidR="000D22DF" w:rsidRPr="008A2601" w14:paraId="4C2704BF" w14:textId="77777777" w:rsidTr="000D22DF">
              <w:trPr>
                <w:trHeight w:val="155"/>
              </w:trPr>
              <w:tc>
                <w:tcPr>
                  <w:tcW w:w="3796" w:type="dxa"/>
                  <w:vAlign w:val="center"/>
                </w:tcPr>
                <w:p w14:paraId="6C0A6AF5" w14:textId="77777777" w:rsidR="000D22DF" w:rsidRPr="008A2601" w:rsidRDefault="000D22DF" w:rsidP="000D22DF">
                  <w:pPr>
                    <w:jc w:val="left"/>
                    <w:rPr>
                      <w:rFonts w:ascii="Arial Narrow" w:hAnsi="Arial Narrow"/>
                      <w:sz w:val="18"/>
                      <w:szCs w:val="18"/>
                    </w:rPr>
                  </w:pPr>
                  <w:r w:rsidRPr="008A2601">
                    <w:rPr>
                      <w:rFonts w:ascii="Arial Narrow" w:hAnsi="Arial Narrow"/>
                      <w:sz w:val="18"/>
                      <w:szCs w:val="18"/>
                    </w:rPr>
                    <w:t>Remission with endoscopic response (after Week 48)</w:t>
                  </w:r>
                </w:p>
              </w:tc>
              <w:tc>
                <w:tcPr>
                  <w:tcW w:w="2051" w:type="dxa"/>
                  <w:vAlign w:val="center"/>
                </w:tcPr>
                <w:p w14:paraId="05E20D5B" w14:textId="77777777" w:rsidR="000D22DF" w:rsidRPr="008A2601" w:rsidRDefault="000D22DF" w:rsidP="000D22DF">
                  <w:pPr>
                    <w:jc w:val="center"/>
                    <w:rPr>
                      <w:rFonts w:ascii="Arial Narrow" w:hAnsi="Arial Narrow"/>
                      <w:sz w:val="18"/>
                      <w:szCs w:val="18"/>
                    </w:rPr>
                  </w:pPr>
                  <w:r w:rsidRPr="008A2601">
                    <w:rPr>
                      <w:rFonts w:ascii="Arial Narrow" w:hAnsi="Arial Narrow"/>
                      <w:sz w:val="18"/>
                      <w:szCs w:val="18"/>
                    </w:rPr>
                    <w:t>0.820</w:t>
                  </w:r>
                </w:p>
              </w:tc>
            </w:tr>
            <w:tr w:rsidR="000D22DF" w:rsidRPr="008A2601" w14:paraId="2B865050" w14:textId="77777777" w:rsidTr="000D22DF">
              <w:trPr>
                <w:trHeight w:val="87"/>
              </w:trPr>
              <w:tc>
                <w:tcPr>
                  <w:tcW w:w="3796" w:type="dxa"/>
                  <w:vAlign w:val="center"/>
                </w:tcPr>
                <w:p w14:paraId="0FEDDF11" w14:textId="77777777" w:rsidR="000D22DF" w:rsidRPr="008A2601" w:rsidRDefault="000D22DF" w:rsidP="000D22DF">
                  <w:pPr>
                    <w:jc w:val="left"/>
                    <w:rPr>
                      <w:rFonts w:ascii="Arial Narrow" w:hAnsi="Arial Narrow"/>
                      <w:sz w:val="18"/>
                      <w:szCs w:val="18"/>
                    </w:rPr>
                  </w:pPr>
                  <w:r w:rsidRPr="008A2601">
                    <w:rPr>
                      <w:rFonts w:ascii="Arial Narrow" w:hAnsi="Arial Narrow"/>
                      <w:sz w:val="18"/>
                      <w:szCs w:val="18"/>
                    </w:rPr>
                    <w:t>Remission without endoscopic response (after Week 48)</w:t>
                  </w:r>
                </w:p>
              </w:tc>
              <w:tc>
                <w:tcPr>
                  <w:tcW w:w="2051" w:type="dxa"/>
                  <w:vAlign w:val="center"/>
                </w:tcPr>
                <w:p w14:paraId="569EF769" w14:textId="77777777" w:rsidR="000D22DF" w:rsidRPr="008A2601" w:rsidRDefault="000D22DF" w:rsidP="000D22DF">
                  <w:pPr>
                    <w:jc w:val="center"/>
                    <w:rPr>
                      <w:rFonts w:ascii="Arial Narrow" w:hAnsi="Arial Narrow"/>
                      <w:sz w:val="18"/>
                      <w:szCs w:val="18"/>
                    </w:rPr>
                  </w:pPr>
                  <w:r w:rsidRPr="008A2601">
                    <w:rPr>
                      <w:rFonts w:ascii="Arial Narrow" w:hAnsi="Arial Narrow"/>
                      <w:sz w:val="18"/>
                      <w:szCs w:val="18"/>
                    </w:rPr>
                    <w:t>0.748</w:t>
                  </w:r>
                </w:p>
              </w:tc>
            </w:tr>
            <w:tr w:rsidR="000D22DF" w:rsidRPr="008A2601" w14:paraId="47DDA425" w14:textId="77777777" w:rsidTr="000D22DF">
              <w:trPr>
                <w:trHeight w:val="201"/>
              </w:trPr>
              <w:tc>
                <w:tcPr>
                  <w:tcW w:w="3796" w:type="dxa"/>
                  <w:vAlign w:val="center"/>
                </w:tcPr>
                <w:p w14:paraId="5AC3C662" w14:textId="77777777" w:rsidR="000D22DF" w:rsidRPr="008A2601" w:rsidRDefault="000D22DF" w:rsidP="000D22DF">
                  <w:pPr>
                    <w:jc w:val="left"/>
                    <w:rPr>
                      <w:rFonts w:ascii="Arial Narrow" w:hAnsi="Arial Narrow"/>
                      <w:sz w:val="18"/>
                      <w:szCs w:val="18"/>
                    </w:rPr>
                  </w:pPr>
                  <w:r w:rsidRPr="008A2601">
                    <w:rPr>
                      <w:rFonts w:ascii="Arial Narrow" w:hAnsi="Arial Narrow"/>
                      <w:sz w:val="18"/>
                      <w:szCs w:val="18"/>
                    </w:rPr>
                    <w:t>Active disease</w:t>
                  </w:r>
                </w:p>
              </w:tc>
              <w:tc>
                <w:tcPr>
                  <w:tcW w:w="2051" w:type="dxa"/>
                  <w:vAlign w:val="center"/>
                </w:tcPr>
                <w:p w14:paraId="356A3E1D" w14:textId="77777777" w:rsidR="000D22DF" w:rsidRPr="008A2601" w:rsidRDefault="000D22DF" w:rsidP="000D22DF">
                  <w:pPr>
                    <w:jc w:val="center"/>
                    <w:rPr>
                      <w:rFonts w:ascii="Arial Narrow" w:hAnsi="Arial Narrow"/>
                      <w:sz w:val="18"/>
                      <w:szCs w:val="18"/>
                    </w:rPr>
                  </w:pPr>
                  <w:r w:rsidRPr="008A2601">
                    <w:rPr>
                      <w:rFonts w:ascii="Arial Narrow" w:hAnsi="Arial Narrow"/>
                      <w:sz w:val="18"/>
                      <w:szCs w:val="18"/>
                    </w:rPr>
                    <w:t>0.450</w:t>
                  </w:r>
                </w:p>
              </w:tc>
            </w:tr>
          </w:tbl>
          <w:p w14:paraId="43F0FEE8" w14:textId="0951111D" w:rsidR="000D22DF" w:rsidRPr="008A2601" w:rsidRDefault="000D22DF" w:rsidP="000D22DF">
            <w:pPr>
              <w:pStyle w:val="TableText0"/>
              <w:keepNext w:val="0"/>
            </w:pPr>
            <w:r w:rsidRPr="008A2601">
              <w:t xml:space="preserve">The ICER was sensitive to alternative utility values. Using the EQ-5D-5L scores from Danese 2019 (remission: 0.85, remission with endoscopic response: 0.91, remission without endoscopic response: 0.83 and active disease: 0.75), increased the ICER by </w:t>
            </w:r>
            <w:r w:rsidR="00E77A69" w:rsidRPr="00E77A69">
              <w:rPr>
                <w:color w:val="000000"/>
                <w:spacing w:val="53"/>
                <w:shd w:val="solid" w:color="000000" w:fill="000000"/>
                <w:fitText w:val="330" w:id="-628921336"/>
                <w14:textFill>
                  <w14:solidFill>
                    <w14:srgbClr w14:val="000000">
                      <w14:alpha w14:val="100000"/>
                    </w14:srgbClr>
                  </w14:solidFill>
                </w14:textFill>
              </w:rPr>
              <w:t>|||</w:t>
            </w:r>
            <w:r w:rsidR="00E77A69" w:rsidRPr="00E77A69">
              <w:rPr>
                <w:color w:val="000000"/>
                <w:spacing w:val="1"/>
                <w:shd w:val="solid" w:color="000000" w:fill="000000"/>
                <w:fitText w:val="330" w:id="-628921336"/>
                <w14:textFill>
                  <w14:solidFill>
                    <w14:srgbClr w14:val="000000">
                      <w14:alpha w14:val="100000"/>
                    </w14:srgbClr>
                  </w14:solidFill>
                </w14:textFill>
              </w:rPr>
              <w:t>|</w:t>
            </w:r>
            <w:r w:rsidRPr="008A2601">
              <w:t>-</w:t>
            </w:r>
            <w:r w:rsidR="00E77A69" w:rsidRPr="00E77A69">
              <w:rPr>
                <w:color w:val="000000"/>
                <w:spacing w:val="53"/>
                <w:shd w:val="solid" w:color="000000" w:fill="000000"/>
                <w:fitText w:val="330" w:id="-628921335"/>
                <w14:textFill>
                  <w14:solidFill>
                    <w14:srgbClr w14:val="000000">
                      <w14:alpha w14:val="100000"/>
                    </w14:srgbClr>
                  </w14:solidFill>
                </w14:textFill>
              </w:rPr>
              <w:t>|||</w:t>
            </w:r>
            <w:r w:rsidR="00E77A69" w:rsidRPr="00E77A69">
              <w:rPr>
                <w:color w:val="000000"/>
                <w:spacing w:val="1"/>
                <w:shd w:val="solid" w:color="000000" w:fill="000000"/>
                <w:fitText w:val="330" w:id="-628921335"/>
                <w14:textFill>
                  <w14:solidFill>
                    <w14:srgbClr w14:val="000000">
                      <w14:alpha w14:val="100000"/>
                    </w14:srgbClr>
                  </w14:solidFill>
                </w14:textFill>
              </w:rPr>
              <w:t>|</w:t>
            </w:r>
            <w:r w:rsidRPr="008A2601">
              <w:t xml:space="preserve">% from </w:t>
            </w:r>
            <w:r w:rsidR="00A244A4" w:rsidRPr="008A2601">
              <w:t xml:space="preserve">the </w:t>
            </w:r>
            <w:r w:rsidRPr="008A2601">
              <w:t>corrected base case.</w:t>
            </w:r>
            <w:r w:rsidR="004A36A0" w:rsidRPr="008A2601">
              <w:t xml:space="preserve"> The submission did not present the utility values from the GALAXI trials by clinical remission. However, the GALAXI trials indicated that there was no difference between GUS and UST in the change from baseline in EQ-5D-5L index score (all domains) and EQ-5D-VAS at Week 12 and Week 48.</w:t>
            </w:r>
          </w:p>
        </w:tc>
      </w:tr>
      <w:tr w:rsidR="004A36A0" w:rsidRPr="004E2ADC" w14:paraId="0850E933" w14:textId="77777777" w:rsidTr="00185675">
        <w:trPr>
          <w:cantSplit/>
        </w:trPr>
        <w:tc>
          <w:tcPr>
            <w:tcW w:w="705" w:type="pct"/>
            <w:vAlign w:val="center"/>
          </w:tcPr>
          <w:p w14:paraId="7BFA695E" w14:textId="096AC0A9" w:rsidR="004A36A0" w:rsidRDefault="004A36A0" w:rsidP="00286E68">
            <w:pPr>
              <w:pStyle w:val="TableText0"/>
              <w:keepNext w:val="0"/>
            </w:pPr>
            <w:r>
              <w:lastRenderedPageBreak/>
              <w:t>Costs</w:t>
            </w:r>
          </w:p>
        </w:tc>
        <w:tc>
          <w:tcPr>
            <w:tcW w:w="4295" w:type="pct"/>
            <w:vAlign w:val="center"/>
          </w:tcPr>
          <w:p w14:paraId="2F48C6FD" w14:textId="77777777" w:rsidR="004A36A0" w:rsidRPr="008A2601" w:rsidRDefault="004A36A0" w:rsidP="00286E68">
            <w:pPr>
              <w:pStyle w:val="TableText0"/>
              <w:keepNext w:val="0"/>
            </w:pPr>
            <w:r w:rsidRPr="008A2601">
              <w:t>The model included drug costs for GUS and comparator b/</w:t>
            </w:r>
            <w:proofErr w:type="spellStart"/>
            <w:r w:rsidRPr="008A2601">
              <w:t>tsDMARDs</w:t>
            </w:r>
            <w:proofErr w:type="spellEnd"/>
            <w:r w:rsidRPr="008A2601">
              <w:t xml:space="preserve"> (ADA, IFX, UPA, UST and VDZ), drug costs for conventional therapy (azathioprine, 6-mercaptopurine, methotrexate, prednisone, budesonide and 5-aminosalicylate), drug (IV) administration cost, medical services (GP, specialist visits, ED and hospitalisation)</w:t>
            </w:r>
            <w:r w:rsidR="006D1D8E" w:rsidRPr="008A2601">
              <w:t>.</w:t>
            </w:r>
          </w:p>
          <w:p w14:paraId="50A941DF" w14:textId="2747026C" w:rsidR="006D1D8E" w:rsidRPr="008A2601" w:rsidRDefault="006D1D8E" w:rsidP="00286E68">
            <w:pPr>
              <w:pStyle w:val="TableText0"/>
              <w:keepNext w:val="0"/>
            </w:pPr>
            <w:r w:rsidRPr="008A2601">
              <w:t>Some minor inconsistencies were noted between the dosing used in the model, PI, clinical trials and financial estimates. For example, the model included two induction doses of IFX 5 mg/kg IV at Week 0 and 2, whereas the financial estimates included three induction doses of IFX 5 mg/kg IV at Week 0, 2 and 6. Treatment with IFX IV on the PBS is a total of 3 doses to be administered at Weeks 0, 2 and 6.</w:t>
            </w:r>
            <w:r w:rsidR="00737597" w:rsidRPr="008A2601">
              <w:t xml:space="preserve"> Further, there appeared to be a programming error in the price of VDZ IV per quantity. The submission assumed VDZ IV pricing quantity of 2 (i.e. price per quantity </w:t>
            </w:r>
            <w:r w:rsidR="00737597" w:rsidRPr="00AD75FD">
              <w:t>was $</w:t>
            </w:r>
            <w:r w:rsidR="00FA3F8A" w:rsidRPr="00FA3F8A">
              <w:rPr>
                <w:color w:val="000000"/>
                <w:spacing w:val="80"/>
                <w:shd w:val="solid" w:color="000000" w:fill="000000"/>
                <w:fitText w:val="413" w:id="-623646464"/>
                <w14:textFill>
                  <w14:solidFill>
                    <w14:srgbClr w14:val="000000">
                      <w14:alpha w14:val="100000"/>
                    </w14:srgbClr>
                  </w14:solidFill>
                </w14:textFill>
              </w:rPr>
              <w:t>|||</w:t>
            </w:r>
            <w:r w:rsidR="00FA3F8A" w:rsidRPr="00FA3F8A">
              <w:rPr>
                <w:color w:val="000000"/>
                <w:spacing w:val="3"/>
                <w:shd w:val="solid" w:color="000000" w:fill="000000"/>
                <w:fitText w:val="413" w:id="-623646464"/>
                <w14:textFill>
                  <w14:solidFill>
                    <w14:srgbClr w14:val="000000">
                      <w14:alpha w14:val="100000"/>
                    </w14:srgbClr>
                  </w14:solidFill>
                </w14:textFill>
              </w:rPr>
              <w:t>|</w:t>
            </w:r>
            <w:r w:rsidR="00737597" w:rsidRPr="00AD75FD">
              <w:t xml:space="preserve"> / 2 = $</w:t>
            </w:r>
            <w:r w:rsidR="00EA00B7" w:rsidRPr="00EA00B7">
              <w:rPr>
                <w:color w:val="000000"/>
                <w:spacing w:val="76"/>
                <w:shd w:val="solid" w:color="000000" w:fill="000000"/>
                <w:fitText w:val="401" w:id="-623646463"/>
                <w14:textFill>
                  <w14:solidFill>
                    <w14:srgbClr w14:val="000000">
                      <w14:alpha w14:val="100000"/>
                    </w14:srgbClr>
                  </w14:solidFill>
                </w14:textFill>
              </w:rPr>
              <w:t>|||</w:t>
            </w:r>
            <w:r w:rsidR="00EA00B7" w:rsidRPr="00EA00B7">
              <w:rPr>
                <w:color w:val="000000"/>
                <w:spacing w:val="3"/>
                <w:shd w:val="solid" w:color="000000" w:fill="000000"/>
                <w:fitText w:val="401" w:id="-623646463"/>
                <w14:textFill>
                  <w14:solidFill>
                    <w14:srgbClr w14:val="000000">
                      <w14:alpha w14:val="100000"/>
                    </w14:srgbClr>
                  </w14:solidFill>
                </w14:textFill>
              </w:rPr>
              <w:t>|</w:t>
            </w:r>
            <w:r w:rsidR="00737597" w:rsidRPr="008A2601">
              <w:t>). This error marginally favoured GUS but was not corrected during the evaluation.</w:t>
            </w:r>
          </w:p>
        </w:tc>
      </w:tr>
      <w:tr w:rsidR="001A17FB" w:rsidRPr="004E2ADC" w14:paraId="4278DF3D" w14:textId="77777777" w:rsidTr="00185675">
        <w:trPr>
          <w:cantSplit/>
        </w:trPr>
        <w:tc>
          <w:tcPr>
            <w:tcW w:w="705" w:type="pct"/>
            <w:vAlign w:val="center"/>
          </w:tcPr>
          <w:p w14:paraId="69E56DE4" w14:textId="77777777" w:rsidR="001A17FB" w:rsidRPr="004E2ADC" w:rsidRDefault="001A17FB" w:rsidP="00286E68">
            <w:pPr>
              <w:pStyle w:val="TableText0"/>
              <w:keepNext w:val="0"/>
            </w:pPr>
            <w:r>
              <w:t>Software package</w:t>
            </w:r>
          </w:p>
        </w:tc>
        <w:tc>
          <w:tcPr>
            <w:tcW w:w="4295" w:type="pct"/>
            <w:vAlign w:val="center"/>
          </w:tcPr>
          <w:p w14:paraId="5179A341" w14:textId="1A86AAE3" w:rsidR="001A17FB" w:rsidRPr="00A60D62" w:rsidRDefault="001A17FB" w:rsidP="00286E68">
            <w:pPr>
              <w:pStyle w:val="TableText0"/>
              <w:keepNext w:val="0"/>
              <w:rPr>
                <w:i/>
                <w:iCs/>
              </w:rPr>
            </w:pPr>
            <w:r>
              <w:t>Excel</w:t>
            </w:r>
          </w:p>
        </w:tc>
      </w:tr>
    </w:tbl>
    <w:p w14:paraId="3218ECD8" w14:textId="77777777" w:rsidR="003C3921" w:rsidRDefault="003C3921" w:rsidP="003C3921">
      <w:pPr>
        <w:pStyle w:val="FooterTableFigure"/>
      </w:pPr>
      <w:r>
        <w:t xml:space="preserve">Source: Table 3.1, p373 </w:t>
      </w:r>
      <w:r w:rsidRPr="00D13A3E">
        <w:t xml:space="preserve">of the </w:t>
      </w:r>
      <w:r>
        <w:t>submission.</w:t>
      </w:r>
    </w:p>
    <w:p w14:paraId="0142F177" w14:textId="00994ABF" w:rsidR="003C3921" w:rsidRDefault="004A36A0" w:rsidP="003C3921">
      <w:pPr>
        <w:pStyle w:val="FooterTableFigure"/>
      </w:pPr>
      <w:r w:rsidRPr="004A36A0">
        <w:t xml:space="preserve">ADA=adalimumab; </w:t>
      </w:r>
      <w:r w:rsidR="003C3921">
        <w:t xml:space="preserve">CD=Crohn’s disease; CDAI=CD activity index; </w:t>
      </w:r>
      <w:r>
        <w:t xml:space="preserve">ED=emergency department; </w:t>
      </w:r>
      <w:r w:rsidR="003C3921">
        <w:t xml:space="preserve">GUS=guselkumab; </w:t>
      </w:r>
      <w:r w:rsidRPr="004A36A0">
        <w:t>IFX=infliximab</w:t>
      </w:r>
      <w:r>
        <w:t xml:space="preserve">; </w:t>
      </w:r>
      <w:r w:rsidRPr="004A36A0">
        <w:t xml:space="preserve">IV=intravenous; </w:t>
      </w:r>
      <w:r w:rsidR="003C3921">
        <w:t>UST=ustekinumab;</w:t>
      </w:r>
      <w:r>
        <w:t xml:space="preserve"> </w:t>
      </w:r>
      <w:r w:rsidRPr="004A36A0">
        <w:t xml:space="preserve">SC=subcutaneous; UPA=upadacitinib; UST=ustekinumab; VDZ=vedolizumab; </w:t>
      </w:r>
    </w:p>
    <w:p w14:paraId="44E5EC78" w14:textId="6FFDD066" w:rsidR="003C3921" w:rsidRPr="008A2601" w:rsidRDefault="003C3921" w:rsidP="00286E68">
      <w:pPr>
        <w:pStyle w:val="3-BodyText"/>
        <w:rPr>
          <w:lang w:val="en-US"/>
        </w:rPr>
      </w:pPr>
      <w:r>
        <w:t xml:space="preserve">The </w:t>
      </w:r>
      <w:r w:rsidR="00F8214A">
        <w:t xml:space="preserve">submission modelled </w:t>
      </w:r>
      <w:r>
        <w:t xml:space="preserve">seven </w:t>
      </w:r>
      <w:r w:rsidR="00F8214A">
        <w:t xml:space="preserve">unique </w:t>
      </w:r>
      <w:r>
        <w:t>scenarios</w:t>
      </w:r>
      <w:r w:rsidR="00F8214A">
        <w:t xml:space="preserve">, whereby </w:t>
      </w:r>
      <w:r>
        <w:t xml:space="preserve">patients </w:t>
      </w:r>
      <w:r w:rsidR="00F8214A">
        <w:t xml:space="preserve">could </w:t>
      </w:r>
      <w:r>
        <w:t>receive up to three lines of b/</w:t>
      </w:r>
      <w:proofErr w:type="spellStart"/>
      <w:r>
        <w:t>tsDMARDs</w:t>
      </w:r>
      <w:proofErr w:type="spellEnd"/>
      <w:r>
        <w:t xml:space="preserve"> followed by conventional therapy. In </w:t>
      </w:r>
      <w:r w:rsidR="00F8214A">
        <w:t xml:space="preserve">the </w:t>
      </w:r>
      <w:r>
        <w:t xml:space="preserve">two </w:t>
      </w:r>
      <w:r w:rsidR="00F8214A">
        <w:t xml:space="preserve">‘intervention’ </w:t>
      </w:r>
      <w:r>
        <w:t>scenarios, GUS 100 mg Q8W or GUS 200 mg Q4W w</w:t>
      </w:r>
      <w:r w:rsidR="00A244A4">
        <w:t>ere</w:t>
      </w:r>
      <w:r>
        <w:t xml:space="preserve"> modelled as the index treatment</w:t>
      </w:r>
      <w:r w:rsidR="00A244A4">
        <w:t>,</w:t>
      </w:r>
      <w:r>
        <w:t xml:space="preserve"> followed by IFX (second-line) and VDZ (third-line). In the other </w:t>
      </w:r>
      <w:r w:rsidR="00F8214A">
        <w:t xml:space="preserve">five ‘comparator’ </w:t>
      </w:r>
      <w:r>
        <w:t>scenarios, each of the current PBS-listed b/</w:t>
      </w:r>
      <w:proofErr w:type="spellStart"/>
      <w:r>
        <w:t>tsDMARDs</w:t>
      </w:r>
      <w:proofErr w:type="spellEnd"/>
      <w:r>
        <w:t xml:space="preserve"> were </w:t>
      </w:r>
      <w:r w:rsidR="00F8214A">
        <w:t>modelled as</w:t>
      </w:r>
      <w:r>
        <w:t xml:space="preserve"> the index treatment followed by other b/</w:t>
      </w:r>
      <w:proofErr w:type="spellStart"/>
      <w:r>
        <w:t>tsDMARDs</w:t>
      </w:r>
      <w:proofErr w:type="spellEnd"/>
      <w:r>
        <w:t xml:space="preserve"> as second- and third-line treatments</w:t>
      </w:r>
      <w:r w:rsidR="00F8214A">
        <w:t xml:space="preserve"> based on current market trends (refer below)</w:t>
      </w:r>
      <w:r>
        <w:t>.</w:t>
      </w:r>
      <w:r w:rsidR="00C43BD1">
        <w:t xml:space="preserve"> </w:t>
      </w:r>
      <w:r w:rsidR="00C43BD1" w:rsidRPr="008A2601">
        <w:t xml:space="preserve">The model was highly sensitive to the assumed treatment sequence of GUS; scenario analyses conducted during the evaluation assuming GUS is used as second-line treatment or third-line treatment increased the ICER by </w:t>
      </w:r>
      <w:r w:rsidR="00E77A69" w:rsidRPr="00E77A69">
        <w:rPr>
          <w:color w:val="000000"/>
          <w:w w:val="59"/>
          <w:shd w:val="solid" w:color="000000" w:fill="000000"/>
          <w:fitText w:val="460" w:id="-628921334"/>
          <w14:textFill>
            <w14:solidFill>
              <w14:srgbClr w14:val="000000">
                <w14:alpha w14:val="100000"/>
              </w14:srgbClr>
            </w14:solidFill>
          </w14:textFill>
        </w:rPr>
        <w:t>|||  |||</w:t>
      </w:r>
      <w:r w:rsidR="00C43BD1" w:rsidRPr="008A2601">
        <w:t>-</w:t>
      </w:r>
      <w:r w:rsidR="00E77A69" w:rsidRPr="003B7DE0">
        <w:rPr>
          <w:color w:val="000000"/>
          <w:w w:val="61"/>
          <w:shd w:val="solid" w:color="000000" w:fill="000000"/>
          <w:fitText w:val="475" w:id="-628921333"/>
          <w14:textFill>
            <w14:solidFill>
              <w14:srgbClr w14:val="000000">
                <w14:alpha w14:val="100000"/>
              </w14:srgbClr>
            </w14:solidFill>
          </w14:textFill>
        </w:rPr>
        <w:t>|||  ||</w:t>
      </w:r>
      <w:r w:rsidR="00E77A69" w:rsidRPr="003B7DE0">
        <w:rPr>
          <w:color w:val="000000"/>
          <w:spacing w:val="5"/>
          <w:w w:val="61"/>
          <w:shd w:val="solid" w:color="000000" w:fill="000000"/>
          <w:fitText w:val="475" w:id="-628921333"/>
          <w14:textFill>
            <w14:solidFill>
              <w14:srgbClr w14:val="000000">
                <w14:alpha w14:val="100000"/>
              </w14:srgbClr>
            </w14:solidFill>
          </w14:textFill>
        </w:rPr>
        <w:t>|</w:t>
      </w:r>
      <w:r w:rsidR="00C43BD1" w:rsidRPr="008A2601">
        <w:t>%.</w:t>
      </w:r>
    </w:p>
    <w:p w14:paraId="05D7A97E" w14:textId="1355DC83" w:rsidR="00906C07" w:rsidRPr="00F8214A" w:rsidRDefault="00F8214A" w:rsidP="00F8214A">
      <w:pPr>
        <w:pStyle w:val="3-BodyText"/>
        <w:rPr>
          <w:lang w:val="en-US"/>
        </w:rPr>
      </w:pPr>
      <w:r>
        <w:rPr>
          <w:lang w:val="en-US"/>
        </w:rPr>
        <w:t xml:space="preserve">The submission used a hybrid decision tree (for first induction only) and Markov model to evaluate the costs and benefits of the different scenarios. </w:t>
      </w:r>
      <w:r w:rsidRPr="003C3921">
        <w:rPr>
          <w:lang w:val="en-US"/>
        </w:rPr>
        <w:t>The model included five health states: (i) clinical remission (CDAI &lt;150), (ii) clinical remission with endoscopic response (CDAI &lt;150 and ≥ 50% improvement from baseline in the SES-CD or SES-CD score ≤ 2), (iii) clinical remission without endoscopic response, (iv) active Crohn’s disease (CDAI ≥ 150), and (v) dead.</w:t>
      </w:r>
      <w:r>
        <w:rPr>
          <w:lang w:val="en-US"/>
        </w:rPr>
        <w:t xml:space="preserve"> </w:t>
      </w:r>
      <w:r w:rsidR="005860A4">
        <w:fldChar w:fldCharType="begin"/>
      </w:r>
      <w:r w:rsidR="005860A4">
        <w:rPr>
          <w:lang w:val="en-US"/>
        </w:rPr>
        <w:instrText xml:space="preserve"> REF _Ref197954795 \h </w:instrText>
      </w:r>
      <w:r w:rsidR="005860A4">
        <w:fldChar w:fldCharType="separate"/>
      </w:r>
      <w:r w:rsidR="000756FD">
        <w:t xml:space="preserve">Figure </w:t>
      </w:r>
      <w:r w:rsidR="000756FD">
        <w:rPr>
          <w:noProof/>
        </w:rPr>
        <w:t>3</w:t>
      </w:r>
      <w:r w:rsidR="005860A4">
        <w:fldChar w:fldCharType="end"/>
      </w:r>
      <w:r w:rsidR="00906C07">
        <w:t xml:space="preserve"> presents the structure of the </w:t>
      </w:r>
      <w:r w:rsidR="00E81944">
        <w:t>model</w:t>
      </w:r>
      <w:r w:rsidR="00906C07">
        <w:t>.</w:t>
      </w:r>
    </w:p>
    <w:p w14:paraId="20104F52" w14:textId="6061612A" w:rsidR="00906C07" w:rsidRPr="0061183B" w:rsidRDefault="00906C07" w:rsidP="00906C07">
      <w:pPr>
        <w:pStyle w:val="Caption"/>
        <w:rPr>
          <w:b w:val="0"/>
          <w:bCs w:val="0"/>
          <w:szCs w:val="20"/>
        </w:rPr>
      </w:pPr>
      <w:bookmarkStart w:id="53" w:name="_Ref197954795"/>
      <w:r>
        <w:lastRenderedPageBreak/>
        <w:t xml:space="preserve">Figure </w:t>
      </w:r>
      <w:r w:rsidR="00DC5F25">
        <w:fldChar w:fldCharType="begin"/>
      </w:r>
      <w:r w:rsidR="00DC5F25">
        <w:instrText xml:space="preserve"> SEQ Figure \* ARABIC </w:instrText>
      </w:r>
      <w:r w:rsidR="00DC5F25">
        <w:fldChar w:fldCharType="separate"/>
      </w:r>
      <w:r w:rsidR="000756FD">
        <w:rPr>
          <w:noProof/>
        </w:rPr>
        <w:t>3</w:t>
      </w:r>
      <w:r w:rsidR="00DC5F25">
        <w:rPr>
          <w:noProof/>
        </w:rPr>
        <w:fldChar w:fldCharType="end"/>
      </w:r>
      <w:bookmarkEnd w:id="53"/>
      <w:r>
        <w:t>:</w:t>
      </w:r>
      <w:r w:rsidRPr="0061183B">
        <w:rPr>
          <w:szCs w:val="20"/>
        </w:rPr>
        <w:t xml:space="preserve"> model structure of the economic evaluation.</w:t>
      </w:r>
    </w:p>
    <w:p w14:paraId="2CBFC060" w14:textId="77777777" w:rsidR="00906C07" w:rsidRDefault="00906C07" w:rsidP="00906C07">
      <w:r>
        <w:rPr>
          <w:noProof/>
        </w:rPr>
        <w:drawing>
          <wp:inline distT="0" distB="0" distL="0" distR="0" wp14:anchorId="34C42886" wp14:editId="035F0E70">
            <wp:extent cx="4266358" cy="3295650"/>
            <wp:effectExtent l="0" t="0" r="1270" b="0"/>
            <wp:docPr id="11" name="Picture 11" descr="Figure 3: model structure of the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3: model structure of the economic evalu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4986" cy="3310040"/>
                    </a:xfrm>
                    <a:prstGeom prst="rect">
                      <a:avLst/>
                    </a:prstGeom>
                    <a:noFill/>
                  </pic:spPr>
                </pic:pic>
              </a:graphicData>
            </a:graphic>
          </wp:inline>
        </w:drawing>
      </w:r>
    </w:p>
    <w:p w14:paraId="5343F692" w14:textId="77777777" w:rsidR="00906C07" w:rsidRDefault="00906C07" w:rsidP="00906C07">
      <w:pPr>
        <w:rPr>
          <w:rFonts w:ascii="Arial Narrow" w:hAnsi="Arial Narrow"/>
          <w:sz w:val="18"/>
          <w:szCs w:val="18"/>
        </w:rPr>
      </w:pPr>
      <w:r w:rsidRPr="0061183B">
        <w:rPr>
          <w:rFonts w:ascii="Arial Narrow" w:hAnsi="Arial Narrow"/>
          <w:sz w:val="18"/>
          <w:szCs w:val="18"/>
        </w:rPr>
        <w:t>Source: Figure 3.2, p380 of the submission.</w:t>
      </w:r>
    </w:p>
    <w:p w14:paraId="715714C1" w14:textId="77777777" w:rsidR="00906C07" w:rsidRPr="0061183B" w:rsidRDefault="00906C07" w:rsidP="00906C07">
      <w:pPr>
        <w:rPr>
          <w:rFonts w:ascii="Arial Narrow" w:hAnsi="Arial Narrow"/>
          <w:sz w:val="18"/>
          <w:szCs w:val="18"/>
        </w:rPr>
      </w:pPr>
      <w:r>
        <w:rPr>
          <w:rFonts w:ascii="Arial Narrow" w:hAnsi="Arial Narrow"/>
          <w:sz w:val="18"/>
          <w:szCs w:val="18"/>
        </w:rPr>
        <w:t>BSC=best supportive care; CD=Crohn’s disease;</w:t>
      </w:r>
    </w:p>
    <w:p w14:paraId="2AF45F0C" w14:textId="77777777" w:rsidR="00906C07" w:rsidRPr="003C3921" w:rsidRDefault="00906C07" w:rsidP="00906C07">
      <w:pPr>
        <w:pStyle w:val="3-BodyText"/>
        <w:numPr>
          <w:ilvl w:val="0"/>
          <w:numId w:val="0"/>
        </w:numPr>
        <w:rPr>
          <w:lang w:val="en-US"/>
        </w:rPr>
      </w:pPr>
    </w:p>
    <w:p w14:paraId="572F1909" w14:textId="2324779C" w:rsidR="003C3921" w:rsidRPr="00E81944" w:rsidRDefault="00E81944" w:rsidP="00E81944">
      <w:pPr>
        <w:pStyle w:val="3-BodyText"/>
        <w:rPr>
          <w:lang w:val="en-US"/>
        </w:rPr>
      </w:pPr>
      <w:r>
        <w:rPr>
          <w:lang w:val="en-US"/>
        </w:rPr>
        <w:t>All p</w:t>
      </w:r>
      <w:r w:rsidR="003C3921" w:rsidRPr="003C3921">
        <w:rPr>
          <w:lang w:val="en-US"/>
        </w:rPr>
        <w:t xml:space="preserve">atients </w:t>
      </w:r>
      <w:r>
        <w:rPr>
          <w:lang w:val="en-US"/>
        </w:rPr>
        <w:t>entered the model with active CD and received active induction treatment with a b/</w:t>
      </w:r>
      <w:proofErr w:type="spellStart"/>
      <w:r>
        <w:rPr>
          <w:lang w:val="en-US"/>
        </w:rPr>
        <w:t>tsDMARD</w:t>
      </w:r>
      <w:proofErr w:type="spellEnd"/>
      <w:r>
        <w:rPr>
          <w:lang w:val="en-US"/>
        </w:rPr>
        <w:t xml:space="preserve">. Patients </w:t>
      </w:r>
      <w:r w:rsidR="003C3921" w:rsidRPr="003C3921">
        <w:rPr>
          <w:lang w:val="en-US"/>
        </w:rPr>
        <w:t xml:space="preserve">who achieve clinical remission following induction treatment </w:t>
      </w:r>
      <w:r>
        <w:rPr>
          <w:lang w:val="en-US"/>
        </w:rPr>
        <w:t xml:space="preserve">transition to the remission health state and remain on </w:t>
      </w:r>
      <w:r w:rsidR="003C3921" w:rsidRPr="003C3921">
        <w:rPr>
          <w:lang w:val="en-US"/>
        </w:rPr>
        <w:t>maintenance treatment with the same b/</w:t>
      </w:r>
      <w:proofErr w:type="spellStart"/>
      <w:r w:rsidR="003C3921" w:rsidRPr="003C3921">
        <w:rPr>
          <w:lang w:val="en-US"/>
        </w:rPr>
        <w:t>tsDMARD</w:t>
      </w:r>
      <w:proofErr w:type="spellEnd"/>
      <w:r w:rsidR="003C3921" w:rsidRPr="003C3921">
        <w:rPr>
          <w:lang w:val="en-US"/>
        </w:rPr>
        <w:t xml:space="preserve"> until loss of clinical remission or death. </w:t>
      </w:r>
      <w:r>
        <w:rPr>
          <w:lang w:val="en-US"/>
        </w:rPr>
        <w:t xml:space="preserve">Following 48 weeks of </w:t>
      </w:r>
      <w:r w:rsidR="006D1363">
        <w:rPr>
          <w:lang w:val="en-US"/>
        </w:rPr>
        <w:t xml:space="preserve">sustained </w:t>
      </w:r>
      <w:r>
        <w:rPr>
          <w:lang w:val="en-US"/>
        </w:rPr>
        <w:t xml:space="preserve">clinical remission, the model partitions those in the remission health state into those with endoscopic response and without endoscopic response. </w:t>
      </w:r>
      <w:r w:rsidR="003C3921" w:rsidRPr="003C3921">
        <w:rPr>
          <w:lang w:val="en-US"/>
        </w:rPr>
        <w:t xml:space="preserve">Patients who do not achieve clinical remission following induction treatment and patients who stop responding to maintenance </w:t>
      </w:r>
      <w:proofErr w:type="gramStart"/>
      <w:r w:rsidR="003C3921" w:rsidRPr="003C3921">
        <w:rPr>
          <w:lang w:val="en-US"/>
        </w:rPr>
        <w:t>treatment,</w:t>
      </w:r>
      <w:proofErr w:type="gramEnd"/>
      <w:r w:rsidR="003C3921" w:rsidRPr="003C3921">
        <w:rPr>
          <w:lang w:val="en-US"/>
        </w:rPr>
        <w:t xml:space="preserve"> remain</w:t>
      </w:r>
      <w:r>
        <w:rPr>
          <w:lang w:val="en-US"/>
        </w:rPr>
        <w:t xml:space="preserve"> in</w:t>
      </w:r>
      <w:r w:rsidR="003C3921" w:rsidRPr="003C3921">
        <w:rPr>
          <w:lang w:val="en-US"/>
        </w:rPr>
        <w:t xml:space="preserve"> or transition to the active CD health state, and receive </w:t>
      </w:r>
      <w:r w:rsidRPr="003C3921">
        <w:rPr>
          <w:lang w:val="en-US"/>
        </w:rPr>
        <w:t xml:space="preserve">either </w:t>
      </w:r>
      <w:r w:rsidR="003C3921" w:rsidRPr="003C3921">
        <w:rPr>
          <w:lang w:val="en-US"/>
        </w:rPr>
        <w:t>subsequent induction treatment with an alternative b/</w:t>
      </w:r>
      <w:proofErr w:type="spellStart"/>
      <w:r w:rsidR="003C3921" w:rsidRPr="003C3921">
        <w:rPr>
          <w:lang w:val="en-US"/>
        </w:rPr>
        <w:t>tsDMARD</w:t>
      </w:r>
      <w:proofErr w:type="spellEnd"/>
      <w:r w:rsidR="003C3921" w:rsidRPr="003C3921">
        <w:rPr>
          <w:lang w:val="en-US"/>
        </w:rPr>
        <w:t xml:space="preserve"> or conventional therapy</w:t>
      </w:r>
      <w:r>
        <w:rPr>
          <w:lang w:val="en-US"/>
        </w:rPr>
        <w:t xml:space="preserve">. </w:t>
      </w:r>
      <w:r w:rsidR="003C3921">
        <w:t>Following induction treatment with a subsequent b/</w:t>
      </w:r>
      <w:proofErr w:type="spellStart"/>
      <w:r w:rsidR="003C3921">
        <w:t>tsDMARD</w:t>
      </w:r>
      <w:proofErr w:type="spellEnd"/>
      <w:r w:rsidR="003C3921">
        <w:t xml:space="preserve"> (which is modelled as a tunnel state), patients who achieve clinical remission after the induction period either remain on treatment until loss of remission or death, </w:t>
      </w:r>
      <w:r w:rsidR="006D1363">
        <w:t xml:space="preserve">identical </w:t>
      </w:r>
      <w:r w:rsidR="003C3921">
        <w:t xml:space="preserve">to the first-line treatment pathway. </w:t>
      </w:r>
      <w:r>
        <w:rPr>
          <w:lang w:val="en-US"/>
        </w:rPr>
        <w:t>Patients treated with conventional therapy remain on treatment in the active CD health state for the remainder of the model</w:t>
      </w:r>
      <w:r w:rsidR="006D1363">
        <w:rPr>
          <w:lang w:val="en-US"/>
        </w:rPr>
        <w:t xml:space="preserve"> or until dead</w:t>
      </w:r>
      <w:r w:rsidRPr="003C3921">
        <w:rPr>
          <w:lang w:val="en-US"/>
        </w:rPr>
        <w:t>.</w:t>
      </w:r>
    </w:p>
    <w:p w14:paraId="26CCE529" w14:textId="3D4A3A09" w:rsidR="006D1363" w:rsidRPr="006D1363" w:rsidRDefault="005860A4" w:rsidP="00641FB3">
      <w:pPr>
        <w:pStyle w:val="3-BodyText"/>
        <w:rPr>
          <w:lang w:val="en-US"/>
        </w:rPr>
      </w:pPr>
      <w:r>
        <w:fldChar w:fldCharType="begin"/>
      </w:r>
      <w:r>
        <w:instrText xml:space="preserve"> REF _Ref197954838 \h </w:instrText>
      </w:r>
      <w:r>
        <w:fldChar w:fldCharType="separate"/>
      </w:r>
      <w:r w:rsidR="000756FD">
        <w:t xml:space="preserve">Table </w:t>
      </w:r>
      <w:r w:rsidR="000756FD">
        <w:rPr>
          <w:noProof/>
        </w:rPr>
        <w:t>12</w:t>
      </w:r>
      <w:r>
        <w:fldChar w:fldCharType="end"/>
      </w:r>
      <w:r>
        <w:t xml:space="preserve"> </w:t>
      </w:r>
      <w:r w:rsidR="00906C07">
        <w:t xml:space="preserve">summarises the </w:t>
      </w:r>
      <w:r w:rsidR="006D1363">
        <w:t>key transition probabilities applied in the model</w:t>
      </w:r>
      <w:r w:rsidR="0029570F">
        <w:t>, with the same transition probabilities applied for each b/</w:t>
      </w:r>
      <w:proofErr w:type="spellStart"/>
      <w:r w:rsidR="0029570F">
        <w:t>tsDMARD</w:t>
      </w:r>
      <w:proofErr w:type="spellEnd"/>
      <w:r w:rsidR="0029570F">
        <w:t xml:space="preserve"> irrespective of the line of therapy. </w:t>
      </w:r>
      <w:r w:rsidR="006D1363">
        <w:t>The submission estimated treatment differences between the b/</w:t>
      </w:r>
      <w:proofErr w:type="spellStart"/>
      <w:r w:rsidR="006D1363">
        <w:t>tsDMARDs</w:t>
      </w:r>
      <w:proofErr w:type="spellEnd"/>
      <w:r w:rsidR="006D1363">
        <w:t xml:space="preserve"> in terms of:</w:t>
      </w:r>
    </w:p>
    <w:p w14:paraId="08BAADA1" w14:textId="0C16B667" w:rsidR="006D1363" w:rsidRDefault="006D1363" w:rsidP="00096092">
      <w:pPr>
        <w:pStyle w:val="3-BodyText"/>
        <w:numPr>
          <w:ilvl w:val="0"/>
          <w:numId w:val="21"/>
        </w:numPr>
      </w:pPr>
      <w:r>
        <w:t xml:space="preserve">the </w:t>
      </w:r>
      <w:r w:rsidR="00906C07">
        <w:t>probability of clinical remission at the end of induction</w:t>
      </w:r>
      <w:r w:rsidR="006D1D8E">
        <w:t xml:space="preserve">, </w:t>
      </w:r>
      <w:r>
        <w:t xml:space="preserve">based on the </w:t>
      </w:r>
      <w:r w:rsidR="00B41C67">
        <w:t xml:space="preserve">(unanchored) </w:t>
      </w:r>
      <w:r>
        <w:t>average rate</w:t>
      </w:r>
      <w:r w:rsidR="00B41C67">
        <w:t>s</w:t>
      </w:r>
      <w:r>
        <w:t xml:space="preserve"> observed in the induction phase trials.</w:t>
      </w:r>
    </w:p>
    <w:p w14:paraId="3DFFD3C0" w14:textId="6862CBB5" w:rsidR="006D1363" w:rsidRPr="006D1363" w:rsidRDefault="006D1363" w:rsidP="00096092">
      <w:pPr>
        <w:pStyle w:val="3-BodyText"/>
        <w:numPr>
          <w:ilvl w:val="0"/>
          <w:numId w:val="21"/>
        </w:numPr>
        <w:rPr>
          <w:lang w:val="en-US"/>
        </w:rPr>
      </w:pPr>
      <w:r>
        <w:lastRenderedPageBreak/>
        <w:t xml:space="preserve">the probability of </w:t>
      </w:r>
      <w:r w:rsidR="006D1D8E">
        <w:t xml:space="preserve">loss of remission </w:t>
      </w:r>
      <w:r>
        <w:t xml:space="preserve">per cycle </w:t>
      </w:r>
      <w:r w:rsidR="006D1D8E">
        <w:t xml:space="preserve">(post induction), </w:t>
      </w:r>
      <w:r>
        <w:t>based on the GALAXI trials for GUS and UST and the trial-design</w:t>
      </w:r>
      <w:r w:rsidR="00CA7ED5">
        <w:t>-</w:t>
      </w:r>
      <w:r>
        <w:t>adjusted Australian NMA (and other assumptions) for ADA, UPA, IFX, VDZ.</w:t>
      </w:r>
    </w:p>
    <w:p w14:paraId="6143962C" w14:textId="16FD3394" w:rsidR="006D1363" w:rsidRPr="006D1363" w:rsidRDefault="006D1363" w:rsidP="00096092">
      <w:pPr>
        <w:pStyle w:val="3-BodyText"/>
        <w:numPr>
          <w:ilvl w:val="0"/>
          <w:numId w:val="21"/>
        </w:numPr>
        <w:rPr>
          <w:lang w:val="en-US"/>
        </w:rPr>
      </w:pPr>
      <w:r>
        <w:t xml:space="preserve">the probability of </w:t>
      </w:r>
      <w:r w:rsidR="006D1D8E">
        <w:t>clinical remission with/without endoscopic response (post-48 weeks of maintenance)</w:t>
      </w:r>
      <w:r>
        <w:t>, based on a post-hoc analysis of the GALAXI trials.</w:t>
      </w:r>
    </w:p>
    <w:p w14:paraId="11DC1F37" w14:textId="1E38502E" w:rsidR="006D1363" w:rsidRPr="006D1363" w:rsidRDefault="006D1363" w:rsidP="00096092">
      <w:pPr>
        <w:pStyle w:val="3-BodyText"/>
        <w:numPr>
          <w:ilvl w:val="0"/>
          <w:numId w:val="21"/>
        </w:numPr>
        <w:rPr>
          <w:lang w:val="en-US"/>
        </w:rPr>
      </w:pPr>
      <w:r>
        <w:t>the probability of initiating subsequent second-line and third-line b/</w:t>
      </w:r>
      <w:proofErr w:type="spellStart"/>
      <w:r>
        <w:t>tsDMARD</w:t>
      </w:r>
      <w:proofErr w:type="spellEnd"/>
      <w:r>
        <w:t xml:space="preserve"> treatment, based on an analysis of the 10% PBS sample (and other assumptions).</w:t>
      </w:r>
    </w:p>
    <w:p w14:paraId="333BE283" w14:textId="1F8332CD" w:rsidR="00906C07" w:rsidRPr="00AC1A79" w:rsidRDefault="005860A4" w:rsidP="005860A4">
      <w:pPr>
        <w:pStyle w:val="Caption"/>
        <w:rPr>
          <w:b w:val="0"/>
          <w:bCs w:val="0"/>
          <w:i/>
          <w:iCs/>
          <w:szCs w:val="20"/>
        </w:rPr>
      </w:pPr>
      <w:bookmarkStart w:id="54" w:name="_Ref197954838"/>
      <w:r>
        <w:t xml:space="preserve">Table </w:t>
      </w:r>
      <w:r w:rsidR="00DC5F25">
        <w:fldChar w:fldCharType="begin"/>
      </w:r>
      <w:r w:rsidR="00DC5F25">
        <w:instrText xml:space="preserve"> SEQ Table \* ARABIC </w:instrText>
      </w:r>
      <w:r w:rsidR="00DC5F25">
        <w:fldChar w:fldCharType="separate"/>
      </w:r>
      <w:r w:rsidR="000756FD">
        <w:rPr>
          <w:noProof/>
        </w:rPr>
        <w:t>12</w:t>
      </w:r>
      <w:r w:rsidR="00DC5F25">
        <w:rPr>
          <w:noProof/>
        </w:rPr>
        <w:fldChar w:fldCharType="end"/>
      </w:r>
      <w:bookmarkEnd w:id="54"/>
      <w:r>
        <w:t>:</w:t>
      </w:r>
      <w:r w:rsidR="00906C07" w:rsidRPr="00AC1A79">
        <w:rPr>
          <w:szCs w:val="20"/>
        </w:rPr>
        <w:t xml:space="preserve"> </w:t>
      </w:r>
      <w:r>
        <w:rPr>
          <w:szCs w:val="20"/>
        </w:rPr>
        <w:t>S</w:t>
      </w:r>
      <w:r w:rsidR="000B56D9">
        <w:rPr>
          <w:szCs w:val="20"/>
        </w:rPr>
        <w:t>ummary of transition probabilities applied in the model</w:t>
      </w:r>
    </w:p>
    <w:tbl>
      <w:tblPr>
        <w:tblStyle w:val="TableGrid"/>
        <w:tblW w:w="5000" w:type="pct"/>
        <w:tblCellMar>
          <w:left w:w="28" w:type="dxa"/>
          <w:right w:w="28" w:type="dxa"/>
        </w:tblCellMar>
        <w:tblLook w:val="04A0" w:firstRow="1" w:lastRow="0" w:firstColumn="1" w:lastColumn="0" w:noHBand="0" w:noVBand="1"/>
        <w:tblCaption w:val="Table 12: Summary of transition probabilities applied in the model"/>
      </w:tblPr>
      <w:tblGrid>
        <w:gridCol w:w="1001"/>
        <w:gridCol w:w="1603"/>
        <w:gridCol w:w="1603"/>
        <w:gridCol w:w="1605"/>
        <w:gridCol w:w="1605"/>
        <w:gridCol w:w="1600"/>
      </w:tblGrid>
      <w:tr w:rsidR="00763CA8" w:rsidRPr="004C0B40" w14:paraId="3589AB59" w14:textId="5806541C" w:rsidTr="00286E68">
        <w:tc>
          <w:tcPr>
            <w:tcW w:w="555" w:type="pct"/>
            <w:vAlign w:val="center"/>
          </w:tcPr>
          <w:p w14:paraId="1B6D7BF5" w14:textId="45218019" w:rsidR="00763CA8" w:rsidRPr="0052716F" w:rsidRDefault="00763CA8" w:rsidP="00763CA8">
            <w:pPr>
              <w:keepNext/>
              <w:jc w:val="left"/>
              <w:rPr>
                <w:rFonts w:ascii="Arial Narrow" w:hAnsi="Arial Narrow"/>
                <w:b/>
                <w:bCs/>
                <w:sz w:val="20"/>
                <w:szCs w:val="20"/>
              </w:rPr>
            </w:pPr>
            <w:r>
              <w:rPr>
                <w:rFonts w:ascii="Arial Narrow" w:hAnsi="Arial Narrow"/>
                <w:b/>
                <w:bCs/>
                <w:sz w:val="20"/>
                <w:szCs w:val="20"/>
              </w:rPr>
              <w:t xml:space="preserve">Index </w:t>
            </w:r>
            <w:r w:rsidR="00B15C3D">
              <w:rPr>
                <w:rFonts w:ascii="Arial Narrow" w:hAnsi="Arial Narrow"/>
                <w:b/>
                <w:bCs/>
                <w:sz w:val="20"/>
                <w:szCs w:val="20"/>
              </w:rPr>
              <w:t>(1L)</w:t>
            </w:r>
          </w:p>
        </w:tc>
        <w:tc>
          <w:tcPr>
            <w:tcW w:w="889" w:type="pct"/>
            <w:vAlign w:val="center"/>
          </w:tcPr>
          <w:p w14:paraId="127F37BB" w14:textId="1A4A62AC" w:rsidR="00763CA8" w:rsidRPr="0052716F" w:rsidRDefault="00F8214A" w:rsidP="00763CA8">
            <w:pPr>
              <w:keepNext/>
              <w:jc w:val="center"/>
              <w:rPr>
                <w:rFonts w:ascii="Arial Narrow" w:hAnsi="Arial Narrow"/>
                <w:b/>
                <w:bCs/>
                <w:i/>
                <w:iCs/>
                <w:sz w:val="20"/>
                <w:szCs w:val="20"/>
              </w:rPr>
            </w:pPr>
            <w:r w:rsidRPr="0052716F">
              <w:rPr>
                <w:rFonts w:ascii="Arial Narrow" w:hAnsi="Arial Narrow"/>
                <w:b/>
                <w:bCs/>
                <w:sz w:val="20"/>
                <w:szCs w:val="20"/>
              </w:rPr>
              <w:t xml:space="preserve">Probability </w:t>
            </w:r>
            <w:r>
              <w:rPr>
                <w:rFonts w:ascii="Arial Narrow" w:hAnsi="Arial Narrow"/>
                <w:b/>
                <w:bCs/>
                <w:sz w:val="20"/>
                <w:szCs w:val="20"/>
              </w:rPr>
              <w:t>of</w:t>
            </w:r>
            <w:r w:rsidRPr="0052716F">
              <w:rPr>
                <w:rFonts w:ascii="Arial Narrow" w:hAnsi="Arial Narrow"/>
                <w:b/>
                <w:bCs/>
                <w:sz w:val="20"/>
                <w:szCs w:val="20"/>
              </w:rPr>
              <w:t xml:space="preserve"> remission </w:t>
            </w:r>
            <w:r w:rsidR="00A244A4">
              <w:rPr>
                <w:rFonts w:ascii="Arial Narrow" w:hAnsi="Arial Narrow"/>
                <w:b/>
                <w:bCs/>
                <w:sz w:val="20"/>
                <w:szCs w:val="20"/>
              </w:rPr>
              <w:t xml:space="preserve">at the </w:t>
            </w:r>
            <w:r w:rsidRPr="0052716F">
              <w:rPr>
                <w:rFonts w:ascii="Arial Narrow" w:hAnsi="Arial Narrow"/>
                <w:b/>
                <w:bCs/>
                <w:sz w:val="20"/>
                <w:szCs w:val="20"/>
              </w:rPr>
              <w:t>end of induction</w:t>
            </w:r>
            <w:r>
              <w:rPr>
                <w:rFonts w:ascii="Arial Narrow" w:hAnsi="Arial Narrow"/>
                <w:b/>
                <w:bCs/>
                <w:sz w:val="20"/>
                <w:szCs w:val="20"/>
              </w:rPr>
              <w:t xml:space="preserve"> (Week 12-18)</w:t>
            </w:r>
          </w:p>
        </w:tc>
        <w:tc>
          <w:tcPr>
            <w:tcW w:w="889" w:type="pct"/>
          </w:tcPr>
          <w:p w14:paraId="26373CF3" w14:textId="455A5D4F" w:rsidR="00763CA8" w:rsidRDefault="00763CA8" w:rsidP="00763CA8">
            <w:pPr>
              <w:keepNext/>
              <w:jc w:val="center"/>
              <w:rPr>
                <w:rFonts w:ascii="Arial Narrow" w:hAnsi="Arial Narrow"/>
                <w:b/>
                <w:bCs/>
                <w:i/>
                <w:iCs/>
                <w:sz w:val="20"/>
                <w:szCs w:val="20"/>
              </w:rPr>
            </w:pPr>
            <w:r>
              <w:rPr>
                <w:rFonts w:ascii="Arial Narrow" w:hAnsi="Arial Narrow"/>
                <w:b/>
                <w:bCs/>
                <w:sz w:val="20"/>
                <w:szCs w:val="20"/>
              </w:rPr>
              <w:t>Probability</w:t>
            </w:r>
            <w:r w:rsidR="00655B5E">
              <w:rPr>
                <w:rFonts w:ascii="Arial Narrow" w:hAnsi="Arial Narrow"/>
                <w:b/>
                <w:bCs/>
                <w:sz w:val="20"/>
                <w:szCs w:val="20"/>
              </w:rPr>
              <w:t xml:space="preserve"> of</w:t>
            </w:r>
            <w:r>
              <w:rPr>
                <w:rFonts w:ascii="Arial Narrow" w:hAnsi="Arial Narrow"/>
                <w:b/>
                <w:bCs/>
                <w:sz w:val="20"/>
                <w:szCs w:val="20"/>
              </w:rPr>
              <w:t xml:space="preserve"> loss of remission per cycle (2 weeks) post induction period</w:t>
            </w:r>
          </w:p>
        </w:tc>
        <w:tc>
          <w:tcPr>
            <w:tcW w:w="890" w:type="pct"/>
            <w:vAlign w:val="center"/>
          </w:tcPr>
          <w:p w14:paraId="7F4C8FB7" w14:textId="645D51C9" w:rsidR="00763CA8" w:rsidRDefault="00763CA8" w:rsidP="00763CA8">
            <w:pPr>
              <w:keepNext/>
              <w:jc w:val="center"/>
              <w:rPr>
                <w:rFonts w:ascii="Arial Narrow" w:hAnsi="Arial Narrow"/>
                <w:b/>
                <w:bCs/>
                <w:i/>
                <w:iCs/>
                <w:sz w:val="20"/>
                <w:szCs w:val="20"/>
              </w:rPr>
            </w:pPr>
            <w:r>
              <w:rPr>
                <w:rFonts w:ascii="Arial Narrow" w:hAnsi="Arial Narrow"/>
                <w:b/>
                <w:bCs/>
                <w:sz w:val="20"/>
                <w:szCs w:val="20"/>
              </w:rPr>
              <w:t>Clinical remission with endoscopic response</w:t>
            </w:r>
            <w:r w:rsidR="006D1D8E">
              <w:rPr>
                <w:rFonts w:ascii="Arial Narrow" w:hAnsi="Arial Narrow"/>
                <w:b/>
                <w:bCs/>
                <w:sz w:val="20"/>
                <w:szCs w:val="20"/>
              </w:rPr>
              <w:t xml:space="preserve">, </w:t>
            </w:r>
            <w:r>
              <w:rPr>
                <w:rFonts w:ascii="Arial Narrow" w:hAnsi="Arial Narrow"/>
                <w:b/>
                <w:bCs/>
                <w:sz w:val="20"/>
                <w:szCs w:val="20"/>
              </w:rPr>
              <w:t>post</w:t>
            </w:r>
            <w:r w:rsidR="006D1D8E">
              <w:rPr>
                <w:rFonts w:ascii="Arial Narrow" w:hAnsi="Arial Narrow"/>
                <w:b/>
                <w:bCs/>
                <w:sz w:val="20"/>
                <w:szCs w:val="20"/>
              </w:rPr>
              <w:t>-</w:t>
            </w:r>
            <w:r>
              <w:rPr>
                <w:rFonts w:ascii="Arial Narrow" w:hAnsi="Arial Narrow"/>
                <w:b/>
                <w:bCs/>
                <w:sz w:val="20"/>
                <w:szCs w:val="20"/>
              </w:rPr>
              <w:t>48 weeks</w:t>
            </w:r>
            <w:r w:rsidR="006D1D8E">
              <w:rPr>
                <w:rFonts w:ascii="Arial Narrow" w:hAnsi="Arial Narrow"/>
                <w:b/>
                <w:bCs/>
                <w:sz w:val="20"/>
                <w:szCs w:val="20"/>
              </w:rPr>
              <w:t xml:space="preserve"> of maintenance period</w:t>
            </w:r>
          </w:p>
        </w:tc>
        <w:tc>
          <w:tcPr>
            <w:tcW w:w="890" w:type="pct"/>
            <w:vAlign w:val="center"/>
          </w:tcPr>
          <w:p w14:paraId="3A13B075" w14:textId="1B1BCF3D" w:rsidR="00763CA8" w:rsidRPr="005572BF" w:rsidRDefault="00763CA8" w:rsidP="00763CA8">
            <w:pPr>
              <w:keepNext/>
              <w:jc w:val="center"/>
              <w:rPr>
                <w:rFonts w:ascii="Arial Narrow" w:hAnsi="Arial Narrow"/>
                <w:b/>
                <w:bCs/>
                <w:i/>
                <w:iCs/>
                <w:sz w:val="20"/>
                <w:szCs w:val="20"/>
              </w:rPr>
            </w:pPr>
            <w:r w:rsidRPr="005572BF">
              <w:rPr>
                <w:rFonts w:ascii="Arial Narrow" w:hAnsi="Arial Narrow"/>
                <w:b/>
                <w:bCs/>
                <w:sz w:val="20"/>
                <w:szCs w:val="20"/>
              </w:rPr>
              <w:t>% 1st subsequent therapy (2L)</w:t>
            </w:r>
          </w:p>
        </w:tc>
        <w:tc>
          <w:tcPr>
            <w:tcW w:w="887" w:type="pct"/>
            <w:vAlign w:val="center"/>
          </w:tcPr>
          <w:p w14:paraId="05D5A645" w14:textId="742AC3EA" w:rsidR="00763CA8" w:rsidRPr="005572BF" w:rsidRDefault="00763CA8" w:rsidP="00763CA8">
            <w:pPr>
              <w:keepNext/>
              <w:jc w:val="center"/>
              <w:rPr>
                <w:rFonts w:ascii="Arial Narrow" w:hAnsi="Arial Narrow"/>
                <w:b/>
                <w:bCs/>
                <w:i/>
                <w:iCs/>
                <w:sz w:val="20"/>
                <w:szCs w:val="20"/>
              </w:rPr>
            </w:pPr>
            <w:r w:rsidRPr="005572BF">
              <w:rPr>
                <w:rFonts w:ascii="Arial Narrow" w:hAnsi="Arial Narrow"/>
                <w:b/>
                <w:bCs/>
                <w:sz w:val="20"/>
                <w:szCs w:val="20"/>
              </w:rPr>
              <w:t>% 2nd subsequent therapy (3L)</w:t>
            </w:r>
          </w:p>
        </w:tc>
      </w:tr>
      <w:tr w:rsidR="00F8214A" w:rsidRPr="004C0B40" w14:paraId="5887B04A" w14:textId="70584E59" w:rsidTr="00286E68">
        <w:tc>
          <w:tcPr>
            <w:tcW w:w="555" w:type="pct"/>
            <w:vAlign w:val="center"/>
          </w:tcPr>
          <w:p w14:paraId="7D7F3877" w14:textId="77777777" w:rsidR="00F8214A" w:rsidRPr="004C0B40" w:rsidRDefault="00F8214A" w:rsidP="00F8214A">
            <w:pPr>
              <w:jc w:val="left"/>
              <w:rPr>
                <w:rFonts w:ascii="Arial Narrow" w:hAnsi="Arial Narrow"/>
                <w:sz w:val="20"/>
                <w:szCs w:val="20"/>
              </w:rPr>
            </w:pPr>
            <w:r>
              <w:rPr>
                <w:rFonts w:ascii="Arial Narrow" w:hAnsi="Arial Narrow"/>
                <w:sz w:val="20"/>
                <w:szCs w:val="20"/>
              </w:rPr>
              <w:t>GUS 100</w:t>
            </w:r>
          </w:p>
        </w:tc>
        <w:tc>
          <w:tcPr>
            <w:tcW w:w="889" w:type="pct"/>
            <w:vAlign w:val="center"/>
          </w:tcPr>
          <w:p w14:paraId="7F8626B3" w14:textId="5A3F2F47"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48.06%</w:t>
            </w:r>
          </w:p>
        </w:tc>
        <w:tc>
          <w:tcPr>
            <w:tcW w:w="889" w:type="pct"/>
            <w:vAlign w:val="center"/>
          </w:tcPr>
          <w:p w14:paraId="58828307" w14:textId="232C4296"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0.85%</w:t>
            </w:r>
          </w:p>
        </w:tc>
        <w:tc>
          <w:tcPr>
            <w:tcW w:w="890" w:type="pct"/>
            <w:vAlign w:val="center"/>
          </w:tcPr>
          <w:p w14:paraId="1F885130" w14:textId="5A47EEEA" w:rsidR="00F8214A" w:rsidRDefault="00F8214A" w:rsidP="00F8214A">
            <w:pPr>
              <w:jc w:val="center"/>
              <w:rPr>
                <w:rFonts w:ascii="Arial Narrow" w:hAnsi="Arial Narrow"/>
                <w:i/>
                <w:iCs/>
                <w:sz w:val="20"/>
                <w:szCs w:val="20"/>
              </w:rPr>
            </w:pPr>
            <w:r w:rsidRPr="005430ED">
              <w:rPr>
                <w:rFonts w:ascii="Arial Narrow" w:hAnsi="Arial Narrow"/>
                <w:sz w:val="20"/>
                <w:szCs w:val="20"/>
              </w:rPr>
              <w:t>67.54%</w:t>
            </w:r>
          </w:p>
        </w:tc>
        <w:tc>
          <w:tcPr>
            <w:tcW w:w="890" w:type="pct"/>
            <w:vAlign w:val="center"/>
          </w:tcPr>
          <w:p w14:paraId="68C47AC5" w14:textId="406AF315"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IFX: 80.6%</w:t>
            </w:r>
          </w:p>
        </w:tc>
        <w:tc>
          <w:tcPr>
            <w:tcW w:w="887" w:type="pct"/>
            <w:vAlign w:val="center"/>
          </w:tcPr>
          <w:p w14:paraId="06C2AFC3" w14:textId="0E189964"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87.4%</w:t>
            </w:r>
          </w:p>
        </w:tc>
      </w:tr>
      <w:tr w:rsidR="00F8214A" w:rsidRPr="004C0B40" w14:paraId="70BB6243" w14:textId="75DD7007" w:rsidTr="00286E68">
        <w:tc>
          <w:tcPr>
            <w:tcW w:w="555" w:type="pct"/>
            <w:vAlign w:val="center"/>
          </w:tcPr>
          <w:p w14:paraId="6882EC1C" w14:textId="77777777" w:rsidR="00F8214A" w:rsidRPr="004C0B40" w:rsidRDefault="00F8214A" w:rsidP="00F8214A">
            <w:pPr>
              <w:jc w:val="left"/>
              <w:rPr>
                <w:rFonts w:ascii="Arial Narrow" w:hAnsi="Arial Narrow"/>
                <w:sz w:val="20"/>
                <w:szCs w:val="20"/>
              </w:rPr>
            </w:pPr>
            <w:r>
              <w:rPr>
                <w:rFonts w:ascii="Arial Narrow" w:hAnsi="Arial Narrow"/>
                <w:sz w:val="20"/>
                <w:szCs w:val="20"/>
              </w:rPr>
              <w:t>GUS 200</w:t>
            </w:r>
          </w:p>
        </w:tc>
        <w:tc>
          <w:tcPr>
            <w:tcW w:w="889" w:type="pct"/>
            <w:vAlign w:val="center"/>
          </w:tcPr>
          <w:p w14:paraId="56B82049" w14:textId="45058D69"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48.06%</w:t>
            </w:r>
          </w:p>
        </w:tc>
        <w:tc>
          <w:tcPr>
            <w:tcW w:w="889" w:type="pct"/>
            <w:vAlign w:val="center"/>
          </w:tcPr>
          <w:p w14:paraId="15A70856" w14:textId="740329EA"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0.71%</w:t>
            </w:r>
          </w:p>
        </w:tc>
        <w:tc>
          <w:tcPr>
            <w:tcW w:w="890" w:type="pct"/>
            <w:vAlign w:val="center"/>
          </w:tcPr>
          <w:p w14:paraId="3B835F42" w14:textId="14A56CC3"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66.13%</w:t>
            </w:r>
          </w:p>
        </w:tc>
        <w:tc>
          <w:tcPr>
            <w:tcW w:w="890" w:type="pct"/>
            <w:vAlign w:val="center"/>
          </w:tcPr>
          <w:p w14:paraId="1D23EF99" w14:textId="687D9184"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IFX: 80.6%</w:t>
            </w:r>
          </w:p>
        </w:tc>
        <w:tc>
          <w:tcPr>
            <w:tcW w:w="887" w:type="pct"/>
            <w:vAlign w:val="center"/>
          </w:tcPr>
          <w:p w14:paraId="4B1FB27B" w14:textId="216F54B2"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87.4%</w:t>
            </w:r>
          </w:p>
        </w:tc>
      </w:tr>
      <w:tr w:rsidR="00F8214A" w:rsidRPr="004C0B40" w14:paraId="26D7C94A" w14:textId="1A0EEEEE" w:rsidTr="00286E68">
        <w:tc>
          <w:tcPr>
            <w:tcW w:w="555" w:type="pct"/>
            <w:vAlign w:val="center"/>
          </w:tcPr>
          <w:p w14:paraId="5FB5AB0F" w14:textId="77777777" w:rsidR="00F8214A" w:rsidRPr="004C0B40" w:rsidRDefault="00F8214A" w:rsidP="00F8214A">
            <w:pPr>
              <w:jc w:val="left"/>
              <w:rPr>
                <w:rFonts w:ascii="Arial Narrow" w:hAnsi="Arial Narrow"/>
                <w:sz w:val="20"/>
                <w:szCs w:val="20"/>
              </w:rPr>
            </w:pPr>
            <w:r>
              <w:rPr>
                <w:rFonts w:ascii="Arial Narrow" w:hAnsi="Arial Narrow"/>
                <w:sz w:val="20"/>
                <w:szCs w:val="20"/>
              </w:rPr>
              <w:t>ADA</w:t>
            </w:r>
          </w:p>
        </w:tc>
        <w:tc>
          <w:tcPr>
            <w:tcW w:w="889" w:type="pct"/>
            <w:vAlign w:val="center"/>
          </w:tcPr>
          <w:p w14:paraId="7EF562AF" w14:textId="010ECE17"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40.18%</w:t>
            </w:r>
          </w:p>
        </w:tc>
        <w:tc>
          <w:tcPr>
            <w:tcW w:w="889" w:type="pct"/>
            <w:vAlign w:val="center"/>
          </w:tcPr>
          <w:p w14:paraId="0AEFF18F" w14:textId="386BE367"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2.18%</w:t>
            </w:r>
          </w:p>
        </w:tc>
        <w:tc>
          <w:tcPr>
            <w:tcW w:w="890" w:type="pct"/>
            <w:vAlign w:val="center"/>
          </w:tcPr>
          <w:p w14:paraId="67026EEB" w14:textId="294A41F1"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7CB53C6B" w14:textId="0C030DD6"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UST: 80.3%</w:t>
            </w:r>
          </w:p>
        </w:tc>
        <w:tc>
          <w:tcPr>
            <w:tcW w:w="887" w:type="pct"/>
            <w:vAlign w:val="center"/>
          </w:tcPr>
          <w:p w14:paraId="49F0D68F" w14:textId="1E16A346"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75.6%</w:t>
            </w:r>
          </w:p>
        </w:tc>
      </w:tr>
      <w:tr w:rsidR="00F8214A" w:rsidRPr="004C0B40" w14:paraId="666893F6" w14:textId="37640B55" w:rsidTr="00286E68">
        <w:tc>
          <w:tcPr>
            <w:tcW w:w="555" w:type="pct"/>
            <w:vAlign w:val="center"/>
          </w:tcPr>
          <w:p w14:paraId="3F51DD25" w14:textId="77777777" w:rsidR="00F8214A" w:rsidRPr="004C0B40" w:rsidRDefault="00F8214A" w:rsidP="00F8214A">
            <w:pPr>
              <w:jc w:val="left"/>
              <w:rPr>
                <w:rFonts w:ascii="Arial Narrow" w:hAnsi="Arial Narrow"/>
                <w:sz w:val="20"/>
                <w:szCs w:val="20"/>
              </w:rPr>
            </w:pPr>
            <w:r>
              <w:rPr>
                <w:rFonts w:ascii="Arial Narrow" w:hAnsi="Arial Narrow"/>
                <w:sz w:val="20"/>
                <w:szCs w:val="20"/>
              </w:rPr>
              <w:t>IFX</w:t>
            </w:r>
          </w:p>
        </w:tc>
        <w:tc>
          <w:tcPr>
            <w:tcW w:w="889" w:type="pct"/>
            <w:vAlign w:val="center"/>
          </w:tcPr>
          <w:p w14:paraId="39A768B4" w14:textId="3004ECC6"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48.15%</w:t>
            </w:r>
          </w:p>
        </w:tc>
        <w:tc>
          <w:tcPr>
            <w:tcW w:w="889" w:type="pct"/>
            <w:vAlign w:val="center"/>
          </w:tcPr>
          <w:p w14:paraId="1332EC55" w14:textId="1DFFC7C1"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6.63%</w:t>
            </w:r>
          </w:p>
        </w:tc>
        <w:tc>
          <w:tcPr>
            <w:tcW w:w="890" w:type="pct"/>
            <w:vAlign w:val="center"/>
          </w:tcPr>
          <w:p w14:paraId="61C9D3C1" w14:textId="20D090DF"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3C7F0E9F" w14:textId="3B64B6F0"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ADA: 82.8%</w:t>
            </w:r>
          </w:p>
        </w:tc>
        <w:tc>
          <w:tcPr>
            <w:tcW w:w="887" w:type="pct"/>
            <w:vAlign w:val="center"/>
          </w:tcPr>
          <w:p w14:paraId="14139E7D" w14:textId="0E4640BF"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UST: 91.1%</w:t>
            </w:r>
          </w:p>
        </w:tc>
      </w:tr>
      <w:tr w:rsidR="00F8214A" w:rsidRPr="004C0B40" w14:paraId="30F45207" w14:textId="4FB3D662" w:rsidTr="00286E68">
        <w:tc>
          <w:tcPr>
            <w:tcW w:w="555" w:type="pct"/>
            <w:vAlign w:val="center"/>
          </w:tcPr>
          <w:p w14:paraId="550124A6" w14:textId="77777777" w:rsidR="00F8214A" w:rsidRPr="004C0B40" w:rsidRDefault="00F8214A" w:rsidP="00F8214A">
            <w:pPr>
              <w:jc w:val="left"/>
              <w:rPr>
                <w:rFonts w:ascii="Arial Narrow" w:hAnsi="Arial Narrow"/>
                <w:sz w:val="20"/>
                <w:szCs w:val="20"/>
              </w:rPr>
            </w:pPr>
            <w:r>
              <w:rPr>
                <w:rFonts w:ascii="Arial Narrow" w:hAnsi="Arial Narrow"/>
                <w:sz w:val="20"/>
                <w:szCs w:val="20"/>
              </w:rPr>
              <w:t>UPA</w:t>
            </w:r>
          </w:p>
        </w:tc>
        <w:tc>
          <w:tcPr>
            <w:tcW w:w="889" w:type="pct"/>
            <w:vAlign w:val="center"/>
          </w:tcPr>
          <w:p w14:paraId="0C8DA4B4" w14:textId="47FC260C"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44.36%</w:t>
            </w:r>
          </w:p>
        </w:tc>
        <w:tc>
          <w:tcPr>
            <w:tcW w:w="889" w:type="pct"/>
            <w:vAlign w:val="center"/>
          </w:tcPr>
          <w:p w14:paraId="78B3D64A" w14:textId="789EE8B6"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3.12%</w:t>
            </w:r>
          </w:p>
        </w:tc>
        <w:tc>
          <w:tcPr>
            <w:tcW w:w="890" w:type="pct"/>
            <w:vAlign w:val="center"/>
          </w:tcPr>
          <w:p w14:paraId="640FE4D5" w14:textId="7C527813"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28CF5606" w14:textId="0DDF3045"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92.2%</w:t>
            </w:r>
          </w:p>
        </w:tc>
        <w:tc>
          <w:tcPr>
            <w:tcW w:w="887" w:type="pct"/>
            <w:vAlign w:val="center"/>
          </w:tcPr>
          <w:p w14:paraId="4134578D" w14:textId="4CF22F84"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UST: 100%</w:t>
            </w:r>
          </w:p>
        </w:tc>
      </w:tr>
      <w:tr w:rsidR="00F8214A" w:rsidRPr="004C0B40" w14:paraId="0B90EB10" w14:textId="100F8FEC" w:rsidTr="00286E68">
        <w:tc>
          <w:tcPr>
            <w:tcW w:w="555" w:type="pct"/>
            <w:vAlign w:val="center"/>
          </w:tcPr>
          <w:p w14:paraId="27FB98B5" w14:textId="77777777" w:rsidR="00F8214A" w:rsidRPr="004C0B40" w:rsidRDefault="00F8214A" w:rsidP="00F8214A">
            <w:pPr>
              <w:jc w:val="left"/>
              <w:rPr>
                <w:rFonts w:ascii="Arial Narrow" w:hAnsi="Arial Narrow"/>
                <w:sz w:val="20"/>
                <w:szCs w:val="20"/>
              </w:rPr>
            </w:pPr>
            <w:r>
              <w:rPr>
                <w:rFonts w:ascii="Arial Narrow" w:hAnsi="Arial Narrow"/>
                <w:sz w:val="20"/>
                <w:szCs w:val="20"/>
              </w:rPr>
              <w:t>UST</w:t>
            </w:r>
          </w:p>
        </w:tc>
        <w:tc>
          <w:tcPr>
            <w:tcW w:w="889" w:type="pct"/>
            <w:vAlign w:val="center"/>
          </w:tcPr>
          <w:p w14:paraId="477FC40C" w14:textId="2F4C6F97"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46.89%</w:t>
            </w:r>
          </w:p>
        </w:tc>
        <w:tc>
          <w:tcPr>
            <w:tcW w:w="889" w:type="pct"/>
            <w:vAlign w:val="center"/>
          </w:tcPr>
          <w:p w14:paraId="3829B8CF" w14:textId="035297C4"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1.25%</w:t>
            </w:r>
          </w:p>
        </w:tc>
        <w:tc>
          <w:tcPr>
            <w:tcW w:w="890" w:type="pct"/>
            <w:vAlign w:val="center"/>
          </w:tcPr>
          <w:p w14:paraId="0C24B450" w14:textId="02D57288"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3E0637D2" w14:textId="4107EC1D"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IFX: 79.3%</w:t>
            </w:r>
          </w:p>
        </w:tc>
        <w:tc>
          <w:tcPr>
            <w:tcW w:w="887" w:type="pct"/>
            <w:vAlign w:val="center"/>
          </w:tcPr>
          <w:p w14:paraId="40110017" w14:textId="15CFA6C7"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91.7%</w:t>
            </w:r>
          </w:p>
        </w:tc>
      </w:tr>
      <w:tr w:rsidR="00F8214A" w:rsidRPr="004C0B40" w14:paraId="2BFDA9FB" w14:textId="673D4466" w:rsidTr="00286E68">
        <w:tc>
          <w:tcPr>
            <w:tcW w:w="555" w:type="pct"/>
            <w:vAlign w:val="center"/>
          </w:tcPr>
          <w:p w14:paraId="51966B1A" w14:textId="77777777" w:rsidR="00F8214A" w:rsidRPr="004C0B40" w:rsidRDefault="00F8214A" w:rsidP="00F8214A">
            <w:pPr>
              <w:jc w:val="left"/>
              <w:rPr>
                <w:rFonts w:ascii="Arial Narrow" w:hAnsi="Arial Narrow"/>
                <w:sz w:val="20"/>
                <w:szCs w:val="20"/>
              </w:rPr>
            </w:pPr>
            <w:r>
              <w:rPr>
                <w:rFonts w:ascii="Arial Narrow" w:hAnsi="Arial Narrow"/>
                <w:sz w:val="20"/>
                <w:szCs w:val="20"/>
              </w:rPr>
              <w:t>VDZ</w:t>
            </w:r>
          </w:p>
        </w:tc>
        <w:tc>
          <w:tcPr>
            <w:tcW w:w="889" w:type="pct"/>
            <w:vAlign w:val="center"/>
          </w:tcPr>
          <w:p w14:paraId="563E382B" w14:textId="2261D21E"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15.18%</w:t>
            </w:r>
          </w:p>
        </w:tc>
        <w:tc>
          <w:tcPr>
            <w:tcW w:w="889" w:type="pct"/>
            <w:vAlign w:val="center"/>
          </w:tcPr>
          <w:p w14:paraId="2A5E700F" w14:textId="1294E13E"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1.10%</w:t>
            </w:r>
          </w:p>
        </w:tc>
        <w:tc>
          <w:tcPr>
            <w:tcW w:w="890" w:type="pct"/>
            <w:vAlign w:val="center"/>
          </w:tcPr>
          <w:p w14:paraId="0E167F78" w14:textId="5197882C"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5FEDC701" w14:textId="7946A65E"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UST: 78.1%</w:t>
            </w:r>
          </w:p>
        </w:tc>
        <w:tc>
          <w:tcPr>
            <w:tcW w:w="887" w:type="pct"/>
            <w:vAlign w:val="center"/>
          </w:tcPr>
          <w:p w14:paraId="3475F949" w14:textId="746848A5"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ADA: 86.8%</w:t>
            </w:r>
          </w:p>
        </w:tc>
      </w:tr>
    </w:tbl>
    <w:p w14:paraId="3D6ECC4A" w14:textId="1FD1C8D4" w:rsidR="00906C07" w:rsidRDefault="00906C07" w:rsidP="00906C07">
      <w:pPr>
        <w:rPr>
          <w:rStyle w:val="CommentReference"/>
          <w:b w:val="0"/>
          <w:bCs/>
          <w:sz w:val="18"/>
          <w:szCs w:val="18"/>
        </w:rPr>
      </w:pPr>
      <w:r w:rsidRPr="00574B2D">
        <w:rPr>
          <w:rStyle w:val="CommentReference"/>
          <w:b w:val="0"/>
          <w:bCs/>
          <w:sz w:val="18"/>
          <w:szCs w:val="18"/>
        </w:rPr>
        <w:t>.</w:t>
      </w:r>
    </w:p>
    <w:p w14:paraId="5E9FFF02" w14:textId="77777777" w:rsidR="00906C07" w:rsidRPr="00AC1A79" w:rsidRDefault="00906C07" w:rsidP="00906C07">
      <w:pPr>
        <w:rPr>
          <w:rFonts w:ascii="Arial Narrow" w:hAnsi="Arial Narrow"/>
          <w:sz w:val="18"/>
          <w:szCs w:val="18"/>
        </w:rPr>
      </w:pPr>
      <w:r w:rsidRPr="00AC1A79">
        <w:rPr>
          <w:rFonts w:ascii="Arial Narrow" w:hAnsi="Arial Narrow"/>
          <w:sz w:val="18"/>
          <w:szCs w:val="18"/>
        </w:rPr>
        <w:t>Source: Table 3.7, p384 of the submission, Attachment 3.1 Guselkumab CD Economic Model.xlsx.</w:t>
      </w:r>
    </w:p>
    <w:p w14:paraId="2F801441" w14:textId="77777777" w:rsidR="00B15C3D" w:rsidRDefault="00906C07" w:rsidP="00B15C3D">
      <w:pPr>
        <w:rPr>
          <w:rFonts w:ascii="Arial Narrow" w:hAnsi="Arial Narrow"/>
          <w:sz w:val="18"/>
          <w:szCs w:val="18"/>
        </w:rPr>
      </w:pPr>
      <w:r w:rsidRPr="00AF30DB">
        <w:rPr>
          <w:rFonts w:ascii="Arial Narrow" w:hAnsi="Arial Narrow"/>
          <w:sz w:val="18"/>
          <w:szCs w:val="18"/>
        </w:rPr>
        <w:t>ADA=adalimumab; GUS=guselkumab; IFX=infliximab; UPA=upadacitinib; UST=ustekinumab; VDZ=vedolizumab</w:t>
      </w:r>
      <w:r>
        <w:rPr>
          <w:rFonts w:ascii="Arial Narrow" w:hAnsi="Arial Narrow"/>
          <w:sz w:val="18"/>
          <w:szCs w:val="18"/>
        </w:rPr>
        <w:t>;</w:t>
      </w:r>
      <w:r w:rsidR="00B15C3D">
        <w:rPr>
          <w:rFonts w:ascii="Arial Narrow" w:hAnsi="Arial Narrow"/>
          <w:sz w:val="18"/>
          <w:szCs w:val="18"/>
        </w:rPr>
        <w:t xml:space="preserve"> 1L=first-line (index) treatment; 2L=second-line treatment; 3L=third-line treatment;</w:t>
      </w:r>
    </w:p>
    <w:p w14:paraId="00B1DAA8" w14:textId="5F95D335" w:rsidR="00906C07" w:rsidRPr="00906C07" w:rsidRDefault="00906C07" w:rsidP="00AC0142">
      <w:pPr>
        <w:pStyle w:val="3-BodyText"/>
        <w:numPr>
          <w:ilvl w:val="0"/>
          <w:numId w:val="0"/>
        </w:numPr>
        <w:spacing w:before="0"/>
        <w:rPr>
          <w:lang w:val="en-US"/>
        </w:rPr>
      </w:pPr>
    </w:p>
    <w:p w14:paraId="7CD44D1B" w14:textId="77777777" w:rsidR="00C43BD1" w:rsidRPr="008A2601" w:rsidRDefault="006D1363" w:rsidP="006D1363">
      <w:pPr>
        <w:pStyle w:val="3-BodyText"/>
        <w:rPr>
          <w:lang w:val="en-US"/>
        </w:rPr>
      </w:pPr>
      <w:r w:rsidRPr="008A2601">
        <w:rPr>
          <w:lang w:val="en-US"/>
        </w:rPr>
        <w:t xml:space="preserve">There were </w:t>
      </w:r>
      <w:proofErr w:type="gramStart"/>
      <w:r w:rsidRPr="008A2601">
        <w:rPr>
          <w:lang w:val="en-US"/>
        </w:rPr>
        <w:t>a number of</w:t>
      </w:r>
      <w:proofErr w:type="gramEnd"/>
      <w:r w:rsidRPr="008A2601">
        <w:rPr>
          <w:lang w:val="en-US"/>
        </w:rPr>
        <w:t xml:space="preserve"> concerns with the derivation of the transition probabilities applied in the model. </w:t>
      </w:r>
    </w:p>
    <w:p w14:paraId="2025FEF7" w14:textId="30448EEC" w:rsidR="00C43BD1" w:rsidRPr="008A2601" w:rsidRDefault="001E3E95" w:rsidP="00096092">
      <w:pPr>
        <w:pStyle w:val="3-BodyText"/>
        <w:numPr>
          <w:ilvl w:val="0"/>
          <w:numId w:val="22"/>
        </w:numPr>
        <w:rPr>
          <w:lang w:val="en-US"/>
        </w:rPr>
      </w:pPr>
      <w:r w:rsidRPr="008A2601">
        <w:rPr>
          <w:lang w:val="en-US"/>
        </w:rPr>
        <w:t xml:space="preserve">First, the submission did not provide any justification for modelling the </w:t>
      </w:r>
      <w:r w:rsidR="00173F65" w:rsidRPr="008A2601">
        <w:rPr>
          <w:lang w:val="en-US"/>
        </w:rPr>
        <w:t>observed</w:t>
      </w:r>
      <w:r w:rsidRPr="008A2601">
        <w:rPr>
          <w:lang w:val="en-US"/>
        </w:rPr>
        <w:t xml:space="preserve"> </w:t>
      </w:r>
      <w:r w:rsidR="00B41C67" w:rsidRPr="008A2601">
        <w:rPr>
          <w:lang w:val="en-US"/>
        </w:rPr>
        <w:t xml:space="preserve">(unanchored) </w:t>
      </w:r>
      <w:r w:rsidRPr="008A2601">
        <w:rPr>
          <w:lang w:val="en-US"/>
        </w:rPr>
        <w:t>average rate</w:t>
      </w:r>
      <w:r w:rsidR="00B41C67" w:rsidRPr="008A2601">
        <w:rPr>
          <w:lang w:val="en-US"/>
        </w:rPr>
        <w:t>s</w:t>
      </w:r>
      <w:r w:rsidRPr="008A2601">
        <w:rPr>
          <w:lang w:val="en-US"/>
        </w:rPr>
        <w:t xml:space="preserve"> of clinical remission in the active treatment arms of the induction phase trials without any adjustment for differences between the trials. This assumption favour</w:t>
      </w:r>
      <w:r w:rsidR="00655B5E" w:rsidRPr="008A2601">
        <w:rPr>
          <w:lang w:val="en-US"/>
        </w:rPr>
        <w:t>ed</w:t>
      </w:r>
      <w:r w:rsidRPr="008A2601">
        <w:rPr>
          <w:lang w:val="en-US"/>
        </w:rPr>
        <w:t xml:space="preserve"> GUS compared to either (i) deriving the comparative treatment effects from the induction NMA or (ii) simply assuming no difference between treatments</w:t>
      </w:r>
      <w:r w:rsidR="00655B5E" w:rsidRPr="008A2601">
        <w:rPr>
          <w:lang w:val="en-US"/>
        </w:rPr>
        <w:t xml:space="preserve">. </w:t>
      </w:r>
    </w:p>
    <w:p w14:paraId="2A77A29E" w14:textId="5643F791" w:rsidR="00C43BD1" w:rsidRPr="008A2601" w:rsidRDefault="001E3E95" w:rsidP="00096092">
      <w:pPr>
        <w:pStyle w:val="3-BodyText"/>
        <w:numPr>
          <w:ilvl w:val="0"/>
          <w:numId w:val="22"/>
        </w:numPr>
        <w:rPr>
          <w:lang w:val="en-US"/>
        </w:rPr>
      </w:pPr>
      <w:r w:rsidRPr="008A2601">
        <w:rPr>
          <w:lang w:val="en-US"/>
        </w:rPr>
        <w:t xml:space="preserve">Second, the submission’s approach for estimating the loss of clinical remission parameter was considered highly uncertain and was not externally valid </w:t>
      </w:r>
      <w:r w:rsidR="00C43BD1" w:rsidRPr="008A2601">
        <w:rPr>
          <w:lang w:val="en-US"/>
        </w:rPr>
        <w:t>– with a much higher proportion of patients remaining on treatment in practice than assumed in the model as well as similar discontinuation rates observed for the comparator b/</w:t>
      </w:r>
      <w:proofErr w:type="spellStart"/>
      <w:r w:rsidR="00C43BD1" w:rsidRPr="008A2601">
        <w:rPr>
          <w:lang w:val="en-US"/>
        </w:rPr>
        <w:t>tsDMARDs</w:t>
      </w:r>
      <w:proofErr w:type="spellEnd"/>
      <w:r w:rsidR="00C43BD1" w:rsidRPr="008A2601">
        <w:rPr>
          <w:lang w:val="en-US"/>
        </w:rPr>
        <w:t xml:space="preserve"> </w:t>
      </w:r>
      <w:r w:rsidRPr="008A2601">
        <w:rPr>
          <w:lang w:val="en-US"/>
        </w:rPr>
        <w:t xml:space="preserve">(refer to </w:t>
      </w:r>
      <w:r w:rsidR="005860A4" w:rsidRPr="008A2601">
        <w:rPr>
          <w:lang w:val="en-US"/>
        </w:rPr>
        <w:fldChar w:fldCharType="begin"/>
      </w:r>
      <w:r w:rsidR="005860A4" w:rsidRPr="008A2601">
        <w:rPr>
          <w:lang w:val="en-US"/>
        </w:rPr>
        <w:instrText xml:space="preserve"> REF _Ref197677828 \h </w:instrText>
      </w:r>
      <w:r w:rsidR="008A2601">
        <w:rPr>
          <w:lang w:val="en-US"/>
        </w:rPr>
        <w:instrText xml:space="preserve"> \* MERGEFORMAT </w:instrText>
      </w:r>
      <w:r w:rsidR="005860A4" w:rsidRPr="008A2601">
        <w:rPr>
          <w:lang w:val="en-US"/>
        </w:rPr>
      </w:r>
      <w:r w:rsidR="005860A4" w:rsidRPr="008A2601">
        <w:rPr>
          <w:lang w:val="en-US"/>
        </w:rPr>
        <w:fldChar w:fldCharType="separate"/>
      </w:r>
      <w:r w:rsidR="000756FD" w:rsidRPr="008A2601">
        <w:t xml:space="preserve">Figure </w:t>
      </w:r>
      <w:r w:rsidR="000756FD">
        <w:rPr>
          <w:noProof/>
        </w:rPr>
        <w:t>2</w:t>
      </w:r>
      <w:r w:rsidR="005860A4" w:rsidRPr="008A2601">
        <w:rPr>
          <w:lang w:val="en-US"/>
        </w:rPr>
        <w:fldChar w:fldCharType="end"/>
      </w:r>
      <w:r w:rsidRPr="008A2601">
        <w:rPr>
          <w:lang w:val="en-US"/>
        </w:rPr>
        <w:t>). Not only did the submission use the treatment effects derived from the trial-design</w:t>
      </w:r>
      <w:r w:rsidR="0040374D" w:rsidRPr="008A2601">
        <w:rPr>
          <w:lang w:val="en-US"/>
        </w:rPr>
        <w:t>-</w:t>
      </w:r>
      <w:r w:rsidRPr="008A2601">
        <w:rPr>
          <w:lang w:val="en-US"/>
        </w:rPr>
        <w:t>adjusted Australian NMA (which was considered unreliable</w:t>
      </w:r>
      <w:r w:rsidR="00893123" w:rsidRPr="008A2601">
        <w:rPr>
          <w:lang w:val="en-US"/>
        </w:rPr>
        <w:t>) but</w:t>
      </w:r>
      <w:r w:rsidRPr="008A2601">
        <w:rPr>
          <w:lang w:val="en-US"/>
        </w:rPr>
        <w:t xml:space="preserve"> also made further assumptions to</w:t>
      </w:r>
      <w:r>
        <w:rPr>
          <w:i/>
          <w:iCs/>
          <w:lang w:val="en-US"/>
        </w:rPr>
        <w:t xml:space="preserve"> </w:t>
      </w:r>
      <w:r w:rsidRPr="008A2601">
        <w:rPr>
          <w:lang w:val="en-US"/>
        </w:rPr>
        <w:t>convert the estimated treatment effects in terms of clinical remission at Week</w:t>
      </w:r>
      <w:r w:rsidR="00CA7ED5" w:rsidRPr="008A2601">
        <w:rPr>
          <w:lang w:val="en-US"/>
        </w:rPr>
        <w:t>s</w:t>
      </w:r>
      <w:r w:rsidRPr="008A2601">
        <w:rPr>
          <w:lang w:val="en-US"/>
        </w:rPr>
        <w:t xml:space="preserve"> 48</w:t>
      </w:r>
      <w:r w:rsidR="00F96628" w:rsidRPr="008A2601">
        <w:rPr>
          <w:lang w:val="en-US"/>
        </w:rPr>
        <w:t>-</w:t>
      </w:r>
      <w:r w:rsidRPr="008A2601">
        <w:rPr>
          <w:lang w:val="en-US"/>
        </w:rPr>
        <w:t>60 irrespective of induction response into the required outcome of clinical remission at Week</w:t>
      </w:r>
      <w:r w:rsidR="00CA7ED5" w:rsidRPr="008A2601">
        <w:rPr>
          <w:lang w:val="en-US"/>
        </w:rPr>
        <w:t>s</w:t>
      </w:r>
      <w:r w:rsidRPr="008A2601">
        <w:rPr>
          <w:lang w:val="en-US"/>
        </w:rPr>
        <w:t xml:space="preserve"> 48</w:t>
      </w:r>
      <w:r w:rsidR="00F96628" w:rsidRPr="008A2601">
        <w:rPr>
          <w:lang w:val="en-US"/>
        </w:rPr>
        <w:t>-</w:t>
      </w:r>
      <w:r w:rsidRPr="008A2601">
        <w:rPr>
          <w:lang w:val="en-US"/>
        </w:rPr>
        <w:t>60 in patients with clinical remission following induction treatment.</w:t>
      </w:r>
    </w:p>
    <w:p w14:paraId="6364BCBD" w14:textId="261820AA" w:rsidR="00C43BD1" w:rsidRPr="008A2601" w:rsidRDefault="001E3E95" w:rsidP="00096092">
      <w:pPr>
        <w:pStyle w:val="3-BodyText"/>
        <w:numPr>
          <w:ilvl w:val="0"/>
          <w:numId w:val="22"/>
        </w:numPr>
        <w:rPr>
          <w:lang w:val="en-US"/>
        </w:rPr>
      </w:pPr>
      <w:r w:rsidRPr="008A2601">
        <w:rPr>
          <w:lang w:val="en-US"/>
        </w:rPr>
        <w:lastRenderedPageBreak/>
        <w:t xml:space="preserve">Third, the proportion of patients who maintained clinical remission with endoscopic response </w:t>
      </w:r>
      <w:r w:rsidR="00C43BD1" w:rsidRPr="008A2601">
        <w:rPr>
          <w:lang w:val="en-US"/>
        </w:rPr>
        <w:t xml:space="preserve">assumed </w:t>
      </w:r>
      <w:r w:rsidRPr="008A2601">
        <w:rPr>
          <w:lang w:val="en-US"/>
        </w:rPr>
        <w:t xml:space="preserve">throughout the model was based on </w:t>
      </w:r>
      <w:r w:rsidR="00C43BD1" w:rsidRPr="008A2601">
        <w:rPr>
          <w:lang w:val="en-US"/>
        </w:rPr>
        <w:t xml:space="preserve">a post-hoc analysis at </w:t>
      </w:r>
      <w:r w:rsidRPr="008A2601">
        <w:rPr>
          <w:lang w:val="en-US"/>
        </w:rPr>
        <w:t>one time point in the GALAXI trials between GUS versus UST and an assumption that the same treatment benefit would also apply to other comparators</w:t>
      </w:r>
      <w:r w:rsidR="00C43BD1" w:rsidRPr="008A2601">
        <w:rPr>
          <w:lang w:val="en-US"/>
        </w:rPr>
        <w:t xml:space="preserve"> (in the absence of evidence)</w:t>
      </w:r>
      <w:r w:rsidRPr="008A2601">
        <w:rPr>
          <w:lang w:val="en-US"/>
        </w:rPr>
        <w:t>.</w:t>
      </w:r>
    </w:p>
    <w:p w14:paraId="2A2107C5" w14:textId="7351ADD8" w:rsidR="001E3E95" w:rsidRPr="008A2601" w:rsidRDefault="00874445" w:rsidP="00096092">
      <w:pPr>
        <w:pStyle w:val="3-BodyText"/>
        <w:numPr>
          <w:ilvl w:val="0"/>
          <w:numId w:val="22"/>
        </w:numPr>
        <w:rPr>
          <w:lang w:val="en-US"/>
        </w:rPr>
      </w:pPr>
      <w:r w:rsidRPr="008A2601">
        <w:rPr>
          <w:lang w:val="en-US"/>
        </w:rPr>
        <w:t xml:space="preserve">Finally, </w:t>
      </w:r>
      <w:bookmarkStart w:id="55" w:name="_Hlk197949753"/>
      <w:r w:rsidRPr="008A2601">
        <w:rPr>
          <w:lang w:val="en-US"/>
        </w:rPr>
        <w:t>the submission provided no clinical rationale for why there would be causal difference in the probability of receiving subsequent treatment with a b/</w:t>
      </w:r>
      <w:proofErr w:type="spellStart"/>
      <w:r w:rsidRPr="008A2601">
        <w:rPr>
          <w:lang w:val="en-US"/>
        </w:rPr>
        <w:t>tsDMARD</w:t>
      </w:r>
      <w:proofErr w:type="spellEnd"/>
      <w:r w:rsidRPr="008A2601">
        <w:rPr>
          <w:lang w:val="en-US"/>
        </w:rPr>
        <w:t xml:space="preserve"> depending on prior b/</w:t>
      </w:r>
      <w:proofErr w:type="spellStart"/>
      <w:r w:rsidRPr="008A2601">
        <w:rPr>
          <w:lang w:val="en-US"/>
        </w:rPr>
        <w:t>tsDMARD</w:t>
      </w:r>
      <w:proofErr w:type="spellEnd"/>
      <w:r w:rsidRPr="008A2601">
        <w:rPr>
          <w:lang w:val="en-US"/>
        </w:rPr>
        <w:t xml:space="preserve"> (and the assumed differences could not be verified from the source material).</w:t>
      </w:r>
      <w:r w:rsidR="00C43BD1" w:rsidRPr="008A2601">
        <w:rPr>
          <w:lang w:val="en-US"/>
        </w:rPr>
        <w:t xml:space="preserve"> The model</w:t>
      </w:r>
      <w:r w:rsidR="00655B5E" w:rsidRPr="008A2601">
        <w:rPr>
          <w:lang w:val="en-US"/>
        </w:rPr>
        <w:t>,</w:t>
      </w:r>
      <w:r w:rsidR="00C43BD1" w:rsidRPr="008A2601">
        <w:rPr>
          <w:lang w:val="en-US"/>
        </w:rPr>
        <w:t xml:space="preserve"> however</w:t>
      </w:r>
      <w:r w:rsidR="00655B5E" w:rsidRPr="008A2601">
        <w:rPr>
          <w:lang w:val="en-US"/>
        </w:rPr>
        <w:t>,</w:t>
      </w:r>
      <w:r w:rsidR="00C43BD1" w:rsidRPr="008A2601">
        <w:rPr>
          <w:lang w:val="en-US"/>
        </w:rPr>
        <w:t xml:space="preserve"> was not particularly sensitive to these assumed differences.</w:t>
      </w:r>
      <w:bookmarkEnd w:id="55"/>
    </w:p>
    <w:p w14:paraId="0C9FB18A" w14:textId="085D17D2" w:rsidR="004E6E87" w:rsidRPr="008A2601" w:rsidRDefault="004E6E87" w:rsidP="00C43BD1">
      <w:pPr>
        <w:pStyle w:val="3-BodyText"/>
        <w:rPr>
          <w:lang w:val="en-US"/>
        </w:rPr>
      </w:pPr>
      <w:r w:rsidRPr="008A2601">
        <w:rPr>
          <w:lang w:val="en-US"/>
        </w:rPr>
        <w:t>The key drivers are summarised in the table below.</w:t>
      </w:r>
    </w:p>
    <w:p w14:paraId="311FE179" w14:textId="2BDB8244" w:rsidR="004E6E87" w:rsidRPr="00BB00B3" w:rsidRDefault="005860A4" w:rsidP="005860A4">
      <w:pPr>
        <w:pStyle w:val="Caption"/>
        <w:rPr>
          <w:rStyle w:val="CommentReference"/>
          <w:b/>
          <w:szCs w:val="24"/>
        </w:rPr>
      </w:pPr>
      <w:r>
        <w:t xml:space="preserve">Table </w:t>
      </w:r>
      <w:r w:rsidR="00DC5F25">
        <w:fldChar w:fldCharType="begin"/>
      </w:r>
      <w:r w:rsidR="00DC5F25">
        <w:instrText xml:space="preserve"> SEQ Table \* ARABIC </w:instrText>
      </w:r>
      <w:r w:rsidR="00DC5F25">
        <w:fldChar w:fldCharType="separate"/>
      </w:r>
      <w:r w:rsidR="000756FD">
        <w:rPr>
          <w:noProof/>
        </w:rPr>
        <w:t>13</w:t>
      </w:r>
      <w:r w:rsidR="00DC5F25">
        <w:rPr>
          <w:noProof/>
        </w:rPr>
        <w:fldChar w:fldCharType="end"/>
      </w:r>
      <w:r w:rsidR="004E6E87">
        <w:t>:</w:t>
      </w:r>
      <w:r w:rsidR="004E6E87" w:rsidRPr="00BB00B3">
        <w:rPr>
          <w:rStyle w:val="CommentReference"/>
          <w:b/>
          <w:szCs w:val="24"/>
        </w:rPr>
        <w:t xml:space="preserve"> Key drivers of the model</w:t>
      </w:r>
    </w:p>
    <w:tbl>
      <w:tblPr>
        <w:tblStyle w:val="PBAClayout"/>
        <w:tblW w:w="5000" w:type="pct"/>
        <w:tblLayout w:type="fixed"/>
        <w:tblLook w:val="04A0" w:firstRow="1" w:lastRow="0" w:firstColumn="1" w:lastColumn="0" w:noHBand="0" w:noVBand="1"/>
        <w:tblCaption w:val="Table 13: Key drivers of the model"/>
      </w:tblPr>
      <w:tblGrid>
        <w:gridCol w:w="1414"/>
        <w:gridCol w:w="4820"/>
        <w:gridCol w:w="2783"/>
      </w:tblGrid>
      <w:tr w:rsidR="004E6E87" w:rsidRPr="003D1DE4" w14:paraId="6EFBA731" w14:textId="77777777" w:rsidTr="004E6E87">
        <w:tc>
          <w:tcPr>
            <w:tcW w:w="784" w:type="pct"/>
          </w:tcPr>
          <w:p w14:paraId="2F19BFB1" w14:textId="77777777" w:rsidR="004E6E87" w:rsidRPr="003D1DE4" w:rsidRDefault="004E6E87" w:rsidP="00286E68">
            <w:pPr>
              <w:pStyle w:val="In-tableHeading"/>
            </w:pPr>
            <w:r w:rsidRPr="003D1DE4">
              <w:t>Description</w:t>
            </w:r>
          </w:p>
        </w:tc>
        <w:tc>
          <w:tcPr>
            <w:tcW w:w="2673" w:type="pct"/>
          </w:tcPr>
          <w:p w14:paraId="09DBAFE3" w14:textId="77777777" w:rsidR="004E6E87" w:rsidRPr="003D1DE4" w:rsidRDefault="004E6E87" w:rsidP="00286E68">
            <w:pPr>
              <w:pStyle w:val="In-tableHeading"/>
              <w:jc w:val="center"/>
            </w:pPr>
            <w:r w:rsidRPr="003D1DE4">
              <w:t>Method/Value</w:t>
            </w:r>
          </w:p>
        </w:tc>
        <w:tc>
          <w:tcPr>
            <w:tcW w:w="1544" w:type="pct"/>
          </w:tcPr>
          <w:p w14:paraId="22310817" w14:textId="77777777" w:rsidR="004E6E87" w:rsidRPr="008A2601" w:rsidRDefault="004E6E87" w:rsidP="00286E68">
            <w:pPr>
              <w:pStyle w:val="In-tableHeading"/>
              <w:jc w:val="center"/>
            </w:pPr>
            <w:r w:rsidRPr="008A2601">
              <w:t xml:space="preserve">Impact </w:t>
            </w:r>
          </w:p>
          <w:p w14:paraId="7C9B5910" w14:textId="1C8129E5" w:rsidR="004E6E87" w:rsidRPr="008A2601" w:rsidRDefault="004E6E87" w:rsidP="00286E68">
            <w:pPr>
              <w:pStyle w:val="In-tableHeading"/>
              <w:jc w:val="center"/>
              <w:rPr>
                <w:rFonts w:cs="Arial"/>
                <w:szCs w:val="20"/>
              </w:rPr>
            </w:pPr>
            <w:r w:rsidRPr="008A2601">
              <w:rPr>
                <w:rFonts w:cs="Arial"/>
                <w:szCs w:val="20"/>
              </w:rPr>
              <w:t xml:space="preserve">Base case (corrected): </w:t>
            </w:r>
          </w:p>
          <w:p w14:paraId="22EDE2DD" w14:textId="133725B5" w:rsidR="004E6E87" w:rsidRPr="00D358EB" w:rsidRDefault="004E6E87" w:rsidP="00286E68">
            <w:pPr>
              <w:pStyle w:val="In-tableHeading"/>
              <w:jc w:val="center"/>
              <w:rPr>
                <w:rFonts w:cs="Arial"/>
                <w:szCs w:val="20"/>
              </w:rPr>
            </w:pPr>
            <w:r w:rsidRPr="00D358EB">
              <w:rPr>
                <w:rFonts w:cs="Arial"/>
                <w:szCs w:val="20"/>
              </w:rPr>
              <w:t>$</w:t>
            </w:r>
            <w:r w:rsidR="00E77A69" w:rsidRPr="00E77A69">
              <w:rPr>
                <w:rFonts w:cs="Arial"/>
                <w:color w:val="000000"/>
                <w:spacing w:val="58"/>
                <w:szCs w:val="20"/>
                <w:shd w:val="solid" w:color="000000" w:fill="000000"/>
                <w:fitText w:val="360" w:id="-628921332"/>
                <w14:textFill>
                  <w14:solidFill>
                    <w14:srgbClr w14:val="000000">
                      <w14:alpha w14:val="100000"/>
                    </w14:srgbClr>
                  </w14:solidFill>
                </w14:textFill>
              </w:rPr>
              <w:t>|||</w:t>
            </w:r>
            <w:r w:rsidR="00E77A69" w:rsidRPr="00E77A69">
              <w:rPr>
                <w:rFonts w:cs="Arial"/>
                <w:color w:val="000000"/>
                <w:spacing w:val="3"/>
                <w:szCs w:val="20"/>
                <w:shd w:val="solid" w:color="000000" w:fill="000000"/>
                <w:fitText w:val="360" w:id="-628921332"/>
                <w14:textFill>
                  <w14:solidFill>
                    <w14:srgbClr w14:val="000000">
                      <w14:alpha w14:val="100000"/>
                    </w14:srgbClr>
                  </w14:solidFill>
                </w14:textFill>
              </w:rPr>
              <w:t>|</w:t>
            </w:r>
            <w:r w:rsidR="00D358EB" w:rsidRPr="00D358EB">
              <w:rPr>
                <w:rFonts w:cs="Arial"/>
                <w:szCs w:val="20"/>
                <w:vertAlign w:val="superscript"/>
              </w:rPr>
              <w:t>1</w:t>
            </w:r>
            <w:r w:rsidR="00D358EB" w:rsidRPr="00D358EB">
              <w:rPr>
                <w:rFonts w:cs="Arial"/>
                <w:szCs w:val="20"/>
              </w:rPr>
              <w:t xml:space="preserve"> </w:t>
            </w:r>
            <w:r w:rsidRPr="00D358EB">
              <w:rPr>
                <w:rFonts w:cs="Arial"/>
                <w:szCs w:val="20"/>
              </w:rPr>
              <w:t>/QALY gained (GUS 100)</w:t>
            </w:r>
          </w:p>
          <w:p w14:paraId="699E0A3D" w14:textId="6D83D5A0" w:rsidR="004E6E87" w:rsidRPr="008A2601" w:rsidRDefault="004E6E87" w:rsidP="00286E68">
            <w:pPr>
              <w:pStyle w:val="In-tableHeading"/>
              <w:jc w:val="center"/>
            </w:pPr>
            <w:r w:rsidRPr="00D358EB">
              <w:t>$</w:t>
            </w:r>
            <w:r w:rsidR="00E77A69">
              <w:rPr>
                <w:color w:val="000000"/>
                <w:spacing w:val="58"/>
                <w:shd w:val="solid" w:color="000000" w:fill="000000"/>
                <w:fitText w:val="360" w:id="-628921331"/>
                <w14:textFill>
                  <w14:solidFill>
                    <w14:srgbClr w14:val="000000">
                      <w14:alpha w14:val="100000"/>
                    </w14:srgbClr>
                  </w14:solidFill>
                </w14:textFill>
              </w:rPr>
              <w:t>|||</w:t>
            </w:r>
            <w:r w:rsidR="00E77A69">
              <w:rPr>
                <w:color w:val="000000"/>
                <w:spacing w:val="2"/>
                <w:shd w:val="solid" w:color="000000" w:fill="000000"/>
                <w:fitText w:val="360" w:id="-628921331"/>
                <w14:textFill>
                  <w14:solidFill>
                    <w14:srgbClr w14:val="000000">
                      <w14:alpha w14:val="100000"/>
                    </w14:srgbClr>
                  </w14:solidFill>
                </w14:textFill>
              </w:rPr>
              <w:t>|</w:t>
            </w:r>
            <w:r w:rsidR="00D358EB" w:rsidRPr="00D358EB">
              <w:rPr>
                <w:vertAlign w:val="superscript"/>
              </w:rPr>
              <w:t>2</w:t>
            </w:r>
            <w:r w:rsidR="00D358EB">
              <w:t xml:space="preserve"> </w:t>
            </w:r>
            <w:r w:rsidRPr="00D358EB">
              <w:t>/QALY gained (GUS 200)</w:t>
            </w:r>
          </w:p>
        </w:tc>
      </w:tr>
      <w:tr w:rsidR="004E6E87" w:rsidRPr="00E2771E" w14:paraId="583A4C3E" w14:textId="77777777" w:rsidTr="004E6E87">
        <w:tc>
          <w:tcPr>
            <w:tcW w:w="784" w:type="pct"/>
          </w:tcPr>
          <w:p w14:paraId="4749E542" w14:textId="7376AAB8" w:rsidR="004E6E87" w:rsidRPr="00E2771E" w:rsidRDefault="004E6E87" w:rsidP="00286E68">
            <w:pPr>
              <w:pStyle w:val="TableText0"/>
              <w:rPr>
                <w:lang w:val="en-US"/>
              </w:rPr>
            </w:pPr>
            <w:r>
              <w:rPr>
                <w:lang w:val="en-US"/>
              </w:rPr>
              <w:t>Loss of remission (treatment discontinuation)</w:t>
            </w:r>
          </w:p>
        </w:tc>
        <w:tc>
          <w:tcPr>
            <w:tcW w:w="2673" w:type="pct"/>
          </w:tcPr>
          <w:p w14:paraId="51FF860D" w14:textId="21083FED" w:rsidR="004E6E87" w:rsidRPr="00E2771E" w:rsidRDefault="004E6E87" w:rsidP="00286E68">
            <w:pPr>
              <w:pStyle w:val="TableText0"/>
              <w:rPr>
                <w:lang w:val="en-US"/>
              </w:rPr>
            </w:pPr>
            <w:r>
              <w:rPr>
                <w:lang w:val="en-US"/>
              </w:rPr>
              <w:t>L</w:t>
            </w:r>
            <w:r w:rsidRPr="004E6E87">
              <w:rPr>
                <w:lang w:val="en-US"/>
              </w:rPr>
              <w:t xml:space="preserve">oss of clinical remission </w:t>
            </w:r>
            <w:r>
              <w:rPr>
                <w:lang w:val="en-US"/>
              </w:rPr>
              <w:t>based on</w:t>
            </w:r>
            <w:r w:rsidRPr="004E6E87">
              <w:rPr>
                <w:lang w:val="en-US"/>
              </w:rPr>
              <w:t xml:space="preserve"> </w:t>
            </w:r>
            <w:r>
              <w:rPr>
                <w:lang w:val="en-US"/>
              </w:rPr>
              <w:t xml:space="preserve">naïve </w:t>
            </w:r>
            <w:r w:rsidRPr="004E6E87">
              <w:rPr>
                <w:lang w:val="en-US"/>
              </w:rPr>
              <w:t>clinical remission rate at the end of the induction period in the m</w:t>
            </w:r>
            <w:r>
              <w:rPr>
                <w:lang w:val="en-US"/>
              </w:rPr>
              <w:t>o</w:t>
            </w:r>
            <w:r w:rsidRPr="004E6E87">
              <w:rPr>
                <w:lang w:val="en-US"/>
              </w:rPr>
              <w:t>del (i.e. Week 12-18)</w:t>
            </w:r>
            <w:r>
              <w:rPr>
                <w:lang w:val="en-US"/>
              </w:rPr>
              <w:t xml:space="preserve"> and the</w:t>
            </w:r>
            <w:r w:rsidRPr="004E6E87">
              <w:rPr>
                <w:lang w:val="en-US"/>
              </w:rPr>
              <w:t xml:space="preserve"> proportion of patients estimated to maintain clinical remission at Week 48 from the clinical evidence</w:t>
            </w:r>
            <w:r>
              <w:rPr>
                <w:lang w:val="en-US"/>
              </w:rPr>
              <w:t xml:space="preserve"> (trial-design-adjusted NMA).</w:t>
            </w:r>
          </w:p>
        </w:tc>
        <w:tc>
          <w:tcPr>
            <w:tcW w:w="1544" w:type="pct"/>
          </w:tcPr>
          <w:p w14:paraId="25FC3998" w14:textId="59BF8AAB" w:rsidR="004E6E87" w:rsidRPr="008A2601" w:rsidRDefault="004E6E87" w:rsidP="00CA7ED5">
            <w:pPr>
              <w:pStyle w:val="TableText0"/>
              <w:rPr>
                <w:lang w:val="en-US"/>
              </w:rPr>
            </w:pPr>
            <w:r w:rsidRPr="008A2601">
              <w:rPr>
                <w:lang w:val="en-US"/>
              </w:rPr>
              <w:t>High, favour</w:t>
            </w:r>
            <w:r w:rsidR="00655B5E" w:rsidRPr="008A2601">
              <w:rPr>
                <w:lang w:val="en-US"/>
              </w:rPr>
              <w:t>ed</w:t>
            </w:r>
            <w:r w:rsidRPr="008A2601">
              <w:rPr>
                <w:lang w:val="en-US"/>
              </w:rPr>
              <w:t xml:space="preserve"> GUS</w:t>
            </w:r>
          </w:p>
        </w:tc>
      </w:tr>
      <w:tr w:rsidR="004E6E87" w:rsidRPr="00E2771E" w14:paraId="6DA6649A" w14:textId="77777777" w:rsidTr="004E6E87">
        <w:tc>
          <w:tcPr>
            <w:tcW w:w="784" w:type="pct"/>
          </w:tcPr>
          <w:p w14:paraId="4F8BC010" w14:textId="77777777" w:rsidR="004E6E87" w:rsidRPr="00E2771E" w:rsidRDefault="004E6E87" w:rsidP="00286E68">
            <w:pPr>
              <w:pStyle w:val="TableText0"/>
              <w:rPr>
                <w:lang w:val="en-US"/>
              </w:rPr>
            </w:pPr>
            <w:r>
              <w:rPr>
                <w:lang w:val="en-US"/>
              </w:rPr>
              <w:t>Utilities</w:t>
            </w:r>
          </w:p>
        </w:tc>
        <w:tc>
          <w:tcPr>
            <w:tcW w:w="2673" w:type="pct"/>
          </w:tcPr>
          <w:p w14:paraId="3F5401FA" w14:textId="1F40593C" w:rsidR="004E6E87" w:rsidRPr="00E2771E" w:rsidRDefault="004E6E87" w:rsidP="00286E68">
            <w:pPr>
              <w:pStyle w:val="TableText0"/>
              <w:rPr>
                <w:lang w:val="en-US"/>
              </w:rPr>
            </w:pPr>
            <w:proofErr w:type="spellStart"/>
            <w:r>
              <w:rPr>
                <w:lang w:val="en-US"/>
              </w:rPr>
              <w:t>AQoL</w:t>
            </w:r>
            <w:proofErr w:type="spellEnd"/>
            <w:r>
              <w:rPr>
                <w:lang w:val="en-US"/>
              </w:rPr>
              <w:t xml:space="preserve"> utility values for remission (before Week 48) and active CD (</w:t>
            </w:r>
            <w:r w:rsidR="007249A7">
              <w:rPr>
                <w:lang w:val="en-US"/>
              </w:rPr>
              <w:t>Gibson 2007)</w:t>
            </w:r>
            <w:r>
              <w:rPr>
                <w:lang w:val="en-US"/>
              </w:rPr>
              <w:t>, and EQ-5D-5L utility</w:t>
            </w:r>
            <w:r w:rsidR="007249A7">
              <w:rPr>
                <w:lang w:val="en-US"/>
              </w:rPr>
              <w:t xml:space="preserve"> values from remission with/without remission (Danese </w:t>
            </w:r>
            <w:proofErr w:type="gramStart"/>
            <w:r w:rsidR="007249A7">
              <w:rPr>
                <w:lang w:val="en-US"/>
              </w:rPr>
              <w:t>2019) ‘</w:t>
            </w:r>
            <w:proofErr w:type="gramEnd"/>
            <w:r w:rsidR="007249A7">
              <w:rPr>
                <w:lang w:val="en-US"/>
              </w:rPr>
              <w:t xml:space="preserve">adjusted’ to </w:t>
            </w:r>
            <w:proofErr w:type="spellStart"/>
            <w:r w:rsidR="007249A7">
              <w:rPr>
                <w:lang w:val="en-US"/>
              </w:rPr>
              <w:t>AQoL</w:t>
            </w:r>
            <w:proofErr w:type="spellEnd"/>
            <w:r w:rsidR="007249A7">
              <w:rPr>
                <w:lang w:val="en-US"/>
              </w:rPr>
              <w:t xml:space="preserve"> utilities for remission from Gibson 2007 for the modelled remission with/without response (after Week 48).</w:t>
            </w:r>
          </w:p>
        </w:tc>
        <w:tc>
          <w:tcPr>
            <w:tcW w:w="1544" w:type="pct"/>
          </w:tcPr>
          <w:p w14:paraId="14DC9755" w14:textId="2437AE18" w:rsidR="004E6E87" w:rsidRPr="008A2601" w:rsidRDefault="007249A7" w:rsidP="00286E68">
            <w:pPr>
              <w:pStyle w:val="TableText0"/>
              <w:rPr>
                <w:lang w:val="en-US"/>
              </w:rPr>
            </w:pPr>
            <w:r w:rsidRPr="008A2601">
              <w:rPr>
                <w:lang w:val="en-US"/>
              </w:rPr>
              <w:t>M</w:t>
            </w:r>
            <w:r w:rsidR="004E6E87" w:rsidRPr="008A2601">
              <w:rPr>
                <w:lang w:val="en-US"/>
              </w:rPr>
              <w:t>oderate, favour</w:t>
            </w:r>
            <w:r w:rsidR="00655B5E" w:rsidRPr="008A2601">
              <w:rPr>
                <w:lang w:val="en-US"/>
              </w:rPr>
              <w:t>ed</w:t>
            </w:r>
            <w:r w:rsidR="004E6E87" w:rsidRPr="008A2601">
              <w:rPr>
                <w:lang w:val="en-US"/>
              </w:rPr>
              <w:t xml:space="preserve"> GUS</w:t>
            </w:r>
          </w:p>
        </w:tc>
      </w:tr>
      <w:tr w:rsidR="002D43D6" w:rsidRPr="00E2771E" w14:paraId="12B890F5" w14:textId="77777777" w:rsidTr="004E6E87">
        <w:tc>
          <w:tcPr>
            <w:tcW w:w="784" w:type="pct"/>
          </w:tcPr>
          <w:p w14:paraId="48DE0149" w14:textId="5A06A45F" w:rsidR="002D43D6" w:rsidRDefault="002D43D6" w:rsidP="00286E68">
            <w:pPr>
              <w:pStyle w:val="TableText0"/>
              <w:rPr>
                <w:lang w:val="en-US"/>
              </w:rPr>
            </w:pPr>
            <w:r>
              <w:rPr>
                <w:lang w:val="en-US"/>
              </w:rPr>
              <w:t>b/</w:t>
            </w:r>
            <w:proofErr w:type="spellStart"/>
            <w:r>
              <w:rPr>
                <w:lang w:val="en-US"/>
              </w:rPr>
              <w:t>tsDMARD</w:t>
            </w:r>
            <w:proofErr w:type="spellEnd"/>
            <w:r>
              <w:rPr>
                <w:lang w:val="en-US"/>
              </w:rPr>
              <w:t xml:space="preserve"> sequence</w:t>
            </w:r>
          </w:p>
        </w:tc>
        <w:tc>
          <w:tcPr>
            <w:tcW w:w="2673" w:type="pct"/>
          </w:tcPr>
          <w:p w14:paraId="07E42F01" w14:textId="258D43AE" w:rsidR="002D43D6" w:rsidRDefault="002D43D6" w:rsidP="00286E68">
            <w:pPr>
              <w:pStyle w:val="TableText0"/>
              <w:rPr>
                <w:lang w:val="en-US"/>
              </w:rPr>
            </w:pPr>
            <w:r w:rsidRPr="002D43D6">
              <w:rPr>
                <w:lang w:val="en-US"/>
              </w:rPr>
              <w:t>Base case</w:t>
            </w:r>
            <w:r>
              <w:rPr>
                <w:lang w:val="en-US"/>
              </w:rPr>
              <w:t>: 1L (index)</w:t>
            </w:r>
            <w:r w:rsidRPr="002D43D6">
              <w:rPr>
                <w:lang w:val="en-US"/>
              </w:rPr>
              <w:t xml:space="preserve"> GUS, 2L IFX, 3L VDZ</w:t>
            </w:r>
            <w:r>
              <w:rPr>
                <w:lang w:val="en-US"/>
              </w:rPr>
              <w:t>)</w:t>
            </w:r>
          </w:p>
        </w:tc>
        <w:tc>
          <w:tcPr>
            <w:tcW w:w="1544" w:type="pct"/>
          </w:tcPr>
          <w:p w14:paraId="57EBF8E7" w14:textId="071E9EBF" w:rsidR="002D43D6" w:rsidRPr="008A2601" w:rsidRDefault="0029570F" w:rsidP="00286E68">
            <w:pPr>
              <w:pStyle w:val="TableText0"/>
              <w:rPr>
                <w:lang w:val="en-US"/>
              </w:rPr>
            </w:pPr>
            <w:r w:rsidRPr="008A2601">
              <w:rPr>
                <w:lang w:val="en-US"/>
              </w:rPr>
              <w:t>High</w:t>
            </w:r>
            <w:r w:rsidR="00F8214A" w:rsidRPr="008A2601">
              <w:rPr>
                <w:lang w:val="en-US"/>
              </w:rPr>
              <w:t>, favour</w:t>
            </w:r>
            <w:r w:rsidR="00655B5E" w:rsidRPr="008A2601">
              <w:rPr>
                <w:lang w:val="en-US"/>
              </w:rPr>
              <w:t>ed</w:t>
            </w:r>
            <w:r w:rsidR="00F8214A" w:rsidRPr="008A2601">
              <w:rPr>
                <w:lang w:val="en-US"/>
              </w:rPr>
              <w:t xml:space="preserve"> GUS</w:t>
            </w:r>
          </w:p>
        </w:tc>
      </w:tr>
      <w:tr w:rsidR="004E6E87" w:rsidRPr="00E2771E" w14:paraId="564B5E3B" w14:textId="77777777" w:rsidTr="004E6E87">
        <w:tc>
          <w:tcPr>
            <w:tcW w:w="784" w:type="pct"/>
          </w:tcPr>
          <w:p w14:paraId="236E6826" w14:textId="6C519322" w:rsidR="004E6E87" w:rsidRPr="00E2771E" w:rsidRDefault="007249A7" w:rsidP="00286E68">
            <w:pPr>
              <w:pStyle w:val="TableText0"/>
              <w:rPr>
                <w:lang w:val="en-US"/>
              </w:rPr>
            </w:pPr>
            <w:r>
              <w:rPr>
                <w:lang w:val="en-US"/>
              </w:rPr>
              <w:t>Time horizon</w:t>
            </w:r>
          </w:p>
        </w:tc>
        <w:tc>
          <w:tcPr>
            <w:tcW w:w="2673" w:type="pct"/>
          </w:tcPr>
          <w:p w14:paraId="5D9E4B8D" w14:textId="0E64BE0D" w:rsidR="004E6E87" w:rsidRPr="00E2771E" w:rsidRDefault="007249A7" w:rsidP="00286E68">
            <w:pPr>
              <w:pStyle w:val="TableText0"/>
              <w:rPr>
                <w:lang w:val="en-US"/>
              </w:rPr>
            </w:pPr>
            <w:r>
              <w:rPr>
                <w:lang w:val="en-US"/>
              </w:rPr>
              <w:t>10 years</w:t>
            </w:r>
          </w:p>
        </w:tc>
        <w:tc>
          <w:tcPr>
            <w:tcW w:w="1544" w:type="pct"/>
          </w:tcPr>
          <w:p w14:paraId="1CC54095" w14:textId="3CBCB890" w:rsidR="004E6E87" w:rsidRPr="008A2601" w:rsidRDefault="007249A7" w:rsidP="007249A7">
            <w:pPr>
              <w:pStyle w:val="TableText0"/>
              <w:rPr>
                <w:lang w:val="en-US"/>
              </w:rPr>
            </w:pPr>
            <w:r w:rsidRPr="008A2601">
              <w:rPr>
                <w:lang w:val="en-US"/>
              </w:rPr>
              <w:t>Moderate, favour</w:t>
            </w:r>
            <w:r w:rsidR="00655B5E" w:rsidRPr="008A2601">
              <w:rPr>
                <w:lang w:val="en-US"/>
              </w:rPr>
              <w:t>ed</w:t>
            </w:r>
            <w:r w:rsidRPr="008A2601">
              <w:rPr>
                <w:lang w:val="en-US"/>
              </w:rPr>
              <w:t xml:space="preserve"> GUS</w:t>
            </w:r>
          </w:p>
        </w:tc>
      </w:tr>
    </w:tbl>
    <w:p w14:paraId="246AEFED" w14:textId="1520EEF9" w:rsidR="004E6E87" w:rsidRPr="008A2601" w:rsidRDefault="004E6E87" w:rsidP="002D43D6">
      <w:pPr>
        <w:pStyle w:val="FooterTableFigure"/>
        <w:spacing w:after="0"/>
      </w:pPr>
      <w:r w:rsidRPr="008A2601">
        <w:t>Source: compiled during the evaluation.</w:t>
      </w:r>
    </w:p>
    <w:p w14:paraId="186A1BA5" w14:textId="77777777" w:rsidR="00D358EB" w:rsidRDefault="002D43D6" w:rsidP="00ED1757">
      <w:pPr>
        <w:rPr>
          <w:rFonts w:ascii="Arial Narrow" w:hAnsi="Arial Narrow"/>
          <w:sz w:val="18"/>
          <w:szCs w:val="18"/>
        </w:rPr>
      </w:pPr>
      <w:r w:rsidRPr="002D43D6">
        <w:rPr>
          <w:rFonts w:ascii="Arial Narrow" w:hAnsi="Arial Narrow"/>
          <w:sz w:val="18"/>
          <w:szCs w:val="18"/>
        </w:rPr>
        <w:t xml:space="preserve">GUS=guselkumab; IFX=infliximab; QALY=Quality Adjusted Life Year; </w:t>
      </w:r>
      <w:r>
        <w:rPr>
          <w:rFonts w:ascii="Arial Narrow" w:hAnsi="Arial Narrow"/>
          <w:sz w:val="18"/>
          <w:szCs w:val="18"/>
        </w:rPr>
        <w:t xml:space="preserve">1L=first-line (index) treatment; 2L=second-line treatment; 3L=third-line treatment; </w:t>
      </w:r>
      <w:r w:rsidRPr="002D43D6">
        <w:rPr>
          <w:rFonts w:ascii="Arial Narrow" w:hAnsi="Arial Narrow"/>
          <w:sz w:val="18"/>
          <w:szCs w:val="18"/>
        </w:rPr>
        <w:t>VDZ=vedolizumab;</w:t>
      </w:r>
      <w:r w:rsidR="00ED1757">
        <w:rPr>
          <w:rFonts w:ascii="Arial Narrow" w:hAnsi="Arial Narrow"/>
          <w:sz w:val="18"/>
          <w:szCs w:val="18"/>
        </w:rPr>
        <w:t xml:space="preserve"> </w:t>
      </w:r>
    </w:p>
    <w:p w14:paraId="00CF500F" w14:textId="20B9F148" w:rsidR="00ED1757" w:rsidRPr="00D358EB" w:rsidRDefault="00D358EB" w:rsidP="00ED1757">
      <w:pPr>
        <w:rPr>
          <w:rFonts w:ascii="Arial Narrow" w:hAnsi="Arial Narrow"/>
          <w:i/>
          <w:iCs/>
          <w:sz w:val="18"/>
          <w:szCs w:val="18"/>
        </w:rPr>
      </w:pPr>
      <w:r w:rsidRPr="00D358EB">
        <w:rPr>
          <w:rFonts w:ascii="Arial Narrow" w:hAnsi="Arial Narrow"/>
          <w:i/>
          <w:iCs/>
          <w:sz w:val="18"/>
          <w:szCs w:val="18"/>
        </w:rPr>
        <w:t>The redacted values correspond to the following ranges:</w:t>
      </w:r>
    </w:p>
    <w:p w14:paraId="4D425128" w14:textId="26554536" w:rsidR="00ED1757" w:rsidRPr="00D358EB" w:rsidRDefault="00ED1757" w:rsidP="00ED1757">
      <w:pPr>
        <w:rPr>
          <w:rFonts w:ascii="Arial Narrow" w:hAnsi="Arial Narrow"/>
          <w:i/>
          <w:iCs/>
          <w:sz w:val="18"/>
          <w:szCs w:val="18"/>
        </w:rPr>
      </w:pPr>
      <w:r w:rsidRPr="00D358EB">
        <w:rPr>
          <w:rFonts w:ascii="Arial Narrow" w:hAnsi="Arial Narrow"/>
          <w:i/>
          <w:iCs/>
          <w:sz w:val="18"/>
          <w:szCs w:val="18"/>
          <w:vertAlign w:val="superscript"/>
        </w:rPr>
        <w:t>1</w:t>
      </w:r>
      <w:r w:rsidRPr="00D358EB">
        <w:rPr>
          <w:rFonts w:ascii="Arial Narrow" w:hAnsi="Arial Narrow"/>
          <w:i/>
          <w:iCs/>
          <w:sz w:val="18"/>
          <w:szCs w:val="18"/>
        </w:rPr>
        <w:t xml:space="preserve"> $75,000 to &lt; $95,000 </w:t>
      </w:r>
    </w:p>
    <w:p w14:paraId="6033A4F2" w14:textId="111E2A1D" w:rsidR="002D43D6" w:rsidRPr="00D358EB" w:rsidRDefault="00ED1757" w:rsidP="00ED1757">
      <w:pPr>
        <w:rPr>
          <w:rFonts w:ascii="Arial Narrow" w:hAnsi="Arial Narrow"/>
          <w:i/>
          <w:iCs/>
          <w:sz w:val="18"/>
          <w:szCs w:val="18"/>
        </w:rPr>
      </w:pPr>
      <w:r w:rsidRPr="00D358EB">
        <w:rPr>
          <w:rFonts w:ascii="Arial Narrow" w:hAnsi="Arial Narrow"/>
          <w:i/>
          <w:iCs/>
          <w:sz w:val="18"/>
          <w:szCs w:val="18"/>
          <w:vertAlign w:val="superscript"/>
        </w:rPr>
        <w:t xml:space="preserve">2 </w:t>
      </w:r>
      <w:r w:rsidRPr="00D358EB">
        <w:rPr>
          <w:rFonts w:ascii="Arial Narrow" w:hAnsi="Arial Narrow"/>
          <w:i/>
          <w:iCs/>
          <w:sz w:val="18"/>
          <w:szCs w:val="18"/>
        </w:rPr>
        <w:t>$55,000 to &lt; $75,000</w:t>
      </w:r>
    </w:p>
    <w:p w14:paraId="35B3667C" w14:textId="29E5B41F" w:rsidR="006D1D8E" w:rsidRPr="008A2601" w:rsidRDefault="005860A4" w:rsidP="00641FB3">
      <w:pPr>
        <w:pStyle w:val="3-BodyText"/>
        <w:rPr>
          <w:lang w:val="en-US"/>
        </w:rPr>
      </w:pPr>
      <w:r>
        <w:rPr>
          <w:rFonts w:cs="Times New Roman"/>
          <w:lang w:eastAsia="en-US"/>
        </w:rPr>
        <w:fldChar w:fldCharType="begin"/>
      </w:r>
      <w:r>
        <w:rPr>
          <w:rFonts w:cs="Times New Roman"/>
          <w:lang w:eastAsia="en-US"/>
        </w:rPr>
        <w:instrText xml:space="preserve"> REF _Ref197954911 \h </w:instrText>
      </w:r>
      <w:r>
        <w:rPr>
          <w:rFonts w:cs="Times New Roman"/>
          <w:lang w:eastAsia="en-US"/>
        </w:rPr>
      </w:r>
      <w:r>
        <w:rPr>
          <w:rFonts w:cs="Times New Roman"/>
          <w:lang w:eastAsia="en-US"/>
        </w:rPr>
        <w:fldChar w:fldCharType="separate"/>
      </w:r>
      <w:r w:rsidR="000756FD">
        <w:t xml:space="preserve">Table </w:t>
      </w:r>
      <w:r w:rsidR="000756FD">
        <w:rPr>
          <w:noProof/>
        </w:rPr>
        <w:t>14</w:t>
      </w:r>
      <w:r>
        <w:rPr>
          <w:rFonts w:cs="Times New Roman"/>
          <w:lang w:eastAsia="en-US"/>
        </w:rPr>
        <w:fldChar w:fldCharType="end"/>
      </w:r>
      <w:r>
        <w:rPr>
          <w:rFonts w:cs="Times New Roman"/>
          <w:lang w:eastAsia="en-US"/>
        </w:rPr>
        <w:t xml:space="preserve"> </w:t>
      </w:r>
      <w:r w:rsidR="00B561CB" w:rsidRPr="00151502">
        <w:rPr>
          <w:rFonts w:cs="Times New Roman"/>
          <w:lang w:eastAsia="en-US"/>
        </w:rPr>
        <w:t>summarises the results of the economic evaluation</w:t>
      </w:r>
      <w:r w:rsidR="00B561CB">
        <w:rPr>
          <w:rFonts w:cs="Times New Roman"/>
          <w:lang w:eastAsia="en-US"/>
        </w:rPr>
        <w:t xml:space="preserve"> based on the </w:t>
      </w:r>
      <w:r w:rsidR="007A3D49">
        <w:rPr>
          <w:rFonts w:cs="Times New Roman"/>
          <w:lang w:eastAsia="en-US"/>
        </w:rPr>
        <w:t xml:space="preserve">estimated </w:t>
      </w:r>
      <w:r w:rsidR="00B561CB">
        <w:rPr>
          <w:rFonts w:cs="Times New Roman"/>
          <w:lang w:eastAsia="en-US"/>
        </w:rPr>
        <w:t xml:space="preserve">effective prices </w:t>
      </w:r>
      <w:r w:rsidR="007A3D49">
        <w:rPr>
          <w:rFonts w:cs="Times New Roman"/>
          <w:lang w:eastAsia="en-US"/>
        </w:rPr>
        <w:t xml:space="preserve">presented </w:t>
      </w:r>
      <w:r w:rsidR="00B561CB">
        <w:rPr>
          <w:rFonts w:cs="Times New Roman"/>
          <w:lang w:eastAsia="en-US"/>
        </w:rPr>
        <w:t>in the submission</w:t>
      </w:r>
      <w:r w:rsidR="007A3D49">
        <w:rPr>
          <w:rFonts w:cs="Times New Roman"/>
          <w:lang w:eastAsia="en-US"/>
        </w:rPr>
        <w:t xml:space="preserve">. </w:t>
      </w:r>
      <w:r w:rsidR="007A3D49" w:rsidRPr="008A2601">
        <w:rPr>
          <w:rFonts w:cs="Times New Roman"/>
          <w:lang w:eastAsia="en-US"/>
        </w:rPr>
        <w:t>The table includes the submission’s base case (as presented in the submission)</w:t>
      </w:r>
      <w:r w:rsidR="00B561CB" w:rsidRPr="008A2601">
        <w:rPr>
          <w:rFonts w:cs="Times New Roman"/>
          <w:lang w:eastAsia="en-US"/>
        </w:rPr>
        <w:t xml:space="preserve">, </w:t>
      </w:r>
      <w:r w:rsidR="007A3D49" w:rsidRPr="008A2601">
        <w:rPr>
          <w:rFonts w:cs="Times New Roman"/>
          <w:lang w:eastAsia="en-US"/>
        </w:rPr>
        <w:t>the submission’s base case (after correcting for the programming error), and scenario analyses assuming the use of GUS in the second- and third-line settings (after correcting for the programming error).</w:t>
      </w:r>
    </w:p>
    <w:p w14:paraId="0349F4FB" w14:textId="7BD61AEC" w:rsidR="00B561CB" w:rsidRDefault="005860A4" w:rsidP="005860A4">
      <w:pPr>
        <w:pStyle w:val="Caption"/>
        <w:jc w:val="left"/>
      </w:pPr>
      <w:bookmarkStart w:id="56" w:name="_Ref197954911"/>
      <w:r>
        <w:lastRenderedPageBreak/>
        <w:t xml:space="preserve">Table </w:t>
      </w:r>
      <w:r w:rsidR="00DC5F25">
        <w:fldChar w:fldCharType="begin"/>
      </w:r>
      <w:r w:rsidR="00DC5F25">
        <w:instrText xml:space="preserve"> SEQ Table \* ARABIC </w:instrText>
      </w:r>
      <w:r w:rsidR="00DC5F25">
        <w:fldChar w:fldCharType="separate"/>
      </w:r>
      <w:r w:rsidR="000756FD">
        <w:rPr>
          <w:noProof/>
        </w:rPr>
        <w:t>14</w:t>
      </w:r>
      <w:r w:rsidR="00DC5F25">
        <w:rPr>
          <w:noProof/>
        </w:rPr>
        <w:fldChar w:fldCharType="end"/>
      </w:r>
      <w:bookmarkEnd w:id="56"/>
      <w:r w:rsidRPr="005860A4">
        <w:rPr>
          <w:b w:val="0"/>
          <w:bCs w:val="0"/>
        </w:rPr>
        <w:t>:</w:t>
      </w:r>
      <w:r w:rsidR="00B561CB" w:rsidRPr="005860A4">
        <w:rPr>
          <w:rStyle w:val="CommentReference"/>
          <w:b/>
          <w:bCs w:val="0"/>
          <w:iCs/>
        </w:rPr>
        <w:t xml:space="preserve"> Results of the economic evaluation</w:t>
      </w:r>
      <w:r w:rsidR="007B2D34" w:rsidRPr="005860A4">
        <w:rPr>
          <w:rStyle w:val="CommentReference"/>
          <w:b/>
          <w:bCs w:val="0"/>
          <w:iCs/>
        </w:rPr>
        <w:t xml:space="preserve"> (discounted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Results of the economic evaluation (discounted 5%)"/>
      </w:tblPr>
      <w:tblGrid>
        <w:gridCol w:w="2547"/>
        <w:gridCol w:w="1088"/>
        <w:gridCol w:w="1088"/>
        <w:gridCol w:w="1087"/>
        <w:gridCol w:w="1069"/>
        <w:gridCol w:w="1069"/>
        <w:gridCol w:w="1069"/>
      </w:tblGrid>
      <w:tr w:rsidR="00B561CB" w:rsidRPr="00D11640" w14:paraId="1DAC0CE5" w14:textId="77777777" w:rsidTr="00CA7ED5">
        <w:trPr>
          <w:tblHeader/>
        </w:trPr>
        <w:tc>
          <w:tcPr>
            <w:tcW w:w="1412" w:type="pct"/>
            <w:vMerge w:val="restart"/>
            <w:vAlign w:val="center"/>
          </w:tcPr>
          <w:p w14:paraId="4747EC6B" w14:textId="77777777" w:rsidR="00B561CB" w:rsidRPr="00D11640" w:rsidRDefault="00B561CB" w:rsidP="00286E68">
            <w:pPr>
              <w:pStyle w:val="In-tableHeading"/>
            </w:pPr>
            <w:r w:rsidRPr="00D11640">
              <w:t>Component</w:t>
            </w:r>
          </w:p>
        </w:tc>
        <w:tc>
          <w:tcPr>
            <w:tcW w:w="1809" w:type="pct"/>
            <w:gridSpan w:val="3"/>
            <w:vAlign w:val="center"/>
          </w:tcPr>
          <w:p w14:paraId="2D45974C" w14:textId="77777777" w:rsidR="00B561CB" w:rsidRPr="00D11640" w:rsidRDefault="00B561CB" w:rsidP="00286E68">
            <w:pPr>
              <w:pStyle w:val="In-tableHeading"/>
              <w:jc w:val="center"/>
            </w:pPr>
            <w:r w:rsidRPr="00D11640">
              <w:t>GUS 100 vs weighted comparator</w:t>
            </w:r>
          </w:p>
        </w:tc>
        <w:tc>
          <w:tcPr>
            <w:tcW w:w="1778" w:type="pct"/>
            <w:gridSpan w:val="3"/>
          </w:tcPr>
          <w:p w14:paraId="61CA0198" w14:textId="77777777" w:rsidR="00B561CB" w:rsidRPr="00D11640" w:rsidRDefault="00B561CB" w:rsidP="00286E68">
            <w:pPr>
              <w:pStyle w:val="In-tableHeading"/>
              <w:jc w:val="center"/>
            </w:pPr>
            <w:r w:rsidRPr="00D11640">
              <w:t>GUS 200 vs weighted comparator</w:t>
            </w:r>
          </w:p>
        </w:tc>
      </w:tr>
      <w:tr w:rsidR="00B561CB" w:rsidRPr="00D11640" w14:paraId="00A1D338" w14:textId="77777777" w:rsidTr="00286E68">
        <w:trPr>
          <w:tblHeader/>
        </w:trPr>
        <w:tc>
          <w:tcPr>
            <w:tcW w:w="1412" w:type="pct"/>
            <w:vMerge/>
            <w:vAlign w:val="center"/>
          </w:tcPr>
          <w:p w14:paraId="6C777D83" w14:textId="77777777" w:rsidR="00B561CB" w:rsidRPr="00D11640" w:rsidRDefault="00B561CB" w:rsidP="00286E68">
            <w:pPr>
              <w:pStyle w:val="In-tableHeading"/>
            </w:pPr>
          </w:p>
        </w:tc>
        <w:tc>
          <w:tcPr>
            <w:tcW w:w="603" w:type="pct"/>
            <w:vAlign w:val="center"/>
          </w:tcPr>
          <w:p w14:paraId="3F170001" w14:textId="77777777" w:rsidR="00B561CB" w:rsidRPr="00D11640" w:rsidRDefault="00B561CB" w:rsidP="00286E68">
            <w:pPr>
              <w:pStyle w:val="In-tableHeading"/>
              <w:jc w:val="center"/>
            </w:pPr>
            <w:r w:rsidRPr="00D11640">
              <w:t>GUS 100</w:t>
            </w:r>
          </w:p>
        </w:tc>
        <w:tc>
          <w:tcPr>
            <w:tcW w:w="603" w:type="pct"/>
            <w:vAlign w:val="center"/>
          </w:tcPr>
          <w:p w14:paraId="7067F21D" w14:textId="77777777" w:rsidR="00B561CB" w:rsidRPr="00D11640" w:rsidRDefault="00B561CB" w:rsidP="00286E68">
            <w:pPr>
              <w:pStyle w:val="In-tableHeading"/>
              <w:jc w:val="center"/>
            </w:pPr>
            <w:r w:rsidRPr="00D11640">
              <w:t>Comparator</w:t>
            </w:r>
            <w:r w:rsidRPr="00D11640">
              <w:rPr>
                <w:vertAlign w:val="superscript"/>
              </w:rPr>
              <w:t>a</w:t>
            </w:r>
          </w:p>
        </w:tc>
        <w:tc>
          <w:tcPr>
            <w:tcW w:w="603" w:type="pct"/>
            <w:vAlign w:val="center"/>
          </w:tcPr>
          <w:p w14:paraId="5EC034E0" w14:textId="77777777" w:rsidR="00B561CB" w:rsidRPr="00D11640" w:rsidRDefault="00B561CB" w:rsidP="00286E68">
            <w:pPr>
              <w:pStyle w:val="In-tableHeading"/>
              <w:jc w:val="center"/>
            </w:pPr>
            <w:r w:rsidRPr="00D11640">
              <w:t>Increment</w:t>
            </w:r>
          </w:p>
        </w:tc>
        <w:tc>
          <w:tcPr>
            <w:tcW w:w="593" w:type="pct"/>
            <w:vAlign w:val="center"/>
          </w:tcPr>
          <w:p w14:paraId="0EB95669" w14:textId="77777777" w:rsidR="00B561CB" w:rsidRPr="00D11640" w:rsidRDefault="00B561CB" w:rsidP="00286E68">
            <w:pPr>
              <w:pStyle w:val="In-tableHeading"/>
              <w:jc w:val="center"/>
            </w:pPr>
            <w:r w:rsidRPr="00D11640">
              <w:t>GUS 200</w:t>
            </w:r>
          </w:p>
        </w:tc>
        <w:tc>
          <w:tcPr>
            <w:tcW w:w="593" w:type="pct"/>
            <w:vAlign w:val="center"/>
          </w:tcPr>
          <w:p w14:paraId="7734B63C" w14:textId="77777777" w:rsidR="00B561CB" w:rsidRPr="00D11640" w:rsidRDefault="00B561CB" w:rsidP="00286E68">
            <w:pPr>
              <w:pStyle w:val="In-tableHeading"/>
              <w:jc w:val="center"/>
            </w:pPr>
            <w:r w:rsidRPr="00D11640">
              <w:t>Comparator</w:t>
            </w:r>
            <w:r w:rsidRPr="00D11640">
              <w:rPr>
                <w:vertAlign w:val="superscript"/>
              </w:rPr>
              <w:t>a</w:t>
            </w:r>
          </w:p>
        </w:tc>
        <w:tc>
          <w:tcPr>
            <w:tcW w:w="593" w:type="pct"/>
            <w:vAlign w:val="center"/>
          </w:tcPr>
          <w:p w14:paraId="3C400F90" w14:textId="77777777" w:rsidR="00B561CB" w:rsidRPr="00D11640" w:rsidRDefault="00B561CB" w:rsidP="00286E68">
            <w:pPr>
              <w:pStyle w:val="In-tableHeading"/>
              <w:jc w:val="center"/>
            </w:pPr>
            <w:r w:rsidRPr="00D11640">
              <w:t>Increment</w:t>
            </w:r>
          </w:p>
        </w:tc>
      </w:tr>
      <w:tr w:rsidR="00B561CB" w:rsidRPr="00D11640" w14:paraId="78182FD4" w14:textId="77777777" w:rsidTr="00286E68">
        <w:tc>
          <w:tcPr>
            <w:tcW w:w="5000" w:type="pct"/>
            <w:gridSpan w:val="7"/>
            <w:tcBorders>
              <w:bottom w:val="single" w:sz="4" w:space="0" w:color="auto"/>
            </w:tcBorders>
            <w:vAlign w:val="center"/>
          </w:tcPr>
          <w:p w14:paraId="5B30BEE5" w14:textId="296AAAF5" w:rsidR="00B561CB" w:rsidRPr="00D11640" w:rsidRDefault="00B561CB" w:rsidP="00286E68">
            <w:pPr>
              <w:pStyle w:val="TableText0"/>
              <w:rPr>
                <w:b/>
                <w:bCs w:val="0"/>
              </w:rPr>
            </w:pPr>
            <w:r w:rsidRPr="00D11640">
              <w:rPr>
                <w:b/>
                <w:bCs w:val="0"/>
              </w:rPr>
              <w:t>Base case (</w:t>
            </w:r>
            <w:r w:rsidR="00E77A69" w:rsidRPr="00E77A69">
              <w:rPr>
                <w:b/>
                <w:bCs w:val="0"/>
                <w:color w:val="000000"/>
                <w:spacing w:val="58"/>
                <w:shd w:val="solid" w:color="000000" w:fill="000000"/>
                <w:fitText w:val="360" w:id="-628921330"/>
                <w14:textFill>
                  <w14:solidFill>
                    <w14:srgbClr w14:val="000000">
                      <w14:alpha w14:val="100000"/>
                    </w14:srgbClr>
                  </w14:solidFill>
                </w14:textFill>
              </w:rPr>
              <w:t>|||</w:t>
            </w:r>
            <w:r w:rsidR="00E77A69" w:rsidRPr="00E77A69">
              <w:rPr>
                <w:b/>
                <w:bCs w:val="0"/>
                <w:color w:val="000000"/>
                <w:spacing w:val="3"/>
                <w:shd w:val="solid" w:color="000000" w:fill="000000"/>
                <w:fitText w:val="360" w:id="-628921330"/>
                <w14:textFill>
                  <w14:solidFill>
                    <w14:srgbClr w14:val="000000">
                      <w14:alpha w14:val="100000"/>
                    </w14:srgbClr>
                  </w14:solidFill>
                </w14:textFill>
              </w:rPr>
              <w:t>|</w:t>
            </w:r>
            <w:r w:rsidRPr="00D11640">
              <w:rPr>
                <w:b/>
                <w:bCs w:val="0"/>
              </w:rPr>
              <w:t xml:space="preserve">, 2L IFX, 3L </w:t>
            </w:r>
            <w:proofErr w:type="spellStart"/>
            <w:r w:rsidRPr="00D11640">
              <w:rPr>
                <w:b/>
                <w:bCs w:val="0"/>
              </w:rPr>
              <w:t>VDZ</w:t>
            </w:r>
            <w:r w:rsidR="00BC5D51" w:rsidRPr="00D11640">
              <w:rPr>
                <w:b/>
                <w:bCs w:val="0"/>
                <w:vertAlign w:val="superscript"/>
              </w:rPr>
              <w:t>b</w:t>
            </w:r>
            <w:proofErr w:type="spellEnd"/>
            <w:r w:rsidRPr="00D11640">
              <w:rPr>
                <w:b/>
                <w:bCs w:val="0"/>
              </w:rPr>
              <w:t xml:space="preserve"> vs weighted comparator; submission’s base case)</w:t>
            </w:r>
          </w:p>
        </w:tc>
      </w:tr>
      <w:tr w:rsidR="00B561CB" w:rsidRPr="00D11640" w14:paraId="340D1715" w14:textId="77777777" w:rsidTr="00286E68">
        <w:tc>
          <w:tcPr>
            <w:tcW w:w="1412" w:type="pct"/>
            <w:tcBorders>
              <w:bottom w:val="nil"/>
            </w:tcBorders>
            <w:vAlign w:val="center"/>
          </w:tcPr>
          <w:p w14:paraId="52EFDF1C" w14:textId="77777777" w:rsidR="00B561CB" w:rsidRPr="00D11640" w:rsidRDefault="00B561CB" w:rsidP="00286E68">
            <w:pPr>
              <w:pStyle w:val="TableText0"/>
              <w:rPr>
                <w:rFonts w:ascii="Times" w:hAnsi="Times"/>
              </w:rPr>
            </w:pPr>
            <w:r w:rsidRPr="00D11640">
              <w:t>Costs</w:t>
            </w:r>
          </w:p>
        </w:tc>
        <w:tc>
          <w:tcPr>
            <w:tcW w:w="603" w:type="pct"/>
            <w:tcBorders>
              <w:bottom w:val="nil"/>
            </w:tcBorders>
            <w:vAlign w:val="center"/>
          </w:tcPr>
          <w:p w14:paraId="574F2231" w14:textId="6B25233B" w:rsidR="00B561CB" w:rsidRPr="00D11640" w:rsidRDefault="00B561CB" w:rsidP="00286E68">
            <w:pPr>
              <w:pStyle w:val="TableText0"/>
              <w:jc w:val="center"/>
              <w:rPr>
                <w:rFonts w:ascii="Times" w:hAnsi="Times"/>
              </w:rPr>
            </w:pPr>
            <w:r w:rsidRPr="00D11640">
              <w:t>$</w:t>
            </w:r>
            <w:r w:rsidR="00E77A69" w:rsidRPr="00E77A69">
              <w:rPr>
                <w:color w:val="000000"/>
                <w:spacing w:val="53"/>
                <w:shd w:val="solid" w:color="000000" w:fill="000000"/>
                <w:fitText w:val="330" w:id="-628921329"/>
                <w14:textFill>
                  <w14:solidFill>
                    <w14:srgbClr w14:val="000000">
                      <w14:alpha w14:val="100000"/>
                    </w14:srgbClr>
                  </w14:solidFill>
                </w14:textFill>
              </w:rPr>
              <w:t>|||</w:t>
            </w:r>
            <w:r w:rsidR="00E77A69" w:rsidRPr="00E77A69">
              <w:rPr>
                <w:color w:val="000000"/>
                <w:spacing w:val="1"/>
                <w:shd w:val="solid" w:color="000000" w:fill="000000"/>
                <w:fitText w:val="330" w:id="-628921329"/>
                <w14:textFill>
                  <w14:solidFill>
                    <w14:srgbClr w14:val="000000">
                      <w14:alpha w14:val="100000"/>
                    </w14:srgbClr>
                  </w14:solidFill>
                </w14:textFill>
              </w:rPr>
              <w:t>|</w:t>
            </w:r>
          </w:p>
        </w:tc>
        <w:tc>
          <w:tcPr>
            <w:tcW w:w="603" w:type="pct"/>
            <w:tcBorders>
              <w:bottom w:val="nil"/>
            </w:tcBorders>
            <w:vAlign w:val="center"/>
          </w:tcPr>
          <w:p w14:paraId="11DF96A8" w14:textId="77777777" w:rsidR="00B561CB" w:rsidRPr="004653CE" w:rsidRDefault="00B561CB" w:rsidP="00286E68">
            <w:pPr>
              <w:pStyle w:val="TableText0"/>
              <w:jc w:val="center"/>
              <w:rPr>
                <w:rFonts w:ascii="Times" w:hAnsi="Times"/>
              </w:rPr>
            </w:pPr>
            <w:r w:rsidRPr="004653CE">
              <w:t>$182,627</w:t>
            </w:r>
          </w:p>
        </w:tc>
        <w:tc>
          <w:tcPr>
            <w:tcW w:w="603" w:type="pct"/>
            <w:tcBorders>
              <w:bottom w:val="nil"/>
            </w:tcBorders>
            <w:vAlign w:val="center"/>
          </w:tcPr>
          <w:p w14:paraId="49A3713D" w14:textId="5E17D667" w:rsidR="00B561CB" w:rsidRPr="00D11640" w:rsidRDefault="00B561CB" w:rsidP="00286E68">
            <w:pPr>
              <w:pStyle w:val="TableText0"/>
              <w:jc w:val="center"/>
              <w:rPr>
                <w:rFonts w:ascii="Times" w:hAnsi="Times"/>
              </w:rPr>
            </w:pPr>
            <w:r w:rsidRPr="00D11640">
              <w:t>$</w:t>
            </w:r>
            <w:r w:rsidR="00E77A69" w:rsidRPr="00E77A69">
              <w:rPr>
                <w:color w:val="000000"/>
                <w:spacing w:val="53"/>
                <w:shd w:val="solid" w:color="000000" w:fill="000000"/>
                <w:fitText w:val="330" w:id="-628921328"/>
                <w14:textFill>
                  <w14:solidFill>
                    <w14:srgbClr w14:val="000000">
                      <w14:alpha w14:val="100000"/>
                    </w14:srgbClr>
                  </w14:solidFill>
                </w14:textFill>
              </w:rPr>
              <w:t>|||</w:t>
            </w:r>
            <w:r w:rsidR="00E77A69" w:rsidRPr="00E77A69">
              <w:rPr>
                <w:color w:val="000000"/>
                <w:spacing w:val="1"/>
                <w:shd w:val="solid" w:color="000000" w:fill="000000"/>
                <w:fitText w:val="330" w:id="-628921328"/>
                <w14:textFill>
                  <w14:solidFill>
                    <w14:srgbClr w14:val="000000">
                      <w14:alpha w14:val="100000"/>
                    </w14:srgbClr>
                  </w14:solidFill>
                </w14:textFill>
              </w:rPr>
              <w:t>|</w:t>
            </w:r>
          </w:p>
        </w:tc>
        <w:tc>
          <w:tcPr>
            <w:tcW w:w="593" w:type="pct"/>
            <w:tcBorders>
              <w:bottom w:val="nil"/>
            </w:tcBorders>
            <w:vAlign w:val="center"/>
          </w:tcPr>
          <w:p w14:paraId="1E3C1292" w14:textId="7097768F"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44"/>
                <w14:textFill>
                  <w14:solidFill>
                    <w14:srgbClr w14:val="000000">
                      <w14:alpha w14:val="100000"/>
                    </w14:srgbClr>
                  </w14:solidFill>
                </w14:textFill>
              </w:rPr>
              <w:t>|||</w:t>
            </w:r>
            <w:r w:rsidR="00E77A69" w:rsidRPr="00E77A69">
              <w:rPr>
                <w:color w:val="000000"/>
                <w:spacing w:val="1"/>
                <w:shd w:val="solid" w:color="000000" w:fill="000000"/>
                <w:fitText w:val="315" w:id="-628921344"/>
                <w14:textFill>
                  <w14:solidFill>
                    <w14:srgbClr w14:val="000000">
                      <w14:alpha w14:val="100000"/>
                    </w14:srgbClr>
                  </w14:solidFill>
                </w14:textFill>
              </w:rPr>
              <w:t>|</w:t>
            </w:r>
          </w:p>
        </w:tc>
        <w:tc>
          <w:tcPr>
            <w:tcW w:w="593" w:type="pct"/>
            <w:tcBorders>
              <w:bottom w:val="nil"/>
            </w:tcBorders>
            <w:vAlign w:val="center"/>
          </w:tcPr>
          <w:p w14:paraId="01A1239D" w14:textId="77777777" w:rsidR="00B561CB" w:rsidRPr="00D5157F" w:rsidRDefault="00B561CB" w:rsidP="00286E68">
            <w:pPr>
              <w:pStyle w:val="TableText0"/>
              <w:jc w:val="center"/>
              <w:rPr>
                <w:highlight w:val="yellow"/>
              </w:rPr>
            </w:pPr>
            <w:r w:rsidRPr="004653CE">
              <w:t>$182,627</w:t>
            </w:r>
          </w:p>
        </w:tc>
        <w:tc>
          <w:tcPr>
            <w:tcW w:w="593" w:type="pct"/>
            <w:tcBorders>
              <w:bottom w:val="nil"/>
            </w:tcBorders>
            <w:vAlign w:val="center"/>
          </w:tcPr>
          <w:p w14:paraId="1DDFF6D5" w14:textId="392149DF"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43"/>
                <w14:textFill>
                  <w14:solidFill>
                    <w14:srgbClr w14:val="000000">
                      <w14:alpha w14:val="100000"/>
                    </w14:srgbClr>
                  </w14:solidFill>
                </w14:textFill>
              </w:rPr>
              <w:t>|||</w:t>
            </w:r>
            <w:r w:rsidR="00E77A69" w:rsidRPr="00E77A69">
              <w:rPr>
                <w:color w:val="000000"/>
                <w:spacing w:val="1"/>
                <w:shd w:val="solid" w:color="000000" w:fill="000000"/>
                <w:fitText w:val="315" w:id="-628921343"/>
                <w14:textFill>
                  <w14:solidFill>
                    <w14:srgbClr w14:val="000000">
                      <w14:alpha w14:val="100000"/>
                    </w14:srgbClr>
                  </w14:solidFill>
                </w14:textFill>
              </w:rPr>
              <w:t>|</w:t>
            </w:r>
          </w:p>
        </w:tc>
      </w:tr>
      <w:tr w:rsidR="00B561CB" w:rsidRPr="00D11640" w14:paraId="10D42AD3" w14:textId="77777777" w:rsidTr="00286E68">
        <w:tc>
          <w:tcPr>
            <w:tcW w:w="1412" w:type="pct"/>
            <w:tcBorders>
              <w:top w:val="nil"/>
              <w:bottom w:val="nil"/>
            </w:tcBorders>
            <w:vAlign w:val="center"/>
          </w:tcPr>
          <w:p w14:paraId="753B4D77" w14:textId="77777777" w:rsidR="00B561CB" w:rsidRPr="00D11640" w:rsidRDefault="00B561CB" w:rsidP="00286E68">
            <w:pPr>
              <w:pStyle w:val="TableText0"/>
              <w:rPr>
                <w:rFonts w:ascii="Times" w:hAnsi="Times"/>
              </w:rPr>
            </w:pPr>
            <w:r w:rsidRPr="00D11640">
              <w:t>QALYs</w:t>
            </w:r>
          </w:p>
        </w:tc>
        <w:tc>
          <w:tcPr>
            <w:tcW w:w="603" w:type="pct"/>
            <w:tcBorders>
              <w:top w:val="nil"/>
              <w:bottom w:val="single" w:sz="4" w:space="0" w:color="auto"/>
            </w:tcBorders>
            <w:vAlign w:val="center"/>
          </w:tcPr>
          <w:p w14:paraId="7F17C5B3" w14:textId="77777777" w:rsidR="00B561CB" w:rsidRPr="00D11640" w:rsidRDefault="00B561CB" w:rsidP="00286E68">
            <w:pPr>
              <w:pStyle w:val="TableText0"/>
              <w:jc w:val="center"/>
              <w:rPr>
                <w:rFonts w:ascii="Times" w:hAnsi="Times"/>
              </w:rPr>
            </w:pPr>
            <w:r w:rsidRPr="00D11640">
              <w:t>4.048</w:t>
            </w:r>
          </w:p>
        </w:tc>
        <w:tc>
          <w:tcPr>
            <w:tcW w:w="603" w:type="pct"/>
            <w:tcBorders>
              <w:top w:val="nil"/>
              <w:bottom w:val="single" w:sz="4" w:space="0" w:color="auto"/>
            </w:tcBorders>
            <w:vAlign w:val="center"/>
          </w:tcPr>
          <w:p w14:paraId="4E08692D" w14:textId="77777777" w:rsidR="00B561CB" w:rsidRPr="004653CE" w:rsidRDefault="00B561CB" w:rsidP="00286E68">
            <w:pPr>
              <w:pStyle w:val="TableText0"/>
              <w:jc w:val="center"/>
              <w:rPr>
                <w:rFonts w:ascii="Times" w:hAnsi="Times"/>
              </w:rPr>
            </w:pPr>
            <w:r w:rsidRPr="004653CE">
              <w:t>3.555</w:t>
            </w:r>
          </w:p>
        </w:tc>
        <w:tc>
          <w:tcPr>
            <w:tcW w:w="603" w:type="pct"/>
            <w:tcBorders>
              <w:top w:val="nil"/>
              <w:bottom w:val="single" w:sz="4" w:space="0" w:color="auto"/>
            </w:tcBorders>
            <w:vAlign w:val="center"/>
          </w:tcPr>
          <w:p w14:paraId="33B7B4A5" w14:textId="77777777" w:rsidR="00B561CB" w:rsidRPr="00D11640" w:rsidRDefault="00B561CB" w:rsidP="00286E68">
            <w:pPr>
              <w:pStyle w:val="TableText0"/>
              <w:jc w:val="center"/>
            </w:pPr>
            <w:r w:rsidRPr="00D11640">
              <w:t>0.493</w:t>
            </w:r>
          </w:p>
        </w:tc>
        <w:tc>
          <w:tcPr>
            <w:tcW w:w="593" w:type="pct"/>
            <w:tcBorders>
              <w:top w:val="nil"/>
              <w:bottom w:val="single" w:sz="4" w:space="0" w:color="auto"/>
            </w:tcBorders>
            <w:vAlign w:val="center"/>
          </w:tcPr>
          <w:p w14:paraId="2999FADB" w14:textId="77777777" w:rsidR="00B561CB" w:rsidRPr="00D11640" w:rsidRDefault="00B561CB" w:rsidP="00286E68">
            <w:pPr>
              <w:pStyle w:val="TableText0"/>
              <w:jc w:val="center"/>
            </w:pPr>
            <w:r w:rsidRPr="00D11640">
              <w:t>4.116</w:t>
            </w:r>
          </w:p>
        </w:tc>
        <w:tc>
          <w:tcPr>
            <w:tcW w:w="593" w:type="pct"/>
            <w:tcBorders>
              <w:top w:val="nil"/>
              <w:bottom w:val="single" w:sz="4" w:space="0" w:color="auto"/>
            </w:tcBorders>
            <w:vAlign w:val="center"/>
          </w:tcPr>
          <w:p w14:paraId="13396007" w14:textId="77777777" w:rsidR="00B561CB" w:rsidRPr="00D11640" w:rsidRDefault="00B561CB" w:rsidP="00286E68">
            <w:pPr>
              <w:pStyle w:val="TableText0"/>
              <w:jc w:val="center"/>
            </w:pPr>
            <w:r w:rsidRPr="00D11640">
              <w:t>3.555</w:t>
            </w:r>
          </w:p>
        </w:tc>
        <w:tc>
          <w:tcPr>
            <w:tcW w:w="593" w:type="pct"/>
            <w:tcBorders>
              <w:top w:val="nil"/>
              <w:bottom w:val="single" w:sz="4" w:space="0" w:color="auto"/>
            </w:tcBorders>
            <w:vAlign w:val="center"/>
          </w:tcPr>
          <w:p w14:paraId="1B25B66D" w14:textId="77777777" w:rsidR="00B561CB" w:rsidRPr="00D11640" w:rsidRDefault="00B561CB" w:rsidP="00286E68">
            <w:pPr>
              <w:pStyle w:val="TableText0"/>
              <w:jc w:val="center"/>
            </w:pPr>
            <w:r w:rsidRPr="00D11640">
              <w:t>0.561</w:t>
            </w:r>
          </w:p>
        </w:tc>
      </w:tr>
      <w:tr w:rsidR="00B561CB" w:rsidRPr="00D11640" w14:paraId="388AEAA9" w14:textId="77777777" w:rsidTr="00CA7ED5">
        <w:tc>
          <w:tcPr>
            <w:tcW w:w="1412" w:type="pct"/>
            <w:tcBorders>
              <w:top w:val="nil"/>
            </w:tcBorders>
            <w:vAlign w:val="center"/>
          </w:tcPr>
          <w:p w14:paraId="367B8F1C" w14:textId="77777777" w:rsidR="00B561CB" w:rsidRPr="00D11640" w:rsidRDefault="00B561CB" w:rsidP="00286E68">
            <w:pPr>
              <w:pStyle w:val="TableText0"/>
              <w:rPr>
                <w:rFonts w:ascii="Times" w:hAnsi="Times"/>
                <w:bCs w:val="0"/>
              </w:rPr>
            </w:pPr>
            <w:r w:rsidRPr="00D11640">
              <w:rPr>
                <w:bCs w:val="0"/>
              </w:rPr>
              <w:t>Incremental cost/QALY gained</w:t>
            </w:r>
          </w:p>
        </w:tc>
        <w:tc>
          <w:tcPr>
            <w:tcW w:w="1809" w:type="pct"/>
            <w:gridSpan w:val="3"/>
            <w:tcBorders>
              <w:top w:val="single" w:sz="4" w:space="0" w:color="auto"/>
            </w:tcBorders>
            <w:vAlign w:val="center"/>
          </w:tcPr>
          <w:p w14:paraId="3D2DF053" w14:textId="6F0D406D" w:rsidR="00B561CB" w:rsidRPr="008F6234" w:rsidRDefault="00B561CB" w:rsidP="00286E68">
            <w:pPr>
              <w:pStyle w:val="TableText0"/>
              <w:jc w:val="center"/>
              <w:rPr>
                <w:b/>
                <w:vertAlign w:val="superscript"/>
              </w:rPr>
            </w:pPr>
            <w:r w:rsidRPr="004653CE">
              <w:rPr>
                <w:b/>
              </w:rPr>
              <w:t>$</w:t>
            </w:r>
            <w:r w:rsidR="004958C0" w:rsidRPr="004958C0">
              <w:rPr>
                <w:b/>
                <w:shd w:val="solid" w:color="000000" w:fill="000000"/>
                <w14:textFill>
                  <w14:solidFill>
                    <w14:srgbClr w14:val="000000">
                      <w14:alpha w14:val="100000"/>
                    </w14:srgbClr>
                  </w14:solidFill>
                </w14:textFill>
              </w:rPr>
              <w:t>|</w:t>
            </w:r>
            <w:r w:rsidR="008F6234">
              <w:rPr>
                <w:b/>
                <w:vertAlign w:val="superscript"/>
              </w:rPr>
              <w:t>1</w:t>
            </w:r>
          </w:p>
        </w:tc>
        <w:tc>
          <w:tcPr>
            <w:tcW w:w="1778" w:type="pct"/>
            <w:gridSpan w:val="3"/>
            <w:tcBorders>
              <w:top w:val="single" w:sz="4" w:space="0" w:color="auto"/>
            </w:tcBorders>
            <w:vAlign w:val="center"/>
          </w:tcPr>
          <w:p w14:paraId="2669811D" w14:textId="4224E40C" w:rsidR="00B561CB" w:rsidRPr="004A18F4" w:rsidRDefault="00B561CB" w:rsidP="00286E68">
            <w:pPr>
              <w:pStyle w:val="TableText0"/>
              <w:jc w:val="center"/>
              <w:rPr>
                <w:b/>
                <w:highlight w:val="yellow"/>
                <w:vertAlign w:val="superscript"/>
              </w:rPr>
            </w:pPr>
            <w:r w:rsidRPr="004653CE">
              <w:rPr>
                <w:b/>
              </w:rPr>
              <w:t>$</w:t>
            </w:r>
            <w:r w:rsidR="004958C0" w:rsidRPr="004958C0">
              <w:rPr>
                <w:b/>
                <w:shd w:val="solid" w:color="000000" w:fill="000000"/>
                <w14:textFill>
                  <w14:solidFill>
                    <w14:srgbClr w14:val="000000">
                      <w14:alpha w14:val="100000"/>
                    </w14:srgbClr>
                  </w14:solidFill>
                </w14:textFill>
              </w:rPr>
              <w:t>|</w:t>
            </w:r>
            <w:r w:rsidR="00280243">
              <w:rPr>
                <w:b/>
                <w:vertAlign w:val="superscript"/>
              </w:rPr>
              <w:t>2</w:t>
            </w:r>
          </w:p>
        </w:tc>
      </w:tr>
      <w:tr w:rsidR="00B561CB" w:rsidRPr="00D11640" w14:paraId="2B36D0D3" w14:textId="77777777" w:rsidTr="00286E68">
        <w:tc>
          <w:tcPr>
            <w:tcW w:w="5000" w:type="pct"/>
            <w:gridSpan w:val="7"/>
            <w:tcBorders>
              <w:bottom w:val="single" w:sz="4" w:space="0" w:color="auto"/>
            </w:tcBorders>
            <w:vAlign w:val="center"/>
          </w:tcPr>
          <w:p w14:paraId="445926EB" w14:textId="6B140402" w:rsidR="00B561CB" w:rsidRPr="00D11640" w:rsidRDefault="00B561CB" w:rsidP="00286E68">
            <w:pPr>
              <w:pStyle w:val="TableText0"/>
              <w:rPr>
                <w:b/>
                <w:bCs w:val="0"/>
              </w:rPr>
            </w:pPr>
            <w:r w:rsidRPr="00D11640">
              <w:rPr>
                <w:b/>
                <w:bCs w:val="0"/>
              </w:rPr>
              <w:t>Base case (</w:t>
            </w:r>
            <w:r w:rsidR="00E77A69" w:rsidRPr="00E77A69">
              <w:rPr>
                <w:b/>
                <w:bCs w:val="0"/>
                <w:color w:val="000000"/>
                <w:spacing w:val="58"/>
                <w:shd w:val="solid" w:color="000000" w:fill="000000"/>
                <w:fitText w:val="360" w:id="-628921342"/>
                <w14:textFill>
                  <w14:solidFill>
                    <w14:srgbClr w14:val="000000">
                      <w14:alpha w14:val="100000"/>
                    </w14:srgbClr>
                  </w14:solidFill>
                </w14:textFill>
              </w:rPr>
              <w:t>|||</w:t>
            </w:r>
            <w:r w:rsidR="00E77A69" w:rsidRPr="00E77A69">
              <w:rPr>
                <w:b/>
                <w:bCs w:val="0"/>
                <w:color w:val="000000"/>
                <w:spacing w:val="3"/>
                <w:shd w:val="solid" w:color="000000" w:fill="000000"/>
                <w:fitText w:val="360" w:id="-628921342"/>
                <w14:textFill>
                  <w14:solidFill>
                    <w14:srgbClr w14:val="000000">
                      <w14:alpha w14:val="100000"/>
                    </w14:srgbClr>
                  </w14:solidFill>
                </w14:textFill>
              </w:rPr>
              <w:t>|</w:t>
            </w:r>
            <w:r w:rsidRPr="00D11640">
              <w:rPr>
                <w:b/>
                <w:bCs w:val="0"/>
              </w:rPr>
              <w:t xml:space="preserve">, 2L IFX, 3L </w:t>
            </w:r>
            <w:proofErr w:type="spellStart"/>
            <w:r w:rsidRPr="00D11640">
              <w:rPr>
                <w:b/>
                <w:bCs w:val="0"/>
              </w:rPr>
              <w:t>VDZ</w:t>
            </w:r>
            <w:r w:rsidR="00BC5D51" w:rsidRPr="00D11640">
              <w:rPr>
                <w:b/>
                <w:bCs w:val="0"/>
                <w:vertAlign w:val="superscript"/>
              </w:rPr>
              <w:t>b</w:t>
            </w:r>
            <w:proofErr w:type="spellEnd"/>
            <w:r w:rsidRPr="00D11640">
              <w:rPr>
                <w:b/>
                <w:bCs w:val="0"/>
              </w:rPr>
              <w:t xml:space="preserve"> vs weighted comparator; programming error corrected)</w:t>
            </w:r>
          </w:p>
        </w:tc>
      </w:tr>
      <w:tr w:rsidR="00B561CB" w:rsidRPr="00D11640" w14:paraId="0E629F1D" w14:textId="77777777" w:rsidTr="00286E68">
        <w:tc>
          <w:tcPr>
            <w:tcW w:w="1412" w:type="pct"/>
            <w:tcBorders>
              <w:bottom w:val="nil"/>
            </w:tcBorders>
            <w:vAlign w:val="center"/>
          </w:tcPr>
          <w:p w14:paraId="70F6051E" w14:textId="77777777" w:rsidR="00B561CB" w:rsidRPr="00D11640" w:rsidRDefault="00B561CB" w:rsidP="00286E68">
            <w:pPr>
              <w:pStyle w:val="TableText0"/>
              <w:rPr>
                <w:rFonts w:ascii="Times" w:hAnsi="Times"/>
              </w:rPr>
            </w:pPr>
            <w:r w:rsidRPr="00D11640">
              <w:t>Costs</w:t>
            </w:r>
          </w:p>
        </w:tc>
        <w:tc>
          <w:tcPr>
            <w:tcW w:w="603" w:type="pct"/>
            <w:tcBorders>
              <w:bottom w:val="nil"/>
            </w:tcBorders>
            <w:vAlign w:val="center"/>
          </w:tcPr>
          <w:p w14:paraId="292F4144" w14:textId="7E6EF619" w:rsidR="00B561CB" w:rsidRPr="00D11640" w:rsidRDefault="00B561CB" w:rsidP="00286E68">
            <w:pPr>
              <w:pStyle w:val="TableText0"/>
              <w:jc w:val="center"/>
              <w:rPr>
                <w:rFonts w:ascii="Times" w:hAnsi="Times"/>
              </w:rPr>
            </w:pPr>
            <w:r w:rsidRPr="00D11640">
              <w:t>$</w:t>
            </w:r>
            <w:r w:rsidR="00E77A69" w:rsidRPr="00E77A69">
              <w:rPr>
                <w:color w:val="000000"/>
                <w:spacing w:val="53"/>
                <w:shd w:val="solid" w:color="000000" w:fill="000000"/>
                <w:fitText w:val="330" w:id="-628921341"/>
                <w14:textFill>
                  <w14:solidFill>
                    <w14:srgbClr w14:val="000000">
                      <w14:alpha w14:val="100000"/>
                    </w14:srgbClr>
                  </w14:solidFill>
                </w14:textFill>
              </w:rPr>
              <w:t>|||</w:t>
            </w:r>
            <w:r w:rsidR="00E77A69" w:rsidRPr="00E77A69">
              <w:rPr>
                <w:color w:val="000000"/>
                <w:spacing w:val="1"/>
                <w:shd w:val="solid" w:color="000000" w:fill="000000"/>
                <w:fitText w:val="330" w:id="-628921341"/>
                <w14:textFill>
                  <w14:solidFill>
                    <w14:srgbClr w14:val="000000">
                      <w14:alpha w14:val="100000"/>
                    </w14:srgbClr>
                  </w14:solidFill>
                </w14:textFill>
              </w:rPr>
              <w:t>|</w:t>
            </w:r>
          </w:p>
        </w:tc>
        <w:tc>
          <w:tcPr>
            <w:tcW w:w="603" w:type="pct"/>
            <w:tcBorders>
              <w:bottom w:val="nil"/>
            </w:tcBorders>
            <w:vAlign w:val="center"/>
          </w:tcPr>
          <w:p w14:paraId="14E7A0CD" w14:textId="77777777" w:rsidR="00B561CB" w:rsidRPr="00D5157F" w:rsidRDefault="00B561CB" w:rsidP="00286E68">
            <w:pPr>
              <w:pStyle w:val="TableText0"/>
              <w:jc w:val="center"/>
              <w:rPr>
                <w:rFonts w:ascii="Times" w:hAnsi="Times"/>
                <w:highlight w:val="yellow"/>
              </w:rPr>
            </w:pPr>
            <w:r w:rsidRPr="004653CE">
              <w:t>$182,627</w:t>
            </w:r>
          </w:p>
        </w:tc>
        <w:tc>
          <w:tcPr>
            <w:tcW w:w="603" w:type="pct"/>
            <w:tcBorders>
              <w:bottom w:val="nil"/>
            </w:tcBorders>
            <w:vAlign w:val="center"/>
          </w:tcPr>
          <w:p w14:paraId="15109CCF" w14:textId="3A3F5E0C" w:rsidR="00B561CB" w:rsidRPr="00D11640" w:rsidRDefault="00B561CB" w:rsidP="00286E68">
            <w:pPr>
              <w:pStyle w:val="TableText0"/>
              <w:jc w:val="center"/>
              <w:rPr>
                <w:rFonts w:ascii="Times" w:hAnsi="Times"/>
              </w:rPr>
            </w:pPr>
            <w:r w:rsidRPr="00D11640">
              <w:t>$</w:t>
            </w:r>
            <w:r w:rsidR="00E77A69" w:rsidRPr="00E77A69">
              <w:rPr>
                <w:color w:val="000000"/>
                <w:spacing w:val="53"/>
                <w:shd w:val="solid" w:color="000000" w:fill="000000"/>
                <w:fitText w:val="330" w:id="-628921340"/>
                <w14:textFill>
                  <w14:solidFill>
                    <w14:srgbClr w14:val="000000">
                      <w14:alpha w14:val="100000"/>
                    </w14:srgbClr>
                  </w14:solidFill>
                </w14:textFill>
              </w:rPr>
              <w:t>|||</w:t>
            </w:r>
            <w:r w:rsidR="00E77A69" w:rsidRPr="00E77A69">
              <w:rPr>
                <w:color w:val="000000"/>
                <w:spacing w:val="1"/>
                <w:shd w:val="solid" w:color="000000" w:fill="000000"/>
                <w:fitText w:val="330" w:id="-628921340"/>
                <w14:textFill>
                  <w14:solidFill>
                    <w14:srgbClr w14:val="000000">
                      <w14:alpha w14:val="100000"/>
                    </w14:srgbClr>
                  </w14:solidFill>
                </w14:textFill>
              </w:rPr>
              <w:t>|</w:t>
            </w:r>
          </w:p>
        </w:tc>
        <w:tc>
          <w:tcPr>
            <w:tcW w:w="593" w:type="pct"/>
            <w:tcBorders>
              <w:bottom w:val="nil"/>
            </w:tcBorders>
            <w:vAlign w:val="center"/>
          </w:tcPr>
          <w:p w14:paraId="395C7DDA" w14:textId="4118EEE0"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39"/>
                <w14:textFill>
                  <w14:solidFill>
                    <w14:srgbClr w14:val="000000">
                      <w14:alpha w14:val="100000"/>
                    </w14:srgbClr>
                  </w14:solidFill>
                </w14:textFill>
              </w:rPr>
              <w:t>|||</w:t>
            </w:r>
            <w:r w:rsidR="00E77A69" w:rsidRPr="00E77A69">
              <w:rPr>
                <w:color w:val="000000"/>
                <w:spacing w:val="1"/>
                <w:shd w:val="solid" w:color="000000" w:fill="000000"/>
                <w:fitText w:val="315" w:id="-628921339"/>
                <w14:textFill>
                  <w14:solidFill>
                    <w14:srgbClr w14:val="000000">
                      <w14:alpha w14:val="100000"/>
                    </w14:srgbClr>
                  </w14:solidFill>
                </w14:textFill>
              </w:rPr>
              <w:t>|</w:t>
            </w:r>
          </w:p>
        </w:tc>
        <w:tc>
          <w:tcPr>
            <w:tcW w:w="593" w:type="pct"/>
            <w:tcBorders>
              <w:bottom w:val="nil"/>
            </w:tcBorders>
            <w:vAlign w:val="center"/>
          </w:tcPr>
          <w:p w14:paraId="2C54E711" w14:textId="77777777" w:rsidR="00B561CB" w:rsidRPr="00D5157F" w:rsidRDefault="00B561CB" w:rsidP="00286E68">
            <w:pPr>
              <w:pStyle w:val="TableText0"/>
              <w:jc w:val="center"/>
              <w:rPr>
                <w:highlight w:val="yellow"/>
              </w:rPr>
            </w:pPr>
            <w:r w:rsidRPr="004653CE">
              <w:t>$182,627</w:t>
            </w:r>
          </w:p>
        </w:tc>
        <w:tc>
          <w:tcPr>
            <w:tcW w:w="593" w:type="pct"/>
            <w:tcBorders>
              <w:bottom w:val="nil"/>
            </w:tcBorders>
            <w:vAlign w:val="center"/>
          </w:tcPr>
          <w:p w14:paraId="50314CF8" w14:textId="13DEC57F"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38"/>
                <w14:textFill>
                  <w14:solidFill>
                    <w14:srgbClr w14:val="000000">
                      <w14:alpha w14:val="100000"/>
                    </w14:srgbClr>
                  </w14:solidFill>
                </w14:textFill>
              </w:rPr>
              <w:t>|||</w:t>
            </w:r>
            <w:r w:rsidR="00E77A69" w:rsidRPr="00E77A69">
              <w:rPr>
                <w:color w:val="000000"/>
                <w:spacing w:val="1"/>
                <w:shd w:val="solid" w:color="000000" w:fill="000000"/>
                <w:fitText w:val="315" w:id="-628921338"/>
                <w14:textFill>
                  <w14:solidFill>
                    <w14:srgbClr w14:val="000000">
                      <w14:alpha w14:val="100000"/>
                    </w14:srgbClr>
                  </w14:solidFill>
                </w14:textFill>
              </w:rPr>
              <w:t>|</w:t>
            </w:r>
          </w:p>
        </w:tc>
      </w:tr>
      <w:tr w:rsidR="00B561CB" w:rsidRPr="00D11640" w14:paraId="40E8A7D8" w14:textId="77777777" w:rsidTr="00286E68">
        <w:tc>
          <w:tcPr>
            <w:tcW w:w="1412" w:type="pct"/>
            <w:tcBorders>
              <w:top w:val="nil"/>
              <w:bottom w:val="nil"/>
            </w:tcBorders>
            <w:vAlign w:val="center"/>
          </w:tcPr>
          <w:p w14:paraId="787EC6EA" w14:textId="77777777" w:rsidR="00B561CB" w:rsidRPr="00D11640" w:rsidRDefault="00B561CB" w:rsidP="00286E68">
            <w:pPr>
              <w:pStyle w:val="TableText0"/>
              <w:rPr>
                <w:rFonts w:ascii="Times" w:hAnsi="Times"/>
              </w:rPr>
            </w:pPr>
            <w:r w:rsidRPr="00D11640">
              <w:t>QALYs</w:t>
            </w:r>
          </w:p>
        </w:tc>
        <w:tc>
          <w:tcPr>
            <w:tcW w:w="603" w:type="pct"/>
            <w:tcBorders>
              <w:top w:val="nil"/>
            </w:tcBorders>
            <w:vAlign w:val="center"/>
          </w:tcPr>
          <w:p w14:paraId="32A205BB" w14:textId="77777777" w:rsidR="00B561CB" w:rsidRPr="00D11640" w:rsidRDefault="00B561CB" w:rsidP="00286E68">
            <w:pPr>
              <w:pStyle w:val="TableText0"/>
              <w:jc w:val="center"/>
              <w:rPr>
                <w:rFonts w:ascii="Times" w:hAnsi="Times"/>
              </w:rPr>
            </w:pPr>
            <w:r w:rsidRPr="00D11640">
              <w:t>4.249</w:t>
            </w:r>
          </w:p>
        </w:tc>
        <w:tc>
          <w:tcPr>
            <w:tcW w:w="603" w:type="pct"/>
            <w:tcBorders>
              <w:top w:val="nil"/>
            </w:tcBorders>
            <w:vAlign w:val="center"/>
          </w:tcPr>
          <w:p w14:paraId="0CC2A131" w14:textId="77777777" w:rsidR="00B561CB" w:rsidRPr="00D11640" w:rsidRDefault="00B561CB" w:rsidP="00286E68">
            <w:pPr>
              <w:pStyle w:val="TableText0"/>
              <w:jc w:val="center"/>
              <w:rPr>
                <w:rFonts w:ascii="Times" w:hAnsi="Times"/>
              </w:rPr>
            </w:pPr>
            <w:r w:rsidRPr="00D11640">
              <w:t>4.095</w:t>
            </w:r>
          </w:p>
        </w:tc>
        <w:tc>
          <w:tcPr>
            <w:tcW w:w="603" w:type="pct"/>
            <w:tcBorders>
              <w:top w:val="nil"/>
            </w:tcBorders>
            <w:vAlign w:val="center"/>
          </w:tcPr>
          <w:p w14:paraId="21AE8881" w14:textId="77777777" w:rsidR="00B561CB" w:rsidRPr="00D11640" w:rsidRDefault="00B561CB" w:rsidP="00286E68">
            <w:pPr>
              <w:pStyle w:val="TableText0"/>
              <w:jc w:val="center"/>
            </w:pPr>
            <w:r w:rsidRPr="00D11640">
              <w:t>0.154</w:t>
            </w:r>
          </w:p>
        </w:tc>
        <w:tc>
          <w:tcPr>
            <w:tcW w:w="593" w:type="pct"/>
            <w:tcBorders>
              <w:top w:val="nil"/>
            </w:tcBorders>
            <w:vAlign w:val="center"/>
          </w:tcPr>
          <w:p w14:paraId="3FB77D14" w14:textId="77777777" w:rsidR="00B561CB" w:rsidRPr="00D11640" w:rsidRDefault="00B561CB" w:rsidP="00286E68">
            <w:pPr>
              <w:pStyle w:val="TableText0"/>
              <w:jc w:val="center"/>
            </w:pPr>
            <w:r w:rsidRPr="00D11640">
              <w:t>4.310</w:t>
            </w:r>
          </w:p>
        </w:tc>
        <w:tc>
          <w:tcPr>
            <w:tcW w:w="593" w:type="pct"/>
            <w:tcBorders>
              <w:top w:val="nil"/>
            </w:tcBorders>
            <w:vAlign w:val="center"/>
          </w:tcPr>
          <w:p w14:paraId="7D46354A" w14:textId="77777777" w:rsidR="00B561CB" w:rsidRPr="00D11640" w:rsidRDefault="00B561CB" w:rsidP="00286E68">
            <w:pPr>
              <w:pStyle w:val="TableText0"/>
              <w:jc w:val="center"/>
            </w:pPr>
            <w:r w:rsidRPr="00D11640">
              <w:t>4.095</w:t>
            </w:r>
          </w:p>
        </w:tc>
        <w:tc>
          <w:tcPr>
            <w:tcW w:w="593" w:type="pct"/>
            <w:tcBorders>
              <w:top w:val="nil"/>
            </w:tcBorders>
            <w:vAlign w:val="center"/>
          </w:tcPr>
          <w:p w14:paraId="09774D99" w14:textId="77777777" w:rsidR="00B561CB" w:rsidRPr="00D11640" w:rsidRDefault="00B561CB" w:rsidP="00286E68">
            <w:pPr>
              <w:pStyle w:val="TableText0"/>
              <w:jc w:val="center"/>
            </w:pPr>
            <w:r w:rsidRPr="00D11640">
              <w:t>0.215</w:t>
            </w:r>
          </w:p>
        </w:tc>
      </w:tr>
      <w:tr w:rsidR="00B561CB" w:rsidRPr="00D11640" w14:paraId="2930E9D7" w14:textId="77777777" w:rsidTr="00CA7ED5">
        <w:tc>
          <w:tcPr>
            <w:tcW w:w="1412" w:type="pct"/>
            <w:tcBorders>
              <w:top w:val="nil"/>
            </w:tcBorders>
            <w:vAlign w:val="center"/>
          </w:tcPr>
          <w:p w14:paraId="387BEB53" w14:textId="77777777" w:rsidR="00B561CB" w:rsidRPr="00D11640" w:rsidRDefault="00B561CB" w:rsidP="00286E68">
            <w:pPr>
              <w:pStyle w:val="TableText0"/>
              <w:rPr>
                <w:bCs w:val="0"/>
              </w:rPr>
            </w:pPr>
            <w:r w:rsidRPr="00D11640">
              <w:rPr>
                <w:bCs w:val="0"/>
              </w:rPr>
              <w:t>Incremental cost/QALY gained</w:t>
            </w:r>
          </w:p>
        </w:tc>
        <w:tc>
          <w:tcPr>
            <w:tcW w:w="1809" w:type="pct"/>
            <w:gridSpan w:val="3"/>
            <w:vAlign w:val="center"/>
          </w:tcPr>
          <w:p w14:paraId="04FFB18A" w14:textId="01FDA102" w:rsidR="00B561CB" w:rsidRPr="00E4435C" w:rsidRDefault="00B561CB" w:rsidP="00286E68">
            <w:pPr>
              <w:pStyle w:val="TableText0"/>
              <w:jc w:val="center"/>
              <w:rPr>
                <w:highlight w:val="yellow"/>
                <w:vertAlign w:val="superscript"/>
              </w:rPr>
            </w:pPr>
            <w:r w:rsidRPr="004653CE">
              <w:rPr>
                <w:b/>
              </w:rPr>
              <w:t>$</w:t>
            </w:r>
            <w:r w:rsidR="004958C0" w:rsidRPr="004958C0">
              <w:rPr>
                <w:b/>
                <w:shd w:val="solid" w:color="000000" w:fill="000000"/>
                <w14:textFill>
                  <w14:solidFill>
                    <w14:srgbClr w14:val="000000">
                      <w14:alpha w14:val="100000"/>
                    </w14:srgbClr>
                  </w14:solidFill>
                </w14:textFill>
              </w:rPr>
              <w:t>|</w:t>
            </w:r>
            <w:r w:rsidR="00280243">
              <w:rPr>
                <w:b/>
                <w:vertAlign w:val="superscript"/>
              </w:rPr>
              <w:t>3</w:t>
            </w:r>
          </w:p>
        </w:tc>
        <w:tc>
          <w:tcPr>
            <w:tcW w:w="1778" w:type="pct"/>
            <w:gridSpan w:val="3"/>
            <w:vAlign w:val="center"/>
          </w:tcPr>
          <w:p w14:paraId="604A9B33" w14:textId="7FA3068C" w:rsidR="00B561CB" w:rsidRPr="004A18F4" w:rsidRDefault="00B561CB" w:rsidP="00286E68">
            <w:pPr>
              <w:pStyle w:val="TableText0"/>
              <w:jc w:val="center"/>
              <w:rPr>
                <w:highlight w:val="yellow"/>
                <w:vertAlign w:val="superscript"/>
              </w:rPr>
            </w:pPr>
            <w:r w:rsidRPr="004653CE">
              <w:rPr>
                <w:b/>
              </w:rPr>
              <w:t>$</w:t>
            </w:r>
            <w:r w:rsidR="004958C0" w:rsidRPr="004958C0">
              <w:rPr>
                <w:b/>
                <w:shd w:val="solid" w:color="000000" w:fill="000000"/>
                <w14:textFill>
                  <w14:solidFill>
                    <w14:srgbClr w14:val="000000">
                      <w14:alpha w14:val="100000"/>
                    </w14:srgbClr>
                  </w14:solidFill>
                </w14:textFill>
              </w:rPr>
              <w:t>|</w:t>
            </w:r>
            <w:r w:rsidR="00280243">
              <w:rPr>
                <w:b/>
                <w:vertAlign w:val="superscript"/>
              </w:rPr>
              <w:t>4</w:t>
            </w:r>
          </w:p>
        </w:tc>
      </w:tr>
      <w:tr w:rsidR="00B561CB" w:rsidRPr="00D11640" w14:paraId="746B6021" w14:textId="77777777" w:rsidTr="00286E68">
        <w:tc>
          <w:tcPr>
            <w:tcW w:w="5000" w:type="pct"/>
            <w:gridSpan w:val="7"/>
            <w:tcBorders>
              <w:bottom w:val="single" w:sz="4" w:space="0" w:color="auto"/>
            </w:tcBorders>
            <w:vAlign w:val="center"/>
          </w:tcPr>
          <w:p w14:paraId="5487AFAD" w14:textId="46218AE4" w:rsidR="00B561CB" w:rsidRPr="00D11640" w:rsidRDefault="00B561CB" w:rsidP="00286E68">
            <w:pPr>
              <w:pStyle w:val="TableText0"/>
              <w:rPr>
                <w:b/>
                <w:bCs w:val="0"/>
              </w:rPr>
            </w:pPr>
            <w:r w:rsidRPr="00D11640">
              <w:rPr>
                <w:b/>
                <w:bCs w:val="0"/>
              </w:rPr>
              <w:t xml:space="preserve">Scenario analysis (1L IFX, </w:t>
            </w:r>
            <w:r w:rsidR="00E77A69" w:rsidRPr="00E77A69">
              <w:rPr>
                <w:b/>
                <w:bCs w:val="0"/>
                <w:color w:val="000000"/>
                <w:spacing w:val="58"/>
                <w:shd w:val="solid" w:color="000000" w:fill="000000"/>
                <w:fitText w:val="360" w:id="-628921337"/>
                <w14:textFill>
                  <w14:solidFill>
                    <w14:srgbClr w14:val="000000">
                      <w14:alpha w14:val="100000"/>
                    </w14:srgbClr>
                  </w14:solidFill>
                </w14:textFill>
              </w:rPr>
              <w:t>|||</w:t>
            </w:r>
            <w:r w:rsidR="00E77A69" w:rsidRPr="00E77A69">
              <w:rPr>
                <w:b/>
                <w:bCs w:val="0"/>
                <w:color w:val="000000"/>
                <w:spacing w:val="3"/>
                <w:shd w:val="solid" w:color="000000" w:fill="000000"/>
                <w:fitText w:val="360" w:id="-628921337"/>
                <w14:textFill>
                  <w14:solidFill>
                    <w14:srgbClr w14:val="000000">
                      <w14:alpha w14:val="100000"/>
                    </w14:srgbClr>
                  </w14:solidFill>
                </w14:textFill>
              </w:rPr>
              <w:t>|</w:t>
            </w:r>
            <w:r w:rsidRPr="00D11640">
              <w:rPr>
                <w:b/>
                <w:bCs w:val="0"/>
              </w:rPr>
              <w:t xml:space="preserve">, 3L </w:t>
            </w:r>
            <w:proofErr w:type="spellStart"/>
            <w:r w:rsidRPr="00D11640">
              <w:rPr>
                <w:b/>
                <w:bCs w:val="0"/>
              </w:rPr>
              <w:t>VDZ</w:t>
            </w:r>
            <w:r w:rsidR="00BC5D51" w:rsidRPr="00D11640">
              <w:rPr>
                <w:b/>
                <w:bCs w:val="0"/>
                <w:vertAlign w:val="superscript"/>
              </w:rPr>
              <w:t>b</w:t>
            </w:r>
            <w:proofErr w:type="spellEnd"/>
            <w:r w:rsidRPr="00D11640">
              <w:rPr>
                <w:b/>
                <w:bCs w:val="0"/>
              </w:rPr>
              <w:t xml:space="preserve"> vs weighted comparator; programming error corrected)</w:t>
            </w:r>
          </w:p>
        </w:tc>
      </w:tr>
      <w:tr w:rsidR="00B561CB" w:rsidRPr="00D11640" w14:paraId="66A2BEAB" w14:textId="77777777" w:rsidTr="00286E68">
        <w:tc>
          <w:tcPr>
            <w:tcW w:w="1412" w:type="pct"/>
            <w:tcBorders>
              <w:bottom w:val="nil"/>
            </w:tcBorders>
            <w:vAlign w:val="center"/>
          </w:tcPr>
          <w:p w14:paraId="5653BB7C" w14:textId="77777777" w:rsidR="00B561CB" w:rsidRPr="00D11640" w:rsidRDefault="00B561CB" w:rsidP="00286E68">
            <w:pPr>
              <w:pStyle w:val="TableText0"/>
            </w:pPr>
            <w:r w:rsidRPr="00D11640">
              <w:t>Costs</w:t>
            </w:r>
          </w:p>
        </w:tc>
        <w:tc>
          <w:tcPr>
            <w:tcW w:w="603" w:type="pct"/>
            <w:tcBorders>
              <w:bottom w:val="nil"/>
            </w:tcBorders>
            <w:vAlign w:val="center"/>
          </w:tcPr>
          <w:p w14:paraId="654C7AA8" w14:textId="27788EC7" w:rsidR="00B561CB" w:rsidRPr="00D11640" w:rsidRDefault="00B561CB" w:rsidP="00286E68">
            <w:pPr>
              <w:pStyle w:val="TableText0"/>
              <w:jc w:val="center"/>
              <w:rPr>
                <w:rFonts w:ascii="Times" w:hAnsi="Times"/>
              </w:rPr>
            </w:pPr>
            <w:r w:rsidRPr="00D11640">
              <w:t>$</w:t>
            </w:r>
            <w:r w:rsidR="00E77A69" w:rsidRPr="00E77A69">
              <w:rPr>
                <w:color w:val="000000"/>
                <w:spacing w:val="53"/>
                <w:shd w:val="solid" w:color="000000" w:fill="000000"/>
                <w:fitText w:val="330" w:id="-628921336"/>
                <w14:textFill>
                  <w14:solidFill>
                    <w14:srgbClr w14:val="000000">
                      <w14:alpha w14:val="100000"/>
                    </w14:srgbClr>
                  </w14:solidFill>
                </w14:textFill>
              </w:rPr>
              <w:t>|||</w:t>
            </w:r>
            <w:r w:rsidR="00E77A69" w:rsidRPr="00E77A69">
              <w:rPr>
                <w:color w:val="000000"/>
                <w:spacing w:val="1"/>
                <w:shd w:val="solid" w:color="000000" w:fill="000000"/>
                <w:fitText w:val="330" w:id="-628921336"/>
                <w14:textFill>
                  <w14:solidFill>
                    <w14:srgbClr w14:val="000000">
                      <w14:alpha w14:val="100000"/>
                    </w14:srgbClr>
                  </w14:solidFill>
                </w14:textFill>
              </w:rPr>
              <w:t>|</w:t>
            </w:r>
          </w:p>
        </w:tc>
        <w:tc>
          <w:tcPr>
            <w:tcW w:w="603" w:type="pct"/>
            <w:tcBorders>
              <w:bottom w:val="nil"/>
            </w:tcBorders>
            <w:vAlign w:val="center"/>
          </w:tcPr>
          <w:p w14:paraId="420A6D7A" w14:textId="77777777" w:rsidR="00B561CB" w:rsidRPr="00D5157F" w:rsidRDefault="00B561CB" w:rsidP="00286E68">
            <w:pPr>
              <w:pStyle w:val="TableText0"/>
              <w:jc w:val="center"/>
              <w:rPr>
                <w:rFonts w:ascii="Times" w:hAnsi="Times"/>
                <w:highlight w:val="yellow"/>
              </w:rPr>
            </w:pPr>
            <w:r w:rsidRPr="004653CE">
              <w:t>$182,627</w:t>
            </w:r>
          </w:p>
        </w:tc>
        <w:tc>
          <w:tcPr>
            <w:tcW w:w="603" w:type="pct"/>
            <w:tcBorders>
              <w:bottom w:val="nil"/>
            </w:tcBorders>
            <w:vAlign w:val="center"/>
          </w:tcPr>
          <w:p w14:paraId="2516B11F" w14:textId="12148A1F" w:rsidR="00B561CB" w:rsidRPr="00D11640" w:rsidRDefault="00B561CB" w:rsidP="00286E68">
            <w:pPr>
              <w:pStyle w:val="TableText0"/>
              <w:jc w:val="center"/>
            </w:pPr>
            <w:r w:rsidRPr="00D11640">
              <w:t>$</w:t>
            </w:r>
            <w:r w:rsidR="00E77A69" w:rsidRPr="00E77A69">
              <w:rPr>
                <w:color w:val="000000"/>
                <w:spacing w:val="53"/>
                <w:shd w:val="solid" w:color="000000" w:fill="000000"/>
                <w:fitText w:val="330" w:id="-628921335"/>
                <w14:textFill>
                  <w14:solidFill>
                    <w14:srgbClr w14:val="000000">
                      <w14:alpha w14:val="100000"/>
                    </w14:srgbClr>
                  </w14:solidFill>
                </w14:textFill>
              </w:rPr>
              <w:t>|||</w:t>
            </w:r>
            <w:r w:rsidR="00E77A69" w:rsidRPr="00E77A69">
              <w:rPr>
                <w:color w:val="000000"/>
                <w:spacing w:val="1"/>
                <w:shd w:val="solid" w:color="000000" w:fill="000000"/>
                <w:fitText w:val="330" w:id="-628921335"/>
                <w14:textFill>
                  <w14:solidFill>
                    <w14:srgbClr w14:val="000000">
                      <w14:alpha w14:val="100000"/>
                    </w14:srgbClr>
                  </w14:solidFill>
                </w14:textFill>
              </w:rPr>
              <w:t>|</w:t>
            </w:r>
          </w:p>
        </w:tc>
        <w:tc>
          <w:tcPr>
            <w:tcW w:w="593" w:type="pct"/>
            <w:tcBorders>
              <w:bottom w:val="nil"/>
            </w:tcBorders>
            <w:vAlign w:val="center"/>
          </w:tcPr>
          <w:p w14:paraId="7295B6E5" w14:textId="553B3F55"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34"/>
                <w14:textFill>
                  <w14:solidFill>
                    <w14:srgbClr w14:val="000000">
                      <w14:alpha w14:val="100000"/>
                    </w14:srgbClr>
                  </w14:solidFill>
                </w14:textFill>
              </w:rPr>
              <w:t>|||</w:t>
            </w:r>
            <w:r w:rsidR="00E77A69" w:rsidRPr="00E77A69">
              <w:rPr>
                <w:color w:val="000000"/>
                <w:spacing w:val="1"/>
                <w:shd w:val="solid" w:color="000000" w:fill="000000"/>
                <w:fitText w:val="315" w:id="-628921334"/>
                <w14:textFill>
                  <w14:solidFill>
                    <w14:srgbClr w14:val="000000">
                      <w14:alpha w14:val="100000"/>
                    </w14:srgbClr>
                  </w14:solidFill>
                </w14:textFill>
              </w:rPr>
              <w:t>|</w:t>
            </w:r>
          </w:p>
        </w:tc>
        <w:tc>
          <w:tcPr>
            <w:tcW w:w="593" w:type="pct"/>
            <w:tcBorders>
              <w:bottom w:val="nil"/>
            </w:tcBorders>
            <w:vAlign w:val="center"/>
          </w:tcPr>
          <w:p w14:paraId="749657B7" w14:textId="77777777" w:rsidR="00B561CB" w:rsidRPr="00D5157F" w:rsidRDefault="00B561CB" w:rsidP="00286E68">
            <w:pPr>
              <w:pStyle w:val="TableText0"/>
              <w:jc w:val="center"/>
              <w:rPr>
                <w:highlight w:val="yellow"/>
              </w:rPr>
            </w:pPr>
            <w:r w:rsidRPr="004653CE">
              <w:t>$182,627</w:t>
            </w:r>
          </w:p>
        </w:tc>
        <w:tc>
          <w:tcPr>
            <w:tcW w:w="593" w:type="pct"/>
            <w:tcBorders>
              <w:bottom w:val="nil"/>
            </w:tcBorders>
            <w:vAlign w:val="center"/>
          </w:tcPr>
          <w:p w14:paraId="46AFF04E" w14:textId="148F6DFC"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33"/>
                <w14:textFill>
                  <w14:solidFill>
                    <w14:srgbClr w14:val="000000">
                      <w14:alpha w14:val="100000"/>
                    </w14:srgbClr>
                  </w14:solidFill>
                </w14:textFill>
              </w:rPr>
              <w:t>|||</w:t>
            </w:r>
            <w:r w:rsidR="00E77A69" w:rsidRPr="00E77A69">
              <w:rPr>
                <w:color w:val="000000"/>
                <w:spacing w:val="1"/>
                <w:shd w:val="solid" w:color="000000" w:fill="000000"/>
                <w:fitText w:val="315" w:id="-628921333"/>
                <w14:textFill>
                  <w14:solidFill>
                    <w14:srgbClr w14:val="000000">
                      <w14:alpha w14:val="100000"/>
                    </w14:srgbClr>
                  </w14:solidFill>
                </w14:textFill>
              </w:rPr>
              <w:t>|</w:t>
            </w:r>
          </w:p>
        </w:tc>
      </w:tr>
      <w:tr w:rsidR="00B561CB" w:rsidRPr="00D11640" w14:paraId="29E2AE99" w14:textId="77777777" w:rsidTr="00286E68">
        <w:tc>
          <w:tcPr>
            <w:tcW w:w="1412" w:type="pct"/>
            <w:tcBorders>
              <w:top w:val="nil"/>
              <w:bottom w:val="nil"/>
            </w:tcBorders>
            <w:vAlign w:val="center"/>
          </w:tcPr>
          <w:p w14:paraId="0C799A43" w14:textId="77777777" w:rsidR="00B561CB" w:rsidRPr="00D11640" w:rsidRDefault="00B561CB" w:rsidP="00286E68">
            <w:pPr>
              <w:pStyle w:val="TableText0"/>
            </w:pPr>
            <w:r w:rsidRPr="00D11640">
              <w:t>QALYs</w:t>
            </w:r>
          </w:p>
        </w:tc>
        <w:tc>
          <w:tcPr>
            <w:tcW w:w="603" w:type="pct"/>
            <w:tcBorders>
              <w:top w:val="nil"/>
            </w:tcBorders>
            <w:vAlign w:val="center"/>
          </w:tcPr>
          <w:p w14:paraId="301FC4A6" w14:textId="77777777" w:rsidR="00B561CB" w:rsidRPr="00D11640" w:rsidRDefault="00B561CB" w:rsidP="00286E68">
            <w:pPr>
              <w:pStyle w:val="TableText0"/>
              <w:jc w:val="center"/>
              <w:rPr>
                <w:rFonts w:ascii="Times" w:hAnsi="Times"/>
              </w:rPr>
            </w:pPr>
            <w:r w:rsidRPr="00D11640">
              <w:t>4.160</w:t>
            </w:r>
          </w:p>
        </w:tc>
        <w:tc>
          <w:tcPr>
            <w:tcW w:w="603" w:type="pct"/>
            <w:tcBorders>
              <w:top w:val="nil"/>
            </w:tcBorders>
            <w:vAlign w:val="center"/>
          </w:tcPr>
          <w:p w14:paraId="4DC7D2A5" w14:textId="77777777" w:rsidR="00B561CB" w:rsidRPr="00D11640" w:rsidRDefault="00B561CB" w:rsidP="00286E68">
            <w:pPr>
              <w:pStyle w:val="TableText0"/>
              <w:jc w:val="center"/>
              <w:rPr>
                <w:rFonts w:ascii="Times" w:hAnsi="Times"/>
              </w:rPr>
            </w:pPr>
            <w:r w:rsidRPr="00D11640">
              <w:t>4.095</w:t>
            </w:r>
          </w:p>
        </w:tc>
        <w:tc>
          <w:tcPr>
            <w:tcW w:w="603" w:type="pct"/>
            <w:tcBorders>
              <w:top w:val="nil"/>
            </w:tcBorders>
            <w:vAlign w:val="center"/>
          </w:tcPr>
          <w:p w14:paraId="05E8E294" w14:textId="248B7CCD" w:rsidR="00B561CB" w:rsidRPr="00D11640" w:rsidRDefault="00B561CB" w:rsidP="00286E68">
            <w:pPr>
              <w:pStyle w:val="TableText0"/>
              <w:jc w:val="center"/>
            </w:pPr>
            <w:r w:rsidRPr="00D11640">
              <w:t>0.065</w:t>
            </w:r>
          </w:p>
        </w:tc>
        <w:tc>
          <w:tcPr>
            <w:tcW w:w="593" w:type="pct"/>
            <w:tcBorders>
              <w:top w:val="nil"/>
            </w:tcBorders>
            <w:vAlign w:val="center"/>
          </w:tcPr>
          <w:p w14:paraId="52490B0D" w14:textId="79F940D3" w:rsidR="00B561CB" w:rsidRPr="00D11640" w:rsidRDefault="00B561CB" w:rsidP="00286E68">
            <w:pPr>
              <w:pStyle w:val="TableText0"/>
              <w:jc w:val="center"/>
            </w:pPr>
            <w:r w:rsidRPr="00D11640">
              <w:t>4.</w:t>
            </w:r>
            <w:r w:rsidR="0046126C" w:rsidRPr="00D11640">
              <w:t>208</w:t>
            </w:r>
          </w:p>
        </w:tc>
        <w:tc>
          <w:tcPr>
            <w:tcW w:w="593" w:type="pct"/>
            <w:tcBorders>
              <w:top w:val="nil"/>
            </w:tcBorders>
            <w:vAlign w:val="center"/>
          </w:tcPr>
          <w:p w14:paraId="5739CFE8" w14:textId="77777777" w:rsidR="00B561CB" w:rsidRPr="00D11640" w:rsidRDefault="00B561CB" w:rsidP="00286E68">
            <w:pPr>
              <w:pStyle w:val="TableText0"/>
              <w:jc w:val="center"/>
            </w:pPr>
            <w:r w:rsidRPr="00D11640">
              <w:t>4.095</w:t>
            </w:r>
          </w:p>
        </w:tc>
        <w:tc>
          <w:tcPr>
            <w:tcW w:w="593" w:type="pct"/>
            <w:tcBorders>
              <w:top w:val="nil"/>
            </w:tcBorders>
            <w:vAlign w:val="center"/>
          </w:tcPr>
          <w:p w14:paraId="5FE9DD7B" w14:textId="77777777" w:rsidR="00B561CB" w:rsidRPr="00D11640" w:rsidRDefault="00B561CB" w:rsidP="00286E68">
            <w:pPr>
              <w:pStyle w:val="TableText0"/>
              <w:jc w:val="center"/>
            </w:pPr>
            <w:r w:rsidRPr="00D11640">
              <w:t>0.113</w:t>
            </w:r>
          </w:p>
        </w:tc>
      </w:tr>
      <w:tr w:rsidR="00B561CB" w:rsidRPr="00D11640" w14:paraId="0A635224" w14:textId="77777777" w:rsidTr="00CA7ED5">
        <w:tc>
          <w:tcPr>
            <w:tcW w:w="1412" w:type="pct"/>
            <w:tcBorders>
              <w:top w:val="nil"/>
            </w:tcBorders>
            <w:vAlign w:val="center"/>
          </w:tcPr>
          <w:p w14:paraId="7850E12C" w14:textId="77777777" w:rsidR="00B561CB" w:rsidRPr="00D11640" w:rsidRDefault="00B561CB" w:rsidP="00286E68">
            <w:pPr>
              <w:pStyle w:val="TableText0"/>
            </w:pPr>
            <w:r w:rsidRPr="00D11640">
              <w:rPr>
                <w:bCs w:val="0"/>
              </w:rPr>
              <w:t>Incremental cost/QALY gained</w:t>
            </w:r>
          </w:p>
        </w:tc>
        <w:tc>
          <w:tcPr>
            <w:tcW w:w="1809" w:type="pct"/>
            <w:gridSpan w:val="3"/>
            <w:vAlign w:val="center"/>
          </w:tcPr>
          <w:p w14:paraId="51DB3AA9" w14:textId="0BDC32F3" w:rsidR="00B561CB" w:rsidRPr="007D2407" w:rsidRDefault="00B561CB" w:rsidP="00286E68">
            <w:pPr>
              <w:pStyle w:val="TableText0"/>
              <w:jc w:val="center"/>
              <w:rPr>
                <w:highlight w:val="yellow"/>
                <w:vertAlign w:val="superscript"/>
              </w:rPr>
            </w:pPr>
            <w:r w:rsidRPr="004653CE">
              <w:rPr>
                <w:b/>
              </w:rPr>
              <w:t>$</w:t>
            </w:r>
            <w:r w:rsidR="004958C0" w:rsidRPr="004958C0">
              <w:rPr>
                <w:b/>
                <w:shd w:val="solid" w:color="000000" w:fill="000000"/>
                <w14:textFill>
                  <w14:solidFill>
                    <w14:srgbClr w14:val="000000">
                      <w14:alpha w14:val="100000"/>
                    </w14:srgbClr>
                  </w14:solidFill>
                </w14:textFill>
              </w:rPr>
              <w:t>|</w:t>
            </w:r>
            <w:r w:rsidR="00280243">
              <w:rPr>
                <w:b/>
                <w:vertAlign w:val="superscript"/>
              </w:rPr>
              <w:t>5</w:t>
            </w:r>
          </w:p>
        </w:tc>
        <w:tc>
          <w:tcPr>
            <w:tcW w:w="1778" w:type="pct"/>
            <w:gridSpan w:val="3"/>
            <w:vAlign w:val="center"/>
          </w:tcPr>
          <w:p w14:paraId="626651F7" w14:textId="06E21571" w:rsidR="00B561CB" w:rsidRPr="007D2407" w:rsidRDefault="00B561CB" w:rsidP="00286E68">
            <w:pPr>
              <w:pStyle w:val="TableText0"/>
              <w:jc w:val="center"/>
              <w:rPr>
                <w:highlight w:val="yellow"/>
                <w:vertAlign w:val="superscript"/>
              </w:rPr>
            </w:pPr>
            <w:r w:rsidRPr="004653CE">
              <w:rPr>
                <w:b/>
              </w:rPr>
              <w:t>$</w:t>
            </w:r>
            <w:r w:rsidR="004958C0" w:rsidRPr="004958C0">
              <w:rPr>
                <w:b/>
                <w:shd w:val="solid" w:color="000000" w:fill="000000"/>
                <w14:textFill>
                  <w14:solidFill>
                    <w14:srgbClr w14:val="000000">
                      <w14:alpha w14:val="100000"/>
                    </w14:srgbClr>
                  </w14:solidFill>
                </w14:textFill>
              </w:rPr>
              <w:t>|</w:t>
            </w:r>
            <w:r w:rsidR="00280243">
              <w:rPr>
                <w:b/>
                <w:vertAlign w:val="superscript"/>
              </w:rPr>
              <w:t>6</w:t>
            </w:r>
          </w:p>
        </w:tc>
      </w:tr>
      <w:tr w:rsidR="00B561CB" w:rsidRPr="00D11640" w14:paraId="4A8DAA77" w14:textId="77777777" w:rsidTr="00286E68">
        <w:tc>
          <w:tcPr>
            <w:tcW w:w="5000" w:type="pct"/>
            <w:gridSpan w:val="7"/>
            <w:tcBorders>
              <w:bottom w:val="single" w:sz="4" w:space="0" w:color="auto"/>
            </w:tcBorders>
            <w:vAlign w:val="center"/>
          </w:tcPr>
          <w:p w14:paraId="1F52E7A7" w14:textId="39B943C8" w:rsidR="00B561CB" w:rsidRPr="00D11640" w:rsidRDefault="00B561CB" w:rsidP="00286E68">
            <w:pPr>
              <w:pStyle w:val="TableText0"/>
            </w:pPr>
            <w:r w:rsidRPr="00D11640">
              <w:rPr>
                <w:b/>
                <w:bCs w:val="0"/>
              </w:rPr>
              <w:t xml:space="preserve">Scenario analysis (1L IFX, 2L </w:t>
            </w:r>
            <w:proofErr w:type="spellStart"/>
            <w:r w:rsidRPr="00D11640">
              <w:rPr>
                <w:b/>
                <w:bCs w:val="0"/>
              </w:rPr>
              <w:t>VDZ</w:t>
            </w:r>
            <w:r w:rsidR="00BC5D51" w:rsidRPr="00D11640">
              <w:rPr>
                <w:b/>
                <w:bCs w:val="0"/>
                <w:vertAlign w:val="superscript"/>
              </w:rPr>
              <w:t>b</w:t>
            </w:r>
            <w:proofErr w:type="spellEnd"/>
            <w:r w:rsidRPr="00D11640">
              <w:rPr>
                <w:b/>
                <w:bCs w:val="0"/>
              </w:rPr>
              <w:t xml:space="preserve">, </w:t>
            </w:r>
            <w:r w:rsidR="00E77A69" w:rsidRPr="00E77A69">
              <w:rPr>
                <w:b/>
                <w:bCs w:val="0"/>
                <w:color w:val="000000"/>
                <w:spacing w:val="58"/>
                <w:shd w:val="solid" w:color="000000" w:fill="000000"/>
                <w:fitText w:val="360" w:id="-628921332"/>
                <w14:textFill>
                  <w14:solidFill>
                    <w14:srgbClr w14:val="000000">
                      <w14:alpha w14:val="100000"/>
                    </w14:srgbClr>
                  </w14:solidFill>
                </w14:textFill>
              </w:rPr>
              <w:t>|||</w:t>
            </w:r>
            <w:r w:rsidR="00E77A69" w:rsidRPr="00E77A69">
              <w:rPr>
                <w:b/>
                <w:bCs w:val="0"/>
                <w:color w:val="000000"/>
                <w:spacing w:val="3"/>
                <w:shd w:val="solid" w:color="000000" w:fill="000000"/>
                <w:fitText w:val="360" w:id="-628921332"/>
                <w14:textFill>
                  <w14:solidFill>
                    <w14:srgbClr w14:val="000000">
                      <w14:alpha w14:val="100000"/>
                    </w14:srgbClr>
                  </w14:solidFill>
                </w14:textFill>
              </w:rPr>
              <w:t>|</w:t>
            </w:r>
            <w:r w:rsidRPr="00D11640">
              <w:rPr>
                <w:b/>
                <w:bCs w:val="0"/>
              </w:rPr>
              <w:t xml:space="preserve"> vs weighted comparator; programming error corrected)</w:t>
            </w:r>
          </w:p>
        </w:tc>
      </w:tr>
      <w:tr w:rsidR="00B561CB" w:rsidRPr="00D11640" w14:paraId="0371A7D3" w14:textId="77777777" w:rsidTr="00286E68">
        <w:tc>
          <w:tcPr>
            <w:tcW w:w="1412" w:type="pct"/>
            <w:tcBorders>
              <w:bottom w:val="nil"/>
            </w:tcBorders>
            <w:vAlign w:val="center"/>
          </w:tcPr>
          <w:p w14:paraId="37D164EF" w14:textId="77777777" w:rsidR="00B561CB" w:rsidRPr="00D11640" w:rsidRDefault="00B561CB" w:rsidP="00286E68">
            <w:pPr>
              <w:pStyle w:val="TableText0"/>
            </w:pPr>
            <w:r w:rsidRPr="00D11640">
              <w:t>Costs</w:t>
            </w:r>
          </w:p>
        </w:tc>
        <w:tc>
          <w:tcPr>
            <w:tcW w:w="603" w:type="pct"/>
            <w:tcBorders>
              <w:bottom w:val="nil"/>
            </w:tcBorders>
            <w:vAlign w:val="center"/>
          </w:tcPr>
          <w:p w14:paraId="7719E629" w14:textId="6C710683" w:rsidR="00B561CB" w:rsidRPr="00D11640" w:rsidRDefault="00B561CB" w:rsidP="00286E68">
            <w:pPr>
              <w:pStyle w:val="TableText0"/>
              <w:jc w:val="center"/>
              <w:rPr>
                <w:rFonts w:ascii="Times" w:hAnsi="Times"/>
              </w:rPr>
            </w:pPr>
            <w:r w:rsidRPr="00D11640">
              <w:t>$</w:t>
            </w:r>
            <w:r w:rsidR="00E77A69" w:rsidRPr="00E77A69">
              <w:rPr>
                <w:color w:val="000000"/>
                <w:spacing w:val="53"/>
                <w:shd w:val="solid" w:color="000000" w:fill="000000"/>
                <w:fitText w:val="330" w:id="-628921331"/>
                <w14:textFill>
                  <w14:solidFill>
                    <w14:srgbClr w14:val="000000">
                      <w14:alpha w14:val="100000"/>
                    </w14:srgbClr>
                  </w14:solidFill>
                </w14:textFill>
              </w:rPr>
              <w:t>|||</w:t>
            </w:r>
            <w:r w:rsidR="00E77A69" w:rsidRPr="00E77A69">
              <w:rPr>
                <w:color w:val="000000"/>
                <w:spacing w:val="1"/>
                <w:shd w:val="solid" w:color="000000" w:fill="000000"/>
                <w:fitText w:val="330" w:id="-628921331"/>
                <w14:textFill>
                  <w14:solidFill>
                    <w14:srgbClr w14:val="000000">
                      <w14:alpha w14:val="100000"/>
                    </w14:srgbClr>
                  </w14:solidFill>
                </w14:textFill>
              </w:rPr>
              <w:t>|</w:t>
            </w:r>
          </w:p>
        </w:tc>
        <w:tc>
          <w:tcPr>
            <w:tcW w:w="603" w:type="pct"/>
            <w:tcBorders>
              <w:bottom w:val="nil"/>
            </w:tcBorders>
            <w:vAlign w:val="center"/>
          </w:tcPr>
          <w:p w14:paraId="379F9BB8" w14:textId="77777777" w:rsidR="00B561CB" w:rsidRPr="004653CE" w:rsidRDefault="00B561CB" w:rsidP="00286E68">
            <w:pPr>
              <w:pStyle w:val="TableText0"/>
              <w:jc w:val="center"/>
              <w:rPr>
                <w:rFonts w:ascii="Times" w:hAnsi="Times"/>
              </w:rPr>
            </w:pPr>
            <w:r w:rsidRPr="004653CE">
              <w:t>$182,627</w:t>
            </w:r>
          </w:p>
        </w:tc>
        <w:tc>
          <w:tcPr>
            <w:tcW w:w="603" w:type="pct"/>
            <w:tcBorders>
              <w:bottom w:val="nil"/>
            </w:tcBorders>
            <w:vAlign w:val="center"/>
          </w:tcPr>
          <w:p w14:paraId="0125C02F" w14:textId="669679E7" w:rsidR="00B561CB" w:rsidRPr="00D11640" w:rsidRDefault="00B561CB" w:rsidP="00286E68">
            <w:pPr>
              <w:pStyle w:val="TableText0"/>
              <w:jc w:val="center"/>
            </w:pPr>
            <w:r w:rsidRPr="00D11640">
              <w:t>$</w:t>
            </w:r>
            <w:r w:rsidR="00E77A69" w:rsidRPr="00E77A69">
              <w:rPr>
                <w:color w:val="000000"/>
                <w:spacing w:val="53"/>
                <w:shd w:val="solid" w:color="000000" w:fill="000000"/>
                <w:fitText w:val="330" w:id="-628921330"/>
                <w14:textFill>
                  <w14:solidFill>
                    <w14:srgbClr w14:val="000000">
                      <w14:alpha w14:val="100000"/>
                    </w14:srgbClr>
                  </w14:solidFill>
                </w14:textFill>
              </w:rPr>
              <w:t>|||</w:t>
            </w:r>
            <w:r w:rsidR="00E77A69" w:rsidRPr="00E77A69">
              <w:rPr>
                <w:color w:val="000000"/>
                <w:spacing w:val="1"/>
                <w:shd w:val="solid" w:color="000000" w:fill="000000"/>
                <w:fitText w:val="330" w:id="-628921330"/>
                <w14:textFill>
                  <w14:solidFill>
                    <w14:srgbClr w14:val="000000">
                      <w14:alpha w14:val="100000"/>
                    </w14:srgbClr>
                  </w14:solidFill>
                </w14:textFill>
              </w:rPr>
              <w:t>|</w:t>
            </w:r>
          </w:p>
        </w:tc>
        <w:tc>
          <w:tcPr>
            <w:tcW w:w="593" w:type="pct"/>
            <w:tcBorders>
              <w:bottom w:val="nil"/>
            </w:tcBorders>
            <w:vAlign w:val="center"/>
          </w:tcPr>
          <w:p w14:paraId="204A727D" w14:textId="66BD8F0C"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29"/>
                <w14:textFill>
                  <w14:solidFill>
                    <w14:srgbClr w14:val="000000">
                      <w14:alpha w14:val="100000"/>
                    </w14:srgbClr>
                  </w14:solidFill>
                </w14:textFill>
              </w:rPr>
              <w:t>|||</w:t>
            </w:r>
            <w:r w:rsidR="00E77A69" w:rsidRPr="00E77A69">
              <w:rPr>
                <w:color w:val="000000"/>
                <w:spacing w:val="1"/>
                <w:shd w:val="solid" w:color="000000" w:fill="000000"/>
                <w:fitText w:val="315" w:id="-628921329"/>
                <w14:textFill>
                  <w14:solidFill>
                    <w14:srgbClr w14:val="000000">
                      <w14:alpha w14:val="100000"/>
                    </w14:srgbClr>
                  </w14:solidFill>
                </w14:textFill>
              </w:rPr>
              <w:t>|</w:t>
            </w:r>
          </w:p>
        </w:tc>
        <w:tc>
          <w:tcPr>
            <w:tcW w:w="593" w:type="pct"/>
            <w:tcBorders>
              <w:bottom w:val="nil"/>
            </w:tcBorders>
            <w:vAlign w:val="center"/>
          </w:tcPr>
          <w:p w14:paraId="6316EDB7" w14:textId="77777777" w:rsidR="00B561CB" w:rsidRPr="00D5157F" w:rsidRDefault="00B561CB" w:rsidP="00286E68">
            <w:pPr>
              <w:pStyle w:val="TableText0"/>
              <w:jc w:val="center"/>
              <w:rPr>
                <w:highlight w:val="yellow"/>
              </w:rPr>
            </w:pPr>
            <w:r w:rsidRPr="004653CE">
              <w:t>$182,627</w:t>
            </w:r>
          </w:p>
        </w:tc>
        <w:tc>
          <w:tcPr>
            <w:tcW w:w="593" w:type="pct"/>
            <w:tcBorders>
              <w:bottom w:val="nil"/>
            </w:tcBorders>
            <w:vAlign w:val="center"/>
          </w:tcPr>
          <w:p w14:paraId="01AA75B1" w14:textId="53AAEA42"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28"/>
                <w14:textFill>
                  <w14:solidFill>
                    <w14:srgbClr w14:val="000000">
                      <w14:alpha w14:val="100000"/>
                    </w14:srgbClr>
                  </w14:solidFill>
                </w14:textFill>
              </w:rPr>
              <w:t>|||</w:t>
            </w:r>
            <w:r w:rsidR="00E77A69" w:rsidRPr="00E77A69">
              <w:rPr>
                <w:color w:val="000000"/>
                <w:spacing w:val="1"/>
                <w:shd w:val="solid" w:color="000000" w:fill="000000"/>
                <w:fitText w:val="315" w:id="-628921328"/>
                <w14:textFill>
                  <w14:solidFill>
                    <w14:srgbClr w14:val="000000">
                      <w14:alpha w14:val="100000"/>
                    </w14:srgbClr>
                  </w14:solidFill>
                </w14:textFill>
              </w:rPr>
              <w:t>|</w:t>
            </w:r>
          </w:p>
        </w:tc>
      </w:tr>
      <w:tr w:rsidR="00B561CB" w:rsidRPr="00D11640" w14:paraId="51E566E8" w14:textId="77777777" w:rsidTr="00286E68">
        <w:tc>
          <w:tcPr>
            <w:tcW w:w="1412" w:type="pct"/>
            <w:tcBorders>
              <w:top w:val="nil"/>
              <w:bottom w:val="nil"/>
            </w:tcBorders>
            <w:vAlign w:val="center"/>
          </w:tcPr>
          <w:p w14:paraId="3A3FF6B0" w14:textId="77777777" w:rsidR="00B561CB" w:rsidRPr="00D11640" w:rsidRDefault="00B561CB" w:rsidP="00286E68">
            <w:pPr>
              <w:pStyle w:val="TableText0"/>
            </w:pPr>
            <w:r w:rsidRPr="00D11640">
              <w:t>QALYs</w:t>
            </w:r>
          </w:p>
        </w:tc>
        <w:tc>
          <w:tcPr>
            <w:tcW w:w="603" w:type="pct"/>
            <w:tcBorders>
              <w:top w:val="nil"/>
            </w:tcBorders>
            <w:vAlign w:val="center"/>
          </w:tcPr>
          <w:p w14:paraId="42E78EC7" w14:textId="77777777" w:rsidR="00B561CB" w:rsidRPr="00D11640" w:rsidRDefault="00B561CB" w:rsidP="00286E68">
            <w:pPr>
              <w:pStyle w:val="TableText0"/>
              <w:jc w:val="center"/>
              <w:rPr>
                <w:rFonts w:ascii="Times" w:hAnsi="Times"/>
              </w:rPr>
            </w:pPr>
            <w:r w:rsidRPr="00D11640">
              <w:t>4.108</w:t>
            </w:r>
          </w:p>
        </w:tc>
        <w:tc>
          <w:tcPr>
            <w:tcW w:w="603" w:type="pct"/>
            <w:tcBorders>
              <w:top w:val="nil"/>
            </w:tcBorders>
            <w:vAlign w:val="center"/>
          </w:tcPr>
          <w:p w14:paraId="485D3279" w14:textId="77777777" w:rsidR="00B561CB" w:rsidRPr="004653CE" w:rsidRDefault="00B561CB" w:rsidP="00286E68">
            <w:pPr>
              <w:pStyle w:val="TableText0"/>
              <w:jc w:val="center"/>
              <w:rPr>
                <w:rFonts w:ascii="Times" w:hAnsi="Times"/>
              </w:rPr>
            </w:pPr>
            <w:r w:rsidRPr="004653CE">
              <w:t>4.095</w:t>
            </w:r>
          </w:p>
        </w:tc>
        <w:tc>
          <w:tcPr>
            <w:tcW w:w="603" w:type="pct"/>
            <w:tcBorders>
              <w:top w:val="nil"/>
            </w:tcBorders>
            <w:vAlign w:val="center"/>
          </w:tcPr>
          <w:p w14:paraId="3A661F0E" w14:textId="77777777" w:rsidR="00B561CB" w:rsidRPr="00D11640" w:rsidRDefault="00B561CB" w:rsidP="00286E68">
            <w:pPr>
              <w:pStyle w:val="TableText0"/>
              <w:jc w:val="center"/>
            </w:pPr>
            <w:r w:rsidRPr="00D11640">
              <w:t>0.012</w:t>
            </w:r>
          </w:p>
        </w:tc>
        <w:tc>
          <w:tcPr>
            <w:tcW w:w="593" w:type="pct"/>
            <w:tcBorders>
              <w:top w:val="nil"/>
            </w:tcBorders>
            <w:vAlign w:val="center"/>
          </w:tcPr>
          <w:p w14:paraId="7AC2206B" w14:textId="77777777" w:rsidR="00B561CB" w:rsidRPr="00D11640" w:rsidRDefault="00B561CB" w:rsidP="00286E68">
            <w:pPr>
              <w:pStyle w:val="TableText0"/>
              <w:jc w:val="center"/>
            </w:pPr>
            <w:r w:rsidRPr="00D11640">
              <w:t>4.147</w:t>
            </w:r>
          </w:p>
        </w:tc>
        <w:tc>
          <w:tcPr>
            <w:tcW w:w="593" w:type="pct"/>
            <w:tcBorders>
              <w:top w:val="nil"/>
            </w:tcBorders>
            <w:vAlign w:val="center"/>
          </w:tcPr>
          <w:p w14:paraId="04629BE4" w14:textId="77777777" w:rsidR="00B561CB" w:rsidRPr="00D11640" w:rsidRDefault="00B561CB" w:rsidP="00286E68">
            <w:pPr>
              <w:pStyle w:val="TableText0"/>
              <w:jc w:val="center"/>
            </w:pPr>
            <w:r w:rsidRPr="00D11640">
              <w:t>4.095</w:t>
            </w:r>
          </w:p>
        </w:tc>
        <w:tc>
          <w:tcPr>
            <w:tcW w:w="593" w:type="pct"/>
            <w:tcBorders>
              <w:top w:val="nil"/>
            </w:tcBorders>
            <w:vAlign w:val="center"/>
          </w:tcPr>
          <w:p w14:paraId="56032669" w14:textId="77777777" w:rsidR="00B561CB" w:rsidRPr="00D11640" w:rsidRDefault="00B561CB" w:rsidP="00286E68">
            <w:pPr>
              <w:pStyle w:val="TableText0"/>
              <w:jc w:val="center"/>
            </w:pPr>
            <w:r w:rsidRPr="00D11640">
              <w:t>0.051</w:t>
            </w:r>
          </w:p>
        </w:tc>
      </w:tr>
      <w:tr w:rsidR="00B561CB" w:rsidRPr="00D11640" w14:paraId="67D622D2" w14:textId="77777777" w:rsidTr="00CA7ED5">
        <w:tc>
          <w:tcPr>
            <w:tcW w:w="1412" w:type="pct"/>
            <w:tcBorders>
              <w:top w:val="nil"/>
            </w:tcBorders>
            <w:vAlign w:val="center"/>
          </w:tcPr>
          <w:p w14:paraId="68A9A72C" w14:textId="77777777" w:rsidR="00B561CB" w:rsidRPr="00D11640" w:rsidRDefault="00B561CB" w:rsidP="00286E68">
            <w:pPr>
              <w:pStyle w:val="TableText0"/>
            </w:pPr>
            <w:r w:rsidRPr="00D11640">
              <w:rPr>
                <w:bCs w:val="0"/>
              </w:rPr>
              <w:t>Incremental cost/QALY gained</w:t>
            </w:r>
          </w:p>
        </w:tc>
        <w:tc>
          <w:tcPr>
            <w:tcW w:w="1809" w:type="pct"/>
            <w:gridSpan w:val="3"/>
            <w:vAlign w:val="center"/>
          </w:tcPr>
          <w:p w14:paraId="4F7F3B78" w14:textId="2EDAD21A" w:rsidR="00B561CB" w:rsidRPr="007B4A7F" w:rsidRDefault="00B561CB" w:rsidP="00286E68">
            <w:pPr>
              <w:pStyle w:val="TableText0"/>
              <w:jc w:val="center"/>
              <w:rPr>
                <w:highlight w:val="yellow"/>
                <w:vertAlign w:val="superscript"/>
              </w:rPr>
            </w:pPr>
            <w:r w:rsidRPr="004653CE">
              <w:rPr>
                <w:b/>
              </w:rPr>
              <w:t>$</w:t>
            </w:r>
            <w:r w:rsidR="007B4A7F" w:rsidRPr="007B4A7F">
              <w:rPr>
                <w:b/>
                <w:color w:val="000000"/>
                <w:spacing w:val="45"/>
                <w:shd w:val="solid" w:color="000000" w:fill="000000"/>
                <w:fitText w:val="501" w:id="-623644160"/>
                <w14:textFill>
                  <w14:solidFill>
                    <w14:srgbClr w14:val="000000">
                      <w14:alpha w14:val="100000"/>
                    </w14:srgbClr>
                  </w14:solidFill>
                </w14:textFill>
              </w:rPr>
              <w:t>|||||</w:t>
            </w:r>
            <w:r w:rsidR="007B4A7F" w:rsidRPr="007B4A7F">
              <w:rPr>
                <w:b/>
                <w:color w:val="000000"/>
                <w:spacing w:val="1"/>
                <w:shd w:val="solid" w:color="000000" w:fill="000000"/>
                <w:fitText w:val="501" w:id="-623644160"/>
                <w14:textFill>
                  <w14:solidFill>
                    <w14:srgbClr w14:val="000000">
                      <w14:alpha w14:val="100000"/>
                    </w14:srgbClr>
                  </w14:solidFill>
                </w14:textFill>
              </w:rPr>
              <w:t>|</w:t>
            </w:r>
            <w:r w:rsidR="00280243">
              <w:rPr>
                <w:b/>
                <w:vertAlign w:val="superscript"/>
              </w:rPr>
              <w:t>7</w:t>
            </w:r>
          </w:p>
        </w:tc>
        <w:tc>
          <w:tcPr>
            <w:tcW w:w="1778" w:type="pct"/>
            <w:gridSpan w:val="3"/>
            <w:vAlign w:val="center"/>
          </w:tcPr>
          <w:p w14:paraId="5F19476E" w14:textId="4E2BA9E7" w:rsidR="00B561CB" w:rsidRPr="002D726B" w:rsidRDefault="00B561CB" w:rsidP="00286E68">
            <w:pPr>
              <w:pStyle w:val="TableText0"/>
              <w:jc w:val="center"/>
              <w:rPr>
                <w:highlight w:val="yellow"/>
                <w:vertAlign w:val="superscript"/>
              </w:rPr>
            </w:pPr>
            <w:r w:rsidRPr="004653CE">
              <w:rPr>
                <w:b/>
              </w:rPr>
              <w:t>$</w:t>
            </w:r>
            <w:r w:rsidR="002D726B" w:rsidRPr="007D2407">
              <w:rPr>
                <w:b/>
                <w:color w:val="000000"/>
                <w:spacing w:val="45"/>
                <w:shd w:val="solid" w:color="000000" w:fill="000000"/>
                <w:fitText w:val="501" w:id="-623644159"/>
                <w14:textFill>
                  <w14:solidFill>
                    <w14:srgbClr w14:val="000000">
                      <w14:alpha w14:val="100000"/>
                    </w14:srgbClr>
                  </w14:solidFill>
                </w14:textFill>
              </w:rPr>
              <w:t>|||||</w:t>
            </w:r>
            <w:r w:rsidR="002D726B" w:rsidRPr="007D2407">
              <w:rPr>
                <w:b/>
                <w:color w:val="000000"/>
                <w:spacing w:val="1"/>
                <w:shd w:val="solid" w:color="000000" w:fill="000000"/>
                <w:fitText w:val="501" w:id="-623644159"/>
                <w14:textFill>
                  <w14:solidFill>
                    <w14:srgbClr w14:val="000000">
                      <w14:alpha w14:val="100000"/>
                    </w14:srgbClr>
                  </w14:solidFill>
                </w14:textFill>
              </w:rPr>
              <w:t>|</w:t>
            </w:r>
            <w:r w:rsidR="004958C0">
              <w:rPr>
                <w:b/>
                <w:vertAlign w:val="superscript"/>
              </w:rPr>
              <w:t>5</w:t>
            </w:r>
          </w:p>
        </w:tc>
      </w:tr>
    </w:tbl>
    <w:p w14:paraId="1D02C6A8" w14:textId="77777777" w:rsidR="00B561CB" w:rsidRDefault="00B561CB" w:rsidP="00B561CB">
      <w:pPr>
        <w:rPr>
          <w:rFonts w:ascii="Arial Narrow" w:hAnsi="Arial Narrow"/>
          <w:sz w:val="18"/>
          <w:szCs w:val="18"/>
        </w:rPr>
      </w:pPr>
      <w:r w:rsidRPr="00FB54D3">
        <w:rPr>
          <w:rFonts w:ascii="Arial Narrow" w:hAnsi="Arial Narrow"/>
          <w:sz w:val="18"/>
          <w:szCs w:val="18"/>
        </w:rPr>
        <w:t>Source: Table 2.38, pp405-406 of the submission</w:t>
      </w:r>
      <w:r>
        <w:rPr>
          <w:rFonts w:ascii="Arial Narrow" w:hAnsi="Arial Narrow"/>
          <w:sz w:val="18"/>
          <w:szCs w:val="18"/>
        </w:rPr>
        <w:t xml:space="preserve"> </w:t>
      </w:r>
      <w:r w:rsidRPr="00A06EE6">
        <w:rPr>
          <w:rFonts w:ascii="Arial Narrow" w:hAnsi="Arial Narrow"/>
          <w:sz w:val="18"/>
          <w:szCs w:val="18"/>
        </w:rPr>
        <w:t>and Attachment 3.1 Guselkumab CD Economic Model.xlsx.</w:t>
      </w:r>
    </w:p>
    <w:p w14:paraId="0E8BD1E2" w14:textId="77777777" w:rsidR="00B561CB" w:rsidRDefault="00B561CB" w:rsidP="00B561CB">
      <w:pPr>
        <w:rPr>
          <w:rFonts w:ascii="Arial Narrow" w:hAnsi="Arial Narrow"/>
          <w:sz w:val="18"/>
          <w:szCs w:val="18"/>
        </w:rPr>
      </w:pPr>
      <w:r w:rsidRPr="00AF30DB">
        <w:rPr>
          <w:rFonts w:ascii="Arial Narrow" w:hAnsi="Arial Narrow"/>
          <w:sz w:val="18"/>
          <w:szCs w:val="18"/>
        </w:rPr>
        <w:t xml:space="preserve">ADA=adalimumab; </w:t>
      </w:r>
      <w:bookmarkStart w:id="57" w:name="_Hlk197706847"/>
      <w:r w:rsidRPr="00AF30DB">
        <w:rPr>
          <w:rFonts w:ascii="Arial Narrow" w:hAnsi="Arial Narrow"/>
          <w:sz w:val="18"/>
          <w:szCs w:val="18"/>
        </w:rPr>
        <w:t xml:space="preserve">GUS=guselkumab; IFX=infliximab; </w:t>
      </w:r>
      <w:bookmarkStart w:id="58" w:name="_Hlk197706862"/>
      <w:bookmarkEnd w:id="57"/>
      <w:r w:rsidRPr="00FB54D3">
        <w:rPr>
          <w:rFonts w:ascii="Arial Narrow" w:hAnsi="Arial Narrow"/>
          <w:sz w:val="18"/>
          <w:szCs w:val="18"/>
        </w:rPr>
        <w:t>QALY=Quality Adjusted Life Year</w:t>
      </w:r>
      <w:r>
        <w:rPr>
          <w:rFonts w:ascii="Arial Narrow" w:hAnsi="Arial Narrow"/>
          <w:sz w:val="18"/>
          <w:szCs w:val="18"/>
        </w:rPr>
        <w:t xml:space="preserve">; </w:t>
      </w:r>
      <w:bookmarkEnd w:id="58"/>
      <w:r w:rsidRPr="00AF30DB">
        <w:rPr>
          <w:rFonts w:ascii="Arial Narrow" w:hAnsi="Arial Narrow"/>
          <w:sz w:val="18"/>
          <w:szCs w:val="18"/>
        </w:rPr>
        <w:t xml:space="preserve">UPA=upadacitinib; </w:t>
      </w:r>
      <w:r>
        <w:rPr>
          <w:rFonts w:ascii="Arial Narrow" w:hAnsi="Arial Narrow"/>
          <w:sz w:val="18"/>
          <w:szCs w:val="18"/>
        </w:rPr>
        <w:t>UST=</w:t>
      </w:r>
      <w:r w:rsidRPr="00AF30DB">
        <w:rPr>
          <w:rFonts w:ascii="Arial Narrow" w:hAnsi="Arial Narrow"/>
          <w:sz w:val="18"/>
          <w:szCs w:val="18"/>
        </w:rPr>
        <w:t>ustekinumab</w:t>
      </w:r>
      <w:r>
        <w:rPr>
          <w:rFonts w:ascii="Arial Narrow" w:hAnsi="Arial Narrow"/>
          <w:sz w:val="18"/>
          <w:szCs w:val="18"/>
        </w:rPr>
        <w:t xml:space="preserve">; </w:t>
      </w:r>
      <w:bookmarkStart w:id="59" w:name="_Hlk197706874"/>
      <w:r w:rsidRPr="00AF30DB">
        <w:rPr>
          <w:rFonts w:ascii="Arial Narrow" w:hAnsi="Arial Narrow"/>
          <w:sz w:val="18"/>
          <w:szCs w:val="18"/>
        </w:rPr>
        <w:t>VDZ=vedolizumab</w:t>
      </w:r>
      <w:r>
        <w:rPr>
          <w:rFonts w:ascii="Arial Narrow" w:hAnsi="Arial Narrow"/>
          <w:sz w:val="18"/>
          <w:szCs w:val="18"/>
        </w:rPr>
        <w:t xml:space="preserve">; </w:t>
      </w:r>
      <w:bookmarkEnd w:id="59"/>
      <w:r>
        <w:rPr>
          <w:rFonts w:ascii="Arial Narrow" w:hAnsi="Arial Narrow"/>
          <w:sz w:val="18"/>
          <w:szCs w:val="18"/>
        </w:rPr>
        <w:t>1L</w:t>
      </w:r>
      <w:bookmarkStart w:id="60" w:name="_Hlk197706826"/>
      <w:r>
        <w:rPr>
          <w:rFonts w:ascii="Arial Narrow" w:hAnsi="Arial Narrow"/>
          <w:sz w:val="18"/>
          <w:szCs w:val="18"/>
        </w:rPr>
        <w:t>=first-line (index) treatment; 2L=second-line treatment; 3L=third-line treatment;</w:t>
      </w:r>
    </w:p>
    <w:bookmarkEnd w:id="60"/>
    <w:p w14:paraId="24FF7D15" w14:textId="0F1CC692" w:rsidR="00B561CB" w:rsidRDefault="00B561CB" w:rsidP="00B561CB">
      <w:pPr>
        <w:rPr>
          <w:rFonts w:ascii="Arial Narrow" w:hAnsi="Arial Narrow"/>
          <w:sz w:val="18"/>
          <w:szCs w:val="18"/>
        </w:rPr>
      </w:pPr>
      <w:r>
        <w:rPr>
          <w:rFonts w:ascii="Arial Narrow" w:hAnsi="Arial Narrow"/>
          <w:sz w:val="18"/>
          <w:szCs w:val="18"/>
        </w:rPr>
        <w:t>a</w:t>
      </w:r>
      <w:r>
        <w:rPr>
          <w:rFonts w:ascii="Arial Narrow" w:hAnsi="Arial Narrow"/>
          <w:sz w:val="18"/>
          <w:szCs w:val="18"/>
        </w:rPr>
        <w:tab/>
      </w:r>
      <w:r w:rsidRPr="00FB54D3">
        <w:rPr>
          <w:rFonts w:ascii="Arial Narrow" w:hAnsi="Arial Narrow"/>
          <w:sz w:val="18"/>
          <w:szCs w:val="18"/>
        </w:rPr>
        <w:t>comparators</w:t>
      </w:r>
      <w:r>
        <w:rPr>
          <w:rFonts w:ascii="Arial Narrow" w:hAnsi="Arial Narrow"/>
          <w:sz w:val="18"/>
          <w:szCs w:val="18"/>
        </w:rPr>
        <w:t xml:space="preserve"> (ADA, IFX, UPA, UST and VDZ)</w:t>
      </w:r>
      <w:r w:rsidRPr="00FB54D3">
        <w:rPr>
          <w:rFonts w:ascii="Arial Narrow" w:hAnsi="Arial Narrow"/>
          <w:sz w:val="18"/>
          <w:szCs w:val="18"/>
        </w:rPr>
        <w:t xml:space="preserve"> weighted by market share</w:t>
      </w:r>
    </w:p>
    <w:p w14:paraId="5DFA99BE" w14:textId="475A5631" w:rsidR="00BC5D51" w:rsidRDefault="00BC5D51" w:rsidP="00B561CB">
      <w:pPr>
        <w:rPr>
          <w:rFonts w:ascii="Arial Narrow" w:hAnsi="Arial Narrow"/>
          <w:sz w:val="18"/>
          <w:szCs w:val="18"/>
        </w:rPr>
      </w:pPr>
      <w:r w:rsidRPr="004653CE">
        <w:rPr>
          <w:rFonts w:ascii="Arial Narrow" w:hAnsi="Arial Narrow"/>
          <w:sz w:val="18"/>
          <w:szCs w:val="18"/>
        </w:rPr>
        <w:t>b</w:t>
      </w:r>
      <w:r w:rsidRPr="004653CE">
        <w:rPr>
          <w:rFonts w:ascii="Arial Narrow" w:hAnsi="Arial Narrow"/>
          <w:sz w:val="18"/>
          <w:szCs w:val="18"/>
        </w:rPr>
        <w:tab/>
        <w:t xml:space="preserve">The submission incorrectly </w:t>
      </w:r>
      <w:r w:rsidR="006A2925" w:rsidRPr="004653CE">
        <w:rPr>
          <w:rFonts w:ascii="Arial Narrow" w:hAnsi="Arial Narrow"/>
          <w:sz w:val="18"/>
          <w:szCs w:val="18"/>
        </w:rPr>
        <w:t xml:space="preserve">derived the </w:t>
      </w:r>
      <w:r w:rsidRPr="004653CE">
        <w:rPr>
          <w:rFonts w:ascii="Arial Narrow" w:hAnsi="Arial Narrow"/>
          <w:sz w:val="18"/>
          <w:szCs w:val="18"/>
        </w:rPr>
        <w:t xml:space="preserve">VDZ </w:t>
      </w:r>
      <w:r w:rsidR="006A2925" w:rsidRPr="004653CE">
        <w:rPr>
          <w:rFonts w:ascii="Arial Narrow" w:hAnsi="Arial Narrow"/>
          <w:sz w:val="18"/>
          <w:szCs w:val="18"/>
        </w:rPr>
        <w:t xml:space="preserve">IV unit price assuming a </w:t>
      </w:r>
      <w:r w:rsidRPr="004653CE">
        <w:rPr>
          <w:rFonts w:ascii="Arial Narrow" w:hAnsi="Arial Narrow"/>
          <w:sz w:val="18"/>
          <w:szCs w:val="18"/>
        </w:rPr>
        <w:t xml:space="preserve">pricing quantity of 2 </w:t>
      </w:r>
      <w:r w:rsidR="006A2925" w:rsidRPr="004653CE">
        <w:rPr>
          <w:rFonts w:ascii="Arial Narrow" w:hAnsi="Arial Narrow"/>
          <w:sz w:val="18"/>
          <w:szCs w:val="18"/>
        </w:rPr>
        <w:t xml:space="preserve">instead of 1 </w:t>
      </w:r>
      <w:r w:rsidRPr="004653CE">
        <w:rPr>
          <w:rFonts w:ascii="Arial Narrow" w:hAnsi="Arial Narrow"/>
          <w:sz w:val="18"/>
          <w:szCs w:val="18"/>
        </w:rPr>
        <w:t>(i.e. price per quantity was $</w:t>
      </w:r>
      <w:r w:rsidR="00EA00B7" w:rsidRPr="00EA00B7">
        <w:rPr>
          <w:rFonts w:ascii="Arial Narrow" w:hAnsi="Arial Narrow"/>
          <w:color w:val="000000"/>
          <w:spacing w:val="23"/>
          <w:sz w:val="18"/>
          <w:szCs w:val="18"/>
          <w:shd w:val="solid" w:color="000000" w:fill="000000"/>
          <w:fitText w:val="355" w:id="-623646208"/>
          <w14:textFill>
            <w14:solidFill>
              <w14:srgbClr w14:val="000000">
                <w14:alpha w14:val="100000"/>
              </w14:srgbClr>
            </w14:solidFill>
          </w14:textFill>
        </w:rPr>
        <w:t>||  |</w:t>
      </w:r>
      <w:r w:rsidR="00EA00B7" w:rsidRPr="00EA00B7">
        <w:rPr>
          <w:rFonts w:ascii="Arial Narrow" w:hAnsi="Arial Narrow"/>
          <w:color w:val="000000"/>
          <w:spacing w:val="5"/>
          <w:sz w:val="18"/>
          <w:szCs w:val="18"/>
          <w:shd w:val="solid" w:color="000000" w:fill="000000"/>
          <w:fitText w:val="355" w:id="-623646208"/>
          <w14:textFill>
            <w14:solidFill>
              <w14:srgbClr w14:val="000000">
                <w14:alpha w14:val="100000"/>
              </w14:srgbClr>
            </w14:solidFill>
          </w14:textFill>
        </w:rPr>
        <w:t>|</w:t>
      </w:r>
      <w:r w:rsidR="00EA00B7">
        <w:rPr>
          <w:rFonts w:ascii="Arial Narrow" w:hAnsi="Arial Narrow"/>
          <w:sz w:val="18"/>
          <w:szCs w:val="18"/>
        </w:rPr>
        <w:t xml:space="preserve"> </w:t>
      </w:r>
      <w:r w:rsidRPr="004653CE">
        <w:rPr>
          <w:rFonts w:ascii="Arial Narrow" w:hAnsi="Arial Narrow"/>
          <w:sz w:val="18"/>
          <w:szCs w:val="18"/>
        </w:rPr>
        <w:t>/ 2 = $</w:t>
      </w:r>
      <w:r w:rsidR="00EA00B7" w:rsidRPr="00EA00B7">
        <w:rPr>
          <w:rFonts w:ascii="Arial Narrow" w:hAnsi="Arial Narrow"/>
          <w:color w:val="000000"/>
          <w:spacing w:val="21"/>
          <w:sz w:val="18"/>
          <w:szCs w:val="18"/>
          <w:shd w:val="solid" w:color="000000" w:fill="000000"/>
          <w:fitText w:val="343" w:id="-623646207"/>
          <w14:textFill>
            <w14:solidFill>
              <w14:srgbClr w14:val="000000">
                <w14:alpha w14:val="100000"/>
              </w14:srgbClr>
            </w14:solidFill>
          </w14:textFill>
        </w:rPr>
        <w:t>||  |</w:t>
      </w:r>
      <w:r w:rsidR="00EA00B7" w:rsidRPr="00EA00B7">
        <w:rPr>
          <w:rFonts w:ascii="Arial Narrow" w:hAnsi="Arial Narrow"/>
          <w:color w:val="000000"/>
          <w:spacing w:val="3"/>
          <w:sz w:val="18"/>
          <w:szCs w:val="18"/>
          <w:shd w:val="solid" w:color="000000" w:fill="000000"/>
          <w:fitText w:val="343" w:id="-623646207"/>
          <w14:textFill>
            <w14:solidFill>
              <w14:srgbClr w14:val="000000">
                <w14:alpha w14:val="100000"/>
              </w14:srgbClr>
            </w14:solidFill>
          </w14:textFill>
        </w:rPr>
        <w:t>|</w:t>
      </w:r>
      <w:r w:rsidRPr="004653CE">
        <w:rPr>
          <w:rFonts w:ascii="Arial Narrow" w:hAnsi="Arial Narrow"/>
          <w:sz w:val="18"/>
          <w:szCs w:val="18"/>
        </w:rPr>
        <w:t>)</w:t>
      </w:r>
      <w:r w:rsidR="00FB4966" w:rsidRPr="004653CE">
        <w:rPr>
          <w:rFonts w:ascii="Arial Narrow" w:hAnsi="Arial Narrow"/>
          <w:sz w:val="18"/>
          <w:szCs w:val="18"/>
        </w:rPr>
        <w:t xml:space="preserve">. </w:t>
      </w:r>
      <w:r w:rsidR="006A2925" w:rsidRPr="004653CE">
        <w:rPr>
          <w:rFonts w:ascii="Arial Narrow" w:hAnsi="Arial Narrow"/>
          <w:sz w:val="18"/>
          <w:szCs w:val="18"/>
        </w:rPr>
        <w:t>The error marginally favoured GUS but was not corrected during the evaluation.</w:t>
      </w:r>
    </w:p>
    <w:p w14:paraId="0DC96767" w14:textId="77777777" w:rsidR="004A18F4" w:rsidRDefault="00F3208E" w:rsidP="00F3208E">
      <w:pPr>
        <w:rPr>
          <w:rFonts w:ascii="Arial Narrow" w:hAnsi="Arial Narrow"/>
          <w:i/>
          <w:iCs/>
          <w:sz w:val="18"/>
          <w:szCs w:val="18"/>
        </w:rPr>
      </w:pPr>
      <w:r w:rsidRPr="00F3208E">
        <w:rPr>
          <w:rFonts w:ascii="Arial Narrow" w:hAnsi="Arial Narrow"/>
          <w:i/>
          <w:iCs/>
          <w:sz w:val="18"/>
          <w:szCs w:val="18"/>
        </w:rPr>
        <w:t>The redacted values correspond to the following ranges:</w:t>
      </w:r>
    </w:p>
    <w:p w14:paraId="511059B6" w14:textId="1B7C66B9" w:rsidR="00733338" w:rsidRDefault="00733338" w:rsidP="004A18F4">
      <w:pPr>
        <w:rPr>
          <w:rFonts w:ascii="Arial Narrow" w:hAnsi="Arial Narrow"/>
          <w:i/>
          <w:iCs/>
          <w:sz w:val="18"/>
          <w:szCs w:val="18"/>
        </w:rPr>
      </w:pPr>
      <w:r>
        <w:rPr>
          <w:rFonts w:ascii="Arial Narrow" w:hAnsi="Arial Narrow"/>
          <w:i/>
          <w:iCs/>
          <w:sz w:val="18"/>
          <w:szCs w:val="18"/>
          <w:vertAlign w:val="superscript"/>
        </w:rPr>
        <w:t xml:space="preserve"> </w:t>
      </w:r>
      <w:r w:rsidR="004A18F4">
        <w:rPr>
          <w:rFonts w:ascii="Arial Narrow" w:hAnsi="Arial Narrow"/>
          <w:i/>
          <w:iCs/>
          <w:sz w:val="18"/>
          <w:szCs w:val="18"/>
          <w:vertAlign w:val="superscript"/>
        </w:rPr>
        <w:t>1</w:t>
      </w:r>
      <w:r>
        <w:rPr>
          <w:rFonts w:ascii="Arial Narrow" w:hAnsi="Arial Narrow"/>
          <w:i/>
          <w:iCs/>
          <w:sz w:val="18"/>
          <w:szCs w:val="18"/>
          <w:vertAlign w:val="superscript"/>
        </w:rPr>
        <w:t xml:space="preserve"> </w:t>
      </w:r>
      <w:r w:rsidRPr="00733338">
        <w:rPr>
          <w:rFonts w:ascii="Arial Narrow" w:hAnsi="Arial Narrow"/>
          <w:i/>
          <w:iCs/>
          <w:sz w:val="18"/>
          <w:szCs w:val="18"/>
        </w:rPr>
        <w:t>$25,000 to &lt; $35,00</w:t>
      </w:r>
    </w:p>
    <w:p w14:paraId="722380FA" w14:textId="682E3E13" w:rsidR="004A18F4" w:rsidRPr="00733338" w:rsidRDefault="004A18F4" w:rsidP="004A18F4">
      <w:pPr>
        <w:rPr>
          <w:rFonts w:ascii="Arial Narrow" w:hAnsi="Arial Narrow"/>
          <w:i/>
          <w:iCs/>
          <w:sz w:val="18"/>
          <w:szCs w:val="18"/>
          <w:vertAlign w:val="superscript"/>
        </w:rPr>
      </w:pPr>
      <w:r>
        <w:rPr>
          <w:rFonts w:ascii="Arial Narrow" w:hAnsi="Arial Narrow"/>
          <w:i/>
          <w:iCs/>
          <w:sz w:val="18"/>
          <w:szCs w:val="18"/>
          <w:vertAlign w:val="superscript"/>
        </w:rPr>
        <w:t xml:space="preserve"> </w:t>
      </w:r>
      <w:r w:rsidR="00733338">
        <w:rPr>
          <w:rFonts w:ascii="Arial Narrow" w:hAnsi="Arial Narrow"/>
          <w:i/>
          <w:iCs/>
          <w:sz w:val="18"/>
          <w:szCs w:val="18"/>
          <w:vertAlign w:val="superscript"/>
        </w:rPr>
        <w:t xml:space="preserve">2 </w:t>
      </w:r>
      <w:r w:rsidRPr="004A18F4">
        <w:rPr>
          <w:rFonts w:ascii="Arial Narrow" w:hAnsi="Arial Narrow"/>
          <w:i/>
          <w:iCs/>
          <w:sz w:val="18"/>
          <w:szCs w:val="18"/>
        </w:rPr>
        <w:t>$15,000 to &lt; $25,000</w:t>
      </w:r>
    </w:p>
    <w:p w14:paraId="0CF0D573" w14:textId="6F96A09A" w:rsidR="004C6509" w:rsidRPr="00A43E68" w:rsidRDefault="00733338" w:rsidP="00A72432">
      <w:pPr>
        <w:rPr>
          <w:rFonts w:ascii="Arial Narrow" w:hAnsi="Arial Narrow"/>
          <w:i/>
          <w:iCs/>
          <w:sz w:val="18"/>
          <w:szCs w:val="18"/>
        </w:rPr>
      </w:pPr>
      <w:r>
        <w:rPr>
          <w:rFonts w:ascii="Arial Narrow" w:hAnsi="Arial Narrow"/>
          <w:i/>
          <w:iCs/>
          <w:sz w:val="18"/>
          <w:szCs w:val="18"/>
          <w:vertAlign w:val="superscript"/>
        </w:rPr>
        <w:t>3</w:t>
      </w:r>
      <w:r w:rsidR="00A86FCB">
        <w:rPr>
          <w:rFonts w:ascii="Arial Narrow" w:hAnsi="Arial Narrow"/>
          <w:i/>
          <w:iCs/>
          <w:sz w:val="18"/>
          <w:szCs w:val="18"/>
          <w:vertAlign w:val="superscript"/>
        </w:rPr>
        <w:t xml:space="preserve"> </w:t>
      </w:r>
      <w:r w:rsidR="00A43E68" w:rsidRPr="00A43E68">
        <w:rPr>
          <w:rFonts w:ascii="Arial Narrow" w:hAnsi="Arial Narrow"/>
          <w:i/>
          <w:iCs/>
          <w:sz w:val="18"/>
          <w:szCs w:val="18"/>
        </w:rPr>
        <w:t>$75,000 to &lt; $95,000</w:t>
      </w:r>
    </w:p>
    <w:p w14:paraId="470490B7" w14:textId="00396DA2" w:rsidR="00CE3282" w:rsidRPr="00011755" w:rsidRDefault="00733338" w:rsidP="00BC51BA">
      <w:pPr>
        <w:rPr>
          <w:rFonts w:ascii="Arial Narrow" w:hAnsi="Arial Narrow"/>
          <w:i/>
          <w:iCs/>
          <w:sz w:val="18"/>
          <w:szCs w:val="18"/>
          <w:vertAlign w:val="superscript"/>
        </w:rPr>
      </w:pPr>
      <w:r>
        <w:rPr>
          <w:rFonts w:ascii="Arial Narrow" w:hAnsi="Arial Narrow"/>
          <w:i/>
          <w:iCs/>
          <w:sz w:val="18"/>
          <w:szCs w:val="18"/>
          <w:vertAlign w:val="superscript"/>
        </w:rPr>
        <w:t>4</w:t>
      </w:r>
      <w:r w:rsidR="00036FE6">
        <w:rPr>
          <w:rFonts w:ascii="Arial Narrow" w:hAnsi="Arial Narrow"/>
          <w:i/>
          <w:iCs/>
          <w:sz w:val="18"/>
          <w:szCs w:val="18"/>
          <w:vertAlign w:val="superscript"/>
        </w:rPr>
        <w:t xml:space="preserve"> </w:t>
      </w:r>
      <w:r w:rsidR="00A72432" w:rsidRPr="00A72432">
        <w:rPr>
          <w:rFonts w:ascii="Arial Narrow" w:hAnsi="Arial Narrow"/>
          <w:i/>
          <w:iCs/>
          <w:sz w:val="18"/>
          <w:szCs w:val="18"/>
        </w:rPr>
        <w:t>$55,000 to &lt; $75,000</w:t>
      </w:r>
      <w:r w:rsidR="00A72432" w:rsidRPr="00A72432">
        <w:rPr>
          <w:rFonts w:ascii="Arial Narrow" w:hAnsi="Arial Narrow"/>
          <w:i/>
          <w:iCs/>
          <w:sz w:val="18"/>
          <w:szCs w:val="18"/>
          <w:vertAlign w:val="superscript"/>
        </w:rPr>
        <w:t xml:space="preserve"> </w:t>
      </w:r>
    </w:p>
    <w:p w14:paraId="5CEA6B46" w14:textId="58599006" w:rsidR="00011755" w:rsidRPr="00011755" w:rsidRDefault="00733338" w:rsidP="00BC51BA">
      <w:pPr>
        <w:rPr>
          <w:rFonts w:ascii="Arial Narrow" w:hAnsi="Arial Narrow"/>
          <w:i/>
          <w:iCs/>
          <w:sz w:val="18"/>
          <w:szCs w:val="18"/>
        </w:rPr>
      </w:pPr>
      <w:r>
        <w:rPr>
          <w:rFonts w:ascii="Arial Narrow" w:hAnsi="Arial Narrow"/>
          <w:i/>
          <w:iCs/>
          <w:sz w:val="18"/>
          <w:szCs w:val="18"/>
          <w:vertAlign w:val="superscript"/>
        </w:rPr>
        <w:t>5</w:t>
      </w:r>
      <w:r w:rsidR="00036FE6">
        <w:rPr>
          <w:rFonts w:ascii="Arial Narrow" w:hAnsi="Arial Narrow"/>
          <w:i/>
          <w:iCs/>
          <w:sz w:val="18"/>
          <w:szCs w:val="18"/>
          <w:vertAlign w:val="superscript"/>
        </w:rPr>
        <w:t xml:space="preserve"> </w:t>
      </w:r>
      <w:r w:rsidR="00011755" w:rsidRPr="00011755">
        <w:rPr>
          <w:rFonts w:ascii="Arial Narrow" w:hAnsi="Arial Narrow"/>
          <w:i/>
          <w:iCs/>
          <w:sz w:val="18"/>
          <w:szCs w:val="18"/>
        </w:rPr>
        <w:t>$155,000 to &lt; $255,000</w:t>
      </w:r>
    </w:p>
    <w:p w14:paraId="0CB7FF9E" w14:textId="6A75BBB9" w:rsidR="00F3208E" w:rsidRPr="00036FE6" w:rsidRDefault="00733338" w:rsidP="00F3208E">
      <w:pPr>
        <w:rPr>
          <w:rFonts w:ascii="Arial Narrow" w:hAnsi="Arial Narrow"/>
          <w:i/>
          <w:iCs/>
          <w:sz w:val="18"/>
          <w:szCs w:val="18"/>
          <w:vertAlign w:val="superscript"/>
        </w:rPr>
      </w:pPr>
      <w:r>
        <w:rPr>
          <w:rFonts w:ascii="Arial Narrow" w:hAnsi="Arial Narrow"/>
          <w:i/>
          <w:iCs/>
          <w:sz w:val="18"/>
          <w:szCs w:val="18"/>
          <w:vertAlign w:val="superscript"/>
        </w:rPr>
        <w:t>6</w:t>
      </w:r>
      <w:r w:rsidR="00036FE6">
        <w:rPr>
          <w:rFonts w:ascii="Arial Narrow" w:hAnsi="Arial Narrow"/>
          <w:i/>
          <w:iCs/>
          <w:sz w:val="18"/>
          <w:szCs w:val="18"/>
          <w:vertAlign w:val="superscript"/>
        </w:rPr>
        <w:t xml:space="preserve"> </w:t>
      </w:r>
      <w:r w:rsidR="00BC51BA" w:rsidRPr="00BC51BA">
        <w:rPr>
          <w:rFonts w:ascii="Arial Narrow" w:hAnsi="Arial Narrow"/>
          <w:i/>
          <w:iCs/>
          <w:sz w:val="18"/>
          <w:szCs w:val="18"/>
        </w:rPr>
        <w:t>$95,000 to &lt; $115,000</w:t>
      </w:r>
      <w:r w:rsidR="00BC51BA" w:rsidRPr="00BC51BA">
        <w:rPr>
          <w:rFonts w:ascii="Arial Narrow" w:hAnsi="Arial Narrow"/>
          <w:i/>
          <w:iCs/>
          <w:sz w:val="18"/>
          <w:szCs w:val="18"/>
          <w:vertAlign w:val="superscript"/>
        </w:rPr>
        <w:t xml:space="preserve"> </w:t>
      </w:r>
    </w:p>
    <w:p w14:paraId="09D6084D" w14:textId="169CE150" w:rsidR="00F3208E" w:rsidRPr="00F3208E" w:rsidRDefault="00733338" w:rsidP="00F3208E">
      <w:pPr>
        <w:rPr>
          <w:rFonts w:ascii="Arial Narrow" w:hAnsi="Arial Narrow"/>
          <w:i/>
          <w:iCs/>
          <w:sz w:val="18"/>
          <w:szCs w:val="18"/>
        </w:rPr>
      </w:pPr>
      <w:r>
        <w:rPr>
          <w:rFonts w:ascii="Arial Narrow" w:hAnsi="Arial Narrow"/>
          <w:i/>
          <w:iCs/>
          <w:sz w:val="18"/>
          <w:szCs w:val="18"/>
          <w:vertAlign w:val="superscript"/>
        </w:rPr>
        <w:t xml:space="preserve">7 </w:t>
      </w:r>
      <w:r w:rsidR="001C7495" w:rsidRPr="001C7495">
        <w:rPr>
          <w:rFonts w:ascii="Arial Narrow" w:hAnsi="Arial Narrow"/>
          <w:i/>
          <w:iCs/>
          <w:sz w:val="18"/>
          <w:szCs w:val="18"/>
        </w:rPr>
        <w:t>$855,000 to &lt; $955,000</w:t>
      </w:r>
    </w:p>
    <w:p w14:paraId="0AC200CB" w14:textId="18D2E7A4" w:rsidR="002D43D6" w:rsidRPr="008A2601" w:rsidRDefault="00B561CB" w:rsidP="00641FB3">
      <w:pPr>
        <w:pStyle w:val="3-BodyText"/>
        <w:rPr>
          <w:lang w:val="en-US"/>
        </w:rPr>
      </w:pPr>
      <w:r w:rsidRPr="008A2601">
        <w:t xml:space="preserve">Based on the uncorrected base case analysis, the submission stated that GUS was cost-effective compared to the nominated comparators for severe CD given the ICERs were less than </w:t>
      </w:r>
      <w:r w:rsidR="008060AC" w:rsidRPr="008060AC">
        <w:t>$25,000 to &lt; $35,000</w:t>
      </w:r>
      <w:r w:rsidRPr="008A2601">
        <w:t xml:space="preserve">/QALY gained. After correcting for the programming error identified during the evaluation, the base case ICERs increased </w:t>
      </w:r>
      <w:r w:rsidR="006E519A" w:rsidRPr="008A2601">
        <w:t xml:space="preserve">substantially above the nominated </w:t>
      </w:r>
      <w:r w:rsidR="008060AC" w:rsidRPr="008060AC">
        <w:t>$25,000 to &lt; $35,000</w:t>
      </w:r>
      <w:r w:rsidR="006E519A" w:rsidRPr="008A2601">
        <w:t>/QALY threshold</w:t>
      </w:r>
      <w:r w:rsidRPr="008A2601">
        <w:t>.</w:t>
      </w:r>
      <w:r w:rsidR="006E519A" w:rsidRPr="008A2601">
        <w:t xml:space="preserve"> Similarly, assuming second-line or third-line use of GUS also further substantially increased the ICER.</w:t>
      </w:r>
    </w:p>
    <w:bookmarkStart w:id="61" w:name="_Ref201311260"/>
    <w:p w14:paraId="1D45ABAB" w14:textId="4C380819" w:rsidR="006E519A" w:rsidRPr="008A2601" w:rsidRDefault="005860A4" w:rsidP="006E519A">
      <w:pPr>
        <w:pStyle w:val="3-BodyText"/>
        <w:rPr>
          <w:lang w:val="en-US"/>
        </w:rPr>
      </w:pPr>
      <w:r w:rsidRPr="008A2601">
        <w:rPr>
          <w:lang w:val="en-US"/>
        </w:rPr>
        <w:fldChar w:fldCharType="begin"/>
      </w:r>
      <w:r w:rsidRPr="008A2601">
        <w:rPr>
          <w:lang w:val="en-US"/>
        </w:rPr>
        <w:instrText xml:space="preserve"> REF _Ref197954940 \h  \* MERGEFORMAT </w:instrText>
      </w:r>
      <w:r w:rsidRPr="008A2601">
        <w:rPr>
          <w:lang w:val="en-US"/>
        </w:rPr>
      </w:r>
      <w:r w:rsidRPr="008A2601">
        <w:rPr>
          <w:lang w:val="en-US"/>
        </w:rPr>
        <w:fldChar w:fldCharType="separate"/>
      </w:r>
      <w:r w:rsidR="000756FD" w:rsidRPr="008A2601">
        <w:t xml:space="preserve">Table </w:t>
      </w:r>
      <w:r w:rsidR="000756FD">
        <w:rPr>
          <w:noProof/>
        </w:rPr>
        <w:t>15</w:t>
      </w:r>
      <w:r w:rsidRPr="008A2601">
        <w:rPr>
          <w:lang w:val="en-US"/>
        </w:rPr>
        <w:fldChar w:fldCharType="end"/>
      </w:r>
      <w:r w:rsidRPr="008A2601">
        <w:rPr>
          <w:lang w:val="en-US"/>
        </w:rPr>
        <w:t xml:space="preserve"> </w:t>
      </w:r>
      <w:r w:rsidR="00B561CB" w:rsidRPr="008A2601">
        <w:rPr>
          <w:lang w:val="en-US"/>
        </w:rPr>
        <w:t>presents the results of key sensitivity analyses conducted during the evaluation</w:t>
      </w:r>
      <w:r w:rsidR="006E519A" w:rsidRPr="008A2601">
        <w:rPr>
          <w:lang w:val="en-US"/>
        </w:rPr>
        <w:t>, illustrating the incremental effect on the ICER of the modelled treatment effects</w:t>
      </w:r>
      <w:r w:rsidR="00B561CB" w:rsidRPr="008A2601">
        <w:rPr>
          <w:lang w:val="en-US"/>
        </w:rPr>
        <w:t>.</w:t>
      </w:r>
      <w:r w:rsidR="006E519A" w:rsidRPr="008A2601">
        <w:rPr>
          <w:lang w:val="en-US"/>
        </w:rPr>
        <w:t xml:space="preserve"> </w:t>
      </w:r>
      <w:r w:rsidR="006E519A" w:rsidRPr="008A2601">
        <w:t>The multivariate analysis illustrates that the ICER was driven by the modelled differences in the loss of remission parameter, as well as the combined effects of other parameter differences favouring GUS. The base case analysis was also sensitive to the time horizon, health state utilities and health service costs (the results are not presented in the table).</w:t>
      </w:r>
      <w:bookmarkEnd w:id="61"/>
    </w:p>
    <w:p w14:paraId="3790E677" w14:textId="5908619A" w:rsidR="00B561CB" w:rsidRPr="008A2601" w:rsidRDefault="005860A4" w:rsidP="00185675">
      <w:pPr>
        <w:pStyle w:val="Caption"/>
        <w:rPr>
          <w:rStyle w:val="CommentReference"/>
          <w:b/>
        </w:rPr>
      </w:pPr>
      <w:bookmarkStart w:id="62" w:name="_Ref197954940"/>
      <w:r w:rsidRPr="008A2601">
        <w:lastRenderedPageBreak/>
        <w:t xml:space="preserve">Table </w:t>
      </w:r>
      <w:r w:rsidR="00DC5F25">
        <w:fldChar w:fldCharType="begin"/>
      </w:r>
      <w:r w:rsidR="00DC5F25">
        <w:instrText xml:space="preserve"> SEQ Table \* ARABIC </w:instrText>
      </w:r>
      <w:r w:rsidR="00DC5F25">
        <w:fldChar w:fldCharType="separate"/>
      </w:r>
      <w:r w:rsidR="000756FD">
        <w:rPr>
          <w:noProof/>
        </w:rPr>
        <w:t>15</w:t>
      </w:r>
      <w:r w:rsidR="00DC5F25">
        <w:rPr>
          <w:noProof/>
        </w:rPr>
        <w:fldChar w:fldCharType="end"/>
      </w:r>
      <w:bookmarkEnd w:id="62"/>
      <w:r w:rsidRPr="008A2601">
        <w:t xml:space="preserve">: </w:t>
      </w:r>
      <w:r w:rsidR="00B561CB" w:rsidRPr="008A2601">
        <w:rPr>
          <w:rStyle w:val="CommentReference"/>
          <w:b/>
        </w:rPr>
        <w:t>Results of sensitivity analyses on corrected base case – GUS 100 and GUS 200 vs comparator (weighted)</w:t>
      </w:r>
    </w:p>
    <w:tbl>
      <w:tblPr>
        <w:tblStyle w:val="PBAClayout"/>
        <w:tblW w:w="5000" w:type="pct"/>
        <w:tblLayout w:type="fixed"/>
        <w:tblLook w:val="04A0" w:firstRow="1" w:lastRow="0" w:firstColumn="1" w:lastColumn="0" w:noHBand="0" w:noVBand="1"/>
        <w:tblCaption w:val="Table 15: Results of sensitivity analyses on corrected base case – GUS 100 and GUS 200 vs comparator (weighted)"/>
      </w:tblPr>
      <w:tblGrid>
        <w:gridCol w:w="3113"/>
        <w:gridCol w:w="983"/>
        <w:gridCol w:w="985"/>
        <w:gridCol w:w="985"/>
        <w:gridCol w:w="983"/>
        <w:gridCol w:w="985"/>
        <w:gridCol w:w="983"/>
      </w:tblGrid>
      <w:tr w:rsidR="00B561CB" w:rsidRPr="008A2601" w14:paraId="342B7264" w14:textId="77777777" w:rsidTr="006E519A">
        <w:tc>
          <w:tcPr>
            <w:tcW w:w="1727" w:type="pct"/>
          </w:tcPr>
          <w:p w14:paraId="4CE63341" w14:textId="77777777" w:rsidR="00B561CB" w:rsidRPr="008A2601" w:rsidRDefault="00B561CB" w:rsidP="00185675">
            <w:pPr>
              <w:pStyle w:val="In-tableHeading"/>
              <w:keepLines/>
            </w:pPr>
          </w:p>
        </w:tc>
        <w:tc>
          <w:tcPr>
            <w:tcW w:w="1636" w:type="pct"/>
            <w:gridSpan w:val="3"/>
          </w:tcPr>
          <w:p w14:paraId="36491E27" w14:textId="77777777" w:rsidR="00B561CB" w:rsidRPr="008A2601" w:rsidRDefault="00B561CB" w:rsidP="00185675">
            <w:pPr>
              <w:pStyle w:val="In-tableHeading"/>
              <w:keepLines/>
              <w:jc w:val="center"/>
            </w:pPr>
            <w:r w:rsidRPr="008A2601">
              <w:t xml:space="preserve">GUS 100 vs weighted </w:t>
            </w:r>
            <w:proofErr w:type="spellStart"/>
            <w:r w:rsidRPr="008A2601">
              <w:t>comparator</w:t>
            </w:r>
            <w:r w:rsidRPr="008A2601">
              <w:rPr>
                <w:vertAlign w:val="superscript"/>
              </w:rPr>
              <w:t>ah</w:t>
            </w:r>
            <w:proofErr w:type="spellEnd"/>
          </w:p>
        </w:tc>
        <w:tc>
          <w:tcPr>
            <w:tcW w:w="1636" w:type="pct"/>
            <w:gridSpan w:val="3"/>
          </w:tcPr>
          <w:p w14:paraId="2E169A55" w14:textId="77777777" w:rsidR="00B561CB" w:rsidRPr="008A2601" w:rsidRDefault="00B561CB" w:rsidP="00185675">
            <w:pPr>
              <w:pStyle w:val="In-tableHeading"/>
              <w:keepLines/>
              <w:jc w:val="center"/>
            </w:pPr>
            <w:r w:rsidRPr="008A2601">
              <w:t xml:space="preserve">GUS 200 vs weighted </w:t>
            </w:r>
            <w:proofErr w:type="spellStart"/>
            <w:r w:rsidRPr="008A2601">
              <w:t>comparator</w:t>
            </w:r>
            <w:r w:rsidRPr="008A2601">
              <w:rPr>
                <w:vertAlign w:val="superscript"/>
              </w:rPr>
              <w:t>aj</w:t>
            </w:r>
            <w:proofErr w:type="spellEnd"/>
          </w:p>
        </w:tc>
      </w:tr>
      <w:tr w:rsidR="00B561CB" w:rsidRPr="008A2601" w14:paraId="5F7DC6AC" w14:textId="77777777" w:rsidTr="006E519A">
        <w:tc>
          <w:tcPr>
            <w:tcW w:w="1727" w:type="pct"/>
          </w:tcPr>
          <w:p w14:paraId="01D0330F" w14:textId="77777777" w:rsidR="00B561CB" w:rsidRPr="008A2601" w:rsidRDefault="00B561CB" w:rsidP="00185675">
            <w:pPr>
              <w:pStyle w:val="In-tableHeading"/>
              <w:keepLines/>
            </w:pPr>
            <w:r w:rsidRPr="008A2601">
              <w:t>Analyses</w:t>
            </w:r>
          </w:p>
        </w:tc>
        <w:tc>
          <w:tcPr>
            <w:tcW w:w="545" w:type="pct"/>
          </w:tcPr>
          <w:p w14:paraId="2B4379ED" w14:textId="77777777" w:rsidR="00B561CB" w:rsidRPr="008A2601" w:rsidRDefault="00B561CB" w:rsidP="00185675">
            <w:pPr>
              <w:pStyle w:val="In-tableHeading"/>
              <w:keepLines/>
              <w:jc w:val="center"/>
            </w:pPr>
            <w:r w:rsidRPr="008A2601">
              <w:t>Incremental cost</w:t>
            </w:r>
          </w:p>
        </w:tc>
        <w:tc>
          <w:tcPr>
            <w:tcW w:w="546" w:type="pct"/>
          </w:tcPr>
          <w:p w14:paraId="56A94AC5" w14:textId="77777777" w:rsidR="00B561CB" w:rsidRPr="008A2601" w:rsidRDefault="00B561CB" w:rsidP="00185675">
            <w:pPr>
              <w:pStyle w:val="In-tableHeading"/>
              <w:keepLines/>
              <w:jc w:val="center"/>
            </w:pPr>
            <w:r w:rsidRPr="008A2601">
              <w:t>Incremental QALY</w:t>
            </w:r>
          </w:p>
        </w:tc>
        <w:tc>
          <w:tcPr>
            <w:tcW w:w="546" w:type="pct"/>
          </w:tcPr>
          <w:p w14:paraId="37A657F6" w14:textId="77777777" w:rsidR="00B561CB" w:rsidRPr="008A2601" w:rsidRDefault="00B561CB" w:rsidP="00185675">
            <w:pPr>
              <w:pStyle w:val="In-tableHeading"/>
              <w:keepLines/>
              <w:jc w:val="center"/>
            </w:pPr>
            <w:r w:rsidRPr="008A2601">
              <w:t>ICER</w:t>
            </w:r>
          </w:p>
        </w:tc>
        <w:tc>
          <w:tcPr>
            <w:tcW w:w="545" w:type="pct"/>
          </w:tcPr>
          <w:p w14:paraId="03893D88" w14:textId="77777777" w:rsidR="00B561CB" w:rsidRPr="008A2601" w:rsidRDefault="00B561CB" w:rsidP="00185675">
            <w:pPr>
              <w:pStyle w:val="In-tableHeading"/>
              <w:keepLines/>
              <w:jc w:val="center"/>
            </w:pPr>
            <w:r w:rsidRPr="008A2601">
              <w:t>Incremental cost</w:t>
            </w:r>
          </w:p>
        </w:tc>
        <w:tc>
          <w:tcPr>
            <w:tcW w:w="546" w:type="pct"/>
          </w:tcPr>
          <w:p w14:paraId="430A309F" w14:textId="77777777" w:rsidR="00B561CB" w:rsidRPr="008A2601" w:rsidRDefault="00B561CB" w:rsidP="00185675">
            <w:pPr>
              <w:pStyle w:val="In-tableHeading"/>
              <w:keepLines/>
              <w:jc w:val="center"/>
            </w:pPr>
            <w:r w:rsidRPr="008A2601">
              <w:t>Incremental QALY</w:t>
            </w:r>
          </w:p>
        </w:tc>
        <w:tc>
          <w:tcPr>
            <w:tcW w:w="546" w:type="pct"/>
          </w:tcPr>
          <w:p w14:paraId="78F80FA9" w14:textId="77777777" w:rsidR="00B561CB" w:rsidRPr="008A2601" w:rsidRDefault="00B561CB" w:rsidP="00185675">
            <w:pPr>
              <w:pStyle w:val="In-tableHeading"/>
              <w:keepLines/>
              <w:jc w:val="center"/>
            </w:pPr>
            <w:r w:rsidRPr="008A2601">
              <w:t>ICER</w:t>
            </w:r>
          </w:p>
        </w:tc>
      </w:tr>
      <w:tr w:rsidR="00B561CB" w:rsidRPr="008A2601" w14:paraId="57102E42" w14:textId="77777777" w:rsidTr="006E519A">
        <w:tc>
          <w:tcPr>
            <w:tcW w:w="1727" w:type="pct"/>
            <w:tcBorders>
              <w:bottom w:val="single" w:sz="4" w:space="0" w:color="auto"/>
            </w:tcBorders>
          </w:tcPr>
          <w:p w14:paraId="773B8D1F" w14:textId="77777777" w:rsidR="00B561CB" w:rsidRPr="008A2601" w:rsidRDefault="00B561CB" w:rsidP="00185675">
            <w:pPr>
              <w:pStyle w:val="TableText0"/>
              <w:keepLines/>
              <w:rPr>
                <w:b/>
              </w:rPr>
            </w:pPr>
            <w:r w:rsidRPr="008A2601">
              <w:rPr>
                <w:b/>
              </w:rPr>
              <w:t>Base case (1L GUS; programming error corrected)</w:t>
            </w:r>
          </w:p>
        </w:tc>
        <w:tc>
          <w:tcPr>
            <w:tcW w:w="545" w:type="pct"/>
            <w:tcBorders>
              <w:bottom w:val="single" w:sz="4" w:space="0" w:color="auto"/>
            </w:tcBorders>
          </w:tcPr>
          <w:p w14:paraId="42A1D9E5" w14:textId="5395D932" w:rsidR="00B561CB" w:rsidRPr="008A2601" w:rsidRDefault="00B561CB" w:rsidP="00185675">
            <w:pPr>
              <w:pStyle w:val="TableText0"/>
              <w:keepLines/>
              <w:jc w:val="center"/>
              <w:rPr>
                <w:b/>
              </w:rPr>
            </w:pPr>
            <w:r w:rsidRPr="008A2601">
              <w:rPr>
                <w:b/>
              </w:rPr>
              <w:t>$</w:t>
            </w:r>
            <w:r w:rsidR="00E77A69" w:rsidRPr="00E77A69">
              <w:rPr>
                <w:b/>
                <w:color w:val="000000"/>
                <w:spacing w:val="58"/>
                <w:shd w:val="solid" w:color="000000" w:fill="000000"/>
                <w:fitText w:val="360" w:id="-628921344"/>
                <w14:textFill>
                  <w14:solidFill>
                    <w14:srgbClr w14:val="000000">
                      <w14:alpha w14:val="100000"/>
                    </w14:srgbClr>
                  </w14:solidFill>
                </w14:textFill>
              </w:rPr>
              <w:t>|||</w:t>
            </w:r>
            <w:r w:rsidR="00E77A69" w:rsidRPr="00E77A69">
              <w:rPr>
                <w:b/>
                <w:color w:val="000000"/>
                <w:spacing w:val="3"/>
                <w:shd w:val="solid" w:color="000000" w:fill="000000"/>
                <w:fitText w:val="360" w:id="-628921344"/>
                <w14:textFill>
                  <w14:solidFill>
                    <w14:srgbClr w14:val="000000">
                      <w14:alpha w14:val="100000"/>
                    </w14:srgbClr>
                  </w14:solidFill>
                </w14:textFill>
              </w:rPr>
              <w:t>|</w:t>
            </w:r>
          </w:p>
        </w:tc>
        <w:tc>
          <w:tcPr>
            <w:tcW w:w="546" w:type="pct"/>
            <w:tcBorders>
              <w:bottom w:val="single" w:sz="4" w:space="0" w:color="auto"/>
            </w:tcBorders>
          </w:tcPr>
          <w:p w14:paraId="5630F4F1" w14:textId="77777777" w:rsidR="00B561CB" w:rsidRPr="008A2601" w:rsidRDefault="00B561CB" w:rsidP="00185675">
            <w:pPr>
              <w:pStyle w:val="TableText0"/>
              <w:keepLines/>
              <w:jc w:val="center"/>
              <w:rPr>
                <w:b/>
              </w:rPr>
            </w:pPr>
            <w:r w:rsidRPr="008A2601">
              <w:rPr>
                <w:b/>
              </w:rPr>
              <w:t>0.154</w:t>
            </w:r>
          </w:p>
        </w:tc>
        <w:tc>
          <w:tcPr>
            <w:tcW w:w="546" w:type="pct"/>
            <w:tcBorders>
              <w:bottom w:val="single" w:sz="4" w:space="0" w:color="auto"/>
            </w:tcBorders>
          </w:tcPr>
          <w:p w14:paraId="2F3197B8" w14:textId="2A45659A" w:rsidR="00B561CB" w:rsidRPr="00933330" w:rsidRDefault="00B561CB" w:rsidP="00185675">
            <w:pPr>
              <w:pStyle w:val="TableText0"/>
              <w:keepLines/>
              <w:jc w:val="center"/>
              <w:rPr>
                <w:b/>
                <w:vertAlign w:val="superscript"/>
              </w:rPr>
            </w:pPr>
            <w:r w:rsidRPr="008A2601">
              <w:rPr>
                <w:b/>
              </w:rPr>
              <w:t>$</w:t>
            </w:r>
            <w:r w:rsidR="00E77A69" w:rsidRPr="00E77A69">
              <w:rPr>
                <w:b/>
                <w:color w:val="000000"/>
                <w:spacing w:val="58"/>
                <w:shd w:val="solid" w:color="000000" w:fill="000000"/>
                <w:fitText w:val="360" w:id="-628921343"/>
                <w14:textFill>
                  <w14:solidFill>
                    <w14:srgbClr w14:val="000000">
                      <w14:alpha w14:val="100000"/>
                    </w14:srgbClr>
                  </w14:solidFill>
                </w14:textFill>
              </w:rPr>
              <w:t>|||</w:t>
            </w:r>
            <w:r w:rsidR="00E77A69" w:rsidRPr="00E77A69">
              <w:rPr>
                <w:b/>
                <w:color w:val="000000"/>
                <w:spacing w:val="3"/>
                <w:shd w:val="solid" w:color="000000" w:fill="000000"/>
                <w:fitText w:val="360" w:id="-628921343"/>
                <w14:textFill>
                  <w14:solidFill>
                    <w14:srgbClr w14:val="000000">
                      <w14:alpha w14:val="100000"/>
                    </w14:srgbClr>
                  </w14:solidFill>
                </w14:textFill>
              </w:rPr>
              <w:t>|</w:t>
            </w:r>
            <w:r w:rsidR="00933330">
              <w:rPr>
                <w:b/>
                <w:vertAlign w:val="superscript"/>
              </w:rPr>
              <w:t>1</w:t>
            </w:r>
          </w:p>
        </w:tc>
        <w:tc>
          <w:tcPr>
            <w:tcW w:w="545" w:type="pct"/>
            <w:tcBorders>
              <w:bottom w:val="single" w:sz="4" w:space="0" w:color="auto"/>
            </w:tcBorders>
          </w:tcPr>
          <w:p w14:paraId="1C964357" w14:textId="34599B08" w:rsidR="00B561CB" w:rsidRPr="008A2601" w:rsidRDefault="00B561CB" w:rsidP="00185675">
            <w:pPr>
              <w:pStyle w:val="TableText0"/>
              <w:keepLines/>
              <w:jc w:val="center"/>
              <w:rPr>
                <w:b/>
              </w:rPr>
            </w:pPr>
            <w:r w:rsidRPr="008A2601">
              <w:rPr>
                <w:b/>
              </w:rPr>
              <w:t>$</w:t>
            </w:r>
            <w:r w:rsidR="00E77A69" w:rsidRPr="00E77A69">
              <w:rPr>
                <w:b/>
                <w:color w:val="000000"/>
                <w:spacing w:val="58"/>
                <w:shd w:val="solid" w:color="000000" w:fill="000000"/>
                <w:fitText w:val="360" w:id="-628921342"/>
                <w14:textFill>
                  <w14:solidFill>
                    <w14:srgbClr w14:val="000000">
                      <w14:alpha w14:val="100000"/>
                    </w14:srgbClr>
                  </w14:solidFill>
                </w14:textFill>
              </w:rPr>
              <w:t>|||</w:t>
            </w:r>
            <w:r w:rsidR="00E77A69" w:rsidRPr="00E77A69">
              <w:rPr>
                <w:b/>
                <w:color w:val="000000"/>
                <w:spacing w:val="3"/>
                <w:shd w:val="solid" w:color="000000" w:fill="000000"/>
                <w:fitText w:val="360" w:id="-628921342"/>
                <w14:textFill>
                  <w14:solidFill>
                    <w14:srgbClr w14:val="000000">
                      <w14:alpha w14:val="100000"/>
                    </w14:srgbClr>
                  </w14:solidFill>
                </w14:textFill>
              </w:rPr>
              <w:t>|</w:t>
            </w:r>
          </w:p>
        </w:tc>
        <w:tc>
          <w:tcPr>
            <w:tcW w:w="546" w:type="pct"/>
            <w:tcBorders>
              <w:bottom w:val="single" w:sz="4" w:space="0" w:color="auto"/>
            </w:tcBorders>
          </w:tcPr>
          <w:p w14:paraId="4BA21DBF" w14:textId="77777777" w:rsidR="00B561CB" w:rsidRPr="008A2601" w:rsidRDefault="00B561CB" w:rsidP="00185675">
            <w:pPr>
              <w:pStyle w:val="TableText0"/>
              <w:keepLines/>
              <w:jc w:val="center"/>
              <w:rPr>
                <w:b/>
              </w:rPr>
            </w:pPr>
            <w:r w:rsidRPr="008A2601">
              <w:rPr>
                <w:b/>
              </w:rPr>
              <w:t>0.215</w:t>
            </w:r>
          </w:p>
        </w:tc>
        <w:tc>
          <w:tcPr>
            <w:tcW w:w="546" w:type="pct"/>
            <w:tcBorders>
              <w:bottom w:val="single" w:sz="4" w:space="0" w:color="auto"/>
            </w:tcBorders>
          </w:tcPr>
          <w:p w14:paraId="255C0A9F" w14:textId="41CBE50E" w:rsidR="00B561CB" w:rsidRPr="00AA1758" w:rsidRDefault="00B561CB" w:rsidP="00185675">
            <w:pPr>
              <w:pStyle w:val="TableText0"/>
              <w:keepLines/>
              <w:jc w:val="center"/>
              <w:rPr>
                <w:b/>
                <w:vertAlign w:val="superscript"/>
              </w:rPr>
            </w:pPr>
            <w:r w:rsidRPr="008A2601">
              <w:rPr>
                <w:b/>
              </w:rPr>
              <w:t>$</w:t>
            </w:r>
            <w:r w:rsidR="00E77A69" w:rsidRPr="00E77A69">
              <w:rPr>
                <w:b/>
                <w:color w:val="000000"/>
                <w:spacing w:val="58"/>
                <w:shd w:val="solid" w:color="000000" w:fill="000000"/>
                <w:fitText w:val="360" w:id="-628921341"/>
                <w14:textFill>
                  <w14:solidFill>
                    <w14:srgbClr w14:val="000000">
                      <w14:alpha w14:val="100000"/>
                    </w14:srgbClr>
                  </w14:solidFill>
                </w14:textFill>
              </w:rPr>
              <w:t>|||</w:t>
            </w:r>
            <w:r w:rsidR="00E77A69" w:rsidRPr="00E77A69">
              <w:rPr>
                <w:b/>
                <w:color w:val="000000"/>
                <w:spacing w:val="3"/>
                <w:shd w:val="solid" w:color="000000" w:fill="000000"/>
                <w:fitText w:val="360" w:id="-628921341"/>
                <w14:textFill>
                  <w14:solidFill>
                    <w14:srgbClr w14:val="000000">
                      <w14:alpha w14:val="100000"/>
                    </w14:srgbClr>
                  </w14:solidFill>
                </w14:textFill>
              </w:rPr>
              <w:t>|</w:t>
            </w:r>
            <w:r w:rsidR="00AA1758">
              <w:rPr>
                <w:b/>
                <w:vertAlign w:val="superscript"/>
              </w:rPr>
              <w:t>2</w:t>
            </w:r>
          </w:p>
        </w:tc>
      </w:tr>
      <w:tr w:rsidR="00B561CB" w:rsidRPr="008A2601" w14:paraId="4EB2FB8B" w14:textId="77777777" w:rsidTr="006E519A">
        <w:tc>
          <w:tcPr>
            <w:tcW w:w="1727" w:type="pct"/>
            <w:tcBorders>
              <w:bottom w:val="nil"/>
            </w:tcBorders>
          </w:tcPr>
          <w:p w14:paraId="22CB722B" w14:textId="77777777" w:rsidR="00B561CB" w:rsidRPr="008A2601" w:rsidRDefault="00B561CB" w:rsidP="00185675">
            <w:pPr>
              <w:pStyle w:val="TableText0"/>
              <w:keepLines/>
              <w:rPr>
                <w:b/>
              </w:rPr>
            </w:pPr>
            <w:r w:rsidRPr="008A2601">
              <w:rPr>
                <w:b/>
              </w:rPr>
              <w:t>Univariate sensitivity analysis</w:t>
            </w:r>
          </w:p>
        </w:tc>
        <w:tc>
          <w:tcPr>
            <w:tcW w:w="545" w:type="pct"/>
            <w:tcBorders>
              <w:bottom w:val="nil"/>
            </w:tcBorders>
          </w:tcPr>
          <w:p w14:paraId="71E7AD71" w14:textId="77777777" w:rsidR="00B561CB" w:rsidRPr="008A2601" w:rsidRDefault="00B561CB" w:rsidP="00185675">
            <w:pPr>
              <w:pStyle w:val="TableText0"/>
              <w:keepLines/>
              <w:jc w:val="center"/>
              <w:rPr>
                <w:b/>
              </w:rPr>
            </w:pPr>
          </w:p>
        </w:tc>
        <w:tc>
          <w:tcPr>
            <w:tcW w:w="546" w:type="pct"/>
            <w:tcBorders>
              <w:bottom w:val="nil"/>
            </w:tcBorders>
          </w:tcPr>
          <w:p w14:paraId="5FF5AF60" w14:textId="77777777" w:rsidR="00B561CB" w:rsidRPr="008A2601" w:rsidRDefault="00B561CB" w:rsidP="00185675">
            <w:pPr>
              <w:pStyle w:val="TableText0"/>
              <w:keepLines/>
              <w:jc w:val="center"/>
              <w:rPr>
                <w:b/>
              </w:rPr>
            </w:pPr>
          </w:p>
        </w:tc>
        <w:tc>
          <w:tcPr>
            <w:tcW w:w="546" w:type="pct"/>
            <w:tcBorders>
              <w:bottom w:val="nil"/>
            </w:tcBorders>
          </w:tcPr>
          <w:p w14:paraId="6F55E24B" w14:textId="77777777" w:rsidR="00B561CB" w:rsidRPr="008A2601" w:rsidRDefault="00B561CB" w:rsidP="00185675">
            <w:pPr>
              <w:pStyle w:val="TableText0"/>
              <w:keepLines/>
              <w:jc w:val="center"/>
              <w:rPr>
                <w:b/>
              </w:rPr>
            </w:pPr>
          </w:p>
        </w:tc>
        <w:tc>
          <w:tcPr>
            <w:tcW w:w="545" w:type="pct"/>
            <w:tcBorders>
              <w:bottom w:val="nil"/>
            </w:tcBorders>
          </w:tcPr>
          <w:p w14:paraId="4CD75114" w14:textId="77777777" w:rsidR="00B561CB" w:rsidRPr="008A2601" w:rsidRDefault="00B561CB" w:rsidP="00185675">
            <w:pPr>
              <w:pStyle w:val="TableText0"/>
              <w:keepLines/>
              <w:jc w:val="center"/>
              <w:rPr>
                <w:b/>
              </w:rPr>
            </w:pPr>
          </w:p>
        </w:tc>
        <w:tc>
          <w:tcPr>
            <w:tcW w:w="546" w:type="pct"/>
            <w:tcBorders>
              <w:bottom w:val="nil"/>
            </w:tcBorders>
          </w:tcPr>
          <w:p w14:paraId="7B4E5397" w14:textId="77777777" w:rsidR="00B561CB" w:rsidRPr="008A2601" w:rsidRDefault="00B561CB" w:rsidP="00185675">
            <w:pPr>
              <w:pStyle w:val="TableText0"/>
              <w:keepLines/>
              <w:jc w:val="center"/>
              <w:rPr>
                <w:b/>
              </w:rPr>
            </w:pPr>
          </w:p>
        </w:tc>
        <w:tc>
          <w:tcPr>
            <w:tcW w:w="546" w:type="pct"/>
            <w:tcBorders>
              <w:bottom w:val="nil"/>
            </w:tcBorders>
          </w:tcPr>
          <w:p w14:paraId="06E9B435" w14:textId="77777777" w:rsidR="00B561CB" w:rsidRPr="008A2601" w:rsidRDefault="00B561CB" w:rsidP="00185675">
            <w:pPr>
              <w:pStyle w:val="TableText0"/>
              <w:keepLines/>
              <w:jc w:val="center"/>
              <w:rPr>
                <w:b/>
              </w:rPr>
            </w:pPr>
          </w:p>
        </w:tc>
      </w:tr>
      <w:tr w:rsidR="00B561CB" w:rsidRPr="008A2601" w14:paraId="6D725DD0" w14:textId="77777777" w:rsidTr="006E519A">
        <w:tc>
          <w:tcPr>
            <w:tcW w:w="1727" w:type="pct"/>
            <w:tcBorders>
              <w:top w:val="nil"/>
              <w:bottom w:val="nil"/>
            </w:tcBorders>
          </w:tcPr>
          <w:p w14:paraId="4368D65E" w14:textId="2E556469" w:rsidR="00B561CB" w:rsidRPr="008A2601" w:rsidRDefault="00B561CB" w:rsidP="00185675">
            <w:pPr>
              <w:pStyle w:val="TableText0"/>
              <w:keepLines/>
              <w:numPr>
                <w:ilvl w:val="0"/>
                <w:numId w:val="19"/>
              </w:numPr>
              <w:ind w:left="396" w:hanging="324"/>
            </w:pPr>
            <w:r w:rsidRPr="008A2601">
              <w:t xml:space="preserve">Induction remission parameter: </w:t>
            </w:r>
            <w:r w:rsidR="006E519A" w:rsidRPr="008A2601">
              <w:t>% achieving clinical remission set to GUS (48.06%) for all b/</w:t>
            </w:r>
            <w:proofErr w:type="spellStart"/>
            <w:r w:rsidR="006E519A" w:rsidRPr="008A2601">
              <w:t>tsDMARDs</w:t>
            </w:r>
            <w:r w:rsidRPr="008A2601">
              <w:rPr>
                <w:vertAlign w:val="superscript"/>
              </w:rPr>
              <w:t>b</w:t>
            </w:r>
            <w:proofErr w:type="spellEnd"/>
          </w:p>
        </w:tc>
        <w:tc>
          <w:tcPr>
            <w:tcW w:w="545" w:type="pct"/>
            <w:tcBorders>
              <w:top w:val="nil"/>
              <w:bottom w:val="nil"/>
            </w:tcBorders>
          </w:tcPr>
          <w:p w14:paraId="27F4A9F1" w14:textId="1CC77578" w:rsidR="00B561CB" w:rsidRPr="008A2601" w:rsidRDefault="00B561CB" w:rsidP="00185675">
            <w:pPr>
              <w:pStyle w:val="TableText0"/>
              <w:keepLines/>
              <w:jc w:val="center"/>
            </w:pPr>
            <w:r w:rsidRPr="008A2601">
              <w:t>$</w:t>
            </w:r>
            <w:r w:rsidR="00E77A69" w:rsidRPr="00127E81">
              <w:rPr>
                <w:color w:val="000000"/>
                <w:spacing w:val="53"/>
                <w:shd w:val="solid" w:color="000000" w:fill="000000"/>
                <w:fitText w:val="330" w:id="-628921340"/>
                <w14:textFill>
                  <w14:solidFill>
                    <w14:srgbClr w14:val="000000">
                      <w14:alpha w14:val="100000"/>
                    </w14:srgbClr>
                  </w14:solidFill>
                </w14:textFill>
              </w:rPr>
              <w:t>|||</w:t>
            </w:r>
            <w:r w:rsidR="00E77A69" w:rsidRPr="00127E81">
              <w:rPr>
                <w:color w:val="000000"/>
                <w:spacing w:val="1"/>
                <w:shd w:val="solid" w:color="000000" w:fill="000000"/>
                <w:fitText w:val="330" w:id="-628921340"/>
                <w14:textFill>
                  <w14:solidFill>
                    <w14:srgbClr w14:val="000000">
                      <w14:alpha w14:val="100000"/>
                    </w14:srgbClr>
                  </w14:solidFill>
                </w14:textFill>
              </w:rPr>
              <w:t>|</w:t>
            </w:r>
          </w:p>
        </w:tc>
        <w:tc>
          <w:tcPr>
            <w:tcW w:w="546" w:type="pct"/>
            <w:tcBorders>
              <w:top w:val="nil"/>
              <w:bottom w:val="nil"/>
            </w:tcBorders>
          </w:tcPr>
          <w:p w14:paraId="70285B90" w14:textId="77777777" w:rsidR="00B561CB" w:rsidRPr="008A2601" w:rsidRDefault="00B561CB" w:rsidP="00185675">
            <w:pPr>
              <w:pStyle w:val="TableText0"/>
              <w:keepLines/>
              <w:jc w:val="center"/>
            </w:pPr>
            <w:r w:rsidRPr="008A2601">
              <w:t>0.157</w:t>
            </w:r>
          </w:p>
        </w:tc>
        <w:tc>
          <w:tcPr>
            <w:tcW w:w="546" w:type="pct"/>
            <w:tcBorders>
              <w:top w:val="nil"/>
              <w:bottom w:val="nil"/>
            </w:tcBorders>
          </w:tcPr>
          <w:p w14:paraId="574D9B6C" w14:textId="49741338" w:rsidR="00B561CB" w:rsidRPr="00933330"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39"/>
                <w14:textFill>
                  <w14:solidFill>
                    <w14:srgbClr w14:val="000000">
                      <w14:alpha w14:val="100000"/>
                    </w14:srgbClr>
                  </w14:solidFill>
                </w14:textFill>
              </w:rPr>
              <w:t>|||</w:t>
            </w:r>
            <w:r w:rsidR="00E77A69" w:rsidRPr="00E77A69">
              <w:rPr>
                <w:color w:val="000000"/>
                <w:spacing w:val="1"/>
                <w:shd w:val="solid" w:color="000000" w:fill="000000"/>
                <w:fitText w:val="330" w:id="-628921339"/>
                <w14:textFill>
                  <w14:solidFill>
                    <w14:srgbClr w14:val="000000">
                      <w14:alpha w14:val="100000"/>
                    </w14:srgbClr>
                  </w14:solidFill>
                </w14:textFill>
              </w:rPr>
              <w:t>|</w:t>
            </w:r>
            <w:r w:rsidR="00933330">
              <w:rPr>
                <w:vertAlign w:val="superscript"/>
              </w:rPr>
              <w:t>1</w:t>
            </w:r>
          </w:p>
        </w:tc>
        <w:tc>
          <w:tcPr>
            <w:tcW w:w="545" w:type="pct"/>
            <w:tcBorders>
              <w:top w:val="nil"/>
              <w:bottom w:val="nil"/>
            </w:tcBorders>
          </w:tcPr>
          <w:p w14:paraId="57505EAA" w14:textId="0F6093E8"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38"/>
                <w14:textFill>
                  <w14:solidFill>
                    <w14:srgbClr w14:val="000000">
                      <w14:alpha w14:val="100000"/>
                    </w14:srgbClr>
                  </w14:solidFill>
                </w14:textFill>
              </w:rPr>
              <w:t>|||</w:t>
            </w:r>
            <w:r w:rsidR="00E77A69" w:rsidRPr="00E77A69">
              <w:rPr>
                <w:color w:val="000000"/>
                <w:spacing w:val="1"/>
                <w:shd w:val="solid" w:color="000000" w:fill="000000"/>
                <w:fitText w:val="330" w:id="-628921338"/>
                <w14:textFill>
                  <w14:solidFill>
                    <w14:srgbClr w14:val="000000">
                      <w14:alpha w14:val="100000"/>
                    </w14:srgbClr>
                  </w14:solidFill>
                </w14:textFill>
              </w:rPr>
              <w:t>|</w:t>
            </w:r>
          </w:p>
        </w:tc>
        <w:tc>
          <w:tcPr>
            <w:tcW w:w="546" w:type="pct"/>
            <w:tcBorders>
              <w:top w:val="nil"/>
              <w:bottom w:val="nil"/>
            </w:tcBorders>
          </w:tcPr>
          <w:p w14:paraId="414C9732" w14:textId="77777777" w:rsidR="00B561CB" w:rsidRPr="008A2601" w:rsidRDefault="00B561CB" w:rsidP="00185675">
            <w:pPr>
              <w:pStyle w:val="TableText0"/>
              <w:keepLines/>
              <w:jc w:val="center"/>
            </w:pPr>
            <w:r w:rsidRPr="008A2601">
              <w:t>0.213</w:t>
            </w:r>
          </w:p>
        </w:tc>
        <w:tc>
          <w:tcPr>
            <w:tcW w:w="546" w:type="pct"/>
            <w:tcBorders>
              <w:top w:val="nil"/>
              <w:bottom w:val="nil"/>
            </w:tcBorders>
          </w:tcPr>
          <w:p w14:paraId="3251212C" w14:textId="4A25CF2E" w:rsidR="00B561CB" w:rsidRPr="004834E8"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37"/>
                <w14:textFill>
                  <w14:solidFill>
                    <w14:srgbClr w14:val="000000">
                      <w14:alpha w14:val="100000"/>
                    </w14:srgbClr>
                  </w14:solidFill>
                </w14:textFill>
              </w:rPr>
              <w:t>|||</w:t>
            </w:r>
            <w:r w:rsidR="00E77A69" w:rsidRPr="00E77A69">
              <w:rPr>
                <w:color w:val="000000"/>
                <w:spacing w:val="1"/>
                <w:shd w:val="solid" w:color="000000" w:fill="000000"/>
                <w:fitText w:val="330" w:id="-628921337"/>
                <w14:textFill>
                  <w14:solidFill>
                    <w14:srgbClr w14:val="000000">
                      <w14:alpha w14:val="100000"/>
                    </w14:srgbClr>
                  </w14:solidFill>
                </w14:textFill>
              </w:rPr>
              <w:t>|</w:t>
            </w:r>
            <w:r w:rsidR="004834E8">
              <w:rPr>
                <w:vertAlign w:val="superscript"/>
              </w:rPr>
              <w:t>2</w:t>
            </w:r>
          </w:p>
        </w:tc>
      </w:tr>
      <w:tr w:rsidR="00B561CB" w:rsidRPr="008A2601" w14:paraId="45975B1E" w14:textId="77777777" w:rsidTr="006E519A">
        <w:tc>
          <w:tcPr>
            <w:tcW w:w="1727" w:type="pct"/>
            <w:tcBorders>
              <w:top w:val="nil"/>
              <w:bottom w:val="nil"/>
            </w:tcBorders>
          </w:tcPr>
          <w:p w14:paraId="5785E3AE" w14:textId="06A4D90E" w:rsidR="00B561CB" w:rsidRPr="008A2601" w:rsidRDefault="00B561CB" w:rsidP="00185675">
            <w:pPr>
              <w:pStyle w:val="TableText0"/>
              <w:keepLines/>
              <w:numPr>
                <w:ilvl w:val="0"/>
                <w:numId w:val="19"/>
              </w:numPr>
              <w:ind w:left="396" w:hanging="324"/>
            </w:pPr>
            <w:r w:rsidRPr="008A2601">
              <w:t xml:space="preserve">Loss of remission input 1: </w:t>
            </w:r>
            <w:r w:rsidR="006E519A" w:rsidRPr="008A2601">
              <w:t>% with clinical r</w:t>
            </w:r>
            <w:r w:rsidRPr="008A2601">
              <w:t xml:space="preserve">emission at </w:t>
            </w:r>
            <w:r w:rsidR="006E519A" w:rsidRPr="008A2601">
              <w:t xml:space="preserve">Week </w:t>
            </w:r>
            <w:r w:rsidRPr="008A2601">
              <w:t xml:space="preserve">48 </w:t>
            </w:r>
            <w:r w:rsidR="006E519A" w:rsidRPr="008A2601">
              <w:t>set to GUS for all b/</w:t>
            </w:r>
            <w:proofErr w:type="spellStart"/>
            <w:r w:rsidR="006E519A" w:rsidRPr="008A2601">
              <w:t>tsDMARDs</w:t>
            </w:r>
            <w:r w:rsidRPr="008A2601">
              <w:rPr>
                <w:b/>
                <w:bCs w:val="0"/>
                <w:vertAlign w:val="superscript"/>
              </w:rPr>
              <w:t>c</w:t>
            </w:r>
            <w:proofErr w:type="spellEnd"/>
          </w:p>
        </w:tc>
        <w:tc>
          <w:tcPr>
            <w:tcW w:w="545" w:type="pct"/>
            <w:tcBorders>
              <w:top w:val="nil"/>
              <w:bottom w:val="nil"/>
            </w:tcBorders>
          </w:tcPr>
          <w:p w14:paraId="467C7270" w14:textId="71C2A1AE"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36"/>
                <w14:textFill>
                  <w14:solidFill>
                    <w14:srgbClr w14:val="000000">
                      <w14:alpha w14:val="100000"/>
                    </w14:srgbClr>
                  </w14:solidFill>
                </w14:textFill>
              </w:rPr>
              <w:t>|||</w:t>
            </w:r>
            <w:r w:rsidR="00E77A69" w:rsidRPr="00E77A69">
              <w:rPr>
                <w:color w:val="000000"/>
                <w:spacing w:val="1"/>
                <w:shd w:val="solid" w:color="000000" w:fill="000000"/>
                <w:fitText w:val="330" w:id="-628921336"/>
                <w14:textFill>
                  <w14:solidFill>
                    <w14:srgbClr w14:val="000000">
                      <w14:alpha w14:val="100000"/>
                    </w14:srgbClr>
                  </w14:solidFill>
                </w14:textFill>
              </w:rPr>
              <w:t>|</w:t>
            </w:r>
          </w:p>
        </w:tc>
        <w:tc>
          <w:tcPr>
            <w:tcW w:w="546" w:type="pct"/>
            <w:tcBorders>
              <w:top w:val="nil"/>
              <w:bottom w:val="nil"/>
            </w:tcBorders>
          </w:tcPr>
          <w:p w14:paraId="2F3EFF91" w14:textId="77777777" w:rsidR="00B561CB" w:rsidRPr="008A2601" w:rsidRDefault="00B561CB" w:rsidP="00185675">
            <w:pPr>
              <w:pStyle w:val="TableText0"/>
              <w:keepLines/>
              <w:jc w:val="center"/>
            </w:pPr>
            <w:r w:rsidRPr="008A2601">
              <w:t>0.076</w:t>
            </w:r>
          </w:p>
        </w:tc>
        <w:tc>
          <w:tcPr>
            <w:tcW w:w="546" w:type="pct"/>
            <w:tcBorders>
              <w:top w:val="nil"/>
              <w:bottom w:val="nil"/>
            </w:tcBorders>
          </w:tcPr>
          <w:p w14:paraId="1EDF1F17" w14:textId="02D482CF" w:rsidR="00B561CB" w:rsidRPr="00E126BB"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35"/>
                <w14:textFill>
                  <w14:solidFill>
                    <w14:srgbClr w14:val="000000">
                      <w14:alpha w14:val="100000"/>
                    </w14:srgbClr>
                  </w14:solidFill>
                </w14:textFill>
              </w:rPr>
              <w:t>|||</w:t>
            </w:r>
            <w:r w:rsidR="00E77A69" w:rsidRPr="00E77A69">
              <w:rPr>
                <w:color w:val="000000"/>
                <w:spacing w:val="1"/>
                <w:shd w:val="solid" w:color="000000" w:fill="000000"/>
                <w:fitText w:val="330" w:id="-628921335"/>
                <w14:textFill>
                  <w14:solidFill>
                    <w14:srgbClr w14:val="000000">
                      <w14:alpha w14:val="100000"/>
                    </w14:srgbClr>
                  </w14:solidFill>
                </w14:textFill>
              </w:rPr>
              <w:t>|</w:t>
            </w:r>
            <w:r w:rsidR="00E126BB">
              <w:rPr>
                <w:vertAlign w:val="superscript"/>
              </w:rPr>
              <w:t>3</w:t>
            </w:r>
          </w:p>
        </w:tc>
        <w:tc>
          <w:tcPr>
            <w:tcW w:w="545" w:type="pct"/>
            <w:tcBorders>
              <w:top w:val="nil"/>
              <w:bottom w:val="nil"/>
            </w:tcBorders>
          </w:tcPr>
          <w:p w14:paraId="70B87EC8" w14:textId="5E6AE85B"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34"/>
                <w14:textFill>
                  <w14:solidFill>
                    <w14:srgbClr w14:val="000000">
                      <w14:alpha w14:val="100000"/>
                    </w14:srgbClr>
                  </w14:solidFill>
                </w14:textFill>
              </w:rPr>
              <w:t>|||</w:t>
            </w:r>
            <w:r w:rsidR="00E77A69" w:rsidRPr="00E77A69">
              <w:rPr>
                <w:color w:val="000000"/>
                <w:spacing w:val="1"/>
                <w:shd w:val="solid" w:color="000000" w:fill="000000"/>
                <w:fitText w:val="330" w:id="-628921334"/>
                <w14:textFill>
                  <w14:solidFill>
                    <w14:srgbClr w14:val="000000">
                      <w14:alpha w14:val="100000"/>
                    </w14:srgbClr>
                  </w14:solidFill>
                </w14:textFill>
              </w:rPr>
              <w:t>|</w:t>
            </w:r>
          </w:p>
        </w:tc>
        <w:tc>
          <w:tcPr>
            <w:tcW w:w="546" w:type="pct"/>
            <w:tcBorders>
              <w:top w:val="nil"/>
              <w:bottom w:val="nil"/>
            </w:tcBorders>
          </w:tcPr>
          <w:p w14:paraId="70E4BF28" w14:textId="77777777" w:rsidR="00B561CB" w:rsidRPr="008A2601" w:rsidRDefault="00B561CB" w:rsidP="00185675">
            <w:pPr>
              <w:pStyle w:val="TableText0"/>
              <w:keepLines/>
              <w:jc w:val="center"/>
            </w:pPr>
            <w:r w:rsidRPr="008A2601">
              <w:t>0.080</w:t>
            </w:r>
          </w:p>
        </w:tc>
        <w:tc>
          <w:tcPr>
            <w:tcW w:w="546" w:type="pct"/>
            <w:tcBorders>
              <w:top w:val="nil"/>
              <w:bottom w:val="nil"/>
            </w:tcBorders>
          </w:tcPr>
          <w:p w14:paraId="12864F28" w14:textId="457C8E5E" w:rsidR="00B561CB" w:rsidRPr="00E126BB"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33"/>
                <w14:textFill>
                  <w14:solidFill>
                    <w14:srgbClr w14:val="000000">
                      <w14:alpha w14:val="100000"/>
                    </w14:srgbClr>
                  </w14:solidFill>
                </w14:textFill>
              </w:rPr>
              <w:t>|||</w:t>
            </w:r>
            <w:r w:rsidR="00E77A69" w:rsidRPr="00E77A69">
              <w:rPr>
                <w:color w:val="000000"/>
                <w:spacing w:val="1"/>
                <w:shd w:val="solid" w:color="000000" w:fill="000000"/>
                <w:fitText w:val="330" w:id="-628921333"/>
                <w14:textFill>
                  <w14:solidFill>
                    <w14:srgbClr w14:val="000000">
                      <w14:alpha w14:val="100000"/>
                    </w14:srgbClr>
                  </w14:solidFill>
                </w14:textFill>
              </w:rPr>
              <w:t>|</w:t>
            </w:r>
            <w:r w:rsidR="00E126BB">
              <w:rPr>
                <w:vertAlign w:val="superscript"/>
              </w:rPr>
              <w:t>3</w:t>
            </w:r>
          </w:p>
        </w:tc>
      </w:tr>
      <w:tr w:rsidR="00B561CB" w:rsidRPr="008A2601" w14:paraId="3B467D5F" w14:textId="77777777" w:rsidTr="006E519A">
        <w:tc>
          <w:tcPr>
            <w:tcW w:w="1727" w:type="pct"/>
            <w:tcBorders>
              <w:top w:val="nil"/>
              <w:bottom w:val="nil"/>
            </w:tcBorders>
          </w:tcPr>
          <w:p w14:paraId="5A8F6078" w14:textId="61F6ADC6" w:rsidR="00B561CB" w:rsidRPr="008A2601" w:rsidRDefault="00B561CB" w:rsidP="00185675">
            <w:pPr>
              <w:pStyle w:val="TableText0"/>
              <w:keepLines/>
              <w:numPr>
                <w:ilvl w:val="0"/>
                <w:numId w:val="19"/>
              </w:numPr>
              <w:ind w:left="396" w:hanging="324"/>
            </w:pPr>
            <w:r w:rsidRPr="008A2601">
              <w:t xml:space="preserve">Loss of remission input 2: </w:t>
            </w:r>
            <w:r w:rsidR="006E519A" w:rsidRPr="008A2601">
              <w:t xml:space="preserve">loss of response </w:t>
            </w:r>
            <w:proofErr w:type="gramStart"/>
            <w:r w:rsidR="006E519A" w:rsidRPr="008A2601">
              <w:t>time period</w:t>
            </w:r>
            <w:proofErr w:type="gramEnd"/>
            <w:r w:rsidR="006E519A" w:rsidRPr="008A2601">
              <w:t xml:space="preserve"> set to GUS (36 weeks) for all b/</w:t>
            </w:r>
            <w:proofErr w:type="spellStart"/>
            <w:r w:rsidR="006E519A" w:rsidRPr="008A2601">
              <w:t>tsDMARDs</w:t>
            </w:r>
            <w:r w:rsidRPr="008A2601">
              <w:rPr>
                <w:vertAlign w:val="superscript"/>
              </w:rPr>
              <w:t>f</w:t>
            </w:r>
            <w:proofErr w:type="spellEnd"/>
          </w:p>
        </w:tc>
        <w:tc>
          <w:tcPr>
            <w:tcW w:w="545" w:type="pct"/>
            <w:tcBorders>
              <w:top w:val="nil"/>
              <w:bottom w:val="nil"/>
            </w:tcBorders>
          </w:tcPr>
          <w:p w14:paraId="4974BBE0" w14:textId="7A0FFE55"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32"/>
                <w14:textFill>
                  <w14:solidFill>
                    <w14:srgbClr w14:val="000000">
                      <w14:alpha w14:val="100000"/>
                    </w14:srgbClr>
                  </w14:solidFill>
                </w14:textFill>
              </w:rPr>
              <w:t>|||</w:t>
            </w:r>
            <w:r w:rsidR="00E77A69" w:rsidRPr="00E77A69">
              <w:rPr>
                <w:color w:val="000000"/>
                <w:spacing w:val="1"/>
                <w:shd w:val="solid" w:color="000000" w:fill="000000"/>
                <w:fitText w:val="330" w:id="-628921332"/>
                <w14:textFill>
                  <w14:solidFill>
                    <w14:srgbClr w14:val="000000">
                      <w14:alpha w14:val="100000"/>
                    </w14:srgbClr>
                  </w14:solidFill>
                </w14:textFill>
              </w:rPr>
              <w:t>|</w:t>
            </w:r>
          </w:p>
        </w:tc>
        <w:tc>
          <w:tcPr>
            <w:tcW w:w="546" w:type="pct"/>
            <w:tcBorders>
              <w:top w:val="nil"/>
              <w:bottom w:val="nil"/>
            </w:tcBorders>
          </w:tcPr>
          <w:p w14:paraId="1E5869E0" w14:textId="77777777" w:rsidR="00B561CB" w:rsidRPr="008A2601" w:rsidRDefault="00B561CB" w:rsidP="00185675">
            <w:pPr>
              <w:pStyle w:val="TableText0"/>
              <w:keepLines/>
              <w:jc w:val="center"/>
            </w:pPr>
            <w:r w:rsidRPr="008A2601">
              <w:t>0.114</w:t>
            </w:r>
          </w:p>
        </w:tc>
        <w:tc>
          <w:tcPr>
            <w:tcW w:w="546" w:type="pct"/>
            <w:tcBorders>
              <w:top w:val="nil"/>
              <w:bottom w:val="nil"/>
            </w:tcBorders>
          </w:tcPr>
          <w:p w14:paraId="40E286A0" w14:textId="6B9869A8" w:rsidR="00B561CB" w:rsidRPr="00160307"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31"/>
                <w14:textFill>
                  <w14:solidFill>
                    <w14:srgbClr w14:val="000000">
                      <w14:alpha w14:val="100000"/>
                    </w14:srgbClr>
                  </w14:solidFill>
                </w14:textFill>
              </w:rPr>
              <w:t>|||</w:t>
            </w:r>
            <w:r w:rsidR="00E77A69" w:rsidRPr="00E77A69">
              <w:rPr>
                <w:color w:val="000000"/>
                <w:spacing w:val="1"/>
                <w:shd w:val="solid" w:color="000000" w:fill="000000"/>
                <w:fitText w:val="330" w:id="-628921331"/>
                <w14:textFill>
                  <w14:solidFill>
                    <w14:srgbClr w14:val="000000">
                      <w14:alpha w14:val="100000"/>
                    </w14:srgbClr>
                  </w14:solidFill>
                </w14:textFill>
              </w:rPr>
              <w:t>|</w:t>
            </w:r>
            <w:r w:rsidR="00160307">
              <w:rPr>
                <w:vertAlign w:val="superscript"/>
              </w:rPr>
              <w:t>4</w:t>
            </w:r>
          </w:p>
        </w:tc>
        <w:tc>
          <w:tcPr>
            <w:tcW w:w="545" w:type="pct"/>
            <w:tcBorders>
              <w:top w:val="nil"/>
              <w:bottom w:val="nil"/>
            </w:tcBorders>
          </w:tcPr>
          <w:p w14:paraId="4D537035" w14:textId="11C5A693"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30"/>
                <w14:textFill>
                  <w14:solidFill>
                    <w14:srgbClr w14:val="000000">
                      <w14:alpha w14:val="100000"/>
                    </w14:srgbClr>
                  </w14:solidFill>
                </w14:textFill>
              </w:rPr>
              <w:t>|||</w:t>
            </w:r>
            <w:r w:rsidR="00E77A69" w:rsidRPr="00E77A69">
              <w:rPr>
                <w:color w:val="000000"/>
                <w:spacing w:val="1"/>
                <w:shd w:val="solid" w:color="000000" w:fill="000000"/>
                <w:fitText w:val="330" w:id="-628921330"/>
                <w14:textFill>
                  <w14:solidFill>
                    <w14:srgbClr w14:val="000000">
                      <w14:alpha w14:val="100000"/>
                    </w14:srgbClr>
                  </w14:solidFill>
                </w14:textFill>
              </w:rPr>
              <w:t>|</w:t>
            </w:r>
          </w:p>
        </w:tc>
        <w:tc>
          <w:tcPr>
            <w:tcW w:w="546" w:type="pct"/>
            <w:tcBorders>
              <w:top w:val="nil"/>
              <w:bottom w:val="nil"/>
            </w:tcBorders>
          </w:tcPr>
          <w:p w14:paraId="1504710E" w14:textId="77777777" w:rsidR="00B561CB" w:rsidRPr="008A2601" w:rsidRDefault="00B561CB" w:rsidP="00185675">
            <w:pPr>
              <w:pStyle w:val="TableText0"/>
              <w:keepLines/>
              <w:jc w:val="center"/>
            </w:pPr>
            <w:r w:rsidRPr="008A2601">
              <w:t>0.175</w:t>
            </w:r>
          </w:p>
        </w:tc>
        <w:tc>
          <w:tcPr>
            <w:tcW w:w="546" w:type="pct"/>
            <w:tcBorders>
              <w:top w:val="nil"/>
              <w:bottom w:val="nil"/>
            </w:tcBorders>
          </w:tcPr>
          <w:p w14:paraId="6671EAB8" w14:textId="753C3A77" w:rsidR="00B561CB" w:rsidRPr="00933330"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29"/>
                <w14:textFill>
                  <w14:solidFill>
                    <w14:srgbClr w14:val="000000">
                      <w14:alpha w14:val="100000"/>
                    </w14:srgbClr>
                  </w14:solidFill>
                </w14:textFill>
              </w:rPr>
              <w:t>|||</w:t>
            </w:r>
            <w:r w:rsidR="00E77A69" w:rsidRPr="00E77A69">
              <w:rPr>
                <w:color w:val="000000"/>
                <w:spacing w:val="1"/>
                <w:shd w:val="solid" w:color="000000" w:fill="000000"/>
                <w:fitText w:val="330" w:id="-628921329"/>
                <w14:textFill>
                  <w14:solidFill>
                    <w14:srgbClr w14:val="000000">
                      <w14:alpha w14:val="100000"/>
                    </w14:srgbClr>
                  </w14:solidFill>
                </w14:textFill>
              </w:rPr>
              <w:t>|</w:t>
            </w:r>
            <w:r w:rsidR="00933330">
              <w:rPr>
                <w:vertAlign w:val="superscript"/>
              </w:rPr>
              <w:t>1</w:t>
            </w:r>
          </w:p>
        </w:tc>
      </w:tr>
      <w:tr w:rsidR="00B561CB" w:rsidRPr="008A2601" w14:paraId="78FD490F" w14:textId="77777777" w:rsidTr="006E519A">
        <w:tc>
          <w:tcPr>
            <w:tcW w:w="1727" w:type="pct"/>
            <w:tcBorders>
              <w:top w:val="nil"/>
              <w:bottom w:val="nil"/>
            </w:tcBorders>
          </w:tcPr>
          <w:p w14:paraId="1A4467E7" w14:textId="4C7E62CF" w:rsidR="00B561CB" w:rsidRPr="008A2601" w:rsidRDefault="00B561CB" w:rsidP="00185675">
            <w:pPr>
              <w:pStyle w:val="TableText0"/>
              <w:keepLines/>
              <w:numPr>
                <w:ilvl w:val="0"/>
                <w:numId w:val="19"/>
              </w:numPr>
              <w:ind w:left="396" w:hanging="324"/>
            </w:pPr>
            <w:r w:rsidRPr="008A2601">
              <w:t xml:space="preserve">Subsequent conventional therapy 2L parameter: </w:t>
            </w:r>
            <w:r w:rsidR="006E519A" w:rsidRPr="008A2601">
              <w:t>set to GUS (19.4%) for all b/</w:t>
            </w:r>
            <w:proofErr w:type="spellStart"/>
            <w:r w:rsidR="006E519A" w:rsidRPr="008A2601">
              <w:t>tsDMARDs</w:t>
            </w:r>
            <w:r w:rsidRPr="008A2601">
              <w:rPr>
                <w:vertAlign w:val="superscript"/>
              </w:rPr>
              <w:t>d</w:t>
            </w:r>
            <w:proofErr w:type="spellEnd"/>
          </w:p>
        </w:tc>
        <w:tc>
          <w:tcPr>
            <w:tcW w:w="545" w:type="pct"/>
            <w:tcBorders>
              <w:top w:val="nil"/>
              <w:bottom w:val="nil"/>
            </w:tcBorders>
          </w:tcPr>
          <w:p w14:paraId="4D52B9D8" w14:textId="53E8FA85"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28"/>
                <w14:textFill>
                  <w14:solidFill>
                    <w14:srgbClr w14:val="000000">
                      <w14:alpha w14:val="100000"/>
                    </w14:srgbClr>
                  </w14:solidFill>
                </w14:textFill>
              </w:rPr>
              <w:t>|||</w:t>
            </w:r>
            <w:r w:rsidR="00E77A69" w:rsidRPr="00E77A69">
              <w:rPr>
                <w:color w:val="000000"/>
                <w:spacing w:val="1"/>
                <w:shd w:val="solid" w:color="000000" w:fill="000000"/>
                <w:fitText w:val="330" w:id="-628921328"/>
                <w14:textFill>
                  <w14:solidFill>
                    <w14:srgbClr w14:val="000000">
                      <w14:alpha w14:val="100000"/>
                    </w14:srgbClr>
                  </w14:solidFill>
                </w14:textFill>
              </w:rPr>
              <w:t>|</w:t>
            </w:r>
          </w:p>
        </w:tc>
        <w:tc>
          <w:tcPr>
            <w:tcW w:w="546" w:type="pct"/>
            <w:tcBorders>
              <w:top w:val="nil"/>
              <w:bottom w:val="nil"/>
            </w:tcBorders>
          </w:tcPr>
          <w:p w14:paraId="79B084C2" w14:textId="77777777" w:rsidR="00B561CB" w:rsidRPr="008A2601" w:rsidRDefault="00B561CB" w:rsidP="00185675">
            <w:pPr>
              <w:pStyle w:val="TableText0"/>
              <w:keepLines/>
              <w:jc w:val="center"/>
            </w:pPr>
            <w:r w:rsidRPr="008A2601">
              <w:t>0.155</w:t>
            </w:r>
          </w:p>
        </w:tc>
        <w:tc>
          <w:tcPr>
            <w:tcW w:w="546" w:type="pct"/>
            <w:tcBorders>
              <w:top w:val="nil"/>
              <w:bottom w:val="nil"/>
            </w:tcBorders>
          </w:tcPr>
          <w:p w14:paraId="03E1F8E5" w14:textId="623940B3" w:rsidR="00B561CB" w:rsidRPr="00933330"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44"/>
                <w14:textFill>
                  <w14:solidFill>
                    <w14:srgbClr w14:val="000000">
                      <w14:alpha w14:val="100000"/>
                    </w14:srgbClr>
                  </w14:solidFill>
                </w14:textFill>
              </w:rPr>
              <w:t>|||</w:t>
            </w:r>
            <w:r w:rsidR="00E77A69" w:rsidRPr="00E77A69">
              <w:rPr>
                <w:color w:val="000000"/>
                <w:spacing w:val="1"/>
                <w:shd w:val="solid" w:color="000000" w:fill="000000"/>
                <w:fitText w:val="330" w:id="-628921344"/>
                <w14:textFill>
                  <w14:solidFill>
                    <w14:srgbClr w14:val="000000">
                      <w14:alpha w14:val="100000"/>
                    </w14:srgbClr>
                  </w14:solidFill>
                </w14:textFill>
              </w:rPr>
              <w:t>|</w:t>
            </w:r>
            <w:r w:rsidR="00933330">
              <w:rPr>
                <w:vertAlign w:val="superscript"/>
              </w:rPr>
              <w:t>1</w:t>
            </w:r>
          </w:p>
        </w:tc>
        <w:tc>
          <w:tcPr>
            <w:tcW w:w="545" w:type="pct"/>
            <w:tcBorders>
              <w:top w:val="nil"/>
              <w:bottom w:val="nil"/>
            </w:tcBorders>
          </w:tcPr>
          <w:p w14:paraId="0F162AC2" w14:textId="3E325543"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43"/>
                <w14:textFill>
                  <w14:solidFill>
                    <w14:srgbClr w14:val="000000">
                      <w14:alpha w14:val="100000"/>
                    </w14:srgbClr>
                  </w14:solidFill>
                </w14:textFill>
              </w:rPr>
              <w:t>|||</w:t>
            </w:r>
            <w:r w:rsidR="00E77A69" w:rsidRPr="00E77A69">
              <w:rPr>
                <w:color w:val="000000"/>
                <w:spacing w:val="1"/>
                <w:shd w:val="solid" w:color="000000" w:fill="000000"/>
                <w:fitText w:val="330" w:id="-628921343"/>
                <w14:textFill>
                  <w14:solidFill>
                    <w14:srgbClr w14:val="000000">
                      <w14:alpha w14:val="100000"/>
                    </w14:srgbClr>
                  </w14:solidFill>
                </w14:textFill>
              </w:rPr>
              <w:t>|</w:t>
            </w:r>
          </w:p>
        </w:tc>
        <w:tc>
          <w:tcPr>
            <w:tcW w:w="546" w:type="pct"/>
            <w:tcBorders>
              <w:top w:val="nil"/>
              <w:bottom w:val="nil"/>
            </w:tcBorders>
          </w:tcPr>
          <w:p w14:paraId="6073057A" w14:textId="77777777" w:rsidR="00B561CB" w:rsidRPr="008A2601" w:rsidRDefault="00B561CB" w:rsidP="00185675">
            <w:pPr>
              <w:pStyle w:val="TableText0"/>
              <w:keepLines/>
              <w:jc w:val="center"/>
            </w:pPr>
            <w:r w:rsidRPr="008A2601">
              <w:t>0.216</w:t>
            </w:r>
          </w:p>
        </w:tc>
        <w:tc>
          <w:tcPr>
            <w:tcW w:w="546" w:type="pct"/>
            <w:tcBorders>
              <w:top w:val="nil"/>
              <w:bottom w:val="nil"/>
            </w:tcBorders>
          </w:tcPr>
          <w:p w14:paraId="37A61195" w14:textId="44AA6916" w:rsidR="00B561CB" w:rsidRPr="00221B6E"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42"/>
                <w14:textFill>
                  <w14:solidFill>
                    <w14:srgbClr w14:val="000000">
                      <w14:alpha w14:val="100000"/>
                    </w14:srgbClr>
                  </w14:solidFill>
                </w14:textFill>
              </w:rPr>
              <w:t>|||</w:t>
            </w:r>
            <w:r w:rsidR="00E77A69" w:rsidRPr="00E77A69">
              <w:rPr>
                <w:color w:val="000000"/>
                <w:spacing w:val="1"/>
                <w:shd w:val="solid" w:color="000000" w:fill="000000"/>
                <w:fitText w:val="330" w:id="-628921342"/>
                <w14:textFill>
                  <w14:solidFill>
                    <w14:srgbClr w14:val="000000">
                      <w14:alpha w14:val="100000"/>
                    </w14:srgbClr>
                  </w14:solidFill>
                </w14:textFill>
              </w:rPr>
              <w:t>|</w:t>
            </w:r>
            <w:r w:rsidR="00221B6E">
              <w:rPr>
                <w:vertAlign w:val="superscript"/>
              </w:rPr>
              <w:t>2</w:t>
            </w:r>
          </w:p>
        </w:tc>
      </w:tr>
      <w:tr w:rsidR="00B561CB" w:rsidRPr="008A2601" w14:paraId="2EB470DE" w14:textId="77777777" w:rsidTr="006E519A">
        <w:tc>
          <w:tcPr>
            <w:tcW w:w="1727" w:type="pct"/>
            <w:tcBorders>
              <w:top w:val="nil"/>
              <w:bottom w:val="nil"/>
            </w:tcBorders>
          </w:tcPr>
          <w:p w14:paraId="27E8ACAD" w14:textId="555E9717" w:rsidR="00B561CB" w:rsidRPr="008A2601" w:rsidRDefault="00B561CB" w:rsidP="00096092">
            <w:pPr>
              <w:pStyle w:val="TableText0"/>
              <w:keepNext w:val="0"/>
              <w:numPr>
                <w:ilvl w:val="0"/>
                <w:numId w:val="19"/>
              </w:numPr>
              <w:ind w:left="396" w:hanging="324"/>
            </w:pPr>
            <w:r w:rsidRPr="008A2601">
              <w:t xml:space="preserve">Subsequent conventional therapy 3L parameter: </w:t>
            </w:r>
            <w:r w:rsidR="006E519A" w:rsidRPr="008A2601">
              <w:t>set to GUS (12.6%) for all b/</w:t>
            </w:r>
            <w:proofErr w:type="spellStart"/>
            <w:r w:rsidR="006E519A" w:rsidRPr="008A2601">
              <w:t>tsDMARDs</w:t>
            </w:r>
            <w:r w:rsidRPr="008A2601">
              <w:rPr>
                <w:vertAlign w:val="superscript"/>
              </w:rPr>
              <w:t>e</w:t>
            </w:r>
            <w:proofErr w:type="spellEnd"/>
          </w:p>
        </w:tc>
        <w:tc>
          <w:tcPr>
            <w:tcW w:w="545" w:type="pct"/>
            <w:tcBorders>
              <w:top w:val="nil"/>
              <w:bottom w:val="nil"/>
            </w:tcBorders>
          </w:tcPr>
          <w:p w14:paraId="243535CD" w14:textId="6C9AB6AB"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41"/>
                <w14:textFill>
                  <w14:solidFill>
                    <w14:srgbClr w14:val="000000">
                      <w14:alpha w14:val="100000"/>
                    </w14:srgbClr>
                  </w14:solidFill>
                </w14:textFill>
              </w:rPr>
              <w:t>|||</w:t>
            </w:r>
            <w:r w:rsidR="00E77A69" w:rsidRPr="00E77A69">
              <w:rPr>
                <w:color w:val="000000"/>
                <w:spacing w:val="1"/>
                <w:shd w:val="solid" w:color="000000" w:fill="000000"/>
                <w:fitText w:val="330" w:id="-628921341"/>
                <w14:textFill>
                  <w14:solidFill>
                    <w14:srgbClr w14:val="000000">
                      <w14:alpha w14:val="100000"/>
                    </w14:srgbClr>
                  </w14:solidFill>
                </w14:textFill>
              </w:rPr>
              <w:t>|</w:t>
            </w:r>
          </w:p>
        </w:tc>
        <w:tc>
          <w:tcPr>
            <w:tcW w:w="546" w:type="pct"/>
            <w:tcBorders>
              <w:top w:val="nil"/>
              <w:bottom w:val="nil"/>
            </w:tcBorders>
          </w:tcPr>
          <w:p w14:paraId="285DC1DB" w14:textId="77777777" w:rsidR="00B561CB" w:rsidRPr="008A2601" w:rsidRDefault="00B561CB" w:rsidP="00286E68">
            <w:pPr>
              <w:pStyle w:val="TableText0"/>
              <w:keepNext w:val="0"/>
              <w:jc w:val="center"/>
            </w:pPr>
            <w:r w:rsidRPr="008A2601">
              <w:t>0.144</w:t>
            </w:r>
          </w:p>
        </w:tc>
        <w:tc>
          <w:tcPr>
            <w:tcW w:w="546" w:type="pct"/>
            <w:tcBorders>
              <w:top w:val="nil"/>
              <w:bottom w:val="nil"/>
            </w:tcBorders>
          </w:tcPr>
          <w:p w14:paraId="2FE2B3DE" w14:textId="04F14AA3" w:rsidR="00B561CB" w:rsidRPr="002523DA"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40"/>
                <w14:textFill>
                  <w14:solidFill>
                    <w14:srgbClr w14:val="000000">
                      <w14:alpha w14:val="100000"/>
                    </w14:srgbClr>
                  </w14:solidFill>
                </w14:textFill>
              </w:rPr>
              <w:t>|||</w:t>
            </w:r>
            <w:r w:rsidR="00E77A69" w:rsidRPr="00E77A69">
              <w:rPr>
                <w:color w:val="000000"/>
                <w:spacing w:val="1"/>
                <w:shd w:val="solid" w:color="000000" w:fill="000000"/>
                <w:fitText w:val="330" w:id="-628921340"/>
                <w14:textFill>
                  <w14:solidFill>
                    <w14:srgbClr w14:val="000000">
                      <w14:alpha w14:val="100000"/>
                    </w14:srgbClr>
                  </w14:solidFill>
                </w14:textFill>
              </w:rPr>
              <w:t>|</w:t>
            </w:r>
            <w:r w:rsidR="002523DA">
              <w:rPr>
                <w:vertAlign w:val="superscript"/>
              </w:rPr>
              <w:t>5</w:t>
            </w:r>
          </w:p>
        </w:tc>
        <w:tc>
          <w:tcPr>
            <w:tcW w:w="545" w:type="pct"/>
            <w:tcBorders>
              <w:top w:val="nil"/>
              <w:bottom w:val="nil"/>
            </w:tcBorders>
          </w:tcPr>
          <w:p w14:paraId="271B262A" w14:textId="154FBA39"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9"/>
                <w14:textFill>
                  <w14:solidFill>
                    <w14:srgbClr w14:val="000000">
                      <w14:alpha w14:val="100000"/>
                    </w14:srgbClr>
                  </w14:solidFill>
                </w14:textFill>
              </w:rPr>
              <w:t>|||</w:t>
            </w:r>
            <w:r w:rsidR="00E77A69" w:rsidRPr="00E77A69">
              <w:rPr>
                <w:color w:val="000000"/>
                <w:spacing w:val="1"/>
                <w:shd w:val="solid" w:color="000000" w:fill="000000"/>
                <w:fitText w:val="330" w:id="-628921339"/>
                <w14:textFill>
                  <w14:solidFill>
                    <w14:srgbClr w14:val="000000">
                      <w14:alpha w14:val="100000"/>
                    </w14:srgbClr>
                  </w14:solidFill>
                </w14:textFill>
              </w:rPr>
              <w:t>|</w:t>
            </w:r>
          </w:p>
        </w:tc>
        <w:tc>
          <w:tcPr>
            <w:tcW w:w="546" w:type="pct"/>
            <w:tcBorders>
              <w:top w:val="nil"/>
              <w:bottom w:val="nil"/>
            </w:tcBorders>
          </w:tcPr>
          <w:p w14:paraId="5793DCEB" w14:textId="77777777" w:rsidR="00B561CB" w:rsidRPr="008A2601" w:rsidRDefault="00B561CB" w:rsidP="00286E68">
            <w:pPr>
              <w:pStyle w:val="TableText0"/>
              <w:keepNext w:val="0"/>
              <w:jc w:val="center"/>
            </w:pPr>
            <w:r w:rsidRPr="008A2601">
              <w:t>0.205</w:t>
            </w:r>
          </w:p>
        </w:tc>
        <w:tc>
          <w:tcPr>
            <w:tcW w:w="546" w:type="pct"/>
            <w:tcBorders>
              <w:top w:val="nil"/>
              <w:bottom w:val="nil"/>
            </w:tcBorders>
          </w:tcPr>
          <w:p w14:paraId="5E8EFE08" w14:textId="7008DE76" w:rsidR="00B561CB" w:rsidRPr="00221B6E"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8"/>
                <w14:textFill>
                  <w14:solidFill>
                    <w14:srgbClr w14:val="000000">
                      <w14:alpha w14:val="100000"/>
                    </w14:srgbClr>
                  </w14:solidFill>
                </w14:textFill>
              </w:rPr>
              <w:t>|||</w:t>
            </w:r>
            <w:r w:rsidR="00E77A69" w:rsidRPr="00E77A69">
              <w:rPr>
                <w:color w:val="000000"/>
                <w:spacing w:val="1"/>
                <w:shd w:val="solid" w:color="000000" w:fill="000000"/>
                <w:fitText w:val="330" w:id="-628921338"/>
                <w14:textFill>
                  <w14:solidFill>
                    <w14:srgbClr w14:val="000000">
                      <w14:alpha w14:val="100000"/>
                    </w14:srgbClr>
                  </w14:solidFill>
                </w14:textFill>
              </w:rPr>
              <w:t>|</w:t>
            </w:r>
            <w:r w:rsidR="00221B6E">
              <w:rPr>
                <w:vertAlign w:val="superscript"/>
              </w:rPr>
              <w:t>2</w:t>
            </w:r>
          </w:p>
        </w:tc>
      </w:tr>
      <w:tr w:rsidR="00B561CB" w:rsidRPr="008A2601" w14:paraId="1DD8217A" w14:textId="77777777" w:rsidTr="006E519A">
        <w:tc>
          <w:tcPr>
            <w:tcW w:w="1727" w:type="pct"/>
            <w:tcBorders>
              <w:top w:val="nil"/>
            </w:tcBorders>
          </w:tcPr>
          <w:p w14:paraId="5B5AC711" w14:textId="3F1767B2" w:rsidR="00B561CB" w:rsidRPr="008A2601" w:rsidRDefault="00B561CB" w:rsidP="00096092">
            <w:pPr>
              <w:pStyle w:val="TableText0"/>
              <w:keepNext w:val="0"/>
              <w:numPr>
                <w:ilvl w:val="0"/>
                <w:numId w:val="19"/>
              </w:numPr>
              <w:ind w:left="396" w:hanging="324"/>
            </w:pPr>
            <w:r w:rsidRPr="008A2601">
              <w:t xml:space="preserve">Endoscopic response parameter: </w:t>
            </w:r>
            <w:r w:rsidR="006E519A" w:rsidRPr="008A2601">
              <w:t>set to GUS for all b/</w:t>
            </w:r>
            <w:proofErr w:type="spellStart"/>
            <w:r w:rsidR="006E519A" w:rsidRPr="008A2601">
              <w:t>tsDMARDs</w:t>
            </w:r>
            <w:r w:rsidRPr="008A2601">
              <w:rPr>
                <w:vertAlign w:val="superscript"/>
              </w:rPr>
              <w:t>g</w:t>
            </w:r>
            <w:proofErr w:type="spellEnd"/>
          </w:p>
        </w:tc>
        <w:tc>
          <w:tcPr>
            <w:tcW w:w="545" w:type="pct"/>
            <w:tcBorders>
              <w:top w:val="nil"/>
              <w:bottom w:val="nil"/>
            </w:tcBorders>
          </w:tcPr>
          <w:p w14:paraId="4493CFE3" w14:textId="4D2CDFF6"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7"/>
                <w14:textFill>
                  <w14:solidFill>
                    <w14:srgbClr w14:val="000000">
                      <w14:alpha w14:val="100000"/>
                    </w14:srgbClr>
                  </w14:solidFill>
                </w14:textFill>
              </w:rPr>
              <w:t>|||</w:t>
            </w:r>
            <w:r w:rsidR="00E77A69" w:rsidRPr="00E77A69">
              <w:rPr>
                <w:color w:val="000000"/>
                <w:spacing w:val="1"/>
                <w:shd w:val="solid" w:color="000000" w:fill="000000"/>
                <w:fitText w:val="330" w:id="-628921337"/>
                <w14:textFill>
                  <w14:solidFill>
                    <w14:srgbClr w14:val="000000">
                      <w14:alpha w14:val="100000"/>
                    </w14:srgbClr>
                  </w14:solidFill>
                </w14:textFill>
              </w:rPr>
              <w:t>|</w:t>
            </w:r>
          </w:p>
        </w:tc>
        <w:tc>
          <w:tcPr>
            <w:tcW w:w="546" w:type="pct"/>
            <w:tcBorders>
              <w:top w:val="nil"/>
              <w:bottom w:val="nil"/>
            </w:tcBorders>
          </w:tcPr>
          <w:p w14:paraId="759B02D7" w14:textId="77777777" w:rsidR="00B561CB" w:rsidRPr="008A2601" w:rsidRDefault="00B561CB" w:rsidP="00286E68">
            <w:pPr>
              <w:pStyle w:val="TableText0"/>
              <w:keepNext w:val="0"/>
              <w:jc w:val="center"/>
            </w:pPr>
            <w:r w:rsidRPr="008A2601">
              <w:t>0.146</w:t>
            </w:r>
          </w:p>
        </w:tc>
        <w:tc>
          <w:tcPr>
            <w:tcW w:w="546" w:type="pct"/>
            <w:tcBorders>
              <w:top w:val="nil"/>
              <w:bottom w:val="nil"/>
            </w:tcBorders>
          </w:tcPr>
          <w:p w14:paraId="56C8E7F7" w14:textId="1159A21B" w:rsidR="00B561CB" w:rsidRPr="00933330"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6"/>
                <w14:textFill>
                  <w14:solidFill>
                    <w14:srgbClr w14:val="000000">
                      <w14:alpha w14:val="100000"/>
                    </w14:srgbClr>
                  </w14:solidFill>
                </w14:textFill>
              </w:rPr>
              <w:t>|||</w:t>
            </w:r>
            <w:r w:rsidR="00E77A69" w:rsidRPr="00E77A69">
              <w:rPr>
                <w:color w:val="000000"/>
                <w:spacing w:val="1"/>
                <w:shd w:val="solid" w:color="000000" w:fill="000000"/>
                <w:fitText w:val="330" w:id="-628921336"/>
                <w14:textFill>
                  <w14:solidFill>
                    <w14:srgbClr w14:val="000000">
                      <w14:alpha w14:val="100000"/>
                    </w14:srgbClr>
                  </w14:solidFill>
                </w14:textFill>
              </w:rPr>
              <w:t>|</w:t>
            </w:r>
            <w:r w:rsidR="00933330">
              <w:rPr>
                <w:vertAlign w:val="superscript"/>
              </w:rPr>
              <w:t>1</w:t>
            </w:r>
          </w:p>
        </w:tc>
        <w:tc>
          <w:tcPr>
            <w:tcW w:w="545" w:type="pct"/>
            <w:tcBorders>
              <w:top w:val="nil"/>
              <w:bottom w:val="nil"/>
            </w:tcBorders>
          </w:tcPr>
          <w:p w14:paraId="7477E44A" w14:textId="710D3370"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5"/>
                <w14:textFill>
                  <w14:solidFill>
                    <w14:srgbClr w14:val="000000">
                      <w14:alpha w14:val="100000"/>
                    </w14:srgbClr>
                  </w14:solidFill>
                </w14:textFill>
              </w:rPr>
              <w:t>|||</w:t>
            </w:r>
            <w:r w:rsidR="00E77A69" w:rsidRPr="00E77A69">
              <w:rPr>
                <w:color w:val="000000"/>
                <w:spacing w:val="1"/>
                <w:shd w:val="solid" w:color="000000" w:fill="000000"/>
                <w:fitText w:val="330" w:id="-628921335"/>
                <w14:textFill>
                  <w14:solidFill>
                    <w14:srgbClr w14:val="000000">
                      <w14:alpha w14:val="100000"/>
                    </w14:srgbClr>
                  </w14:solidFill>
                </w14:textFill>
              </w:rPr>
              <w:t>|</w:t>
            </w:r>
          </w:p>
        </w:tc>
        <w:tc>
          <w:tcPr>
            <w:tcW w:w="546" w:type="pct"/>
            <w:tcBorders>
              <w:top w:val="nil"/>
              <w:bottom w:val="nil"/>
            </w:tcBorders>
          </w:tcPr>
          <w:p w14:paraId="367DEADC" w14:textId="77777777" w:rsidR="00B561CB" w:rsidRPr="008A2601" w:rsidRDefault="00B561CB" w:rsidP="00286E68">
            <w:pPr>
              <w:pStyle w:val="TableText0"/>
              <w:keepNext w:val="0"/>
              <w:jc w:val="center"/>
            </w:pPr>
            <w:r w:rsidRPr="008A2601">
              <w:t>0.208</w:t>
            </w:r>
          </w:p>
        </w:tc>
        <w:tc>
          <w:tcPr>
            <w:tcW w:w="546" w:type="pct"/>
            <w:tcBorders>
              <w:top w:val="nil"/>
              <w:bottom w:val="nil"/>
            </w:tcBorders>
          </w:tcPr>
          <w:p w14:paraId="17A7DD0E" w14:textId="1F6C60CD" w:rsidR="00B561CB" w:rsidRPr="00221B6E"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4"/>
                <w14:textFill>
                  <w14:solidFill>
                    <w14:srgbClr w14:val="000000">
                      <w14:alpha w14:val="100000"/>
                    </w14:srgbClr>
                  </w14:solidFill>
                </w14:textFill>
              </w:rPr>
              <w:t>|||</w:t>
            </w:r>
            <w:r w:rsidR="00E77A69" w:rsidRPr="00E77A69">
              <w:rPr>
                <w:color w:val="000000"/>
                <w:spacing w:val="1"/>
                <w:shd w:val="solid" w:color="000000" w:fill="000000"/>
                <w:fitText w:val="330" w:id="-628921334"/>
                <w14:textFill>
                  <w14:solidFill>
                    <w14:srgbClr w14:val="000000">
                      <w14:alpha w14:val="100000"/>
                    </w14:srgbClr>
                  </w14:solidFill>
                </w14:textFill>
              </w:rPr>
              <w:t>|</w:t>
            </w:r>
            <w:r w:rsidR="00221B6E">
              <w:rPr>
                <w:vertAlign w:val="superscript"/>
              </w:rPr>
              <w:t>2</w:t>
            </w:r>
          </w:p>
        </w:tc>
      </w:tr>
      <w:tr w:rsidR="00B561CB" w:rsidRPr="008A2601" w14:paraId="30948F8E" w14:textId="77777777" w:rsidTr="00286E68">
        <w:tc>
          <w:tcPr>
            <w:tcW w:w="5000" w:type="pct"/>
            <w:gridSpan w:val="7"/>
          </w:tcPr>
          <w:p w14:paraId="0789126D" w14:textId="77777777" w:rsidR="00B561CB" w:rsidRPr="008A2601" w:rsidRDefault="00B561CB" w:rsidP="00286E68">
            <w:pPr>
              <w:pStyle w:val="In-tableHeading"/>
              <w:keepNext w:val="0"/>
            </w:pPr>
            <w:r w:rsidRPr="008A2601">
              <w:t>Multivariate analyses</w:t>
            </w:r>
          </w:p>
        </w:tc>
      </w:tr>
      <w:tr w:rsidR="00B561CB" w:rsidRPr="008A2601" w14:paraId="4D25DA9E" w14:textId="77777777" w:rsidTr="006E519A">
        <w:tc>
          <w:tcPr>
            <w:tcW w:w="1727" w:type="pct"/>
            <w:tcBorders>
              <w:top w:val="nil"/>
              <w:bottom w:val="nil"/>
              <w:right w:val="single" w:sz="4" w:space="0" w:color="auto"/>
            </w:tcBorders>
          </w:tcPr>
          <w:p w14:paraId="4E53F7A7" w14:textId="77777777" w:rsidR="00B561CB" w:rsidRPr="008A2601" w:rsidRDefault="00B561CB" w:rsidP="00286E68">
            <w:pPr>
              <w:pStyle w:val="TableText0"/>
              <w:keepNext w:val="0"/>
            </w:pPr>
            <w:r w:rsidRPr="008A2601">
              <w:t>(A)+(B)</w:t>
            </w:r>
          </w:p>
        </w:tc>
        <w:tc>
          <w:tcPr>
            <w:tcW w:w="545" w:type="pct"/>
            <w:tcBorders>
              <w:top w:val="single" w:sz="4" w:space="0" w:color="auto"/>
              <w:left w:val="single" w:sz="4" w:space="0" w:color="auto"/>
              <w:bottom w:val="nil"/>
              <w:right w:val="single" w:sz="4" w:space="0" w:color="auto"/>
            </w:tcBorders>
            <w:vAlign w:val="top"/>
          </w:tcPr>
          <w:p w14:paraId="06509CEF" w14:textId="468EA954"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3"/>
                <w14:textFill>
                  <w14:solidFill>
                    <w14:srgbClr w14:val="000000">
                      <w14:alpha w14:val="100000"/>
                    </w14:srgbClr>
                  </w14:solidFill>
                </w14:textFill>
              </w:rPr>
              <w:t>|||</w:t>
            </w:r>
            <w:r w:rsidR="00E77A69" w:rsidRPr="00E77A69">
              <w:rPr>
                <w:color w:val="000000"/>
                <w:spacing w:val="1"/>
                <w:shd w:val="solid" w:color="000000" w:fill="000000"/>
                <w:fitText w:val="330" w:id="-628921333"/>
                <w14:textFill>
                  <w14:solidFill>
                    <w14:srgbClr w14:val="000000">
                      <w14:alpha w14:val="100000"/>
                    </w14:srgbClr>
                  </w14:solidFill>
                </w14:textFill>
              </w:rPr>
              <w:t>|</w:t>
            </w:r>
          </w:p>
        </w:tc>
        <w:tc>
          <w:tcPr>
            <w:tcW w:w="546" w:type="pct"/>
            <w:tcBorders>
              <w:top w:val="single" w:sz="4" w:space="0" w:color="auto"/>
              <w:left w:val="single" w:sz="4" w:space="0" w:color="auto"/>
              <w:bottom w:val="nil"/>
              <w:right w:val="single" w:sz="4" w:space="0" w:color="auto"/>
            </w:tcBorders>
            <w:vAlign w:val="top"/>
          </w:tcPr>
          <w:p w14:paraId="5DA13971" w14:textId="77777777" w:rsidR="00B561CB" w:rsidRPr="008A2601" w:rsidRDefault="00B561CB" w:rsidP="00286E68">
            <w:pPr>
              <w:pStyle w:val="TableText0"/>
              <w:keepNext w:val="0"/>
              <w:jc w:val="center"/>
            </w:pPr>
            <w:r w:rsidRPr="008A2601">
              <w:t>0.059</w:t>
            </w:r>
          </w:p>
        </w:tc>
        <w:tc>
          <w:tcPr>
            <w:tcW w:w="546" w:type="pct"/>
            <w:tcBorders>
              <w:top w:val="single" w:sz="4" w:space="0" w:color="auto"/>
              <w:left w:val="single" w:sz="4" w:space="0" w:color="auto"/>
              <w:bottom w:val="nil"/>
              <w:right w:val="single" w:sz="4" w:space="0" w:color="auto"/>
            </w:tcBorders>
            <w:vAlign w:val="top"/>
          </w:tcPr>
          <w:p w14:paraId="0D257BDF" w14:textId="55051681" w:rsidR="00B561CB" w:rsidRPr="00AF5F55"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2"/>
                <w14:textFill>
                  <w14:solidFill>
                    <w14:srgbClr w14:val="000000">
                      <w14:alpha w14:val="100000"/>
                    </w14:srgbClr>
                  </w14:solidFill>
                </w14:textFill>
              </w:rPr>
              <w:t>|||</w:t>
            </w:r>
            <w:r w:rsidR="00E77A69" w:rsidRPr="00E77A69">
              <w:rPr>
                <w:color w:val="000000"/>
                <w:spacing w:val="1"/>
                <w:shd w:val="solid" w:color="000000" w:fill="000000"/>
                <w:fitText w:val="330" w:id="-628921332"/>
                <w14:textFill>
                  <w14:solidFill>
                    <w14:srgbClr w14:val="000000">
                      <w14:alpha w14:val="100000"/>
                    </w14:srgbClr>
                  </w14:solidFill>
                </w14:textFill>
              </w:rPr>
              <w:t>|</w:t>
            </w:r>
            <w:r w:rsidR="00AF5F55">
              <w:rPr>
                <w:vertAlign w:val="superscript"/>
              </w:rPr>
              <w:t>6</w:t>
            </w:r>
          </w:p>
        </w:tc>
        <w:tc>
          <w:tcPr>
            <w:tcW w:w="545" w:type="pct"/>
            <w:tcBorders>
              <w:top w:val="single" w:sz="4" w:space="0" w:color="auto"/>
              <w:left w:val="single" w:sz="4" w:space="0" w:color="auto"/>
              <w:bottom w:val="nil"/>
              <w:right w:val="single" w:sz="4" w:space="0" w:color="auto"/>
            </w:tcBorders>
            <w:vAlign w:val="top"/>
          </w:tcPr>
          <w:p w14:paraId="720DC8FD" w14:textId="6496564B"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1"/>
                <w14:textFill>
                  <w14:solidFill>
                    <w14:srgbClr w14:val="000000">
                      <w14:alpha w14:val="100000"/>
                    </w14:srgbClr>
                  </w14:solidFill>
                </w14:textFill>
              </w:rPr>
              <w:t>|||</w:t>
            </w:r>
            <w:r w:rsidR="00E77A69" w:rsidRPr="00E77A69">
              <w:rPr>
                <w:color w:val="000000"/>
                <w:spacing w:val="1"/>
                <w:shd w:val="solid" w:color="000000" w:fill="000000"/>
                <w:fitText w:val="330" w:id="-628921331"/>
                <w14:textFill>
                  <w14:solidFill>
                    <w14:srgbClr w14:val="000000">
                      <w14:alpha w14:val="100000"/>
                    </w14:srgbClr>
                  </w14:solidFill>
                </w14:textFill>
              </w:rPr>
              <w:t>|</w:t>
            </w:r>
          </w:p>
        </w:tc>
        <w:tc>
          <w:tcPr>
            <w:tcW w:w="546" w:type="pct"/>
            <w:tcBorders>
              <w:top w:val="single" w:sz="4" w:space="0" w:color="auto"/>
              <w:left w:val="single" w:sz="4" w:space="0" w:color="auto"/>
              <w:bottom w:val="nil"/>
              <w:right w:val="single" w:sz="4" w:space="0" w:color="auto"/>
            </w:tcBorders>
            <w:vAlign w:val="top"/>
          </w:tcPr>
          <w:p w14:paraId="15E48DD8" w14:textId="77777777" w:rsidR="00B561CB" w:rsidRPr="008A2601" w:rsidRDefault="00B561CB" w:rsidP="00286E68">
            <w:pPr>
              <w:pStyle w:val="TableText0"/>
              <w:keepNext w:val="0"/>
              <w:jc w:val="center"/>
            </w:pPr>
            <w:r w:rsidRPr="008A2601">
              <w:t>0.060</w:t>
            </w:r>
          </w:p>
        </w:tc>
        <w:tc>
          <w:tcPr>
            <w:tcW w:w="546" w:type="pct"/>
            <w:tcBorders>
              <w:top w:val="single" w:sz="4" w:space="0" w:color="auto"/>
              <w:left w:val="single" w:sz="4" w:space="0" w:color="auto"/>
              <w:bottom w:val="nil"/>
              <w:right w:val="single" w:sz="4" w:space="0" w:color="auto"/>
            </w:tcBorders>
            <w:vAlign w:val="top"/>
          </w:tcPr>
          <w:p w14:paraId="7C225BBA" w14:textId="058B9246" w:rsidR="00B561CB" w:rsidRPr="00AF5F55"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0"/>
                <w14:textFill>
                  <w14:solidFill>
                    <w14:srgbClr w14:val="000000">
                      <w14:alpha w14:val="100000"/>
                    </w14:srgbClr>
                  </w14:solidFill>
                </w14:textFill>
              </w:rPr>
              <w:t>|||</w:t>
            </w:r>
            <w:r w:rsidR="00E77A69" w:rsidRPr="00E77A69">
              <w:rPr>
                <w:color w:val="000000"/>
                <w:spacing w:val="1"/>
                <w:shd w:val="solid" w:color="000000" w:fill="000000"/>
                <w:fitText w:val="330" w:id="-628921330"/>
                <w14:textFill>
                  <w14:solidFill>
                    <w14:srgbClr w14:val="000000">
                      <w14:alpha w14:val="100000"/>
                    </w14:srgbClr>
                  </w14:solidFill>
                </w14:textFill>
              </w:rPr>
              <w:t>|</w:t>
            </w:r>
            <w:r w:rsidR="00AF5F55">
              <w:rPr>
                <w:vertAlign w:val="superscript"/>
              </w:rPr>
              <w:t>6</w:t>
            </w:r>
          </w:p>
        </w:tc>
      </w:tr>
      <w:tr w:rsidR="00B561CB" w:rsidRPr="008A2601" w14:paraId="6DB4E12D" w14:textId="77777777" w:rsidTr="006E519A">
        <w:tc>
          <w:tcPr>
            <w:tcW w:w="1727" w:type="pct"/>
            <w:tcBorders>
              <w:top w:val="nil"/>
              <w:bottom w:val="nil"/>
              <w:right w:val="single" w:sz="4" w:space="0" w:color="auto"/>
            </w:tcBorders>
          </w:tcPr>
          <w:p w14:paraId="4040B68A" w14:textId="77777777" w:rsidR="00B561CB" w:rsidRPr="008A2601" w:rsidRDefault="00B561CB" w:rsidP="00286E68">
            <w:pPr>
              <w:pStyle w:val="TableText0"/>
              <w:keepNext w:val="0"/>
            </w:pPr>
            <w:r w:rsidRPr="008A2601">
              <w:t>(A)+(B)+(C)</w:t>
            </w:r>
          </w:p>
        </w:tc>
        <w:tc>
          <w:tcPr>
            <w:tcW w:w="545" w:type="pct"/>
            <w:tcBorders>
              <w:top w:val="nil"/>
              <w:left w:val="single" w:sz="4" w:space="0" w:color="auto"/>
              <w:bottom w:val="nil"/>
              <w:right w:val="single" w:sz="4" w:space="0" w:color="auto"/>
            </w:tcBorders>
            <w:shd w:val="clear" w:color="auto" w:fill="FFFFFF"/>
            <w:vAlign w:val="top"/>
          </w:tcPr>
          <w:p w14:paraId="0DA7AF7E" w14:textId="77041A87" w:rsidR="00B561CB" w:rsidRPr="008A2601" w:rsidRDefault="00B561CB" w:rsidP="00286E68">
            <w:pPr>
              <w:pStyle w:val="TableText0"/>
              <w:keepNext w:val="0"/>
              <w:jc w:val="center"/>
            </w:pPr>
            <w:r w:rsidRPr="008A2601">
              <w:rPr>
                <w:szCs w:val="16"/>
              </w:rPr>
              <w:t>$</w:t>
            </w:r>
            <w:r w:rsidR="00E77A69" w:rsidRPr="00E77A69">
              <w:rPr>
                <w:color w:val="000000"/>
                <w:spacing w:val="53"/>
                <w:szCs w:val="16"/>
                <w:shd w:val="solid" w:color="000000" w:fill="000000"/>
                <w:fitText w:val="330" w:id="-628921329"/>
                <w14:textFill>
                  <w14:solidFill>
                    <w14:srgbClr w14:val="000000">
                      <w14:alpha w14:val="100000"/>
                    </w14:srgbClr>
                  </w14:solidFill>
                </w14:textFill>
              </w:rPr>
              <w:t>|||</w:t>
            </w:r>
            <w:r w:rsidR="00E77A69" w:rsidRPr="00E77A69">
              <w:rPr>
                <w:color w:val="000000"/>
                <w:spacing w:val="1"/>
                <w:szCs w:val="16"/>
                <w:shd w:val="solid" w:color="000000" w:fill="000000"/>
                <w:fitText w:val="330" w:id="-628921329"/>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shd w:val="clear" w:color="auto" w:fill="FFFFFF"/>
            <w:vAlign w:val="top"/>
          </w:tcPr>
          <w:p w14:paraId="750422B4" w14:textId="77777777" w:rsidR="00B561CB" w:rsidRPr="008A2601" w:rsidRDefault="00B561CB" w:rsidP="00286E68">
            <w:pPr>
              <w:pStyle w:val="TableText0"/>
              <w:keepNext w:val="0"/>
              <w:jc w:val="center"/>
            </w:pPr>
            <w:r w:rsidRPr="008A2601">
              <w:rPr>
                <w:szCs w:val="16"/>
              </w:rPr>
              <w:t>0.022</w:t>
            </w:r>
          </w:p>
        </w:tc>
        <w:tc>
          <w:tcPr>
            <w:tcW w:w="546" w:type="pct"/>
            <w:tcBorders>
              <w:top w:val="nil"/>
              <w:left w:val="single" w:sz="4" w:space="0" w:color="auto"/>
              <w:bottom w:val="nil"/>
              <w:right w:val="single" w:sz="4" w:space="0" w:color="auto"/>
            </w:tcBorders>
            <w:shd w:val="clear" w:color="auto" w:fill="FFFFFF"/>
            <w:vAlign w:val="top"/>
          </w:tcPr>
          <w:p w14:paraId="3AB43A7E" w14:textId="526A7B63" w:rsidR="00B561CB" w:rsidRPr="00BD71AF" w:rsidRDefault="00B561CB" w:rsidP="00286E68">
            <w:pPr>
              <w:pStyle w:val="TableText0"/>
              <w:keepNext w:val="0"/>
              <w:jc w:val="center"/>
              <w:rPr>
                <w:vertAlign w:val="superscript"/>
              </w:rPr>
            </w:pPr>
            <w:r w:rsidRPr="008A2601">
              <w:rPr>
                <w:szCs w:val="16"/>
              </w:rPr>
              <w:t>$</w:t>
            </w:r>
            <w:r w:rsidR="00E77A69" w:rsidRPr="00E77A69">
              <w:rPr>
                <w:color w:val="000000"/>
                <w:spacing w:val="53"/>
                <w:szCs w:val="16"/>
                <w:shd w:val="solid" w:color="000000" w:fill="000000"/>
                <w:fitText w:val="330" w:id="-628921328"/>
                <w14:textFill>
                  <w14:solidFill>
                    <w14:srgbClr w14:val="000000">
                      <w14:alpha w14:val="100000"/>
                    </w14:srgbClr>
                  </w14:solidFill>
                </w14:textFill>
              </w:rPr>
              <w:t>|||</w:t>
            </w:r>
            <w:r w:rsidR="00E77A69" w:rsidRPr="00E77A69">
              <w:rPr>
                <w:color w:val="000000"/>
                <w:spacing w:val="1"/>
                <w:szCs w:val="16"/>
                <w:shd w:val="solid" w:color="000000" w:fill="000000"/>
                <w:fitText w:val="330" w:id="-628921328"/>
                <w14:textFill>
                  <w14:solidFill>
                    <w14:srgbClr w14:val="000000">
                      <w14:alpha w14:val="100000"/>
                    </w14:srgbClr>
                  </w14:solidFill>
                </w14:textFill>
              </w:rPr>
              <w:t>|</w:t>
            </w:r>
            <w:r w:rsidR="00BD71AF">
              <w:rPr>
                <w:szCs w:val="16"/>
                <w:vertAlign w:val="superscript"/>
              </w:rPr>
              <w:t>7</w:t>
            </w:r>
          </w:p>
        </w:tc>
        <w:tc>
          <w:tcPr>
            <w:tcW w:w="545" w:type="pct"/>
            <w:tcBorders>
              <w:top w:val="nil"/>
              <w:left w:val="single" w:sz="4" w:space="0" w:color="auto"/>
              <w:bottom w:val="nil"/>
              <w:right w:val="single" w:sz="4" w:space="0" w:color="auto"/>
            </w:tcBorders>
            <w:shd w:val="clear" w:color="auto" w:fill="FFFFFF"/>
            <w:vAlign w:val="top"/>
          </w:tcPr>
          <w:p w14:paraId="2F34CB37" w14:textId="6BF7754E" w:rsidR="00B561CB" w:rsidRPr="008A2601" w:rsidRDefault="00B561CB" w:rsidP="00286E68">
            <w:pPr>
              <w:pStyle w:val="TableText0"/>
              <w:keepNext w:val="0"/>
              <w:jc w:val="center"/>
            </w:pPr>
            <w:r w:rsidRPr="008A2601">
              <w:rPr>
                <w:szCs w:val="16"/>
              </w:rPr>
              <w:t>$</w:t>
            </w:r>
            <w:r w:rsidR="00E77A69" w:rsidRPr="00E77A69">
              <w:rPr>
                <w:color w:val="000000"/>
                <w:spacing w:val="53"/>
                <w:szCs w:val="16"/>
                <w:shd w:val="solid" w:color="000000" w:fill="000000"/>
                <w:fitText w:val="330" w:id="-628921344"/>
                <w14:textFill>
                  <w14:solidFill>
                    <w14:srgbClr w14:val="000000">
                      <w14:alpha w14:val="100000"/>
                    </w14:srgbClr>
                  </w14:solidFill>
                </w14:textFill>
              </w:rPr>
              <w:t>|||</w:t>
            </w:r>
            <w:r w:rsidR="00E77A69" w:rsidRPr="00E77A69">
              <w:rPr>
                <w:color w:val="000000"/>
                <w:spacing w:val="1"/>
                <w:szCs w:val="16"/>
                <w:shd w:val="solid" w:color="000000" w:fill="000000"/>
                <w:fitText w:val="330" w:id="-628921344"/>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shd w:val="clear" w:color="auto" w:fill="FFFFFF"/>
            <w:vAlign w:val="top"/>
          </w:tcPr>
          <w:p w14:paraId="1764D5D9" w14:textId="77777777" w:rsidR="00B561CB" w:rsidRPr="008A2601" w:rsidRDefault="00B561CB" w:rsidP="00286E68">
            <w:pPr>
              <w:pStyle w:val="TableText0"/>
              <w:keepNext w:val="0"/>
              <w:jc w:val="center"/>
            </w:pPr>
            <w:r w:rsidRPr="008A2601">
              <w:rPr>
                <w:szCs w:val="16"/>
              </w:rPr>
              <w:t>0.023</w:t>
            </w:r>
          </w:p>
        </w:tc>
        <w:tc>
          <w:tcPr>
            <w:tcW w:w="546" w:type="pct"/>
            <w:tcBorders>
              <w:top w:val="nil"/>
              <w:left w:val="single" w:sz="4" w:space="0" w:color="auto"/>
              <w:bottom w:val="nil"/>
              <w:right w:val="single" w:sz="4" w:space="0" w:color="auto"/>
            </w:tcBorders>
            <w:shd w:val="clear" w:color="auto" w:fill="FFFFFF"/>
            <w:vAlign w:val="top"/>
          </w:tcPr>
          <w:p w14:paraId="126CA9A5" w14:textId="244821C3" w:rsidR="00B561CB" w:rsidRPr="00BD71AF" w:rsidRDefault="00B561CB" w:rsidP="00286E68">
            <w:pPr>
              <w:pStyle w:val="TableText0"/>
              <w:keepNext w:val="0"/>
              <w:jc w:val="center"/>
              <w:rPr>
                <w:vertAlign w:val="superscript"/>
              </w:rPr>
            </w:pPr>
            <w:r w:rsidRPr="008A2601">
              <w:rPr>
                <w:szCs w:val="16"/>
              </w:rPr>
              <w:t>$</w:t>
            </w:r>
            <w:r w:rsidR="00E77A69" w:rsidRPr="00E77A69">
              <w:rPr>
                <w:color w:val="000000"/>
                <w:spacing w:val="53"/>
                <w:szCs w:val="16"/>
                <w:shd w:val="solid" w:color="000000" w:fill="000000"/>
                <w:fitText w:val="330" w:id="-628921343"/>
                <w14:textFill>
                  <w14:solidFill>
                    <w14:srgbClr w14:val="000000">
                      <w14:alpha w14:val="100000"/>
                    </w14:srgbClr>
                  </w14:solidFill>
                </w14:textFill>
              </w:rPr>
              <w:t>|||</w:t>
            </w:r>
            <w:r w:rsidR="00E77A69" w:rsidRPr="00E77A69">
              <w:rPr>
                <w:color w:val="000000"/>
                <w:spacing w:val="1"/>
                <w:szCs w:val="16"/>
                <w:shd w:val="solid" w:color="000000" w:fill="000000"/>
                <w:fitText w:val="330" w:id="-628921343"/>
                <w14:textFill>
                  <w14:solidFill>
                    <w14:srgbClr w14:val="000000">
                      <w14:alpha w14:val="100000"/>
                    </w14:srgbClr>
                  </w14:solidFill>
                </w14:textFill>
              </w:rPr>
              <w:t>|</w:t>
            </w:r>
            <w:r w:rsidR="00BD71AF">
              <w:rPr>
                <w:szCs w:val="16"/>
                <w:vertAlign w:val="superscript"/>
              </w:rPr>
              <w:t>7</w:t>
            </w:r>
          </w:p>
        </w:tc>
      </w:tr>
      <w:tr w:rsidR="00B561CB" w:rsidRPr="008A2601" w14:paraId="5511F80B" w14:textId="77777777" w:rsidTr="006E519A">
        <w:tc>
          <w:tcPr>
            <w:tcW w:w="1727" w:type="pct"/>
            <w:tcBorders>
              <w:top w:val="nil"/>
              <w:bottom w:val="nil"/>
              <w:right w:val="single" w:sz="4" w:space="0" w:color="auto"/>
            </w:tcBorders>
          </w:tcPr>
          <w:p w14:paraId="4F2F6B11" w14:textId="77777777" w:rsidR="00B561CB" w:rsidRPr="008A2601" w:rsidRDefault="00B561CB" w:rsidP="00286E68">
            <w:pPr>
              <w:pStyle w:val="TableText0"/>
              <w:keepNext w:val="0"/>
            </w:pPr>
            <w:r w:rsidRPr="008A2601">
              <w:t>(A)+(B)+(C) +(D)</w:t>
            </w:r>
          </w:p>
        </w:tc>
        <w:tc>
          <w:tcPr>
            <w:tcW w:w="545" w:type="pct"/>
            <w:tcBorders>
              <w:top w:val="nil"/>
              <w:left w:val="single" w:sz="4" w:space="0" w:color="auto"/>
              <w:bottom w:val="nil"/>
              <w:right w:val="single" w:sz="4" w:space="0" w:color="auto"/>
            </w:tcBorders>
            <w:shd w:val="clear" w:color="auto" w:fill="FFFFFF"/>
            <w:vAlign w:val="top"/>
          </w:tcPr>
          <w:p w14:paraId="692B3E6B" w14:textId="6D11477C" w:rsidR="00B561CB" w:rsidRPr="008A2601" w:rsidRDefault="00B561CB" w:rsidP="00286E68">
            <w:pPr>
              <w:pStyle w:val="TableText0"/>
              <w:keepNext w:val="0"/>
              <w:jc w:val="center"/>
            </w:pPr>
            <w:r w:rsidRPr="008A2601">
              <w:rPr>
                <w:szCs w:val="16"/>
              </w:rPr>
              <w:t>$</w:t>
            </w:r>
            <w:r w:rsidR="00E77A69" w:rsidRPr="00E77A69">
              <w:rPr>
                <w:color w:val="000000"/>
                <w:spacing w:val="53"/>
                <w:szCs w:val="16"/>
                <w:shd w:val="solid" w:color="000000" w:fill="000000"/>
                <w:fitText w:val="330" w:id="-628921342"/>
                <w14:textFill>
                  <w14:solidFill>
                    <w14:srgbClr w14:val="000000">
                      <w14:alpha w14:val="100000"/>
                    </w14:srgbClr>
                  </w14:solidFill>
                </w14:textFill>
              </w:rPr>
              <w:t>|||</w:t>
            </w:r>
            <w:r w:rsidR="00E77A69" w:rsidRPr="00E77A69">
              <w:rPr>
                <w:color w:val="000000"/>
                <w:spacing w:val="1"/>
                <w:szCs w:val="16"/>
                <w:shd w:val="solid" w:color="000000" w:fill="000000"/>
                <w:fitText w:val="330" w:id="-628921342"/>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shd w:val="clear" w:color="auto" w:fill="FFFFFF"/>
            <w:vAlign w:val="top"/>
          </w:tcPr>
          <w:p w14:paraId="3B068782" w14:textId="77777777" w:rsidR="00B561CB" w:rsidRPr="008A2601" w:rsidRDefault="00B561CB" w:rsidP="00286E68">
            <w:pPr>
              <w:pStyle w:val="TableText0"/>
              <w:keepNext w:val="0"/>
              <w:jc w:val="center"/>
            </w:pPr>
            <w:r w:rsidRPr="008A2601">
              <w:rPr>
                <w:szCs w:val="16"/>
              </w:rPr>
              <w:t>0.022</w:t>
            </w:r>
          </w:p>
        </w:tc>
        <w:tc>
          <w:tcPr>
            <w:tcW w:w="546" w:type="pct"/>
            <w:tcBorders>
              <w:top w:val="nil"/>
              <w:left w:val="single" w:sz="4" w:space="0" w:color="auto"/>
              <w:bottom w:val="nil"/>
              <w:right w:val="single" w:sz="4" w:space="0" w:color="auto"/>
            </w:tcBorders>
            <w:shd w:val="clear" w:color="auto" w:fill="FFFFFF"/>
            <w:vAlign w:val="top"/>
          </w:tcPr>
          <w:p w14:paraId="04894AA4" w14:textId="3A81EDD1" w:rsidR="00B561CB" w:rsidRPr="00BD71AF" w:rsidRDefault="00B561CB" w:rsidP="00286E68">
            <w:pPr>
              <w:pStyle w:val="TableText0"/>
              <w:keepNext w:val="0"/>
              <w:jc w:val="center"/>
              <w:rPr>
                <w:vertAlign w:val="superscript"/>
              </w:rPr>
            </w:pPr>
            <w:r w:rsidRPr="008A2601">
              <w:rPr>
                <w:szCs w:val="16"/>
              </w:rPr>
              <w:t>$</w:t>
            </w:r>
            <w:r w:rsidR="00E77A69" w:rsidRPr="00E77A69">
              <w:rPr>
                <w:color w:val="000000"/>
                <w:spacing w:val="53"/>
                <w:szCs w:val="16"/>
                <w:shd w:val="solid" w:color="000000" w:fill="000000"/>
                <w:fitText w:val="330" w:id="-628921341"/>
                <w14:textFill>
                  <w14:solidFill>
                    <w14:srgbClr w14:val="000000">
                      <w14:alpha w14:val="100000"/>
                    </w14:srgbClr>
                  </w14:solidFill>
                </w14:textFill>
              </w:rPr>
              <w:t>|||</w:t>
            </w:r>
            <w:r w:rsidR="00E77A69" w:rsidRPr="00E77A69">
              <w:rPr>
                <w:color w:val="000000"/>
                <w:spacing w:val="1"/>
                <w:szCs w:val="16"/>
                <w:shd w:val="solid" w:color="000000" w:fill="000000"/>
                <w:fitText w:val="330" w:id="-628921341"/>
                <w14:textFill>
                  <w14:solidFill>
                    <w14:srgbClr w14:val="000000">
                      <w14:alpha w14:val="100000"/>
                    </w14:srgbClr>
                  </w14:solidFill>
                </w14:textFill>
              </w:rPr>
              <w:t>|</w:t>
            </w:r>
            <w:r w:rsidR="00BD71AF">
              <w:rPr>
                <w:szCs w:val="16"/>
                <w:vertAlign w:val="superscript"/>
              </w:rPr>
              <w:t>7</w:t>
            </w:r>
          </w:p>
        </w:tc>
        <w:tc>
          <w:tcPr>
            <w:tcW w:w="545" w:type="pct"/>
            <w:tcBorders>
              <w:top w:val="nil"/>
              <w:left w:val="single" w:sz="4" w:space="0" w:color="auto"/>
              <w:bottom w:val="nil"/>
              <w:right w:val="single" w:sz="4" w:space="0" w:color="auto"/>
            </w:tcBorders>
            <w:shd w:val="clear" w:color="auto" w:fill="FFFFFF"/>
            <w:vAlign w:val="top"/>
          </w:tcPr>
          <w:p w14:paraId="220122D6" w14:textId="1F965CA4" w:rsidR="00B561CB" w:rsidRPr="008A2601" w:rsidRDefault="00B561CB" w:rsidP="00286E68">
            <w:pPr>
              <w:pStyle w:val="TableText0"/>
              <w:keepNext w:val="0"/>
              <w:jc w:val="center"/>
            </w:pPr>
            <w:r w:rsidRPr="008A2601">
              <w:rPr>
                <w:szCs w:val="16"/>
              </w:rPr>
              <w:t>$</w:t>
            </w:r>
            <w:r w:rsidR="00E77A69" w:rsidRPr="00E77A69">
              <w:rPr>
                <w:color w:val="000000"/>
                <w:spacing w:val="53"/>
                <w:szCs w:val="16"/>
                <w:shd w:val="solid" w:color="000000" w:fill="000000"/>
                <w:fitText w:val="330" w:id="-628921340"/>
                <w14:textFill>
                  <w14:solidFill>
                    <w14:srgbClr w14:val="000000">
                      <w14:alpha w14:val="100000"/>
                    </w14:srgbClr>
                  </w14:solidFill>
                </w14:textFill>
              </w:rPr>
              <w:t>|||</w:t>
            </w:r>
            <w:r w:rsidR="00E77A69" w:rsidRPr="00E77A69">
              <w:rPr>
                <w:color w:val="000000"/>
                <w:spacing w:val="1"/>
                <w:szCs w:val="16"/>
                <w:shd w:val="solid" w:color="000000" w:fill="000000"/>
                <w:fitText w:val="330" w:id="-628921340"/>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shd w:val="clear" w:color="auto" w:fill="FFFFFF"/>
            <w:vAlign w:val="top"/>
          </w:tcPr>
          <w:p w14:paraId="20A23A7E" w14:textId="77777777" w:rsidR="00B561CB" w:rsidRPr="008A2601" w:rsidRDefault="00B561CB" w:rsidP="00286E68">
            <w:pPr>
              <w:pStyle w:val="TableText0"/>
              <w:keepNext w:val="0"/>
              <w:jc w:val="center"/>
            </w:pPr>
            <w:r w:rsidRPr="008A2601">
              <w:t>0.022</w:t>
            </w:r>
          </w:p>
        </w:tc>
        <w:tc>
          <w:tcPr>
            <w:tcW w:w="546" w:type="pct"/>
            <w:tcBorders>
              <w:top w:val="nil"/>
              <w:left w:val="single" w:sz="4" w:space="0" w:color="auto"/>
              <w:bottom w:val="nil"/>
              <w:right w:val="single" w:sz="4" w:space="0" w:color="auto"/>
            </w:tcBorders>
            <w:shd w:val="clear" w:color="auto" w:fill="FFFFFF"/>
            <w:vAlign w:val="top"/>
          </w:tcPr>
          <w:p w14:paraId="0AAAC9F2" w14:textId="2F91B404" w:rsidR="00B561CB" w:rsidRPr="001323FD"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9"/>
                <w14:textFill>
                  <w14:solidFill>
                    <w14:srgbClr w14:val="000000">
                      <w14:alpha w14:val="100000"/>
                    </w14:srgbClr>
                  </w14:solidFill>
                </w14:textFill>
              </w:rPr>
              <w:t>|||</w:t>
            </w:r>
            <w:r w:rsidR="00E77A69" w:rsidRPr="00E77A69">
              <w:rPr>
                <w:color w:val="000000"/>
                <w:spacing w:val="1"/>
                <w:shd w:val="solid" w:color="000000" w:fill="000000"/>
                <w:fitText w:val="330" w:id="-628921339"/>
                <w14:textFill>
                  <w14:solidFill>
                    <w14:srgbClr w14:val="000000">
                      <w14:alpha w14:val="100000"/>
                    </w14:srgbClr>
                  </w14:solidFill>
                </w14:textFill>
              </w:rPr>
              <w:t>|</w:t>
            </w:r>
            <w:r w:rsidR="001323FD">
              <w:rPr>
                <w:vertAlign w:val="superscript"/>
              </w:rPr>
              <w:t>8</w:t>
            </w:r>
          </w:p>
        </w:tc>
      </w:tr>
      <w:tr w:rsidR="00B561CB" w:rsidRPr="008A2601" w14:paraId="7106CF0A" w14:textId="77777777" w:rsidTr="006E519A">
        <w:tc>
          <w:tcPr>
            <w:tcW w:w="1727" w:type="pct"/>
            <w:tcBorders>
              <w:top w:val="nil"/>
              <w:bottom w:val="nil"/>
              <w:right w:val="single" w:sz="4" w:space="0" w:color="auto"/>
            </w:tcBorders>
          </w:tcPr>
          <w:p w14:paraId="2D65A181" w14:textId="77777777" w:rsidR="00B561CB" w:rsidRPr="008A2601" w:rsidRDefault="00B561CB" w:rsidP="00286E68">
            <w:pPr>
              <w:pStyle w:val="TableText0"/>
              <w:keepNext w:val="0"/>
            </w:pPr>
            <w:r w:rsidRPr="008A2601">
              <w:t>(A)+(B)+(C) +(D)+(E)</w:t>
            </w:r>
          </w:p>
        </w:tc>
        <w:tc>
          <w:tcPr>
            <w:tcW w:w="545" w:type="pct"/>
            <w:tcBorders>
              <w:top w:val="nil"/>
              <w:left w:val="single" w:sz="4" w:space="0" w:color="auto"/>
              <w:bottom w:val="nil"/>
              <w:right w:val="single" w:sz="4" w:space="0" w:color="auto"/>
            </w:tcBorders>
            <w:vAlign w:val="top"/>
          </w:tcPr>
          <w:p w14:paraId="2EF18DBB" w14:textId="18F6481E"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8"/>
                <w14:textFill>
                  <w14:solidFill>
                    <w14:srgbClr w14:val="000000">
                      <w14:alpha w14:val="100000"/>
                    </w14:srgbClr>
                  </w14:solidFill>
                </w14:textFill>
              </w:rPr>
              <w:t>|||</w:t>
            </w:r>
            <w:r w:rsidR="00E77A69" w:rsidRPr="00E77A69">
              <w:rPr>
                <w:color w:val="000000"/>
                <w:spacing w:val="1"/>
                <w:shd w:val="solid" w:color="000000" w:fill="000000"/>
                <w:fitText w:val="330" w:id="-628921338"/>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vAlign w:val="top"/>
          </w:tcPr>
          <w:p w14:paraId="03D71DCC" w14:textId="77777777" w:rsidR="00B561CB" w:rsidRPr="008A2601" w:rsidRDefault="00B561CB" w:rsidP="00286E68">
            <w:pPr>
              <w:pStyle w:val="TableText0"/>
              <w:keepNext w:val="0"/>
              <w:jc w:val="center"/>
            </w:pPr>
            <w:r w:rsidRPr="008A2601">
              <w:t>0.011</w:t>
            </w:r>
          </w:p>
        </w:tc>
        <w:tc>
          <w:tcPr>
            <w:tcW w:w="546" w:type="pct"/>
            <w:tcBorders>
              <w:top w:val="nil"/>
              <w:left w:val="single" w:sz="4" w:space="0" w:color="auto"/>
              <w:bottom w:val="nil"/>
              <w:right w:val="single" w:sz="4" w:space="0" w:color="auto"/>
            </w:tcBorders>
            <w:vAlign w:val="top"/>
          </w:tcPr>
          <w:p w14:paraId="6E9ECCEF" w14:textId="14DE7054" w:rsidR="00B561CB" w:rsidRPr="0065234C"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7"/>
                <w14:textFill>
                  <w14:solidFill>
                    <w14:srgbClr w14:val="000000">
                      <w14:alpha w14:val="100000"/>
                    </w14:srgbClr>
                  </w14:solidFill>
                </w14:textFill>
              </w:rPr>
              <w:t>|||</w:t>
            </w:r>
            <w:r w:rsidR="00E77A69" w:rsidRPr="00E77A69">
              <w:rPr>
                <w:color w:val="000000"/>
                <w:spacing w:val="1"/>
                <w:shd w:val="solid" w:color="000000" w:fill="000000"/>
                <w:fitText w:val="330" w:id="-628921337"/>
                <w14:textFill>
                  <w14:solidFill>
                    <w14:srgbClr w14:val="000000">
                      <w14:alpha w14:val="100000"/>
                    </w14:srgbClr>
                  </w14:solidFill>
                </w14:textFill>
              </w:rPr>
              <w:t>|</w:t>
            </w:r>
            <w:r w:rsidR="0065234C">
              <w:rPr>
                <w:vertAlign w:val="superscript"/>
              </w:rPr>
              <w:t>9</w:t>
            </w:r>
          </w:p>
        </w:tc>
        <w:tc>
          <w:tcPr>
            <w:tcW w:w="545" w:type="pct"/>
            <w:tcBorders>
              <w:top w:val="nil"/>
              <w:left w:val="single" w:sz="4" w:space="0" w:color="auto"/>
              <w:bottom w:val="nil"/>
              <w:right w:val="single" w:sz="4" w:space="0" w:color="auto"/>
            </w:tcBorders>
            <w:vAlign w:val="top"/>
          </w:tcPr>
          <w:p w14:paraId="5D28E502" w14:textId="2A77B7DD"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6"/>
                <w14:textFill>
                  <w14:solidFill>
                    <w14:srgbClr w14:val="000000">
                      <w14:alpha w14:val="100000"/>
                    </w14:srgbClr>
                  </w14:solidFill>
                </w14:textFill>
              </w:rPr>
              <w:t>|||</w:t>
            </w:r>
            <w:r w:rsidR="00E77A69" w:rsidRPr="00E77A69">
              <w:rPr>
                <w:color w:val="000000"/>
                <w:spacing w:val="1"/>
                <w:shd w:val="solid" w:color="000000" w:fill="000000"/>
                <w:fitText w:val="330" w:id="-628921336"/>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vAlign w:val="top"/>
          </w:tcPr>
          <w:p w14:paraId="04E6650E" w14:textId="77777777" w:rsidR="00B561CB" w:rsidRPr="008A2601" w:rsidRDefault="00B561CB" w:rsidP="00286E68">
            <w:pPr>
              <w:pStyle w:val="TableText0"/>
              <w:keepNext w:val="0"/>
              <w:jc w:val="center"/>
            </w:pPr>
            <w:r w:rsidRPr="008A2601">
              <w:t>0.011</w:t>
            </w:r>
          </w:p>
        </w:tc>
        <w:tc>
          <w:tcPr>
            <w:tcW w:w="546" w:type="pct"/>
            <w:tcBorders>
              <w:top w:val="nil"/>
              <w:left w:val="single" w:sz="4" w:space="0" w:color="auto"/>
              <w:bottom w:val="nil"/>
              <w:right w:val="single" w:sz="4" w:space="0" w:color="auto"/>
            </w:tcBorders>
            <w:vAlign w:val="top"/>
          </w:tcPr>
          <w:p w14:paraId="15BF9012" w14:textId="4FE94125" w:rsidR="00B561CB" w:rsidRPr="0065234C"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5"/>
                <w14:textFill>
                  <w14:solidFill>
                    <w14:srgbClr w14:val="000000">
                      <w14:alpha w14:val="100000"/>
                    </w14:srgbClr>
                  </w14:solidFill>
                </w14:textFill>
              </w:rPr>
              <w:t>|||</w:t>
            </w:r>
            <w:r w:rsidR="00E77A69" w:rsidRPr="00E77A69">
              <w:rPr>
                <w:color w:val="000000"/>
                <w:spacing w:val="1"/>
                <w:shd w:val="solid" w:color="000000" w:fill="000000"/>
                <w:fitText w:val="330" w:id="-628921335"/>
                <w14:textFill>
                  <w14:solidFill>
                    <w14:srgbClr w14:val="000000">
                      <w14:alpha w14:val="100000"/>
                    </w14:srgbClr>
                  </w14:solidFill>
                </w14:textFill>
              </w:rPr>
              <w:t>|</w:t>
            </w:r>
            <w:r w:rsidR="0065234C">
              <w:rPr>
                <w:vertAlign w:val="superscript"/>
              </w:rPr>
              <w:t>9</w:t>
            </w:r>
          </w:p>
        </w:tc>
      </w:tr>
      <w:tr w:rsidR="00B561CB" w:rsidRPr="008A2601" w14:paraId="396E6D91" w14:textId="77777777" w:rsidTr="006E519A">
        <w:tc>
          <w:tcPr>
            <w:tcW w:w="1727" w:type="pct"/>
            <w:tcBorders>
              <w:top w:val="nil"/>
              <w:bottom w:val="single" w:sz="4" w:space="0" w:color="auto"/>
              <w:right w:val="single" w:sz="4" w:space="0" w:color="auto"/>
            </w:tcBorders>
          </w:tcPr>
          <w:p w14:paraId="2D419DEE" w14:textId="77777777" w:rsidR="00B561CB" w:rsidRPr="008A2601" w:rsidRDefault="00B561CB" w:rsidP="00286E68">
            <w:pPr>
              <w:pStyle w:val="TableText0"/>
              <w:keepNext w:val="0"/>
            </w:pPr>
            <w:r w:rsidRPr="008A2601">
              <w:t>(A)+(B)+(C) +(D)+(E)+(F)</w:t>
            </w:r>
          </w:p>
        </w:tc>
        <w:tc>
          <w:tcPr>
            <w:tcW w:w="545" w:type="pct"/>
            <w:tcBorders>
              <w:top w:val="nil"/>
              <w:left w:val="single" w:sz="4" w:space="0" w:color="auto"/>
              <w:bottom w:val="single" w:sz="4" w:space="0" w:color="auto"/>
              <w:right w:val="single" w:sz="4" w:space="0" w:color="auto"/>
            </w:tcBorders>
            <w:vAlign w:val="top"/>
          </w:tcPr>
          <w:p w14:paraId="4954917F" w14:textId="092B2F1C"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4"/>
                <w14:textFill>
                  <w14:solidFill>
                    <w14:srgbClr w14:val="000000">
                      <w14:alpha w14:val="100000"/>
                    </w14:srgbClr>
                  </w14:solidFill>
                </w14:textFill>
              </w:rPr>
              <w:t>|||</w:t>
            </w:r>
            <w:r w:rsidR="00E77A69" w:rsidRPr="00E77A69">
              <w:rPr>
                <w:color w:val="000000"/>
                <w:spacing w:val="1"/>
                <w:shd w:val="solid" w:color="000000" w:fill="000000"/>
                <w:fitText w:val="330" w:id="-628921334"/>
                <w14:textFill>
                  <w14:solidFill>
                    <w14:srgbClr w14:val="000000">
                      <w14:alpha w14:val="100000"/>
                    </w14:srgbClr>
                  </w14:solidFill>
                </w14:textFill>
              </w:rPr>
              <w:t>|</w:t>
            </w:r>
          </w:p>
        </w:tc>
        <w:tc>
          <w:tcPr>
            <w:tcW w:w="546" w:type="pct"/>
            <w:tcBorders>
              <w:top w:val="nil"/>
              <w:left w:val="single" w:sz="4" w:space="0" w:color="auto"/>
              <w:bottom w:val="single" w:sz="4" w:space="0" w:color="auto"/>
              <w:right w:val="single" w:sz="4" w:space="0" w:color="auto"/>
            </w:tcBorders>
            <w:vAlign w:val="top"/>
          </w:tcPr>
          <w:p w14:paraId="4C5E8D67" w14:textId="77777777" w:rsidR="00B561CB" w:rsidRPr="008A2601" w:rsidRDefault="00B561CB" w:rsidP="00286E68">
            <w:pPr>
              <w:pStyle w:val="TableText0"/>
              <w:keepNext w:val="0"/>
              <w:jc w:val="center"/>
            </w:pPr>
            <w:r w:rsidRPr="008A2601">
              <w:t>0.000</w:t>
            </w:r>
          </w:p>
        </w:tc>
        <w:tc>
          <w:tcPr>
            <w:tcW w:w="546" w:type="pct"/>
            <w:tcBorders>
              <w:top w:val="nil"/>
              <w:left w:val="single" w:sz="4" w:space="0" w:color="auto"/>
              <w:bottom w:val="single" w:sz="4" w:space="0" w:color="auto"/>
              <w:right w:val="single" w:sz="4" w:space="0" w:color="auto"/>
            </w:tcBorders>
            <w:vAlign w:val="top"/>
          </w:tcPr>
          <w:p w14:paraId="62638135" w14:textId="77777777" w:rsidR="00B561CB" w:rsidRPr="008A2601" w:rsidRDefault="00B561CB" w:rsidP="00286E68">
            <w:pPr>
              <w:pStyle w:val="TableText0"/>
              <w:keepNext w:val="0"/>
              <w:jc w:val="center"/>
            </w:pPr>
            <w:r w:rsidRPr="008A2601">
              <w:t>N/A</w:t>
            </w:r>
          </w:p>
        </w:tc>
        <w:tc>
          <w:tcPr>
            <w:tcW w:w="545" w:type="pct"/>
            <w:tcBorders>
              <w:top w:val="nil"/>
              <w:left w:val="single" w:sz="4" w:space="0" w:color="auto"/>
              <w:bottom w:val="single" w:sz="4" w:space="0" w:color="auto"/>
              <w:right w:val="single" w:sz="4" w:space="0" w:color="auto"/>
            </w:tcBorders>
            <w:vAlign w:val="top"/>
          </w:tcPr>
          <w:p w14:paraId="1E60B176" w14:textId="005E8091"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3"/>
                <w14:textFill>
                  <w14:solidFill>
                    <w14:srgbClr w14:val="000000">
                      <w14:alpha w14:val="100000"/>
                    </w14:srgbClr>
                  </w14:solidFill>
                </w14:textFill>
              </w:rPr>
              <w:t>|||</w:t>
            </w:r>
            <w:r w:rsidR="00E77A69" w:rsidRPr="00E77A69">
              <w:rPr>
                <w:color w:val="000000"/>
                <w:spacing w:val="1"/>
                <w:shd w:val="solid" w:color="000000" w:fill="000000"/>
                <w:fitText w:val="330" w:id="-628921333"/>
                <w14:textFill>
                  <w14:solidFill>
                    <w14:srgbClr w14:val="000000">
                      <w14:alpha w14:val="100000"/>
                    </w14:srgbClr>
                  </w14:solidFill>
                </w14:textFill>
              </w:rPr>
              <w:t>|</w:t>
            </w:r>
          </w:p>
        </w:tc>
        <w:tc>
          <w:tcPr>
            <w:tcW w:w="546" w:type="pct"/>
            <w:tcBorders>
              <w:top w:val="nil"/>
              <w:left w:val="single" w:sz="4" w:space="0" w:color="auto"/>
              <w:bottom w:val="single" w:sz="4" w:space="0" w:color="auto"/>
              <w:right w:val="single" w:sz="4" w:space="0" w:color="auto"/>
            </w:tcBorders>
            <w:vAlign w:val="top"/>
          </w:tcPr>
          <w:p w14:paraId="7E84C239" w14:textId="77777777" w:rsidR="00B561CB" w:rsidRPr="008A2601" w:rsidRDefault="00B561CB" w:rsidP="00286E68">
            <w:pPr>
              <w:pStyle w:val="TableText0"/>
              <w:keepNext w:val="0"/>
              <w:jc w:val="center"/>
            </w:pPr>
            <w:r w:rsidRPr="008A2601">
              <w:t>0.000</w:t>
            </w:r>
          </w:p>
        </w:tc>
        <w:tc>
          <w:tcPr>
            <w:tcW w:w="546" w:type="pct"/>
            <w:tcBorders>
              <w:top w:val="nil"/>
              <w:left w:val="single" w:sz="4" w:space="0" w:color="auto"/>
              <w:bottom w:val="single" w:sz="4" w:space="0" w:color="auto"/>
              <w:right w:val="single" w:sz="4" w:space="0" w:color="auto"/>
            </w:tcBorders>
            <w:vAlign w:val="top"/>
          </w:tcPr>
          <w:p w14:paraId="461BF40D" w14:textId="77777777" w:rsidR="00B561CB" w:rsidRPr="008A2601" w:rsidRDefault="00B561CB" w:rsidP="00286E68">
            <w:pPr>
              <w:pStyle w:val="TableText0"/>
              <w:keepNext w:val="0"/>
              <w:jc w:val="center"/>
            </w:pPr>
            <w:r w:rsidRPr="008A2601">
              <w:t>N/A</w:t>
            </w:r>
          </w:p>
        </w:tc>
      </w:tr>
    </w:tbl>
    <w:p w14:paraId="5C6E1B28" w14:textId="77777777" w:rsidR="00B561CB" w:rsidRPr="008A2601" w:rsidRDefault="00B561CB" w:rsidP="00B561CB">
      <w:pPr>
        <w:pStyle w:val="TableFigureFooter"/>
        <w:rPr>
          <w:rStyle w:val="CommentReference"/>
          <w:b w:val="0"/>
          <w:bCs/>
          <w:sz w:val="18"/>
          <w:szCs w:val="18"/>
        </w:rPr>
      </w:pPr>
      <w:r w:rsidRPr="008A2601">
        <w:rPr>
          <w:rStyle w:val="CommentReference"/>
          <w:b w:val="0"/>
          <w:bCs/>
          <w:sz w:val="18"/>
          <w:szCs w:val="18"/>
        </w:rPr>
        <w:t>Italics indicate results generated during the evaluation.</w:t>
      </w:r>
    </w:p>
    <w:p w14:paraId="0714B250" w14:textId="77777777" w:rsidR="00B561CB" w:rsidRPr="008A2601" w:rsidRDefault="00B561CB" w:rsidP="00B561CB">
      <w:pPr>
        <w:pStyle w:val="TableFigureFooter"/>
        <w:spacing w:after="0"/>
      </w:pPr>
      <w:r w:rsidRPr="008A2601">
        <w:t>Source: constructed during the evaluation from Attachment 3.1 Guselkumab CD Economic Model.xlsx.</w:t>
      </w:r>
    </w:p>
    <w:p w14:paraId="4009664D" w14:textId="77777777" w:rsidR="00B561CB" w:rsidRPr="008A2601" w:rsidRDefault="00B561CB" w:rsidP="00B561CB">
      <w:pPr>
        <w:rPr>
          <w:rFonts w:ascii="Arial Narrow" w:hAnsi="Arial Narrow"/>
          <w:sz w:val="18"/>
          <w:szCs w:val="18"/>
        </w:rPr>
      </w:pPr>
      <w:r w:rsidRPr="008A2601">
        <w:rPr>
          <w:rFonts w:ascii="Arial Narrow" w:hAnsi="Arial Narrow"/>
          <w:sz w:val="18"/>
          <w:szCs w:val="18"/>
        </w:rPr>
        <w:t>ADA=adalimumab; GUS=guselkumab; IFX=infliximab; QALY=Quality Adjusted Life Year; UPA=upadacitinib; UST=ustekinumab; VDZ=vedolizumab; 1L=first-line (index) treatment; 2L=second-line treatment; 3L=third-line treatment;</w:t>
      </w:r>
    </w:p>
    <w:p w14:paraId="43A67D80" w14:textId="77777777" w:rsidR="00B561CB" w:rsidRPr="008A2601" w:rsidRDefault="00B561CB" w:rsidP="00B561CB">
      <w:pPr>
        <w:rPr>
          <w:rFonts w:ascii="Arial Narrow" w:hAnsi="Arial Narrow"/>
          <w:sz w:val="18"/>
          <w:szCs w:val="18"/>
        </w:rPr>
      </w:pPr>
      <w:r w:rsidRPr="008A2601">
        <w:rPr>
          <w:rFonts w:ascii="Arial Narrow" w:hAnsi="Arial Narrow"/>
          <w:sz w:val="18"/>
          <w:szCs w:val="18"/>
        </w:rPr>
        <w:t>a</w:t>
      </w:r>
      <w:r w:rsidRPr="008A2601">
        <w:rPr>
          <w:rFonts w:ascii="Arial Narrow" w:hAnsi="Arial Narrow"/>
          <w:sz w:val="18"/>
          <w:szCs w:val="18"/>
        </w:rPr>
        <w:tab/>
        <w:t>comparators (ADA, IFX, UPA, UST and VDZ) weighted by market share</w:t>
      </w:r>
    </w:p>
    <w:p w14:paraId="6529760F" w14:textId="77777777" w:rsidR="00B561CB" w:rsidRPr="008A2601" w:rsidRDefault="00B561CB" w:rsidP="00B561CB">
      <w:pPr>
        <w:pStyle w:val="TableFigureFooter"/>
      </w:pPr>
      <w:r w:rsidRPr="008A2601">
        <w:t>b</w:t>
      </w:r>
      <w:r w:rsidRPr="008A2601">
        <w:tab/>
        <w:t xml:space="preserve">cells E21:E27 in Clinical Inputs worksheet </w:t>
      </w:r>
    </w:p>
    <w:p w14:paraId="02A30022" w14:textId="77777777" w:rsidR="00B561CB" w:rsidRPr="008A2601" w:rsidRDefault="00B561CB" w:rsidP="00B561CB">
      <w:pPr>
        <w:pStyle w:val="TableFigureFooter"/>
      </w:pPr>
      <w:r w:rsidRPr="008A2601">
        <w:t>c</w:t>
      </w:r>
      <w:r w:rsidRPr="008A2601">
        <w:tab/>
        <w:t>cells E32:E38 in Clinical Inputs worksheet i) GUS 100: 85.7% and ii) GUS 200: 87.9%.</w:t>
      </w:r>
    </w:p>
    <w:p w14:paraId="4248D44B" w14:textId="77777777" w:rsidR="00B561CB" w:rsidRPr="008A2601" w:rsidRDefault="00B561CB" w:rsidP="00B561CB">
      <w:pPr>
        <w:pStyle w:val="TableFigureFooter"/>
      </w:pPr>
      <w:r w:rsidRPr="008A2601">
        <w:t>d</w:t>
      </w:r>
      <w:r w:rsidRPr="008A2601">
        <w:tab/>
        <w:t>cells D54:D60 in Clinical Inputs worksheet</w:t>
      </w:r>
    </w:p>
    <w:p w14:paraId="7F052713" w14:textId="77777777" w:rsidR="00B561CB" w:rsidRPr="008A2601" w:rsidRDefault="00B561CB" w:rsidP="00B561CB">
      <w:pPr>
        <w:pStyle w:val="TableFigureFooter"/>
      </w:pPr>
      <w:r w:rsidRPr="008A2601">
        <w:t>e</w:t>
      </w:r>
      <w:r w:rsidRPr="008A2601">
        <w:tab/>
        <w:t>cells E54:E60 in Clinical Inputs worksheet</w:t>
      </w:r>
    </w:p>
    <w:p w14:paraId="03B8EEFB" w14:textId="77777777" w:rsidR="00B561CB" w:rsidRPr="008A2601" w:rsidRDefault="00B561CB" w:rsidP="00B561CB">
      <w:pPr>
        <w:pStyle w:val="TableFigureFooter"/>
      </w:pPr>
      <w:r w:rsidRPr="008A2601">
        <w:t>f</w:t>
      </w:r>
      <w:r w:rsidRPr="008A2601">
        <w:tab/>
        <w:t>cells D9: D15 in Clinical Inputs worksheet</w:t>
      </w:r>
    </w:p>
    <w:p w14:paraId="68B4B606" w14:textId="77777777" w:rsidR="00B561CB" w:rsidRPr="008A2601" w:rsidRDefault="00B561CB" w:rsidP="00B561CB">
      <w:pPr>
        <w:pStyle w:val="TableFigureFooter"/>
      </w:pPr>
      <w:r w:rsidRPr="008A2601">
        <w:t>g</w:t>
      </w:r>
      <w:r w:rsidRPr="008A2601">
        <w:tab/>
        <w:t>cells E43:E49 in Clinical Inputs worksheet i) GUS 100: 67.5% and ii) GUS 200: 66.1%.</w:t>
      </w:r>
    </w:p>
    <w:p w14:paraId="77B7EFC6" w14:textId="77777777" w:rsidR="00B561CB" w:rsidRPr="008A2601" w:rsidRDefault="00B561CB" w:rsidP="00B561CB">
      <w:pPr>
        <w:pStyle w:val="TableFigureFooter"/>
      </w:pPr>
      <w:r w:rsidRPr="008A2601">
        <w:t>h</w:t>
      </w:r>
      <w:r w:rsidRPr="008A2601">
        <w:tab/>
        <w:t>cells K17:K19 in Results worksheet</w:t>
      </w:r>
    </w:p>
    <w:p w14:paraId="667678D6" w14:textId="77777777" w:rsidR="00B561CB" w:rsidRDefault="00B561CB" w:rsidP="00B561CB">
      <w:pPr>
        <w:pStyle w:val="TableFigureFooter"/>
      </w:pPr>
      <w:r w:rsidRPr="008A2601">
        <w:t>j</w:t>
      </w:r>
      <w:r w:rsidRPr="008A2601">
        <w:tab/>
        <w:t>cells K22:K24 in Results worksheet</w:t>
      </w:r>
    </w:p>
    <w:p w14:paraId="32EADE2F" w14:textId="77777777" w:rsidR="00205689" w:rsidRPr="00205689" w:rsidRDefault="00205689" w:rsidP="00205689">
      <w:pPr>
        <w:pStyle w:val="TableFigureFooter"/>
        <w:rPr>
          <w:i/>
          <w:iCs/>
        </w:rPr>
      </w:pPr>
      <w:r w:rsidRPr="00205689">
        <w:rPr>
          <w:i/>
          <w:iCs/>
        </w:rPr>
        <w:t xml:space="preserve">The redacted values correspond to the following ranges: </w:t>
      </w:r>
    </w:p>
    <w:p w14:paraId="775A7A47" w14:textId="7536F937" w:rsidR="00205689" w:rsidRPr="00205689" w:rsidRDefault="00205689" w:rsidP="00205689">
      <w:pPr>
        <w:pStyle w:val="TableFigureFooter"/>
        <w:rPr>
          <w:i/>
          <w:iCs/>
        </w:rPr>
      </w:pPr>
      <w:r w:rsidRPr="00205689">
        <w:rPr>
          <w:i/>
          <w:iCs/>
          <w:vertAlign w:val="superscript"/>
        </w:rPr>
        <w:t>1</w:t>
      </w:r>
      <w:r w:rsidRPr="00205689">
        <w:rPr>
          <w:i/>
          <w:iCs/>
        </w:rPr>
        <w:t xml:space="preserve"> </w:t>
      </w:r>
      <w:r w:rsidR="0080444E" w:rsidRPr="0080444E">
        <w:rPr>
          <w:i/>
          <w:iCs/>
        </w:rPr>
        <w:t>$75,000 to &lt; $95,000</w:t>
      </w:r>
    </w:p>
    <w:p w14:paraId="6511E163" w14:textId="25B7AD91" w:rsidR="00205689" w:rsidRPr="00205689" w:rsidRDefault="00205689" w:rsidP="00205689">
      <w:pPr>
        <w:pStyle w:val="TableFigureFooter"/>
        <w:rPr>
          <w:i/>
          <w:iCs/>
        </w:rPr>
      </w:pPr>
      <w:r w:rsidRPr="00205689">
        <w:rPr>
          <w:i/>
          <w:iCs/>
          <w:vertAlign w:val="superscript"/>
        </w:rPr>
        <w:t>2</w:t>
      </w:r>
      <w:r w:rsidRPr="00205689">
        <w:rPr>
          <w:i/>
          <w:iCs/>
        </w:rPr>
        <w:t xml:space="preserve"> </w:t>
      </w:r>
      <w:r w:rsidR="00221B6E" w:rsidRPr="00221B6E">
        <w:rPr>
          <w:i/>
          <w:iCs/>
        </w:rPr>
        <w:t xml:space="preserve">$55,000 to &lt; $75,000 </w:t>
      </w:r>
    </w:p>
    <w:p w14:paraId="7A008CDF" w14:textId="0BB5380D" w:rsidR="00205689" w:rsidRPr="00205689" w:rsidRDefault="00205689" w:rsidP="00205689">
      <w:pPr>
        <w:pStyle w:val="TableFigureFooter"/>
        <w:rPr>
          <w:i/>
          <w:iCs/>
        </w:rPr>
      </w:pPr>
      <w:r w:rsidRPr="00205689">
        <w:rPr>
          <w:i/>
          <w:iCs/>
          <w:vertAlign w:val="superscript"/>
        </w:rPr>
        <w:t>3</w:t>
      </w:r>
      <w:r w:rsidRPr="00205689">
        <w:rPr>
          <w:i/>
          <w:iCs/>
        </w:rPr>
        <w:t xml:space="preserve"> </w:t>
      </w:r>
      <w:r w:rsidR="00752F22" w:rsidRPr="00752F22">
        <w:rPr>
          <w:i/>
          <w:iCs/>
        </w:rPr>
        <w:t>$155,000 to &lt; $255,000</w:t>
      </w:r>
    </w:p>
    <w:p w14:paraId="02293529" w14:textId="66DA5689" w:rsidR="00205689" w:rsidRPr="00205689" w:rsidRDefault="00205689" w:rsidP="00205689">
      <w:pPr>
        <w:pStyle w:val="TableFigureFooter"/>
        <w:rPr>
          <w:i/>
          <w:iCs/>
        </w:rPr>
      </w:pPr>
      <w:r w:rsidRPr="00205689">
        <w:rPr>
          <w:i/>
          <w:iCs/>
          <w:vertAlign w:val="superscript"/>
        </w:rPr>
        <w:t>4</w:t>
      </w:r>
      <w:r w:rsidRPr="00205689">
        <w:rPr>
          <w:i/>
          <w:iCs/>
        </w:rPr>
        <w:t xml:space="preserve"> </w:t>
      </w:r>
      <w:r w:rsidR="00160307" w:rsidRPr="00160307">
        <w:rPr>
          <w:i/>
          <w:iCs/>
        </w:rPr>
        <w:t>$115,000 to &lt; $135,000</w:t>
      </w:r>
    </w:p>
    <w:p w14:paraId="01E919F9" w14:textId="472B156A" w:rsidR="00205689" w:rsidRPr="00205689" w:rsidRDefault="00205689" w:rsidP="00205689">
      <w:pPr>
        <w:pStyle w:val="TableFigureFooter"/>
        <w:rPr>
          <w:i/>
          <w:iCs/>
        </w:rPr>
      </w:pPr>
      <w:r w:rsidRPr="00205689">
        <w:rPr>
          <w:i/>
          <w:iCs/>
          <w:vertAlign w:val="superscript"/>
        </w:rPr>
        <w:t>5</w:t>
      </w:r>
      <w:r w:rsidRPr="00205689">
        <w:rPr>
          <w:i/>
          <w:iCs/>
        </w:rPr>
        <w:t xml:space="preserve"> </w:t>
      </w:r>
      <w:r w:rsidR="002523DA" w:rsidRPr="002523DA">
        <w:rPr>
          <w:i/>
          <w:iCs/>
        </w:rPr>
        <w:t xml:space="preserve">$95,000 to &lt; $115,000 </w:t>
      </w:r>
    </w:p>
    <w:p w14:paraId="6A9F16F1" w14:textId="77777777" w:rsidR="00AF5F55" w:rsidRDefault="00205689" w:rsidP="00AF5F55">
      <w:pPr>
        <w:pStyle w:val="TableFigureFooter"/>
        <w:rPr>
          <w:i/>
          <w:iCs/>
        </w:rPr>
      </w:pPr>
      <w:r w:rsidRPr="00205689">
        <w:rPr>
          <w:i/>
          <w:iCs/>
          <w:vertAlign w:val="superscript"/>
        </w:rPr>
        <w:t>6</w:t>
      </w:r>
      <w:r w:rsidRPr="00205689">
        <w:rPr>
          <w:i/>
          <w:iCs/>
        </w:rPr>
        <w:t xml:space="preserve"> </w:t>
      </w:r>
      <w:r w:rsidR="00AF5F55" w:rsidRPr="00AF5F55">
        <w:rPr>
          <w:i/>
          <w:iCs/>
        </w:rPr>
        <w:t>$255,000 to &lt; $355,000</w:t>
      </w:r>
    </w:p>
    <w:p w14:paraId="65D4B52E" w14:textId="77777777" w:rsidR="00BD71AF" w:rsidRPr="00BD71AF" w:rsidRDefault="006A0822" w:rsidP="00BD71AF">
      <w:pPr>
        <w:pStyle w:val="TableFigureFooter"/>
        <w:rPr>
          <w:i/>
          <w:iCs/>
        </w:rPr>
      </w:pPr>
      <w:r>
        <w:rPr>
          <w:i/>
          <w:iCs/>
          <w:vertAlign w:val="superscript"/>
        </w:rPr>
        <w:t>7</w:t>
      </w:r>
      <w:r>
        <w:rPr>
          <w:i/>
          <w:iCs/>
        </w:rPr>
        <w:t xml:space="preserve"> </w:t>
      </w:r>
      <w:r w:rsidR="00BD71AF" w:rsidRPr="00BD71AF">
        <w:rPr>
          <w:i/>
          <w:iCs/>
        </w:rPr>
        <w:t>$755,000 to &lt; $855,000</w:t>
      </w:r>
    </w:p>
    <w:p w14:paraId="73C984FF" w14:textId="77777777" w:rsidR="001323FD" w:rsidRPr="001323FD" w:rsidRDefault="00BD71AF" w:rsidP="001323FD">
      <w:pPr>
        <w:pStyle w:val="TableFigureFooter"/>
        <w:rPr>
          <w:i/>
          <w:iCs/>
        </w:rPr>
      </w:pPr>
      <w:r>
        <w:rPr>
          <w:i/>
          <w:iCs/>
          <w:vertAlign w:val="superscript"/>
        </w:rPr>
        <w:t>8</w:t>
      </w:r>
      <w:r>
        <w:rPr>
          <w:i/>
          <w:iCs/>
        </w:rPr>
        <w:t xml:space="preserve"> </w:t>
      </w:r>
      <w:r w:rsidR="001323FD" w:rsidRPr="001323FD">
        <w:rPr>
          <w:i/>
          <w:iCs/>
        </w:rPr>
        <w:t>$855,000 to &lt; $955,000</w:t>
      </w:r>
    </w:p>
    <w:p w14:paraId="73AA3546" w14:textId="077CB60F" w:rsidR="0065234C" w:rsidRPr="0065234C" w:rsidRDefault="001323FD" w:rsidP="0065234C">
      <w:pPr>
        <w:pStyle w:val="TableFigureFooter"/>
        <w:rPr>
          <w:i/>
          <w:iCs/>
        </w:rPr>
      </w:pPr>
      <w:r>
        <w:rPr>
          <w:i/>
          <w:iCs/>
          <w:vertAlign w:val="superscript"/>
        </w:rPr>
        <w:t xml:space="preserve">9 </w:t>
      </w:r>
      <w:r w:rsidR="0065234C" w:rsidRPr="0065234C">
        <w:rPr>
          <w:i/>
          <w:iCs/>
        </w:rPr>
        <w:t>&gt; $1,055,000</w:t>
      </w:r>
    </w:p>
    <w:p w14:paraId="5B95B7ED" w14:textId="73450609" w:rsidR="00127E81" w:rsidRDefault="00127E81">
      <w:pPr>
        <w:jc w:val="left"/>
        <w:rPr>
          <w:rFonts w:ascii="Arial Narrow" w:hAnsi="Arial Narrow"/>
          <w:i/>
          <w:iCs/>
          <w:snapToGrid w:val="0"/>
          <w:sz w:val="18"/>
          <w:szCs w:val="22"/>
        </w:rPr>
      </w:pPr>
      <w:r>
        <w:rPr>
          <w:i/>
          <w:iCs/>
        </w:rPr>
        <w:br w:type="page"/>
      </w:r>
    </w:p>
    <w:p w14:paraId="377C45B5" w14:textId="77777777" w:rsidR="00915B3B" w:rsidRPr="00261AF1" w:rsidRDefault="00915B3B" w:rsidP="00915B3B">
      <w:pPr>
        <w:pStyle w:val="3-BodyText"/>
      </w:pPr>
      <w:bookmarkStart w:id="63" w:name="_Ref203732483"/>
      <w:bookmarkStart w:id="64" w:name="_Toc22897646"/>
      <w:bookmarkStart w:id="65" w:name="_Toc198715640"/>
      <w:r>
        <w:t xml:space="preserve">Overall, the ESC </w:t>
      </w:r>
      <w:r w:rsidRPr="00261AF1">
        <w:t>considered the modelled economic evaluation uninformative because:</w:t>
      </w:r>
      <w:bookmarkEnd w:id="63"/>
    </w:p>
    <w:p w14:paraId="358B0BA5" w14:textId="77777777" w:rsidR="00915B3B" w:rsidRPr="00661BFF" w:rsidRDefault="00915B3B" w:rsidP="00915B3B">
      <w:pPr>
        <w:pStyle w:val="ListParagraph"/>
        <w:numPr>
          <w:ilvl w:val="1"/>
          <w:numId w:val="7"/>
        </w:numPr>
        <w:spacing w:after="0"/>
        <w:ind w:left="714" w:hanging="357"/>
      </w:pPr>
      <w:r w:rsidRPr="00661BFF">
        <w:t xml:space="preserve">The model included benefits for GUS associated with clinical remission following induction. Based on the head to head trial vs UST, a difference in this outcome was not demonstrated. </w:t>
      </w:r>
    </w:p>
    <w:p w14:paraId="324A7915" w14:textId="6880B118" w:rsidR="00915B3B" w:rsidRPr="00661BFF" w:rsidRDefault="00915B3B" w:rsidP="00915B3B">
      <w:pPr>
        <w:pStyle w:val="ListParagraph"/>
        <w:numPr>
          <w:ilvl w:val="1"/>
          <w:numId w:val="7"/>
        </w:numPr>
        <w:spacing w:after="0"/>
        <w:ind w:left="714" w:hanging="357"/>
      </w:pPr>
      <w:r w:rsidRPr="00661BFF">
        <w:t xml:space="preserve">The model included benefits for GUS associated with maintenance of clinical remission. Based on the </w:t>
      </w:r>
      <w:proofErr w:type="gramStart"/>
      <w:r w:rsidRPr="00661BFF">
        <w:t>head to head</w:t>
      </w:r>
      <w:proofErr w:type="gramEnd"/>
      <w:r w:rsidRPr="00661BFF">
        <w:t xml:space="preserve"> trial vs UST, a difference in this outcome was not demonstrated (</w:t>
      </w:r>
      <w:proofErr w:type="gramStart"/>
      <w:r w:rsidRPr="00661BFF">
        <w:t>with the exception of</w:t>
      </w:r>
      <w:proofErr w:type="gramEnd"/>
      <w:r w:rsidRPr="00661BFF">
        <w:t xml:space="preserve"> a few comparisons that favoured GUS </w:t>
      </w:r>
      <w:r w:rsidR="0037076E" w:rsidRPr="00661BFF">
        <w:t>200</w:t>
      </w:r>
      <w:r w:rsidR="0037076E">
        <w:t> </w:t>
      </w:r>
      <w:r w:rsidRPr="00661BFF">
        <w:t>mg SC over UST on maintenance of clinical remission and durable clinical remission).</w:t>
      </w:r>
      <w:r w:rsidRPr="00261AF1">
        <w:rPr>
          <w:i/>
          <w:iCs/>
        </w:rPr>
        <w:t xml:space="preserve"> </w:t>
      </w:r>
      <w:r w:rsidRPr="00661BFF">
        <w:t xml:space="preserve">Further the </w:t>
      </w:r>
      <w:r w:rsidRPr="00661BFF">
        <w:rPr>
          <w:lang w:val="en-US"/>
        </w:rPr>
        <w:t xml:space="preserve">approach used resulted in a much lower proportion of patients remaining on treatment than expected in clinical practice. </w:t>
      </w:r>
      <w:r w:rsidRPr="00661BFF">
        <w:t xml:space="preserve"> </w:t>
      </w:r>
    </w:p>
    <w:p w14:paraId="12ACA7FD" w14:textId="3D4AAE3C" w:rsidR="00915B3B" w:rsidRPr="00661BFF" w:rsidRDefault="00915B3B" w:rsidP="00915B3B">
      <w:pPr>
        <w:pStyle w:val="ListParagraph"/>
        <w:numPr>
          <w:ilvl w:val="1"/>
          <w:numId w:val="7"/>
        </w:numPr>
        <w:spacing w:after="0"/>
        <w:ind w:left="714" w:hanging="357"/>
      </w:pPr>
      <w:r w:rsidRPr="00661BFF">
        <w:t>The model included benefits for GUS associated with endoscopic remission. Based on the head to head trial vs UST, a statistically significant difference in this outcome was demonstrated. Incorporating only this benefit in the economic model resulted in ICERs that exceed $1 million/QALY gained</w:t>
      </w:r>
      <w:r w:rsidR="004867A7" w:rsidRPr="00661BFF">
        <w:t xml:space="preserve"> (see multivariate analysis (A)+(B)+(C)+(D)+(E) in </w:t>
      </w:r>
      <w:r w:rsidR="004867A7" w:rsidRPr="00661BFF">
        <w:fldChar w:fldCharType="begin"/>
      </w:r>
      <w:r w:rsidR="004867A7" w:rsidRPr="00661BFF">
        <w:instrText xml:space="preserve"> REF _Ref197954940 \h  \* MERGEFORMAT </w:instrText>
      </w:r>
      <w:r w:rsidR="004867A7" w:rsidRPr="00661BFF">
        <w:fldChar w:fldCharType="separate"/>
      </w:r>
      <w:r w:rsidR="000756FD" w:rsidRPr="008A2601">
        <w:t xml:space="preserve">Table </w:t>
      </w:r>
      <w:r w:rsidR="000756FD">
        <w:rPr>
          <w:noProof/>
        </w:rPr>
        <w:t>15</w:t>
      </w:r>
      <w:r w:rsidR="004867A7" w:rsidRPr="00661BFF">
        <w:fldChar w:fldCharType="end"/>
      </w:r>
      <w:r w:rsidR="004867A7" w:rsidRPr="00661BFF">
        <w:t>)</w:t>
      </w:r>
      <w:r w:rsidR="00484C00" w:rsidRPr="00661BFF">
        <w:t>.</w:t>
      </w:r>
      <w:r w:rsidRPr="00661BFF">
        <w:t xml:space="preserve"> </w:t>
      </w:r>
    </w:p>
    <w:p w14:paraId="67A9C5C1" w14:textId="43E8E0F2" w:rsidR="00B872AC" w:rsidRPr="00661BFF" w:rsidRDefault="00915B3B" w:rsidP="00915B3B">
      <w:pPr>
        <w:pStyle w:val="ListParagraph"/>
        <w:numPr>
          <w:ilvl w:val="1"/>
          <w:numId w:val="7"/>
        </w:numPr>
        <w:ind w:left="720"/>
      </w:pPr>
      <w:r w:rsidRPr="00661BFF">
        <w:t xml:space="preserve">The model assumed GUS would be used first line. If GUS is used second </w:t>
      </w:r>
      <w:proofErr w:type="gramStart"/>
      <w:r w:rsidRPr="00661BFF">
        <w:t>line</w:t>
      </w:r>
      <w:proofErr w:type="gramEnd"/>
      <w:r w:rsidRPr="00661BFF">
        <w:t xml:space="preserve"> the ICERs increased to &gt;</w:t>
      </w:r>
      <w:r w:rsidR="00F45A6B" w:rsidRPr="00F45A6B">
        <w:t xml:space="preserve">$95,000 to &lt; $115,000 </w:t>
      </w:r>
      <w:r w:rsidRPr="00661BFF">
        <w:t>/QALY</w:t>
      </w:r>
      <w:r w:rsidR="004867A7" w:rsidRPr="00661BFF">
        <w:t xml:space="preserve"> (see scenario analysis </w:t>
      </w:r>
      <w:r w:rsidR="004867A7" w:rsidRPr="00661BFF">
        <w:fldChar w:fldCharType="begin"/>
      </w:r>
      <w:r w:rsidR="004867A7" w:rsidRPr="00661BFF">
        <w:instrText xml:space="preserve"> REF _Ref197954911 \h </w:instrText>
      </w:r>
      <w:r w:rsidR="00484C00" w:rsidRPr="00661BFF">
        <w:instrText xml:space="preserve"> \* MERGEFORMAT </w:instrText>
      </w:r>
      <w:r w:rsidR="004867A7" w:rsidRPr="00661BFF">
        <w:fldChar w:fldCharType="separate"/>
      </w:r>
      <w:r w:rsidR="000756FD">
        <w:t xml:space="preserve">Table </w:t>
      </w:r>
      <w:r w:rsidR="000756FD">
        <w:rPr>
          <w:noProof/>
        </w:rPr>
        <w:t>14</w:t>
      </w:r>
      <w:r w:rsidR="004867A7" w:rsidRPr="00661BFF">
        <w:fldChar w:fldCharType="end"/>
      </w:r>
      <w:r w:rsidR="004867A7" w:rsidRPr="00661BFF">
        <w:t>)</w:t>
      </w:r>
      <w:r w:rsidRPr="00661BFF">
        <w:t xml:space="preserve">. If GUS is used third </w:t>
      </w:r>
      <w:proofErr w:type="gramStart"/>
      <w:r w:rsidRPr="00661BFF">
        <w:t>line</w:t>
      </w:r>
      <w:proofErr w:type="gramEnd"/>
      <w:r w:rsidRPr="00661BFF">
        <w:t xml:space="preserve"> the ICERs increases to &gt;$</w:t>
      </w:r>
      <w:r w:rsidR="0035518C" w:rsidRPr="0035518C">
        <w:t>155,000 to &lt; $255,000</w:t>
      </w:r>
      <w:r w:rsidRPr="00661BFF">
        <w:t>/QALY</w:t>
      </w:r>
      <w:r w:rsidR="004867A7" w:rsidRPr="00661BFF">
        <w:t xml:space="preserve"> (see scenario analysis </w:t>
      </w:r>
      <w:r w:rsidR="004867A7" w:rsidRPr="00661BFF">
        <w:fldChar w:fldCharType="begin"/>
      </w:r>
      <w:r w:rsidR="004867A7" w:rsidRPr="00661BFF">
        <w:instrText xml:space="preserve"> REF _Ref197954911 \h  \* MERGEFORMAT </w:instrText>
      </w:r>
      <w:r w:rsidR="004867A7" w:rsidRPr="00661BFF">
        <w:fldChar w:fldCharType="separate"/>
      </w:r>
      <w:r w:rsidR="000756FD">
        <w:t xml:space="preserve">Table </w:t>
      </w:r>
      <w:r w:rsidR="000756FD">
        <w:rPr>
          <w:noProof/>
        </w:rPr>
        <w:t>14</w:t>
      </w:r>
      <w:r w:rsidR="004867A7" w:rsidRPr="00661BFF">
        <w:fldChar w:fldCharType="end"/>
      </w:r>
      <w:r w:rsidR="004867A7" w:rsidRPr="00661BFF">
        <w:t xml:space="preserve">). </w:t>
      </w:r>
    </w:p>
    <w:p w14:paraId="472842D7" w14:textId="0B877BEC" w:rsidR="00C25D9C" w:rsidRDefault="00C25D9C" w:rsidP="00BB732D">
      <w:pPr>
        <w:pStyle w:val="4-SubsectionHeading"/>
      </w:pPr>
      <w:r w:rsidRPr="002C2775">
        <w:t>Drug cost/patient/year</w:t>
      </w:r>
      <w:bookmarkEnd w:id="64"/>
      <w:bookmarkEnd w:id="65"/>
    </w:p>
    <w:p w14:paraId="54F19198" w14:textId="737F871D" w:rsidR="008D17A8" w:rsidRPr="008A2601" w:rsidRDefault="003D4AEE" w:rsidP="003D4AEE">
      <w:pPr>
        <w:pStyle w:val="3-BodyText"/>
        <w:rPr>
          <w:lang w:val="en-US"/>
        </w:rPr>
      </w:pPr>
      <w:bookmarkStart w:id="66" w:name="_Ref104805102"/>
      <w:r w:rsidRPr="008A2601">
        <w:rPr>
          <w:lang w:val="en-US"/>
        </w:rPr>
        <w:t>Based on the proposed effective AEMP for GUS, the cost per patient per year are:</w:t>
      </w:r>
    </w:p>
    <w:p w14:paraId="7E6F4F21" w14:textId="200BD677" w:rsidR="003D4AEE" w:rsidRPr="008A2601" w:rsidRDefault="005860A4" w:rsidP="00185675">
      <w:pPr>
        <w:pStyle w:val="Caption"/>
        <w:rPr>
          <w:szCs w:val="20"/>
        </w:rPr>
      </w:pPr>
      <w:r w:rsidRPr="008A2601">
        <w:t xml:space="preserve">Table </w:t>
      </w:r>
      <w:r w:rsidR="00DC5F25">
        <w:fldChar w:fldCharType="begin"/>
      </w:r>
      <w:r w:rsidR="00DC5F25">
        <w:instrText xml:space="preserve"> SEQ Table \* ARABIC </w:instrText>
      </w:r>
      <w:r w:rsidR="00DC5F25">
        <w:fldChar w:fldCharType="separate"/>
      </w:r>
      <w:r w:rsidR="000756FD">
        <w:rPr>
          <w:noProof/>
        </w:rPr>
        <w:t>16</w:t>
      </w:r>
      <w:r w:rsidR="00DC5F25">
        <w:rPr>
          <w:noProof/>
        </w:rPr>
        <w:fldChar w:fldCharType="end"/>
      </w:r>
      <w:r w:rsidRPr="008A2601">
        <w:t xml:space="preserve">: </w:t>
      </w:r>
      <w:r w:rsidR="003D4AEE" w:rsidRPr="008A2601">
        <w:rPr>
          <w:szCs w:val="20"/>
        </w:rPr>
        <w:t>Drug cost/patient/year based on proposed effective AEMP for GUS</w:t>
      </w:r>
    </w:p>
    <w:tbl>
      <w:tblPr>
        <w:tblStyle w:val="TableGrid"/>
        <w:tblW w:w="0" w:type="auto"/>
        <w:tblCellMar>
          <w:left w:w="28" w:type="dxa"/>
          <w:right w:w="28" w:type="dxa"/>
        </w:tblCellMar>
        <w:tblLook w:val="04A0" w:firstRow="1" w:lastRow="0" w:firstColumn="1" w:lastColumn="0" w:noHBand="0" w:noVBand="1"/>
        <w:tblCaption w:val="Table 16: Drug cost/patient/year based on proposed effective AEMP for GUS"/>
      </w:tblPr>
      <w:tblGrid>
        <w:gridCol w:w="3005"/>
        <w:gridCol w:w="2802"/>
        <w:gridCol w:w="3210"/>
      </w:tblGrid>
      <w:tr w:rsidR="003D4AEE" w:rsidRPr="008A2601" w14:paraId="35AE44DF" w14:textId="77777777" w:rsidTr="003D4AEE">
        <w:tc>
          <w:tcPr>
            <w:tcW w:w="3005" w:type="dxa"/>
          </w:tcPr>
          <w:p w14:paraId="407AF2D3" w14:textId="086B9858" w:rsidR="003D4AEE" w:rsidRPr="008A2601" w:rsidRDefault="00CA7ED5" w:rsidP="00185675">
            <w:pPr>
              <w:pStyle w:val="3-BodyText"/>
              <w:keepNext/>
              <w:keepLines/>
              <w:numPr>
                <w:ilvl w:val="0"/>
                <w:numId w:val="0"/>
              </w:numPr>
              <w:spacing w:before="0" w:after="0"/>
              <w:rPr>
                <w:rFonts w:ascii="Arial Narrow" w:hAnsi="Arial Narrow"/>
                <w:b/>
                <w:bCs/>
                <w:sz w:val="20"/>
                <w:szCs w:val="20"/>
              </w:rPr>
            </w:pPr>
            <w:r w:rsidRPr="008A2601">
              <w:rPr>
                <w:rFonts w:ascii="Arial Narrow" w:hAnsi="Arial Narrow"/>
                <w:b/>
                <w:bCs/>
                <w:sz w:val="20"/>
                <w:szCs w:val="20"/>
              </w:rPr>
              <w:t xml:space="preserve">GUS </w:t>
            </w:r>
            <w:r w:rsidR="003D4AEE" w:rsidRPr="008A2601">
              <w:rPr>
                <w:rFonts w:ascii="Arial Narrow" w:hAnsi="Arial Narrow"/>
                <w:b/>
                <w:bCs/>
                <w:sz w:val="20"/>
                <w:szCs w:val="20"/>
              </w:rPr>
              <w:t>Dosing</w:t>
            </w:r>
          </w:p>
        </w:tc>
        <w:tc>
          <w:tcPr>
            <w:tcW w:w="2802" w:type="dxa"/>
            <w:vAlign w:val="center"/>
          </w:tcPr>
          <w:p w14:paraId="47C269FC" w14:textId="401A74BB" w:rsidR="003D4AEE" w:rsidRPr="008A2601" w:rsidRDefault="003D4AEE" w:rsidP="00185675">
            <w:pPr>
              <w:pStyle w:val="3-BodyText"/>
              <w:keepNext/>
              <w:keepLines/>
              <w:numPr>
                <w:ilvl w:val="0"/>
                <w:numId w:val="0"/>
              </w:numPr>
              <w:spacing w:before="0" w:after="0"/>
              <w:jc w:val="center"/>
              <w:rPr>
                <w:rFonts w:ascii="Arial Narrow" w:hAnsi="Arial Narrow"/>
                <w:b/>
                <w:bCs/>
                <w:sz w:val="20"/>
                <w:szCs w:val="20"/>
              </w:rPr>
            </w:pPr>
            <w:r w:rsidRPr="008A2601">
              <w:rPr>
                <w:rFonts w:ascii="Arial Narrow" w:hAnsi="Arial Narrow"/>
                <w:b/>
                <w:bCs/>
                <w:sz w:val="20"/>
                <w:szCs w:val="20"/>
              </w:rPr>
              <w:t>Cost/patient/year</w:t>
            </w:r>
          </w:p>
        </w:tc>
        <w:tc>
          <w:tcPr>
            <w:tcW w:w="3210" w:type="dxa"/>
            <w:vAlign w:val="center"/>
          </w:tcPr>
          <w:p w14:paraId="0868C084" w14:textId="18981D5F" w:rsidR="003D4AEE" w:rsidRPr="008A2601" w:rsidRDefault="003D4AEE" w:rsidP="00185675">
            <w:pPr>
              <w:pStyle w:val="3-BodyText"/>
              <w:keepNext/>
              <w:keepLines/>
              <w:numPr>
                <w:ilvl w:val="0"/>
                <w:numId w:val="0"/>
              </w:numPr>
              <w:spacing w:before="0" w:after="0"/>
              <w:jc w:val="center"/>
              <w:rPr>
                <w:rFonts w:ascii="Arial Narrow" w:hAnsi="Arial Narrow"/>
                <w:b/>
                <w:bCs/>
                <w:sz w:val="20"/>
                <w:szCs w:val="20"/>
              </w:rPr>
            </w:pPr>
            <w:r w:rsidRPr="008A2601">
              <w:rPr>
                <w:rFonts w:ascii="Arial Narrow" w:hAnsi="Arial Narrow"/>
                <w:b/>
                <w:bCs/>
                <w:sz w:val="20"/>
                <w:szCs w:val="20"/>
              </w:rPr>
              <w:t xml:space="preserve">Cost/patient/year (incl. </w:t>
            </w:r>
            <w:proofErr w:type="spellStart"/>
            <w:r w:rsidRPr="008A2601">
              <w:rPr>
                <w:rFonts w:ascii="Arial Narrow" w:hAnsi="Arial Narrow"/>
                <w:b/>
                <w:bCs/>
                <w:sz w:val="20"/>
                <w:szCs w:val="20"/>
              </w:rPr>
              <w:t>administration</w:t>
            </w:r>
            <w:r w:rsidR="00B15C3D" w:rsidRPr="008A2601">
              <w:rPr>
                <w:rFonts w:ascii="Arial Narrow" w:hAnsi="Arial Narrow"/>
                <w:b/>
                <w:bCs/>
                <w:sz w:val="20"/>
                <w:szCs w:val="20"/>
                <w:vertAlign w:val="superscript"/>
              </w:rPr>
              <w:t>a</w:t>
            </w:r>
            <w:proofErr w:type="spellEnd"/>
            <w:r w:rsidRPr="008A2601">
              <w:rPr>
                <w:rFonts w:ascii="Arial Narrow" w:hAnsi="Arial Narrow"/>
                <w:b/>
                <w:bCs/>
                <w:sz w:val="20"/>
                <w:szCs w:val="20"/>
              </w:rPr>
              <w:t>)</w:t>
            </w:r>
          </w:p>
        </w:tc>
      </w:tr>
      <w:tr w:rsidR="003D4AEE" w:rsidRPr="008A2601" w14:paraId="4568F5DE" w14:textId="77777777" w:rsidTr="003D4AEE">
        <w:tc>
          <w:tcPr>
            <w:tcW w:w="3005" w:type="dxa"/>
          </w:tcPr>
          <w:p w14:paraId="7994EC56" w14:textId="34C6AAD4" w:rsidR="003D4AEE" w:rsidRPr="008A2601" w:rsidRDefault="003D4AEE" w:rsidP="00185675">
            <w:pPr>
              <w:pStyle w:val="3-BodyText"/>
              <w:keepNext/>
              <w:keepLines/>
              <w:numPr>
                <w:ilvl w:val="0"/>
                <w:numId w:val="0"/>
              </w:numPr>
              <w:spacing w:before="0" w:after="0"/>
              <w:rPr>
                <w:rFonts w:ascii="Arial Narrow" w:hAnsi="Arial Narrow"/>
                <w:sz w:val="20"/>
                <w:szCs w:val="20"/>
              </w:rPr>
            </w:pPr>
            <w:r w:rsidRPr="008A2601">
              <w:rPr>
                <w:rFonts w:ascii="Arial Narrow" w:hAnsi="Arial Narrow"/>
                <w:sz w:val="20"/>
                <w:szCs w:val="20"/>
              </w:rPr>
              <w:t xml:space="preserve">200 mg IV </w:t>
            </w:r>
            <w:proofErr w:type="spellStart"/>
            <w:r w:rsidRPr="008A2601">
              <w:rPr>
                <w:rFonts w:ascii="Arial Narrow" w:hAnsi="Arial Narrow"/>
                <w:sz w:val="20"/>
                <w:szCs w:val="20"/>
              </w:rPr>
              <w:t>wk</w:t>
            </w:r>
            <w:proofErr w:type="spellEnd"/>
            <w:r w:rsidRPr="008A2601">
              <w:rPr>
                <w:rFonts w:ascii="Arial Narrow" w:hAnsi="Arial Narrow"/>
                <w:sz w:val="20"/>
                <w:szCs w:val="20"/>
              </w:rPr>
              <w:t xml:space="preserve"> 0, 4, 8 induction -&gt; 200 mg SC Q4W maintenance</w:t>
            </w:r>
          </w:p>
        </w:tc>
        <w:tc>
          <w:tcPr>
            <w:tcW w:w="2802" w:type="dxa"/>
            <w:vAlign w:val="center"/>
          </w:tcPr>
          <w:p w14:paraId="613B8A76" w14:textId="56759AD4"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32"/>
                <w14:textFill>
                  <w14:solidFill>
                    <w14:srgbClr w14:val="000000">
                      <w14:alpha w14:val="100000"/>
                    </w14:srgbClr>
                  </w14:solidFill>
                </w14:textFill>
              </w:rPr>
              <w:t>|</w:t>
            </w:r>
          </w:p>
        </w:tc>
        <w:tc>
          <w:tcPr>
            <w:tcW w:w="3210" w:type="dxa"/>
            <w:vAlign w:val="center"/>
          </w:tcPr>
          <w:p w14:paraId="443BCE5F" w14:textId="15ABC851"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31"/>
                <w14:textFill>
                  <w14:solidFill>
                    <w14:srgbClr w14:val="000000">
                      <w14:alpha w14:val="100000"/>
                    </w14:srgbClr>
                  </w14:solidFill>
                </w14:textFill>
              </w:rPr>
              <w:t>|</w:t>
            </w:r>
          </w:p>
        </w:tc>
      </w:tr>
      <w:tr w:rsidR="003D4AEE" w:rsidRPr="008A2601" w14:paraId="74205209" w14:textId="77777777" w:rsidTr="003D4AEE">
        <w:tc>
          <w:tcPr>
            <w:tcW w:w="3005" w:type="dxa"/>
          </w:tcPr>
          <w:p w14:paraId="66AD19F1" w14:textId="449445E1" w:rsidR="003D4AEE" w:rsidRPr="008A2601" w:rsidRDefault="003D4AEE" w:rsidP="00185675">
            <w:pPr>
              <w:pStyle w:val="3-BodyText"/>
              <w:keepNext/>
              <w:keepLines/>
              <w:numPr>
                <w:ilvl w:val="0"/>
                <w:numId w:val="0"/>
              </w:numPr>
              <w:spacing w:before="0" w:after="0"/>
              <w:rPr>
                <w:rFonts w:ascii="Arial Narrow" w:hAnsi="Arial Narrow"/>
                <w:sz w:val="20"/>
                <w:szCs w:val="20"/>
              </w:rPr>
            </w:pPr>
            <w:r w:rsidRPr="008A2601">
              <w:rPr>
                <w:rFonts w:ascii="Arial Narrow" w:hAnsi="Arial Narrow"/>
                <w:sz w:val="20"/>
                <w:szCs w:val="20"/>
              </w:rPr>
              <w:t xml:space="preserve">200 mg IV </w:t>
            </w:r>
            <w:proofErr w:type="spellStart"/>
            <w:r w:rsidRPr="008A2601">
              <w:rPr>
                <w:rFonts w:ascii="Arial Narrow" w:hAnsi="Arial Narrow"/>
                <w:sz w:val="20"/>
                <w:szCs w:val="20"/>
              </w:rPr>
              <w:t>wk</w:t>
            </w:r>
            <w:proofErr w:type="spellEnd"/>
            <w:r w:rsidRPr="008A2601">
              <w:rPr>
                <w:rFonts w:ascii="Arial Narrow" w:hAnsi="Arial Narrow"/>
                <w:sz w:val="20"/>
                <w:szCs w:val="20"/>
              </w:rPr>
              <w:t xml:space="preserve"> 0, 4, 8 induction -&gt; 100 mg SC Q8W maintenance</w:t>
            </w:r>
          </w:p>
        </w:tc>
        <w:tc>
          <w:tcPr>
            <w:tcW w:w="2802" w:type="dxa"/>
            <w:vAlign w:val="center"/>
          </w:tcPr>
          <w:p w14:paraId="19C919A8" w14:textId="59C3A709"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30"/>
                <w14:textFill>
                  <w14:solidFill>
                    <w14:srgbClr w14:val="000000">
                      <w14:alpha w14:val="100000"/>
                    </w14:srgbClr>
                  </w14:solidFill>
                </w14:textFill>
              </w:rPr>
              <w:t>|</w:t>
            </w:r>
          </w:p>
        </w:tc>
        <w:tc>
          <w:tcPr>
            <w:tcW w:w="3210" w:type="dxa"/>
            <w:vAlign w:val="center"/>
          </w:tcPr>
          <w:p w14:paraId="52E9F31C" w14:textId="31F90D49"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29"/>
                <w14:textFill>
                  <w14:solidFill>
                    <w14:srgbClr w14:val="000000">
                      <w14:alpha w14:val="100000"/>
                    </w14:srgbClr>
                  </w14:solidFill>
                </w14:textFill>
              </w:rPr>
              <w:t>|</w:t>
            </w:r>
          </w:p>
        </w:tc>
      </w:tr>
      <w:tr w:rsidR="003D4AEE" w:rsidRPr="008A2601" w14:paraId="3219C33E" w14:textId="77777777" w:rsidTr="003D4AEE">
        <w:tc>
          <w:tcPr>
            <w:tcW w:w="3005" w:type="dxa"/>
          </w:tcPr>
          <w:p w14:paraId="16F80D72" w14:textId="0749B1CB" w:rsidR="003D4AEE" w:rsidRPr="008A2601" w:rsidRDefault="003D4AEE" w:rsidP="00185675">
            <w:pPr>
              <w:pStyle w:val="3-BodyText"/>
              <w:keepNext/>
              <w:keepLines/>
              <w:numPr>
                <w:ilvl w:val="0"/>
                <w:numId w:val="0"/>
              </w:numPr>
              <w:spacing w:before="0" w:after="0"/>
              <w:rPr>
                <w:rFonts w:ascii="Arial Narrow" w:hAnsi="Arial Narrow"/>
                <w:sz w:val="20"/>
                <w:szCs w:val="20"/>
              </w:rPr>
            </w:pPr>
            <w:r w:rsidRPr="008A2601">
              <w:rPr>
                <w:rFonts w:ascii="Arial Narrow" w:hAnsi="Arial Narrow"/>
                <w:sz w:val="20"/>
                <w:szCs w:val="20"/>
              </w:rPr>
              <w:t xml:space="preserve">400 mg SC </w:t>
            </w:r>
            <w:proofErr w:type="spellStart"/>
            <w:r w:rsidRPr="008A2601">
              <w:rPr>
                <w:rFonts w:ascii="Arial Narrow" w:hAnsi="Arial Narrow"/>
                <w:sz w:val="20"/>
                <w:szCs w:val="20"/>
              </w:rPr>
              <w:t>wk</w:t>
            </w:r>
            <w:proofErr w:type="spellEnd"/>
            <w:r w:rsidRPr="008A2601">
              <w:rPr>
                <w:rFonts w:ascii="Arial Narrow" w:hAnsi="Arial Narrow"/>
                <w:sz w:val="20"/>
                <w:szCs w:val="20"/>
              </w:rPr>
              <w:t xml:space="preserve"> 0, 4, 8 induction -&gt; 200 mg SC Q4W maintenance</w:t>
            </w:r>
          </w:p>
        </w:tc>
        <w:tc>
          <w:tcPr>
            <w:tcW w:w="2802" w:type="dxa"/>
            <w:vAlign w:val="center"/>
          </w:tcPr>
          <w:p w14:paraId="452890BA" w14:textId="4E2075DB"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28"/>
                <w14:textFill>
                  <w14:solidFill>
                    <w14:srgbClr w14:val="000000">
                      <w14:alpha w14:val="100000"/>
                    </w14:srgbClr>
                  </w14:solidFill>
                </w14:textFill>
              </w:rPr>
              <w:t>|</w:t>
            </w:r>
          </w:p>
        </w:tc>
        <w:tc>
          <w:tcPr>
            <w:tcW w:w="3210" w:type="dxa"/>
            <w:vAlign w:val="center"/>
          </w:tcPr>
          <w:p w14:paraId="4044FFE5" w14:textId="5F06DFF3"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44"/>
                <w14:textFill>
                  <w14:solidFill>
                    <w14:srgbClr w14:val="000000">
                      <w14:alpha w14:val="100000"/>
                    </w14:srgbClr>
                  </w14:solidFill>
                </w14:textFill>
              </w:rPr>
              <w:t>|</w:t>
            </w:r>
          </w:p>
        </w:tc>
      </w:tr>
      <w:tr w:rsidR="003D4AEE" w:rsidRPr="008A2601" w14:paraId="33D19618" w14:textId="77777777" w:rsidTr="003D4AEE">
        <w:tc>
          <w:tcPr>
            <w:tcW w:w="3005" w:type="dxa"/>
          </w:tcPr>
          <w:p w14:paraId="2163ED34" w14:textId="31365F2F" w:rsidR="003D4AEE" w:rsidRPr="008A2601" w:rsidRDefault="003D4AEE" w:rsidP="00185675">
            <w:pPr>
              <w:pStyle w:val="3-BodyText"/>
              <w:keepNext/>
              <w:keepLines/>
              <w:numPr>
                <w:ilvl w:val="0"/>
                <w:numId w:val="0"/>
              </w:numPr>
              <w:spacing w:before="0" w:after="0"/>
              <w:rPr>
                <w:rFonts w:ascii="Arial Narrow" w:hAnsi="Arial Narrow"/>
                <w:sz w:val="20"/>
                <w:szCs w:val="20"/>
              </w:rPr>
            </w:pPr>
            <w:r w:rsidRPr="008A2601">
              <w:rPr>
                <w:rFonts w:ascii="Arial Narrow" w:hAnsi="Arial Narrow"/>
                <w:sz w:val="20"/>
                <w:szCs w:val="20"/>
              </w:rPr>
              <w:t xml:space="preserve">400 mg SC </w:t>
            </w:r>
            <w:proofErr w:type="spellStart"/>
            <w:r w:rsidRPr="008A2601">
              <w:rPr>
                <w:rFonts w:ascii="Arial Narrow" w:hAnsi="Arial Narrow"/>
                <w:sz w:val="20"/>
                <w:szCs w:val="20"/>
              </w:rPr>
              <w:t>wk</w:t>
            </w:r>
            <w:proofErr w:type="spellEnd"/>
            <w:r w:rsidRPr="008A2601">
              <w:rPr>
                <w:rFonts w:ascii="Arial Narrow" w:hAnsi="Arial Narrow"/>
                <w:sz w:val="20"/>
                <w:szCs w:val="20"/>
              </w:rPr>
              <w:t xml:space="preserve"> 0, 4, 8 induction -&gt; 100 mg SC Q8W maintenance</w:t>
            </w:r>
          </w:p>
        </w:tc>
        <w:tc>
          <w:tcPr>
            <w:tcW w:w="2802" w:type="dxa"/>
            <w:vAlign w:val="center"/>
          </w:tcPr>
          <w:p w14:paraId="118FA8E7" w14:textId="5C9DD979"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43"/>
                <w14:textFill>
                  <w14:solidFill>
                    <w14:srgbClr w14:val="000000">
                      <w14:alpha w14:val="100000"/>
                    </w14:srgbClr>
                  </w14:solidFill>
                </w14:textFill>
              </w:rPr>
              <w:t>|</w:t>
            </w:r>
          </w:p>
        </w:tc>
        <w:tc>
          <w:tcPr>
            <w:tcW w:w="3210" w:type="dxa"/>
            <w:vAlign w:val="center"/>
          </w:tcPr>
          <w:p w14:paraId="4F4F648F" w14:textId="6B389147"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42"/>
                <w14:textFill>
                  <w14:solidFill>
                    <w14:srgbClr w14:val="000000">
                      <w14:alpha w14:val="100000"/>
                    </w14:srgbClr>
                  </w14:solidFill>
                </w14:textFill>
              </w:rPr>
              <w:t>|</w:t>
            </w:r>
          </w:p>
        </w:tc>
      </w:tr>
    </w:tbl>
    <w:p w14:paraId="1EB34D8A" w14:textId="474CF9D3" w:rsidR="003D4AEE" w:rsidRPr="008A2601" w:rsidRDefault="003D4AEE" w:rsidP="00CA7ED5">
      <w:pPr>
        <w:pStyle w:val="3-BodyText"/>
        <w:numPr>
          <w:ilvl w:val="0"/>
          <w:numId w:val="0"/>
        </w:numPr>
        <w:spacing w:before="0" w:after="0"/>
        <w:rPr>
          <w:rFonts w:ascii="Arial Narrow" w:hAnsi="Arial Narrow"/>
          <w:sz w:val="18"/>
          <w:szCs w:val="18"/>
        </w:rPr>
      </w:pPr>
      <w:r w:rsidRPr="008A2601">
        <w:rPr>
          <w:rFonts w:ascii="Arial Narrow" w:hAnsi="Arial Narrow"/>
          <w:sz w:val="18"/>
          <w:szCs w:val="18"/>
        </w:rPr>
        <w:t>Source: compiled during the evaluation.</w:t>
      </w:r>
    </w:p>
    <w:p w14:paraId="6F18DE81" w14:textId="0BDDC00B" w:rsidR="00CA7ED5" w:rsidRPr="008A2601" w:rsidRDefault="00CA7ED5" w:rsidP="00B15C3D">
      <w:pPr>
        <w:pStyle w:val="3-BodyText"/>
        <w:numPr>
          <w:ilvl w:val="0"/>
          <w:numId w:val="0"/>
        </w:numPr>
        <w:spacing w:before="0" w:after="0"/>
        <w:rPr>
          <w:rFonts w:ascii="Arial Narrow" w:hAnsi="Arial Narrow"/>
          <w:sz w:val="18"/>
          <w:szCs w:val="18"/>
        </w:rPr>
      </w:pPr>
      <w:r w:rsidRPr="008A2601">
        <w:rPr>
          <w:rFonts w:ascii="Arial Narrow" w:hAnsi="Arial Narrow"/>
          <w:sz w:val="18"/>
          <w:szCs w:val="18"/>
        </w:rPr>
        <w:t>GUS=guselkumab;</w:t>
      </w:r>
      <w:r w:rsidR="00B15C3D" w:rsidRPr="008A2601">
        <w:rPr>
          <w:rFonts w:ascii="Arial Narrow" w:hAnsi="Arial Narrow"/>
          <w:sz w:val="18"/>
          <w:szCs w:val="18"/>
        </w:rPr>
        <w:t xml:space="preserve"> IV=intravenous; SC=subcutaneous; </w:t>
      </w:r>
      <w:proofErr w:type="spellStart"/>
      <w:r w:rsidR="00B15C3D" w:rsidRPr="008A2601">
        <w:rPr>
          <w:rFonts w:ascii="Arial Narrow" w:hAnsi="Arial Narrow"/>
          <w:sz w:val="18"/>
          <w:szCs w:val="18"/>
        </w:rPr>
        <w:t>QxW</w:t>
      </w:r>
      <w:proofErr w:type="spellEnd"/>
      <w:r w:rsidR="00B15C3D" w:rsidRPr="008A2601">
        <w:rPr>
          <w:rFonts w:ascii="Arial Narrow" w:hAnsi="Arial Narrow"/>
          <w:sz w:val="18"/>
          <w:szCs w:val="18"/>
        </w:rPr>
        <w:t>=every x week;</w:t>
      </w:r>
    </w:p>
    <w:p w14:paraId="17482BD7" w14:textId="4CE143B8" w:rsidR="00B15C3D" w:rsidRPr="008A2601" w:rsidRDefault="00B15C3D" w:rsidP="00B15C3D">
      <w:r w:rsidRPr="008A2601">
        <w:rPr>
          <w:rFonts w:ascii="Arial Narrow" w:hAnsi="Arial Narrow"/>
          <w:sz w:val="18"/>
          <w:szCs w:val="18"/>
        </w:rPr>
        <w:t>a</w:t>
      </w:r>
      <w:r w:rsidRPr="008A2601">
        <w:rPr>
          <w:rFonts w:ascii="Arial Narrow" w:hAnsi="Arial Narrow"/>
          <w:sz w:val="18"/>
          <w:szCs w:val="18"/>
        </w:rPr>
        <w:tab/>
        <w:t>Drug cost plus administration cost (MBS item 14245 $94.90 fee).</w:t>
      </w:r>
    </w:p>
    <w:p w14:paraId="551D2682" w14:textId="77777777" w:rsidR="00B15C3D" w:rsidRPr="003D4AEE" w:rsidRDefault="00B15C3D" w:rsidP="003D4AEE">
      <w:pPr>
        <w:pStyle w:val="3-BodyText"/>
        <w:numPr>
          <w:ilvl w:val="0"/>
          <w:numId w:val="0"/>
        </w:numPr>
        <w:spacing w:before="0"/>
        <w:rPr>
          <w:rFonts w:ascii="Arial Narrow" w:hAnsi="Arial Narrow"/>
          <w:i/>
          <w:iCs/>
          <w:sz w:val="18"/>
          <w:szCs w:val="18"/>
        </w:rPr>
      </w:pPr>
    </w:p>
    <w:p w14:paraId="268768EF" w14:textId="3626F292" w:rsidR="00B60939" w:rsidRPr="00C9624D" w:rsidRDefault="00B60939" w:rsidP="002B05A1">
      <w:pPr>
        <w:pStyle w:val="4-SubsectionHeading"/>
      </w:pPr>
      <w:bookmarkStart w:id="67" w:name="_Toc22897647"/>
      <w:bookmarkStart w:id="68" w:name="_Toc198715641"/>
      <w:bookmarkEnd w:id="66"/>
      <w:r w:rsidRPr="00C9624D">
        <w:t>Estimated PBS usage &amp; financial implications</w:t>
      </w:r>
      <w:bookmarkEnd w:id="67"/>
      <w:bookmarkEnd w:id="68"/>
    </w:p>
    <w:p w14:paraId="027909FE" w14:textId="56F051E6" w:rsidR="00127E81" w:rsidRDefault="00C25D9C" w:rsidP="002B05A1">
      <w:pPr>
        <w:pStyle w:val="3-BodyText"/>
        <w:rPr>
          <w:rFonts w:ascii="Calibri" w:hAnsi="Calibri" w:cs="Calibri"/>
        </w:rPr>
      </w:pPr>
      <w:r>
        <w:t xml:space="preserve">This submission </w:t>
      </w:r>
      <w:r w:rsidR="00B201A4">
        <w:t>w</w:t>
      </w:r>
      <w:r w:rsidR="00BD79C3">
        <w:t>as</w:t>
      </w:r>
      <w:r>
        <w:t xml:space="preserve"> not considered by DUSC</w:t>
      </w:r>
      <w:r w:rsidRPr="00C91155">
        <w:t>.</w:t>
      </w:r>
      <w:r w:rsidR="00C91155" w:rsidRPr="00C91155">
        <w:t xml:space="preserve"> The submission applied a market share approach to the financial estimates for the PBS listing of GUS for severe CD</w:t>
      </w:r>
      <w:r w:rsidR="00C91155">
        <w:t>.</w:t>
      </w:r>
      <w:r w:rsidR="009237AA">
        <w:t xml:space="preserve"> </w:t>
      </w:r>
      <w:r w:rsidR="005860A4">
        <w:fldChar w:fldCharType="begin"/>
      </w:r>
      <w:r w:rsidR="005860A4">
        <w:instrText xml:space="preserve"> REF _Ref197954993 \h </w:instrText>
      </w:r>
      <w:r w:rsidR="005860A4">
        <w:fldChar w:fldCharType="separate"/>
      </w:r>
      <w:r w:rsidR="000756FD">
        <w:t xml:space="preserve">Table </w:t>
      </w:r>
      <w:r w:rsidR="000756FD">
        <w:rPr>
          <w:noProof/>
        </w:rPr>
        <w:t>17</w:t>
      </w:r>
      <w:r w:rsidR="005860A4">
        <w:fldChar w:fldCharType="end"/>
      </w:r>
      <w:r w:rsidR="005860A4">
        <w:t xml:space="preserve"> </w:t>
      </w:r>
      <w:r w:rsidR="009237AA" w:rsidRPr="00C90A79">
        <w:rPr>
          <w:rFonts w:ascii="Calibri" w:hAnsi="Calibri" w:cs="Calibri"/>
        </w:rPr>
        <w:t>summarises the inputs used for the financial estimates.</w:t>
      </w:r>
    </w:p>
    <w:p w14:paraId="4541AAD5" w14:textId="77777777" w:rsidR="00127E81" w:rsidRDefault="00127E81">
      <w:pPr>
        <w:jc w:val="left"/>
        <w:rPr>
          <w:rFonts w:cs="Calibri"/>
          <w:snapToGrid w:val="0"/>
        </w:rPr>
      </w:pPr>
      <w:r>
        <w:rPr>
          <w:rFonts w:cs="Calibri"/>
        </w:rPr>
        <w:br w:type="page"/>
      </w:r>
    </w:p>
    <w:p w14:paraId="3A3E5570" w14:textId="624B49D8" w:rsidR="009237AA" w:rsidRPr="005860A4" w:rsidRDefault="005860A4" w:rsidP="005860A4">
      <w:pPr>
        <w:pStyle w:val="Caption"/>
        <w:rPr>
          <w:rStyle w:val="CommentReference"/>
          <w:b/>
          <w:bCs w:val="0"/>
        </w:rPr>
      </w:pPr>
      <w:bookmarkStart w:id="69" w:name="_Ref197954993"/>
      <w:r>
        <w:t xml:space="preserve">Table </w:t>
      </w:r>
      <w:r w:rsidR="00DC5F25">
        <w:fldChar w:fldCharType="begin"/>
      </w:r>
      <w:r w:rsidR="00DC5F25">
        <w:instrText xml:space="preserve"> SEQ Table \* ARABIC </w:instrText>
      </w:r>
      <w:r w:rsidR="00DC5F25">
        <w:fldChar w:fldCharType="separate"/>
      </w:r>
      <w:r w:rsidR="000756FD">
        <w:rPr>
          <w:noProof/>
        </w:rPr>
        <w:t>17</w:t>
      </w:r>
      <w:r w:rsidR="00DC5F25">
        <w:rPr>
          <w:noProof/>
        </w:rPr>
        <w:fldChar w:fldCharType="end"/>
      </w:r>
      <w:bookmarkEnd w:id="69"/>
      <w:r>
        <w:t xml:space="preserve">: </w:t>
      </w:r>
      <w:r w:rsidR="009237AA" w:rsidRPr="005860A4">
        <w:rPr>
          <w:rStyle w:val="CommentReference"/>
          <w:b/>
          <w:bCs w:val="0"/>
        </w:rPr>
        <w:t>Data sources and parameter values applied in the utilisation and financial estimates</w:t>
      </w:r>
    </w:p>
    <w:tbl>
      <w:tblPr>
        <w:tblStyle w:val="Summarybox2"/>
        <w:tblW w:w="5000" w:type="pct"/>
        <w:tblCellMar>
          <w:left w:w="28" w:type="dxa"/>
          <w:right w:w="28" w:type="dxa"/>
        </w:tblCellMar>
        <w:tblLook w:val="04A0" w:firstRow="1" w:lastRow="0" w:firstColumn="1" w:lastColumn="0" w:noHBand="0" w:noVBand="1"/>
        <w:tblCaption w:val="Table 17: Data sources and parameter values applied in the utilisation and financial estimates"/>
      </w:tblPr>
      <w:tblGrid>
        <w:gridCol w:w="1239"/>
        <w:gridCol w:w="7778"/>
      </w:tblGrid>
      <w:tr w:rsidR="009237AA" w:rsidRPr="008010B1" w14:paraId="5D483016" w14:textId="77777777" w:rsidTr="00286E68">
        <w:trPr>
          <w:tblHeader/>
        </w:trPr>
        <w:tc>
          <w:tcPr>
            <w:tcW w:w="687" w:type="pct"/>
            <w:tcBorders>
              <w:top w:val="single" w:sz="4" w:space="0" w:color="auto"/>
              <w:left w:val="single" w:sz="4" w:space="0" w:color="auto"/>
              <w:bottom w:val="single" w:sz="4" w:space="0" w:color="auto"/>
              <w:right w:val="single" w:sz="4" w:space="0" w:color="auto"/>
            </w:tcBorders>
            <w:hideMark/>
          </w:tcPr>
          <w:p w14:paraId="04607E96" w14:textId="77777777" w:rsidR="009237AA" w:rsidRPr="008010B1" w:rsidRDefault="009237AA" w:rsidP="00286E68">
            <w:pPr>
              <w:widowControl w:val="0"/>
              <w:jc w:val="left"/>
              <w:rPr>
                <w:rFonts w:ascii="Arial Narrow" w:hAnsi="Arial Narrow"/>
                <w:b/>
                <w:sz w:val="20"/>
                <w:szCs w:val="20"/>
              </w:rPr>
            </w:pPr>
            <w:r w:rsidRPr="008010B1">
              <w:rPr>
                <w:rFonts w:ascii="Arial Narrow" w:hAnsi="Arial Narrow"/>
                <w:b/>
                <w:sz w:val="20"/>
                <w:szCs w:val="20"/>
              </w:rPr>
              <w:t>Component</w:t>
            </w:r>
          </w:p>
        </w:tc>
        <w:tc>
          <w:tcPr>
            <w:tcW w:w="4313" w:type="pct"/>
            <w:tcBorders>
              <w:top w:val="single" w:sz="4" w:space="0" w:color="auto"/>
              <w:left w:val="single" w:sz="4" w:space="0" w:color="auto"/>
              <w:bottom w:val="single" w:sz="4" w:space="0" w:color="auto"/>
              <w:right w:val="single" w:sz="4" w:space="0" w:color="auto"/>
            </w:tcBorders>
            <w:hideMark/>
          </w:tcPr>
          <w:p w14:paraId="04E4EC41" w14:textId="77777777" w:rsidR="009237AA" w:rsidRPr="008010B1" w:rsidRDefault="009237AA" w:rsidP="00286E68">
            <w:pPr>
              <w:widowControl w:val="0"/>
              <w:jc w:val="center"/>
              <w:rPr>
                <w:rFonts w:ascii="Arial Narrow" w:hAnsi="Arial Narrow"/>
                <w:b/>
                <w:sz w:val="20"/>
                <w:szCs w:val="20"/>
              </w:rPr>
            </w:pPr>
            <w:r w:rsidRPr="008010B1">
              <w:rPr>
                <w:rFonts w:ascii="Arial Narrow" w:hAnsi="Arial Narrow"/>
                <w:b/>
                <w:sz w:val="20"/>
                <w:szCs w:val="20"/>
              </w:rPr>
              <w:t>Data source</w:t>
            </w:r>
          </w:p>
        </w:tc>
      </w:tr>
      <w:tr w:rsidR="009237AA" w:rsidRPr="008010B1" w14:paraId="2EF37A8F" w14:textId="77777777" w:rsidTr="00286E68">
        <w:tc>
          <w:tcPr>
            <w:tcW w:w="5000" w:type="pct"/>
            <w:gridSpan w:val="2"/>
            <w:tcBorders>
              <w:top w:val="single" w:sz="4" w:space="0" w:color="auto"/>
              <w:left w:val="single" w:sz="4" w:space="0" w:color="auto"/>
              <w:bottom w:val="single" w:sz="4" w:space="0" w:color="auto"/>
              <w:right w:val="single" w:sz="4" w:space="0" w:color="auto"/>
            </w:tcBorders>
            <w:hideMark/>
          </w:tcPr>
          <w:p w14:paraId="356997DB" w14:textId="77777777" w:rsidR="009237AA" w:rsidRPr="008010B1" w:rsidRDefault="009237AA" w:rsidP="00286E68">
            <w:pPr>
              <w:widowControl w:val="0"/>
              <w:jc w:val="left"/>
              <w:rPr>
                <w:rFonts w:ascii="Arial Narrow" w:hAnsi="Arial Narrow"/>
                <w:b/>
                <w:sz w:val="20"/>
                <w:szCs w:val="20"/>
              </w:rPr>
            </w:pPr>
            <w:r w:rsidRPr="008010B1">
              <w:rPr>
                <w:rFonts w:ascii="Arial Narrow" w:hAnsi="Arial Narrow"/>
                <w:b/>
                <w:sz w:val="20"/>
                <w:szCs w:val="20"/>
              </w:rPr>
              <w:t>Market share</w:t>
            </w:r>
          </w:p>
        </w:tc>
      </w:tr>
      <w:tr w:rsidR="009237AA" w:rsidRPr="008010B1" w14:paraId="1D6A8E6B" w14:textId="77777777" w:rsidTr="00286E68">
        <w:tc>
          <w:tcPr>
            <w:tcW w:w="687" w:type="pct"/>
            <w:tcBorders>
              <w:top w:val="single" w:sz="4" w:space="0" w:color="auto"/>
              <w:left w:val="single" w:sz="4" w:space="0" w:color="auto"/>
              <w:bottom w:val="single" w:sz="4" w:space="0" w:color="auto"/>
              <w:right w:val="single" w:sz="4" w:space="0" w:color="auto"/>
            </w:tcBorders>
          </w:tcPr>
          <w:p w14:paraId="4DB19D29" w14:textId="77777777" w:rsidR="009237AA" w:rsidRPr="008010B1" w:rsidRDefault="009237AA" w:rsidP="00286E68">
            <w:pPr>
              <w:widowControl w:val="0"/>
              <w:jc w:val="left"/>
              <w:rPr>
                <w:rFonts w:ascii="Arial Narrow" w:hAnsi="Arial Narrow"/>
                <w:sz w:val="20"/>
                <w:szCs w:val="20"/>
              </w:rPr>
            </w:pPr>
            <w:r w:rsidRPr="0042241F">
              <w:rPr>
                <w:rFonts w:ascii="Arial Narrow" w:hAnsi="Arial Narrow"/>
                <w:sz w:val="20"/>
                <w:szCs w:val="20"/>
              </w:rPr>
              <w:t>Current market</w:t>
            </w:r>
          </w:p>
        </w:tc>
        <w:tc>
          <w:tcPr>
            <w:tcW w:w="4313" w:type="pct"/>
            <w:tcBorders>
              <w:top w:val="single" w:sz="4" w:space="0" w:color="auto"/>
              <w:left w:val="single" w:sz="4" w:space="0" w:color="auto"/>
              <w:bottom w:val="single" w:sz="4" w:space="0" w:color="auto"/>
              <w:right w:val="single" w:sz="4" w:space="0" w:color="auto"/>
            </w:tcBorders>
          </w:tcPr>
          <w:p w14:paraId="31E7063C" w14:textId="77777777" w:rsidR="009237AA" w:rsidRPr="00F949E0" w:rsidRDefault="009237AA" w:rsidP="00F949E0">
            <w:pPr>
              <w:widowControl w:val="0"/>
              <w:tabs>
                <w:tab w:val="left" w:pos="250"/>
              </w:tabs>
              <w:jc w:val="left"/>
              <w:rPr>
                <w:rFonts w:ascii="Arial Narrow" w:hAnsi="Arial Narrow"/>
                <w:sz w:val="20"/>
                <w:szCs w:val="20"/>
              </w:rPr>
            </w:pPr>
            <w:r w:rsidRPr="00F949E0">
              <w:rPr>
                <w:rFonts w:ascii="Arial Narrow" w:hAnsi="Arial Narrow"/>
                <w:sz w:val="20"/>
                <w:szCs w:val="20"/>
              </w:rPr>
              <w:t>Usage of ADA, IFX, UST, UPA and VDZ</w:t>
            </w:r>
            <w:r w:rsidRPr="008010B1">
              <w:rPr>
                <w:rFonts w:ascii="Arial Narrow" w:hAnsi="Arial Narrow"/>
                <w:sz w:val="20"/>
                <w:szCs w:val="20"/>
              </w:rPr>
              <w:t xml:space="preserve">: </w:t>
            </w:r>
            <w:r>
              <w:rPr>
                <w:rFonts w:ascii="Arial Narrow" w:hAnsi="Arial Narrow"/>
                <w:sz w:val="20"/>
                <w:szCs w:val="20"/>
              </w:rPr>
              <w:t xml:space="preserve">PBS/RPBS dispensed scripts reported by Services Australia from 2020 to 2024. </w:t>
            </w:r>
            <w:r w:rsidRPr="00F949E0">
              <w:rPr>
                <w:rFonts w:ascii="Arial Narrow" w:hAnsi="Arial Narrow"/>
                <w:sz w:val="20"/>
                <w:szCs w:val="20"/>
              </w:rPr>
              <w:t xml:space="preserve">This was reasonable. </w:t>
            </w:r>
          </w:p>
          <w:p w14:paraId="06E70B8F" w14:textId="77777777" w:rsidR="009237AA" w:rsidRDefault="009237AA" w:rsidP="00F949E0">
            <w:pPr>
              <w:widowControl w:val="0"/>
              <w:tabs>
                <w:tab w:val="left" w:pos="250"/>
              </w:tabs>
              <w:jc w:val="left"/>
              <w:rPr>
                <w:rFonts w:ascii="Arial Narrow" w:hAnsi="Arial Narrow"/>
                <w:sz w:val="20"/>
                <w:szCs w:val="20"/>
              </w:rPr>
            </w:pPr>
            <w:r w:rsidRPr="00F949E0">
              <w:rPr>
                <w:rFonts w:ascii="Arial Narrow" w:hAnsi="Arial Narrow"/>
                <w:sz w:val="20"/>
                <w:szCs w:val="20"/>
              </w:rPr>
              <w:t>Projected script usage for substituted treatments</w:t>
            </w:r>
            <w:r w:rsidRPr="008010B1">
              <w:rPr>
                <w:rFonts w:ascii="Arial Narrow" w:hAnsi="Arial Narrow"/>
                <w:sz w:val="20"/>
                <w:szCs w:val="20"/>
              </w:rPr>
              <w:t xml:space="preserve">: </w:t>
            </w:r>
            <w:r>
              <w:rPr>
                <w:rFonts w:ascii="Arial Narrow" w:hAnsi="Arial Narrow"/>
                <w:sz w:val="20"/>
                <w:szCs w:val="20"/>
              </w:rPr>
              <w:t>The submission stated that due to differences in dosing schedules, treated patients fill their scripts at different time intervals depending on the drug they are receiving. Therefore, to accurately analyse the growth of the market and shares of the individual biologics, it was necessary to account for patients who are actively on treatment rather than the number of scripts processed</w:t>
            </w:r>
            <w:r w:rsidRPr="00F949E0">
              <w:rPr>
                <w:rFonts w:ascii="Arial Narrow" w:hAnsi="Arial Narrow"/>
                <w:sz w:val="20"/>
                <w:szCs w:val="20"/>
              </w:rPr>
              <w:t xml:space="preserve">. </w:t>
            </w:r>
            <w:r>
              <w:rPr>
                <w:rFonts w:ascii="Arial Narrow" w:hAnsi="Arial Narrow"/>
                <w:sz w:val="20"/>
                <w:szCs w:val="20"/>
              </w:rPr>
              <w:t>The submission indicated there was a need for a common unit for comparison across the biologics for the script volumes to be aggregated for analysis and forward estimations.</w:t>
            </w:r>
          </w:p>
          <w:p w14:paraId="68B325AB" w14:textId="72E0CF51" w:rsidR="009237AA" w:rsidRPr="00F949E0" w:rsidRDefault="009237AA" w:rsidP="00096092">
            <w:pPr>
              <w:pStyle w:val="ListParagraph"/>
              <w:widowControl w:val="0"/>
              <w:numPr>
                <w:ilvl w:val="0"/>
                <w:numId w:val="23"/>
              </w:numPr>
              <w:tabs>
                <w:tab w:val="left" w:pos="250"/>
              </w:tabs>
              <w:spacing w:after="0"/>
              <w:ind w:left="221" w:hanging="221"/>
              <w:jc w:val="left"/>
              <w:rPr>
                <w:rFonts w:ascii="Arial Narrow" w:hAnsi="Arial Narrow"/>
                <w:snapToGrid/>
                <w:sz w:val="20"/>
                <w:szCs w:val="20"/>
              </w:rPr>
            </w:pPr>
            <w:r w:rsidRPr="00F949E0">
              <w:rPr>
                <w:rFonts w:ascii="Arial Narrow" w:hAnsi="Arial Narrow"/>
                <w:snapToGrid/>
                <w:sz w:val="20"/>
                <w:szCs w:val="20"/>
              </w:rPr>
              <w:t>The script data extracted from the PBS/RPBS Services Australia database were converted to units of patient-weeks on treatment. The conversion was based on the average number of weeks of treatment per script expected to be dispensed to patients who follow the TGA approved and PBS listed dosing schedules for each biologic, for initial and continuing treatment periods .</w:t>
            </w:r>
            <w:r w:rsidRPr="00F949E0" w:rsidDel="00155CF6">
              <w:rPr>
                <w:rFonts w:ascii="Arial Narrow" w:hAnsi="Arial Narrow"/>
                <w:snapToGrid/>
                <w:sz w:val="20"/>
                <w:szCs w:val="20"/>
              </w:rPr>
              <w:t xml:space="preserve"> </w:t>
            </w:r>
          </w:p>
          <w:p w14:paraId="3BB8FE38" w14:textId="233F3F1C" w:rsidR="009237AA" w:rsidRPr="00F949E0" w:rsidRDefault="009237AA" w:rsidP="00096092">
            <w:pPr>
              <w:pStyle w:val="ListParagraph"/>
              <w:widowControl w:val="0"/>
              <w:numPr>
                <w:ilvl w:val="0"/>
                <w:numId w:val="23"/>
              </w:numPr>
              <w:tabs>
                <w:tab w:val="left" w:pos="250"/>
              </w:tabs>
              <w:spacing w:after="0"/>
              <w:ind w:left="221" w:hanging="221"/>
              <w:jc w:val="left"/>
              <w:rPr>
                <w:rFonts w:ascii="Arial Narrow" w:hAnsi="Arial Narrow"/>
                <w:snapToGrid/>
                <w:sz w:val="20"/>
                <w:szCs w:val="20"/>
              </w:rPr>
            </w:pPr>
            <w:r w:rsidRPr="00F949E0">
              <w:rPr>
                <w:rFonts w:ascii="Arial Narrow" w:hAnsi="Arial Narrow"/>
                <w:snapToGrid/>
                <w:sz w:val="20"/>
                <w:szCs w:val="20"/>
              </w:rPr>
              <w:t xml:space="preserve">For extrapolation of the market in terms of the number of patient-weeks on treatment, the submission applied a polynomial trendline, on the basis </w:t>
            </w:r>
            <w:r w:rsidR="00655B5E" w:rsidRPr="00F949E0">
              <w:rPr>
                <w:rFonts w:ascii="Arial Narrow" w:hAnsi="Arial Narrow"/>
                <w:snapToGrid/>
                <w:sz w:val="20"/>
                <w:szCs w:val="20"/>
              </w:rPr>
              <w:t xml:space="preserve">that </w:t>
            </w:r>
            <w:r w:rsidRPr="00F949E0">
              <w:rPr>
                <w:rFonts w:ascii="Arial Narrow" w:hAnsi="Arial Narrow"/>
                <w:snapToGrid/>
                <w:sz w:val="20"/>
                <w:szCs w:val="20"/>
              </w:rPr>
              <w:t>it provided the best fit to the historical data points with an R2 value of 0.9939. The submission presented a sensitivity analysis based on</w:t>
            </w:r>
            <w:r w:rsidR="00655B5E" w:rsidRPr="00F949E0">
              <w:rPr>
                <w:rFonts w:ascii="Arial Narrow" w:hAnsi="Arial Narrow"/>
                <w:snapToGrid/>
                <w:sz w:val="20"/>
                <w:szCs w:val="20"/>
              </w:rPr>
              <w:t xml:space="preserve"> a</w:t>
            </w:r>
            <w:r w:rsidRPr="00F949E0">
              <w:rPr>
                <w:rFonts w:ascii="Arial Narrow" w:hAnsi="Arial Narrow"/>
                <w:snapToGrid/>
                <w:sz w:val="20"/>
                <w:szCs w:val="20"/>
              </w:rPr>
              <w:t xml:space="preserve"> linear trendline (R2=0.993). The submission noted </w:t>
            </w:r>
            <w:r w:rsidR="00655B5E" w:rsidRPr="00F949E0">
              <w:rPr>
                <w:rFonts w:ascii="Arial Narrow" w:hAnsi="Arial Narrow"/>
                <w:snapToGrid/>
                <w:sz w:val="20"/>
                <w:szCs w:val="20"/>
              </w:rPr>
              <w:t xml:space="preserve">that </w:t>
            </w:r>
            <w:r w:rsidRPr="00F949E0">
              <w:rPr>
                <w:rFonts w:ascii="Arial Narrow" w:hAnsi="Arial Narrow"/>
                <w:snapToGrid/>
                <w:sz w:val="20"/>
                <w:szCs w:val="20"/>
              </w:rPr>
              <w:t>the extrapolation reflect</w:t>
            </w:r>
            <w:r w:rsidR="00655B5E" w:rsidRPr="00F949E0">
              <w:rPr>
                <w:rFonts w:ascii="Arial Narrow" w:hAnsi="Arial Narrow"/>
                <w:snapToGrid/>
                <w:sz w:val="20"/>
                <w:szCs w:val="20"/>
              </w:rPr>
              <w:t>ed</w:t>
            </w:r>
            <w:r w:rsidRPr="00F949E0">
              <w:rPr>
                <w:rFonts w:ascii="Arial Narrow" w:hAnsi="Arial Narrow"/>
                <w:snapToGrid/>
                <w:sz w:val="20"/>
                <w:szCs w:val="20"/>
              </w:rPr>
              <w:t xml:space="preserve"> the growing utilisation of biologics for CD (i.e. compound annual growth rate of 5.8%). It was unclear whether the trendline based on patient-weeks of treatment</w:t>
            </w:r>
            <w:r w:rsidR="00655B5E" w:rsidRPr="00F949E0">
              <w:rPr>
                <w:rFonts w:ascii="Arial Narrow" w:hAnsi="Arial Narrow"/>
                <w:snapToGrid/>
                <w:sz w:val="20"/>
                <w:szCs w:val="20"/>
              </w:rPr>
              <w:t xml:space="preserve"> differed from</w:t>
            </w:r>
            <w:r w:rsidRPr="00F949E0">
              <w:rPr>
                <w:rFonts w:ascii="Arial Narrow" w:hAnsi="Arial Narrow"/>
                <w:snapToGrid/>
                <w:sz w:val="20"/>
                <w:szCs w:val="20"/>
              </w:rPr>
              <w:t xml:space="preserve"> a trendline based on script data. </w:t>
            </w:r>
          </w:p>
          <w:p w14:paraId="40B908F7" w14:textId="77777777" w:rsidR="009237AA" w:rsidRPr="00F949E0" w:rsidRDefault="009237AA" w:rsidP="00096092">
            <w:pPr>
              <w:pStyle w:val="ListParagraph"/>
              <w:widowControl w:val="0"/>
              <w:numPr>
                <w:ilvl w:val="0"/>
                <w:numId w:val="23"/>
              </w:numPr>
              <w:tabs>
                <w:tab w:val="left" w:pos="250"/>
              </w:tabs>
              <w:spacing w:after="0"/>
              <w:ind w:left="220" w:hanging="220"/>
              <w:jc w:val="left"/>
              <w:rPr>
                <w:rFonts w:ascii="Arial Narrow" w:hAnsi="Arial Narrow"/>
                <w:snapToGrid/>
                <w:sz w:val="20"/>
                <w:szCs w:val="20"/>
              </w:rPr>
            </w:pPr>
            <w:r w:rsidRPr="00F949E0">
              <w:rPr>
                <w:rFonts w:ascii="Arial Narrow" w:hAnsi="Arial Narrow"/>
                <w:snapToGrid/>
                <w:sz w:val="20"/>
                <w:szCs w:val="20"/>
              </w:rPr>
              <w:t xml:space="preserve">Based on the number of patient-weeks on treatment, the submission estimated that the current market was 208,010 scripts in Year 1, increasing to 275,965 scripts in Year 6. </w:t>
            </w:r>
          </w:p>
          <w:p w14:paraId="35827193" w14:textId="77777777" w:rsidR="008A6416" w:rsidRDefault="008A6416" w:rsidP="00F949E0">
            <w:pPr>
              <w:pStyle w:val="ListBullet"/>
              <w:numPr>
                <w:ilvl w:val="0"/>
                <w:numId w:val="0"/>
              </w:numPr>
              <w:tabs>
                <w:tab w:val="left" w:pos="3"/>
              </w:tabs>
              <w:ind w:left="3"/>
              <w:rPr>
                <w:rFonts w:ascii="Arial Narrow" w:hAnsi="Arial Narrow" w:cstheme="minorBidi"/>
                <w:i/>
                <w:iCs/>
                <w:sz w:val="20"/>
                <w:szCs w:val="20"/>
              </w:rPr>
            </w:pPr>
          </w:p>
          <w:p w14:paraId="6FCCC33A" w14:textId="55519308" w:rsidR="00F949E0" w:rsidRPr="008A2601" w:rsidRDefault="001E182F" w:rsidP="00F949E0">
            <w:pPr>
              <w:pStyle w:val="ListBullet"/>
              <w:numPr>
                <w:ilvl w:val="0"/>
                <w:numId w:val="0"/>
              </w:numPr>
              <w:tabs>
                <w:tab w:val="left" w:pos="3"/>
              </w:tabs>
              <w:ind w:left="3"/>
              <w:rPr>
                <w:rFonts w:ascii="Arial Narrow" w:hAnsi="Arial Narrow"/>
                <w:sz w:val="20"/>
                <w:szCs w:val="20"/>
              </w:rPr>
            </w:pPr>
            <w:r w:rsidRPr="008A2601">
              <w:rPr>
                <w:rFonts w:ascii="Arial Narrow" w:hAnsi="Arial Narrow" w:cstheme="minorBidi"/>
                <w:sz w:val="20"/>
                <w:szCs w:val="20"/>
              </w:rPr>
              <w:t>The submission’s approach to estimate the number of scripts ignored the multi-regimen nature of the b/</w:t>
            </w:r>
            <w:proofErr w:type="spellStart"/>
            <w:r w:rsidRPr="008A2601">
              <w:rPr>
                <w:rFonts w:ascii="Arial Narrow" w:hAnsi="Arial Narrow" w:cstheme="minorBidi"/>
                <w:sz w:val="20"/>
                <w:szCs w:val="20"/>
              </w:rPr>
              <w:t>tsDMARD</w:t>
            </w:r>
            <w:proofErr w:type="spellEnd"/>
            <w:r w:rsidRPr="008A2601">
              <w:rPr>
                <w:rFonts w:ascii="Arial Narrow" w:hAnsi="Arial Narrow" w:cstheme="minorBidi"/>
                <w:sz w:val="20"/>
                <w:szCs w:val="20"/>
              </w:rPr>
              <w:t xml:space="preserve"> for CD, where switching is allowed after treatment failure and therefore it is likely that patients could be represented across multiple b/</w:t>
            </w:r>
            <w:proofErr w:type="spellStart"/>
            <w:r w:rsidRPr="008A2601">
              <w:rPr>
                <w:rFonts w:ascii="Arial Narrow" w:hAnsi="Arial Narrow" w:cstheme="minorBidi"/>
                <w:sz w:val="20"/>
                <w:szCs w:val="20"/>
              </w:rPr>
              <w:t>tsDMARD</w:t>
            </w:r>
            <w:proofErr w:type="spellEnd"/>
            <w:r w:rsidRPr="008A2601">
              <w:rPr>
                <w:rFonts w:ascii="Arial Narrow" w:hAnsi="Arial Narrow" w:cstheme="minorBidi"/>
                <w:sz w:val="20"/>
                <w:szCs w:val="20"/>
              </w:rPr>
              <w:t xml:space="preserve"> sequence in any given review period. The submission also assumed no difference between S85 and S100 patients. The submission applied the proportional split of PBS/RPBS patient category (calculated using 2024 script volumes) to all 2025 scripts (removing individual differences in each b/</w:t>
            </w:r>
            <w:proofErr w:type="spellStart"/>
            <w:r w:rsidRPr="008A2601">
              <w:rPr>
                <w:rFonts w:ascii="Arial Narrow" w:hAnsi="Arial Narrow" w:cstheme="minorBidi"/>
                <w:sz w:val="20"/>
                <w:szCs w:val="20"/>
              </w:rPr>
              <w:t>tsDMARDs</w:t>
            </w:r>
            <w:proofErr w:type="spellEnd"/>
            <w:r w:rsidRPr="008A2601">
              <w:rPr>
                <w:rFonts w:ascii="Arial Narrow" w:hAnsi="Arial Narrow" w:cstheme="minorBidi"/>
                <w:sz w:val="20"/>
                <w:szCs w:val="20"/>
              </w:rPr>
              <w:t>).</w:t>
            </w:r>
          </w:p>
        </w:tc>
      </w:tr>
      <w:tr w:rsidR="009237AA" w:rsidRPr="008010B1" w14:paraId="6684349F" w14:textId="77777777" w:rsidTr="00731E86">
        <w:trPr>
          <w:trHeight w:val="1156"/>
        </w:trPr>
        <w:tc>
          <w:tcPr>
            <w:tcW w:w="687" w:type="pct"/>
            <w:tcBorders>
              <w:top w:val="single" w:sz="4" w:space="0" w:color="auto"/>
              <w:left w:val="single" w:sz="4" w:space="0" w:color="auto"/>
              <w:bottom w:val="single" w:sz="4" w:space="0" w:color="auto"/>
              <w:right w:val="single" w:sz="4" w:space="0" w:color="auto"/>
            </w:tcBorders>
          </w:tcPr>
          <w:p w14:paraId="1BE66C93" w14:textId="77777777" w:rsidR="009237AA" w:rsidRPr="0042241F" w:rsidRDefault="009237AA" w:rsidP="00286E68">
            <w:pPr>
              <w:widowControl w:val="0"/>
              <w:jc w:val="left"/>
              <w:rPr>
                <w:rFonts w:ascii="Arial Narrow" w:hAnsi="Arial Narrow"/>
                <w:sz w:val="20"/>
                <w:szCs w:val="20"/>
              </w:rPr>
            </w:pPr>
            <w:r w:rsidRPr="0042241F">
              <w:rPr>
                <w:rFonts w:ascii="Arial Narrow" w:hAnsi="Arial Narrow"/>
                <w:sz w:val="20"/>
                <w:szCs w:val="20"/>
              </w:rPr>
              <w:t>Uptake</w:t>
            </w:r>
            <w:r>
              <w:rPr>
                <w:rFonts w:ascii="Arial Narrow" w:hAnsi="Arial Narrow"/>
                <w:sz w:val="20"/>
                <w:szCs w:val="20"/>
              </w:rPr>
              <w:t xml:space="preserve"> (</w:t>
            </w:r>
            <w:r w:rsidRPr="0042241F">
              <w:rPr>
                <w:rFonts w:ascii="Arial Narrow" w:hAnsi="Arial Narrow"/>
                <w:sz w:val="20"/>
                <w:szCs w:val="20"/>
              </w:rPr>
              <w:t>substitution</w:t>
            </w:r>
            <w:r>
              <w:rPr>
                <w:rFonts w:ascii="Arial Narrow" w:hAnsi="Arial Narrow"/>
                <w:sz w:val="20"/>
                <w:szCs w:val="20"/>
              </w:rPr>
              <w:t>) rate</w:t>
            </w:r>
          </w:p>
        </w:tc>
        <w:tc>
          <w:tcPr>
            <w:tcW w:w="4313" w:type="pct"/>
            <w:tcBorders>
              <w:top w:val="single" w:sz="4" w:space="0" w:color="auto"/>
              <w:left w:val="single" w:sz="4" w:space="0" w:color="auto"/>
              <w:bottom w:val="single" w:sz="4" w:space="0" w:color="auto"/>
              <w:right w:val="single" w:sz="4" w:space="0" w:color="auto"/>
            </w:tcBorders>
          </w:tcPr>
          <w:p w14:paraId="06396246" w14:textId="670E60A4" w:rsidR="00E158FE" w:rsidRDefault="009237AA" w:rsidP="00E158FE">
            <w:pPr>
              <w:widowControl w:val="0"/>
              <w:tabs>
                <w:tab w:val="left" w:pos="250"/>
              </w:tabs>
              <w:jc w:val="left"/>
              <w:rPr>
                <w:rFonts w:ascii="Arial Narrow" w:hAnsi="Arial Narrow" w:cstheme="minorBidi"/>
                <w:sz w:val="20"/>
                <w:szCs w:val="20"/>
              </w:rPr>
            </w:pPr>
            <w:r w:rsidRPr="006614C8">
              <w:rPr>
                <w:rFonts w:ascii="Arial Narrow" w:hAnsi="Arial Narrow"/>
                <w:sz w:val="20"/>
                <w:szCs w:val="20"/>
                <w:u w:val="single"/>
              </w:rPr>
              <w:t xml:space="preserve">Assumed uptake of </w:t>
            </w:r>
            <w:r>
              <w:rPr>
                <w:rFonts w:ascii="Arial Narrow" w:hAnsi="Arial Narrow"/>
                <w:sz w:val="20"/>
                <w:szCs w:val="20"/>
                <w:u w:val="single"/>
              </w:rPr>
              <w:t>GUS (substitution rate)</w:t>
            </w:r>
            <w:r>
              <w:rPr>
                <w:rFonts w:ascii="Arial Narrow" w:hAnsi="Arial Narrow"/>
                <w:sz w:val="20"/>
                <w:szCs w:val="20"/>
              </w:rPr>
              <w:t xml:space="preserve">: </w:t>
            </w:r>
            <w:r w:rsidR="00E158FE">
              <w:rPr>
                <w:rFonts w:ascii="Arial Narrow" w:hAnsi="Arial Narrow" w:cstheme="minorBidi"/>
                <w:sz w:val="20"/>
                <w:szCs w:val="20"/>
              </w:rPr>
              <w:t xml:space="preserve">The uptake of GUS across the total market was expected to be </w:t>
            </w:r>
            <w:r w:rsidR="00E77A69" w:rsidRPr="00D33592">
              <w:rPr>
                <w:rFonts w:ascii="Arial Narrow" w:hAnsi="Arial Narrow" w:cstheme="minorBidi"/>
                <w:color w:val="000000"/>
                <w:spacing w:val="56"/>
                <w:w w:val="95"/>
                <w:sz w:val="20"/>
                <w:szCs w:val="20"/>
                <w:shd w:val="solid" w:color="000000" w:fill="000000"/>
                <w:fitText w:val="330" w:id="-628921341"/>
                <w14:textFill>
                  <w14:solidFill>
                    <w14:srgbClr w14:val="000000">
                      <w14:alpha w14:val="100000"/>
                    </w14:srgbClr>
                  </w14:solidFill>
                </w14:textFill>
              </w:rPr>
              <w:t>|||</w:t>
            </w:r>
            <w:r w:rsidR="00E77A69" w:rsidRPr="00D33592">
              <w:rPr>
                <w:rFonts w:ascii="Arial Narrow" w:hAnsi="Arial Narrow" w:cstheme="minorBidi"/>
                <w:color w:val="000000"/>
                <w:spacing w:val="1"/>
                <w:w w:val="95"/>
                <w:sz w:val="20"/>
                <w:szCs w:val="20"/>
                <w:shd w:val="solid" w:color="000000" w:fill="000000"/>
                <w:fitText w:val="330" w:id="-628921341"/>
                <w14:textFill>
                  <w14:solidFill>
                    <w14:srgbClr w14:val="000000">
                      <w14:alpha w14:val="100000"/>
                    </w14:srgbClr>
                  </w14:solidFill>
                </w14:textFill>
              </w:rPr>
              <w:t>|</w:t>
            </w:r>
            <w:r w:rsidR="00E158FE">
              <w:rPr>
                <w:rFonts w:ascii="Arial Narrow" w:hAnsi="Arial Narrow" w:cstheme="minorBidi"/>
                <w:sz w:val="20"/>
                <w:szCs w:val="20"/>
              </w:rPr>
              <w:t>% in Year 1</w:t>
            </w:r>
            <w:r w:rsidR="00655B5E">
              <w:rPr>
                <w:rFonts w:ascii="Arial Narrow" w:hAnsi="Arial Narrow" w:cstheme="minorBidi"/>
                <w:sz w:val="20"/>
                <w:szCs w:val="20"/>
              </w:rPr>
              <w:t>,</w:t>
            </w:r>
            <w:r w:rsidR="00E158FE">
              <w:rPr>
                <w:rFonts w:ascii="Arial Narrow" w:hAnsi="Arial Narrow" w:cstheme="minorBidi"/>
                <w:sz w:val="20"/>
                <w:szCs w:val="20"/>
              </w:rPr>
              <w:t xml:space="preserve"> increasing to </w:t>
            </w:r>
            <w:r w:rsidR="00E77A69" w:rsidRPr="00D33592">
              <w:rPr>
                <w:rFonts w:ascii="Arial Narrow" w:hAnsi="Arial Narrow" w:cstheme="minorBidi"/>
                <w:color w:val="000000"/>
                <w:spacing w:val="56"/>
                <w:w w:val="95"/>
                <w:sz w:val="20"/>
                <w:szCs w:val="20"/>
                <w:shd w:val="solid" w:color="000000" w:fill="000000"/>
                <w:fitText w:val="330" w:id="-628921340"/>
                <w14:textFill>
                  <w14:solidFill>
                    <w14:srgbClr w14:val="000000">
                      <w14:alpha w14:val="100000"/>
                    </w14:srgbClr>
                  </w14:solidFill>
                </w14:textFill>
              </w:rPr>
              <w:t>|||</w:t>
            </w:r>
            <w:r w:rsidR="00E77A69" w:rsidRPr="00D33592">
              <w:rPr>
                <w:rFonts w:ascii="Arial Narrow" w:hAnsi="Arial Narrow" w:cstheme="minorBidi"/>
                <w:color w:val="000000"/>
                <w:spacing w:val="1"/>
                <w:w w:val="95"/>
                <w:sz w:val="20"/>
                <w:szCs w:val="20"/>
                <w:shd w:val="solid" w:color="000000" w:fill="000000"/>
                <w:fitText w:val="330" w:id="-628921340"/>
                <w14:textFill>
                  <w14:solidFill>
                    <w14:srgbClr w14:val="000000">
                      <w14:alpha w14:val="100000"/>
                    </w14:srgbClr>
                  </w14:solidFill>
                </w14:textFill>
              </w:rPr>
              <w:t>|</w:t>
            </w:r>
            <w:r w:rsidR="00E158FE">
              <w:rPr>
                <w:rFonts w:ascii="Arial Narrow" w:hAnsi="Arial Narrow" w:cstheme="minorBidi"/>
                <w:sz w:val="20"/>
                <w:szCs w:val="20"/>
              </w:rPr>
              <w:t xml:space="preserve">% in Year 6. </w:t>
            </w:r>
            <w:r>
              <w:rPr>
                <w:rFonts w:ascii="Arial Narrow" w:hAnsi="Arial Narrow"/>
                <w:sz w:val="20"/>
                <w:szCs w:val="20"/>
              </w:rPr>
              <w:t>The submission assumed a different uptake of GUS in the biologic market for CD with</w:t>
            </w:r>
            <w:r w:rsidR="00655B5E">
              <w:rPr>
                <w:rFonts w:ascii="Arial Narrow" w:hAnsi="Arial Narrow"/>
                <w:sz w:val="20"/>
                <w:szCs w:val="20"/>
              </w:rPr>
              <w:t xml:space="preserve"> a</w:t>
            </w:r>
            <w:r>
              <w:rPr>
                <w:rFonts w:ascii="Arial Narrow" w:hAnsi="Arial Narrow"/>
                <w:sz w:val="20"/>
                <w:szCs w:val="20"/>
              </w:rPr>
              <w:t xml:space="preserve"> lower </w:t>
            </w:r>
            <w:r w:rsidRPr="007121C9">
              <w:rPr>
                <w:rFonts w:ascii="Arial Narrow" w:hAnsi="Arial Narrow"/>
                <w:sz w:val="20"/>
                <w:szCs w:val="20"/>
              </w:rPr>
              <w:t>uptake (substitution) rate</w:t>
            </w:r>
            <w:r>
              <w:rPr>
                <w:rFonts w:ascii="Arial Narrow" w:hAnsi="Arial Narrow"/>
                <w:sz w:val="20"/>
                <w:szCs w:val="20"/>
              </w:rPr>
              <w:t xml:space="preserve"> from UST and IFX compared to ADA, UPA and VDZ. The submission assumed </w:t>
            </w:r>
            <w:r w:rsidR="00655B5E">
              <w:rPr>
                <w:rFonts w:ascii="Arial Narrow" w:hAnsi="Arial Narrow"/>
                <w:sz w:val="20"/>
                <w:szCs w:val="20"/>
              </w:rPr>
              <w:t xml:space="preserve">the </w:t>
            </w:r>
            <w:r>
              <w:rPr>
                <w:rFonts w:ascii="Arial Narrow" w:hAnsi="Arial Narrow"/>
                <w:sz w:val="20"/>
                <w:szCs w:val="20"/>
              </w:rPr>
              <w:t xml:space="preserve">uptake (substitution) rate of GUS from UST and IFX market was </w:t>
            </w:r>
            <w:r w:rsidR="00E77A69" w:rsidRPr="00D33592">
              <w:rPr>
                <w:rFonts w:ascii="Arial Narrow" w:hAnsi="Arial Narrow"/>
                <w:color w:val="000000"/>
                <w:spacing w:val="56"/>
                <w:w w:val="95"/>
                <w:sz w:val="20"/>
                <w:szCs w:val="20"/>
                <w:shd w:val="solid" w:color="000000" w:fill="000000"/>
                <w:fitText w:val="330" w:id="-628921339"/>
                <w14:textFill>
                  <w14:solidFill>
                    <w14:srgbClr w14:val="000000">
                      <w14:alpha w14:val="100000"/>
                    </w14:srgbClr>
                  </w14:solidFill>
                </w14:textFill>
              </w:rPr>
              <w:t>|||</w:t>
            </w:r>
            <w:r w:rsidR="00E77A69" w:rsidRPr="00D33592">
              <w:rPr>
                <w:rFonts w:ascii="Arial Narrow" w:hAnsi="Arial Narrow"/>
                <w:color w:val="000000"/>
                <w:spacing w:val="1"/>
                <w:w w:val="95"/>
                <w:sz w:val="20"/>
                <w:szCs w:val="20"/>
                <w:shd w:val="solid" w:color="000000" w:fill="000000"/>
                <w:fitText w:val="330" w:id="-628921339"/>
                <w14:textFill>
                  <w14:solidFill>
                    <w14:srgbClr w14:val="000000">
                      <w14:alpha w14:val="100000"/>
                    </w14:srgbClr>
                  </w14:solidFill>
                </w14:textFill>
              </w:rPr>
              <w:t>|</w:t>
            </w:r>
            <w:r>
              <w:rPr>
                <w:rFonts w:ascii="Arial Narrow" w:hAnsi="Arial Narrow"/>
                <w:sz w:val="20"/>
                <w:szCs w:val="20"/>
              </w:rPr>
              <w:t>% in Year 1</w:t>
            </w:r>
            <w:r w:rsidR="00E47EC2">
              <w:rPr>
                <w:rFonts w:ascii="Arial Narrow" w:hAnsi="Arial Narrow"/>
                <w:sz w:val="20"/>
                <w:szCs w:val="20"/>
              </w:rPr>
              <w:t>,</w:t>
            </w:r>
            <w:r>
              <w:rPr>
                <w:rFonts w:ascii="Arial Narrow" w:hAnsi="Arial Narrow"/>
                <w:sz w:val="20"/>
                <w:szCs w:val="20"/>
              </w:rPr>
              <w:t xml:space="preserve"> increasing to </w:t>
            </w:r>
            <w:r w:rsidR="00E77A69" w:rsidRPr="00D33592">
              <w:rPr>
                <w:rFonts w:ascii="Arial Narrow" w:hAnsi="Arial Narrow"/>
                <w:color w:val="000000"/>
                <w:spacing w:val="56"/>
                <w:w w:val="95"/>
                <w:sz w:val="20"/>
                <w:szCs w:val="20"/>
                <w:shd w:val="solid" w:color="000000" w:fill="000000"/>
                <w:fitText w:val="330" w:id="-628921338"/>
                <w14:textFill>
                  <w14:solidFill>
                    <w14:srgbClr w14:val="000000">
                      <w14:alpha w14:val="100000"/>
                    </w14:srgbClr>
                  </w14:solidFill>
                </w14:textFill>
              </w:rPr>
              <w:t>|||</w:t>
            </w:r>
            <w:r w:rsidR="00E77A69" w:rsidRPr="00D33592">
              <w:rPr>
                <w:rFonts w:ascii="Arial Narrow" w:hAnsi="Arial Narrow"/>
                <w:color w:val="000000"/>
                <w:spacing w:val="1"/>
                <w:w w:val="95"/>
                <w:sz w:val="20"/>
                <w:szCs w:val="20"/>
                <w:shd w:val="solid" w:color="000000" w:fill="000000"/>
                <w:fitText w:val="330" w:id="-628921338"/>
                <w14:textFill>
                  <w14:solidFill>
                    <w14:srgbClr w14:val="000000">
                      <w14:alpha w14:val="100000"/>
                    </w14:srgbClr>
                  </w14:solidFill>
                </w14:textFill>
              </w:rPr>
              <w:t>|</w:t>
            </w:r>
            <w:r>
              <w:rPr>
                <w:rFonts w:ascii="Arial Narrow" w:hAnsi="Arial Narrow"/>
                <w:sz w:val="20"/>
                <w:szCs w:val="20"/>
              </w:rPr>
              <w:t>% in Year 6, and from ADA, UPA and VDZ market</w:t>
            </w:r>
            <w:r w:rsidR="00E47EC2">
              <w:rPr>
                <w:rFonts w:ascii="Arial Narrow" w:hAnsi="Arial Narrow"/>
                <w:sz w:val="20"/>
                <w:szCs w:val="20"/>
              </w:rPr>
              <w:t>s</w:t>
            </w:r>
            <w:r>
              <w:rPr>
                <w:rFonts w:ascii="Arial Narrow" w:hAnsi="Arial Narrow"/>
                <w:sz w:val="20"/>
                <w:szCs w:val="20"/>
              </w:rPr>
              <w:t xml:space="preserve"> was </w:t>
            </w:r>
            <w:r w:rsidR="00E77A69" w:rsidRPr="00D33592">
              <w:rPr>
                <w:rFonts w:ascii="Arial Narrow" w:hAnsi="Arial Narrow"/>
                <w:color w:val="000000"/>
                <w:spacing w:val="56"/>
                <w:w w:val="95"/>
                <w:sz w:val="20"/>
                <w:szCs w:val="20"/>
                <w:shd w:val="solid" w:color="000000" w:fill="000000"/>
                <w:fitText w:val="330" w:id="-628921337"/>
                <w14:textFill>
                  <w14:solidFill>
                    <w14:srgbClr w14:val="000000">
                      <w14:alpha w14:val="100000"/>
                    </w14:srgbClr>
                  </w14:solidFill>
                </w14:textFill>
              </w:rPr>
              <w:t>|||</w:t>
            </w:r>
            <w:r w:rsidR="00E77A69" w:rsidRPr="00D33592">
              <w:rPr>
                <w:rFonts w:ascii="Arial Narrow" w:hAnsi="Arial Narrow"/>
                <w:color w:val="000000"/>
                <w:spacing w:val="1"/>
                <w:w w:val="95"/>
                <w:sz w:val="20"/>
                <w:szCs w:val="20"/>
                <w:shd w:val="solid" w:color="000000" w:fill="000000"/>
                <w:fitText w:val="330" w:id="-628921337"/>
                <w14:textFill>
                  <w14:solidFill>
                    <w14:srgbClr w14:val="000000">
                      <w14:alpha w14:val="100000"/>
                    </w14:srgbClr>
                  </w14:solidFill>
                </w14:textFill>
              </w:rPr>
              <w:t>|</w:t>
            </w:r>
            <w:r>
              <w:rPr>
                <w:rFonts w:ascii="Arial Narrow" w:hAnsi="Arial Narrow"/>
                <w:sz w:val="20"/>
                <w:szCs w:val="20"/>
              </w:rPr>
              <w:t>% in Year 1</w:t>
            </w:r>
            <w:r w:rsidR="00E47EC2">
              <w:rPr>
                <w:rFonts w:ascii="Arial Narrow" w:hAnsi="Arial Narrow"/>
                <w:sz w:val="20"/>
                <w:szCs w:val="20"/>
              </w:rPr>
              <w:t>,</w:t>
            </w:r>
            <w:r>
              <w:rPr>
                <w:rFonts w:ascii="Arial Narrow" w:hAnsi="Arial Narrow"/>
                <w:sz w:val="20"/>
                <w:szCs w:val="20"/>
              </w:rPr>
              <w:t xml:space="preserve"> increasing to </w:t>
            </w:r>
            <w:r w:rsidR="00E77A69" w:rsidRPr="00D33592">
              <w:rPr>
                <w:rFonts w:ascii="Arial Narrow" w:hAnsi="Arial Narrow"/>
                <w:color w:val="000000"/>
                <w:spacing w:val="56"/>
                <w:w w:val="95"/>
                <w:sz w:val="20"/>
                <w:szCs w:val="20"/>
                <w:shd w:val="solid" w:color="000000" w:fill="000000"/>
                <w:fitText w:val="330" w:id="-628921336"/>
                <w14:textFill>
                  <w14:solidFill>
                    <w14:srgbClr w14:val="000000">
                      <w14:alpha w14:val="100000"/>
                    </w14:srgbClr>
                  </w14:solidFill>
                </w14:textFill>
              </w:rPr>
              <w:t>|||</w:t>
            </w:r>
            <w:r w:rsidR="00E77A69" w:rsidRPr="00D33592">
              <w:rPr>
                <w:rFonts w:ascii="Arial Narrow" w:hAnsi="Arial Narrow"/>
                <w:color w:val="000000"/>
                <w:spacing w:val="1"/>
                <w:w w:val="95"/>
                <w:sz w:val="20"/>
                <w:szCs w:val="20"/>
                <w:shd w:val="solid" w:color="000000" w:fill="000000"/>
                <w:fitText w:val="330" w:id="-628921336"/>
                <w14:textFill>
                  <w14:solidFill>
                    <w14:srgbClr w14:val="000000">
                      <w14:alpha w14:val="100000"/>
                    </w14:srgbClr>
                  </w14:solidFill>
                </w14:textFill>
              </w:rPr>
              <w:t>|</w:t>
            </w:r>
            <w:r>
              <w:rPr>
                <w:rFonts w:ascii="Arial Narrow" w:hAnsi="Arial Narrow"/>
                <w:sz w:val="20"/>
                <w:szCs w:val="20"/>
              </w:rPr>
              <w:t xml:space="preserve">% in Year 6. </w:t>
            </w:r>
            <w:r w:rsidRPr="00155639">
              <w:rPr>
                <w:rFonts w:ascii="Arial Narrow" w:hAnsi="Arial Narrow" w:cstheme="minorBidi"/>
                <w:sz w:val="20"/>
                <w:szCs w:val="20"/>
              </w:rPr>
              <w:t>Based on historical utilisation</w:t>
            </w:r>
            <w:r w:rsidR="00E47EC2">
              <w:rPr>
                <w:rFonts w:ascii="Arial Narrow" w:hAnsi="Arial Narrow" w:cstheme="minorBidi"/>
                <w:sz w:val="20"/>
                <w:szCs w:val="20"/>
              </w:rPr>
              <w:t>,</w:t>
            </w:r>
            <w:r w:rsidRPr="00155639">
              <w:rPr>
                <w:rFonts w:ascii="Arial Narrow" w:hAnsi="Arial Narrow" w:cstheme="minorBidi"/>
                <w:sz w:val="20"/>
                <w:szCs w:val="20"/>
              </w:rPr>
              <w:t xml:space="preserve"> UST and IFX remain the two most utilised treatment</w:t>
            </w:r>
            <w:r w:rsidR="00E47EC2">
              <w:rPr>
                <w:rFonts w:ascii="Arial Narrow" w:hAnsi="Arial Narrow" w:cstheme="minorBidi"/>
                <w:sz w:val="20"/>
                <w:szCs w:val="20"/>
              </w:rPr>
              <w:t>s</w:t>
            </w:r>
            <w:r w:rsidRPr="00155639">
              <w:rPr>
                <w:rFonts w:ascii="Arial Narrow" w:hAnsi="Arial Narrow" w:cstheme="minorBidi"/>
                <w:sz w:val="20"/>
                <w:szCs w:val="20"/>
              </w:rPr>
              <w:t xml:space="preserve"> in </w:t>
            </w:r>
            <w:r w:rsidRPr="0015369B">
              <w:rPr>
                <w:rFonts w:ascii="Arial Narrow" w:hAnsi="Arial Narrow" w:cstheme="minorBidi"/>
                <w:sz w:val="20"/>
                <w:szCs w:val="20"/>
              </w:rPr>
              <w:t>CD (34.3% and 29.6% share</w:t>
            </w:r>
            <w:r w:rsidRPr="00155639">
              <w:rPr>
                <w:rFonts w:ascii="Arial Narrow" w:hAnsi="Arial Narrow" w:cstheme="minorBidi"/>
                <w:sz w:val="20"/>
                <w:szCs w:val="20"/>
              </w:rPr>
              <w:t xml:space="preserve"> of patient-weeks on treatment in 2020-2024, respectively). UST and IFX are effective treatments for CD and would continue to be prescribed by clinicians if GUS </w:t>
            </w:r>
            <w:r w:rsidR="00E47EC2">
              <w:rPr>
                <w:rFonts w:ascii="Arial Narrow" w:hAnsi="Arial Narrow" w:cstheme="minorBidi"/>
                <w:sz w:val="20"/>
                <w:szCs w:val="20"/>
              </w:rPr>
              <w:t>i</w:t>
            </w:r>
            <w:r w:rsidRPr="00155639">
              <w:rPr>
                <w:rFonts w:ascii="Arial Narrow" w:hAnsi="Arial Narrow" w:cstheme="minorBidi"/>
                <w:sz w:val="20"/>
                <w:szCs w:val="20"/>
              </w:rPr>
              <w:t xml:space="preserve">s listed on the PBS. </w:t>
            </w:r>
            <w:r>
              <w:rPr>
                <w:rFonts w:ascii="Arial Narrow" w:hAnsi="Arial Narrow" w:cstheme="minorBidi"/>
                <w:sz w:val="20"/>
                <w:szCs w:val="20"/>
              </w:rPr>
              <w:t>For other biologics, t</w:t>
            </w:r>
            <w:r w:rsidRPr="00155639">
              <w:rPr>
                <w:rFonts w:ascii="Arial Narrow" w:hAnsi="Arial Narrow" w:cstheme="minorBidi"/>
                <w:sz w:val="20"/>
                <w:szCs w:val="20"/>
              </w:rPr>
              <w:t xml:space="preserve">he submission stated that clinicians considered ADA </w:t>
            </w:r>
            <w:r w:rsidR="00E47EC2">
              <w:rPr>
                <w:rFonts w:ascii="Arial Narrow" w:hAnsi="Arial Narrow" w:cstheme="minorBidi"/>
                <w:sz w:val="20"/>
                <w:szCs w:val="20"/>
              </w:rPr>
              <w:t xml:space="preserve">to be </w:t>
            </w:r>
            <w:r w:rsidRPr="00155639">
              <w:rPr>
                <w:rFonts w:ascii="Arial Narrow" w:hAnsi="Arial Narrow" w:cstheme="minorBidi"/>
                <w:sz w:val="20"/>
                <w:szCs w:val="20"/>
              </w:rPr>
              <w:t xml:space="preserve">less effective than IFX and UST. </w:t>
            </w:r>
            <w:r>
              <w:rPr>
                <w:rFonts w:ascii="Arial Narrow" w:hAnsi="Arial Narrow" w:cstheme="minorBidi"/>
                <w:sz w:val="20"/>
                <w:szCs w:val="20"/>
              </w:rPr>
              <w:t>UPA was PBS listed in December 2023 and relatively new to the market, and utilisation may be impacted by potential safety concerns with the use of JAK inhibitors</w:t>
            </w:r>
            <w:r w:rsidR="00E47EC2">
              <w:rPr>
                <w:rFonts w:ascii="Arial Narrow" w:hAnsi="Arial Narrow" w:cstheme="minorBidi"/>
                <w:sz w:val="20"/>
                <w:szCs w:val="20"/>
              </w:rPr>
              <w:t>,</w:t>
            </w:r>
            <w:r>
              <w:rPr>
                <w:rFonts w:ascii="Arial Narrow" w:hAnsi="Arial Narrow" w:cstheme="minorBidi"/>
                <w:sz w:val="20"/>
                <w:szCs w:val="20"/>
              </w:rPr>
              <w:t xml:space="preserve"> including UPA. The submission stated that clinicians considered VDZ </w:t>
            </w:r>
            <w:r w:rsidR="00E47EC2">
              <w:rPr>
                <w:rFonts w:ascii="Arial Narrow" w:hAnsi="Arial Narrow" w:cstheme="minorBidi"/>
                <w:sz w:val="20"/>
                <w:szCs w:val="20"/>
              </w:rPr>
              <w:t xml:space="preserve">to be </w:t>
            </w:r>
            <w:r>
              <w:rPr>
                <w:rFonts w:ascii="Arial Narrow" w:hAnsi="Arial Narrow" w:cstheme="minorBidi"/>
                <w:sz w:val="20"/>
                <w:szCs w:val="20"/>
              </w:rPr>
              <w:t xml:space="preserve">less effective than other biologics for CD and is used as later lines treatment, when used. </w:t>
            </w:r>
          </w:p>
          <w:p w14:paraId="71E004BD" w14:textId="0502210A" w:rsidR="009237AA" w:rsidRPr="00A24886" w:rsidRDefault="009237AA" w:rsidP="00286E68">
            <w:pPr>
              <w:widowControl w:val="0"/>
              <w:tabs>
                <w:tab w:val="left" w:pos="250"/>
              </w:tabs>
              <w:jc w:val="left"/>
              <w:rPr>
                <w:rFonts w:ascii="Arial Narrow" w:hAnsi="Arial Narrow" w:cstheme="minorBidi"/>
                <w:i/>
                <w:iCs/>
                <w:sz w:val="20"/>
                <w:szCs w:val="20"/>
              </w:rPr>
            </w:pPr>
            <w:r w:rsidRPr="008A2601">
              <w:rPr>
                <w:rFonts w:ascii="Arial Narrow" w:hAnsi="Arial Narrow" w:cstheme="minorBidi"/>
                <w:sz w:val="20"/>
                <w:szCs w:val="20"/>
              </w:rPr>
              <w:t>The DUSC analysis 2017 indicated</w:t>
            </w:r>
            <w:r w:rsidR="00E47EC2" w:rsidRPr="008A2601">
              <w:rPr>
                <w:rFonts w:ascii="Arial Narrow" w:hAnsi="Arial Narrow" w:cstheme="minorBidi"/>
                <w:sz w:val="20"/>
                <w:szCs w:val="20"/>
              </w:rPr>
              <w:t xml:space="preserve"> an</w:t>
            </w:r>
            <w:r w:rsidRPr="008A2601">
              <w:rPr>
                <w:rFonts w:ascii="Arial Narrow" w:hAnsi="Arial Narrow" w:cstheme="minorBidi"/>
                <w:sz w:val="20"/>
                <w:szCs w:val="20"/>
              </w:rPr>
              <w:t xml:space="preserve"> increasing number of prevalent patients receiving biologic treatment on the PBS for CD. While the submission assumed differences in uptake due to efficacy and safety of PBS-listed biologics, the real-world evidence from Australia (Ko 2021 and DUSC 2017 analysis) shows that treatment persistence/continuation rate remains high for all biologic treatments for severe CD, which contradicts the submission’s predictions based on the results from the trial-design-adjusted analysis where treatment persistence/continuation varied and were all worse for comparator biologics versus GUS</w:t>
            </w:r>
            <w:r>
              <w:rPr>
                <w:rFonts w:ascii="Arial Narrow" w:hAnsi="Arial Narrow" w:cstheme="minorBidi"/>
                <w:i/>
                <w:iCs/>
                <w:sz w:val="20"/>
                <w:szCs w:val="20"/>
              </w:rPr>
              <w:t xml:space="preserve">. </w:t>
            </w:r>
          </w:p>
          <w:p w14:paraId="5FB30661" w14:textId="20D79EB0" w:rsidR="009237AA" w:rsidRDefault="009237AA" w:rsidP="00286E68">
            <w:pPr>
              <w:widowControl w:val="0"/>
              <w:tabs>
                <w:tab w:val="left" w:pos="250"/>
              </w:tabs>
              <w:jc w:val="left"/>
              <w:rPr>
                <w:rFonts w:ascii="Arial Narrow" w:hAnsi="Arial Narrow"/>
                <w:sz w:val="20"/>
                <w:szCs w:val="20"/>
              </w:rPr>
            </w:pPr>
            <w:r w:rsidRPr="001A4B8A">
              <w:rPr>
                <w:rFonts w:ascii="Arial Narrow" w:hAnsi="Arial Narrow" w:cstheme="minorBidi"/>
                <w:sz w:val="20"/>
                <w:szCs w:val="20"/>
                <w:u w:val="single"/>
              </w:rPr>
              <w:t>Sources of UST scripts:</w:t>
            </w:r>
            <w:r>
              <w:rPr>
                <w:rFonts w:ascii="Arial Narrow" w:hAnsi="Arial Narrow" w:cstheme="minorBidi"/>
                <w:sz w:val="20"/>
                <w:szCs w:val="20"/>
                <w:u w:val="single"/>
              </w:rPr>
              <w:t xml:space="preserve"> </w:t>
            </w:r>
            <w:r>
              <w:rPr>
                <w:rFonts w:ascii="Arial Narrow" w:hAnsi="Arial Narrow" w:cstheme="minorBidi"/>
                <w:sz w:val="20"/>
                <w:szCs w:val="20"/>
              </w:rPr>
              <w:t xml:space="preserve">The submission assumed </w:t>
            </w:r>
            <w:proofErr w:type="gramStart"/>
            <w:r>
              <w:rPr>
                <w:rFonts w:ascii="Arial Narrow" w:hAnsi="Arial Narrow" w:cstheme="minorBidi"/>
                <w:sz w:val="20"/>
                <w:szCs w:val="20"/>
              </w:rPr>
              <w:t>the majority of</w:t>
            </w:r>
            <w:proofErr w:type="gramEnd"/>
            <w:r>
              <w:rPr>
                <w:rFonts w:ascii="Arial Narrow" w:hAnsi="Arial Narrow" w:cstheme="minorBidi"/>
                <w:sz w:val="20"/>
                <w:szCs w:val="20"/>
              </w:rPr>
              <w:t xml:space="preserve"> GUS scripts w</w:t>
            </w:r>
            <w:r w:rsidR="00E47EC2">
              <w:rPr>
                <w:rFonts w:ascii="Arial Narrow" w:hAnsi="Arial Narrow" w:cstheme="minorBidi"/>
                <w:sz w:val="20"/>
                <w:szCs w:val="20"/>
              </w:rPr>
              <w:t>ere</w:t>
            </w:r>
            <w:r>
              <w:rPr>
                <w:rFonts w:ascii="Arial Narrow" w:hAnsi="Arial Narrow" w:cstheme="minorBidi"/>
                <w:sz w:val="20"/>
                <w:szCs w:val="20"/>
              </w:rPr>
              <w:t xml:space="preserve"> from substituting ADA and UST, due to the assumed high substitution rates from ADA and high number of predicted scripts for ADA and UST.</w:t>
            </w:r>
          </w:p>
          <w:p w14:paraId="7208AB60" w14:textId="77777777" w:rsidR="009237AA" w:rsidRPr="00AB57EC" w:rsidRDefault="009237AA" w:rsidP="00286E68">
            <w:pPr>
              <w:widowControl w:val="0"/>
              <w:tabs>
                <w:tab w:val="left" w:pos="250"/>
              </w:tabs>
              <w:jc w:val="left"/>
              <w:rPr>
                <w:rFonts w:ascii="Arial Narrow" w:hAnsi="Arial Narrow"/>
                <w:sz w:val="20"/>
                <w:szCs w:val="20"/>
              </w:rPr>
            </w:pPr>
            <w:r w:rsidRPr="00AB57EC">
              <w:rPr>
                <w:rFonts w:ascii="Arial Narrow" w:hAnsi="Arial Narrow"/>
                <w:sz w:val="20"/>
                <w:szCs w:val="20"/>
                <w:u w:val="single"/>
              </w:rPr>
              <w:t>Number of scripts:</w:t>
            </w:r>
            <w:r>
              <w:rPr>
                <w:rFonts w:ascii="Arial Narrow" w:hAnsi="Arial Narrow"/>
                <w:sz w:val="20"/>
                <w:szCs w:val="20"/>
              </w:rPr>
              <w:t xml:space="preserve"> To estimate the number of GUS scripts, first, the submission estimated the reduction in each comparator scripts using the assumed uptake of GUS given the assumed proportional rate of substitution, then estimated the corresponding number of GUS scripts based on script equivalence between GUS and the comparators.</w:t>
            </w:r>
          </w:p>
          <w:p w14:paraId="7B39F36F" w14:textId="2C301E89" w:rsidR="009237AA" w:rsidRDefault="009237AA" w:rsidP="00286E68">
            <w:pPr>
              <w:widowControl w:val="0"/>
              <w:tabs>
                <w:tab w:val="left" w:pos="250"/>
              </w:tabs>
              <w:jc w:val="left"/>
              <w:rPr>
                <w:rFonts w:ascii="Arial Narrow" w:hAnsi="Arial Narrow"/>
                <w:sz w:val="20"/>
                <w:szCs w:val="20"/>
              </w:rPr>
            </w:pPr>
            <w:r w:rsidRPr="002E21D7">
              <w:rPr>
                <w:rFonts w:ascii="Arial Narrow" w:hAnsi="Arial Narrow"/>
                <w:sz w:val="20"/>
                <w:szCs w:val="20"/>
                <w:u w:val="single"/>
              </w:rPr>
              <w:t>Script equivalence</w:t>
            </w:r>
            <w:r>
              <w:rPr>
                <w:rFonts w:ascii="Arial Narrow" w:hAnsi="Arial Narrow"/>
                <w:sz w:val="20"/>
                <w:szCs w:val="20"/>
              </w:rPr>
              <w:t>: Calculated as the ratio of the number of scripts for GUS and the number of scripts for the substituted biologic treatment over a 104-week period based on their respective script schedules. The script equivalence was estimated based on initiation and continuation scripts of the substituted comparator biologics</w:t>
            </w:r>
            <w:r w:rsidR="00E47EC2">
              <w:rPr>
                <w:rFonts w:ascii="Arial Narrow" w:hAnsi="Arial Narrow"/>
                <w:sz w:val="20"/>
                <w:szCs w:val="20"/>
              </w:rPr>
              <w:t>,</w:t>
            </w:r>
            <w:r>
              <w:rPr>
                <w:rFonts w:ascii="Arial Narrow" w:hAnsi="Arial Narrow"/>
                <w:sz w:val="20"/>
                <w:szCs w:val="20"/>
              </w:rPr>
              <w:t xml:space="preserve"> given the two dosing regimens for GUS in induction and </w:t>
            </w:r>
            <w:r w:rsidRPr="0009042C">
              <w:rPr>
                <w:rFonts w:ascii="Arial Narrow" w:hAnsi="Arial Narrow"/>
                <w:sz w:val="20"/>
                <w:szCs w:val="20"/>
              </w:rPr>
              <w:t>maintenance. For induction, the submission estimated the number of GUS script</w:t>
            </w:r>
            <w:r w:rsidR="00E47EC2" w:rsidRPr="0009042C">
              <w:rPr>
                <w:rFonts w:ascii="Arial Narrow" w:hAnsi="Arial Narrow"/>
                <w:sz w:val="20"/>
                <w:szCs w:val="20"/>
              </w:rPr>
              <w:t>s</w:t>
            </w:r>
            <w:r w:rsidRPr="0009042C">
              <w:rPr>
                <w:rFonts w:ascii="Arial Narrow" w:hAnsi="Arial Narrow"/>
                <w:sz w:val="20"/>
                <w:szCs w:val="20"/>
              </w:rPr>
              <w:t xml:space="preserve"> by IV infusion and SC injection formulation assuming 50%:50% proportional split. For maintenance, the submission estimated the script numbers by the two strengths of GUS 100 mg Q8W and GUS 200 mg Q4W</w:t>
            </w:r>
            <w:r w:rsidR="00E47EC2" w:rsidRPr="0009042C">
              <w:rPr>
                <w:rFonts w:ascii="Arial Narrow" w:hAnsi="Arial Narrow"/>
                <w:sz w:val="20"/>
                <w:szCs w:val="20"/>
              </w:rPr>
              <w:t>,</w:t>
            </w:r>
            <w:r w:rsidRPr="0009042C">
              <w:rPr>
                <w:rFonts w:ascii="Arial Narrow" w:hAnsi="Arial Narrow"/>
                <w:sz w:val="20"/>
                <w:szCs w:val="20"/>
              </w:rPr>
              <w:t xml:space="preserve"> assuming a </w:t>
            </w:r>
            <w:r w:rsidR="005D4F3C" w:rsidRPr="00D33592">
              <w:rPr>
                <w:rFonts w:ascii="Arial Narrow" w:hAnsi="Arial Narrow" w:hint="eastAsia"/>
                <w:color w:val="000000"/>
                <w:w w:val="19"/>
                <w:sz w:val="20"/>
                <w:szCs w:val="20"/>
                <w:shd w:val="solid" w:color="000000" w:fill="000000"/>
                <w:fitText w:val="87" w:id="-623648768"/>
                <w14:textFill>
                  <w14:solidFill>
                    <w14:srgbClr w14:val="000000">
                      <w14:alpha w14:val="100000"/>
                    </w14:srgbClr>
                  </w14:solidFill>
                </w14:textFill>
              </w:rPr>
              <w:t xml:space="preserve">　</w:t>
            </w:r>
            <w:r w:rsidR="005D4F3C" w:rsidRPr="00D33592">
              <w:rPr>
                <w:rFonts w:ascii="Arial Narrow" w:hAnsi="Arial Narrow"/>
                <w:color w:val="000000"/>
                <w:w w:val="19"/>
                <w:sz w:val="20"/>
                <w:szCs w:val="20"/>
                <w:shd w:val="solid" w:color="000000" w:fill="000000"/>
                <w:fitText w:val="87" w:id="-623648768"/>
                <w14:textFill>
                  <w14:solidFill>
                    <w14:srgbClr w14:val="000000">
                      <w14:alpha w14:val="100000"/>
                    </w14:srgbClr>
                  </w14:solidFill>
                </w14:textFill>
              </w:rPr>
              <w:t>|</w:t>
            </w:r>
            <w:r w:rsidR="005D4F3C" w:rsidRPr="00D33592">
              <w:rPr>
                <w:rFonts w:ascii="Arial Narrow" w:hAnsi="Arial Narrow" w:hint="eastAsia"/>
                <w:color w:val="000000"/>
                <w:spacing w:val="12"/>
                <w:w w:val="19"/>
                <w:sz w:val="20"/>
                <w:szCs w:val="20"/>
                <w:shd w:val="solid" w:color="000000" w:fill="000000"/>
                <w:fitText w:val="87" w:id="-623648768"/>
                <w14:textFill>
                  <w14:solidFill>
                    <w14:srgbClr w14:val="000000">
                      <w14:alpha w14:val="100000"/>
                    </w14:srgbClr>
                  </w14:solidFill>
                </w14:textFill>
              </w:rPr>
              <w:t xml:space="preserve">　</w:t>
            </w:r>
            <w:r w:rsidRPr="0009042C">
              <w:rPr>
                <w:rFonts w:ascii="Arial Narrow" w:hAnsi="Arial Narrow"/>
                <w:sz w:val="20"/>
                <w:szCs w:val="20"/>
              </w:rPr>
              <w:t>%:</w:t>
            </w:r>
            <w:r w:rsidR="005D4F3C" w:rsidRPr="00D33592">
              <w:rPr>
                <w:rFonts w:ascii="Arial Narrow" w:hAnsi="Arial Narrow" w:hint="eastAsia"/>
                <w:color w:val="000000"/>
                <w:w w:val="19"/>
                <w:sz w:val="20"/>
                <w:szCs w:val="20"/>
                <w:shd w:val="solid" w:color="000000" w:fill="000000"/>
                <w:fitText w:val="88" w:id="-623648767"/>
                <w14:textFill>
                  <w14:solidFill>
                    <w14:srgbClr w14:val="000000">
                      <w14:alpha w14:val="100000"/>
                    </w14:srgbClr>
                  </w14:solidFill>
                </w14:textFill>
              </w:rPr>
              <w:t xml:space="preserve">　</w:t>
            </w:r>
            <w:r w:rsidR="005D4F3C" w:rsidRPr="00D33592">
              <w:rPr>
                <w:rFonts w:ascii="Arial Narrow" w:hAnsi="Arial Narrow"/>
                <w:color w:val="000000"/>
                <w:w w:val="19"/>
                <w:sz w:val="20"/>
                <w:szCs w:val="20"/>
                <w:shd w:val="solid" w:color="000000" w:fill="000000"/>
                <w:fitText w:val="88" w:id="-623648767"/>
                <w14:textFill>
                  <w14:solidFill>
                    <w14:srgbClr w14:val="000000">
                      <w14:alpha w14:val="100000"/>
                    </w14:srgbClr>
                  </w14:solidFill>
                </w14:textFill>
              </w:rPr>
              <w:t>|</w:t>
            </w:r>
            <w:r w:rsidR="005D4F3C" w:rsidRPr="00D33592">
              <w:rPr>
                <w:rFonts w:ascii="Arial Narrow" w:hAnsi="Arial Narrow" w:hint="eastAsia"/>
                <w:color w:val="000000"/>
                <w:spacing w:val="4"/>
                <w:w w:val="19"/>
                <w:sz w:val="20"/>
                <w:szCs w:val="20"/>
                <w:shd w:val="solid" w:color="000000" w:fill="000000"/>
                <w:fitText w:val="88" w:id="-623648767"/>
                <w14:textFill>
                  <w14:solidFill>
                    <w14:srgbClr w14:val="000000">
                      <w14:alpha w14:val="100000"/>
                    </w14:srgbClr>
                  </w14:solidFill>
                </w14:textFill>
              </w:rPr>
              <w:t xml:space="preserve">　</w:t>
            </w:r>
            <w:r w:rsidRPr="0009042C">
              <w:rPr>
                <w:rFonts w:ascii="Arial Narrow" w:hAnsi="Arial Narrow"/>
                <w:sz w:val="20"/>
                <w:szCs w:val="20"/>
              </w:rPr>
              <w:t xml:space="preserve">% proportional split, given clinical evidence showed numerically improved efficacy with higher dose GUS at maintenance compared to the lower dose GUS. To account for differences in the maintenance dosing frequency, the submission converted the proportion to script numbers. As GUS Q4W have twice the number of scripts in the maintenance phase compared to GUS Q8W, the submission total scripts were weighted by the two dose frequencies: </w:t>
            </w:r>
            <w:r w:rsidR="00D33592" w:rsidRPr="00D33592">
              <w:rPr>
                <w:rFonts w:ascii="Arial Narrow" w:hAnsi="Arial Narrow" w:hint="eastAsia"/>
                <w:color w:val="000000"/>
                <w:w w:val="31"/>
                <w:sz w:val="20"/>
                <w:szCs w:val="20"/>
                <w:shd w:val="solid" w:color="000000" w:fill="000000"/>
                <w:fitText w:val="138" w:id="-623648765"/>
                <w14:textFill>
                  <w14:solidFill>
                    <w14:srgbClr w14:val="000000">
                      <w14:alpha w14:val="100000"/>
                    </w14:srgbClr>
                  </w14:solidFill>
                </w14:textFill>
              </w:rPr>
              <w:t xml:space="preserve">　</w:t>
            </w:r>
            <w:r w:rsidR="00D33592" w:rsidRPr="00D33592">
              <w:rPr>
                <w:rFonts w:ascii="Arial Narrow" w:hAnsi="Arial Narrow"/>
                <w:color w:val="000000"/>
                <w:w w:val="31"/>
                <w:sz w:val="20"/>
                <w:szCs w:val="20"/>
                <w:shd w:val="solid" w:color="000000" w:fill="000000"/>
                <w:fitText w:val="138" w:id="-623648765"/>
                <w14:textFill>
                  <w14:solidFill>
                    <w14:srgbClr w14:val="000000">
                      <w14:alpha w14:val="100000"/>
                    </w14:srgbClr>
                  </w14:solidFill>
                </w14:textFill>
              </w:rPr>
              <w:t>|</w:t>
            </w:r>
            <w:r w:rsidR="00D33592" w:rsidRPr="00D33592">
              <w:rPr>
                <w:rFonts w:ascii="Arial Narrow" w:hAnsi="Arial Narrow" w:hint="eastAsia"/>
                <w:color w:val="000000"/>
                <w:spacing w:val="2"/>
                <w:w w:val="31"/>
                <w:sz w:val="20"/>
                <w:szCs w:val="20"/>
                <w:shd w:val="solid" w:color="000000" w:fill="000000"/>
                <w:fitText w:val="138" w:id="-623648765"/>
                <w14:textFill>
                  <w14:solidFill>
                    <w14:srgbClr w14:val="000000">
                      <w14:alpha w14:val="100000"/>
                    </w14:srgbClr>
                  </w14:solidFill>
                </w14:textFill>
              </w:rPr>
              <w:t xml:space="preserve">　</w:t>
            </w:r>
            <w:r w:rsidR="00D33592">
              <w:rPr>
                <w:rFonts w:ascii="Arial Narrow" w:hAnsi="Arial Narrow"/>
                <w:sz w:val="20"/>
                <w:szCs w:val="20"/>
              </w:rPr>
              <w:t xml:space="preserve"> </w:t>
            </w:r>
            <w:r w:rsidRPr="0009042C">
              <w:rPr>
                <w:rFonts w:ascii="Arial Narrow" w:hAnsi="Arial Narrow"/>
                <w:sz w:val="20"/>
                <w:szCs w:val="20"/>
              </w:rPr>
              <w:t>scripts (</w:t>
            </w:r>
            <w:r w:rsidR="00D33592" w:rsidRPr="00D33592">
              <w:rPr>
                <w:rFonts w:ascii="Arial Narrow" w:hAnsi="Arial Narrow" w:hint="eastAsia"/>
                <w:color w:val="000000"/>
                <w:w w:val="19"/>
                <w:sz w:val="20"/>
                <w:szCs w:val="20"/>
                <w:shd w:val="solid" w:color="000000" w:fill="000000"/>
                <w:fitText w:val="88" w:id="-623648766"/>
                <w14:textFill>
                  <w14:solidFill>
                    <w14:srgbClr w14:val="000000">
                      <w14:alpha w14:val="100000"/>
                    </w14:srgbClr>
                  </w14:solidFill>
                </w14:textFill>
              </w:rPr>
              <w:t xml:space="preserve">　</w:t>
            </w:r>
            <w:r w:rsidR="00D33592" w:rsidRPr="00D33592">
              <w:rPr>
                <w:rFonts w:ascii="Arial Narrow" w:hAnsi="Arial Narrow"/>
                <w:color w:val="000000"/>
                <w:w w:val="19"/>
                <w:sz w:val="20"/>
                <w:szCs w:val="20"/>
                <w:shd w:val="solid" w:color="000000" w:fill="000000"/>
                <w:fitText w:val="88" w:id="-623648766"/>
                <w14:textFill>
                  <w14:solidFill>
                    <w14:srgbClr w14:val="000000">
                      <w14:alpha w14:val="100000"/>
                    </w14:srgbClr>
                  </w14:solidFill>
                </w14:textFill>
              </w:rPr>
              <w:t>|</w:t>
            </w:r>
            <w:r w:rsidR="00D33592" w:rsidRPr="00D33592">
              <w:rPr>
                <w:rFonts w:ascii="Arial Narrow" w:hAnsi="Arial Narrow" w:hint="eastAsia"/>
                <w:color w:val="000000"/>
                <w:spacing w:val="4"/>
                <w:w w:val="19"/>
                <w:sz w:val="20"/>
                <w:szCs w:val="20"/>
                <w:shd w:val="solid" w:color="000000" w:fill="000000"/>
                <w:fitText w:val="88" w:id="-623648766"/>
                <w14:textFill>
                  <w14:solidFill>
                    <w14:srgbClr w14:val="000000">
                      <w14:alpha w14:val="100000"/>
                    </w14:srgbClr>
                  </w14:solidFill>
                </w14:textFill>
              </w:rPr>
              <w:t xml:space="preserve">　</w:t>
            </w:r>
            <w:r w:rsidRPr="0009042C">
              <w:rPr>
                <w:rFonts w:ascii="Arial Narrow" w:hAnsi="Arial Narrow"/>
                <w:sz w:val="20"/>
                <w:szCs w:val="20"/>
              </w:rPr>
              <w:t xml:space="preserve">% x 2 scripts) for GUS Q4W and </w:t>
            </w:r>
            <w:r w:rsidR="00D33592" w:rsidRPr="00D33592">
              <w:rPr>
                <w:rFonts w:ascii="Arial Narrow" w:hAnsi="Arial Narrow" w:hint="eastAsia"/>
                <w:color w:val="000000"/>
                <w:w w:val="31"/>
                <w:sz w:val="20"/>
                <w:szCs w:val="20"/>
                <w:shd w:val="solid" w:color="000000" w:fill="000000"/>
                <w:fitText w:val="138" w:id="-623648764"/>
                <w14:textFill>
                  <w14:solidFill>
                    <w14:srgbClr w14:val="000000">
                      <w14:alpha w14:val="100000"/>
                    </w14:srgbClr>
                  </w14:solidFill>
                </w14:textFill>
              </w:rPr>
              <w:t xml:space="preserve">　</w:t>
            </w:r>
            <w:r w:rsidR="00D33592" w:rsidRPr="00D33592">
              <w:rPr>
                <w:rFonts w:ascii="Arial Narrow" w:hAnsi="Arial Narrow"/>
                <w:color w:val="000000"/>
                <w:w w:val="31"/>
                <w:sz w:val="20"/>
                <w:szCs w:val="20"/>
                <w:shd w:val="solid" w:color="000000" w:fill="000000"/>
                <w:fitText w:val="138" w:id="-623648764"/>
                <w14:textFill>
                  <w14:solidFill>
                    <w14:srgbClr w14:val="000000">
                      <w14:alpha w14:val="100000"/>
                    </w14:srgbClr>
                  </w14:solidFill>
                </w14:textFill>
              </w:rPr>
              <w:t>|</w:t>
            </w:r>
            <w:r w:rsidR="00D33592" w:rsidRPr="00D33592">
              <w:rPr>
                <w:rFonts w:ascii="Arial Narrow" w:hAnsi="Arial Narrow" w:hint="eastAsia"/>
                <w:color w:val="000000"/>
                <w:spacing w:val="2"/>
                <w:w w:val="31"/>
                <w:sz w:val="20"/>
                <w:szCs w:val="20"/>
                <w:shd w:val="solid" w:color="000000" w:fill="000000"/>
                <w:fitText w:val="138" w:id="-623648764"/>
                <w14:textFill>
                  <w14:solidFill>
                    <w14:srgbClr w14:val="000000">
                      <w14:alpha w14:val="100000"/>
                    </w14:srgbClr>
                  </w14:solidFill>
                </w14:textFill>
              </w:rPr>
              <w:t xml:space="preserve">　</w:t>
            </w:r>
            <w:r w:rsidR="00D33592">
              <w:rPr>
                <w:rFonts w:ascii="Arial Narrow" w:hAnsi="Arial Narrow"/>
                <w:sz w:val="20"/>
                <w:szCs w:val="20"/>
              </w:rPr>
              <w:t xml:space="preserve"> </w:t>
            </w:r>
            <w:r w:rsidRPr="0009042C">
              <w:rPr>
                <w:rFonts w:ascii="Arial Narrow" w:hAnsi="Arial Narrow"/>
                <w:sz w:val="20"/>
                <w:szCs w:val="20"/>
              </w:rPr>
              <w:t>scripts (</w:t>
            </w:r>
            <w:r w:rsidR="00D33592" w:rsidRPr="00D33592">
              <w:rPr>
                <w:rFonts w:ascii="Arial Narrow" w:hAnsi="Arial Narrow" w:hint="eastAsia"/>
                <w:color w:val="000000"/>
                <w:w w:val="19"/>
                <w:sz w:val="20"/>
                <w:szCs w:val="20"/>
                <w:shd w:val="solid" w:color="000000" w:fill="000000"/>
                <w:fitText w:val="88" w:id="-623648763"/>
                <w14:textFill>
                  <w14:solidFill>
                    <w14:srgbClr w14:val="000000">
                      <w14:alpha w14:val="100000"/>
                    </w14:srgbClr>
                  </w14:solidFill>
                </w14:textFill>
              </w:rPr>
              <w:t xml:space="preserve">　</w:t>
            </w:r>
            <w:r w:rsidR="00D33592" w:rsidRPr="00D33592">
              <w:rPr>
                <w:rFonts w:ascii="Arial Narrow" w:hAnsi="Arial Narrow"/>
                <w:color w:val="000000"/>
                <w:w w:val="19"/>
                <w:sz w:val="20"/>
                <w:szCs w:val="20"/>
                <w:shd w:val="solid" w:color="000000" w:fill="000000"/>
                <w:fitText w:val="88" w:id="-623648763"/>
                <w14:textFill>
                  <w14:solidFill>
                    <w14:srgbClr w14:val="000000">
                      <w14:alpha w14:val="100000"/>
                    </w14:srgbClr>
                  </w14:solidFill>
                </w14:textFill>
              </w:rPr>
              <w:t>|</w:t>
            </w:r>
            <w:r w:rsidR="00D33592" w:rsidRPr="00D33592">
              <w:rPr>
                <w:rFonts w:ascii="Arial Narrow" w:hAnsi="Arial Narrow" w:hint="eastAsia"/>
                <w:color w:val="000000"/>
                <w:spacing w:val="4"/>
                <w:w w:val="19"/>
                <w:sz w:val="20"/>
                <w:szCs w:val="20"/>
                <w:shd w:val="solid" w:color="000000" w:fill="000000"/>
                <w:fitText w:val="88" w:id="-623648763"/>
                <w14:textFill>
                  <w14:solidFill>
                    <w14:srgbClr w14:val="000000">
                      <w14:alpha w14:val="100000"/>
                    </w14:srgbClr>
                  </w14:solidFill>
                </w14:textFill>
              </w:rPr>
              <w:t xml:space="preserve">　</w:t>
            </w:r>
            <w:r w:rsidRPr="0009042C">
              <w:rPr>
                <w:rFonts w:ascii="Arial Narrow" w:hAnsi="Arial Narrow"/>
                <w:sz w:val="20"/>
                <w:szCs w:val="20"/>
              </w:rPr>
              <w:t xml:space="preserve">% x 1 script) for GUS Q8W, totalling </w:t>
            </w:r>
            <w:r w:rsidR="00D33592" w:rsidRPr="00D33592">
              <w:rPr>
                <w:rFonts w:ascii="Arial Narrow" w:hAnsi="Arial Narrow" w:hint="eastAsia"/>
                <w:color w:val="000000"/>
                <w:w w:val="31"/>
                <w:sz w:val="20"/>
                <w:szCs w:val="20"/>
                <w:shd w:val="solid" w:color="000000" w:fill="000000"/>
                <w:fitText w:val="138" w:id="-623648512"/>
                <w14:textFill>
                  <w14:solidFill>
                    <w14:srgbClr w14:val="000000">
                      <w14:alpha w14:val="100000"/>
                    </w14:srgbClr>
                  </w14:solidFill>
                </w14:textFill>
              </w:rPr>
              <w:t xml:space="preserve">　</w:t>
            </w:r>
            <w:r w:rsidR="00D33592" w:rsidRPr="00D33592">
              <w:rPr>
                <w:rFonts w:ascii="Arial Narrow" w:hAnsi="Arial Narrow"/>
                <w:color w:val="000000"/>
                <w:w w:val="31"/>
                <w:sz w:val="20"/>
                <w:szCs w:val="20"/>
                <w:shd w:val="solid" w:color="000000" w:fill="000000"/>
                <w:fitText w:val="138" w:id="-623648512"/>
                <w14:textFill>
                  <w14:solidFill>
                    <w14:srgbClr w14:val="000000">
                      <w14:alpha w14:val="100000"/>
                    </w14:srgbClr>
                  </w14:solidFill>
                </w14:textFill>
              </w:rPr>
              <w:t>|</w:t>
            </w:r>
            <w:r w:rsidR="00D33592" w:rsidRPr="00D33592">
              <w:rPr>
                <w:rFonts w:ascii="Arial Narrow" w:hAnsi="Arial Narrow" w:hint="eastAsia"/>
                <w:color w:val="000000"/>
                <w:w w:val="31"/>
                <w:sz w:val="20"/>
                <w:szCs w:val="20"/>
                <w:shd w:val="solid" w:color="000000" w:fill="000000"/>
                <w:fitText w:val="138" w:id="-623648512"/>
                <w14:textFill>
                  <w14:solidFill>
                    <w14:srgbClr w14:val="000000">
                      <w14:alpha w14:val="100000"/>
                    </w14:srgbClr>
                  </w14:solidFill>
                </w14:textFill>
              </w:rPr>
              <w:t xml:space="preserve">　</w:t>
            </w:r>
            <w:r w:rsidRPr="0009042C">
              <w:rPr>
                <w:rFonts w:ascii="Arial Narrow" w:hAnsi="Arial Narrow"/>
                <w:sz w:val="20"/>
                <w:szCs w:val="20"/>
              </w:rPr>
              <w:t xml:space="preserve"> scripts (</w:t>
            </w:r>
            <w:r w:rsidR="00D33592" w:rsidRPr="00D33592">
              <w:rPr>
                <w:rFonts w:ascii="Arial Narrow" w:hAnsi="Arial Narrow" w:hint="eastAsia"/>
                <w:color w:val="000000"/>
                <w:w w:val="28"/>
                <w:sz w:val="20"/>
                <w:szCs w:val="20"/>
                <w:shd w:val="solid" w:color="000000" w:fill="000000"/>
                <w:fitText w:val="125" w:id="-623648511"/>
                <w14:textFill>
                  <w14:solidFill>
                    <w14:srgbClr w14:val="000000">
                      <w14:alpha w14:val="100000"/>
                    </w14:srgbClr>
                  </w14:solidFill>
                </w14:textFill>
              </w:rPr>
              <w:t xml:space="preserve">　</w:t>
            </w:r>
            <w:r w:rsidR="00D33592" w:rsidRPr="00D33592">
              <w:rPr>
                <w:rFonts w:ascii="Arial Narrow" w:hAnsi="Arial Narrow"/>
                <w:color w:val="000000"/>
                <w:w w:val="28"/>
                <w:sz w:val="20"/>
                <w:szCs w:val="20"/>
                <w:shd w:val="solid" w:color="000000" w:fill="000000"/>
                <w:fitText w:val="125" w:id="-623648511"/>
                <w14:textFill>
                  <w14:solidFill>
                    <w14:srgbClr w14:val="000000">
                      <w14:alpha w14:val="100000"/>
                    </w14:srgbClr>
                  </w14:solidFill>
                </w14:textFill>
              </w:rPr>
              <w:t>|</w:t>
            </w:r>
            <w:r w:rsidR="00D33592" w:rsidRPr="00D33592">
              <w:rPr>
                <w:rFonts w:ascii="Arial Narrow" w:hAnsi="Arial Narrow" w:hint="eastAsia"/>
                <w:color w:val="000000"/>
                <w:w w:val="28"/>
                <w:sz w:val="20"/>
                <w:szCs w:val="20"/>
                <w:shd w:val="solid" w:color="000000" w:fill="000000"/>
                <w:fitText w:val="125" w:id="-623648511"/>
                <w14:textFill>
                  <w14:solidFill>
                    <w14:srgbClr w14:val="000000">
                      <w14:alpha w14:val="100000"/>
                    </w14:srgbClr>
                  </w14:solidFill>
                </w14:textFill>
              </w:rPr>
              <w:t xml:space="preserve">　</w:t>
            </w:r>
            <w:r w:rsidR="00D33592">
              <w:rPr>
                <w:rFonts w:ascii="Arial Narrow" w:hAnsi="Arial Narrow"/>
                <w:sz w:val="20"/>
                <w:szCs w:val="20"/>
              </w:rPr>
              <w:t xml:space="preserve"> </w:t>
            </w:r>
            <w:r w:rsidRPr="0009042C">
              <w:rPr>
                <w:rFonts w:ascii="Arial Narrow" w:hAnsi="Arial Narrow"/>
                <w:sz w:val="20"/>
                <w:szCs w:val="20"/>
              </w:rPr>
              <w:t xml:space="preserve">+ </w:t>
            </w:r>
            <w:r w:rsidR="00D33592" w:rsidRPr="00D33592">
              <w:rPr>
                <w:rFonts w:ascii="Arial Narrow" w:hAnsi="Arial Narrow" w:hint="eastAsia"/>
                <w:color w:val="000000"/>
                <w:w w:val="31"/>
                <w:sz w:val="20"/>
                <w:szCs w:val="20"/>
                <w:shd w:val="solid" w:color="000000" w:fill="000000"/>
                <w:fitText w:val="138" w:id="-623648510"/>
                <w14:textFill>
                  <w14:solidFill>
                    <w14:srgbClr w14:val="000000">
                      <w14:alpha w14:val="100000"/>
                    </w14:srgbClr>
                  </w14:solidFill>
                </w14:textFill>
              </w:rPr>
              <w:t xml:space="preserve">　</w:t>
            </w:r>
            <w:r w:rsidR="00D33592" w:rsidRPr="00D33592">
              <w:rPr>
                <w:rFonts w:ascii="Arial Narrow" w:hAnsi="Arial Narrow"/>
                <w:color w:val="000000"/>
                <w:w w:val="31"/>
                <w:sz w:val="20"/>
                <w:szCs w:val="20"/>
                <w:shd w:val="solid" w:color="000000" w:fill="000000"/>
                <w:fitText w:val="138" w:id="-623648510"/>
                <w14:textFill>
                  <w14:solidFill>
                    <w14:srgbClr w14:val="000000">
                      <w14:alpha w14:val="100000"/>
                    </w14:srgbClr>
                  </w14:solidFill>
                </w14:textFill>
              </w:rPr>
              <w:t>|</w:t>
            </w:r>
            <w:r w:rsidR="00D33592" w:rsidRPr="00D33592">
              <w:rPr>
                <w:rFonts w:ascii="Arial Narrow" w:hAnsi="Arial Narrow" w:hint="eastAsia"/>
                <w:color w:val="000000"/>
                <w:w w:val="31"/>
                <w:sz w:val="20"/>
                <w:szCs w:val="20"/>
                <w:shd w:val="solid" w:color="000000" w:fill="000000"/>
                <w:fitText w:val="138" w:id="-623648510"/>
                <w14:textFill>
                  <w14:solidFill>
                    <w14:srgbClr w14:val="000000">
                      <w14:alpha w14:val="100000"/>
                    </w14:srgbClr>
                  </w14:solidFill>
                </w14:textFill>
              </w:rPr>
              <w:t xml:space="preserve">　</w:t>
            </w:r>
            <w:r w:rsidRPr="0009042C">
              <w:rPr>
                <w:rFonts w:ascii="Arial Narrow" w:hAnsi="Arial Narrow"/>
                <w:sz w:val="20"/>
                <w:szCs w:val="20"/>
              </w:rPr>
              <w:t>).</w:t>
            </w:r>
            <w:r w:rsidRPr="005604D0">
              <w:rPr>
                <w:rFonts w:ascii="Arial Narrow" w:hAnsi="Arial Narrow"/>
                <w:sz w:val="20"/>
                <w:szCs w:val="20"/>
              </w:rPr>
              <w:t xml:space="preserve"> </w:t>
            </w:r>
          </w:p>
          <w:p w14:paraId="5EF278EB" w14:textId="2DC174DA" w:rsidR="009237AA" w:rsidRPr="00B442FA" w:rsidRDefault="009237AA" w:rsidP="00286E68">
            <w:pPr>
              <w:widowControl w:val="0"/>
              <w:tabs>
                <w:tab w:val="left" w:pos="250"/>
              </w:tabs>
              <w:jc w:val="left"/>
              <w:rPr>
                <w:rFonts w:ascii="Arial Narrow" w:hAnsi="Arial Narrow"/>
                <w:b/>
                <w:bCs/>
                <w:sz w:val="20"/>
                <w:szCs w:val="20"/>
              </w:rPr>
            </w:pPr>
            <w:r w:rsidRPr="00B442FA">
              <w:rPr>
                <w:rFonts w:ascii="Arial Narrow" w:hAnsi="Arial Narrow"/>
                <w:b/>
                <w:bCs/>
                <w:sz w:val="20"/>
                <w:szCs w:val="20"/>
              </w:rPr>
              <w:t>Table: Script equivalence over 104 weeks</w:t>
            </w:r>
          </w:p>
          <w:tbl>
            <w:tblPr>
              <w:tblStyle w:val="TableGrid"/>
              <w:tblW w:w="0" w:type="auto"/>
              <w:tblCellMar>
                <w:left w:w="28" w:type="dxa"/>
                <w:right w:w="28" w:type="dxa"/>
              </w:tblCellMar>
              <w:tblLook w:val="04A0" w:firstRow="1" w:lastRow="0" w:firstColumn="1" w:lastColumn="0" w:noHBand="0" w:noVBand="1"/>
            </w:tblPr>
            <w:tblGrid>
              <w:gridCol w:w="1088"/>
              <w:gridCol w:w="868"/>
              <w:gridCol w:w="1129"/>
              <w:gridCol w:w="837"/>
              <w:gridCol w:w="1275"/>
              <w:gridCol w:w="1269"/>
              <w:gridCol w:w="1246"/>
            </w:tblGrid>
            <w:tr w:rsidR="009237AA" w:rsidRPr="004332D9" w14:paraId="05DEF2AF" w14:textId="77777777" w:rsidTr="00286E68">
              <w:tc>
                <w:tcPr>
                  <w:tcW w:w="1101" w:type="dxa"/>
                  <w:vAlign w:val="center"/>
                </w:tcPr>
                <w:p w14:paraId="1715A577" w14:textId="77777777" w:rsidR="009237AA" w:rsidRPr="00FF4B69" w:rsidRDefault="009237AA" w:rsidP="00286E68">
                  <w:pPr>
                    <w:widowControl w:val="0"/>
                    <w:tabs>
                      <w:tab w:val="left" w:pos="250"/>
                    </w:tabs>
                    <w:jc w:val="left"/>
                    <w:rPr>
                      <w:rFonts w:ascii="Arial Narrow" w:hAnsi="Arial Narrow" w:cstheme="minorBidi"/>
                      <w:sz w:val="18"/>
                      <w:szCs w:val="18"/>
                    </w:rPr>
                  </w:pPr>
                </w:p>
              </w:tc>
              <w:tc>
                <w:tcPr>
                  <w:tcW w:w="878" w:type="dxa"/>
                  <w:vAlign w:val="center"/>
                </w:tcPr>
                <w:p w14:paraId="347994C2" w14:textId="77777777" w:rsidR="009237AA" w:rsidRPr="00B442FA" w:rsidRDefault="009237AA" w:rsidP="00286E68">
                  <w:pPr>
                    <w:widowControl w:val="0"/>
                    <w:tabs>
                      <w:tab w:val="left" w:pos="250"/>
                    </w:tabs>
                    <w:jc w:val="center"/>
                    <w:rPr>
                      <w:rFonts w:ascii="Arial Narrow" w:hAnsi="Arial Narrow" w:cstheme="minorBidi"/>
                      <w:b/>
                      <w:bCs/>
                      <w:sz w:val="18"/>
                      <w:szCs w:val="18"/>
                    </w:rPr>
                  </w:pPr>
                  <w:r w:rsidRPr="00B442FA">
                    <w:rPr>
                      <w:rFonts w:ascii="Arial Narrow" w:hAnsi="Arial Narrow" w:cstheme="minorBidi"/>
                      <w:b/>
                      <w:bCs/>
                      <w:sz w:val="18"/>
                      <w:szCs w:val="18"/>
                    </w:rPr>
                    <w:t>N initial scripts</w:t>
                  </w:r>
                </w:p>
              </w:tc>
              <w:tc>
                <w:tcPr>
                  <w:tcW w:w="1134" w:type="dxa"/>
                  <w:vAlign w:val="center"/>
                </w:tcPr>
                <w:p w14:paraId="374C97BD" w14:textId="77777777" w:rsidR="009237AA" w:rsidRPr="00B442FA" w:rsidRDefault="009237AA" w:rsidP="00286E68">
                  <w:pPr>
                    <w:widowControl w:val="0"/>
                    <w:tabs>
                      <w:tab w:val="left" w:pos="250"/>
                    </w:tabs>
                    <w:jc w:val="center"/>
                    <w:rPr>
                      <w:rFonts w:ascii="Arial Narrow" w:hAnsi="Arial Narrow" w:cstheme="minorBidi"/>
                      <w:b/>
                      <w:bCs/>
                      <w:sz w:val="18"/>
                      <w:szCs w:val="18"/>
                    </w:rPr>
                  </w:pPr>
                  <w:r w:rsidRPr="00B442FA">
                    <w:rPr>
                      <w:rFonts w:ascii="Arial Narrow" w:hAnsi="Arial Narrow" w:cstheme="minorBidi"/>
                      <w:b/>
                      <w:bCs/>
                      <w:sz w:val="18"/>
                      <w:szCs w:val="18"/>
                    </w:rPr>
                    <w:t>N maintenance scripts</w:t>
                  </w:r>
                </w:p>
              </w:tc>
              <w:tc>
                <w:tcPr>
                  <w:tcW w:w="850" w:type="dxa"/>
                  <w:vAlign w:val="center"/>
                </w:tcPr>
                <w:p w14:paraId="10660F85" w14:textId="163F8DD5" w:rsidR="009237AA" w:rsidRPr="00B442FA" w:rsidRDefault="009237AA" w:rsidP="00286E68">
                  <w:pPr>
                    <w:widowControl w:val="0"/>
                    <w:tabs>
                      <w:tab w:val="left" w:pos="250"/>
                    </w:tabs>
                    <w:jc w:val="center"/>
                    <w:rPr>
                      <w:rFonts w:ascii="Arial Narrow" w:hAnsi="Arial Narrow" w:cstheme="minorBidi"/>
                      <w:b/>
                      <w:bCs/>
                      <w:sz w:val="18"/>
                      <w:szCs w:val="18"/>
                    </w:rPr>
                  </w:pPr>
                  <w:r w:rsidRPr="00B442FA">
                    <w:rPr>
                      <w:rFonts w:ascii="Arial Narrow" w:hAnsi="Arial Narrow" w:cstheme="minorBidi"/>
                      <w:b/>
                      <w:bCs/>
                      <w:sz w:val="18"/>
                      <w:szCs w:val="18"/>
                    </w:rPr>
                    <w:t>Total</w:t>
                  </w:r>
                </w:p>
              </w:tc>
              <w:tc>
                <w:tcPr>
                  <w:tcW w:w="1276" w:type="dxa"/>
                  <w:vAlign w:val="center"/>
                </w:tcPr>
                <w:p w14:paraId="366E1D56" w14:textId="77777777" w:rsidR="009237AA" w:rsidRPr="005F3E83" w:rsidRDefault="009237AA" w:rsidP="00286E68">
                  <w:pPr>
                    <w:widowControl w:val="0"/>
                    <w:tabs>
                      <w:tab w:val="left" w:pos="250"/>
                    </w:tabs>
                    <w:jc w:val="center"/>
                    <w:rPr>
                      <w:rFonts w:ascii="Arial Narrow" w:hAnsi="Arial Narrow" w:cstheme="minorBidi"/>
                      <w:b/>
                      <w:bCs/>
                      <w:sz w:val="18"/>
                      <w:szCs w:val="18"/>
                      <w:lang w:val="fr-FR"/>
                    </w:rPr>
                  </w:pPr>
                  <w:proofErr w:type="spellStart"/>
                  <w:r w:rsidRPr="005F3E83">
                    <w:rPr>
                      <w:rFonts w:ascii="Arial Narrow" w:hAnsi="Arial Narrow" w:cstheme="minorBidi"/>
                      <w:b/>
                      <w:bCs/>
                      <w:sz w:val="18"/>
                      <w:szCs w:val="18"/>
                      <w:lang w:val="fr-FR"/>
                    </w:rPr>
                    <w:t>Avg</w:t>
                  </w:r>
                  <w:proofErr w:type="spellEnd"/>
                  <w:r w:rsidRPr="005F3E83">
                    <w:rPr>
                      <w:rFonts w:ascii="Arial Narrow" w:hAnsi="Arial Narrow" w:cstheme="minorBidi"/>
                      <w:b/>
                      <w:bCs/>
                      <w:sz w:val="18"/>
                      <w:szCs w:val="18"/>
                      <w:lang w:val="fr-FR"/>
                    </w:rPr>
                    <w:t xml:space="preserve"> scripts/patient/</w:t>
                  </w:r>
                  <w:proofErr w:type="spellStart"/>
                  <w:r w:rsidRPr="005F3E83">
                    <w:rPr>
                      <w:rFonts w:ascii="Arial Narrow" w:hAnsi="Arial Narrow" w:cstheme="minorBidi"/>
                      <w:b/>
                      <w:bCs/>
                      <w:sz w:val="18"/>
                      <w:szCs w:val="18"/>
                      <w:lang w:val="fr-FR"/>
                    </w:rPr>
                    <w:t>yr</w:t>
                  </w:r>
                  <w:proofErr w:type="spellEnd"/>
                  <w:r w:rsidRPr="005F3E83">
                    <w:rPr>
                      <w:rFonts w:ascii="Arial Narrow" w:hAnsi="Arial Narrow" w:cstheme="minorBidi"/>
                      <w:b/>
                      <w:bCs/>
                      <w:sz w:val="18"/>
                      <w:szCs w:val="18"/>
                      <w:lang w:val="fr-FR"/>
                    </w:rPr>
                    <w:t xml:space="preserve"> (initial)</w:t>
                  </w:r>
                </w:p>
              </w:tc>
              <w:tc>
                <w:tcPr>
                  <w:tcW w:w="1270" w:type="dxa"/>
                  <w:vAlign w:val="center"/>
                </w:tcPr>
                <w:p w14:paraId="396832AD" w14:textId="77777777" w:rsidR="009237AA" w:rsidRPr="005F3E83" w:rsidRDefault="009237AA" w:rsidP="00286E68">
                  <w:pPr>
                    <w:widowControl w:val="0"/>
                    <w:tabs>
                      <w:tab w:val="left" w:pos="250"/>
                    </w:tabs>
                    <w:jc w:val="center"/>
                    <w:rPr>
                      <w:rFonts w:ascii="Arial Narrow" w:hAnsi="Arial Narrow" w:cstheme="minorBidi"/>
                      <w:b/>
                      <w:bCs/>
                      <w:sz w:val="18"/>
                      <w:szCs w:val="18"/>
                      <w:lang w:val="fr-FR"/>
                    </w:rPr>
                  </w:pPr>
                  <w:proofErr w:type="spellStart"/>
                  <w:r w:rsidRPr="005F3E83">
                    <w:rPr>
                      <w:rFonts w:ascii="Arial Narrow" w:hAnsi="Arial Narrow" w:cstheme="minorBidi"/>
                      <w:b/>
                      <w:bCs/>
                      <w:sz w:val="18"/>
                      <w:szCs w:val="18"/>
                      <w:lang w:val="fr-FR"/>
                    </w:rPr>
                    <w:t>Avg</w:t>
                  </w:r>
                  <w:proofErr w:type="spellEnd"/>
                  <w:r w:rsidRPr="005F3E83">
                    <w:rPr>
                      <w:rFonts w:ascii="Arial Narrow" w:hAnsi="Arial Narrow" w:cstheme="minorBidi"/>
                      <w:b/>
                      <w:bCs/>
                      <w:sz w:val="18"/>
                      <w:szCs w:val="18"/>
                      <w:lang w:val="fr-FR"/>
                    </w:rPr>
                    <w:t xml:space="preserve"> scripts/patient/</w:t>
                  </w:r>
                  <w:proofErr w:type="spellStart"/>
                  <w:r w:rsidRPr="005F3E83">
                    <w:rPr>
                      <w:rFonts w:ascii="Arial Narrow" w:hAnsi="Arial Narrow" w:cstheme="minorBidi"/>
                      <w:b/>
                      <w:bCs/>
                      <w:sz w:val="18"/>
                      <w:szCs w:val="18"/>
                      <w:lang w:val="fr-FR"/>
                    </w:rPr>
                    <w:t>yr</w:t>
                  </w:r>
                  <w:proofErr w:type="spellEnd"/>
                  <w:r w:rsidRPr="005F3E83">
                    <w:rPr>
                      <w:rFonts w:ascii="Arial Narrow" w:hAnsi="Arial Narrow" w:cstheme="minorBidi"/>
                      <w:b/>
                      <w:bCs/>
                      <w:sz w:val="18"/>
                      <w:szCs w:val="18"/>
                      <w:lang w:val="fr-FR"/>
                    </w:rPr>
                    <w:t xml:space="preserve"> (maintenance)</w:t>
                  </w:r>
                </w:p>
              </w:tc>
              <w:tc>
                <w:tcPr>
                  <w:tcW w:w="1203" w:type="dxa"/>
                  <w:vAlign w:val="center"/>
                </w:tcPr>
                <w:p w14:paraId="6D6CE6CB" w14:textId="77777777" w:rsidR="009237AA" w:rsidRPr="005F3E83" w:rsidRDefault="009237AA" w:rsidP="00286E68">
                  <w:pPr>
                    <w:widowControl w:val="0"/>
                    <w:tabs>
                      <w:tab w:val="left" w:pos="250"/>
                    </w:tabs>
                    <w:jc w:val="center"/>
                    <w:rPr>
                      <w:rFonts w:ascii="Arial Narrow" w:hAnsi="Arial Narrow" w:cstheme="minorBidi"/>
                      <w:b/>
                      <w:bCs/>
                      <w:sz w:val="18"/>
                      <w:szCs w:val="18"/>
                      <w:lang w:val="fr-FR"/>
                    </w:rPr>
                  </w:pPr>
                  <w:proofErr w:type="spellStart"/>
                  <w:r w:rsidRPr="005F3E83">
                    <w:rPr>
                      <w:rFonts w:ascii="Arial Narrow" w:hAnsi="Arial Narrow" w:cstheme="minorBidi"/>
                      <w:b/>
                      <w:bCs/>
                      <w:sz w:val="18"/>
                      <w:szCs w:val="18"/>
                      <w:lang w:val="fr-FR"/>
                    </w:rPr>
                    <w:t>Avg</w:t>
                  </w:r>
                  <w:proofErr w:type="spellEnd"/>
                  <w:r w:rsidRPr="005F3E83">
                    <w:rPr>
                      <w:rFonts w:ascii="Arial Narrow" w:hAnsi="Arial Narrow" w:cstheme="minorBidi"/>
                      <w:b/>
                      <w:bCs/>
                      <w:sz w:val="18"/>
                      <w:szCs w:val="18"/>
                      <w:lang w:val="fr-FR"/>
                    </w:rPr>
                    <w:t xml:space="preserve"> scripts/patient/</w:t>
                  </w:r>
                  <w:proofErr w:type="spellStart"/>
                  <w:r w:rsidRPr="005F3E83">
                    <w:rPr>
                      <w:rFonts w:ascii="Arial Narrow" w:hAnsi="Arial Narrow" w:cstheme="minorBidi"/>
                      <w:b/>
                      <w:bCs/>
                      <w:sz w:val="18"/>
                      <w:szCs w:val="18"/>
                      <w:lang w:val="fr-FR"/>
                    </w:rPr>
                    <w:t>yr</w:t>
                  </w:r>
                  <w:proofErr w:type="spellEnd"/>
                  <w:r w:rsidRPr="005F3E83">
                    <w:rPr>
                      <w:rFonts w:ascii="Arial Narrow" w:hAnsi="Arial Narrow" w:cstheme="minorBidi"/>
                      <w:b/>
                      <w:bCs/>
                      <w:sz w:val="18"/>
                      <w:szCs w:val="18"/>
                      <w:lang w:val="fr-FR"/>
                    </w:rPr>
                    <w:t xml:space="preserve"> (total)</w:t>
                  </w:r>
                </w:p>
              </w:tc>
            </w:tr>
            <w:tr w:rsidR="009237AA" w:rsidRPr="00FF4B69" w14:paraId="641673F4" w14:textId="77777777" w:rsidTr="00286E68">
              <w:tc>
                <w:tcPr>
                  <w:tcW w:w="1101" w:type="dxa"/>
                  <w:vAlign w:val="center"/>
                </w:tcPr>
                <w:p w14:paraId="5510DDA5" w14:textId="77777777" w:rsidR="009237AA" w:rsidRPr="00FF4B69" w:rsidRDefault="009237AA" w:rsidP="00286E68">
                  <w:pPr>
                    <w:widowControl w:val="0"/>
                    <w:tabs>
                      <w:tab w:val="left" w:pos="250"/>
                    </w:tabs>
                    <w:jc w:val="left"/>
                    <w:rPr>
                      <w:rFonts w:ascii="Arial Narrow" w:hAnsi="Arial Narrow" w:cstheme="minorBidi"/>
                      <w:sz w:val="18"/>
                      <w:szCs w:val="18"/>
                    </w:rPr>
                  </w:pPr>
                  <w:r w:rsidRPr="00FF4B69">
                    <w:rPr>
                      <w:rFonts w:ascii="Arial Narrow" w:hAnsi="Arial Narrow" w:cstheme="minorBidi"/>
                      <w:sz w:val="18"/>
                      <w:szCs w:val="18"/>
                    </w:rPr>
                    <w:t>GUS 100 Q8W</w:t>
                  </w:r>
                </w:p>
              </w:tc>
              <w:tc>
                <w:tcPr>
                  <w:tcW w:w="878" w:type="dxa"/>
                  <w:vAlign w:val="center"/>
                </w:tcPr>
                <w:p w14:paraId="0313D405"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3.0</w:t>
                  </w:r>
                </w:p>
              </w:tc>
              <w:tc>
                <w:tcPr>
                  <w:tcW w:w="1134" w:type="dxa"/>
                  <w:vAlign w:val="center"/>
                </w:tcPr>
                <w:p w14:paraId="2AB96576"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11.0</w:t>
                  </w:r>
                </w:p>
              </w:tc>
              <w:tc>
                <w:tcPr>
                  <w:tcW w:w="850" w:type="dxa"/>
                  <w:vAlign w:val="center"/>
                </w:tcPr>
                <w:p w14:paraId="257628B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14.0</w:t>
                  </w:r>
                </w:p>
              </w:tc>
              <w:tc>
                <w:tcPr>
                  <w:tcW w:w="1276" w:type="dxa"/>
                  <w:vAlign w:val="center"/>
                </w:tcPr>
                <w:p w14:paraId="41043AC9"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1.5</w:t>
                  </w:r>
                </w:p>
              </w:tc>
              <w:tc>
                <w:tcPr>
                  <w:tcW w:w="1270" w:type="dxa"/>
                  <w:vAlign w:val="center"/>
                </w:tcPr>
                <w:p w14:paraId="5A50101A"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5.5</w:t>
                  </w:r>
                </w:p>
              </w:tc>
              <w:tc>
                <w:tcPr>
                  <w:tcW w:w="1203" w:type="dxa"/>
                  <w:vAlign w:val="center"/>
                </w:tcPr>
                <w:p w14:paraId="4C86A28A"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7.0</w:t>
                  </w:r>
                </w:p>
              </w:tc>
            </w:tr>
            <w:tr w:rsidR="009237AA" w:rsidRPr="00FF4B69" w14:paraId="5070E980" w14:textId="77777777" w:rsidTr="00286E68">
              <w:tc>
                <w:tcPr>
                  <w:tcW w:w="1101" w:type="dxa"/>
                  <w:vAlign w:val="center"/>
                </w:tcPr>
                <w:p w14:paraId="4C6B4017" w14:textId="77777777" w:rsidR="009237AA" w:rsidRPr="00FF4B69" w:rsidRDefault="009237AA" w:rsidP="00286E68">
                  <w:pPr>
                    <w:widowControl w:val="0"/>
                    <w:tabs>
                      <w:tab w:val="left" w:pos="250"/>
                    </w:tabs>
                    <w:jc w:val="left"/>
                    <w:rPr>
                      <w:rFonts w:ascii="Arial Narrow" w:hAnsi="Arial Narrow" w:cstheme="minorBidi"/>
                      <w:sz w:val="18"/>
                      <w:szCs w:val="18"/>
                    </w:rPr>
                  </w:pPr>
                  <w:r w:rsidRPr="00FF4B69">
                    <w:rPr>
                      <w:rFonts w:ascii="Arial Narrow" w:hAnsi="Arial Narrow" w:cstheme="minorBidi"/>
                      <w:sz w:val="18"/>
                      <w:szCs w:val="18"/>
                    </w:rPr>
                    <w:t>GUS 200 Q4W</w:t>
                  </w:r>
                </w:p>
              </w:tc>
              <w:tc>
                <w:tcPr>
                  <w:tcW w:w="878" w:type="dxa"/>
                  <w:vAlign w:val="center"/>
                </w:tcPr>
                <w:p w14:paraId="49869423"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3.0</w:t>
                  </w:r>
                </w:p>
              </w:tc>
              <w:tc>
                <w:tcPr>
                  <w:tcW w:w="1134" w:type="dxa"/>
                  <w:vAlign w:val="center"/>
                </w:tcPr>
                <w:p w14:paraId="4AEDDE21"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23.0</w:t>
                  </w:r>
                </w:p>
              </w:tc>
              <w:tc>
                <w:tcPr>
                  <w:tcW w:w="850" w:type="dxa"/>
                  <w:vAlign w:val="center"/>
                </w:tcPr>
                <w:p w14:paraId="226F628B"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26.0</w:t>
                  </w:r>
                </w:p>
              </w:tc>
              <w:tc>
                <w:tcPr>
                  <w:tcW w:w="1276" w:type="dxa"/>
                  <w:vAlign w:val="center"/>
                </w:tcPr>
                <w:p w14:paraId="26243E12"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1.5</w:t>
                  </w:r>
                </w:p>
              </w:tc>
              <w:tc>
                <w:tcPr>
                  <w:tcW w:w="1270" w:type="dxa"/>
                  <w:vAlign w:val="center"/>
                </w:tcPr>
                <w:p w14:paraId="576E0EA1"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11.5</w:t>
                  </w:r>
                </w:p>
              </w:tc>
              <w:tc>
                <w:tcPr>
                  <w:tcW w:w="1203" w:type="dxa"/>
                  <w:vAlign w:val="center"/>
                </w:tcPr>
                <w:p w14:paraId="34342B61"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13.0</w:t>
                  </w:r>
                </w:p>
              </w:tc>
            </w:tr>
            <w:tr w:rsidR="009237AA" w:rsidRPr="00FF4B69" w14:paraId="29585919" w14:textId="77777777" w:rsidTr="00286E68">
              <w:tc>
                <w:tcPr>
                  <w:tcW w:w="1101" w:type="dxa"/>
                  <w:vAlign w:val="center"/>
                </w:tcPr>
                <w:p w14:paraId="16BAB55C" w14:textId="77777777" w:rsidR="009237AA" w:rsidRPr="00B442FA" w:rsidRDefault="009237AA" w:rsidP="00286E68">
                  <w:pPr>
                    <w:widowControl w:val="0"/>
                    <w:tabs>
                      <w:tab w:val="left" w:pos="250"/>
                    </w:tabs>
                    <w:jc w:val="left"/>
                    <w:rPr>
                      <w:rFonts w:ascii="Arial Narrow" w:hAnsi="Arial Narrow" w:cstheme="minorBidi"/>
                      <w:b/>
                      <w:bCs/>
                      <w:sz w:val="18"/>
                      <w:szCs w:val="18"/>
                    </w:rPr>
                  </w:pPr>
                  <w:r w:rsidRPr="00B442FA">
                    <w:rPr>
                      <w:rFonts w:ascii="Arial Narrow" w:hAnsi="Arial Narrow" w:cstheme="minorBidi"/>
                      <w:b/>
                      <w:bCs/>
                      <w:sz w:val="18"/>
                      <w:szCs w:val="18"/>
                    </w:rPr>
                    <w:t>GUS weighted</w:t>
                  </w:r>
                </w:p>
              </w:tc>
              <w:tc>
                <w:tcPr>
                  <w:tcW w:w="878" w:type="dxa"/>
                  <w:vAlign w:val="center"/>
                </w:tcPr>
                <w:p w14:paraId="13CC4671"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3.0</w:t>
                  </w:r>
                </w:p>
              </w:tc>
              <w:tc>
                <w:tcPr>
                  <w:tcW w:w="1134" w:type="dxa"/>
                  <w:vAlign w:val="center"/>
                </w:tcPr>
                <w:p w14:paraId="1EB7237C"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20.9</w:t>
                  </w:r>
                </w:p>
              </w:tc>
              <w:tc>
                <w:tcPr>
                  <w:tcW w:w="850" w:type="dxa"/>
                  <w:vAlign w:val="center"/>
                </w:tcPr>
                <w:p w14:paraId="72D91BFE"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23.9</w:t>
                  </w:r>
                </w:p>
              </w:tc>
              <w:tc>
                <w:tcPr>
                  <w:tcW w:w="1276" w:type="dxa"/>
                  <w:vAlign w:val="center"/>
                </w:tcPr>
                <w:p w14:paraId="0E13D836"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1.5</w:t>
                  </w:r>
                </w:p>
              </w:tc>
              <w:tc>
                <w:tcPr>
                  <w:tcW w:w="1270" w:type="dxa"/>
                  <w:vAlign w:val="center"/>
                </w:tcPr>
                <w:p w14:paraId="2A5A49B0"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10.4</w:t>
                  </w:r>
                </w:p>
              </w:tc>
              <w:tc>
                <w:tcPr>
                  <w:tcW w:w="1203" w:type="dxa"/>
                  <w:vAlign w:val="center"/>
                </w:tcPr>
                <w:p w14:paraId="64C9B602"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11.9</w:t>
                  </w:r>
                </w:p>
              </w:tc>
            </w:tr>
            <w:tr w:rsidR="009237AA" w:rsidRPr="00FF4B69" w14:paraId="6013990D" w14:textId="77777777" w:rsidTr="00286E68">
              <w:tc>
                <w:tcPr>
                  <w:tcW w:w="1101" w:type="dxa"/>
                  <w:vAlign w:val="center"/>
                </w:tcPr>
                <w:p w14:paraId="3D5EDCEA" w14:textId="77777777" w:rsidR="009237AA" w:rsidRPr="00B442FA"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ADA</w:t>
                  </w:r>
                </w:p>
              </w:tc>
              <w:tc>
                <w:tcPr>
                  <w:tcW w:w="878" w:type="dxa"/>
                  <w:vAlign w:val="center"/>
                </w:tcPr>
                <w:p w14:paraId="7B4DC5C3"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1.0</w:t>
                  </w:r>
                </w:p>
              </w:tc>
              <w:tc>
                <w:tcPr>
                  <w:tcW w:w="1134" w:type="dxa"/>
                  <w:vAlign w:val="center"/>
                </w:tcPr>
                <w:p w14:paraId="71A8B1FD"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25.0</w:t>
                  </w:r>
                </w:p>
              </w:tc>
              <w:tc>
                <w:tcPr>
                  <w:tcW w:w="850" w:type="dxa"/>
                  <w:vAlign w:val="center"/>
                </w:tcPr>
                <w:p w14:paraId="6FC12354"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26.0</w:t>
                  </w:r>
                </w:p>
              </w:tc>
              <w:tc>
                <w:tcPr>
                  <w:tcW w:w="1276" w:type="dxa"/>
                  <w:vAlign w:val="center"/>
                </w:tcPr>
                <w:p w14:paraId="5F75476C"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0.5</w:t>
                  </w:r>
                </w:p>
              </w:tc>
              <w:tc>
                <w:tcPr>
                  <w:tcW w:w="1270" w:type="dxa"/>
                  <w:vAlign w:val="center"/>
                </w:tcPr>
                <w:p w14:paraId="3141E875"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12.5</w:t>
                  </w:r>
                </w:p>
              </w:tc>
              <w:tc>
                <w:tcPr>
                  <w:tcW w:w="1203" w:type="dxa"/>
                  <w:vAlign w:val="center"/>
                </w:tcPr>
                <w:p w14:paraId="487F8B66"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13.0</w:t>
                  </w:r>
                </w:p>
              </w:tc>
            </w:tr>
            <w:tr w:rsidR="009237AA" w:rsidRPr="00FF4B69" w14:paraId="7C2E2434" w14:textId="77777777" w:rsidTr="00286E68">
              <w:tc>
                <w:tcPr>
                  <w:tcW w:w="1101" w:type="dxa"/>
                  <w:vAlign w:val="center"/>
                </w:tcPr>
                <w:p w14:paraId="6AE36F1F"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IFX IV</w:t>
                  </w:r>
                </w:p>
              </w:tc>
              <w:tc>
                <w:tcPr>
                  <w:tcW w:w="878" w:type="dxa"/>
                  <w:vAlign w:val="center"/>
                </w:tcPr>
                <w:p w14:paraId="322AEB9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3.0</w:t>
                  </w:r>
                </w:p>
              </w:tc>
              <w:tc>
                <w:tcPr>
                  <w:tcW w:w="1134" w:type="dxa"/>
                  <w:vAlign w:val="center"/>
                </w:tcPr>
                <w:p w14:paraId="339C5539"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11.3</w:t>
                  </w:r>
                </w:p>
              </w:tc>
              <w:tc>
                <w:tcPr>
                  <w:tcW w:w="850" w:type="dxa"/>
                  <w:vAlign w:val="center"/>
                </w:tcPr>
                <w:p w14:paraId="0F7E37FD"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14.3</w:t>
                  </w:r>
                </w:p>
              </w:tc>
              <w:tc>
                <w:tcPr>
                  <w:tcW w:w="1276" w:type="dxa"/>
                  <w:vAlign w:val="center"/>
                </w:tcPr>
                <w:p w14:paraId="783694F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1.5</w:t>
                  </w:r>
                </w:p>
              </w:tc>
              <w:tc>
                <w:tcPr>
                  <w:tcW w:w="1270" w:type="dxa"/>
                  <w:vAlign w:val="center"/>
                </w:tcPr>
                <w:p w14:paraId="60FCA596"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5.6</w:t>
                  </w:r>
                </w:p>
              </w:tc>
              <w:tc>
                <w:tcPr>
                  <w:tcW w:w="1203" w:type="dxa"/>
                  <w:vAlign w:val="center"/>
                </w:tcPr>
                <w:p w14:paraId="576942A2"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7.1</w:t>
                  </w:r>
                </w:p>
              </w:tc>
            </w:tr>
            <w:tr w:rsidR="009237AA" w:rsidRPr="00FF4B69" w14:paraId="3542A638" w14:textId="77777777" w:rsidTr="00286E68">
              <w:tc>
                <w:tcPr>
                  <w:tcW w:w="1101" w:type="dxa"/>
                  <w:vAlign w:val="center"/>
                </w:tcPr>
                <w:p w14:paraId="112FD98D"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IFX SC</w:t>
                  </w:r>
                </w:p>
              </w:tc>
              <w:tc>
                <w:tcPr>
                  <w:tcW w:w="878" w:type="dxa"/>
                  <w:vAlign w:val="center"/>
                </w:tcPr>
                <w:p w14:paraId="73B9B708"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w:t>
                  </w:r>
                </w:p>
              </w:tc>
              <w:tc>
                <w:tcPr>
                  <w:tcW w:w="1134" w:type="dxa"/>
                  <w:vAlign w:val="center"/>
                </w:tcPr>
                <w:p w14:paraId="36AFB2AE"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49.0</w:t>
                  </w:r>
                </w:p>
              </w:tc>
              <w:tc>
                <w:tcPr>
                  <w:tcW w:w="850" w:type="dxa"/>
                  <w:vAlign w:val="center"/>
                </w:tcPr>
                <w:p w14:paraId="0D6691F5"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49.0</w:t>
                  </w:r>
                </w:p>
              </w:tc>
              <w:tc>
                <w:tcPr>
                  <w:tcW w:w="1276" w:type="dxa"/>
                  <w:vAlign w:val="center"/>
                </w:tcPr>
                <w:p w14:paraId="32FA2831"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w:t>
                  </w:r>
                </w:p>
              </w:tc>
              <w:tc>
                <w:tcPr>
                  <w:tcW w:w="1270" w:type="dxa"/>
                  <w:vAlign w:val="center"/>
                </w:tcPr>
                <w:p w14:paraId="41E49E8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24.5</w:t>
                  </w:r>
                </w:p>
              </w:tc>
              <w:tc>
                <w:tcPr>
                  <w:tcW w:w="1203" w:type="dxa"/>
                  <w:vAlign w:val="center"/>
                </w:tcPr>
                <w:p w14:paraId="7AA2091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24.5</w:t>
                  </w:r>
                </w:p>
              </w:tc>
            </w:tr>
            <w:tr w:rsidR="009237AA" w:rsidRPr="00FF4B69" w14:paraId="581EC32B" w14:textId="77777777" w:rsidTr="00286E68">
              <w:tc>
                <w:tcPr>
                  <w:tcW w:w="1101" w:type="dxa"/>
                  <w:vAlign w:val="center"/>
                </w:tcPr>
                <w:p w14:paraId="58EF927A" w14:textId="77777777" w:rsidR="009237AA"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UPA</w:t>
                  </w:r>
                </w:p>
              </w:tc>
              <w:tc>
                <w:tcPr>
                  <w:tcW w:w="878" w:type="dxa"/>
                  <w:vAlign w:val="center"/>
                </w:tcPr>
                <w:p w14:paraId="79D32DE1"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3.0</w:t>
                  </w:r>
                </w:p>
              </w:tc>
              <w:tc>
                <w:tcPr>
                  <w:tcW w:w="1134" w:type="dxa"/>
                  <w:vAlign w:val="center"/>
                </w:tcPr>
                <w:p w14:paraId="35940F98"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23.0</w:t>
                  </w:r>
                </w:p>
              </w:tc>
              <w:tc>
                <w:tcPr>
                  <w:tcW w:w="850" w:type="dxa"/>
                  <w:vAlign w:val="center"/>
                </w:tcPr>
                <w:p w14:paraId="0C2701A1"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26.0</w:t>
                  </w:r>
                </w:p>
              </w:tc>
              <w:tc>
                <w:tcPr>
                  <w:tcW w:w="1276" w:type="dxa"/>
                  <w:vAlign w:val="center"/>
                </w:tcPr>
                <w:p w14:paraId="4F7634EF"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1.5</w:t>
                  </w:r>
                </w:p>
              </w:tc>
              <w:tc>
                <w:tcPr>
                  <w:tcW w:w="1270" w:type="dxa"/>
                  <w:vAlign w:val="center"/>
                </w:tcPr>
                <w:p w14:paraId="04D99E8D"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11.5</w:t>
                  </w:r>
                </w:p>
              </w:tc>
              <w:tc>
                <w:tcPr>
                  <w:tcW w:w="1203" w:type="dxa"/>
                  <w:vAlign w:val="center"/>
                </w:tcPr>
                <w:p w14:paraId="2BA44604"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13.0</w:t>
                  </w:r>
                </w:p>
              </w:tc>
            </w:tr>
            <w:tr w:rsidR="009237AA" w:rsidRPr="00FF4B69" w14:paraId="0DBFE1DE" w14:textId="77777777" w:rsidTr="00286E68">
              <w:tc>
                <w:tcPr>
                  <w:tcW w:w="1101" w:type="dxa"/>
                  <w:vAlign w:val="center"/>
                </w:tcPr>
                <w:p w14:paraId="2F323FE9"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UST 130 mg</w:t>
                  </w:r>
                </w:p>
              </w:tc>
              <w:tc>
                <w:tcPr>
                  <w:tcW w:w="878" w:type="dxa"/>
                  <w:vAlign w:val="center"/>
                </w:tcPr>
                <w:p w14:paraId="35CA87B7"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2.0</w:t>
                  </w:r>
                </w:p>
              </w:tc>
              <w:tc>
                <w:tcPr>
                  <w:tcW w:w="1134" w:type="dxa"/>
                  <w:vAlign w:val="center"/>
                </w:tcPr>
                <w:p w14:paraId="35C5488E"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sz w:val="18"/>
                      <w:szCs w:val="18"/>
                    </w:rPr>
                    <w:t>-</w:t>
                  </w:r>
                </w:p>
              </w:tc>
              <w:tc>
                <w:tcPr>
                  <w:tcW w:w="850" w:type="dxa"/>
                  <w:vAlign w:val="center"/>
                </w:tcPr>
                <w:p w14:paraId="6C7D3797"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2.0</w:t>
                  </w:r>
                </w:p>
              </w:tc>
              <w:tc>
                <w:tcPr>
                  <w:tcW w:w="1276" w:type="dxa"/>
                  <w:vAlign w:val="center"/>
                </w:tcPr>
                <w:p w14:paraId="1ACA8B0D"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1.0</w:t>
                  </w:r>
                </w:p>
              </w:tc>
              <w:tc>
                <w:tcPr>
                  <w:tcW w:w="1270" w:type="dxa"/>
                  <w:vAlign w:val="center"/>
                </w:tcPr>
                <w:p w14:paraId="67453A7A"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0.0</w:t>
                  </w:r>
                </w:p>
              </w:tc>
              <w:tc>
                <w:tcPr>
                  <w:tcW w:w="1203" w:type="dxa"/>
                  <w:vAlign w:val="center"/>
                </w:tcPr>
                <w:p w14:paraId="65E14278"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1.0</w:t>
                  </w:r>
                </w:p>
              </w:tc>
            </w:tr>
            <w:tr w:rsidR="009237AA" w:rsidRPr="00FF4B69" w14:paraId="628DB37F" w14:textId="77777777" w:rsidTr="00286E68">
              <w:tc>
                <w:tcPr>
                  <w:tcW w:w="1101" w:type="dxa"/>
                  <w:vAlign w:val="center"/>
                </w:tcPr>
                <w:p w14:paraId="1548C72F"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UST 45 mg</w:t>
                  </w:r>
                </w:p>
              </w:tc>
              <w:tc>
                <w:tcPr>
                  <w:tcW w:w="878" w:type="dxa"/>
                  <w:vAlign w:val="center"/>
                </w:tcPr>
                <w:p w14:paraId="240E1F22"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stheme="minorBidi"/>
                      <w:sz w:val="18"/>
                      <w:szCs w:val="18"/>
                    </w:rPr>
                    <w:t>-</w:t>
                  </w:r>
                </w:p>
              </w:tc>
              <w:tc>
                <w:tcPr>
                  <w:tcW w:w="1134" w:type="dxa"/>
                  <w:vAlign w:val="center"/>
                </w:tcPr>
                <w:p w14:paraId="4CCD12A6"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11.0</w:t>
                  </w:r>
                </w:p>
              </w:tc>
              <w:tc>
                <w:tcPr>
                  <w:tcW w:w="850" w:type="dxa"/>
                  <w:vAlign w:val="center"/>
                </w:tcPr>
                <w:p w14:paraId="72514617"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11.0</w:t>
                  </w:r>
                </w:p>
              </w:tc>
              <w:tc>
                <w:tcPr>
                  <w:tcW w:w="1276" w:type="dxa"/>
                  <w:vAlign w:val="center"/>
                </w:tcPr>
                <w:p w14:paraId="32FACDC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0.0</w:t>
                  </w:r>
                </w:p>
              </w:tc>
              <w:tc>
                <w:tcPr>
                  <w:tcW w:w="1270" w:type="dxa"/>
                  <w:vAlign w:val="center"/>
                </w:tcPr>
                <w:p w14:paraId="5AB42015"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5.5</w:t>
                  </w:r>
                </w:p>
              </w:tc>
              <w:tc>
                <w:tcPr>
                  <w:tcW w:w="1203" w:type="dxa"/>
                  <w:vAlign w:val="center"/>
                </w:tcPr>
                <w:p w14:paraId="4B3F9D98"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5.5</w:t>
                  </w:r>
                </w:p>
              </w:tc>
            </w:tr>
            <w:tr w:rsidR="009237AA" w:rsidRPr="00FF4B69" w14:paraId="2D8E5DB3" w14:textId="77777777" w:rsidTr="00286E68">
              <w:tc>
                <w:tcPr>
                  <w:tcW w:w="1101" w:type="dxa"/>
                  <w:vAlign w:val="center"/>
                </w:tcPr>
                <w:p w14:paraId="712C02D3"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VDZ IV</w:t>
                  </w:r>
                </w:p>
              </w:tc>
              <w:tc>
                <w:tcPr>
                  <w:tcW w:w="878" w:type="dxa"/>
                  <w:vAlign w:val="center"/>
                </w:tcPr>
                <w:p w14:paraId="407543E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3.0</w:t>
                  </w:r>
                </w:p>
              </w:tc>
              <w:tc>
                <w:tcPr>
                  <w:tcW w:w="1134" w:type="dxa"/>
                  <w:vAlign w:val="center"/>
                </w:tcPr>
                <w:p w14:paraId="6DB9BF8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11.3</w:t>
                  </w:r>
                </w:p>
              </w:tc>
              <w:tc>
                <w:tcPr>
                  <w:tcW w:w="850" w:type="dxa"/>
                  <w:vAlign w:val="center"/>
                </w:tcPr>
                <w:p w14:paraId="09F50E5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14.3</w:t>
                  </w:r>
                </w:p>
              </w:tc>
              <w:tc>
                <w:tcPr>
                  <w:tcW w:w="1276" w:type="dxa"/>
                  <w:vAlign w:val="center"/>
                </w:tcPr>
                <w:p w14:paraId="1932C125"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1.5</w:t>
                  </w:r>
                </w:p>
              </w:tc>
              <w:tc>
                <w:tcPr>
                  <w:tcW w:w="1270" w:type="dxa"/>
                  <w:vAlign w:val="center"/>
                </w:tcPr>
                <w:p w14:paraId="4B28771E"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5.6</w:t>
                  </w:r>
                </w:p>
              </w:tc>
              <w:tc>
                <w:tcPr>
                  <w:tcW w:w="1203" w:type="dxa"/>
                  <w:vAlign w:val="center"/>
                </w:tcPr>
                <w:p w14:paraId="6A6E8918"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7.1</w:t>
                  </w:r>
                </w:p>
              </w:tc>
            </w:tr>
            <w:tr w:rsidR="009237AA" w:rsidRPr="00FF4B69" w14:paraId="25C852D7" w14:textId="77777777" w:rsidTr="00286E68">
              <w:tc>
                <w:tcPr>
                  <w:tcW w:w="1101" w:type="dxa"/>
                  <w:vAlign w:val="center"/>
                </w:tcPr>
                <w:p w14:paraId="49AD58CB"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VDZ SC</w:t>
                  </w:r>
                </w:p>
              </w:tc>
              <w:tc>
                <w:tcPr>
                  <w:tcW w:w="878" w:type="dxa"/>
                  <w:vAlign w:val="center"/>
                </w:tcPr>
                <w:p w14:paraId="1A34498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2.0</w:t>
                  </w:r>
                </w:p>
              </w:tc>
              <w:tc>
                <w:tcPr>
                  <w:tcW w:w="1134" w:type="dxa"/>
                  <w:vAlign w:val="center"/>
                </w:tcPr>
                <w:p w14:paraId="62F48099"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49.0</w:t>
                  </w:r>
                </w:p>
              </w:tc>
              <w:tc>
                <w:tcPr>
                  <w:tcW w:w="850" w:type="dxa"/>
                  <w:vAlign w:val="center"/>
                </w:tcPr>
                <w:p w14:paraId="58F66A43"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51.0</w:t>
                  </w:r>
                </w:p>
              </w:tc>
              <w:tc>
                <w:tcPr>
                  <w:tcW w:w="1276" w:type="dxa"/>
                  <w:vAlign w:val="center"/>
                </w:tcPr>
                <w:p w14:paraId="00576FC6"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1.0</w:t>
                  </w:r>
                </w:p>
              </w:tc>
              <w:tc>
                <w:tcPr>
                  <w:tcW w:w="1270" w:type="dxa"/>
                  <w:vAlign w:val="center"/>
                </w:tcPr>
                <w:p w14:paraId="3567B3D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24.5</w:t>
                  </w:r>
                </w:p>
              </w:tc>
              <w:tc>
                <w:tcPr>
                  <w:tcW w:w="1203" w:type="dxa"/>
                  <w:vAlign w:val="center"/>
                </w:tcPr>
                <w:p w14:paraId="666AAEFF"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25.5</w:t>
                  </w:r>
                </w:p>
              </w:tc>
            </w:tr>
          </w:tbl>
          <w:p w14:paraId="1F24152B" w14:textId="77777777" w:rsidR="009237AA" w:rsidRDefault="009237AA" w:rsidP="00286E68">
            <w:pPr>
              <w:widowControl w:val="0"/>
              <w:jc w:val="left"/>
              <w:rPr>
                <w:rFonts w:ascii="Arial Narrow" w:hAnsi="Arial Narrow"/>
                <w:sz w:val="20"/>
                <w:szCs w:val="20"/>
                <w:u w:val="single"/>
              </w:rPr>
            </w:pPr>
          </w:p>
          <w:p w14:paraId="111ED2A8" w14:textId="570903E2" w:rsidR="00731E86" w:rsidRPr="008A2601" w:rsidRDefault="008A6416" w:rsidP="00CD5370">
            <w:pPr>
              <w:widowControl w:val="0"/>
              <w:jc w:val="left"/>
              <w:rPr>
                <w:rFonts w:ascii="Arial Narrow" w:hAnsi="Arial Narrow"/>
                <w:sz w:val="20"/>
                <w:szCs w:val="20"/>
              </w:rPr>
            </w:pPr>
            <w:r w:rsidRPr="008A2601">
              <w:rPr>
                <w:rFonts w:ascii="Arial Narrow" w:hAnsi="Arial Narrow"/>
                <w:sz w:val="20"/>
                <w:szCs w:val="20"/>
              </w:rPr>
              <w:t xml:space="preserve">The submission incorrectly applied the script equivalence for medicines where the maximum quantity units in the PBS restriction is greater than one. For example, IFX 120 mg SC (Rows 159-161 of Attachment 4.1) is for a maximum quantity of two units and is dosed every two weeks. Consequently, for one dispensing, the supply will last 4 weeks and the number of maintenance scripts for IFX injection 120 mg will be 25 instead of 49. </w:t>
            </w:r>
          </w:p>
        </w:tc>
      </w:tr>
      <w:tr w:rsidR="009237AA" w:rsidRPr="008010B1" w14:paraId="54411E5F" w14:textId="77777777" w:rsidTr="00286E68">
        <w:tc>
          <w:tcPr>
            <w:tcW w:w="687" w:type="pct"/>
            <w:tcBorders>
              <w:top w:val="single" w:sz="4" w:space="0" w:color="auto"/>
              <w:left w:val="single" w:sz="4" w:space="0" w:color="auto"/>
              <w:bottom w:val="single" w:sz="4" w:space="0" w:color="auto"/>
              <w:right w:val="single" w:sz="4" w:space="0" w:color="auto"/>
            </w:tcBorders>
          </w:tcPr>
          <w:p w14:paraId="78E39D70" w14:textId="77777777" w:rsidR="009237AA" w:rsidRPr="0042241F" w:rsidRDefault="009237AA" w:rsidP="00286E68">
            <w:pPr>
              <w:widowControl w:val="0"/>
              <w:jc w:val="left"/>
              <w:rPr>
                <w:rFonts w:ascii="Arial Narrow" w:hAnsi="Arial Narrow"/>
                <w:sz w:val="20"/>
                <w:szCs w:val="20"/>
              </w:rPr>
            </w:pPr>
            <w:r>
              <w:rPr>
                <w:rFonts w:ascii="Arial Narrow" w:hAnsi="Arial Narrow"/>
                <w:sz w:val="20"/>
                <w:szCs w:val="20"/>
              </w:rPr>
              <w:t>Number of scripts</w:t>
            </w:r>
          </w:p>
        </w:tc>
        <w:tc>
          <w:tcPr>
            <w:tcW w:w="4313" w:type="pct"/>
            <w:tcBorders>
              <w:top w:val="single" w:sz="4" w:space="0" w:color="auto"/>
              <w:left w:val="single" w:sz="4" w:space="0" w:color="auto"/>
              <w:bottom w:val="single" w:sz="4" w:space="0" w:color="auto"/>
              <w:right w:val="single" w:sz="4" w:space="0" w:color="auto"/>
            </w:tcBorders>
          </w:tcPr>
          <w:p w14:paraId="4F1BBE2F" w14:textId="77777777" w:rsidR="009237AA" w:rsidRPr="005368E5" w:rsidRDefault="009237AA" w:rsidP="00286E68">
            <w:pPr>
              <w:widowControl w:val="0"/>
              <w:jc w:val="left"/>
              <w:rPr>
                <w:rFonts w:ascii="Arial Narrow" w:hAnsi="Arial Narrow"/>
                <w:sz w:val="20"/>
                <w:szCs w:val="20"/>
              </w:rPr>
            </w:pPr>
            <w:r>
              <w:rPr>
                <w:rFonts w:ascii="Arial Narrow" w:hAnsi="Arial Narrow"/>
                <w:sz w:val="20"/>
                <w:szCs w:val="20"/>
                <w:u w:val="single"/>
              </w:rPr>
              <w:t xml:space="preserve">Expected GUS utilisation: </w:t>
            </w:r>
            <w:r>
              <w:rPr>
                <w:rFonts w:ascii="Arial Narrow" w:hAnsi="Arial Narrow"/>
                <w:sz w:val="20"/>
                <w:szCs w:val="20"/>
              </w:rPr>
              <w:t>The estimated total script numbers for GUS was based on the assumed substitution rates and script equivalence by initial and continuing treatment</w:t>
            </w:r>
          </w:p>
          <w:p w14:paraId="765BEB82" w14:textId="357E5954" w:rsidR="009237AA" w:rsidRPr="00AA376C" w:rsidRDefault="009237AA" w:rsidP="00286E68">
            <w:pPr>
              <w:widowControl w:val="0"/>
              <w:jc w:val="left"/>
              <w:rPr>
                <w:rFonts w:ascii="Arial Narrow" w:hAnsi="Arial Narrow"/>
                <w:i/>
                <w:iCs/>
                <w:sz w:val="20"/>
                <w:szCs w:val="20"/>
              </w:rPr>
            </w:pPr>
            <w:r w:rsidRPr="008010B1">
              <w:rPr>
                <w:rFonts w:ascii="Arial Narrow" w:hAnsi="Arial Narrow"/>
                <w:sz w:val="20"/>
                <w:szCs w:val="20"/>
                <w:u w:val="single"/>
              </w:rPr>
              <w:t>Grandfathered patients</w:t>
            </w:r>
            <w:r w:rsidRPr="008010B1">
              <w:rPr>
                <w:rFonts w:ascii="Arial Narrow" w:hAnsi="Arial Narrow"/>
                <w:sz w:val="20"/>
                <w:szCs w:val="20"/>
              </w:rPr>
              <w:t>:</w:t>
            </w:r>
            <w:r>
              <w:rPr>
                <w:rFonts w:ascii="Arial Narrow" w:hAnsi="Arial Narrow"/>
                <w:sz w:val="20"/>
                <w:szCs w:val="20"/>
              </w:rPr>
              <w:t xml:space="preserve"> The submission stated  that the sponsor requested a grandfathering restriction for the expected 22 patients from the GALAXI trials and further 463 patients from an anticipated early access program (EAP) to transition to PBS. The financial estimates accounted for the grandfathered patients in the market share of the total scripts in severe CD.</w:t>
            </w:r>
          </w:p>
          <w:p w14:paraId="54C9940A" w14:textId="2172CA19" w:rsidR="00CD5370" w:rsidRPr="00CD5370" w:rsidRDefault="009237AA" w:rsidP="00F949E0">
            <w:pPr>
              <w:widowControl w:val="0"/>
              <w:jc w:val="left"/>
              <w:rPr>
                <w:rFonts w:ascii="Arial Narrow" w:hAnsi="Arial Narrow"/>
                <w:i/>
                <w:iCs/>
                <w:sz w:val="20"/>
                <w:szCs w:val="20"/>
              </w:rPr>
            </w:pPr>
            <w:r>
              <w:rPr>
                <w:rFonts w:ascii="Arial Narrow" w:hAnsi="Arial Narrow"/>
                <w:sz w:val="20"/>
                <w:szCs w:val="20"/>
                <w:u w:val="single"/>
              </w:rPr>
              <w:t>Substituted scripts:</w:t>
            </w:r>
            <w:r>
              <w:rPr>
                <w:rFonts w:ascii="Arial Narrow" w:hAnsi="Arial Narrow"/>
                <w:sz w:val="20"/>
                <w:szCs w:val="20"/>
              </w:rPr>
              <w:t xml:space="preserve"> The estimated number of substituted scripts was based on the assumed uptake of GUS and the projected number of scripts for the PBS-listed comparator biologics.</w:t>
            </w:r>
          </w:p>
        </w:tc>
      </w:tr>
      <w:tr w:rsidR="009237AA" w:rsidRPr="008010B1" w14:paraId="154AFC92" w14:textId="77777777" w:rsidTr="00286E68">
        <w:tc>
          <w:tcPr>
            <w:tcW w:w="5000" w:type="pct"/>
            <w:gridSpan w:val="2"/>
            <w:tcBorders>
              <w:top w:val="single" w:sz="4" w:space="0" w:color="auto"/>
              <w:left w:val="single" w:sz="4" w:space="0" w:color="auto"/>
              <w:bottom w:val="single" w:sz="4" w:space="0" w:color="auto"/>
              <w:right w:val="single" w:sz="4" w:space="0" w:color="auto"/>
            </w:tcBorders>
            <w:vAlign w:val="center"/>
          </w:tcPr>
          <w:p w14:paraId="6136FB13" w14:textId="77777777" w:rsidR="009237AA" w:rsidRPr="009F095D" w:rsidRDefault="009237AA" w:rsidP="00286E68">
            <w:pPr>
              <w:widowControl w:val="0"/>
              <w:jc w:val="left"/>
              <w:rPr>
                <w:rFonts w:ascii="Arial Narrow" w:hAnsi="Arial Narrow"/>
                <w:b/>
                <w:bCs/>
                <w:sz w:val="20"/>
                <w:szCs w:val="20"/>
              </w:rPr>
            </w:pPr>
            <w:r>
              <w:rPr>
                <w:rFonts w:ascii="Arial Narrow" w:hAnsi="Arial Narrow"/>
                <w:b/>
                <w:bCs/>
                <w:sz w:val="20"/>
                <w:szCs w:val="20"/>
              </w:rPr>
              <w:t>Cost of medicines</w:t>
            </w:r>
          </w:p>
        </w:tc>
      </w:tr>
      <w:tr w:rsidR="009237AA" w:rsidRPr="008010B1" w14:paraId="121AD634" w14:textId="77777777" w:rsidTr="00286E68">
        <w:tc>
          <w:tcPr>
            <w:tcW w:w="687" w:type="pct"/>
            <w:tcBorders>
              <w:top w:val="single" w:sz="4" w:space="0" w:color="auto"/>
              <w:left w:val="single" w:sz="4" w:space="0" w:color="auto"/>
              <w:bottom w:val="single" w:sz="4" w:space="0" w:color="auto"/>
              <w:right w:val="single" w:sz="4" w:space="0" w:color="auto"/>
            </w:tcBorders>
          </w:tcPr>
          <w:p w14:paraId="78C81965" w14:textId="77777777" w:rsidR="009237AA" w:rsidRPr="0042241F" w:rsidRDefault="009237AA" w:rsidP="00286E68">
            <w:pPr>
              <w:widowControl w:val="0"/>
              <w:jc w:val="left"/>
              <w:rPr>
                <w:rFonts w:ascii="Arial Narrow" w:hAnsi="Arial Narrow"/>
                <w:sz w:val="20"/>
                <w:szCs w:val="20"/>
              </w:rPr>
            </w:pPr>
            <w:r>
              <w:rPr>
                <w:rFonts w:ascii="Arial Narrow" w:hAnsi="Arial Narrow"/>
                <w:sz w:val="20"/>
                <w:szCs w:val="20"/>
              </w:rPr>
              <w:t>GUS</w:t>
            </w:r>
          </w:p>
        </w:tc>
        <w:tc>
          <w:tcPr>
            <w:tcW w:w="4313" w:type="pct"/>
            <w:tcBorders>
              <w:top w:val="single" w:sz="4" w:space="0" w:color="auto"/>
              <w:left w:val="single" w:sz="4" w:space="0" w:color="auto"/>
              <w:bottom w:val="single" w:sz="4" w:space="0" w:color="auto"/>
              <w:right w:val="single" w:sz="4" w:space="0" w:color="auto"/>
            </w:tcBorders>
          </w:tcPr>
          <w:p w14:paraId="5A9B47B5" w14:textId="4B35AB94" w:rsidR="009237AA" w:rsidRPr="008010B1" w:rsidRDefault="009237AA" w:rsidP="00E158FE">
            <w:pPr>
              <w:widowControl w:val="0"/>
              <w:jc w:val="left"/>
              <w:rPr>
                <w:rFonts w:ascii="Arial Narrow" w:hAnsi="Arial Narrow"/>
                <w:sz w:val="20"/>
                <w:szCs w:val="20"/>
                <w:u w:val="single"/>
              </w:rPr>
            </w:pPr>
            <w:r>
              <w:rPr>
                <w:rFonts w:ascii="Arial Narrow" w:hAnsi="Arial Narrow"/>
                <w:sz w:val="20"/>
                <w:szCs w:val="20"/>
              </w:rPr>
              <w:t xml:space="preserve">The requested </w:t>
            </w:r>
            <w:r w:rsidR="00E158FE">
              <w:rPr>
                <w:rFonts w:ascii="Arial Narrow" w:hAnsi="Arial Narrow"/>
                <w:sz w:val="20"/>
                <w:szCs w:val="20"/>
              </w:rPr>
              <w:t xml:space="preserve">effective </w:t>
            </w:r>
            <w:r>
              <w:rPr>
                <w:rFonts w:ascii="Arial Narrow" w:hAnsi="Arial Narrow"/>
                <w:sz w:val="20"/>
                <w:szCs w:val="20"/>
              </w:rPr>
              <w:t>prices of GUS for severe C</w:t>
            </w:r>
            <w:r w:rsidR="00E158FE">
              <w:rPr>
                <w:rFonts w:ascii="Arial Narrow" w:hAnsi="Arial Narrow"/>
                <w:sz w:val="20"/>
                <w:szCs w:val="20"/>
              </w:rPr>
              <w:t>D.</w:t>
            </w:r>
          </w:p>
        </w:tc>
      </w:tr>
      <w:tr w:rsidR="009237AA" w:rsidRPr="008010B1" w14:paraId="7CB320E9" w14:textId="77777777" w:rsidTr="00286E68">
        <w:tc>
          <w:tcPr>
            <w:tcW w:w="687" w:type="pct"/>
            <w:tcBorders>
              <w:top w:val="single" w:sz="4" w:space="0" w:color="auto"/>
              <w:left w:val="single" w:sz="4" w:space="0" w:color="auto"/>
              <w:bottom w:val="single" w:sz="4" w:space="0" w:color="auto"/>
              <w:right w:val="single" w:sz="4" w:space="0" w:color="auto"/>
            </w:tcBorders>
          </w:tcPr>
          <w:p w14:paraId="2A984E80" w14:textId="77777777" w:rsidR="009237AA" w:rsidRPr="0042241F" w:rsidRDefault="009237AA" w:rsidP="00286E68">
            <w:pPr>
              <w:widowControl w:val="0"/>
              <w:jc w:val="left"/>
              <w:rPr>
                <w:rFonts w:ascii="Arial Narrow" w:hAnsi="Arial Narrow"/>
                <w:sz w:val="20"/>
                <w:szCs w:val="20"/>
              </w:rPr>
            </w:pPr>
            <w:r>
              <w:rPr>
                <w:rFonts w:ascii="Arial Narrow" w:hAnsi="Arial Narrow"/>
                <w:sz w:val="20"/>
                <w:szCs w:val="20"/>
              </w:rPr>
              <w:t>Comparator b/</w:t>
            </w:r>
            <w:proofErr w:type="spellStart"/>
            <w:r>
              <w:rPr>
                <w:rFonts w:ascii="Arial Narrow" w:hAnsi="Arial Narrow"/>
                <w:sz w:val="20"/>
                <w:szCs w:val="20"/>
              </w:rPr>
              <w:t>tsDMARDs</w:t>
            </w:r>
            <w:proofErr w:type="spellEnd"/>
          </w:p>
        </w:tc>
        <w:tc>
          <w:tcPr>
            <w:tcW w:w="4313" w:type="pct"/>
            <w:tcBorders>
              <w:top w:val="single" w:sz="4" w:space="0" w:color="auto"/>
              <w:left w:val="single" w:sz="4" w:space="0" w:color="auto"/>
              <w:bottom w:val="single" w:sz="4" w:space="0" w:color="auto"/>
              <w:right w:val="single" w:sz="4" w:space="0" w:color="auto"/>
            </w:tcBorders>
          </w:tcPr>
          <w:p w14:paraId="5E339A4B" w14:textId="65043237" w:rsidR="009237AA" w:rsidRPr="002122EC" w:rsidRDefault="009237AA" w:rsidP="00E158FE">
            <w:pPr>
              <w:widowControl w:val="0"/>
              <w:jc w:val="left"/>
              <w:rPr>
                <w:rFonts w:ascii="Arial Narrow" w:hAnsi="Arial Narrow"/>
                <w:i/>
                <w:iCs/>
                <w:sz w:val="20"/>
                <w:szCs w:val="20"/>
              </w:rPr>
            </w:pPr>
            <w:r>
              <w:rPr>
                <w:rFonts w:ascii="Arial Narrow" w:hAnsi="Arial Narrow"/>
                <w:sz w:val="20"/>
                <w:szCs w:val="20"/>
              </w:rPr>
              <w:t>The</w:t>
            </w:r>
            <w:r w:rsidR="00E158FE">
              <w:rPr>
                <w:rFonts w:ascii="Arial Narrow" w:hAnsi="Arial Narrow"/>
                <w:sz w:val="20"/>
                <w:szCs w:val="20"/>
              </w:rPr>
              <w:t xml:space="preserve"> estimated effective</w:t>
            </w:r>
            <w:r>
              <w:rPr>
                <w:rFonts w:ascii="Arial Narrow" w:hAnsi="Arial Narrow"/>
                <w:sz w:val="20"/>
                <w:szCs w:val="20"/>
              </w:rPr>
              <w:t xml:space="preserve"> prices of PBS items for comparator biologics in severe CD</w:t>
            </w:r>
            <w:r w:rsidR="00E158FE">
              <w:rPr>
                <w:rFonts w:ascii="Arial Narrow" w:hAnsi="Arial Narrow"/>
                <w:sz w:val="20"/>
                <w:szCs w:val="20"/>
              </w:rPr>
              <w:t>.</w:t>
            </w:r>
            <w:r w:rsidR="002122EC">
              <w:rPr>
                <w:rFonts w:ascii="Arial Narrow" w:hAnsi="Arial Narrow"/>
                <w:sz w:val="20"/>
                <w:szCs w:val="20"/>
              </w:rPr>
              <w:t xml:space="preserve"> </w:t>
            </w:r>
            <w:r w:rsidR="002122EC" w:rsidRPr="008A2601">
              <w:rPr>
                <w:rFonts w:ascii="Arial Narrow" w:hAnsi="Arial Narrow"/>
                <w:sz w:val="20"/>
                <w:szCs w:val="20"/>
              </w:rPr>
              <w:t xml:space="preserve">The submission incorrectly applied average public/private </w:t>
            </w:r>
            <w:r w:rsidR="002A1180" w:rsidRPr="008A2601">
              <w:rPr>
                <w:rFonts w:ascii="Arial Narrow" w:hAnsi="Arial Narrow"/>
                <w:sz w:val="20"/>
                <w:szCs w:val="20"/>
              </w:rPr>
              <w:t>DPMQs</w:t>
            </w:r>
            <w:r w:rsidR="002122EC" w:rsidRPr="008A2601">
              <w:rPr>
                <w:rFonts w:ascii="Arial Narrow" w:hAnsi="Arial Narrow"/>
                <w:sz w:val="20"/>
                <w:szCs w:val="20"/>
              </w:rPr>
              <w:t xml:space="preserve"> of script </w:t>
            </w:r>
            <w:r w:rsidR="005719FE" w:rsidRPr="008A2601">
              <w:rPr>
                <w:rFonts w:ascii="Arial Narrow" w:hAnsi="Arial Narrow"/>
                <w:sz w:val="20"/>
                <w:szCs w:val="20"/>
              </w:rPr>
              <w:t>to the total of both public and private script volumes.</w:t>
            </w:r>
            <w:r w:rsidR="002122EC" w:rsidRPr="008A2601">
              <w:rPr>
                <w:rFonts w:ascii="Arial Narrow" w:hAnsi="Arial Narrow"/>
                <w:sz w:val="20"/>
                <w:szCs w:val="20"/>
              </w:rPr>
              <w:t xml:space="preserve"> </w:t>
            </w:r>
            <w:r w:rsidR="0098191B" w:rsidRPr="008A2601">
              <w:rPr>
                <w:rFonts w:ascii="Arial Narrow" w:hAnsi="Arial Narrow"/>
                <w:sz w:val="20"/>
                <w:szCs w:val="20"/>
              </w:rPr>
              <w:t xml:space="preserve">There were also </w:t>
            </w:r>
            <w:proofErr w:type="gramStart"/>
            <w:r w:rsidR="0098191B" w:rsidRPr="008A2601">
              <w:rPr>
                <w:rFonts w:ascii="Arial Narrow" w:hAnsi="Arial Narrow"/>
                <w:sz w:val="20"/>
                <w:szCs w:val="20"/>
              </w:rPr>
              <w:t xml:space="preserve">a </w:t>
            </w:r>
            <w:r w:rsidR="00893123" w:rsidRPr="008A2601">
              <w:rPr>
                <w:rFonts w:ascii="Arial Narrow" w:hAnsi="Arial Narrow"/>
                <w:sz w:val="20"/>
                <w:szCs w:val="20"/>
              </w:rPr>
              <w:t>number of</w:t>
            </w:r>
            <w:proofErr w:type="gramEnd"/>
            <w:r w:rsidR="0098191B" w:rsidRPr="008A2601">
              <w:rPr>
                <w:rFonts w:ascii="Arial Narrow" w:hAnsi="Arial Narrow"/>
                <w:sz w:val="20"/>
                <w:szCs w:val="20"/>
              </w:rPr>
              <w:t xml:space="preserve"> discrepancies between the included DPMQs and max quantity and their current PBS schedule.</w:t>
            </w:r>
          </w:p>
        </w:tc>
      </w:tr>
      <w:tr w:rsidR="009237AA" w:rsidRPr="008010B1" w14:paraId="6A090C82" w14:textId="77777777" w:rsidTr="00286E68">
        <w:tc>
          <w:tcPr>
            <w:tcW w:w="687" w:type="pct"/>
            <w:tcBorders>
              <w:top w:val="single" w:sz="4" w:space="0" w:color="auto"/>
              <w:left w:val="single" w:sz="4" w:space="0" w:color="auto"/>
              <w:bottom w:val="single" w:sz="4" w:space="0" w:color="auto"/>
              <w:right w:val="single" w:sz="4" w:space="0" w:color="auto"/>
            </w:tcBorders>
          </w:tcPr>
          <w:p w14:paraId="7F027989" w14:textId="77777777" w:rsidR="009237AA" w:rsidRDefault="009237AA" w:rsidP="00286E68">
            <w:pPr>
              <w:widowControl w:val="0"/>
              <w:jc w:val="left"/>
              <w:rPr>
                <w:rFonts w:ascii="Arial Narrow" w:hAnsi="Arial Narrow"/>
                <w:sz w:val="20"/>
                <w:szCs w:val="20"/>
              </w:rPr>
            </w:pPr>
            <w:r>
              <w:rPr>
                <w:rFonts w:ascii="Arial Narrow" w:hAnsi="Arial Narrow"/>
                <w:sz w:val="20"/>
                <w:szCs w:val="20"/>
              </w:rPr>
              <w:t>Patient co-payment</w:t>
            </w:r>
          </w:p>
        </w:tc>
        <w:tc>
          <w:tcPr>
            <w:tcW w:w="4313" w:type="pct"/>
            <w:tcBorders>
              <w:top w:val="single" w:sz="4" w:space="0" w:color="auto"/>
              <w:left w:val="single" w:sz="4" w:space="0" w:color="auto"/>
              <w:bottom w:val="single" w:sz="4" w:space="0" w:color="auto"/>
              <w:right w:val="single" w:sz="4" w:space="0" w:color="auto"/>
            </w:tcBorders>
          </w:tcPr>
          <w:p w14:paraId="42B33996" w14:textId="7756A0BE" w:rsidR="009237AA" w:rsidRDefault="009237AA" w:rsidP="00286E68">
            <w:pPr>
              <w:widowControl w:val="0"/>
              <w:jc w:val="left"/>
              <w:rPr>
                <w:rFonts w:ascii="Arial Narrow" w:hAnsi="Arial Narrow"/>
                <w:sz w:val="20"/>
                <w:szCs w:val="20"/>
              </w:rPr>
            </w:pPr>
            <w:r>
              <w:rPr>
                <w:rFonts w:ascii="Arial Narrow" w:hAnsi="Arial Narrow"/>
                <w:sz w:val="20"/>
                <w:szCs w:val="20"/>
              </w:rPr>
              <w:t xml:space="preserve">PBS: </w:t>
            </w:r>
            <w:r w:rsidRPr="002F69A6">
              <w:rPr>
                <w:rFonts w:ascii="Arial Narrow" w:hAnsi="Arial Narrow"/>
                <w:sz w:val="20"/>
                <w:szCs w:val="20"/>
              </w:rPr>
              <w:t>$41.30</w:t>
            </w:r>
            <w:r w:rsidR="00E158FE">
              <w:rPr>
                <w:rFonts w:ascii="Arial Narrow" w:hAnsi="Arial Narrow"/>
                <w:sz w:val="20"/>
                <w:szCs w:val="20"/>
              </w:rPr>
              <w:t xml:space="preserve">, </w:t>
            </w:r>
            <w:r>
              <w:rPr>
                <w:rFonts w:ascii="Arial Narrow" w:hAnsi="Arial Narrow"/>
                <w:sz w:val="20"/>
                <w:szCs w:val="20"/>
              </w:rPr>
              <w:t xml:space="preserve">RPBS: </w:t>
            </w:r>
            <w:r w:rsidRPr="002F69A6">
              <w:rPr>
                <w:rFonts w:ascii="Arial Narrow" w:hAnsi="Arial Narrow"/>
                <w:sz w:val="20"/>
                <w:szCs w:val="20"/>
              </w:rPr>
              <w:t>$6.60</w:t>
            </w:r>
          </w:p>
          <w:p w14:paraId="70B4FADE" w14:textId="517D7935" w:rsidR="009237AA" w:rsidRPr="002122EC" w:rsidRDefault="009237AA" w:rsidP="00286E68">
            <w:pPr>
              <w:widowControl w:val="0"/>
              <w:jc w:val="left"/>
              <w:rPr>
                <w:rFonts w:ascii="Arial Narrow" w:hAnsi="Arial Narrow"/>
                <w:i/>
                <w:iCs/>
                <w:sz w:val="20"/>
                <w:szCs w:val="20"/>
              </w:rPr>
            </w:pPr>
            <w:r>
              <w:rPr>
                <w:rFonts w:ascii="Arial Narrow" w:hAnsi="Arial Narrow"/>
                <w:sz w:val="20"/>
                <w:szCs w:val="20"/>
              </w:rPr>
              <w:t xml:space="preserve">Based on PBS/RPBS script volume for comparator biologics (ADA, IFX, UPA, UST and VDZ) for 2024. </w:t>
            </w:r>
            <w:r w:rsidR="002122EC" w:rsidRPr="008A2601">
              <w:rPr>
                <w:rFonts w:ascii="Arial Narrow" w:hAnsi="Arial Narrow"/>
                <w:sz w:val="20"/>
                <w:szCs w:val="20"/>
              </w:rPr>
              <w:t>The calculated co-payments are inconsistent with current amounts (PBS: $31.60 and RPBS: 7.70).</w:t>
            </w:r>
          </w:p>
        </w:tc>
      </w:tr>
      <w:tr w:rsidR="009237AA" w:rsidRPr="008010B1" w14:paraId="02C9E3F6" w14:textId="77777777" w:rsidTr="00286E68">
        <w:tc>
          <w:tcPr>
            <w:tcW w:w="687" w:type="pct"/>
            <w:tcBorders>
              <w:top w:val="single" w:sz="4" w:space="0" w:color="auto"/>
              <w:left w:val="single" w:sz="4" w:space="0" w:color="auto"/>
              <w:bottom w:val="single" w:sz="4" w:space="0" w:color="auto"/>
              <w:right w:val="single" w:sz="4" w:space="0" w:color="auto"/>
            </w:tcBorders>
          </w:tcPr>
          <w:p w14:paraId="7831CCC9" w14:textId="77777777" w:rsidR="009237AA" w:rsidRDefault="009237AA" w:rsidP="00286E68">
            <w:pPr>
              <w:widowControl w:val="0"/>
              <w:jc w:val="left"/>
              <w:rPr>
                <w:rFonts w:ascii="Arial Narrow" w:hAnsi="Arial Narrow"/>
                <w:sz w:val="20"/>
                <w:szCs w:val="20"/>
              </w:rPr>
            </w:pPr>
            <w:r>
              <w:rPr>
                <w:rFonts w:ascii="Arial Narrow" w:hAnsi="Arial Narrow"/>
                <w:sz w:val="20"/>
                <w:szCs w:val="20"/>
              </w:rPr>
              <w:t>MBS item</w:t>
            </w:r>
          </w:p>
        </w:tc>
        <w:tc>
          <w:tcPr>
            <w:tcW w:w="4313" w:type="pct"/>
            <w:tcBorders>
              <w:top w:val="single" w:sz="4" w:space="0" w:color="auto"/>
              <w:left w:val="single" w:sz="4" w:space="0" w:color="auto"/>
              <w:bottom w:val="single" w:sz="4" w:space="0" w:color="auto"/>
              <w:right w:val="single" w:sz="4" w:space="0" w:color="auto"/>
            </w:tcBorders>
          </w:tcPr>
          <w:p w14:paraId="298A3B00" w14:textId="77777777" w:rsidR="009237AA" w:rsidRDefault="009237AA" w:rsidP="00286E68">
            <w:pPr>
              <w:widowControl w:val="0"/>
              <w:jc w:val="left"/>
              <w:rPr>
                <w:rFonts w:ascii="Arial Narrow" w:hAnsi="Arial Narrow"/>
                <w:sz w:val="20"/>
                <w:szCs w:val="20"/>
              </w:rPr>
            </w:pPr>
            <w:r w:rsidRPr="002F69A6">
              <w:rPr>
                <w:rFonts w:ascii="Arial Narrow" w:hAnsi="Arial Narrow"/>
                <w:sz w:val="20"/>
                <w:szCs w:val="20"/>
              </w:rPr>
              <w:t>$116.60</w:t>
            </w:r>
            <w:r>
              <w:rPr>
                <w:rFonts w:ascii="Arial Narrow" w:hAnsi="Arial Narrow"/>
                <w:sz w:val="20"/>
                <w:szCs w:val="20"/>
              </w:rPr>
              <w:t xml:space="preserve"> </w:t>
            </w:r>
          </w:p>
          <w:p w14:paraId="37062BC5" w14:textId="77777777" w:rsidR="009237AA" w:rsidRDefault="009237AA" w:rsidP="00286E68">
            <w:pPr>
              <w:widowControl w:val="0"/>
              <w:jc w:val="left"/>
              <w:rPr>
                <w:rFonts w:ascii="Arial Narrow" w:hAnsi="Arial Narrow"/>
                <w:sz w:val="20"/>
                <w:szCs w:val="20"/>
              </w:rPr>
            </w:pPr>
            <w:r>
              <w:rPr>
                <w:rFonts w:ascii="Arial Narrow" w:hAnsi="Arial Narrow"/>
                <w:sz w:val="20"/>
                <w:szCs w:val="20"/>
              </w:rPr>
              <w:t xml:space="preserve">MBS item 14245 </w:t>
            </w:r>
            <w:r w:rsidRPr="002F69A6">
              <w:rPr>
                <w:rFonts w:ascii="Arial Narrow" w:hAnsi="Arial Narrow"/>
                <w:sz w:val="20"/>
                <w:szCs w:val="20"/>
              </w:rPr>
              <w:t>administration of intravenous infusion</w:t>
            </w:r>
            <w:r>
              <w:rPr>
                <w:rFonts w:ascii="Arial Narrow" w:hAnsi="Arial Narrow"/>
                <w:sz w:val="20"/>
                <w:szCs w:val="20"/>
              </w:rPr>
              <w:t>.</w:t>
            </w:r>
          </w:p>
        </w:tc>
      </w:tr>
    </w:tbl>
    <w:p w14:paraId="163AFB1C" w14:textId="77777777" w:rsidR="009237AA" w:rsidRDefault="009237AA" w:rsidP="009237AA">
      <w:pPr>
        <w:rPr>
          <w:rFonts w:ascii="Arial Narrow" w:hAnsi="Arial Narrow"/>
          <w:sz w:val="18"/>
          <w:szCs w:val="18"/>
        </w:rPr>
      </w:pPr>
      <w:r w:rsidRPr="009F095D">
        <w:rPr>
          <w:rFonts w:ascii="Arial Narrow" w:hAnsi="Arial Narrow"/>
          <w:sz w:val="18"/>
          <w:szCs w:val="18"/>
        </w:rPr>
        <w:t>Source: Tables 4.6 to 4.9, pp420-422, Tables 4.10 and 4.11, pp424-425 of the submission</w:t>
      </w:r>
      <w:r>
        <w:rPr>
          <w:rFonts w:ascii="Arial Narrow" w:hAnsi="Arial Narrow"/>
          <w:sz w:val="18"/>
          <w:szCs w:val="18"/>
        </w:rPr>
        <w:t>, Attachment 4.1 USM Tremfya CD Jul-25 Base (1 of 3).xlsx, Attachment 4.2 USM Tremfya CD Jul-25 Base (2 of 3).xlsx and Attachment 4.3 USM Tremfya CD Jul-25 Base (3 of 3).xlsx.</w:t>
      </w:r>
    </w:p>
    <w:p w14:paraId="6FC01120" w14:textId="4EADAD7E" w:rsidR="009237AA" w:rsidRDefault="009237AA" w:rsidP="009237AA">
      <w:pPr>
        <w:rPr>
          <w:rFonts w:ascii="Arial Narrow" w:hAnsi="Arial Narrow"/>
          <w:sz w:val="18"/>
          <w:szCs w:val="18"/>
        </w:rPr>
      </w:pPr>
      <w:r w:rsidRPr="00AF30DB">
        <w:rPr>
          <w:rFonts w:ascii="Arial Narrow" w:hAnsi="Arial Narrow"/>
          <w:sz w:val="18"/>
          <w:szCs w:val="18"/>
        </w:rPr>
        <w:t xml:space="preserve">ADA=adalimumab; </w:t>
      </w:r>
      <w:r w:rsidRPr="009719CF">
        <w:rPr>
          <w:rFonts w:ascii="Arial Narrow" w:hAnsi="Arial Narrow"/>
          <w:sz w:val="18"/>
          <w:szCs w:val="18"/>
        </w:rPr>
        <w:t>b/</w:t>
      </w:r>
      <w:proofErr w:type="spellStart"/>
      <w:r w:rsidRPr="009719CF">
        <w:rPr>
          <w:rFonts w:ascii="Arial Narrow" w:hAnsi="Arial Narrow"/>
          <w:sz w:val="18"/>
          <w:szCs w:val="18"/>
        </w:rPr>
        <w:t>tsDMARD</w:t>
      </w:r>
      <w:proofErr w:type="spellEnd"/>
      <w:r w:rsidRPr="009719CF">
        <w:rPr>
          <w:rFonts w:ascii="Arial Narrow" w:hAnsi="Arial Narrow"/>
          <w:sz w:val="18"/>
          <w:szCs w:val="18"/>
        </w:rPr>
        <w:t xml:space="preserve">=biologic/targeted synthetic disease-modifying anti-rheumatic drug; </w:t>
      </w:r>
      <w:r w:rsidR="00B15C3D" w:rsidRPr="00B15C3D">
        <w:rPr>
          <w:rFonts w:ascii="Arial Narrow" w:hAnsi="Arial Narrow"/>
          <w:sz w:val="18"/>
          <w:szCs w:val="18"/>
        </w:rPr>
        <w:t>CDAI=Crohn’s disease</w:t>
      </w:r>
      <w:r w:rsidR="00B15C3D">
        <w:rPr>
          <w:rFonts w:ascii="Arial Narrow" w:hAnsi="Arial Narrow"/>
          <w:sz w:val="18"/>
          <w:szCs w:val="18"/>
        </w:rPr>
        <w:t>;</w:t>
      </w:r>
      <w:r w:rsidR="00B15C3D" w:rsidRPr="00B15C3D">
        <w:rPr>
          <w:rFonts w:ascii="Arial Narrow" w:hAnsi="Arial Narrow"/>
          <w:sz w:val="18"/>
          <w:szCs w:val="18"/>
        </w:rPr>
        <w:t xml:space="preserve"> </w:t>
      </w:r>
      <w:r w:rsidRPr="00AF30DB">
        <w:rPr>
          <w:rFonts w:ascii="Arial Narrow" w:hAnsi="Arial Narrow"/>
          <w:sz w:val="18"/>
          <w:szCs w:val="18"/>
        </w:rPr>
        <w:t xml:space="preserve">GUS=guselkumab; IFX=infliximab; </w:t>
      </w:r>
      <w:r>
        <w:rPr>
          <w:rFonts w:ascii="Arial Narrow" w:hAnsi="Arial Narrow"/>
          <w:sz w:val="18"/>
          <w:szCs w:val="18"/>
        </w:rPr>
        <w:t xml:space="preserve">IV=intravenous; SC=subcutaneous; </w:t>
      </w:r>
      <w:r w:rsidRPr="00AF30DB">
        <w:rPr>
          <w:rFonts w:ascii="Arial Narrow" w:hAnsi="Arial Narrow"/>
          <w:sz w:val="18"/>
          <w:szCs w:val="18"/>
        </w:rPr>
        <w:t>UPA=upadacitinib; UST=ustekinumab; VDZ=vedolizumab</w:t>
      </w:r>
      <w:r>
        <w:rPr>
          <w:rFonts w:ascii="Arial Narrow" w:hAnsi="Arial Narrow"/>
          <w:sz w:val="18"/>
          <w:szCs w:val="18"/>
        </w:rPr>
        <w:t xml:space="preserve">; </w:t>
      </w:r>
      <w:proofErr w:type="spellStart"/>
      <w:r>
        <w:rPr>
          <w:rFonts w:ascii="Arial Narrow" w:hAnsi="Arial Narrow"/>
          <w:sz w:val="18"/>
          <w:szCs w:val="18"/>
        </w:rPr>
        <w:t>QxW</w:t>
      </w:r>
      <w:proofErr w:type="spellEnd"/>
      <w:r>
        <w:rPr>
          <w:rFonts w:ascii="Arial Narrow" w:hAnsi="Arial Narrow"/>
          <w:sz w:val="18"/>
          <w:szCs w:val="18"/>
        </w:rPr>
        <w:t>=every x week;</w:t>
      </w:r>
    </w:p>
    <w:p w14:paraId="0AFCCB20" w14:textId="70F41B75" w:rsidR="00C91155" w:rsidRPr="00E158FE" w:rsidRDefault="005860A4" w:rsidP="002B05A1">
      <w:pPr>
        <w:pStyle w:val="3-BodyText"/>
      </w:pPr>
      <w:r>
        <w:fldChar w:fldCharType="begin"/>
      </w:r>
      <w:r>
        <w:instrText xml:space="preserve"> REF _Ref197955019 \h </w:instrText>
      </w:r>
      <w:r>
        <w:fldChar w:fldCharType="separate"/>
      </w:r>
      <w:r w:rsidR="000756FD">
        <w:t xml:space="preserve">Table </w:t>
      </w:r>
      <w:r w:rsidR="000756FD">
        <w:rPr>
          <w:noProof/>
        </w:rPr>
        <w:t>18</w:t>
      </w:r>
      <w:r>
        <w:fldChar w:fldCharType="end"/>
      </w:r>
      <w:r>
        <w:t xml:space="preserve"> </w:t>
      </w:r>
      <w:r w:rsidR="00E158FE">
        <w:t xml:space="preserve">presents the estimated net financial implications to the PBS/RPBS and health budget for the proposed PBS listing of GUS for the treatment of severe CD over the first six years. </w:t>
      </w:r>
    </w:p>
    <w:p w14:paraId="7611C175" w14:textId="633755E2" w:rsidR="00E158FE" w:rsidRPr="005860A4" w:rsidRDefault="005860A4" w:rsidP="00185675">
      <w:pPr>
        <w:pStyle w:val="Caption"/>
        <w:rPr>
          <w:b w:val="0"/>
          <w:bCs w:val="0"/>
          <w:szCs w:val="20"/>
        </w:rPr>
      </w:pPr>
      <w:bookmarkStart w:id="70" w:name="_Ref197955019"/>
      <w:r>
        <w:t xml:space="preserve">Table </w:t>
      </w:r>
      <w:r w:rsidR="00DC5F25">
        <w:fldChar w:fldCharType="begin"/>
      </w:r>
      <w:r w:rsidR="00DC5F25">
        <w:instrText xml:space="preserve"> SEQ Table \* ARABIC </w:instrText>
      </w:r>
      <w:r w:rsidR="00DC5F25">
        <w:fldChar w:fldCharType="separate"/>
      </w:r>
      <w:r w:rsidR="000756FD">
        <w:rPr>
          <w:noProof/>
        </w:rPr>
        <w:t>18</w:t>
      </w:r>
      <w:r w:rsidR="00DC5F25">
        <w:rPr>
          <w:noProof/>
        </w:rPr>
        <w:fldChar w:fldCharType="end"/>
      </w:r>
      <w:bookmarkEnd w:id="70"/>
      <w:r>
        <w:t>:</w:t>
      </w:r>
      <w:r w:rsidR="00E158FE" w:rsidRPr="0006211F">
        <w:rPr>
          <w:szCs w:val="20"/>
        </w:rPr>
        <w:t xml:space="preserve"> </w:t>
      </w:r>
      <w:r w:rsidR="00E158FE" w:rsidRPr="005860A4">
        <w:rPr>
          <w:rStyle w:val="CommentReference"/>
          <w:b/>
          <w:bCs w:val="0"/>
        </w:rPr>
        <w:t>Estimated net cost of GUS to the PBS/RPBS and health budget using the submission’s effective prices</w:t>
      </w:r>
    </w:p>
    <w:tbl>
      <w:tblPr>
        <w:tblStyle w:val="TableGrid"/>
        <w:tblW w:w="0" w:type="auto"/>
        <w:tblCellMar>
          <w:left w:w="28" w:type="dxa"/>
          <w:right w:w="28" w:type="dxa"/>
        </w:tblCellMar>
        <w:tblLook w:val="04A0" w:firstRow="1" w:lastRow="0" w:firstColumn="1" w:lastColumn="0" w:noHBand="0" w:noVBand="1"/>
        <w:tblCaption w:val="Table 18: Estimated net cost of GUS to the PBS/RPBS and health budget using the submission’s effective prices"/>
      </w:tblPr>
      <w:tblGrid>
        <w:gridCol w:w="1957"/>
        <w:gridCol w:w="1176"/>
        <w:gridCol w:w="1177"/>
        <w:gridCol w:w="1177"/>
        <w:gridCol w:w="1176"/>
        <w:gridCol w:w="1177"/>
        <w:gridCol w:w="1177"/>
      </w:tblGrid>
      <w:tr w:rsidR="00E158FE" w:rsidRPr="00CF44EA" w14:paraId="3DB63795" w14:textId="77777777" w:rsidTr="00286E68">
        <w:tc>
          <w:tcPr>
            <w:tcW w:w="1957" w:type="dxa"/>
          </w:tcPr>
          <w:p w14:paraId="2237ABA1" w14:textId="77777777" w:rsidR="00E158FE" w:rsidRPr="00CF44EA" w:rsidRDefault="00E158FE" w:rsidP="00185675">
            <w:pPr>
              <w:keepNext/>
              <w:keepLines/>
              <w:rPr>
                <w:rFonts w:ascii="Arial Narrow" w:hAnsi="Arial Narrow"/>
                <w:sz w:val="20"/>
                <w:szCs w:val="20"/>
              </w:rPr>
            </w:pPr>
          </w:p>
        </w:tc>
        <w:tc>
          <w:tcPr>
            <w:tcW w:w="1176" w:type="dxa"/>
            <w:vAlign w:val="center"/>
          </w:tcPr>
          <w:p w14:paraId="4CBFF85C"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1</w:t>
            </w:r>
          </w:p>
        </w:tc>
        <w:tc>
          <w:tcPr>
            <w:tcW w:w="1177" w:type="dxa"/>
            <w:vAlign w:val="center"/>
          </w:tcPr>
          <w:p w14:paraId="7BA7B616"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2</w:t>
            </w:r>
          </w:p>
        </w:tc>
        <w:tc>
          <w:tcPr>
            <w:tcW w:w="1177" w:type="dxa"/>
            <w:vAlign w:val="center"/>
          </w:tcPr>
          <w:p w14:paraId="6C0173EF"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3</w:t>
            </w:r>
          </w:p>
        </w:tc>
        <w:tc>
          <w:tcPr>
            <w:tcW w:w="1176" w:type="dxa"/>
            <w:vAlign w:val="center"/>
          </w:tcPr>
          <w:p w14:paraId="0EC9811A"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4</w:t>
            </w:r>
          </w:p>
        </w:tc>
        <w:tc>
          <w:tcPr>
            <w:tcW w:w="1177" w:type="dxa"/>
            <w:vAlign w:val="center"/>
          </w:tcPr>
          <w:p w14:paraId="636A7DDD"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5</w:t>
            </w:r>
          </w:p>
        </w:tc>
        <w:tc>
          <w:tcPr>
            <w:tcW w:w="1177" w:type="dxa"/>
            <w:vAlign w:val="center"/>
          </w:tcPr>
          <w:p w14:paraId="076B62B4"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6</w:t>
            </w:r>
          </w:p>
        </w:tc>
      </w:tr>
      <w:tr w:rsidR="00E158FE" w:rsidRPr="00CF44EA" w14:paraId="31C9B57C" w14:textId="77777777" w:rsidTr="00286E68">
        <w:tc>
          <w:tcPr>
            <w:tcW w:w="9017" w:type="dxa"/>
            <w:gridSpan w:val="7"/>
            <w:tcBorders>
              <w:bottom w:val="single" w:sz="4" w:space="0" w:color="auto"/>
            </w:tcBorders>
            <w:vAlign w:val="center"/>
          </w:tcPr>
          <w:p w14:paraId="127F1EB5" w14:textId="77777777" w:rsidR="00E158FE" w:rsidRPr="00CF44EA" w:rsidRDefault="00E158FE" w:rsidP="00185675">
            <w:pPr>
              <w:keepNext/>
              <w:keepLines/>
              <w:jc w:val="left"/>
              <w:rPr>
                <w:rFonts w:ascii="Arial Narrow" w:hAnsi="Arial Narrow"/>
                <w:sz w:val="20"/>
                <w:szCs w:val="20"/>
              </w:rPr>
            </w:pPr>
            <w:r w:rsidRPr="00CF44EA">
              <w:rPr>
                <w:rFonts w:ascii="Arial Narrow" w:hAnsi="Arial Narrow"/>
                <w:b/>
                <w:bCs/>
                <w:sz w:val="20"/>
                <w:szCs w:val="20"/>
              </w:rPr>
              <w:t>Estimation of the use and financial impact of GUS</w:t>
            </w:r>
          </w:p>
        </w:tc>
      </w:tr>
      <w:tr w:rsidR="00E158FE" w:rsidRPr="00CF44EA" w14:paraId="3A9028A4" w14:textId="77777777" w:rsidTr="00286E68">
        <w:tc>
          <w:tcPr>
            <w:tcW w:w="1957" w:type="dxa"/>
            <w:tcBorders>
              <w:bottom w:val="nil"/>
            </w:tcBorders>
          </w:tcPr>
          <w:p w14:paraId="22442493" w14:textId="77777777" w:rsidR="00E158FE" w:rsidRPr="00CF44EA" w:rsidRDefault="00E158FE" w:rsidP="00185675">
            <w:pPr>
              <w:keepNext/>
              <w:keepLines/>
              <w:rPr>
                <w:rFonts w:ascii="Arial Narrow" w:hAnsi="Arial Narrow"/>
                <w:sz w:val="20"/>
                <w:szCs w:val="20"/>
                <w:vertAlign w:val="superscript"/>
              </w:rPr>
            </w:pPr>
            <w:r w:rsidRPr="00CF44EA">
              <w:rPr>
                <w:rFonts w:ascii="Arial Narrow" w:hAnsi="Arial Narrow"/>
                <w:sz w:val="20"/>
                <w:szCs w:val="20"/>
              </w:rPr>
              <w:t xml:space="preserve">GUS </w:t>
            </w:r>
            <w:proofErr w:type="spellStart"/>
            <w:r w:rsidRPr="00CF44EA">
              <w:rPr>
                <w:rFonts w:ascii="Arial Narrow" w:hAnsi="Arial Narrow"/>
                <w:sz w:val="20"/>
                <w:szCs w:val="20"/>
              </w:rPr>
              <w:t>scripts</w:t>
            </w:r>
            <w:r w:rsidRPr="00CF44EA">
              <w:rPr>
                <w:rFonts w:ascii="Arial Narrow" w:hAnsi="Arial Narrow"/>
                <w:sz w:val="20"/>
                <w:szCs w:val="20"/>
                <w:vertAlign w:val="superscript"/>
              </w:rPr>
              <w:t>a</w:t>
            </w:r>
            <w:proofErr w:type="spellEnd"/>
          </w:p>
        </w:tc>
        <w:tc>
          <w:tcPr>
            <w:tcW w:w="1176" w:type="dxa"/>
            <w:tcBorders>
              <w:bottom w:val="nil"/>
            </w:tcBorders>
            <w:vAlign w:val="center"/>
          </w:tcPr>
          <w:p w14:paraId="2B3BDCAB" w14:textId="60DBA275" w:rsidR="00E158FE" w:rsidRPr="00664CE3"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bottom w:val="nil"/>
            </w:tcBorders>
            <w:vAlign w:val="center"/>
          </w:tcPr>
          <w:p w14:paraId="328D479E" w14:textId="584AA095" w:rsidR="00E158FE" w:rsidRPr="002F2459"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2F2459" w:rsidRPr="002F2459">
              <w:rPr>
                <w:rFonts w:ascii="Arial Narrow" w:hAnsi="Arial Narrow"/>
                <w:sz w:val="20"/>
                <w:szCs w:val="20"/>
                <w:vertAlign w:val="superscript"/>
              </w:rPr>
              <w:t>2</w:t>
            </w:r>
          </w:p>
        </w:tc>
        <w:tc>
          <w:tcPr>
            <w:tcW w:w="1177" w:type="dxa"/>
            <w:tcBorders>
              <w:bottom w:val="nil"/>
            </w:tcBorders>
            <w:vAlign w:val="center"/>
          </w:tcPr>
          <w:p w14:paraId="7101346A" w14:textId="19EE5124" w:rsidR="00E158FE" w:rsidRPr="00DE1121"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DE1121" w:rsidRPr="00DE1121">
              <w:rPr>
                <w:rFonts w:ascii="Arial Narrow" w:hAnsi="Arial Narrow"/>
                <w:sz w:val="20"/>
                <w:szCs w:val="20"/>
                <w:vertAlign w:val="superscript"/>
              </w:rPr>
              <w:t>3</w:t>
            </w:r>
          </w:p>
        </w:tc>
        <w:tc>
          <w:tcPr>
            <w:tcW w:w="1176" w:type="dxa"/>
            <w:tcBorders>
              <w:bottom w:val="nil"/>
            </w:tcBorders>
            <w:vAlign w:val="center"/>
          </w:tcPr>
          <w:p w14:paraId="5644B34D" w14:textId="09C12371" w:rsidR="00E158FE" w:rsidRPr="001058CA"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1058CA" w:rsidRPr="001058CA">
              <w:rPr>
                <w:rFonts w:ascii="Arial Narrow" w:hAnsi="Arial Narrow"/>
                <w:sz w:val="20"/>
                <w:szCs w:val="20"/>
                <w:vertAlign w:val="superscript"/>
              </w:rPr>
              <w:t>4</w:t>
            </w:r>
          </w:p>
        </w:tc>
        <w:tc>
          <w:tcPr>
            <w:tcW w:w="1177" w:type="dxa"/>
            <w:tcBorders>
              <w:bottom w:val="nil"/>
            </w:tcBorders>
            <w:vAlign w:val="center"/>
          </w:tcPr>
          <w:p w14:paraId="249F8749" w14:textId="571A0BBD" w:rsidR="00E158FE" w:rsidRPr="006E39B1"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6E39B1" w:rsidRPr="006E39B1">
              <w:rPr>
                <w:rFonts w:ascii="Arial Narrow" w:hAnsi="Arial Narrow"/>
                <w:sz w:val="20"/>
                <w:szCs w:val="20"/>
                <w:vertAlign w:val="superscript"/>
              </w:rPr>
              <w:t>5</w:t>
            </w:r>
          </w:p>
        </w:tc>
        <w:tc>
          <w:tcPr>
            <w:tcW w:w="1177" w:type="dxa"/>
            <w:tcBorders>
              <w:bottom w:val="nil"/>
            </w:tcBorders>
            <w:vAlign w:val="center"/>
          </w:tcPr>
          <w:p w14:paraId="1715CE18" w14:textId="735A7B09" w:rsidR="00E158FE" w:rsidRPr="009E6746"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9E6746" w:rsidRPr="009E6746">
              <w:rPr>
                <w:rFonts w:ascii="Arial Narrow" w:hAnsi="Arial Narrow"/>
                <w:sz w:val="20"/>
                <w:szCs w:val="20"/>
                <w:vertAlign w:val="superscript"/>
              </w:rPr>
              <w:t>6</w:t>
            </w:r>
          </w:p>
        </w:tc>
      </w:tr>
      <w:tr w:rsidR="00E158FE" w:rsidRPr="00CF44EA" w14:paraId="0021A8A3" w14:textId="77777777" w:rsidTr="00286E68">
        <w:tc>
          <w:tcPr>
            <w:tcW w:w="1957" w:type="dxa"/>
            <w:tcBorders>
              <w:top w:val="nil"/>
              <w:bottom w:val="nil"/>
            </w:tcBorders>
          </w:tcPr>
          <w:p w14:paraId="4773DEB7" w14:textId="77777777" w:rsidR="00E158FE" w:rsidRPr="00CF44EA" w:rsidRDefault="00E158FE" w:rsidP="00185675">
            <w:pPr>
              <w:keepNext/>
              <w:keepLines/>
              <w:ind w:left="104"/>
              <w:rPr>
                <w:rFonts w:ascii="Arial Narrow" w:hAnsi="Arial Narrow"/>
                <w:sz w:val="20"/>
                <w:szCs w:val="20"/>
              </w:rPr>
            </w:pPr>
            <w:r w:rsidRPr="00CF44EA">
              <w:rPr>
                <w:rFonts w:ascii="Arial Narrow" w:hAnsi="Arial Narrow"/>
                <w:sz w:val="20"/>
                <w:szCs w:val="20"/>
              </w:rPr>
              <w:t>Initial</w:t>
            </w:r>
          </w:p>
        </w:tc>
        <w:tc>
          <w:tcPr>
            <w:tcW w:w="1176" w:type="dxa"/>
            <w:tcBorders>
              <w:top w:val="nil"/>
              <w:bottom w:val="nil"/>
            </w:tcBorders>
            <w:vAlign w:val="center"/>
          </w:tcPr>
          <w:p w14:paraId="4333E2BB" w14:textId="01F1E52E" w:rsidR="00E158FE" w:rsidRPr="009560B7"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E5364C">
              <w:rPr>
                <w:rFonts w:ascii="Arial Narrow" w:hAnsi="Arial Narrow"/>
                <w:sz w:val="20"/>
                <w:szCs w:val="20"/>
                <w:vertAlign w:val="superscript"/>
              </w:rPr>
              <w:t>7</w:t>
            </w:r>
          </w:p>
        </w:tc>
        <w:tc>
          <w:tcPr>
            <w:tcW w:w="1177" w:type="dxa"/>
            <w:tcBorders>
              <w:top w:val="nil"/>
              <w:bottom w:val="nil"/>
            </w:tcBorders>
            <w:vAlign w:val="center"/>
          </w:tcPr>
          <w:p w14:paraId="388DE804" w14:textId="1656994D" w:rsidR="00E158FE" w:rsidRPr="00F178FE"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F178FE" w:rsidRPr="00F178FE">
              <w:rPr>
                <w:rFonts w:ascii="Arial Narrow" w:hAnsi="Arial Narrow"/>
                <w:sz w:val="20"/>
                <w:szCs w:val="20"/>
                <w:vertAlign w:val="superscript"/>
              </w:rPr>
              <w:t>8</w:t>
            </w:r>
          </w:p>
        </w:tc>
        <w:tc>
          <w:tcPr>
            <w:tcW w:w="1177" w:type="dxa"/>
            <w:tcBorders>
              <w:top w:val="nil"/>
              <w:bottom w:val="nil"/>
            </w:tcBorders>
            <w:vAlign w:val="center"/>
          </w:tcPr>
          <w:p w14:paraId="370AB141" w14:textId="0F1E740E" w:rsidR="00E158FE" w:rsidRPr="00664CE3"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6" w:type="dxa"/>
            <w:tcBorders>
              <w:top w:val="nil"/>
              <w:bottom w:val="nil"/>
            </w:tcBorders>
            <w:vAlign w:val="center"/>
          </w:tcPr>
          <w:p w14:paraId="303ECF40" w14:textId="679ABEC7"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nil"/>
            </w:tcBorders>
            <w:vAlign w:val="center"/>
          </w:tcPr>
          <w:p w14:paraId="74A18C69" w14:textId="1EF7476D"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nil"/>
            </w:tcBorders>
            <w:vAlign w:val="center"/>
          </w:tcPr>
          <w:p w14:paraId="749480E4" w14:textId="5748C967"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r>
      <w:tr w:rsidR="00E158FE" w:rsidRPr="00CF44EA" w14:paraId="04ABB41B" w14:textId="77777777" w:rsidTr="00286E68">
        <w:tc>
          <w:tcPr>
            <w:tcW w:w="1957" w:type="dxa"/>
            <w:tcBorders>
              <w:top w:val="nil"/>
              <w:bottom w:val="single" w:sz="4" w:space="0" w:color="auto"/>
            </w:tcBorders>
          </w:tcPr>
          <w:p w14:paraId="264F27CB" w14:textId="77777777" w:rsidR="00E158FE" w:rsidRPr="00CF44EA" w:rsidRDefault="00E158FE" w:rsidP="00185675">
            <w:pPr>
              <w:keepNext/>
              <w:keepLines/>
              <w:ind w:left="104"/>
              <w:rPr>
                <w:rFonts w:ascii="Arial Narrow" w:hAnsi="Arial Narrow"/>
                <w:sz w:val="20"/>
                <w:szCs w:val="20"/>
              </w:rPr>
            </w:pPr>
            <w:r w:rsidRPr="00CF44EA">
              <w:rPr>
                <w:rFonts w:ascii="Arial Narrow" w:hAnsi="Arial Narrow"/>
                <w:sz w:val="20"/>
                <w:szCs w:val="20"/>
              </w:rPr>
              <w:t>Continuing</w:t>
            </w:r>
          </w:p>
        </w:tc>
        <w:tc>
          <w:tcPr>
            <w:tcW w:w="1176" w:type="dxa"/>
            <w:tcBorders>
              <w:top w:val="nil"/>
              <w:bottom w:val="single" w:sz="4" w:space="0" w:color="auto"/>
            </w:tcBorders>
            <w:vAlign w:val="center"/>
          </w:tcPr>
          <w:p w14:paraId="45B66187" w14:textId="75E853E5"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single" w:sz="4" w:space="0" w:color="auto"/>
            </w:tcBorders>
            <w:vAlign w:val="center"/>
          </w:tcPr>
          <w:p w14:paraId="00C8448D" w14:textId="2883AD11" w:rsidR="00E158FE" w:rsidRPr="00F15542"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r w:rsidR="00F15542" w:rsidRPr="00F15542">
              <w:rPr>
                <w:rFonts w:ascii="Arial Narrow" w:hAnsi="Arial Narrow"/>
                <w:sz w:val="20"/>
                <w:szCs w:val="20"/>
                <w:vertAlign w:val="superscript"/>
              </w:rPr>
              <w:t>9</w:t>
            </w:r>
          </w:p>
        </w:tc>
        <w:tc>
          <w:tcPr>
            <w:tcW w:w="1177" w:type="dxa"/>
            <w:tcBorders>
              <w:top w:val="nil"/>
              <w:bottom w:val="single" w:sz="4" w:space="0" w:color="auto"/>
            </w:tcBorders>
            <w:vAlign w:val="center"/>
          </w:tcPr>
          <w:p w14:paraId="1DFA73CC" w14:textId="1E48D8AD"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r w:rsidR="00FC7E25" w:rsidRPr="002F2459">
              <w:rPr>
                <w:rFonts w:ascii="Arial Narrow" w:hAnsi="Arial Narrow"/>
                <w:sz w:val="20"/>
                <w:szCs w:val="20"/>
                <w:vertAlign w:val="superscript"/>
              </w:rPr>
              <w:t>2</w:t>
            </w:r>
          </w:p>
        </w:tc>
        <w:tc>
          <w:tcPr>
            <w:tcW w:w="1176" w:type="dxa"/>
            <w:tcBorders>
              <w:top w:val="nil"/>
              <w:bottom w:val="single" w:sz="4" w:space="0" w:color="auto"/>
            </w:tcBorders>
            <w:vAlign w:val="center"/>
          </w:tcPr>
          <w:p w14:paraId="2C3910C9" w14:textId="3B7FD647" w:rsidR="00E158FE" w:rsidRPr="00707E01"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r w:rsidR="00707E01" w:rsidRPr="00707E01">
              <w:rPr>
                <w:rFonts w:ascii="Arial Narrow" w:hAnsi="Arial Narrow"/>
                <w:sz w:val="20"/>
                <w:szCs w:val="20"/>
                <w:vertAlign w:val="superscript"/>
              </w:rPr>
              <w:t>10</w:t>
            </w:r>
          </w:p>
        </w:tc>
        <w:tc>
          <w:tcPr>
            <w:tcW w:w="1177" w:type="dxa"/>
            <w:tcBorders>
              <w:top w:val="nil"/>
              <w:bottom w:val="single" w:sz="4" w:space="0" w:color="auto"/>
            </w:tcBorders>
            <w:vAlign w:val="center"/>
          </w:tcPr>
          <w:p w14:paraId="2445AC6D" w14:textId="3CBB9CA3"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r w:rsidR="0064475F" w:rsidRPr="001058CA">
              <w:rPr>
                <w:rFonts w:ascii="Arial Narrow" w:hAnsi="Arial Narrow"/>
                <w:sz w:val="20"/>
                <w:szCs w:val="20"/>
                <w:vertAlign w:val="superscript"/>
              </w:rPr>
              <w:t>4</w:t>
            </w:r>
          </w:p>
        </w:tc>
        <w:tc>
          <w:tcPr>
            <w:tcW w:w="1177" w:type="dxa"/>
            <w:tcBorders>
              <w:top w:val="nil"/>
              <w:bottom w:val="single" w:sz="4" w:space="0" w:color="auto"/>
            </w:tcBorders>
            <w:vAlign w:val="center"/>
          </w:tcPr>
          <w:p w14:paraId="1FF492AD" w14:textId="19C74D5E" w:rsidR="00E158FE" w:rsidRPr="002245DC"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2245DC" w:rsidRPr="002245DC">
              <w:rPr>
                <w:rFonts w:ascii="Arial Narrow" w:hAnsi="Arial Narrow"/>
                <w:sz w:val="20"/>
                <w:szCs w:val="20"/>
                <w:vertAlign w:val="superscript"/>
              </w:rPr>
              <w:t>5</w:t>
            </w:r>
          </w:p>
        </w:tc>
      </w:tr>
      <w:tr w:rsidR="00E158FE" w:rsidRPr="00CF44EA" w14:paraId="40B9EDCA" w14:textId="77777777" w:rsidTr="00286E68">
        <w:tc>
          <w:tcPr>
            <w:tcW w:w="1957" w:type="dxa"/>
            <w:tcBorders>
              <w:top w:val="single" w:sz="4" w:space="0" w:color="auto"/>
              <w:bottom w:val="single" w:sz="4" w:space="0" w:color="auto"/>
            </w:tcBorders>
          </w:tcPr>
          <w:p w14:paraId="4A2922F2" w14:textId="77777777" w:rsidR="00E158FE" w:rsidRPr="00CF44EA" w:rsidRDefault="00E158FE" w:rsidP="00185675">
            <w:pPr>
              <w:keepNext/>
              <w:keepLines/>
              <w:jc w:val="left"/>
              <w:rPr>
                <w:rFonts w:ascii="Arial Narrow" w:hAnsi="Arial Narrow"/>
                <w:sz w:val="20"/>
                <w:szCs w:val="20"/>
              </w:rPr>
            </w:pPr>
            <w:r w:rsidRPr="00CF44EA">
              <w:rPr>
                <w:rFonts w:ascii="Arial Narrow" w:hAnsi="Arial Narrow"/>
                <w:sz w:val="20"/>
                <w:szCs w:val="20"/>
              </w:rPr>
              <w:t>GUS, net cost to PBS/</w:t>
            </w:r>
            <w:proofErr w:type="spellStart"/>
            <w:r w:rsidRPr="00CF44EA">
              <w:rPr>
                <w:rFonts w:ascii="Arial Narrow" w:hAnsi="Arial Narrow"/>
                <w:sz w:val="20"/>
                <w:szCs w:val="20"/>
              </w:rPr>
              <w:t>RPBS</w:t>
            </w:r>
            <w:r w:rsidRPr="00CF44EA">
              <w:rPr>
                <w:rFonts w:ascii="Arial Narrow" w:hAnsi="Arial Narrow"/>
                <w:sz w:val="20"/>
                <w:szCs w:val="20"/>
                <w:vertAlign w:val="superscript"/>
              </w:rPr>
              <w:t>b</w:t>
            </w:r>
            <w:proofErr w:type="spellEnd"/>
          </w:p>
        </w:tc>
        <w:tc>
          <w:tcPr>
            <w:tcW w:w="1176" w:type="dxa"/>
            <w:tcBorders>
              <w:top w:val="single" w:sz="4" w:space="0" w:color="auto"/>
              <w:bottom w:val="single" w:sz="4" w:space="0" w:color="auto"/>
            </w:tcBorders>
            <w:vAlign w:val="center"/>
          </w:tcPr>
          <w:p w14:paraId="272E89C6" w14:textId="4104480A" w:rsidR="00E158FE" w:rsidRPr="00226EA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226EA3">
              <w:rPr>
                <w:rFonts w:ascii="Arial Narrow" w:hAnsi="Arial Narrow"/>
                <w:sz w:val="20"/>
                <w:szCs w:val="20"/>
                <w:vertAlign w:val="superscript"/>
              </w:rPr>
              <w:t>11</w:t>
            </w:r>
          </w:p>
        </w:tc>
        <w:tc>
          <w:tcPr>
            <w:tcW w:w="1177" w:type="dxa"/>
            <w:tcBorders>
              <w:top w:val="single" w:sz="4" w:space="0" w:color="auto"/>
              <w:bottom w:val="single" w:sz="4" w:space="0" w:color="auto"/>
            </w:tcBorders>
            <w:vAlign w:val="center"/>
          </w:tcPr>
          <w:p w14:paraId="3F6849A5" w14:textId="09343519" w:rsidR="00E158FE" w:rsidRPr="009513DF"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9513DF">
              <w:rPr>
                <w:rFonts w:ascii="Arial Narrow" w:hAnsi="Arial Narrow"/>
                <w:sz w:val="20"/>
                <w:szCs w:val="20"/>
                <w:vertAlign w:val="superscript"/>
              </w:rPr>
              <w:t>12</w:t>
            </w:r>
          </w:p>
        </w:tc>
        <w:tc>
          <w:tcPr>
            <w:tcW w:w="1177" w:type="dxa"/>
            <w:tcBorders>
              <w:top w:val="single" w:sz="4" w:space="0" w:color="auto"/>
              <w:bottom w:val="single" w:sz="4" w:space="0" w:color="auto"/>
            </w:tcBorders>
            <w:vAlign w:val="center"/>
          </w:tcPr>
          <w:p w14:paraId="1EDE1B2E" w14:textId="3B1F8DDA" w:rsidR="00E158FE" w:rsidRPr="0076068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760687">
              <w:rPr>
                <w:rFonts w:ascii="Arial Narrow" w:hAnsi="Arial Narrow"/>
                <w:sz w:val="20"/>
                <w:szCs w:val="20"/>
                <w:vertAlign w:val="superscript"/>
              </w:rPr>
              <w:t>13</w:t>
            </w:r>
          </w:p>
        </w:tc>
        <w:tc>
          <w:tcPr>
            <w:tcW w:w="1176" w:type="dxa"/>
            <w:tcBorders>
              <w:top w:val="single" w:sz="4" w:space="0" w:color="auto"/>
              <w:bottom w:val="single" w:sz="4" w:space="0" w:color="auto"/>
            </w:tcBorders>
            <w:vAlign w:val="center"/>
          </w:tcPr>
          <w:p w14:paraId="49C57E30" w14:textId="343099AC" w:rsidR="00E158FE" w:rsidRPr="006F657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6F6577">
              <w:rPr>
                <w:rFonts w:ascii="Arial Narrow" w:hAnsi="Arial Narrow"/>
                <w:sz w:val="20"/>
                <w:szCs w:val="20"/>
                <w:vertAlign w:val="superscript"/>
              </w:rPr>
              <w:t>14</w:t>
            </w:r>
          </w:p>
        </w:tc>
        <w:tc>
          <w:tcPr>
            <w:tcW w:w="1177" w:type="dxa"/>
            <w:tcBorders>
              <w:top w:val="single" w:sz="4" w:space="0" w:color="auto"/>
              <w:bottom w:val="single" w:sz="4" w:space="0" w:color="auto"/>
            </w:tcBorders>
            <w:vAlign w:val="center"/>
          </w:tcPr>
          <w:p w14:paraId="3886E668" w14:textId="28B20A92" w:rsidR="00E158FE" w:rsidRPr="006F657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6F6577">
              <w:rPr>
                <w:rFonts w:ascii="Arial Narrow" w:hAnsi="Arial Narrow"/>
                <w:sz w:val="20"/>
                <w:szCs w:val="20"/>
                <w:vertAlign w:val="superscript"/>
              </w:rPr>
              <w:t>14</w:t>
            </w:r>
          </w:p>
        </w:tc>
        <w:tc>
          <w:tcPr>
            <w:tcW w:w="1177" w:type="dxa"/>
            <w:tcBorders>
              <w:top w:val="single" w:sz="4" w:space="0" w:color="auto"/>
              <w:bottom w:val="single" w:sz="4" w:space="0" w:color="auto"/>
            </w:tcBorders>
            <w:vAlign w:val="center"/>
          </w:tcPr>
          <w:p w14:paraId="2A41FDFF" w14:textId="2A373CF2" w:rsidR="00E158FE" w:rsidRPr="006F657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6F6577">
              <w:rPr>
                <w:rFonts w:ascii="Arial Narrow" w:hAnsi="Arial Narrow"/>
                <w:sz w:val="20"/>
                <w:szCs w:val="20"/>
                <w:vertAlign w:val="superscript"/>
              </w:rPr>
              <w:t>14</w:t>
            </w:r>
          </w:p>
        </w:tc>
      </w:tr>
      <w:tr w:rsidR="00E158FE" w:rsidRPr="00CF44EA" w14:paraId="4625F8B8" w14:textId="77777777" w:rsidTr="00286E68">
        <w:tc>
          <w:tcPr>
            <w:tcW w:w="9017" w:type="dxa"/>
            <w:gridSpan w:val="7"/>
            <w:tcBorders>
              <w:top w:val="single" w:sz="4" w:space="0" w:color="auto"/>
              <w:bottom w:val="single" w:sz="4" w:space="0" w:color="auto"/>
            </w:tcBorders>
            <w:vAlign w:val="center"/>
          </w:tcPr>
          <w:p w14:paraId="37E4232B" w14:textId="77777777" w:rsidR="00E158FE" w:rsidRPr="00CF44EA" w:rsidRDefault="00E158FE" w:rsidP="00185675">
            <w:pPr>
              <w:keepNext/>
              <w:keepLines/>
              <w:jc w:val="left"/>
              <w:rPr>
                <w:rFonts w:ascii="Arial Narrow" w:hAnsi="Arial Narrow"/>
                <w:b/>
                <w:bCs/>
                <w:sz w:val="20"/>
                <w:szCs w:val="20"/>
              </w:rPr>
            </w:pPr>
            <w:r w:rsidRPr="00CF44EA">
              <w:rPr>
                <w:rFonts w:ascii="Arial Narrow" w:hAnsi="Arial Narrow"/>
                <w:b/>
                <w:bCs/>
                <w:sz w:val="20"/>
                <w:szCs w:val="20"/>
              </w:rPr>
              <w:t xml:space="preserve">Estimation of changes in use and financial impact of other </w:t>
            </w:r>
            <w:proofErr w:type="spellStart"/>
            <w:r w:rsidRPr="00CF44EA">
              <w:rPr>
                <w:rFonts w:ascii="Arial Narrow" w:hAnsi="Arial Narrow"/>
                <w:b/>
                <w:bCs/>
                <w:sz w:val="20"/>
                <w:szCs w:val="20"/>
              </w:rPr>
              <w:t>medicines</w:t>
            </w:r>
            <w:r w:rsidRPr="00CF44EA">
              <w:rPr>
                <w:rFonts w:ascii="Arial Narrow" w:hAnsi="Arial Narrow"/>
                <w:sz w:val="20"/>
                <w:szCs w:val="20"/>
                <w:vertAlign w:val="superscript"/>
              </w:rPr>
              <w:t>c</w:t>
            </w:r>
            <w:proofErr w:type="spellEnd"/>
          </w:p>
        </w:tc>
      </w:tr>
      <w:tr w:rsidR="00E158FE" w:rsidRPr="00CF44EA" w14:paraId="63DF2EEA" w14:textId="77777777" w:rsidTr="00286E68">
        <w:tc>
          <w:tcPr>
            <w:tcW w:w="1957" w:type="dxa"/>
            <w:tcBorders>
              <w:top w:val="single" w:sz="4" w:space="0" w:color="auto"/>
              <w:bottom w:val="nil"/>
            </w:tcBorders>
          </w:tcPr>
          <w:p w14:paraId="39C38B5A" w14:textId="77777777" w:rsidR="00E158FE" w:rsidRPr="00CF44EA" w:rsidRDefault="00E158FE" w:rsidP="00185675">
            <w:pPr>
              <w:keepNext/>
              <w:keepLines/>
              <w:rPr>
                <w:rFonts w:ascii="Arial Narrow" w:hAnsi="Arial Narrow"/>
                <w:sz w:val="20"/>
                <w:szCs w:val="20"/>
              </w:rPr>
            </w:pPr>
            <w:r w:rsidRPr="00CF44EA">
              <w:rPr>
                <w:rFonts w:ascii="Arial Narrow" w:hAnsi="Arial Narrow"/>
                <w:sz w:val="20"/>
                <w:szCs w:val="20"/>
              </w:rPr>
              <w:t>Comparator scripts</w:t>
            </w:r>
          </w:p>
        </w:tc>
        <w:tc>
          <w:tcPr>
            <w:tcW w:w="1176" w:type="dxa"/>
            <w:tcBorders>
              <w:top w:val="single" w:sz="4" w:space="0" w:color="auto"/>
              <w:bottom w:val="nil"/>
            </w:tcBorders>
            <w:vAlign w:val="center"/>
          </w:tcPr>
          <w:p w14:paraId="1DC5D3BD" w14:textId="6A26469E"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single" w:sz="4" w:space="0" w:color="auto"/>
              <w:bottom w:val="nil"/>
            </w:tcBorders>
            <w:vAlign w:val="center"/>
          </w:tcPr>
          <w:p w14:paraId="4958BD8C" w14:textId="6263099A" w:rsidR="00E158FE" w:rsidRPr="00F15542"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F15542">
              <w:rPr>
                <w:rFonts w:ascii="Arial Narrow" w:hAnsi="Arial Narrow"/>
                <w:sz w:val="20"/>
                <w:szCs w:val="20"/>
                <w:vertAlign w:val="superscript"/>
              </w:rPr>
              <w:t>9</w:t>
            </w:r>
          </w:p>
        </w:tc>
        <w:tc>
          <w:tcPr>
            <w:tcW w:w="1177" w:type="dxa"/>
            <w:tcBorders>
              <w:top w:val="single" w:sz="4" w:space="0" w:color="auto"/>
              <w:bottom w:val="nil"/>
            </w:tcBorders>
            <w:vAlign w:val="center"/>
          </w:tcPr>
          <w:p w14:paraId="6C6C6D10" w14:textId="44904EDE"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FC7E25" w:rsidRPr="002F2459">
              <w:rPr>
                <w:rFonts w:ascii="Arial Narrow" w:hAnsi="Arial Narrow"/>
                <w:sz w:val="20"/>
                <w:szCs w:val="20"/>
                <w:vertAlign w:val="superscript"/>
              </w:rPr>
              <w:t>2</w:t>
            </w:r>
          </w:p>
        </w:tc>
        <w:tc>
          <w:tcPr>
            <w:tcW w:w="1176" w:type="dxa"/>
            <w:tcBorders>
              <w:top w:val="single" w:sz="4" w:space="0" w:color="auto"/>
              <w:bottom w:val="nil"/>
            </w:tcBorders>
            <w:vAlign w:val="center"/>
          </w:tcPr>
          <w:p w14:paraId="16A0EA6A" w14:textId="322ECDA1" w:rsidR="00E158FE" w:rsidRPr="00D90982"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D90982">
              <w:rPr>
                <w:rFonts w:ascii="Arial Narrow" w:hAnsi="Arial Narrow"/>
                <w:sz w:val="20"/>
                <w:szCs w:val="20"/>
                <w:vertAlign w:val="superscript"/>
              </w:rPr>
              <w:t>15</w:t>
            </w:r>
          </w:p>
        </w:tc>
        <w:tc>
          <w:tcPr>
            <w:tcW w:w="1177" w:type="dxa"/>
            <w:tcBorders>
              <w:top w:val="single" w:sz="4" w:space="0" w:color="auto"/>
              <w:bottom w:val="nil"/>
            </w:tcBorders>
            <w:vAlign w:val="center"/>
          </w:tcPr>
          <w:p w14:paraId="364D91B1" w14:textId="22A47668" w:rsidR="00E158FE" w:rsidRPr="00B34CAB"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r w:rsidR="00B34CAB">
              <w:rPr>
                <w:rFonts w:ascii="Arial Narrow" w:hAnsi="Arial Narrow"/>
                <w:sz w:val="20"/>
                <w:szCs w:val="20"/>
                <w:vertAlign w:val="superscript"/>
              </w:rPr>
              <w:t>16</w:t>
            </w:r>
          </w:p>
        </w:tc>
        <w:tc>
          <w:tcPr>
            <w:tcW w:w="1177" w:type="dxa"/>
            <w:tcBorders>
              <w:top w:val="single" w:sz="4" w:space="0" w:color="auto"/>
              <w:bottom w:val="nil"/>
            </w:tcBorders>
            <w:vAlign w:val="center"/>
          </w:tcPr>
          <w:p w14:paraId="58DAFB15" w14:textId="1D6FB03D" w:rsidR="00E158FE" w:rsidRPr="009E674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009E6746">
              <w:rPr>
                <w:rFonts w:ascii="Arial Narrow" w:hAnsi="Arial Narrow"/>
                <w:sz w:val="20"/>
                <w:szCs w:val="20"/>
                <w:vertAlign w:val="superscript"/>
              </w:rPr>
              <w:t>5</w:t>
            </w:r>
          </w:p>
        </w:tc>
      </w:tr>
      <w:tr w:rsidR="00E158FE" w:rsidRPr="00CF44EA" w14:paraId="4E84808D" w14:textId="77777777" w:rsidTr="00286E68">
        <w:tc>
          <w:tcPr>
            <w:tcW w:w="1957" w:type="dxa"/>
            <w:tcBorders>
              <w:top w:val="nil"/>
              <w:bottom w:val="nil"/>
            </w:tcBorders>
          </w:tcPr>
          <w:p w14:paraId="0417C27E"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ADA</w:t>
            </w:r>
          </w:p>
        </w:tc>
        <w:tc>
          <w:tcPr>
            <w:tcW w:w="1176" w:type="dxa"/>
            <w:tcBorders>
              <w:top w:val="nil"/>
              <w:bottom w:val="nil"/>
            </w:tcBorders>
            <w:vAlign w:val="center"/>
          </w:tcPr>
          <w:p w14:paraId="1E8D1C70" w14:textId="4DE4B17D"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2688C52A" w14:textId="4611BEB7"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nil"/>
            </w:tcBorders>
            <w:vAlign w:val="center"/>
          </w:tcPr>
          <w:p w14:paraId="680092E1" w14:textId="403C25BC"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6" w:type="dxa"/>
            <w:tcBorders>
              <w:top w:val="nil"/>
              <w:bottom w:val="nil"/>
            </w:tcBorders>
            <w:vAlign w:val="center"/>
          </w:tcPr>
          <w:p w14:paraId="790FAB89" w14:textId="16957640"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nil"/>
            </w:tcBorders>
            <w:vAlign w:val="center"/>
          </w:tcPr>
          <w:p w14:paraId="693492E4" w14:textId="2FDF5944" w:rsidR="00E158FE" w:rsidRPr="006675AE"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6675AE">
              <w:rPr>
                <w:rFonts w:ascii="Arial Narrow" w:hAnsi="Arial Narrow"/>
                <w:sz w:val="20"/>
                <w:szCs w:val="20"/>
                <w:vertAlign w:val="superscript"/>
              </w:rPr>
              <w:t>17</w:t>
            </w:r>
          </w:p>
        </w:tc>
        <w:tc>
          <w:tcPr>
            <w:tcW w:w="1177" w:type="dxa"/>
            <w:tcBorders>
              <w:top w:val="nil"/>
              <w:bottom w:val="nil"/>
            </w:tcBorders>
            <w:vAlign w:val="center"/>
          </w:tcPr>
          <w:p w14:paraId="20F412DE" w14:textId="5CBDF47E" w:rsidR="00E158FE" w:rsidRPr="006675AE"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6675AE">
              <w:rPr>
                <w:rFonts w:ascii="Arial Narrow" w:hAnsi="Arial Narrow"/>
                <w:sz w:val="20"/>
                <w:szCs w:val="20"/>
                <w:vertAlign w:val="superscript"/>
              </w:rPr>
              <w:t>17</w:t>
            </w:r>
          </w:p>
        </w:tc>
      </w:tr>
      <w:tr w:rsidR="00E158FE" w:rsidRPr="00CF44EA" w14:paraId="4150781C" w14:textId="77777777" w:rsidTr="00286E68">
        <w:tc>
          <w:tcPr>
            <w:tcW w:w="1957" w:type="dxa"/>
            <w:tcBorders>
              <w:top w:val="nil"/>
              <w:bottom w:val="nil"/>
            </w:tcBorders>
          </w:tcPr>
          <w:p w14:paraId="4C447A03"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IFX</w:t>
            </w:r>
          </w:p>
        </w:tc>
        <w:tc>
          <w:tcPr>
            <w:tcW w:w="1176" w:type="dxa"/>
            <w:tcBorders>
              <w:top w:val="nil"/>
              <w:bottom w:val="nil"/>
            </w:tcBorders>
            <w:vAlign w:val="center"/>
          </w:tcPr>
          <w:p w14:paraId="7A09A84B" w14:textId="48D27ADF"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5F8A31F7" w14:textId="7964FB5E"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53ABC026" w14:textId="6138DB6D"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6" w:type="dxa"/>
            <w:tcBorders>
              <w:top w:val="nil"/>
              <w:bottom w:val="nil"/>
            </w:tcBorders>
            <w:vAlign w:val="center"/>
          </w:tcPr>
          <w:p w14:paraId="7EF74F76" w14:textId="2031110D"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70B06404" w14:textId="1A42F711"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39F9DAED" w14:textId="46A1F95F"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0275E4">
              <w:rPr>
                <w:rFonts w:ascii="Arial Narrow" w:hAnsi="Arial Narrow"/>
                <w:sz w:val="20"/>
                <w:szCs w:val="20"/>
                <w:vertAlign w:val="superscript"/>
              </w:rPr>
              <w:t>8</w:t>
            </w:r>
          </w:p>
        </w:tc>
      </w:tr>
      <w:tr w:rsidR="00E158FE" w:rsidRPr="00CF44EA" w14:paraId="523256A7" w14:textId="77777777" w:rsidTr="00286E68">
        <w:tc>
          <w:tcPr>
            <w:tcW w:w="1957" w:type="dxa"/>
            <w:tcBorders>
              <w:top w:val="nil"/>
              <w:bottom w:val="nil"/>
            </w:tcBorders>
          </w:tcPr>
          <w:p w14:paraId="471CA4FC"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UPA</w:t>
            </w:r>
          </w:p>
        </w:tc>
        <w:tc>
          <w:tcPr>
            <w:tcW w:w="1176" w:type="dxa"/>
            <w:tcBorders>
              <w:top w:val="nil"/>
              <w:bottom w:val="nil"/>
            </w:tcBorders>
            <w:vAlign w:val="center"/>
          </w:tcPr>
          <w:p w14:paraId="30F23715" w14:textId="00E0DD83"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5737EACF" w14:textId="0C7BB8DA"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1737DA4C" w14:textId="4B32C204"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6" w:type="dxa"/>
            <w:tcBorders>
              <w:top w:val="nil"/>
              <w:bottom w:val="nil"/>
            </w:tcBorders>
            <w:vAlign w:val="center"/>
          </w:tcPr>
          <w:p w14:paraId="54BE59F1" w14:textId="3E82DF9F"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258D6591" w14:textId="6B43483D"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00727BC5" w:rsidRPr="00664CE3">
              <w:rPr>
                <w:rFonts w:ascii="Arial Narrow" w:hAnsi="Arial Narrow"/>
                <w:sz w:val="20"/>
                <w:szCs w:val="20"/>
                <w:vertAlign w:val="superscript"/>
              </w:rPr>
              <w:t>1</w:t>
            </w:r>
          </w:p>
        </w:tc>
        <w:tc>
          <w:tcPr>
            <w:tcW w:w="1177" w:type="dxa"/>
            <w:tcBorders>
              <w:top w:val="nil"/>
              <w:bottom w:val="nil"/>
            </w:tcBorders>
            <w:vAlign w:val="center"/>
          </w:tcPr>
          <w:p w14:paraId="3C7E3E8C" w14:textId="6F971F74"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r>
      <w:tr w:rsidR="00E158FE" w:rsidRPr="00CF44EA" w14:paraId="7CE67830" w14:textId="77777777" w:rsidTr="00286E68">
        <w:tc>
          <w:tcPr>
            <w:tcW w:w="1957" w:type="dxa"/>
            <w:tcBorders>
              <w:top w:val="nil"/>
              <w:bottom w:val="nil"/>
            </w:tcBorders>
          </w:tcPr>
          <w:p w14:paraId="70331DAE"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UST</w:t>
            </w:r>
          </w:p>
        </w:tc>
        <w:tc>
          <w:tcPr>
            <w:tcW w:w="1176" w:type="dxa"/>
            <w:tcBorders>
              <w:top w:val="nil"/>
              <w:bottom w:val="nil"/>
            </w:tcBorders>
            <w:vAlign w:val="center"/>
          </w:tcPr>
          <w:p w14:paraId="74069451" w14:textId="3DBCCD8D"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3B74EE39" w14:textId="3DB2850F"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0FE3D1DC" w14:textId="660DFFE5"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6" w:type="dxa"/>
            <w:tcBorders>
              <w:top w:val="nil"/>
              <w:bottom w:val="nil"/>
            </w:tcBorders>
            <w:vAlign w:val="center"/>
          </w:tcPr>
          <w:p w14:paraId="31F68D89" w14:textId="394DFA94"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5AA0857A" w14:textId="3993A041"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727BC5" w:rsidRPr="00664CE3">
              <w:rPr>
                <w:rFonts w:ascii="Arial Narrow" w:hAnsi="Arial Narrow"/>
                <w:sz w:val="20"/>
                <w:szCs w:val="20"/>
                <w:vertAlign w:val="superscript"/>
              </w:rPr>
              <w:t>1</w:t>
            </w:r>
          </w:p>
        </w:tc>
        <w:tc>
          <w:tcPr>
            <w:tcW w:w="1177" w:type="dxa"/>
            <w:tcBorders>
              <w:top w:val="nil"/>
              <w:bottom w:val="nil"/>
            </w:tcBorders>
            <w:vAlign w:val="center"/>
          </w:tcPr>
          <w:p w14:paraId="5B2D88D0" w14:textId="0F122803"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727BC5" w:rsidRPr="00664CE3">
              <w:rPr>
                <w:rFonts w:ascii="Arial Narrow" w:hAnsi="Arial Narrow"/>
                <w:sz w:val="20"/>
                <w:szCs w:val="20"/>
                <w:vertAlign w:val="superscript"/>
              </w:rPr>
              <w:t>1</w:t>
            </w:r>
          </w:p>
        </w:tc>
      </w:tr>
      <w:tr w:rsidR="00E158FE" w:rsidRPr="00CF44EA" w14:paraId="13811D46" w14:textId="77777777" w:rsidTr="00286E68">
        <w:tc>
          <w:tcPr>
            <w:tcW w:w="1957" w:type="dxa"/>
            <w:tcBorders>
              <w:top w:val="nil"/>
              <w:bottom w:val="single" w:sz="4" w:space="0" w:color="auto"/>
            </w:tcBorders>
          </w:tcPr>
          <w:p w14:paraId="309DC778"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VDZ</w:t>
            </w:r>
          </w:p>
        </w:tc>
        <w:tc>
          <w:tcPr>
            <w:tcW w:w="1176" w:type="dxa"/>
            <w:tcBorders>
              <w:top w:val="nil"/>
              <w:bottom w:val="single" w:sz="4" w:space="0" w:color="auto"/>
            </w:tcBorders>
            <w:vAlign w:val="center"/>
          </w:tcPr>
          <w:p w14:paraId="2FFA0E27" w14:textId="24A2196E"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single" w:sz="4" w:space="0" w:color="auto"/>
            </w:tcBorders>
            <w:vAlign w:val="center"/>
          </w:tcPr>
          <w:p w14:paraId="26FDB38E" w14:textId="5F6FA8EA"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single" w:sz="4" w:space="0" w:color="auto"/>
            </w:tcBorders>
            <w:vAlign w:val="center"/>
          </w:tcPr>
          <w:p w14:paraId="6DDE09B4" w14:textId="7F3EE989"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6" w:type="dxa"/>
            <w:tcBorders>
              <w:top w:val="nil"/>
              <w:bottom w:val="single" w:sz="4" w:space="0" w:color="auto"/>
            </w:tcBorders>
            <w:vAlign w:val="center"/>
          </w:tcPr>
          <w:p w14:paraId="7A27244A" w14:textId="0821C888"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single" w:sz="4" w:space="0" w:color="auto"/>
            </w:tcBorders>
            <w:vAlign w:val="center"/>
          </w:tcPr>
          <w:p w14:paraId="4AA82C49" w14:textId="39F77F93"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single" w:sz="4" w:space="0" w:color="auto"/>
            </w:tcBorders>
            <w:vAlign w:val="center"/>
          </w:tcPr>
          <w:p w14:paraId="30B7BAAC" w14:textId="64116805"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0275E4">
              <w:rPr>
                <w:rFonts w:ascii="Arial Narrow" w:hAnsi="Arial Narrow"/>
                <w:sz w:val="20"/>
                <w:szCs w:val="20"/>
                <w:vertAlign w:val="superscript"/>
              </w:rPr>
              <w:t>8</w:t>
            </w:r>
          </w:p>
        </w:tc>
      </w:tr>
      <w:tr w:rsidR="00E158FE" w:rsidRPr="00CF44EA" w14:paraId="70EA9F52" w14:textId="77777777" w:rsidTr="00286E68">
        <w:tc>
          <w:tcPr>
            <w:tcW w:w="1957" w:type="dxa"/>
            <w:tcBorders>
              <w:top w:val="single" w:sz="4" w:space="0" w:color="auto"/>
              <w:bottom w:val="nil"/>
            </w:tcBorders>
          </w:tcPr>
          <w:p w14:paraId="5B4CB02A" w14:textId="77777777" w:rsidR="00E158FE" w:rsidRPr="00CF44EA" w:rsidRDefault="00E158FE" w:rsidP="00185675">
            <w:pPr>
              <w:keepNext/>
              <w:keepLines/>
              <w:jc w:val="left"/>
              <w:rPr>
                <w:rFonts w:ascii="Arial Narrow" w:hAnsi="Arial Narrow"/>
                <w:sz w:val="20"/>
                <w:szCs w:val="20"/>
              </w:rPr>
            </w:pPr>
            <w:r w:rsidRPr="00CF44EA">
              <w:rPr>
                <w:rFonts w:ascii="Arial Narrow" w:hAnsi="Arial Narrow"/>
                <w:sz w:val="20"/>
                <w:szCs w:val="20"/>
              </w:rPr>
              <w:t>Comparators, net cost to PBS/RPBS</w:t>
            </w:r>
          </w:p>
        </w:tc>
        <w:tc>
          <w:tcPr>
            <w:tcW w:w="1176" w:type="dxa"/>
            <w:tcBorders>
              <w:top w:val="single" w:sz="4" w:space="0" w:color="auto"/>
              <w:bottom w:val="nil"/>
            </w:tcBorders>
            <w:vAlign w:val="center"/>
          </w:tcPr>
          <w:p w14:paraId="280F1BC4" w14:textId="3E52E0F9" w:rsidR="00E158FE" w:rsidRPr="009D25E6" w:rsidRDefault="00E158FE" w:rsidP="00185675">
            <w:pPr>
              <w:keepNext/>
              <w:keepLines/>
              <w:jc w:val="center"/>
              <w:rPr>
                <w:rFonts w:ascii="Arial Narrow" w:hAnsi="Arial Narrow"/>
                <w:sz w:val="20"/>
                <w:szCs w:val="20"/>
                <w:vertAlign w:val="superscript"/>
              </w:rPr>
            </w:pPr>
            <w:r w:rsidRPr="00727E5E">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single" w:sz="4" w:space="0" w:color="auto"/>
              <w:bottom w:val="nil"/>
            </w:tcBorders>
            <w:vAlign w:val="center"/>
          </w:tcPr>
          <w:p w14:paraId="66A9063E" w14:textId="7FA5EA71" w:rsidR="00E158FE" w:rsidRPr="009D25E6" w:rsidRDefault="00E158FE" w:rsidP="00185675">
            <w:pPr>
              <w:keepNext/>
              <w:keepLines/>
              <w:jc w:val="center"/>
              <w:rPr>
                <w:rFonts w:ascii="Arial Narrow" w:hAnsi="Arial Narrow"/>
                <w:sz w:val="20"/>
                <w:szCs w:val="20"/>
                <w:vertAlign w:val="superscript"/>
              </w:rPr>
            </w:pPr>
            <w:r w:rsidRPr="00727E5E">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single" w:sz="4" w:space="0" w:color="auto"/>
              <w:bottom w:val="nil"/>
            </w:tcBorders>
            <w:vAlign w:val="center"/>
          </w:tcPr>
          <w:p w14:paraId="7D6162C5" w14:textId="6824AD59"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r w:rsidR="006D6C05" w:rsidRPr="006D6C05">
              <w:rPr>
                <w:rFonts w:ascii="Arial Narrow" w:hAnsi="Arial Narrow"/>
                <w:sz w:val="20"/>
                <w:szCs w:val="20"/>
                <w:vertAlign w:val="superscript"/>
              </w:rPr>
              <w:t>19</w:t>
            </w:r>
          </w:p>
        </w:tc>
        <w:tc>
          <w:tcPr>
            <w:tcW w:w="1176" w:type="dxa"/>
            <w:tcBorders>
              <w:top w:val="single" w:sz="4" w:space="0" w:color="auto"/>
              <w:bottom w:val="nil"/>
            </w:tcBorders>
            <w:vAlign w:val="center"/>
          </w:tcPr>
          <w:p w14:paraId="1C170F23" w14:textId="19A89C15" w:rsidR="00E158FE" w:rsidRPr="00FC49FB"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00FC49FB">
              <w:rPr>
                <w:rFonts w:ascii="Arial Narrow" w:hAnsi="Arial Narrow"/>
                <w:sz w:val="20"/>
                <w:szCs w:val="20"/>
                <w:vertAlign w:val="superscript"/>
              </w:rPr>
              <w:t>11</w:t>
            </w:r>
          </w:p>
        </w:tc>
        <w:tc>
          <w:tcPr>
            <w:tcW w:w="1177" w:type="dxa"/>
            <w:tcBorders>
              <w:top w:val="single" w:sz="4" w:space="0" w:color="auto"/>
              <w:bottom w:val="nil"/>
            </w:tcBorders>
            <w:vAlign w:val="center"/>
          </w:tcPr>
          <w:p w14:paraId="3BAC7706" w14:textId="68BFEC7C" w:rsidR="00E158FE" w:rsidRPr="00001B9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r w:rsidR="00001B96">
              <w:rPr>
                <w:rFonts w:ascii="Arial Narrow" w:hAnsi="Arial Narrow"/>
                <w:sz w:val="20"/>
                <w:szCs w:val="20"/>
                <w:vertAlign w:val="superscript"/>
              </w:rPr>
              <w:t>20</w:t>
            </w:r>
          </w:p>
        </w:tc>
        <w:tc>
          <w:tcPr>
            <w:tcW w:w="1177" w:type="dxa"/>
            <w:tcBorders>
              <w:top w:val="single" w:sz="4" w:space="0" w:color="auto"/>
              <w:bottom w:val="nil"/>
            </w:tcBorders>
            <w:vAlign w:val="center"/>
          </w:tcPr>
          <w:p w14:paraId="625EFBB1" w14:textId="2A7E9C5C" w:rsidR="00E158FE" w:rsidRPr="00001B9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r w:rsidR="00001B96">
              <w:rPr>
                <w:rFonts w:ascii="Arial Narrow" w:hAnsi="Arial Narrow"/>
                <w:sz w:val="20"/>
                <w:szCs w:val="20"/>
                <w:vertAlign w:val="superscript"/>
              </w:rPr>
              <w:t>20</w:t>
            </w:r>
          </w:p>
        </w:tc>
      </w:tr>
      <w:tr w:rsidR="00E158FE" w:rsidRPr="00CF44EA" w14:paraId="35113B81" w14:textId="77777777" w:rsidTr="00286E68">
        <w:tc>
          <w:tcPr>
            <w:tcW w:w="1957" w:type="dxa"/>
            <w:tcBorders>
              <w:top w:val="nil"/>
              <w:bottom w:val="nil"/>
            </w:tcBorders>
          </w:tcPr>
          <w:p w14:paraId="73EF0DD0"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ADA</w:t>
            </w:r>
          </w:p>
        </w:tc>
        <w:tc>
          <w:tcPr>
            <w:tcW w:w="1176" w:type="dxa"/>
            <w:tcBorders>
              <w:top w:val="nil"/>
              <w:bottom w:val="nil"/>
            </w:tcBorders>
            <w:vAlign w:val="center"/>
          </w:tcPr>
          <w:p w14:paraId="34F1DCAC" w14:textId="0DE9C204"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3DAB92EB" w14:textId="2E58817A"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7A301271" w14:textId="61CF70DA"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bottom w:val="nil"/>
            </w:tcBorders>
            <w:vAlign w:val="center"/>
          </w:tcPr>
          <w:p w14:paraId="2140676C" w14:textId="105B99FE"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3ECC6324" w14:textId="6D18879E"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nil"/>
              <w:bottom w:val="nil"/>
            </w:tcBorders>
            <w:vAlign w:val="center"/>
          </w:tcPr>
          <w:p w14:paraId="42042BCD" w14:textId="4C7F19D8"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9D25E6">
              <w:rPr>
                <w:rFonts w:ascii="Arial Narrow" w:hAnsi="Arial Narrow"/>
                <w:sz w:val="20"/>
                <w:szCs w:val="20"/>
                <w:vertAlign w:val="superscript"/>
              </w:rPr>
              <w:t>18</w:t>
            </w:r>
          </w:p>
        </w:tc>
      </w:tr>
      <w:tr w:rsidR="00E158FE" w:rsidRPr="00CF44EA" w14:paraId="5E069F25" w14:textId="77777777" w:rsidTr="00286E68">
        <w:tc>
          <w:tcPr>
            <w:tcW w:w="1957" w:type="dxa"/>
            <w:tcBorders>
              <w:top w:val="nil"/>
              <w:bottom w:val="nil"/>
            </w:tcBorders>
          </w:tcPr>
          <w:p w14:paraId="71248A25"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IFX</w:t>
            </w:r>
          </w:p>
        </w:tc>
        <w:tc>
          <w:tcPr>
            <w:tcW w:w="1176" w:type="dxa"/>
            <w:tcBorders>
              <w:top w:val="nil"/>
              <w:bottom w:val="nil"/>
            </w:tcBorders>
            <w:vAlign w:val="center"/>
          </w:tcPr>
          <w:p w14:paraId="21D495D2" w14:textId="72E405CB"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73844DD0" w14:textId="0E18B9AB"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35AA0B11" w14:textId="53B07A23"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bottom w:val="nil"/>
            </w:tcBorders>
            <w:vAlign w:val="center"/>
          </w:tcPr>
          <w:p w14:paraId="5777513C" w14:textId="124FEF8C"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17743E45" w14:textId="5EEF0D96"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61859DE1" w14:textId="0CD01644"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E27563">
              <w:rPr>
                <w:rFonts w:ascii="Arial Narrow" w:hAnsi="Arial Narrow"/>
                <w:sz w:val="20"/>
                <w:szCs w:val="20"/>
                <w:vertAlign w:val="superscript"/>
              </w:rPr>
              <w:t>21</w:t>
            </w:r>
          </w:p>
        </w:tc>
      </w:tr>
      <w:tr w:rsidR="00E158FE" w:rsidRPr="00CF44EA" w14:paraId="1A359D2C" w14:textId="77777777" w:rsidTr="00286E68">
        <w:tc>
          <w:tcPr>
            <w:tcW w:w="1957" w:type="dxa"/>
            <w:tcBorders>
              <w:top w:val="nil"/>
              <w:bottom w:val="nil"/>
            </w:tcBorders>
          </w:tcPr>
          <w:p w14:paraId="3F14498D"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UPA</w:t>
            </w:r>
          </w:p>
        </w:tc>
        <w:tc>
          <w:tcPr>
            <w:tcW w:w="1176" w:type="dxa"/>
            <w:tcBorders>
              <w:top w:val="nil"/>
              <w:bottom w:val="nil"/>
            </w:tcBorders>
            <w:vAlign w:val="center"/>
          </w:tcPr>
          <w:p w14:paraId="08566A69" w14:textId="27D03BED"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763CFCDB" w14:textId="422F1A1D"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8"/>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1CBD5F0A" w14:textId="3332486C"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7"/>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bottom w:val="nil"/>
            </w:tcBorders>
            <w:vAlign w:val="center"/>
          </w:tcPr>
          <w:p w14:paraId="27F3B151" w14:textId="5444BD9C"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6"/>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4AE62A1F" w14:textId="6C22E181"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5"/>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7AEABBDA" w14:textId="7742F7D4"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4"/>
                <w14:textFill>
                  <w14:solidFill>
                    <w14:srgbClr w14:val="000000">
                      <w14:alpha w14:val="100000"/>
                    </w14:srgbClr>
                  </w14:solidFill>
                </w14:textFill>
              </w:rPr>
              <w:t>|</w:t>
            </w:r>
            <w:r w:rsidR="009D25E6">
              <w:rPr>
                <w:rFonts w:ascii="Arial Narrow" w:hAnsi="Arial Narrow"/>
                <w:sz w:val="20"/>
                <w:szCs w:val="20"/>
                <w:vertAlign w:val="superscript"/>
              </w:rPr>
              <w:t>18</w:t>
            </w:r>
          </w:p>
        </w:tc>
      </w:tr>
      <w:tr w:rsidR="00E158FE" w:rsidRPr="00CF44EA" w14:paraId="30EA2518" w14:textId="77777777" w:rsidTr="00286E68">
        <w:tc>
          <w:tcPr>
            <w:tcW w:w="1957" w:type="dxa"/>
            <w:tcBorders>
              <w:top w:val="nil"/>
              <w:bottom w:val="nil"/>
            </w:tcBorders>
          </w:tcPr>
          <w:p w14:paraId="15DB67F2"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UST</w:t>
            </w:r>
          </w:p>
        </w:tc>
        <w:tc>
          <w:tcPr>
            <w:tcW w:w="1176" w:type="dxa"/>
            <w:tcBorders>
              <w:top w:val="nil"/>
              <w:bottom w:val="nil"/>
            </w:tcBorders>
            <w:vAlign w:val="center"/>
          </w:tcPr>
          <w:p w14:paraId="1D2F62EB" w14:textId="1F15E670"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3"/>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3DF28718" w14:textId="340E3CDA"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2"/>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1C3586A0" w14:textId="48C74293"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1"/>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bottom w:val="nil"/>
            </w:tcBorders>
            <w:vAlign w:val="center"/>
          </w:tcPr>
          <w:p w14:paraId="4C7A78F9" w14:textId="27A8C9A2"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0"/>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nil"/>
              <w:bottom w:val="nil"/>
            </w:tcBorders>
            <w:vAlign w:val="center"/>
          </w:tcPr>
          <w:p w14:paraId="117FC1ED" w14:textId="2121307F"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9"/>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nil"/>
              <w:bottom w:val="nil"/>
            </w:tcBorders>
            <w:vAlign w:val="center"/>
          </w:tcPr>
          <w:p w14:paraId="6D3F4FED" w14:textId="0A758CF4"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8"/>
                <w14:textFill>
                  <w14:solidFill>
                    <w14:srgbClr w14:val="000000">
                      <w14:alpha w14:val="100000"/>
                    </w14:srgbClr>
                  </w14:solidFill>
                </w14:textFill>
              </w:rPr>
              <w:t>|</w:t>
            </w:r>
            <w:r w:rsidR="009D25E6">
              <w:rPr>
                <w:rFonts w:ascii="Arial Narrow" w:hAnsi="Arial Narrow"/>
                <w:sz w:val="20"/>
                <w:szCs w:val="20"/>
                <w:vertAlign w:val="superscript"/>
              </w:rPr>
              <w:t>18</w:t>
            </w:r>
          </w:p>
        </w:tc>
      </w:tr>
      <w:tr w:rsidR="00E158FE" w:rsidRPr="00CF44EA" w14:paraId="3C9762FB" w14:textId="77777777" w:rsidTr="00286E68">
        <w:tc>
          <w:tcPr>
            <w:tcW w:w="1957" w:type="dxa"/>
            <w:tcBorders>
              <w:top w:val="nil"/>
            </w:tcBorders>
          </w:tcPr>
          <w:p w14:paraId="219DD613" w14:textId="77777777" w:rsidR="00E158FE" w:rsidRPr="00CF44EA" w:rsidRDefault="00E158FE" w:rsidP="00286E68">
            <w:pPr>
              <w:ind w:left="109"/>
              <w:rPr>
                <w:rFonts w:ascii="Arial Narrow" w:hAnsi="Arial Narrow"/>
                <w:sz w:val="20"/>
                <w:szCs w:val="20"/>
              </w:rPr>
            </w:pPr>
            <w:r w:rsidRPr="00CF44EA">
              <w:rPr>
                <w:rFonts w:ascii="Arial Narrow" w:hAnsi="Arial Narrow"/>
                <w:sz w:val="20"/>
                <w:szCs w:val="20"/>
              </w:rPr>
              <w:t>VDZ</w:t>
            </w:r>
          </w:p>
        </w:tc>
        <w:tc>
          <w:tcPr>
            <w:tcW w:w="1176" w:type="dxa"/>
            <w:tcBorders>
              <w:top w:val="nil"/>
            </w:tcBorders>
            <w:vAlign w:val="center"/>
          </w:tcPr>
          <w:p w14:paraId="3F2A4DE6" w14:textId="3C6F7BCD"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7"/>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tcBorders>
            <w:vAlign w:val="center"/>
          </w:tcPr>
          <w:p w14:paraId="54FB56D5" w14:textId="5185690B"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6"/>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tcBorders>
            <w:vAlign w:val="center"/>
          </w:tcPr>
          <w:p w14:paraId="493F00E5" w14:textId="0FED7057"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5"/>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tcBorders>
            <w:vAlign w:val="center"/>
          </w:tcPr>
          <w:p w14:paraId="11123107" w14:textId="5F6D42E1"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4"/>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tcBorders>
            <w:vAlign w:val="center"/>
          </w:tcPr>
          <w:p w14:paraId="01EF993C" w14:textId="537E7597"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3"/>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tcBorders>
            <w:vAlign w:val="center"/>
          </w:tcPr>
          <w:p w14:paraId="5FD65568" w14:textId="3BCD73CF"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2"/>
                <w14:textFill>
                  <w14:solidFill>
                    <w14:srgbClr w14:val="000000">
                      <w14:alpha w14:val="100000"/>
                    </w14:srgbClr>
                  </w14:solidFill>
                </w14:textFill>
              </w:rPr>
              <w:t>|</w:t>
            </w:r>
            <w:r w:rsidR="00E27563">
              <w:rPr>
                <w:rFonts w:ascii="Arial Narrow" w:hAnsi="Arial Narrow"/>
                <w:sz w:val="20"/>
                <w:szCs w:val="20"/>
                <w:vertAlign w:val="superscript"/>
              </w:rPr>
              <w:t>21</w:t>
            </w:r>
          </w:p>
        </w:tc>
      </w:tr>
      <w:tr w:rsidR="00E158FE" w:rsidRPr="00CF44EA" w14:paraId="6D9F0C38" w14:textId="77777777" w:rsidTr="00286E68">
        <w:tc>
          <w:tcPr>
            <w:tcW w:w="9017" w:type="dxa"/>
            <w:gridSpan w:val="7"/>
            <w:tcBorders>
              <w:top w:val="single" w:sz="4" w:space="0" w:color="auto"/>
              <w:bottom w:val="single" w:sz="4" w:space="0" w:color="auto"/>
            </w:tcBorders>
            <w:vAlign w:val="center"/>
          </w:tcPr>
          <w:p w14:paraId="16BD0CC1" w14:textId="77777777" w:rsidR="00E158FE" w:rsidRPr="00CF44EA" w:rsidRDefault="00E158FE" w:rsidP="00286E68">
            <w:pPr>
              <w:jc w:val="left"/>
              <w:rPr>
                <w:rFonts w:ascii="Arial Narrow" w:hAnsi="Arial Narrow"/>
                <w:b/>
                <w:bCs/>
                <w:sz w:val="20"/>
                <w:szCs w:val="20"/>
              </w:rPr>
            </w:pPr>
            <w:r w:rsidRPr="00CF44EA">
              <w:rPr>
                <w:rFonts w:ascii="Arial Narrow" w:hAnsi="Arial Narrow"/>
                <w:b/>
                <w:bCs/>
                <w:sz w:val="20"/>
                <w:szCs w:val="20"/>
              </w:rPr>
              <w:t>Estimated financial implications for the PBS/RPBS and the health budget</w:t>
            </w:r>
          </w:p>
        </w:tc>
      </w:tr>
      <w:tr w:rsidR="00E158FE" w:rsidRPr="00CF44EA" w14:paraId="67A8FDB5" w14:textId="77777777" w:rsidTr="00286E68">
        <w:tc>
          <w:tcPr>
            <w:tcW w:w="1957" w:type="dxa"/>
            <w:tcBorders>
              <w:top w:val="single" w:sz="4" w:space="0" w:color="auto"/>
              <w:bottom w:val="nil"/>
            </w:tcBorders>
            <w:vAlign w:val="center"/>
          </w:tcPr>
          <w:p w14:paraId="09A4C4D2" w14:textId="77777777" w:rsidR="00E158FE" w:rsidRPr="00CF44EA" w:rsidRDefault="00E158FE" w:rsidP="00286E68">
            <w:pPr>
              <w:jc w:val="left"/>
              <w:rPr>
                <w:rFonts w:ascii="Arial Narrow" w:hAnsi="Arial Narrow"/>
                <w:sz w:val="20"/>
                <w:szCs w:val="20"/>
              </w:rPr>
            </w:pPr>
            <w:r w:rsidRPr="00CF44EA">
              <w:rPr>
                <w:rFonts w:ascii="Arial Narrow" w:hAnsi="Arial Narrow"/>
                <w:sz w:val="20"/>
                <w:szCs w:val="20"/>
              </w:rPr>
              <w:t>Net cost to MBS</w:t>
            </w:r>
          </w:p>
        </w:tc>
        <w:tc>
          <w:tcPr>
            <w:tcW w:w="1176" w:type="dxa"/>
            <w:tcBorders>
              <w:top w:val="single" w:sz="4" w:space="0" w:color="auto"/>
              <w:bottom w:val="nil"/>
            </w:tcBorders>
            <w:vAlign w:val="center"/>
          </w:tcPr>
          <w:p w14:paraId="111F652A" w14:textId="454AF3E2"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8"/>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7" w:type="dxa"/>
            <w:tcBorders>
              <w:top w:val="single" w:sz="4" w:space="0" w:color="auto"/>
              <w:bottom w:val="nil"/>
            </w:tcBorders>
            <w:vAlign w:val="center"/>
          </w:tcPr>
          <w:p w14:paraId="7C78AA8F" w14:textId="64446D74"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7"/>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7" w:type="dxa"/>
            <w:tcBorders>
              <w:top w:val="single" w:sz="4" w:space="0" w:color="auto"/>
              <w:bottom w:val="nil"/>
            </w:tcBorders>
            <w:vAlign w:val="center"/>
          </w:tcPr>
          <w:p w14:paraId="3C3439E5" w14:textId="1D2D4E41"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6"/>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6" w:type="dxa"/>
            <w:tcBorders>
              <w:top w:val="single" w:sz="4" w:space="0" w:color="auto"/>
              <w:bottom w:val="nil"/>
            </w:tcBorders>
            <w:vAlign w:val="center"/>
          </w:tcPr>
          <w:p w14:paraId="3A9DC91A" w14:textId="5F3EB63E"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5"/>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7" w:type="dxa"/>
            <w:tcBorders>
              <w:top w:val="single" w:sz="4" w:space="0" w:color="auto"/>
              <w:bottom w:val="nil"/>
            </w:tcBorders>
            <w:vAlign w:val="center"/>
          </w:tcPr>
          <w:p w14:paraId="5238CC27" w14:textId="0AA8C788"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4"/>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7" w:type="dxa"/>
            <w:tcBorders>
              <w:top w:val="single" w:sz="4" w:space="0" w:color="auto"/>
              <w:bottom w:val="nil"/>
            </w:tcBorders>
            <w:vAlign w:val="center"/>
          </w:tcPr>
          <w:p w14:paraId="67FCC89C" w14:textId="7299C803"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3"/>
                <w14:textFill>
                  <w14:solidFill>
                    <w14:srgbClr w14:val="000000">
                      <w14:alpha w14:val="100000"/>
                    </w14:srgbClr>
                  </w14:solidFill>
                </w14:textFill>
              </w:rPr>
              <w:t>|</w:t>
            </w:r>
            <w:r w:rsidR="002A604D">
              <w:rPr>
                <w:rFonts w:ascii="Arial Narrow" w:hAnsi="Arial Narrow"/>
                <w:sz w:val="20"/>
                <w:szCs w:val="20"/>
                <w:vertAlign w:val="superscript"/>
              </w:rPr>
              <w:t>21</w:t>
            </w:r>
          </w:p>
        </w:tc>
      </w:tr>
      <w:tr w:rsidR="00E158FE" w:rsidRPr="00CF44EA" w14:paraId="34EB0351" w14:textId="77777777" w:rsidTr="00286E68">
        <w:tc>
          <w:tcPr>
            <w:tcW w:w="1957" w:type="dxa"/>
            <w:tcBorders>
              <w:top w:val="nil"/>
              <w:bottom w:val="nil"/>
            </w:tcBorders>
            <w:vAlign w:val="center"/>
          </w:tcPr>
          <w:p w14:paraId="5919FE51" w14:textId="77777777" w:rsidR="00E158FE" w:rsidRPr="00CF44EA" w:rsidRDefault="00E158FE" w:rsidP="00286E68">
            <w:pPr>
              <w:jc w:val="left"/>
              <w:rPr>
                <w:rFonts w:ascii="Arial Narrow" w:hAnsi="Arial Narrow"/>
                <w:sz w:val="20"/>
                <w:szCs w:val="20"/>
              </w:rPr>
            </w:pPr>
            <w:r w:rsidRPr="00CF44EA">
              <w:rPr>
                <w:rFonts w:ascii="Arial Narrow" w:hAnsi="Arial Narrow"/>
                <w:sz w:val="20"/>
                <w:szCs w:val="20"/>
              </w:rPr>
              <w:t>Net cost to PBS/RPBS</w:t>
            </w:r>
          </w:p>
        </w:tc>
        <w:tc>
          <w:tcPr>
            <w:tcW w:w="1176" w:type="dxa"/>
            <w:tcBorders>
              <w:top w:val="nil"/>
              <w:bottom w:val="nil"/>
            </w:tcBorders>
            <w:vAlign w:val="center"/>
          </w:tcPr>
          <w:p w14:paraId="553E430A" w14:textId="15F49EC4" w:rsidR="00E158FE" w:rsidRPr="00D46191"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2"/>
                <w14:textFill>
                  <w14:solidFill>
                    <w14:srgbClr w14:val="000000">
                      <w14:alpha w14:val="100000"/>
                    </w14:srgbClr>
                  </w14:solidFill>
                </w14:textFill>
              </w:rPr>
              <w:t>|</w:t>
            </w:r>
            <w:r w:rsidR="00D46191">
              <w:rPr>
                <w:rFonts w:ascii="Arial Narrow" w:hAnsi="Arial Narrow"/>
                <w:sz w:val="20"/>
                <w:szCs w:val="20"/>
                <w:vertAlign w:val="superscript"/>
              </w:rPr>
              <w:t>19</w:t>
            </w:r>
          </w:p>
        </w:tc>
        <w:tc>
          <w:tcPr>
            <w:tcW w:w="1177" w:type="dxa"/>
            <w:tcBorders>
              <w:top w:val="nil"/>
              <w:bottom w:val="nil"/>
            </w:tcBorders>
            <w:vAlign w:val="center"/>
          </w:tcPr>
          <w:p w14:paraId="509EB9C3" w14:textId="23AC7D48" w:rsidR="00E158FE" w:rsidRPr="006B7725"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1"/>
                <w14:textFill>
                  <w14:solidFill>
                    <w14:srgbClr w14:val="000000">
                      <w14:alpha w14:val="100000"/>
                    </w14:srgbClr>
                  </w14:solidFill>
                </w14:textFill>
              </w:rPr>
              <w:t>|</w:t>
            </w:r>
            <w:r w:rsidR="006B7725">
              <w:rPr>
                <w:rFonts w:ascii="Arial Narrow" w:hAnsi="Arial Narrow"/>
                <w:sz w:val="20"/>
                <w:szCs w:val="20"/>
                <w:vertAlign w:val="superscript"/>
              </w:rPr>
              <w:t>22</w:t>
            </w:r>
          </w:p>
        </w:tc>
        <w:tc>
          <w:tcPr>
            <w:tcW w:w="1177" w:type="dxa"/>
            <w:tcBorders>
              <w:top w:val="nil"/>
              <w:bottom w:val="nil"/>
            </w:tcBorders>
            <w:vAlign w:val="center"/>
          </w:tcPr>
          <w:p w14:paraId="74495397" w14:textId="0193ED8E" w:rsidR="00E158FE" w:rsidRPr="00760687"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0"/>
                <w14:textFill>
                  <w14:solidFill>
                    <w14:srgbClr w14:val="000000">
                      <w14:alpha w14:val="100000"/>
                    </w14:srgbClr>
                  </w14:solidFill>
                </w14:textFill>
              </w:rPr>
              <w:t>|</w:t>
            </w:r>
            <w:r w:rsidR="00760687">
              <w:rPr>
                <w:rFonts w:ascii="Arial Narrow" w:hAnsi="Arial Narrow"/>
                <w:sz w:val="20"/>
                <w:szCs w:val="20"/>
                <w:vertAlign w:val="superscript"/>
              </w:rPr>
              <w:t>12</w:t>
            </w:r>
          </w:p>
        </w:tc>
        <w:tc>
          <w:tcPr>
            <w:tcW w:w="1176" w:type="dxa"/>
            <w:tcBorders>
              <w:top w:val="nil"/>
              <w:bottom w:val="nil"/>
            </w:tcBorders>
            <w:vAlign w:val="center"/>
          </w:tcPr>
          <w:p w14:paraId="3C18BB52" w14:textId="10D9C473" w:rsidR="00E158FE" w:rsidRPr="00457009"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9"/>
                <w14:textFill>
                  <w14:solidFill>
                    <w14:srgbClr w14:val="000000">
                      <w14:alpha w14:val="100000"/>
                    </w14:srgbClr>
                  </w14:solidFill>
                </w14:textFill>
              </w:rPr>
              <w:t>|</w:t>
            </w:r>
            <w:r w:rsidR="00457009">
              <w:rPr>
                <w:rFonts w:ascii="Arial Narrow" w:hAnsi="Arial Narrow"/>
                <w:sz w:val="20"/>
                <w:szCs w:val="20"/>
                <w:vertAlign w:val="superscript"/>
              </w:rPr>
              <w:t>23</w:t>
            </w:r>
          </w:p>
        </w:tc>
        <w:tc>
          <w:tcPr>
            <w:tcW w:w="1177" w:type="dxa"/>
            <w:tcBorders>
              <w:top w:val="nil"/>
              <w:bottom w:val="nil"/>
            </w:tcBorders>
            <w:vAlign w:val="center"/>
          </w:tcPr>
          <w:p w14:paraId="1BD70F2F" w14:textId="1B6D3CB3" w:rsidR="00E158FE" w:rsidRPr="00FE198C"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8"/>
                <w14:textFill>
                  <w14:solidFill>
                    <w14:srgbClr w14:val="000000">
                      <w14:alpha w14:val="100000"/>
                    </w14:srgbClr>
                  </w14:solidFill>
                </w14:textFill>
              </w:rPr>
              <w:t>|</w:t>
            </w:r>
            <w:r w:rsidR="00FE198C">
              <w:rPr>
                <w:rFonts w:ascii="Arial Narrow" w:hAnsi="Arial Narrow"/>
                <w:sz w:val="20"/>
                <w:szCs w:val="20"/>
                <w:vertAlign w:val="superscript"/>
              </w:rPr>
              <w:t>24</w:t>
            </w:r>
          </w:p>
        </w:tc>
        <w:tc>
          <w:tcPr>
            <w:tcW w:w="1177" w:type="dxa"/>
            <w:tcBorders>
              <w:top w:val="nil"/>
              <w:bottom w:val="nil"/>
            </w:tcBorders>
            <w:vAlign w:val="center"/>
          </w:tcPr>
          <w:p w14:paraId="246E421C" w14:textId="51331820" w:rsidR="00E158FE" w:rsidRPr="006F6577"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7"/>
                <w14:textFill>
                  <w14:solidFill>
                    <w14:srgbClr w14:val="000000">
                      <w14:alpha w14:val="100000"/>
                    </w14:srgbClr>
                  </w14:solidFill>
                </w14:textFill>
              </w:rPr>
              <w:t>|</w:t>
            </w:r>
            <w:r w:rsidR="006F6577">
              <w:rPr>
                <w:rFonts w:ascii="Arial Narrow" w:hAnsi="Arial Narrow"/>
                <w:sz w:val="20"/>
                <w:szCs w:val="20"/>
                <w:vertAlign w:val="superscript"/>
              </w:rPr>
              <w:t>14</w:t>
            </w:r>
          </w:p>
        </w:tc>
      </w:tr>
      <w:tr w:rsidR="00E158FE" w:rsidRPr="00CF44EA" w14:paraId="6673975F" w14:textId="77777777" w:rsidTr="00286E68">
        <w:tc>
          <w:tcPr>
            <w:tcW w:w="1957" w:type="dxa"/>
            <w:tcBorders>
              <w:top w:val="nil"/>
            </w:tcBorders>
            <w:vAlign w:val="center"/>
          </w:tcPr>
          <w:p w14:paraId="36EAF76B" w14:textId="77777777" w:rsidR="00E158FE" w:rsidRPr="00CF44EA" w:rsidRDefault="00E158FE" w:rsidP="00286E68">
            <w:pPr>
              <w:jc w:val="left"/>
              <w:rPr>
                <w:rFonts w:ascii="Arial Narrow" w:hAnsi="Arial Narrow"/>
                <w:sz w:val="20"/>
                <w:szCs w:val="20"/>
              </w:rPr>
            </w:pPr>
            <w:r w:rsidRPr="00CF44EA">
              <w:rPr>
                <w:rFonts w:ascii="Arial Narrow" w:hAnsi="Arial Narrow"/>
                <w:sz w:val="20"/>
                <w:szCs w:val="20"/>
              </w:rPr>
              <w:t>Net cost to health budget</w:t>
            </w:r>
          </w:p>
        </w:tc>
        <w:tc>
          <w:tcPr>
            <w:tcW w:w="1176" w:type="dxa"/>
            <w:tcBorders>
              <w:top w:val="nil"/>
            </w:tcBorders>
            <w:vAlign w:val="center"/>
          </w:tcPr>
          <w:p w14:paraId="6F22982A" w14:textId="1FBFA95A" w:rsidR="00E158FE" w:rsidRPr="00D46191"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6"/>
                <w14:textFill>
                  <w14:solidFill>
                    <w14:srgbClr w14:val="000000">
                      <w14:alpha w14:val="100000"/>
                    </w14:srgbClr>
                  </w14:solidFill>
                </w14:textFill>
              </w:rPr>
              <w:t>|</w:t>
            </w:r>
            <w:r w:rsidR="00D46191">
              <w:rPr>
                <w:rFonts w:ascii="Arial Narrow" w:hAnsi="Arial Narrow"/>
                <w:sz w:val="20"/>
                <w:szCs w:val="20"/>
                <w:vertAlign w:val="superscript"/>
              </w:rPr>
              <w:t>19</w:t>
            </w:r>
          </w:p>
        </w:tc>
        <w:tc>
          <w:tcPr>
            <w:tcW w:w="1177" w:type="dxa"/>
            <w:tcBorders>
              <w:top w:val="nil"/>
            </w:tcBorders>
            <w:vAlign w:val="center"/>
          </w:tcPr>
          <w:p w14:paraId="1D346A5D" w14:textId="23492F12" w:rsidR="00E158FE" w:rsidRPr="006B7725"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5"/>
                <w14:textFill>
                  <w14:solidFill>
                    <w14:srgbClr w14:val="000000">
                      <w14:alpha w14:val="100000"/>
                    </w14:srgbClr>
                  </w14:solidFill>
                </w14:textFill>
              </w:rPr>
              <w:t>|</w:t>
            </w:r>
            <w:r w:rsidR="006B7725">
              <w:rPr>
                <w:rFonts w:ascii="Arial Narrow" w:hAnsi="Arial Narrow"/>
                <w:sz w:val="20"/>
                <w:szCs w:val="20"/>
                <w:vertAlign w:val="superscript"/>
              </w:rPr>
              <w:t>22</w:t>
            </w:r>
          </w:p>
        </w:tc>
        <w:tc>
          <w:tcPr>
            <w:tcW w:w="1177" w:type="dxa"/>
            <w:tcBorders>
              <w:top w:val="nil"/>
            </w:tcBorders>
            <w:vAlign w:val="center"/>
          </w:tcPr>
          <w:p w14:paraId="7EE122DC" w14:textId="3FD2DB84" w:rsidR="00E158FE" w:rsidRPr="00760687"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4"/>
                <w14:textFill>
                  <w14:solidFill>
                    <w14:srgbClr w14:val="000000">
                      <w14:alpha w14:val="100000"/>
                    </w14:srgbClr>
                  </w14:solidFill>
                </w14:textFill>
              </w:rPr>
              <w:t>|</w:t>
            </w:r>
            <w:r w:rsidR="00760687">
              <w:rPr>
                <w:rFonts w:ascii="Arial Narrow" w:hAnsi="Arial Narrow"/>
                <w:sz w:val="20"/>
                <w:szCs w:val="20"/>
                <w:vertAlign w:val="superscript"/>
              </w:rPr>
              <w:t>12</w:t>
            </w:r>
          </w:p>
        </w:tc>
        <w:tc>
          <w:tcPr>
            <w:tcW w:w="1176" w:type="dxa"/>
            <w:tcBorders>
              <w:top w:val="nil"/>
            </w:tcBorders>
            <w:vAlign w:val="center"/>
          </w:tcPr>
          <w:p w14:paraId="1E035127" w14:textId="723DD000" w:rsidR="00E158FE" w:rsidRPr="00457009"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3"/>
                <w14:textFill>
                  <w14:solidFill>
                    <w14:srgbClr w14:val="000000">
                      <w14:alpha w14:val="100000"/>
                    </w14:srgbClr>
                  </w14:solidFill>
                </w14:textFill>
              </w:rPr>
              <w:t>|</w:t>
            </w:r>
            <w:r w:rsidR="00457009">
              <w:rPr>
                <w:rFonts w:ascii="Arial Narrow" w:hAnsi="Arial Narrow"/>
                <w:sz w:val="20"/>
                <w:szCs w:val="20"/>
                <w:vertAlign w:val="superscript"/>
              </w:rPr>
              <w:t>23</w:t>
            </w:r>
          </w:p>
        </w:tc>
        <w:tc>
          <w:tcPr>
            <w:tcW w:w="1177" w:type="dxa"/>
            <w:tcBorders>
              <w:top w:val="nil"/>
            </w:tcBorders>
            <w:vAlign w:val="center"/>
          </w:tcPr>
          <w:p w14:paraId="004D0922" w14:textId="669333DA" w:rsidR="00E158FE" w:rsidRPr="00FE198C"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2"/>
                <w14:textFill>
                  <w14:solidFill>
                    <w14:srgbClr w14:val="000000">
                      <w14:alpha w14:val="100000"/>
                    </w14:srgbClr>
                  </w14:solidFill>
                </w14:textFill>
              </w:rPr>
              <w:t>|</w:t>
            </w:r>
            <w:r w:rsidR="00FE198C">
              <w:rPr>
                <w:rFonts w:ascii="Arial Narrow" w:hAnsi="Arial Narrow"/>
                <w:sz w:val="20"/>
                <w:szCs w:val="20"/>
                <w:vertAlign w:val="superscript"/>
              </w:rPr>
              <w:t>24</w:t>
            </w:r>
          </w:p>
        </w:tc>
        <w:tc>
          <w:tcPr>
            <w:tcW w:w="1177" w:type="dxa"/>
            <w:tcBorders>
              <w:top w:val="nil"/>
            </w:tcBorders>
            <w:vAlign w:val="center"/>
          </w:tcPr>
          <w:p w14:paraId="2664072A" w14:textId="65CBAFAA" w:rsidR="00E158FE" w:rsidRPr="006F6577"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Pr>
                <w:rFonts w:ascii="Arial Narrow" w:hAnsi="Arial Narrow"/>
                <w:color w:val="000000"/>
                <w:spacing w:val="52"/>
                <w:sz w:val="20"/>
                <w:szCs w:val="20"/>
                <w:shd w:val="solid" w:color="000000" w:fill="000000"/>
                <w:fitText w:val="330" w:id="-628921088"/>
                <w14:textFill>
                  <w14:solidFill>
                    <w14:srgbClr w14:val="000000">
                      <w14:alpha w14:val="100000"/>
                    </w14:srgbClr>
                  </w14:solidFill>
                </w14:textFill>
              </w:rPr>
              <w:t>|||</w:t>
            </w:r>
            <w:r w:rsidR="00E77A69">
              <w:rPr>
                <w:rFonts w:ascii="Arial Narrow" w:hAnsi="Arial Narrow"/>
                <w:color w:val="000000"/>
                <w:spacing w:val="2"/>
                <w:sz w:val="20"/>
                <w:szCs w:val="20"/>
                <w:shd w:val="solid" w:color="000000" w:fill="000000"/>
                <w:fitText w:val="330" w:id="-628921088"/>
                <w14:textFill>
                  <w14:solidFill>
                    <w14:srgbClr w14:val="000000">
                      <w14:alpha w14:val="100000"/>
                    </w14:srgbClr>
                  </w14:solidFill>
                </w14:textFill>
              </w:rPr>
              <w:t>|</w:t>
            </w:r>
            <w:r w:rsidR="006F6577">
              <w:rPr>
                <w:rFonts w:ascii="Arial Narrow" w:hAnsi="Arial Narrow"/>
                <w:sz w:val="20"/>
                <w:szCs w:val="20"/>
                <w:vertAlign w:val="superscript"/>
              </w:rPr>
              <w:t>14</w:t>
            </w:r>
          </w:p>
        </w:tc>
      </w:tr>
    </w:tbl>
    <w:p w14:paraId="7B82F9D0" w14:textId="77777777" w:rsidR="00E158FE" w:rsidRDefault="00E158FE" w:rsidP="00E158FE">
      <w:pPr>
        <w:rPr>
          <w:rFonts w:ascii="Arial Narrow" w:hAnsi="Arial Narrow"/>
          <w:sz w:val="18"/>
          <w:szCs w:val="18"/>
        </w:rPr>
      </w:pPr>
      <w:r w:rsidRPr="004C17D8">
        <w:rPr>
          <w:rFonts w:ascii="Arial Narrow" w:hAnsi="Arial Narrow"/>
          <w:sz w:val="18"/>
          <w:szCs w:val="18"/>
        </w:rPr>
        <w:t>Source: Table 4.13, p427, Tables 4.15 and 4.16, pp428-430, Table 4.18, p431, Tables 4.20 and 4.21, pp432-433, Tables 4.24 and 4.26, p435 of the submission</w:t>
      </w:r>
      <w:r>
        <w:rPr>
          <w:rFonts w:ascii="Arial Narrow" w:hAnsi="Arial Narrow"/>
          <w:sz w:val="18"/>
          <w:szCs w:val="18"/>
        </w:rPr>
        <w:t>, Attachment 4.1 USM Tremfya CD Jul-25 Base (1 of 3).xlsx, Attachment 4.2 USM Tremfya CD Jul-25 Base (2 of 3).xlsx and Attachment 4.3 USM Tremfya CD Jul-25 Base (3 of 3).xlsx.</w:t>
      </w:r>
    </w:p>
    <w:p w14:paraId="6AB6ACC0" w14:textId="77777777" w:rsidR="00E158FE" w:rsidRDefault="00E158FE" w:rsidP="00E158FE">
      <w:pPr>
        <w:rPr>
          <w:rFonts w:ascii="Arial Narrow" w:hAnsi="Arial Narrow"/>
          <w:sz w:val="18"/>
          <w:szCs w:val="18"/>
        </w:rPr>
      </w:pPr>
      <w:r w:rsidRPr="00AF30DB">
        <w:rPr>
          <w:rFonts w:ascii="Arial Narrow" w:hAnsi="Arial Narrow"/>
          <w:sz w:val="18"/>
          <w:szCs w:val="18"/>
        </w:rPr>
        <w:t>ADA=adalimumab; GUS=guselkumab; IFX=infliximab; UPA=upadacitinib; UST=ustekinumab; VDZ=vedolizumab</w:t>
      </w:r>
      <w:r>
        <w:rPr>
          <w:rFonts w:ascii="Arial Narrow" w:hAnsi="Arial Narrow"/>
          <w:sz w:val="18"/>
          <w:szCs w:val="18"/>
        </w:rPr>
        <w:t>.</w:t>
      </w:r>
    </w:p>
    <w:p w14:paraId="7D0E3C41" w14:textId="77777777" w:rsidR="00E158FE" w:rsidRPr="008A2601" w:rsidRDefault="00E158FE" w:rsidP="00E158FE">
      <w:pPr>
        <w:rPr>
          <w:rFonts w:ascii="Arial Narrow" w:hAnsi="Arial Narrow"/>
          <w:sz w:val="18"/>
          <w:szCs w:val="18"/>
        </w:rPr>
      </w:pPr>
      <w:r w:rsidRPr="008A2601">
        <w:rPr>
          <w:rFonts w:ascii="Arial Narrow" w:hAnsi="Arial Narrow"/>
          <w:sz w:val="18"/>
          <w:szCs w:val="18"/>
          <w:vertAlign w:val="superscript"/>
        </w:rPr>
        <w:t>a</w:t>
      </w:r>
      <w:r w:rsidRPr="008A2601">
        <w:rPr>
          <w:rFonts w:ascii="Arial Narrow" w:hAnsi="Arial Narrow"/>
          <w:sz w:val="18"/>
          <w:szCs w:val="18"/>
        </w:rPr>
        <w:tab/>
        <w:t>Calculated by adding across all three EXCEL files.</w:t>
      </w:r>
    </w:p>
    <w:p w14:paraId="262A8925" w14:textId="77777777" w:rsidR="00E158FE" w:rsidRPr="008A2601" w:rsidRDefault="00E158FE" w:rsidP="00E158FE">
      <w:pPr>
        <w:rPr>
          <w:rFonts w:ascii="Arial Narrow" w:hAnsi="Arial Narrow"/>
          <w:sz w:val="18"/>
          <w:szCs w:val="18"/>
        </w:rPr>
      </w:pPr>
      <w:r w:rsidRPr="008A2601">
        <w:rPr>
          <w:rFonts w:ascii="Arial Narrow" w:hAnsi="Arial Narrow"/>
          <w:sz w:val="18"/>
          <w:szCs w:val="18"/>
          <w:vertAlign w:val="superscript"/>
        </w:rPr>
        <w:t>b</w:t>
      </w:r>
      <w:r w:rsidRPr="008A2601">
        <w:rPr>
          <w:rFonts w:ascii="Arial Narrow" w:hAnsi="Arial Narrow"/>
          <w:sz w:val="18"/>
          <w:szCs w:val="18"/>
        </w:rPr>
        <w:tab/>
        <w:t>This was derived from row 70 and row 75 of ‘5. Impact – net’ worksheet in EXCEL file 1 of 3, which was calculated by adding across all three EXCEL files.</w:t>
      </w:r>
    </w:p>
    <w:p w14:paraId="48DC09E9" w14:textId="77777777" w:rsidR="00E158FE" w:rsidRDefault="00E158FE" w:rsidP="00E158FE">
      <w:pPr>
        <w:rPr>
          <w:rFonts w:ascii="Arial Narrow" w:hAnsi="Arial Narrow"/>
          <w:sz w:val="18"/>
          <w:szCs w:val="18"/>
        </w:rPr>
      </w:pPr>
      <w:r w:rsidRPr="008A2601">
        <w:rPr>
          <w:rFonts w:ascii="Arial Narrow" w:hAnsi="Arial Narrow"/>
          <w:sz w:val="18"/>
          <w:szCs w:val="18"/>
          <w:vertAlign w:val="superscript"/>
        </w:rPr>
        <w:t>c</w:t>
      </w:r>
      <w:r w:rsidRPr="008A2601">
        <w:rPr>
          <w:rFonts w:ascii="Arial Narrow" w:hAnsi="Arial Narrow"/>
          <w:sz w:val="18"/>
          <w:szCs w:val="18"/>
          <w:vertAlign w:val="superscript"/>
        </w:rPr>
        <w:tab/>
      </w:r>
      <w:r w:rsidRPr="008A2601">
        <w:rPr>
          <w:rFonts w:ascii="Arial Narrow" w:hAnsi="Arial Narrow"/>
          <w:sz w:val="18"/>
          <w:szCs w:val="18"/>
        </w:rPr>
        <w:t>Derived only from file 1 of 3.</w:t>
      </w:r>
    </w:p>
    <w:p w14:paraId="2A25BC8E" w14:textId="77777777" w:rsidR="00824B18" w:rsidRPr="00824B18" w:rsidRDefault="00824B18" w:rsidP="00824B18">
      <w:pPr>
        <w:rPr>
          <w:rFonts w:ascii="Arial Narrow" w:hAnsi="Arial Narrow"/>
          <w:i/>
          <w:sz w:val="18"/>
          <w:szCs w:val="18"/>
        </w:rPr>
      </w:pPr>
      <w:r w:rsidRPr="00824B18">
        <w:rPr>
          <w:rFonts w:ascii="Arial Narrow" w:hAnsi="Arial Narrow"/>
          <w:i/>
          <w:sz w:val="18"/>
          <w:szCs w:val="18"/>
        </w:rPr>
        <w:t xml:space="preserve">The redacted values correspond to the following ranges: </w:t>
      </w:r>
    </w:p>
    <w:p w14:paraId="04BF6A48" w14:textId="3A3BE774"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1</w:t>
      </w:r>
      <w:r w:rsidRPr="00824B18">
        <w:rPr>
          <w:rFonts w:ascii="Arial Narrow" w:hAnsi="Arial Narrow"/>
          <w:i/>
          <w:sz w:val="18"/>
          <w:szCs w:val="18"/>
        </w:rPr>
        <w:t xml:space="preserve"> </w:t>
      </w:r>
      <w:r w:rsidR="00664CE3" w:rsidRPr="00664CE3">
        <w:rPr>
          <w:rFonts w:ascii="Arial Narrow" w:hAnsi="Arial Narrow"/>
          <w:i/>
          <w:sz w:val="18"/>
          <w:szCs w:val="18"/>
        </w:rPr>
        <w:t>10,000 to &lt; 20,000</w:t>
      </w:r>
    </w:p>
    <w:p w14:paraId="3E5D05B4" w14:textId="7A86D1FE"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2</w:t>
      </w:r>
      <w:r w:rsidRPr="00824B18">
        <w:rPr>
          <w:rFonts w:ascii="Arial Narrow" w:hAnsi="Arial Narrow"/>
          <w:i/>
          <w:sz w:val="18"/>
          <w:szCs w:val="18"/>
        </w:rPr>
        <w:t xml:space="preserve"> </w:t>
      </w:r>
      <w:r w:rsidR="002F2459" w:rsidRPr="002F2459">
        <w:rPr>
          <w:rFonts w:ascii="Arial Narrow" w:hAnsi="Arial Narrow"/>
          <w:i/>
          <w:sz w:val="18"/>
          <w:szCs w:val="18"/>
        </w:rPr>
        <w:t>30,000 to &lt; 40,000</w:t>
      </w:r>
    </w:p>
    <w:p w14:paraId="11B0910D" w14:textId="1F03B682"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3</w:t>
      </w:r>
      <w:r w:rsidRPr="00824B18">
        <w:rPr>
          <w:rFonts w:ascii="Arial Narrow" w:hAnsi="Arial Narrow"/>
          <w:i/>
          <w:sz w:val="18"/>
          <w:szCs w:val="18"/>
        </w:rPr>
        <w:t xml:space="preserve"> </w:t>
      </w:r>
      <w:r w:rsidR="00595152" w:rsidRPr="00595152">
        <w:rPr>
          <w:rFonts w:ascii="Arial Narrow" w:hAnsi="Arial Narrow"/>
          <w:i/>
          <w:sz w:val="18"/>
          <w:szCs w:val="18"/>
        </w:rPr>
        <w:t>40,000 to &lt; 50,000</w:t>
      </w:r>
    </w:p>
    <w:p w14:paraId="3DB95E37" w14:textId="145F6B6F"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4</w:t>
      </w:r>
      <w:r w:rsidRPr="00824B18">
        <w:rPr>
          <w:rFonts w:ascii="Arial Narrow" w:hAnsi="Arial Narrow"/>
          <w:i/>
          <w:sz w:val="18"/>
          <w:szCs w:val="18"/>
        </w:rPr>
        <w:t xml:space="preserve"> </w:t>
      </w:r>
      <w:r w:rsidR="006E39B1" w:rsidRPr="006E39B1">
        <w:rPr>
          <w:rFonts w:ascii="Arial Narrow" w:hAnsi="Arial Narrow"/>
          <w:i/>
          <w:sz w:val="18"/>
          <w:szCs w:val="18"/>
        </w:rPr>
        <w:t>50,000 to &lt; 60,000</w:t>
      </w:r>
    </w:p>
    <w:p w14:paraId="0B602A31" w14:textId="54BBA085"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5</w:t>
      </w:r>
      <w:r w:rsidRPr="00824B18">
        <w:rPr>
          <w:rFonts w:ascii="Arial Narrow" w:hAnsi="Arial Narrow"/>
          <w:i/>
          <w:sz w:val="18"/>
          <w:szCs w:val="18"/>
        </w:rPr>
        <w:t xml:space="preserve"> </w:t>
      </w:r>
      <w:r w:rsidR="00B229BA" w:rsidRPr="00B229BA">
        <w:rPr>
          <w:rFonts w:ascii="Arial Narrow" w:hAnsi="Arial Narrow"/>
          <w:i/>
          <w:sz w:val="18"/>
          <w:szCs w:val="18"/>
        </w:rPr>
        <w:t>70,000 to &lt; 80,000</w:t>
      </w:r>
    </w:p>
    <w:p w14:paraId="651FECE3" w14:textId="77777777" w:rsidR="00DF7032" w:rsidRPr="00DF7032" w:rsidRDefault="00824B18" w:rsidP="00DF7032">
      <w:pPr>
        <w:rPr>
          <w:rFonts w:ascii="Arial Narrow" w:hAnsi="Arial Narrow"/>
          <w:i/>
          <w:sz w:val="18"/>
          <w:szCs w:val="18"/>
        </w:rPr>
      </w:pPr>
      <w:r w:rsidRPr="00824B18">
        <w:rPr>
          <w:rFonts w:ascii="Arial Narrow" w:hAnsi="Arial Narrow"/>
          <w:i/>
          <w:sz w:val="18"/>
          <w:szCs w:val="18"/>
          <w:vertAlign w:val="superscript"/>
        </w:rPr>
        <w:t>6</w:t>
      </w:r>
      <w:r w:rsidRPr="00824B18">
        <w:rPr>
          <w:rFonts w:ascii="Arial Narrow" w:hAnsi="Arial Narrow"/>
          <w:i/>
          <w:sz w:val="18"/>
          <w:szCs w:val="18"/>
        </w:rPr>
        <w:t xml:space="preserve"> </w:t>
      </w:r>
      <w:r w:rsidR="00DF7032" w:rsidRPr="00DF7032">
        <w:rPr>
          <w:rFonts w:ascii="Arial Narrow" w:hAnsi="Arial Narrow"/>
          <w:i/>
          <w:sz w:val="18"/>
          <w:szCs w:val="18"/>
        </w:rPr>
        <w:t>80,000 to &lt; 90,000</w:t>
      </w:r>
    </w:p>
    <w:p w14:paraId="73912298" w14:textId="77777777" w:rsidR="00213C47" w:rsidRDefault="00DF7032" w:rsidP="00213C47">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213C47" w:rsidRPr="00213C47">
        <w:rPr>
          <w:rFonts w:ascii="Arial Narrow" w:hAnsi="Arial Narrow"/>
          <w:i/>
          <w:sz w:val="18"/>
          <w:szCs w:val="18"/>
        </w:rPr>
        <w:t>500 to &lt; 5,000</w:t>
      </w:r>
    </w:p>
    <w:p w14:paraId="7E77EAA9" w14:textId="77777777" w:rsidR="000275E4" w:rsidRDefault="00F178FE" w:rsidP="000275E4">
      <w:pPr>
        <w:rPr>
          <w:rFonts w:ascii="Arial Narrow" w:hAnsi="Arial Narrow"/>
          <w:i/>
          <w:sz w:val="18"/>
          <w:szCs w:val="18"/>
        </w:rPr>
      </w:pPr>
      <w:r>
        <w:rPr>
          <w:rFonts w:ascii="Arial Narrow" w:hAnsi="Arial Narrow"/>
          <w:i/>
          <w:sz w:val="18"/>
          <w:szCs w:val="18"/>
          <w:vertAlign w:val="superscript"/>
        </w:rPr>
        <w:t xml:space="preserve">8 </w:t>
      </w:r>
      <w:r w:rsidR="000275E4" w:rsidRPr="000275E4">
        <w:rPr>
          <w:rFonts w:ascii="Arial Narrow" w:hAnsi="Arial Narrow"/>
          <w:i/>
          <w:sz w:val="18"/>
          <w:szCs w:val="18"/>
        </w:rPr>
        <w:t>5,000 to &lt; 10,000</w:t>
      </w:r>
    </w:p>
    <w:p w14:paraId="7F726E44" w14:textId="77777777" w:rsidR="00F15542" w:rsidRDefault="00F15542" w:rsidP="00F15542">
      <w:pPr>
        <w:rPr>
          <w:rFonts w:ascii="Arial Narrow" w:hAnsi="Arial Narrow"/>
          <w:i/>
          <w:sz w:val="18"/>
          <w:szCs w:val="18"/>
        </w:rPr>
      </w:pPr>
      <w:r>
        <w:rPr>
          <w:rFonts w:ascii="Arial Narrow" w:hAnsi="Arial Narrow"/>
          <w:i/>
          <w:sz w:val="18"/>
          <w:szCs w:val="18"/>
          <w:vertAlign w:val="superscript"/>
        </w:rPr>
        <w:t xml:space="preserve">9 </w:t>
      </w:r>
      <w:r w:rsidRPr="00F15542">
        <w:rPr>
          <w:rFonts w:ascii="Arial Narrow" w:hAnsi="Arial Narrow"/>
          <w:i/>
          <w:sz w:val="18"/>
          <w:szCs w:val="18"/>
        </w:rPr>
        <w:t>20,000 to &lt; 30,000</w:t>
      </w:r>
    </w:p>
    <w:p w14:paraId="5E9D1D71" w14:textId="13475110" w:rsidR="00707E01" w:rsidRDefault="00707E01" w:rsidP="00707E01">
      <w:pPr>
        <w:rPr>
          <w:rFonts w:ascii="Arial Narrow" w:hAnsi="Arial Narrow"/>
          <w:i/>
          <w:sz w:val="18"/>
          <w:szCs w:val="18"/>
        </w:rPr>
      </w:pPr>
      <w:r>
        <w:rPr>
          <w:rFonts w:ascii="Arial Narrow" w:hAnsi="Arial Narrow"/>
          <w:i/>
          <w:sz w:val="18"/>
          <w:szCs w:val="18"/>
          <w:vertAlign w:val="superscript"/>
        </w:rPr>
        <w:t xml:space="preserve">10 </w:t>
      </w:r>
      <w:r w:rsidRPr="00707E01">
        <w:rPr>
          <w:rFonts w:ascii="Arial Narrow" w:hAnsi="Arial Narrow"/>
          <w:i/>
          <w:sz w:val="18"/>
          <w:szCs w:val="18"/>
        </w:rPr>
        <w:t>40,000 to &lt; 50,000</w:t>
      </w:r>
    </w:p>
    <w:p w14:paraId="4D9042E8" w14:textId="77777777" w:rsidR="00FC49FB" w:rsidRDefault="00226EA3" w:rsidP="00FC49FB">
      <w:pPr>
        <w:rPr>
          <w:rFonts w:ascii="Arial Narrow" w:hAnsi="Arial Narrow"/>
          <w:i/>
          <w:sz w:val="18"/>
          <w:szCs w:val="18"/>
        </w:rPr>
      </w:pPr>
      <w:r>
        <w:rPr>
          <w:rFonts w:ascii="Arial Narrow" w:hAnsi="Arial Narrow"/>
          <w:i/>
          <w:sz w:val="18"/>
          <w:szCs w:val="18"/>
          <w:vertAlign w:val="superscript"/>
        </w:rPr>
        <w:t xml:space="preserve">11 </w:t>
      </w:r>
      <w:r w:rsidR="00FC49FB" w:rsidRPr="00FC49FB">
        <w:rPr>
          <w:rFonts w:ascii="Arial Narrow" w:hAnsi="Arial Narrow"/>
          <w:i/>
          <w:sz w:val="18"/>
          <w:szCs w:val="18"/>
        </w:rPr>
        <w:t>$30 million to &lt; $40 million</w:t>
      </w:r>
    </w:p>
    <w:p w14:paraId="27FF41C5" w14:textId="77777777" w:rsidR="00325555" w:rsidRDefault="00325555" w:rsidP="00325555">
      <w:pPr>
        <w:rPr>
          <w:rFonts w:ascii="Arial Narrow" w:hAnsi="Arial Narrow"/>
          <w:i/>
          <w:sz w:val="18"/>
          <w:szCs w:val="18"/>
        </w:rPr>
      </w:pPr>
      <w:r>
        <w:rPr>
          <w:rFonts w:ascii="Arial Narrow" w:hAnsi="Arial Narrow"/>
          <w:i/>
          <w:sz w:val="18"/>
          <w:szCs w:val="18"/>
          <w:vertAlign w:val="superscript"/>
        </w:rPr>
        <w:t xml:space="preserve">12 </w:t>
      </w:r>
      <w:r w:rsidRPr="00325555">
        <w:rPr>
          <w:rFonts w:ascii="Arial Narrow" w:hAnsi="Arial Narrow"/>
          <w:i/>
          <w:sz w:val="18"/>
          <w:szCs w:val="18"/>
        </w:rPr>
        <w:t>$50 million to &lt; $60 million</w:t>
      </w:r>
    </w:p>
    <w:p w14:paraId="54F2AB0E" w14:textId="458F30AA" w:rsidR="003E4204" w:rsidRDefault="003E4204" w:rsidP="00325555">
      <w:pPr>
        <w:rPr>
          <w:rFonts w:ascii="Arial Narrow" w:hAnsi="Arial Narrow"/>
          <w:i/>
          <w:sz w:val="18"/>
          <w:szCs w:val="18"/>
        </w:rPr>
      </w:pPr>
      <w:r>
        <w:rPr>
          <w:rFonts w:ascii="Arial Narrow" w:hAnsi="Arial Narrow"/>
          <w:i/>
          <w:sz w:val="18"/>
          <w:szCs w:val="18"/>
          <w:vertAlign w:val="superscript"/>
        </w:rPr>
        <w:t xml:space="preserve">13 </w:t>
      </w:r>
      <w:r w:rsidRPr="003E4204">
        <w:rPr>
          <w:rFonts w:ascii="Arial Narrow" w:hAnsi="Arial Narrow"/>
          <w:i/>
          <w:sz w:val="18"/>
          <w:szCs w:val="18"/>
        </w:rPr>
        <w:t>$80 million to &lt; $90 million</w:t>
      </w:r>
    </w:p>
    <w:p w14:paraId="42807D50" w14:textId="676F402E" w:rsidR="00F0648F" w:rsidRDefault="00F0648F" w:rsidP="00F0648F">
      <w:pPr>
        <w:rPr>
          <w:rFonts w:ascii="Arial Narrow" w:hAnsi="Arial Narrow"/>
          <w:i/>
          <w:sz w:val="18"/>
          <w:szCs w:val="18"/>
        </w:rPr>
      </w:pPr>
      <w:r>
        <w:rPr>
          <w:rFonts w:ascii="Arial Narrow" w:hAnsi="Arial Narrow"/>
          <w:i/>
          <w:sz w:val="18"/>
          <w:szCs w:val="18"/>
          <w:vertAlign w:val="superscript"/>
        </w:rPr>
        <w:t xml:space="preserve">14 </w:t>
      </w:r>
      <w:r w:rsidRPr="00F0648F">
        <w:rPr>
          <w:rFonts w:ascii="Arial Narrow" w:hAnsi="Arial Narrow"/>
          <w:i/>
          <w:sz w:val="18"/>
          <w:szCs w:val="18"/>
        </w:rPr>
        <w:t>$100 million to &lt; $200 million</w:t>
      </w:r>
    </w:p>
    <w:p w14:paraId="02AC03F5" w14:textId="47959873" w:rsidR="004974EA" w:rsidRDefault="004974EA" w:rsidP="004974EA">
      <w:pPr>
        <w:rPr>
          <w:rFonts w:ascii="Arial Narrow" w:hAnsi="Arial Narrow"/>
          <w:i/>
          <w:sz w:val="18"/>
          <w:szCs w:val="18"/>
        </w:rPr>
      </w:pPr>
      <w:r>
        <w:rPr>
          <w:rFonts w:ascii="Arial Narrow" w:hAnsi="Arial Narrow"/>
          <w:i/>
          <w:sz w:val="18"/>
          <w:szCs w:val="18"/>
          <w:vertAlign w:val="superscript"/>
        </w:rPr>
        <w:t xml:space="preserve">15 </w:t>
      </w:r>
      <w:r w:rsidRPr="004974EA">
        <w:rPr>
          <w:rFonts w:ascii="Arial Narrow" w:hAnsi="Arial Narrow"/>
          <w:i/>
          <w:sz w:val="18"/>
          <w:szCs w:val="18"/>
        </w:rPr>
        <w:t>40,000 to &lt; 50,000</w:t>
      </w:r>
    </w:p>
    <w:p w14:paraId="2DFC2233" w14:textId="77777777" w:rsidR="00A758F6" w:rsidRDefault="00B34CAB" w:rsidP="00A758F6">
      <w:pPr>
        <w:rPr>
          <w:rFonts w:ascii="Arial Narrow" w:hAnsi="Arial Narrow"/>
          <w:i/>
          <w:sz w:val="18"/>
          <w:szCs w:val="18"/>
        </w:rPr>
      </w:pPr>
      <w:r>
        <w:rPr>
          <w:rFonts w:ascii="Arial Narrow" w:hAnsi="Arial Narrow"/>
          <w:i/>
          <w:sz w:val="18"/>
          <w:szCs w:val="18"/>
          <w:vertAlign w:val="superscript"/>
        </w:rPr>
        <w:t xml:space="preserve">16 </w:t>
      </w:r>
      <w:r w:rsidR="00A758F6" w:rsidRPr="00A758F6">
        <w:rPr>
          <w:rFonts w:ascii="Arial Narrow" w:hAnsi="Arial Narrow"/>
          <w:i/>
          <w:sz w:val="18"/>
          <w:szCs w:val="18"/>
        </w:rPr>
        <w:t>60,000 to &lt; 70,000</w:t>
      </w:r>
    </w:p>
    <w:p w14:paraId="0D997EB4" w14:textId="77777777" w:rsidR="006675AE" w:rsidRDefault="006675AE" w:rsidP="006675AE">
      <w:pPr>
        <w:rPr>
          <w:rFonts w:ascii="Arial Narrow" w:hAnsi="Arial Narrow"/>
          <w:i/>
          <w:sz w:val="18"/>
          <w:szCs w:val="18"/>
        </w:rPr>
      </w:pPr>
      <w:r>
        <w:rPr>
          <w:rFonts w:ascii="Arial Narrow" w:hAnsi="Arial Narrow"/>
          <w:i/>
          <w:sz w:val="18"/>
          <w:szCs w:val="18"/>
          <w:vertAlign w:val="superscript"/>
        </w:rPr>
        <w:t>17</w:t>
      </w:r>
      <w:r>
        <w:rPr>
          <w:rFonts w:ascii="Arial Narrow" w:hAnsi="Arial Narrow"/>
          <w:i/>
          <w:sz w:val="18"/>
          <w:szCs w:val="18"/>
        </w:rPr>
        <w:t xml:space="preserve"> </w:t>
      </w:r>
      <w:r w:rsidRPr="006675AE">
        <w:rPr>
          <w:rFonts w:ascii="Arial Narrow" w:hAnsi="Arial Narrow"/>
          <w:i/>
          <w:sz w:val="18"/>
          <w:szCs w:val="18"/>
        </w:rPr>
        <w:t>20,000 to &lt; 30,000</w:t>
      </w:r>
    </w:p>
    <w:p w14:paraId="6005C6BB" w14:textId="493A800C" w:rsidR="006675AE" w:rsidRDefault="009D25E6" w:rsidP="00A758F6">
      <w:pPr>
        <w:rPr>
          <w:rFonts w:ascii="Arial Narrow" w:hAnsi="Arial Narrow"/>
          <w:i/>
          <w:sz w:val="18"/>
          <w:szCs w:val="18"/>
        </w:rPr>
      </w:pPr>
      <w:r>
        <w:rPr>
          <w:rFonts w:ascii="Arial Narrow" w:hAnsi="Arial Narrow"/>
          <w:i/>
          <w:sz w:val="18"/>
          <w:szCs w:val="18"/>
          <w:vertAlign w:val="superscript"/>
        </w:rPr>
        <w:t>18</w:t>
      </w:r>
      <w:r>
        <w:rPr>
          <w:rFonts w:ascii="Arial Narrow" w:hAnsi="Arial Narrow"/>
          <w:i/>
          <w:sz w:val="18"/>
          <w:szCs w:val="18"/>
        </w:rPr>
        <w:t xml:space="preserve"> </w:t>
      </w:r>
      <w:r w:rsidRPr="009D25E6">
        <w:rPr>
          <w:rFonts w:ascii="Arial Narrow" w:hAnsi="Arial Narrow"/>
          <w:i/>
          <w:sz w:val="18"/>
          <w:szCs w:val="18"/>
        </w:rPr>
        <w:t>$10 million to &lt; $20 million</w:t>
      </w:r>
    </w:p>
    <w:p w14:paraId="0E886DD6" w14:textId="77777777" w:rsidR="00A11E88" w:rsidRDefault="00A11E88" w:rsidP="00A11E88">
      <w:pPr>
        <w:rPr>
          <w:rFonts w:ascii="Arial Narrow" w:hAnsi="Arial Narrow"/>
          <w:i/>
          <w:sz w:val="18"/>
          <w:szCs w:val="18"/>
        </w:rPr>
      </w:pPr>
      <w:r>
        <w:rPr>
          <w:rFonts w:ascii="Arial Narrow" w:hAnsi="Arial Narrow"/>
          <w:i/>
          <w:sz w:val="18"/>
          <w:szCs w:val="18"/>
          <w:vertAlign w:val="superscript"/>
        </w:rPr>
        <w:t>19</w:t>
      </w:r>
      <w:r>
        <w:rPr>
          <w:rFonts w:ascii="Arial Narrow" w:hAnsi="Arial Narrow"/>
          <w:i/>
          <w:sz w:val="18"/>
          <w:szCs w:val="18"/>
        </w:rPr>
        <w:t xml:space="preserve"> </w:t>
      </w:r>
      <w:r w:rsidRPr="00A11E88">
        <w:rPr>
          <w:rFonts w:ascii="Arial Narrow" w:hAnsi="Arial Narrow"/>
          <w:i/>
          <w:sz w:val="18"/>
          <w:szCs w:val="18"/>
        </w:rPr>
        <w:t>$20 million to &lt; $30 million</w:t>
      </w:r>
    </w:p>
    <w:p w14:paraId="538F749A" w14:textId="77777777" w:rsidR="00001B96" w:rsidRDefault="00001B96" w:rsidP="00001B96">
      <w:pPr>
        <w:rPr>
          <w:rFonts w:ascii="Arial Narrow" w:hAnsi="Arial Narrow"/>
          <w:i/>
          <w:sz w:val="18"/>
          <w:szCs w:val="18"/>
        </w:rPr>
      </w:pPr>
      <w:r>
        <w:rPr>
          <w:rFonts w:ascii="Arial Narrow" w:hAnsi="Arial Narrow"/>
          <w:i/>
          <w:sz w:val="18"/>
          <w:szCs w:val="18"/>
          <w:vertAlign w:val="superscript"/>
        </w:rPr>
        <w:t>20</w:t>
      </w:r>
      <w:r>
        <w:rPr>
          <w:rFonts w:ascii="Arial Narrow" w:hAnsi="Arial Narrow"/>
          <w:i/>
          <w:sz w:val="18"/>
          <w:szCs w:val="18"/>
        </w:rPr>
        <w:t xml:space="preserve"> </w:t>
      </w:r>
      <w:r w:rsidRPr="00001B96">
        <w:rPr>
          <w:rFonts w:ascii="Arial Narrow" w:hAnsi="Arial Narrow"/>
          <w:i/>
          <w:sz w:val="18"/>
          <w:szCs w:val="18"/>
        </w:rPr>
        <w:t>$40 million to &lt; $50 million</w:t>
      </w:r>
    </w:p>
    <w:p w14:paraId="26083007" w14:textId="77777777" w:rsidR="00F407C0" w:rsidRDefault="00F407C0" w:rsidP="00F407C0">
      <w:pPr>
        <w:rPr>
          <w:rFonts w:ascii="Arial Narrow" w:hAnsi="Arial Narrow"/>
          <w:i/>
          <w:sz w:val="18"/>
          <w:szCs w:val="18"/>
        </w:rPr>
      </w:pPr>
      <w:r>
        <w:rPr>
          <w:rFonts w:ascii="Arial Narrow" w:hAnsi="Arial Narrow"/>
          <w:i/>
          <w:sz w:val="18"/>
          <w:szCs w:val="18"/>
          <w:vertAlign w:val="superscript"/>
        </w:rPr>
        <w:t>21</w:t>
      </w:r>
      <w:r>
        <w:rPr>
          <w:rFonts w:ascii="Arial Narrow" w:hAnsi="Arial Narrow"/>
          <w:i/>
          <w:sz w:val="18"/>
          <w:szCs w:val="18"/>
        </w:rPr>
        <w:t xml:space="preserve"> </w:t>
      </w:r>
      <w:r w:rsidRPr="00F407C0">
        <w:rPr>
          <w:rFonts w:ascii="Arial Narrow" w:hAnsi="Arial Narrow"/>
          <w:i/>
          <w:sz w:val="18"/>
          <w:szCs w:val="18"/>
        </w:rPr>
        <w:t>$0 to &lt; $10 million</w:t>
      </w:r>
    </w:p>
    <w:p w14:paraId="283A71E2" w14:textId="77777777" w:rsidR="006B7725" w:rsidRDefault="006B7725" w:rsidP="006B7725">
      <w:pPr>
        <w:rPr>
          <w:rFonts w:ascii="Arial Narrow" w:hAnsi="Arial Narrow"/>
          <w:i/>
          <w:sz w:val="18"/>
          <w:szCs w:val="18"/>
        </w:rPr>
      </w:pPr>
      <w:r>
        <w:rPr>
          <w:rFonts w:ascii="Arial Narrow" w:hAnsi="Arial Narrow"/>
          <w:i/>
          <w:sz w:val="18"/>
          <w:szCs w:val="18"/>
          <w:vertAlign w:val="superscript"/>
        </w:rPr>
        <w:t>22</w:t>
      </w:r>
      <w:r>
        <w:rPr>
          <w:rFonts w:ascii="Arial Narrow" w:hAnsi="Arial Narrow"/>
          <w:i/>
          <w:sz w:val="18"/>
          <w:szCs w:val="18"/>
        </w:rPr>
        <w:t xml:space="preserve"> </w:t>
      </w:r>
      <w:r w:rsidRPr="006B7725">
        <w:rPr>
          <w:rFonts w:ascii="Arial Narrow" w:hAnsi="Arial Narrow"/>
          <w:i/>
          <w:sz w:val="18"/>
          <w:szCs w:val="18"/>
        </w:rPr>
        <w:t>$40 million to &lt; $50 million</w:t>
      </w:r>
    </w:p>
    <w:p w14:paraId="36060710" w14:textId="72A08BDC" w:rsidR="00457009" w:rsidRDefault="00457009" w:rsidP="006B7725">
      <w:pPr>
        <w:rPr>
          <w:rFonts w:ascii="Arial Narrow" w:hAnsi="Arial Narrow"/>
          <w:i/>
          <w:sz w:val="18"/>
          <w:szCs w:val="18"/>
        </w:rPr>
      </w:pPr>
      <w:r>
        <w:rPr>
          <w:rFonts w:ascii="Arial Narrow" w:hAnsi="Arial Narrow"/>
          <w:i/>
          <w:sz w:val="18"/>
          <w:szCs w:val="18"/>
          <w:vertAlign w:val="superscript"/>
        </w:rPr>
        <w:t xml:space="preserve">23 </w:t>
      </w:r>
      <w:r w:rsidRPr="00457009">
        <w:rPr>
          <w:rFonts w:ascii="Arial Narrow" w:hAnsi="Arial Narrow"/>
          <w:i/>
          <w:sz w:val="18"/>
          <w:szCs w:val="18"/>
        </w:rPr>
        <w:t>$70 million to &lt; $80 million</w:t>
      </w:r>
    </w:p>
    <w:p w14:paraId="0F2D5167" w14:textId="77777777" w:rsidR="00FE198C" w:rsidRPr="00FE198C" w:rsidRDefault="00FE198C" w:rsidP="00FE198C">
      <w:pPr>
        <w:rPr>
          <w:rFonts w:ascii="Arial Narrow" w:hAnsi="Arial Narrow"/>
          <w:i/>
          <w:sz w:val="18"/>
          <w:szCs w:val="18"/>
        </w:rPr>
      </w:pPr>
      <w:r>
        <w:rPr>
          <w:rFonts w:ascii="Arial Narrow" w:hAnsi="Arial Narrow"/>
          <w:i/>
          <w:sz w:val="18"/>
          <w:szCs w:val="18"/>
          <w:vertAlign w:val="superscript"/>
        </w:rPr>
        <w:t>24</w:t>
      </w:r>
      <w:r>
        <w:rPr>
          <w:rFonts w:ascii="Arial Narrow" w:hAnsi="Arial Narrow"/>
          <w:i/>
          <w:sz w:val="18"/>
          <w:szCs w:val="18"/>
        </w:rPr>
        <w:t xml:space="preserve"> </w:t>
      </w:r>
      <w:r w:rsidRPr="00FE198C">
        <w:rPr>
          <w:rFonts w:ascii="Arial Narrow" w:hAnsi="Arial Narrow"/>
          <w:i/>
          <w:sz w:val="18"/>
          <w:szCs w:val="18"/>
        </w:rPr>
        <w:t>$90 million to &lt; $100 million</w:t>
      </w:r>
    </w:p>
    <w:p w14:paraId="64DC4345" w14:textId="77777777" w:rsidR="00824B18" w:rsidRPr="008A2601" w:rsidRDefault="00824B18" w:rsidP="00E158FE">
      <w:pPr>
        <w:rPr>
          <w:rFonts w:ascii="Arial Narrow" w:hAnsi="Arial Narrow"/>
          <w:sz w:val="18"/>
          <w:szCs w:val="18"/>
        </w:rPr>
      </w:pPr>
    </w:p>
    <w:p w14:paraId="07DCD9FD" w14:textId="1DEBD4C2" w:rsidR="00E158FE" w:rsidRPr="008A2601" w:rsidRDefault="00E158FE" w:rsidP="00286E68">
      <w:pPr>
        <w:pStyle w:val="3-BodyText"/>
      </w:pPr>
      <w:r>
        <w:t>The net cost to the PBS/RPBS of listing GUS was estimated to be $</w:t>
      </w:r>
      <w:r w:rsidR="001D1BB2" w:rsidRPr="001D1BB2">
        <w:t>400 million to &lt; $500</w:t>
      </w:r>
      <w:r>
        <w:t xml:space="preserve"> million and a net cost to the MBS -</w:t>
      </w:r>
      <w:r w:rsidR="001D1BB2" w:rsidRPr="001D1BB2">
        <w:t xml:space="preserve"> $0 to &lt; $10</w:t>
      </w:r>
      <w:r>
        <w:t xml:space="preserve"> million, over the first 6 years of listing. </w:t>
      </w:r>
      <w:r w:rsidRPr="008A2601">
        <w:t xml:space="preserve">A programming error was identified whereby the additional GUS IV scripts substituting ADA, UPA and VDZ were not included in the total MBS cost. Including these additional costs would increase the net cost to the MBS </w:t>
      </w:r>
      <w:r w:rsidR="001D1BB2" w:rsidRPr="001D1BB2">
        <w:t>$0 to &lt; $10</w:t>
      </w:r>
      <w:r w:rsidRPr="008A2601">
        <w:t xml:space="preserve"> million, over the first 6 years of listing.</w:t>
      </w:r>
    </w:p>
    <w:p w14:paraId="55703A4A" w14:textId="6D0765EF" w:rsidR="00E158FE" w:rsidRDefault="00E158FE" w:rsidP="00286E68">
      <w:pPr>
        <w:pStyle w:val="3-BodyText"/>
      </w:pPr>
      <w:r w:rsidRPr="008A2601">
        <w:t xml:space="preserve">The net cost to the PBS/RPBS and the health budget was driven by the relatively higher cost per patient with GUS compared to the comparator treatments, the assumed uptake/substitution rates assumed for each comparator (given the average cost per patient differs by treatment), and the estimated rate of market growth. </w:t>
      </w:r>
    </w:p>
    <w:p w14:paraId="77FB6B0B" w14:textId="4A8B2FEC" w:rsidR="008A7F78" w:rsidRPr="008A7F78" w:rsidRDefault="008A7F78" w:rsidP="008A7F78">
      <w:pPr>
        <w:pStyle w:val="3-BodyText"/>
      </w:pPr>
      <w:r w:rsidRPr="008A7F78">
        <w:t xml:space="preserve">The ESC noted the submission assumed uptake of GUS across the total market of </w:t>
      </w:r>
      <w:r w:rsidR="00E77A69" w:rsidRPr="00E77A69">
        <w:rPr>
          <w:color w:val="000000"/>
          <w:w w:val="61"/>
          <w:shd w:val="solid" w:color="000000" w:fill="000000"/>
          <w:fitText w:val="475" w:id="-628921087"/>
          <w14:textFill>
            <w14:solidFill>
              <w14:srgbClr w14:val="000000">
                <w14:alpha w14:val="100000"/>
              </w14:srgbClr>
            </w14:solidFill>
          </w14:textFill>
        </w:rPr>
        <w:t>|||  ||</w:t>
      </w:r>
      <w:r w:rsidR="00E77A69" w:rsidRPr="00E77A69">
        <w:rPr>
          <w:color w:val="000000"/>
          <w:spacing w:val="5"/>
          <w:w w:val="61"/>
          <w:shd w:val="solid" w:color="000000" w:fill="000000"/>
          <w:fitText w:val="475" w:id="-628921087"/>
          <w14:textFill>
            <w14:solidFill>
              <w14:srgbClr w14:val="000000">
                <w14:alpha w14:val="100000"/>
              </w14:srgbClr>
            </w14:solidFill>
          </w14:textFill>
        </w:rPr>
        <w:t>|</w:t>
      </w:r>
      <w:r w:rsidRPr="008A7F78">
        <w:t xml:space="preserve">% in Year 1, increasing to </w:t>
      </w:r>
      <w:r w:rsidR="00E77A69" w:rsidRPr="003B7DE0">
        <w:rPr>
          <w:color w:val="000000"/>
          <w:w w:val="61"/>
          <w:shd w:val="solid" w:color="000000" w:fill="000000"/>
          <w:fitText w:val="475" w:id="-628921086"/>
          <w14:textFill>
            <w14:solidFill>
              <w14:srgbClr w14:val="000000">
                <w14:alpha w14:val="100000"/>
              </w14:srgbClr>
            </w14:solidFill>
          </w14:textFill>
        </w:rPr>
        <w:t>|||  ||</w:t>
      </w:r>
      <w:r w:rsidR="00E77A69" w:rsidRPr="003B7DE0">
        <w:rPr>
          <w:color w:val="000000"/>
          <w:spacing w:val="5"/>
          <w:w w:val="61"/>
          <w:shd w:val="solid" w:color="000000" w:fill="000000"/>
          <w:fitText w:val="475" w:id="-628921086"/>
          <w14:textFill>
            <w14:solidFill>
              <w14:srgbClr w14:val="000000">
                <w14:alpha w14:val="100000"/>
              </w14:srgbClr>
            </w14:solidFill>
          </w14:textFill>
        </w:rPr>
        <w:t>|</w:t>
      </w:r>
      <w:r w:rsidRPr="008A7F78">
        <w:t>% in Year 6, and based on this uptake there was a substantial incremental cost to the PBS of listing GUS with an estimated net cost of $</w:t>
      </w:r>
      <w:r w:rsidR="00732357" w:rsidRPr="00732357">
        <w:t>400 million to &lt; $500 million</w:t>
      </w:r>
      <w:r w:rsidR="00732357">
        <w:t xml:space="preserve"> </w:t>
      </w:r>
      <w:r w:rsidRPr="008A7F78">
        <w:t xml:space="preserve">over 6 years.  </w:t>
      </w:r>
    </w:p>
    <w:p w14:paraId="5C6B2749" w14:textId="3D183048" w:rsidR="006C24D4" w:rsidRPr="00FF7F63" w:rsidRDefault="00FF7F63" w:rsidP="00FF7F63">
      <w:pPr>
        <w:pStyle w:val="3-BodyText"/>
        <w:numPr>
          <w:ilvl w:val="0"/>
          <w:numId w:val="0"/>
        </w:numPr>
        <w:rPr>
          <w:i/>
          <w:iCs/>
        </w:rPr>
      </w:pPr>
      <w:r w:rsidRPr="00FF7F63">
        <w:rPr>
          <w:i/>
          <w:iCs/>
        </w:rPr>
        <w:t>For more detail on PBAC’s view, see section 7 PBAC outcome</w:t>
      </w:r>
      <w:r>
        <w:rPr>
          <w:i/>
          <w:iCs/>
        </w:rPr>
        <w:t>.</w:t>
      </w:r>
    </w:p>
    <w:p w14:paraId="1AA3F256" w14:textId="77777777" w:rsidR="00B66558" w:rsidRPr="00D71282" w:rsidRDefault="00B66558" w:rsidP="00680908">
      <w:pPr>
        <w:pStyle w:val="2-SectionHeading"/>
      </w:pPr>
      <w:bookmarkStart w:id="71" w:name="_Toc198715645"/>
      <w:r w:rsidRPr="00D71282">
        <w:t>PBAC Outcome</w:t>
      </w:r>
    </w:p>
    <w:p w14:paraId="1E9480B8" w14:textId="692F3B79" w:rsidR="00B66558" w:rsidRPr="00AE23AF" w:rsidRDefault="00A04FC0" w:rsidP="004D1769">
      <w:pPr>
        <w:widowControl w:val="0"/>
        <w:numPr>
          <w:ilvl w:val="1"/>
          <w:numId w:val="1"/>
        </w:numPr>
        <w:spacing w:after="120"/>
      </w:pPr>
      <w:r w:rsidRPr="00D71282">
        <w:t xml:space="preserve">The PBAC recommended the Section 100 (Highly Specialised Drugs Program) and General Schedule Authority Required (in writing) Pharmaceutical Benefits Scheme (PBS) listings of </w:t>
      </w:r>
      <w:r w:rsidR="00D71282" w:rsidRPr="00D71282">
        <w:t xml:space="preserve">guselkumab </w:t>
      </w:r>
      <w:r w:rsidR="00855671">
        <w:t xml:space="preserve">(GUS) </w:t>
      </w:r>
      <w:r w:rsidRPr="00D71282">
        <w:t>for the treatment of adults with severe Crohn’s disease (CD).</w:t>
      </w:r>
      <w:r w:rsidR="00D71282" w:rsidRPr="00D71282">
        <w:t xml:space="preserve"> </w:t>
      </w:r>
      <w:r w:rsidR="00262F6B">
        <w:t xml:space="preserve">The PBAC considered that, </w:t>
      </w:r>
      <w:r w:rsidR="00CA55EC">
        <w:t xml:space="preserve">based on direct evidence, </w:t>
      </w:r>
      <w:r w:rsidR="00262F6B">
        <w:t xml:space="preserve">while GUS was non-inferior in terms of effectiveness compared to </w:t>
      </w:r>
      <w:r w:rsidR="00F55673">
        <w:t>ustekinumab (UST)</w:t>
      </w:r>
      <w:r w:rsidR="00262F6B">
        <w:t xml:space="preserve"> for the outcomes of clinical remission</w:t>
      </w:r>
      <w:r w:rsidR="003A6D75">
        <w:t xml:space="preserve"> and response</w:t>
      </w:r>
      <w:r w:rsidR="00262F6B">
        <w:t xml:space="preserve">, it was </w:t>
      </w:r>
      <w:r w:rsidR="00CA55EC">
        <w:t>likely superior in terms of endoscopic outcomes</w:t>
      </w:r>
      <w:r w:rsidR="009A3280">
        <w:t xml:space="preserve"> in the maintenance treatment setting</w:t>
      </w:r>
      <w:r w:rsidR="00CA55EC">
        <w:t>.</w:t>
      </w:r>
      <w:r w:rsidR="00070090">
        <w:t xml:space="preserve"> </w:t>
      </w:r>
      <w:r w:rsidR="003859B3">
        <w:t xml:space="preserve">The PBAC considered the economic model was </w:t>
      </w:r>
      <w:r w:rsidR="00956295">
        <w:t xml:space="preserve">uninformative, </w:t>
      </w:r>
      <w:r w:rsidR="003859B3">
        <w:t>not</w:t>
      </w:r>
      <w:r w:rsidR="00956295">
        <w:t>ing it</w:t>
      </w:r>
      <w:r w:rsidR="003859B3">
        <w:t xml:space="preserve"> included short-term and long-term benefits for clinical remission that were not supported by the</w:t>
      </w:r>
      <w:r w:rsidR="00956295">
        <w:t xml:space="preserve"> available</w:t>
      </w:r>
      <w:r w:rsidR="003859B3">
        <w:t xml:space="preserve"> clinical trial data</w:t>
      </w:r>
      <w:r w:rsidR="008E677A">
        <w:t>, and the</w:t>
      </w:r>
      <w:r w:rsidR="003859B3">
        <w:t xml:space="preserve"> assumed link between endoscopic remission, longer term clinical remission and quality of life </w:t>
      </w:r>
      <w:r w:rsidR="00616A1F">
        <w:t>was</w:t>
      </w:r>
      <w:r w:rsidR="003859B3">
        <w:t xml:space="preserve"> not adequately supported</w:t>
      </w:r>
      <w:r w:rsidR="00FA6F96">
        <w:t xml:space="preserve"> and quantified</w:t>
      </w:r>
      <w:r w:rsidR="003859B3">
        <w:t xml:space="preserve">. </w:t>
      </w:r>
      <w:r w:rsidR="0026347C">
        <w:rPr>
          <w:rFonts w:asciiTheme="minorHAnsi" w:hAnsiTheme="minorHAnsi"/>
          <w:snapToGrid w:val="0"/>
        </w:rPr>
        <w:t>Unable to recommend on a cost-effectiveness basis, the PBAC recommended GUS be cost minimised to UST over 2 years</w:t>
      </w:r>
      <w:r w:rsidR="003207FA" w:rsidRPr="008E677A">
        <w:t xml:space="preserve">. </w:t>
      </w:r>
    </w:p>
    <w:p w14:paraId="365CDAF2" w14:textId="7F4D277E" w:rsidR="001C6732" w:rsidRDefault="001C6732" w:rsidP="001C6732">
      <w:pPr>
        <w:pStyle w:val="3-BodyText"/>
        <w:spacing w:before="0" w:after="120"/>
      </w:pPr>
      <w:r>
        <w:t>T</w:t>
      </w:r>
      <w:r w:rsidRPr="007A79BE">
        <w:t xml:space="preserve">he PBAC noted the consumer comments regarding the </w:t>
      </w:r>
      <w:r>
        <w:t xml:space="preserve">significant </w:t>
      </w:r>
      <w:r w:rsidRPr="007A79BE">
        <w:t>quality of life impact</w:t>
      </w:r>
      <w:r>
        <w:t xml:space="preserve"> severe CD has on patients </w:t>
      </w:r>
      <w:r w:rsidRPr="007A79BE">
        <w:t>and the importance of having additional treatment options available</w:t>
      </w:r>
      <w:r w:rsidR="00423617">
        <w:t xml:space="preserve">, particularly medicines </w:t>
      </w:r>
      <w:r w:rsidR="0016706E">
        <w:t xml:space="preserve">with different </w:t>
      </w:r>
      <w:r w:rsidR="00D974CB">
        <w:t>mechanisms of action</w:t>
      </w:r>
      <w:r w:rsidR="00FF7F63">
        <w:t>.</w:t>
      </w:r>
      <w:r w:rsidRPr="007A79BE">
        <w:t xml:space="preserve">  </w:t>
      </w:r>
    </w:p>
    <w:p w14:paraId="7378CCB1" w14:textId="04E3FB23" w:rsidR="007A154B" w:rsidRDefault="007A154B" w:rsidP="001C6732">
      <w:pPr>
        <w:pStyle w:val="3-BodyText"/>
        <w:spacing w:before="0" w:after="120"/>
      </w:pPr>
      <w:r>
        <w:t xml:space="preserve">The PBAC </w:t>
      </w:r>
      <w:r w:rsidR="001922C9">
        <w:t xml:space="preserve">considered </w:t>
      </w:r>
      <w:r w:rsidR="00154933">
        <w:t xml:space="preserve">the amendments to the restriction criteria proposed by the Secretariat in Section 3 for consistency with other PBS listed </w:t>
      </w:r>
      <w:r w:rsidR="00154933" w:rsidRPr="006049BB">
        <w:t>biologic</w:t>
      </w:r>
      <w:r w:rsidR="00154933">
        <w:t>/targeted synthetic</w:t>
      </w:r>
      <w:r w:rsidR="00154933" w:rsidRPr="006049BB">
        <w:t xml:space="preserve"> disease modifying anti-rheumatic drug</w:t>
      </w:r>
      <w:r w:rsidR="00154933">
        <w:t>s</w:t>
      </w:r>
      <w:r w:rsidR="00154933" w:rsidRPr="006049BB">
        <w:t xml:space="preserve"> (b</w:t>
      </w:r>
      <w:r w:rsidR="00154933">
        <w:t>/</w:t>
      </w:r>
      <w:proofErr w:type="spellStart"/>
      <w:r w:rsidR="00154933">
        <w:t>ts</w:t>
      </w:r>
      <w:r w:rsidR="00154933" w:rsidRPr="006049BB">
        <w:t>DMARD</w:t>
      </w:r>
      <w:proofErr w:type="spellEnd"/>
      <w:r w:rsidR="00154933">
        <w:t xml:space="preserve">) were reasonable. </w:t>
      </w:r>
      <w:r w:rsidR="00A92AEF">
        <w:t xml:space="preserve">  </w:t>
      </w:r>
    </w:p>
    <w:p w14:paraId="3C5EBB28" w14:textId="20177FA1" w:rsidR="00460EA8" w:rsidRDefault="00C63432" w:rsidP="00DE4D56">
      <w:pPr>
        <w:pStyle w:val="3-BodyText"/>
      </w:pPr>
      <w:r>
        <w:t>The PBAC</w:t>
      </w:r>
      <w:r w:rsidR="00F3605A">
        <w:t xml:space="preserve"> noted the submission nominated all PBS listed</w:t>
      </w:r>
      <w:r w:rsidR="00B20240">
        <w:t xml:space="preserve"> </w:t>
      </w:r>
      <w:r w:rsidR="00057EC2" w:rsidRPr="006049BB">
        <w:t>b</w:t>
      </w:r>
      <w:r w:rsidR="00057EC2">
        <w:t>/</w:t>
      </w:r>
      <w:proofErr w:type="spellStart"/>
      <w:r w:rsidR="00057EC2">
        <w:t>ts</w:t>
      </w:r>
      <w:r w:rsidR="00057EC2" w:rsidRPr="006049BB">
        <w:t>DMARD</w:t>
      </w:r>
      <w:proofErr w:type="spellEnd"/>
      <w:r w:rsidR="00057EC2">
        <w:t xml:space="preserve"> </w:t>
      </w:r>
      <w:r w:rsidR="00DE4D56">
        <w:t>as comparators</w:t>
      </w:r>
      <w:r w:rsidR="007664E6">
        <w:t xml:space="preserve">: </w:t>
      </w:r>
      <w:r w:rsidR="00DE4D56">
        <w:t>adalimumab (</w:t>
      </w:r>
      <w:r w:rsidR="00DE4D56" w:rsidRPr="00DE4D56">
        <w:t>ADA</w:t>
      </w:r>
      <w:r w:rsidR="00DE4D56">
        <w:t>)</w:t>
      </w:r>
      <w:r w:rsidR="00DE4D56" w:rsidRPr="00DE4D56">
        <w:t xml:space="preserve">, </w:t>
      </w:r>
      <w:r w:rsidR="00DE4D56">
        <w:t>infliximab (</w:t>
      </w:r>
      <w:r w:rsidR="00DE4D56" w:rsidRPr="00DE4D56">
        <w:t xml:space="preserve">IFX), </w:t>
      </w:r>
      <w:r w:rsidR="00DE4D56">
        <w:t>ustekinumab</w:t>
      </w:r>
      <w:r w:rsidR="00DE4D56" w:rsidRPr="00DE4D56">
        <w:t xml:space="preserve"> (UST), </w:t>
      </w:r>
      <w:r w:rsidR="007664E6">
        <w:t>upadacitinib</w:t>
      </w:r>
      <w:r w:rsidR="00DE4D56">
        <w:t xml:space="preserve"> </w:t>
      </w:r>
      <w:r w:rsidR="00DE4D56" w:rsidRPr="00DE4D56">
        <w:t xml:space="preserve">(UPA) </w:t>
      </w:r>
      <w:r w:rsidR="00DE4D56">
        <w:t xml:space="preserve">and vedolizumab </w:t>
      </w:r>
      <w:r w:rsidR="00DE4D56" w:rsidRPr="00DE4D56">
        <w:t>(VDZ).</w:t>
      </w:r>
      <w:r w:rsidR="00D639A1">
        <w:t xml:space="preserve"> </w:t>
      </w:r>
      <w:r w:rsidR="00460EA8">
        <w:t xml:space="preserve">The PBAC noted </w:t>
      </w:r>
      <w:r w:rsidR="00460EA8" w:rsidRPr="00460EA8">
        <w:t>GUS may be more likely to substitute for UST, which currently accounts for 40% of the market (measured in patient-weeks of treatment) and has a similar mechanism of action (both are interleukin inhibitors</w:t>
      </w:r>
      <w:r w:rsidR="003777FC">
        <w:t xml:space="preserve">). </w:t>
      </w:r>
    </w:p>
    <w:p w14:paraId="1116AD29" w14:textId="7315054D" w:rsidR="008051F9" w:rsidRPr="00F74515" w:rsidRDefault="00743C94" w:rsidP="00F74515">
      <w:pPr>
        <w:pStyle w:val="3-BodyText"/>
      </w:pPr>
      <w:r>
        <w:t xml:space="preserve">The PBAC noted </w:t>
      </w:r>
      <w:r w:rsidR="00B23286">
        <w:t xml:space="preserve">the </w:t>
      </w:r>
      <w:r w:rsidR="001D61C4">
        <w:t xml:space="preserve">key clinical evidence </w:t>
      </w:r>
      <w:r w:rsidR="00B23286">
        <w:t xml:space="preserve">presented in the submission </w:t>
      </w:r>
      <w:r w:rsidR="001D61C4">
        <w:t xml:space="preserve">for GUS was </w:t>
      </w:r>
      <w:r>
        <w:t xml:space="preserve">from </w:t>
      </w:r>
      <w:r w:rsidRPr="00955DC2">
        <w:t>three head-to-head randomised trials comparing GUS to UST and placebo (PBO) for induction and maintenance treatment</w:t>
      </w:r>
      <w:r w:rsidR="000D76F2">
        <w:t>.</w:t>
      </w:r>
      <w:r w:rsidR="00B23286">
        <w:t xml:space="preserve"> </w:t>
      </w:r>
      <w:r w:rsidR="00022B09">
        <w:t xml:space="preserve">The </w:t>
      </w:r>
      <w:r w:rsidR="000D76F2" w:rsidRPr="000D76F2">
        <w:t>GALAXI 1</w:t>
      </w:r>
      <w:r w:rsidR="00022B09">
        <w:t xml:space="preserve"> (n=309)</w:t>
      </w:r>
      <w:r w:rsidR="000D76F2" w:rsidRPr="000D76F2">
        <w:t xml:space="preserve">, GALAXI 2 </w:t>
      </w:r>
      <w:r w:rsidR="00022B09">
        <w:t xml:space="preserve">(n=508) </w:t>
      </w:r>
      <w:r w:rsidR="000D76F2" w:rsidRPr="000D76F2">
        <w:t xml:space="preserve">and GALAXI 3 </w:t>
      </w:r>
      <w:r w:rsidR="00022B09">
        <w:t>(</w:t>
      </w:r>
      <w:r w:rsidR="00E95E0A">
        <w:t>n=513)</w:t>
      </w:r>
      <w:r w:rsidR="00F2277E">
        <w:t xml:space="preserve"> </w:t>
      </w:r>
      <w:r w:rsidR="000D76F2" w:rsidRPr="000D76F2">
        <w:t xml:space="preserve">trials were all multicentre, randomised, placebo-controlled, double-blind trials where patients with moderate to severe CD were randomised to GUS, UST or PBO for 48 weeks. </w:t>
      </w:r>
      <w:r w:rsidR="00AE77E8">
        <w:t>E</w:t>
      </w:r>
      <w:r w:rsidR="000D76F2" w:rsidRPr="000D76F2">
        <w:t>ach trial</w:t>
      </w:r>
      <w:r w:rsidR="00AE77E8">
        <w:t xml:space="preserve"> used</w:t>
      </w:r>
      <w:r w:rsidR="00AE77E8" w:rsidRPr="000D76F2">
        <w:t xml:space="preserve"> a treat-through design</w:t>
      </w:r>
      <w:r w:rsidR="00AE77E8">
        <w:t xml:space="preserve"> where</w:t>
      </w:r>
      <w:r w:rsidR="000D76F2" w:rsidRPr="000D76F2">
        <w:t xml:space="preserve"> patients randomised to GUS or UST remained on the same treatment for induction (Weeks 0-12) and maintenance therapy (Weeks 12-48) irrespective of induction response.</w:t>
      </w:r>
      <w:r w:rsidR="00574B0D" w:rsidRPr="00574B0D">
        <w:t xml:space="preserve"> </w:t>
      </w:r>
      <w:r w:rsidR="004B7730">
        <w:t xml:space="preserve">The PBAC noted that, based on a meta-analysis of the three trials, there were </w:t>
      </w:r>
      <w:r w:rsidR="004B7730" w:rsidRPr="00574B0D">
        <w:t>no</w:t>
      </w:r>
      <w:r w:rsidR="004B7730">
        <w:t xml:space="preserve"> stat</w:t>
      </w:r>
      <w:r w:rsidR="00FD1B4B">
        <w:t>istically</w:t>
      </w:r>
      <w:r w:rsidR="004B7730">
        <w:t xml:space="preserve"> sign</w:t>
      </w:r>
      <w:r w:rsidR="00FD1B4B">
        <w:t>ificant</w:t>
      </w:r>
      <w:r w:rsidR="004B7730" w:rsidRPr="00574B0D">
        <w:t xml:space="preserve"> difference</w:t>
      </w:r>
      <w:r w:rsidR="004B7730">
        <w:t>s</w:t>
      </w:r>
      <w:r w:rsidR="004B7730" w:rsidRPr="00574B0D">
        <w:t xml:space="preserve"> between GUS</w:t>
      </w:r>
      <w:r w:rsidR="004B7730">
        <w:t xml:space="preserve"> (100</w:t>
      </w:r>
      <w:r w:rsidR="00FD1B4B">
        <w:t xml:space="preserve"> </w:t>
      </w:r>
      <w:r w:rsidR="004B7730">
        <w:t>mg and 200</w:t>
      </w:r>
      <w:r w:rsidR="00FD1B4B">
        <w:t xml:space="preserve"> </w:t>
      </w:r>
      <w:r w:rsidR="004B7730">
        <w:t>mg)</w:t>
      </w:r>
      <w:r w:rsidR="004B7730" w:rsidRPr="00574B0D">
        <w:t xml:space="preserve"> and UST in terms of clinical remission or clinical response</w:t>
      </w:r>
      <w:r w:rsidR="004B7730">
        <w:t xml:space="preserve"> at </w:t>
      </w:r>
      <w:r w:rsidR="004B7730" w:rsidRPr="00574B0D">
        <w:t>Week 12</w:t>
      </w:r>
      <w:r w:rsidR="004B7730">
        <w:t xml:space="preserve"> (induction</w:t>
      </w:r>
      <w:r w:rsidR="004B7730" w:rsidRPr="00574B0D">
        <w:t>)</w:t>
      </w:r>
      <w:r w:rsidR="004B7730">
        <w:t xml:space="preserve"> or </w:t>
      </w:r>
      <w:r w:rsidR="00FD1B4B">
        <w:t>W</w:t>
      </w:r>
      <w:r w:rsidR="004B7730">
        <w:t>eek 48 (maintenance)</w:t>
      </w:r>
      <w:r w:rsidR="004B7730" w:rsidRPr="00770B6C">
        <w:t>,</w:t>
      </w:r>
      <w:r w:rsidR="004B7730">
        <w:t xml:space="preserve"> with the exception of the comparison of GUS 200</w:t>
      </w:r>
      <w:r w:rsidR="00FD1B4B">
        <w:t xml:space="preserve"> </w:t>
      </w:r>
      <w:r w:rsidR="004B7730">
        <w:t xml:space="preserve">mg and UST at </w:t>
      </w:r>
      <w:r w:rsidR="0070320E">
        <w:t>Week </w:t>
      </w:r>
      <w:r w:rsidR="004B7730">
        <w:t xml:space="preserve">48 for clinical remission where the difference was statistically </w:t>
      </w:r>
      <w:r w:rsidR="00FD1B4B">
        <w:t>significant</w:t>
      </w:r>
      <w:r w:rsidR="004B7730">
        <w:t>.</w:t>
      </w:r>
      <w:r w:rsidR="00FC5485">
        <w:t xml:space="preserve"> </w:t>
      </w:r>
      <w:r w:rsidR="00021F93">
        <w:t>The PBAC noted there was a statistically significant difference for endoscopic re</w:t>
      </w:r>
      <w:r w:rsidR="00477591">
        <w:t>mission and response for GUS 100 mg SC and GUS 200 SC compared to UST</w:t>
      </w:r>
      <w:r w:rsidR="00620081">
        <w:t xml:space="preserve"> at Week 48</w:t>
      </w:r>
      <w:r w:rsidR="00477591">
        <w:t xml:space="preserve">; however, the </w:t>
      </w:r>
      <w:r w:rsidR="00DC4978">
        <w:t>clinical relevance</w:t>
      </w:r>
      <w:r w:rsidR="002D158B">
        <w:t>, particularly in the long term,</w:t>
      </w:r>
      <w:r w:rsidR="00DC4978">
        <w:t xml:space="preserve"> was uncertain. </w:t>
      </w:r>
    </w:p>
    <w:p w14:paraId="4FBE87F7" w14:textId="636B5891" w:rsidR="00D3318C" w:rsidRDefault="00897791" w:rsidP="002C4257">
      <w:pPr>
        <w:pStyle w:val="3-BodyText"/>
      </w:pPr>
      <w:r>
        <w:t>The PBAC noted that</w:t>
      </w:r>
      <w:r w:rsidR="00903ABD">
        <w:t xml:space="preserve"> treatment guidelines </w:t>
      </w:r>
      <w:r w:rsidR="001317A5">
        <w:t xml:space="preserve">for CD </w:t>
      </w:r>
      <w:r w:rsidR="00903ABD">
        <w:t xml:space="preserve">refer to the importance of achieving </w:t>
      </w:r>
      <w:r w:rsidR="00105A5D">
        <w:t xml:space="preserve">endoscopic healing </w:t>
      </w:r>
      <w:r w:rsidR="00EF3E08">
        <w:t xml:space="preserve">and </w:t>
      </w:r>
      <w:r w:rsidR="003148A9">
        <w:t xml:space="preserve">in 2022 </w:t>
      </w:r>
      <w:r w:rsidR="00EF3E08">
        <w:t xml:space="preserve">the FDA </w:t>
      </w:r>
      <w:r w:rsidR="00504515">
        <w:t xml:space="preserve">implemented a requirement for </w:t>
      </w:r>
      <w:r w:rsidR="00EF3E08">
        <w:t xml:space="preserve">endoscopic </w:t>
      </w:r>
      <w:r w:rsidR="000162EC">
        <w:t xml:space="preserve">remission </w:t>
      </w:r>
      <w:r w:rsidR="00EF3E08">
        <w:t xml:space="preserve">as a co-primary endpoint </w:t>
      </w:r>
      <w:r w:rsidR="000162EC">
        <w:t xml:space="preserve">with clinical remission </w:t>
      </w:r>
      <w:r w:rsidR="00EF3E08">
        <w:t xml:space="preserve">in clinical trials.  </w:t>
      </w:r>
      <w:r w:rsidR="0085190F" w:rsidRPr="0085190F">
        <w:t>The PBAC acknowledged the references included in the pre-PBAC response</w:t>
      </w:r>
      <w:r w:rsidR="00D71B89">
        <w:t xml:space="preserve"> (see paragraphs </w:t>
      </w:r>
      <w:r w:rsidR="00D71B89">
        <w:fldChar w:fldCharType="begin"/>
      </w:r>
      <w:r w:rsidR="00D71B89">
        <w:instrText xml:space="preserve"> REF _Ref204163601 \r \h </w:instrText>
      </w:r>
      <w:r w:rsidR="00D71B89">
        <w:fldChar w:fldCharType="separate"/>
      </w:r>
      <w:r w:rsidR="000756FD">
        <w:t>6.24</w:t>
      </w:r>
      <w:r w:rsidR="00D71B89">
        <w:fldChar w:fldCharType="end"/>
      </w:r>
      <w:r w:rsidR="00D71B89">
        <w:t xml:space="preserve"> and </w:t>
      </w:r>
      <w:r w:rsidR="00D71B89">
        <w:fldChar w:fldCharType="begin"/>
      </w:r>
      <w:r w:rsidR="00D71B89">
        <w:instrText xml:space="preserve"> REF _Ref204163603 \r \h </w:instrText>
      </w:r>
      <w:r w:rsidR="00D71B89">
        <w:fldChar w:fldCharType="separate"/>
      </w:r>
      <w:r w:rsidR="000756FD">
        <w:t>6.25</w:t>
      </w:r>
      <w:r w:rsidR="00D71B89">
        <w:fldChar w:fldCharType="end"/>
      </w:r>
      <w:r w:rsidR="00D71B89">
        <w:t xml:space="preserve">) </w:t>
      </w:r>
      <w:r w:rsidR="001931F5">
        <w:t>but</w:t>
      </w:r>
      <w:r w:rsidR="0085190F" w:rsidRPr="0085190F">
        <w:t xml:space="preserve"> considered it remained unclear if achieving endoscopic remission (as defined in the GALAXI trials) at Week 48 le</w:t>
      </w:r>
      <w:r w:rsidR="00AD1F12">
        <w:t>ads</w:t>
      </w:r>
      <w:r w:rsidR="0085190F" w:rsidRPr="0085190F">
        <w:t xml:space="preserve"> to better longer term outcomes for patients</w:t>
      </w:r>
      <w:r w:rsidR="001931F5">
        <w:t>.</w:t>
      </w:r>
      <w:r w:rsidR="00166B97">
        <w:t xml:space="preserve"> Given the lack of significant differences in key outcomes for clinical remission, the correlation between endoscopic and clinical remission for GUS versus UST remained uncertain.  </w:t>
      </w:r>
    </w:p>
    <w:p w14:paraId="4D822257" w14:textId="51B5F253" w:rsidR="00987D9E" w:rsidRPr="00987D9E" w:rsidRDefault="00C3472A" w:rsidP="00B66558">
      <w:pPr>
        <w:widowControl w:val="0"/>
        <w:numPr>
          <w:ilvl w:val="1"/>
          <w:numId w:val="1"/>
        </w:numPr>
        <w:spacing w:after="120"/>
        <w:rPr>
          <w:rFonts w:asciiTheme="minorHAnsi" w:hAnsiTheme="minorHAnsi"/>
          <w:snapToGrid w:val="0"/>
        </w:rPr>
      </w:pPr>
      <w:r>
        <w:t>The PBAC noted</w:t>
      </w:r>
      <w:r w:rsidRPr="00D24BA1">
        <w:t xml:space="preserve"> the submission </w:t>
      </w:r>
      <w:r>
        <w:t xml:space="preserve">also </w:t>
      </w:r>
      <w:r w:rsidRPr="00D24BA1">
        <w:t xml:space="preserve">presented indirect evidence comparing </w:t>
      </w:r>
      <w:r>
        <w:t>GUS</w:t>
      </w:r>
      <w:r w:rsidRPr="00D24BA1">
        <w:t xml:space="preserve"> versus </w:t>
      </w:r>
      <w:r w:rsidR="00E061A8">
        <w:t>the nominated comparators</w:t>
      </w:r>
      <w:r w:rsidRPr="00D24BA1">
        <w:t xml:space="preserve"> for induction and maintenance treatment. </w:t>
      </w:r>
      <w:r w:rsidR="006B682D">
        <w:t>The PBAC considered these analyses were largely uninformative due</w:t>
      </w:r>
      <w:r w:rsidR="00CB3269">
        <w:t xml:space="preserve"> to significant transitivity issues</w:t>
      </w:r>
      <w:r w:rsidR="00EF44E4">
        <w:t xml:space="preserve"> (e.g., different </w:t>
      </w:r>
      <w:r w:rsidR="00E331A7">
        <w:t xml:space="preserve">trial designs, </w:t>
      </w:r>
      <w:r w:rsidR="00EF44E4">
        <w:t>patient populations, outcome</w:t>
      </w:r>
      <w:r w:rsidR="00E331A7">
        <w:t xml:space="preserve"> definitions</w:t>
      </w:r>
      <w:r w:rsidR="00EF44E4">
        <w:t xml:space="preserve">, timing of endpoint assessment) </w:t>
      </w:r>
      <w:r w:rsidR="002133EA">
        <w:t>and</w:t>
      </w:r>
      <w:proofErr w:type="gramStart"/>
      <w:r w:rsidR="00030575">
        <w:t>, in particular, due to</w:t>
      </w:r>
      <w:proofErr w:type="gramEnd"/>
      <w:r w:rsidR="002133EA">
        <w:t xml:space="preserve"> the use of </w:t>
      </w:r>
      <w:r w:rsidR="00AF4DC5">
        <w:t xml:space="preserve">imputed data </w:t>
      </w:r>
      <w:r w:rsidR="002133EA">
        <w:t xml:space="preserve">to </w:t>
      </w:r>
      <w:r w:rsidR="00AF4DC5">
        <w:t>inform</w:t>
      </w:r>
      <w:r w:rsidR="002133EA">
        <w:t xml:space="preserve"> </w:t>
      </w:r>
      <w:r w:rsidR="00AF4DC5">
        <w:t xml:space="preserve">the </w:t>
      </w:r>
      <w:r w:rsidR="00C8161E">
        <w:t xml:space="preserve">maintenance </w:t>
      </w:r>
      <w:r w:rsidR="00AF4DC5">
        <w:t>analysis</w:t>
      </w:r>
      <w:r w:rsidR="006B682D">
        <w:t xml:space="preserve">.  </w:t>
      </w:r>
      <w:r w:rsidR="002D158B">
        <w:t xml:space="preserve"> </w:t>
      </w:r>
    </w:p>
    <w:p w14:paraId="79DF892C" w14:textId="10DE3A9C" w:rsidR="00C3472A" w:rsidRPr="0052332A" w:rsidRDefault="002D158B" w:rsidP="00B66558">
      <w:pPr>
        <w:widowControl w:val="0"/>
        <w:numPr>
          <w:ilvl w:val="1"/>
          <w:numId w:val="1"/>
        </w:numPr>
        <w:spacing w:after="120"/>
        <w:rPr>
          <w:rFonts w:asciiTheme="minorHAnsi" w:hAnsiTheme="minorHAnsi"/>
          <w:snapToGrid w:val="0"/>
        </w:rPr>
      </w:pPr>
      <w:r w:rsidRPr="0052332A">
        <w:t>The PBAC noted the submission pr</w:t>
      </w:r>
      <w:r w:rsidR="00635581">
        <w:t>esented</w:t>
      </w:r>
      <w:r w:rsidRPr="0052332A">
        <w:t xml:space="preserve"> a cost utility analysis comparing GUS </w:t>
      </w:r>
      <w:r w:rsidR="00504DA1">
        <w:t xml:space="preserve">to </w:t>
      </w:r>
      <w:r w:rsidR="007C3E74">
        <w:t xml:space="preserve">the </w:t>
      </w:r>
      <w:r w:rsidR="00504DA1">
        <w:t>nominated comparator</w:t>
      </w:r>
      <w:r w:rsidR="007C3E74">
        <w:t>s weighted according to market share</w:t>
      </w:r>
      <w:r w:rsidR="00952DBF">
        <w:t xml:space="preserve">. </w:t>
      </w:r>
      <w:r w:rsidR="00D828C6">
        <w:t>T</w:t>
      </w:r>
      <w:r w:rsidR="00E477E6">
        <w:t xml:space="preserve">he PBAC noted the model included </w:t>
      </w:r>
      <w:r w:rsidR="00CD1EE7">
        <w:t xml:space="preserve">short-term and long-term </w:t>
      </w:r>
      <w:r w:rsidR="00AD7F48">
        <w:t xml:space="preserve">benefits </w:t>
      </w:r>
      <w:r w:rsidR="009F4091">
        <w:t xml:space="preserve">for </w:t>
      </w:r>
      <w:r w:rsidR="006A7E4E">
        <w:t xml:space="preserve">clinical remission </w:t>
      </w:r>
      <w:r w:rsidR="00AD7F48">
        <w:t xml:space="preserve">that were not supported by the </w:t>
      </w:r>
      <w:r w:rsidR="00991D2F">
        <w:t xml:space="preserve">clinical trial </w:t>
      </w:r>
      <w:r w:rsidR="00AD7F48">
        <w:t>data presented.</w:t>
      </w:r>
      <w:r w:rsidR="00C92881">
        <w:t xml:space="preserve"> </w:t>
      </w:r>
      <w:r w:rsidR="00BD5F64">
        <w:t>Additionally, t</w:t>
      </w:r>
      <w:r w:rsidR="008420F9">
        <w:t>he PBAC</w:t>
      </w:r>
      <w:r w:rsidR="003F7107">
        <w:t xml:space="preserve"> </w:t>
      </w:r>
      <w:r w:rsidR="00C92881">
        <w:t xml:space="preserve">noted </w:t>
      </w:r>
      <w:r w:rsidR="002B3A18">
        <w:t xml:space="preserve">the model assumed a </w:t>
      </w:r>
      <w:r w:rsidR="009603A4">
        <w:t xml:space="preserve">link between </w:t>
      </w:r>
      <w:r w:rsidR="002900B9">
        <w:t>endoscopic remission</w:t>
      </w:r>
      <w:r w:rsidR="003F7107">
        <w:t>, longer term clinical remission</w:t>
      </w:r>
      <w:r w:rsidR="002900B9">
        <w:t xml:space="preserve"> and quality of life</w:t>
      </w:r>
      <w:r w:rsidR="00B42F1F">
        <w:t xml:space="preserve"> </w:t>
      </w:r>
      <w:r w:rsidR="00487312">
        <w:t xml:space="preserve">that </w:t>
      </w:r>
      <w:r w:rsidR="00B42F1F">
        <w:t>had</w:t>
      </w:r>
      <w:r w:rsidR="002900B9">
        <w:t xml:space="preserve"> not </w:t>
      </w:r>
      <w:r w:rsidR="004746C9">
        <w:t xml:space="preserve">been </w:t>
      </w:r>
      <w:r w:rsidR="00B42F1F">
        <w:t>adequately supported</w:t>
      </w:r>
      <w:r w:rsidR="003073B3">
        <w:t xml:space="preserve"> or quantified</w:t>
      </w:r>
      <w:r w:rsidR="002900B9">
        <w:t xml:space="preserve">. </w:t>
      </w:r>
      <w:r w:rsidR="009C1749">
        <w:t>T</w:t>
      </w:r>
      <w:r w:rsidR="0052332A" w:rsidRPr="0052332A">
        <w:t xml:space="preserve">he PBAC agreed with the ESC that the model was uninformative </w:t>
      </w:r>
      <w:r w:rsidR="009C1749">
        <w:t>(</w:t>
      </w:r>
      <w:r w:rsidR="005471D8">
        <w:t xml:space="preserve">as discussed in </w:t>
      </w:r>
      <w:r w:rsidR="0052332A" w:rsidRPr="0052332A">
        <w:t xml:space="preserve">paragraph </w:t>
      </w:r>
      <w:r w:rsidR="0052332A" w:rsidRPr="0052332A">
        <w:fldChar w:fldCharType="begin"/>
      </w:r>
      <w:r w:rsidR="0052332A" w:rsidRPr="0052332A">
        <w:instrText xml:space="preserve"> REF _Ref203732483 \r \h  \* MERGEFORMAT </w:instrText>
      </w:r>
      <w:r w:rsidR="0052332A" w:rsidRPr="0052332A">
        <w:fldChar w:fldCharType="separate"/>
      </w:r>
      <w:r w:rsidR="000756FD">
        <w:t>6.62</w:t>
      </w:r>
      <w:r w:rsidR="0052332A" w:rsidRPr="0052332A">
        <w:fldChar w:fldCharType="end"/>
      </w:r>
      <w:r w:rsidR="009C1749">
        <w:t>)</w:t>
      </w:r>
      <w:r w:rsidR="0052332A" w:rsidRPr="0052332A">
        <w:t>.</w:t>
      </w:r>
    </w:p>
    <w:p w14:paraId="490EF452" w14:textId="71BA391B" w:rsidR="00C3472A" w:rsidRDefault="002D158B" w:rsidP="00B66558">
      <w:pPr>
        <w:widowControl w:val="0"/>
        <w:numPr>
          <w:ilvl w:val="1"/>
          <w:numId w:val="1"/>
        </w:numPr>
        <w:spacing w:after="120"/>
        <w:rPr>
          <w:rFonts w:asciiTheme="minorHAnsi" w:hAnsiTheme="minorHAnsi"/>
          <w:snapToGrid w:val="0"/>
        </w:rPr>
      </w:pPr>
      <w:bookmarkStart w:id="72" w:name="_Ref204178576"/>
      <w:r w:rsidRPr="0052332A">
        <w:rPr>
          <w:rFonts w:asciiTheme="minorHAnsi" w:hAnsiTheme="minorHAnsi"/>
          <w:snapToGrid w:val="0"/>
        </w:rPr>
        <w:t>The PBAC considered that, in the absence of an appropriate economic model comparing GUS and UST based on endoscopic outcomes, it was unable to determine</w:t>
      </w:r>
      <w:r>
        <w:rPr>
          <w:rFonts w:asciiTheme="minorHAnsi" w:hAnsiTheme="minorHAnsi"/>
          <w:snapToGrid w:val="0"/>
        </w:rPr>
        <w:t xml:space="preserve"> </w:t>
      </w:r>
      <w:r w:rsidR="00C87DA3">
        <w:rPr>
          <w:rFonts w:asciiTheme="minorHAnsi" w:hAnsiTheme="minorHAnsi"/>
          <w:snapToGrid w:val="0"/>
        </w:rPr>
        <w:t>the magnitude of price premium for GUS over UST that would be cost effective</w:t>
      </w:r>
      <w:r>
        <w:rPr>
          <w:rFonts w:asciiTheme="minorHAnsi" w:hAnsiTheme="minorHAnsi"/>
          <w:snapToGrid w:val="0"/>
        </w:rPr>
        <w:t xml:space="preserve">.  </w:t>
      </w:r>
      <w:r w:rsidR="00676827">
        <w:rPr>
          <w:rFonts w:asciiTheme="minorHAnsi" w:hAnsiTheme="minorHAnsi"/>
          <w:snapToGrid w:val="0"/>
        </w:rPr>
        <w:t xml:space="preserve">The PBAC considered GUS was </w:t>
      </w:r>
      <w:r w:rsidR="00CF6A97">
        <w:rPr>
          <w:rFonts w:asciiTheme="minorHAnsi" w:hAnsiTheme="minorHAnsi"/>
          <w:snapToGrid w:val="0"/>
        </w:rPr>
        <w:t>highly unlikely to be cost effective at the price requested in the submission</w:t>
      </w:r>
      <w:r w:rsidR="006B681F">
        <w:rPr>
          <w:rFonts w:asciiTheme="minorHAnsi" w:hAnsiTheme="minorHAnsi"/>
          <w:snapToGrid w:val="0"/>
        </w:rPr>
        <w:t xml:space="preserve"> as </w:t>
      </w:r>
      <w:r w:rsidR="00137808">
        <w:rPr>
          <w:rFonts w:asciiTheme="minorHAnsi" w:hAnsiTheme="minorHAnsi"/>
          <w:snapToGrid w:val="0"/>
        </w:rPr>
        <w:t xml:space="preserve">the cost per patient over 2 years was more than twice that of UST and the benefit </w:t>
      </w:r>
      <w:r w:rsidR="00E259DE">
        <w:rPr>
          <w:rFonts w:asciiTheme="minorHAnsi" w:hAnsiTheme="minorHAnsi"/>
          <w:snapToGrid w:val="0"/>
        </w:rPr>
        <w:t>in endoscopic remission</w:t>
      </w:r>
      <w:r w:rsidR="00DB1415">
        <w:rPr>
          <w:rFonts w:asciiTheme="minorHAnsi" w:hAnsiTheme="minorHAnsi"/>
          <w:snapToGrid w:val="0"/>
        </w:rPr>
        <w:t xml:space="preserve"> observed</w:t>
      </w:r>
      <w:r w:rsidR="00137808">
        <w:rPr>
          <w:rFonts w:asciiTheme="minorHAnsi" w:hAnsiTheme="minorHAnsi"/>
          <w:snapToGrid w:val="0"/>
        </w:rPr>
        <w:t xml:space="preserve"> in the</w:t>
      </w:r>
      <w:r w:rsidR="00E259DE">
        <w:rPr>
          <w:rFonts w:asciiTheme="minorHAnsi" w:hAnsiTheme="minorHAnsi"/>
          <w:snapToGrid w:val="0"/>
        </w:rPr>
        <w:t xml:space="preserve"> trial was limited to a risk difference of 9% to 14% at 48 weeks</w:t>
      </w:r>
      <w:r w:rsidR="00CF6A97">
        <w:rPr>
          <w:rFonts w:asciiTheme="minorHAnsi" w:hAnsiTheme="minorHAnsi"/>
          <w:snapToGrid w:val="0"/>
        </w:rPr>
        <w:t xml:space="preserve">. </w:t>
      </w:r>
      <w:r w:rsidR="0003434A">
        <w:rPr>
          <w:rFonts w:asciiTheme="minorHAnsi" w:hAnsiTheme="minorHAnsi"/>
          <w:snapToGrid w:val="0"/>
        </w:rPr>
        <w:t>Unable to</w:t>
      </w:r>
      <w:r w:rsidR="00A81C89">
        <w:rPr>
          <w:rFonts w:asciiTheme="minorHAnsi" w:hAnsiTheme="minorHAnsi"/>
          <w:snapToGrid w:val="0"/>
        </w:rPr>
        <w:t xml:space="preserve"> recommend </w:t>
      </w:r>
      <w:r w:rsidR="0035452E">
        <w:rPr>
          <w:rFonts w:asciiTheme="minorHAnsi" w:hAnsiTheme="minorHAnsi"/>
          <w:snapToGrid w:val="0"/>
        </w:rPr>
        <w:t>on a cost-effectiveness basis</w:t>
      </w:r>
      <w:r w:rsidR="00CF6A97">
        <w:rPr>
          <w:rFonts w:asciiTheme="minorHAnsi" w:hAnsiTheme="minorHAnsi"/>
          <w:snapToGrid w:val="0"/>
        </w:rPr>
        <w:t>, t</w:t>
      </w:r>
      <w:r>
        <w:rPr>
          <w:rFonts w:asciiTheme="minorHAnsi" w:hAnsiTheme="minorHAnsi"/>
          <w:snapToGrid w:val="0"/>
        </w:rPr>
        <w:t xml:space="preserve">he PBAC </w:t>
      </w:r>
      <w:r w:rsidR="0035452E">
        <w:rPr>
          <w:rFonts w:asciiTheme="minorHAnsi" w:hAnsiTheme="minorHAnsi"/>
          <w:snapToGrid w:val="0"/>
        </w:rPr>
        <w:t>recommended</w:t>
      </w:r>
      <w:r w:rsidR="00CF6A97">
        <w:rPr>
          <w:rFonts w:asciiTheme="minorHAnsi" w:hAnsiTheme="minorHAnsi"/>
          <w:snapToGrid w:val="0"/>
        </w:rPr>
        <w:t xml:space="preserve"> </w:t>
      </w:r>
      <w:r>
        <w:rPr>
          <w:rFonts w:asciiTheme="minorHAnsi" w:hAnsiTheme="minorHAnsi"/>
          <w:snapToGrid w:val="0"/>
        </w:rPr>
        <w:t xml:space="preserve">GUS </w:t>
      </w:r>
      <w:r w:rsidR="0035452E">
        <w:rPr>
          <w:rFonts w:asciiTheme="minorHAnsi" w:hAnsiTheme="minorHAnsi"/>
          <w:snapToGrid w:val="0"/>
        </w:rPr>
        <w:t>be</w:t>
      </w:r>
      <w:r>
        <w:rPr>
          <w:rFonts w:asciiTheme="minorHAnsi" w:hAnsiTheme="minorHAnsi"/>
          <w:snapToGrid w:val="0"/>
        </w:rPr>
        <w:t xml:space="preserve"> cost minimised to UST over 2 years based on the equi-effective doses outlined in </w:t>
      </w:r>
      <w:r w:rsidR="0037454C">
        <w:rPr>
          <w:rFonts w:asciiTheme="minorHAnsi" w:hAnsiTheme="minorHAnsi"/>
          <w:snapToGrid w:val="0"/>
        </w:rPr>
        <w:t xml:space="preserve">the </w:t>
      </w:r>
      <w:r>
        <w:rPr>
          <w:rFonts w:asciiTheme="minorHAnsi" w:hAnsiTheme="minorHAnsi"/>
          <w:snapToGrid w:val="0"/>
        </w:rPr>
        <w:t>paragraph</w:t>
      </w:r>
      <w:r w:rsidR="0037454C">
        <w:rPr>
          <w:rFonts w:asciiTheme="minorHAnsi" w:hAnsiTheme="minorHAnsi"/>
          <w:snapToGrid w:val="0"/>
        </w:rPr>
        <w:t xml:space="preserve"> below</w:t>
      </w:r>
      <w:r>
        <w:rPr>
          <w:rFonts w:asciiTheme="minorHAnsi" w:hAnsiTheme="minorHAnsi"/>
          <w:snapToGrid w:val="0"/>
        </w:rPr>
        <w:t xml:space="preserve">. </w:t>
      </w:r>
      <w:bookmarkEnd w:id="72"/>
    </w:p>
    <w:p w14:paraId="547A3F82" w14:textId="1F2C1227" w:rsidR="0037454C" w:rsidRPr="0054029F" w:rsidRDefault="0037454C" w:rsidP="0037454C">
      <w:pPr>
        <w:pStyle w:val="3-BodyText"/>
        <w:rPr>
          <w:u w:val="single"/>
        </w:rPr>
      </w:pPr>
      <w:bookmarkStart w:id="73" w:name="_Ref203643818"/>
      <w:r>
        <w:t>The PBAC advised the following equi-effective doses were appropriate:</w:t>
      </w:r>
      <w:bookmarkEnd w:id="73"/>
    </w:p>
    <w:p w14:paraId="70E34EFE" w14:textId="79B91C83" w:rsidR="0037454C" w:rsidRDefault="0037454C" w:rsidP="0037454C">
      <w:pPr>
        <w:pStyle w:val="3-BodyText"/>
        <w:numPr>
          <w:ilvl w:val="0"/>
          <w:numId w:val="0"/>
        </w:numPr>
        <w:ind w:left="720"/>
      </w:pPr>
      <w:r>
        <w:t>Guselkumab 200 mg intravenously at week 0, 4, and 8, or</w:t>
      </w:r>
      <w:r w:rsidRPr="007319FC">
        <w:t xml:space="preserve"> </w:t>
      </w:r>
      <w:r>
        <w:t>guselkumab 400 mg subcutaneously (SC) at week 0, 4, and 8 followed by guselkumab 200 mg SC at week 12, and then every 4 weeks, or</w:t>
      </w:r>
      <w:r w:rsidRPr="00B82290">
        <w:t xml:space="preserve"> </w:t>
      </w:r>
      <w:r>
        <w:t xml:space="preserve">guselkumab 100 mg SC at week 16 and then every 8 weeks is equi-effective to ustekinumab 390 mg IV at week 0 and 90 mg SC at week 8 </w:t>
      </w:r>
      <w:r w:rsidRPr="00720674">
        <w:t>followed by 90 mg SC every 8 weeks or every 12 weeks.</w:t>
      </w:r>
    </w:p>
    <w:p w14:paraId="7F1F2446" w14:textId="4B0A4FCC" w:rsidR="009A30CE" w:rsidRPr="00720674" w:rsidRDefault="009A30CE" w:rsidP="0037454C">
      <w:pPr>
        <w:pStyle w:val="3-BodyText"/>
        <w:numPr>
          <w:ilvl w:val="0"/>
          <w:numId w:val="0"/>
        </w:numPr>
        <w:ind w:left="720"/>
      </w:pPr>
      <w:r>
        <w:t xml:space="preserve">The PBAC considered </w:t>
      </w:r>
      <w:r w:rsidR="00910418">
        <w:t xml:space="preserve">a split of </w:t>
      </w:r>
      <w:r w:rsidR="00193DCD">
        <w:t>dosage regimens</w:t>
      </w:r>
      <w:r w:rsidR="00F17455">
        <w:t>, as applied in the financial estimates</w:t>
      </w:r>
      <w:r w:rsidR="008823E0">
        <w:t xml:space="preserve"> (see </w:t>
      </w:r>
      <w:r w:rsidR="008823E0">
        <w:fldChar w:fldCharType="begin"/>
      </w:r>
      <w:r w:rsidR="008823E0">
        <w:instrText xml:space="preserve"> REF _Ref197954993 \h </w:instrText>
      </w:r>
      <w:r w:rsidR="008823E0">
        <w:fldChar w:fldCharType="separate"/>
      </w:r>
      <w:r w:rsidR="000756FD">
        <w:t xml:space="preserve">Table </w:t>
      </w:r>
      <w:r w:rsidR="000756FD">
        <w:rPr>
          <w:noProof/>
        </w:rPr>
        <w:t>17</w:t>
      </w:r>
      <w:r w:rsidR="008823E0">
        <w:fldChar w:fldCharType="end"/>
      </w:r>
      <w:r w:rsidR="008823E0">
        <w:t>)</w:t>
      </w:r>
      <w:r w:rsidR="00F17455">
        <w:t xml:space="preserve">, was reasonable. </w:t>
      </w:r>
    </w:p>
    <w:p w14:paraId="77A79032" w14:textId="123F1791" w:rsidR="00E47FAD" w:rsidRPr="00720674" w:rsidRDefault="00D804EA" w:rsidP="00B66558">
      <w:pPr>
        <w:widowControl w:val="0"/>
        <w:numPr>
          <w:ilvl w:val="1"/>
          <w:numId w:val="1"/>
        </w:numPr>
        <w:spacing w:after="120"/>
        <w:rPr>
          <w:rFonts w:asciiTheme="minorHAnsi" w:hAnsiTheme="minorHAnsi"/>
          <w:snapToGrid w:val="0"/>
        </w:rPr>
      </w:pPr>
      <w:r w:rsidRPr="00720674">
        <w:rPr>
          <w:rFonts w:asciiTheme="minorHAnsi" w:hAnsiTheme="minorHAnsi"/>
          <w:snapToGrid w:val="0"/>
        </w:rPr>
        <w:t xml:space="preserve">The PBAC </w:t>
      </w:r>
      <w:r w:rsidR="00C76B80" w:rsidRPr="00720674">
        <w:rPr>
          <w:rFonts w:asciiTheme="minorHAnsi" w:hAnsiTheme="minorHAnsi"/>
          <w:snapToGrid w:val="0"/>
        </w:rPr>
        <w:t xml:space="preserve">noted the utilisation estimates presented in the submission assumed the uptake of GUS </w:t>
      </w:r>
      <w:r w:rsidR="00571638" w:rsidRPr="00720674">
        <w:rPr>
          <w:rFonts w:asciiTheme="minorHAnsi" w:hAnsiTheme="minorHAnsi"/>
          <w:snapToGrid w:val="0"/>
        </w:rPr>
        <w:t xml:space="preserve">across the total market </w:t>
      </w:r>
      <w:r w:rsidR="00C76B80" w:rsidRPr="00720674">
        <w:rPr>
          <w:rFonts w:asciiTheme="minorHAnsi" w:hAnsiTheme="minorHAnsi"/>
          <w:snapToGrid w:val="0"/>
        </w:rPr>
        <w:t xml:space="preserve">was </w:t>
      </w:r>
      <w:r w:rsidR="00E77A69" w:rsidRPr="00E77A69">
        <w:rPr>
          <w:rFonts w:asciiTheme="minorHAnsi" w:hAnsiTheme="minorHAnsi"/>
          <w:snapToGrid w:val="0"/>
          <w:color w:val="000000"/>
          <w:w w:val="61"/>
          <w:shd w:val="solid" w:color="000000" w:fill="000000"/>
          <w:fitText w:val="475" w:id="-628921085"/>
          <w14:textFill>
            <w14:solidFill>
              <w14:srgbClr w14:val="000000">
                <w14:alpha w14:val="100000"/>
              </w14:srgbClr>
            </w14:solidFill>
          </w14:textFill>
        </w:rPr>
        <w:t>|||  ||</w:t>
      </w:r>
      <w:r w:rsidR="00E77A69" w:rsidRPr="00E77A69">
        <w:rPr>
          <w:rFonts w:asciiTheme="minorHAnsi" w:hAnsiTheme="minorHAnsi"/>
          <w:snapToGrid w:val="0"/>
          <w:color w:val="000000"/>
          <w:spacing w:val="5"/>
          <w:w w:val="61"/>
          <w:shd w:val="solid" w:color="000000" w:fill="000000"/>
          <w:fitText w:val="475" w:id="-628921085"/>
          <w14:textFill>
            <w14:solidFill>
              <w14:srgbClr w14:val="000000">
                <w14:alpha w14:val="100000"/>
              </w14:srgbClr>
            </w14:solidFill>
          </w14:textFill>
        </w:rPr>
        <w:t>|</w:t>
      </w:r>
      <w:r w:rsidR="00C76B80" w:rsidRPr="00720674">
        <w:rPr>
          <w:rFonts w:asciiTheme="minorHAnsi" w:hAnsiTheme="minorHAnsi"/>
          <w:snapToGrid w:val="0"/>
        </w:rPr>
        <w:t xml:space="preserve">% in Year 1, increasing to </w:t>
      </w:r>
      <w:r w:rsidR="00E77A69" w:rsidRPr="003B7DE0">
        <w:rPr>
          <w:rFonts w:asciiTheme="minorHAnsi" w:hAnsiTheme="minorHAnsi"/>
          <w:snapToGrid w:val="0"/>
          <w:color w:val="000000"/>
          <w:w w:val="59"/>
          <w:shd w:val="solid" w:color="000000" w:fill="000000"/>
          <w:fitText w:val="460" w:id="-628921084"/>
          <w14:textFill>
            <w14:solidFill>
              <w14:srgbClr w14:val="000000">
                <w14:alpha w14:val="100000"/>
              </w14:srgbClr>
            </w14:solidFill>
          </w14:textFill>
        </w:rPr>
        <w:t>|||  ||</w:t>
      </w:r>
      <w:r w:rsidR="00E77A69" w:rsidRPr="003B7DE0">
        <w:rPr>
          <w:rFonts w:asciiTheme="minorHAnsi" w:hAnsiTheme="minorHAnsi"/>
          <w:snapToGrid w:val="0"/>
          <w:color w:val="000000"/>
          <w:spacing w:val="5"/>
          <w:w w:val="59"/>
          <w:shd w:val="solid" w:color="000000" w:fill="000000"/>
          <w:fitText w:val="460" w:id="-628921084"/>
          <w14:textFill>
            <w14:solidFill>
              <w14:srgbClr w14:val="000000">
                <w14:alpha w14:val="100000"/>
              </w14:srgbClr>
            </w14:solidFill>
          </w14:textFill>
        </w:rPr>
        <w:t>|</w:t>
      </w:r>
      <w:r w:rsidR="00C76B80" w:rsidRPr="00720674">
        <w:rPr>
          <w:rFonts w:asciiTheme="minorHAnsi" w:hAnsiTheme="minorHAnsi"/>
          <w:snapToGrid w:val="0"/>
        </w:rPr>
        <w:t xml:space="preserve">% </w:t>
      </w:r>
      <w:r w:rsidR="005C58C5">
        <w:rPr>
          <w:rFonts w:asciiTheme="minorHAnsi" w:hAnsiTheme="minorHAnsi"/>
          <w:snapToGrid w:val="0"/>
        </w:rPr>
        <w:t>i</w:t>
      </w:r>
      <w:r w:rsidR="00C76B80" w:rsidRPr="00720674">
        <w:rPr>
          <w:rFonts w:asciiTheme="minorHAnsi" w:hAnsiTheme="minorHAnsi"/>
          <w:snapToGrid w:val="0"/>
        </w:rPr>
        <w:t>n Year 6 and considered this was reasonable.</w:t>
      </w:r>
      <w:r w:rsidRPr="00720674">
        <w:rPr>
          <w:rFonts w:asciiTheme="minorHAnsi" w:hAnsiTheme="minorHAnsi"/>
          <w:snapToGrid w:val="0"/>
        </w:rPr>
        <w:t xml:space="preserve"> </w:t>
      </w:r>
      <w:r w:rsidR="00571638" w:rsidRPr="00720674">
        <w:rPr>
          <w:rFonts w:asciiTheme="minorHAnsi" w:hAnsiTheme="minorHAnsi"/>
          <w:snapToGrid w:val="0"/>
        </w:rPr>
        <w:t xml:space="preserve">The PBAC noted </w:t>
      </w:r>
      <w:r w:rsidR="00AF372A" w:rsidRPr="00720674">
        <w:rPr>
          <w:rFonts w:asciiTheme="minorHAnsi" w:hAnsiTheme="minorHAnsi"/>
          <w:snapToGrid w:val="0"/>
        </w:rPr>
        <w:t xml:space="preserve">that, based on the recommendation in paragraph </w:t>
      </w:r>
      <w:r w:rsidR="00AF372A" w:rsidRPr="00720674">
        <w:rPr>
          <w:rFonts w:asciiTheme="minorHAnsi" w:hAnsiTheme="minorHAnsi"/>
          <w:snapToGrid w:val="0"/>
        </w:rPr>
        <w:fldChar w:fldCharType="begin"/>
      </w:r>
      <w:r w:rsidR="00AF372A" w:rsidRPr="00720674">
        <w:rPr>
          <w:rFonts w:asciiTheme="minorHAnsi" w:hAnsiTheme="minorHAnsi"/>
          <w:snapToGrid w:val="0"/>
        </w:rPr>
        <w:instrText xml:space="preserve"> REF _Ref204178576 \r \h </w:instrText>
      </w:r>
      <w:r w:rsidR="00720674">
        <w:rPr>
          <w:rFonts w:asciiTheme="minorHAnsi" w:hAnsiTheme="minorHAnsi"/>
          <w:snapToGrid w:val="0"/>
        </w:rPr>
        <w:instrText xml:space="preserve"> \* MERGEFORMAT </w:instrText>
      </w:r>
      <w:r w:rsidR="00AF372A" w:rsidRPr="00720674">
        <w:rPr>
          <w:rFonts w:asciiTheme="minorHAnsi" w:hAnsiTheme="minorHAnsi"/>
          <w:snapToGrid w:val="0"/>
        </w:rPr>
      </w:r>
      <w:r w:rsidR="00AF372A" w:rsidRPr="00720674">
        <w:rPr>
          <w:rFonts w:asciiTheme="minorHAnsi" w:hAnsiTheme="minorHAnsi"/>
          <w:snapToGrid w:val="0"/>
        </w:rPr>
        <w:fldChar w:fldCharType="separate"/>
      </w:r>
      <w:r w:rsidR="000756FD">
        <w:rPr>
          <w:rFonts w:asciiTheme="minorHAnsi" w:hAnsiTheme="minorHAnsi"/>
          <w:snapToGrid w:val="0"/>
        </w:rPr>
        <w:t>7.9</w:t>
      </w:r>
      <w:r w:rsidR="00AF372A" w:rsidRPr="00720674">
        <w:rPr>
          <w:rFonts w:asciiTheme="minorHAnsi" w:hAnsiTheme="minorHAnsi"/>
          <w:snapToGrid w:val="0"/>
        </w:rPr>
        <w:fldChar w:fldCharType="end"/>
      </w:r>
      <w:r w:rsidR="00AF372A" w:rsidRPr="00720674">
        <w:rPr>
          <w:rFonts w:asciiTheme="minorHAnsi" w:hAnsiTheme="minorHAnsi"/>
          <w:snapToGrid w:val="0"/>
        </w:rPr>
        <w:t>, there will be an incremental cost to the PBS as GUS may substitute for</w:t>
      </w:r>
      <w:r w:rsidR="00925318">
        <w:rPr>
          <w:rFonts w:asciiTheme="minorHAnsi" w:hAnsiTheme="minorHAnsi"/>
          <w:snapToGrid w:val="0"/>
        </w:rPr>
        <w:t xml:space="preserve"> less</w:t>
      </w:r>
      <w:r w:rsidR="00AF372A" w:rsidRPr="00720674">
        <w:rPr>
          <w:rFonts w:asciiTheme="minorHAnsi" w:hAnsiTheme="minorHAnsi"/>
          <w:snapToGrid w:val="0"/>
        </w:rPr>
        <w:t xml:space="preserve"> costly alternatives. The PBAC </w:t>
      </w:r>
      <w:r w:rsidR="00720674" w:rsidRPr="00720674">
        <w:rPr>
          <w:rFonts w:asciiTheme="minorHAnsi" w:hAnsiTheme="minorHAnsi"/>
          <w:snapToGrid w:val="0"/>
        </w:rPr>
        <w:t xml:space="preserve">noted the utilisation estimates applied incorrect script equivalence for some medicines (as outlined in </w:t>
      </w:r>
      <w:r w:rsidR="00720674" w:rsidRPr="00720674">
        <w:rPr>
          <w:rFonts w:asciiTheme="minorHAnsi" w:hAnsiTheme="minorHAnsi"/>
          <w:snapToGrid w:val="0"/>
        </w:rPr>
        <w:fldChar w:fldCharType="begin"/>
      </w:r>
      <w:r w:rsidR="00720674" w:rsidRPr="00720674">
        <w:rPr>
          <w:rFonts w:asciiTheme="minorHAnsi" w:hAnsiTheme="minorHAnsi"/>
          <w:snapToGrid w:val="0"/>
        </w:rPr>
        <w:instrText xml:space="preserve"> REF _Ref197954993 \h </w:instrText>
      </w:r>
      <w:r w:rsidR="00720674">
        <w:rPr>
          <w:rFonts w:asciiTheme="minorHAnsi" w:hAnsiTheme="minorHAnsi"/>
          <w:snapToGrid w:val="0"/>
        </w:rPr>
        <w:instrText xml:space="preserve"> \* MERGEFORMAT </w:instrText>
      </w:r>
      <w:r w:rsidR="00720674" w:rsidRPr="00720674">
        <w:rPr>
          <w:rFonts w:asciiTheme="minorHAnsi" w:hAnsiTheme="minorHAnsi"/>
          <w:snapToGrid w:val="0"/>
        </w:rPr>
      </w:r>
      <w:r w:rsidR="00720674" w:rsidRPr="00720674">
        <w:rPr>
          <w:rFonts w:asciiTheme="minorHAnsi" w:hAnsiTheme="minorHAnsi"/>
          <w:snapToGrid w:val="0"/>
        </w:rPr>
        <w:fldChar w:fldCharType="separate"/>
      </w:r>
      <w:r w:rsidR="000756FD">
        <w:t xml:space="preserve">Table </w:t>
      </w:r>
      <w:r w:rsidR="000756FD">
        <w:rPr>
          <w:noProof/>
        </w:rPr>
        <w:t>17</w:t>
      </w:r>
      <w:r w:rsidR="00720674" w:rsidRPr="00720674">
        <w:rPr>
          <w:rFonts w:asciiTheme="minorHAnsi" w:hAnsiTheme="minorHAnsi"/>
          <w:snapToGrid w:val="0"/>
        </w:rPr>
        <w:fldChar w:fldCharType="end"/>
      </w:r>
      <w:r w:rsidR="00720674" w:rsidRPr="00720674">
        <w:rPr>
          <w:rFonts w:asciiTheme="minorHAnsi" w:hAnsiTheme="minorHAnsi"/>
          <w:snapToGrid w:val="0"/>
        </w:rPr>
        <w:t xml:space="preserve">) </w:t>
      </w:r>
      <w:r w:rsidR="00621765" w:rsidRPr="00720674">
        <w:rPr>
          <w:rFonts w:asciiTheme="minorHAnsi" w:hAnsiTheme="minorHAnsi"/>
          <w:snapToGrid w:val="0"/>
        </w:rPr>
        <w:t xml:space="preserve">that will need to be corrected.  </w:t>
      </w:r>
    </w:p>
    <w:p w14:paraId="590C1161" w14:textId="5BACE766" w:rsidR="00EA653F" w:rsidRPr="00135DCD" w:rsidRDefault="00EA653F" w:rsidP="00EA653F">
      <w:pPr>
        <w:widowControl w:val="0"/>
        <w:numPr>
          <w:ilvl w:val="1"/>
          <w:numId w:val="1"/>
        </w:numPr>
        <w:spacing w:after="120"/>
        <w:rPr>
          <w:rFonts w:asciiTheme="minorHAnsi" w:hAnsiTheme="minorHAnsi"/>
          <w:bCs/>
          <w:snapToGrid w:val="0"/>
          <w:lang w:val="en-GB"/>
        </w:rPr>
      </w:pPr>
      <w:r w:rsidRPr="00720674">
        <w:rPr>
          <w:rFonts w:asciiTheme="minorHAnsi" w:hAnsiTheme="minorHAnsi"/>
          <w:bCs/>
          <w:snapToGrid w:val="0"/>
          <w:lang w:val="en-GB"/>
        </w:rPr>
        <w:t xml:space="preserve">The PBAC </w:t>
      </w:r>
      <w:r w:rsidR="00EE00DE" w:rsidRPr="00720674">
        <w:rPr>
          <w:rFonts w:asciiTheme="minorHAnsi" w:hAnsiTheme="minorHAnsi"/>
          <w:bCs/>
          <w:snapToGrid w:val="0"/>
          <w:lang w:val="en-GB"/>
        </w:rPr>
        <w:t xml:space="preserve">recalled it had previously </w:t>
      </w:r>
      <w:r w:rsidRPr="00720674">
        <w:rPr>
          <w:rFonts w:asciiTheme="minorHAnsi" w:hAnsiTheme="minorHAnsi"/>
          <w:bCs/>
          <w:snapToGrid w:val="0"/>
          <w:lang w:val="en-GB"/>
        </w:rPr>
        <w:t>advised</w:t>
      </w:r>
      <w:r w:rsidR="00EE00DE" w:rsidRPr="00720674">
        <w:rPr>
          <w:rFonts w:asciiTheme="minorHAnsi" w:hAnsiTheme="minorHAnsi"/>
          <w:bCs/>
          <w:snapToGrid w:val="0"/>
          <w:lang w:val="en-GB"/>
        </w:rPr>
        <w:t xml:space="preserve"> that</w:t>
      </w:r>
      <w:r w:rsidR="009E65F9" w:rsidRPr="00720674">
        <w:rPr>
          <w:rFonts w:asciiTheme="minorHAnsi" w:hAnsiTheme="minorHAnsi"/>
          <w:bCs/>
          <w:snapToGrid w:val="0"/>
          <w:lang w:val="en-GB"/>
        </w:rPr>
        <w:t xml:space="preserve"> </w:t>
      </w:r>
      <w:r w:rsidRPr="00720674">
        <w:rPr>
          <w:rFonts w:asciiTheme="minorHAnsi" w:hAnsiTheme="minorHAnsi"/>
          <w:bCs/>
          <w:snapToGrid w:val="0"/>
          <w:lang w:val="en-GB"/>
        </w:rPr>
        <w:t xml:space="preserve">guselkumab </w:t>
      </w:r>
      <w:r w:rsidR="00135DCD" w:rsidRPr="00720674">
        <w:rPr>
          <w:rFonts w:asciiTheme="minorHAnsi" w:hAnsiTheme="minorHAnsi"/>
          <w:bCs/>
          <w:snapToGrid w:val="0"/>
          <w:lang w:val="en-GB"/>
        </w:rPr>
        <w:t xml:space="preserve">100 mg </w:t>
      </w:r>
      <w:r w:rsidRPr="00720674">
        <w:rPr>
          <w:rFonts w:asciiTheme="minorHAnsi" w:hAnsiTheme="minorHAnsi"/>
          <w:bCs/>
          <w:snapToGrid w:val="0"/>
          <w:lang w:val="en-GB"/>
        </w:rPr>
        <w:t xml:space="preserve">PFP and guselkumab </w:t>
      </w:r>
      <w:r w:rsidR="00135DCD" w:rsidRPr="00720674">
        <w:rPr>
          <w:rFonts w:asciiTheme="minorHAnsi" w:hAnsiTheme="minorHAnsi"/>
          <w:bCs/>
          <w:snapToGrid w:val="0"/>
          <w:lang w:val="en-GB"/>
        </w:rPr>
        <w:t xml:space="preserve">100 mg </w:t>
      </w:r>
      <w:r w:rsidRPr="00720674">
        <w:rPr>
          <w:rFonts w:asciiTheme="minorHAnsi" w:hAnsiTheme="minorHAnsi"/>
          <w:bCs/>
          <w:snapToGrid w:val="0"/>
          <w:lang w:val="en-GB"/>
        </w:rPr>
        <w:t>PFS should be considered equivalent for the purposes of</w:t>
      </w:r>
      <w:r w:rsidRPr="00135DCD">
        <w:rPr>
          <w:rFonts w:asciiTheme="minorHAnsi" w:hAnsiTheme="minorHAnsi"/>
          <w:bCs/>
          <w:snapToGrid w:val="0"/>
          <w:lang w:val="en-GB"/>
        </w:rPr>
        <w:t xml:space="preserve"> substitution (i.e., ‘a’ flagged in the Schedule with a NOTE stating PBS of one form and PBS of another form are equivalent for the purposes of substitution)</w:t>
      </w:r>
      <w:r w:rsidR="00EE00DE">
        <w:rPr>
          <w:rFonts w:asciiTheme="minorHAnsi" w:hAnsiTheme="minorHAnsi"/>
          <w:bCs/>
          <w:snapToGrid w:val="0"/>
          <w:lang w:val="en-GB"/>
        </w:rPr>
        <w:t xml:space="preserve"> (paragraph </w:t>
      </w:r>
      <w:r w:rsidR="00077A76">
        <w:rPr>
          <w:rFonts w:asciiTheme="minorHAnsi" w:hAnsiTheme="minorHAnsi"/>
          <w:bCs/>
          <w:snapToGrid w:val="0"/>
          <w:lang w:val="en-GB"/>
        </w:rPr>
        <w:t xml:space="preserve">7.11, guselkumab minutes, </w:t>
      </w:r>
      <w:r w:rsidR="00EE00DE">
        <w:rPr>
          <w:rFonts w:asciiTheme="minorHAnsi" w:hAnsiTheme="minorHAnsi"/>
          <w:bCs/>
          <w:snapToGrid w:val="0"/>
          <w:lang w:val="en-GB"/>
        </w:rPr>
        <w:t>May 2025 PBAC meeting</w:t>
      </w:r>
      <w:r w:rsidR="00077A76">
        <w:rPr>
          <w:rFonts w:asciiTheme="minorHAnsi" w:hAnsiTheme="minorHAnsi"/>
          <w:bCs/>
          <w:snapToGrid w:val="0"/>
          <w:lang w:val="en-GB"/>
        </w:rPr>
        <w:t>)</w:t>
      </w:r>
      <w:r w:rsidRPr="00135DCD">
        <w:rPr>
          <w:rFonts w:asciiTheme="minorHAnsi" w:hAnsiTheme="minorHAnsi"/>
          <w:bCs/>
          <w:snapToGrid w:val="0"/>
          <w:lang w:val="en-GB"/>
        </w:rPr>
        <w:t>.</w:t>
      </w:r>
      <w:r w:rsidR="00135DCD" w:rsidRPr="00135DCD">
        <w:rPr>
          <w:rFonts w:asciiTheme="minorHAnsi" w:hAnsiTheme="minorHAnsi"/>
          <w:bCs/>
          <w:snapToGrid w:val="0"/>
          <w:lang w:val="en-GB"/>
        </w:rPr>
        <w:t xml:space="preserve"> Additionally, the PBAC advised, under Section 101 (4AACD) of the </w:t>
      </w:r>
      <w:r w:rsidR="00135DCD" w:rsidRPr="00135DCD">
        <w:rPr>
          <w:rFonts w:asciiTheme="minorHAnsi" w:hAnsiTheme="minorHAnsi"/>
          <w:bCs/>
          <w:i/>
          <w:iCs/>
          <w:snapToGrid w:val="0"/>
          <w:lang w:val="en-GB"/>
        </w:rPr>
        <w:t>National Health Act</w:t>
      </w:r>
      <w:r w:rsidR="00135DCD" w:rsidRPr="00135DCD">
        <w:rPr>
          <w:rFonts w:asciiTheme="minorHAnsi" w:hAnsiTheme="minorHAnsi"/>
          <w:bCs/>
          <w:snapToGrid w:val="0"/>
          <w:lang w:val="en-GB"/>
        </w:rPr>
        <w:t>, that guselkumab 200 mg PFP and guselkumab 200 mg PFS should be considered equivalent for the purposes of substitution (i.e., ‘a’ flagged in the Schedule with a NOTE stating PBS of one form and PBS of another form are equivalent for the purposes of substitution).</w:t>
      </w:r>
    </w:p>
    <w:p w14:paraId="7F5732D0" w14:textId="6B617BF4" w:rsidR="00FA3A62" w:rsidRDefault="00FA3A62" w:rsidP="00FA3A62">
      <w:pPr>
        <w:pStyle w:val="3-BodyText"/>
      </w:pPr>
      <w:r>
        <w:t xml:space="preserve">The PBAC found that the criteria prescribed by the </w:t>
      </w:r>
      <w:r w:rsidRPr="00BC1465">
        <w:rPr>
          <w:i/>
          <w:iCs/>
        </w:rPr>
        <w:t>National Health (Pharmaceuticals and Vaccines – Cost Recovery) Regulations 2022</w:t>
      </w:r>
      <w:r>
        <w:t xml:space="preserve"> for Pricing Pathway A were not met. </w:t>
      </w:r>
      <w:proofErr w:type="gramStart"/>
      <w:r>
        <w:t>Specifically</w:t>
      </w:r>
      <w:proofErr w:type="gramEnd"/>
      <w:r>
        <w:t xml:space="preserve"> the PBAC found that in the circumstances of its recommendation for </w:t>
      </w:r>
      <w:r w:rsidR="00EE155B">
        <w:t>GUS</w:t>
      </w:r>
      <w:r>
        <w:t>:</w:t>
      </w:r>
    </w:p>
    <w:p w14:paraId="4F45643A" w14:textId="223A3BF1" w:rsidR="00FA3A62" w:rsidRDefault="00FA3A62" w:rsidP="00EE155B">
      <w:pPr>
        <w:pStyle w:val="ListParagraph"/>
        <w:numPr>
          <w:ilvl w:val="0"/>
          <w:numId w:val="42"/>
        </w:numPr>
      </w:pPr>
      <w:r>
        <w:t xml:space="preserve">The treatment is not expected to provide a substantial and clinically relevant improvement in efficacy, or reduction of toxicity, over alternative therapies; </w:t>
      </w:r>
    </w:p>
    <w:p w14:paraId="3422D8EB" w14:textId="3B6E9252" w:rsidR="00FA3A62" w:rsidRDefault="00FA3A62" w:rsidP="00EE155B">
      <w:pPr>
        <w:pStyle w:val="ListParagraph"/>
        <w:numPr>
          <w:ilvl w:val="0"/>
          <w:numId w:val="42"/>
        </w:numPr>
      </w:pPr>
      <w:r>
        <w:t xml:space="preserve">The treatment </w:t>
      </w:r>
      <w:r w:rsidR="00436A5A">
        <w:t>i</w:t>
      </w:r>
      <w:r>
        <w:t xml:space="preserve">s not expected to address a high and urgent unmet clinical need </w:t>
      </w:r>
      <w:r w:rsidR="00436A5A">
        <w:t>as there are alternative therapies available</w:t>
      </w:r>
      <w:r>
        <w:t>;</w:t>
      </w:r>
    </w:p>
    <w:p w14:paraId="7815B688" w14:textId="6DC87D28" w:rsidR="003104D2" w:rsidRDefault="003104D2" w:rsidP="00EE155B">
      <w:pPr>
        <w:pStyle w:val="ListParagraph"/>
        <w:numPr>
          <w:ilvl w:val="0"/>
          <w:numId w:val="42"/>
        </w:numPr>
      </w:pPr>
      <w:r w:rsidRPr="00BA5F18">
        <w:t>It was not necessary to make a finding in relation to whether it would be in the public interest for the subsequent pricing application to be progressed under Pricing Pathway A because one or more of the preceding tests had failed</w:t>
      </w:r>
    </w:p>
    <w:p w14:paraId="0B4D0C4E" w14:textId="77777777" w:rsidR="00EA653F" w:rsidRPr="005B6C26" w:rsidRDefault="00EA653F" w:rsidP="00EA653F">
      <w:pPr>
        <w:widowControl w:val="0"/>
        <w:numPr>
          <w:ilvl w:val="1"/>
          <w:numId w:val="1"/>
        </w:numPr>
        <w:spacing w:after="120"/>
        <w:rPr>
          <w:rFonts w:asciiTheme="minorHAnsi" w:hAnsiTheme="minorHAnsi"/>
          <w:bCs/>
          <w:snapToGrid w:val="0"/>
          <w:lang w:eastAsia="en-US"/>
        </w:rPr>
      </w:pPr>
      <w:r w:rsidRPr="005B6C26">
        <w:rPr>
          <w:rFonts w:asciiTheme="minorHAnsi" w:hAnsiTheme="minorHAnsi"/>
          <w:bCs/>
          <w:snapToGrid w:val="0"/>
          <w:lang w:eastAsia="en-US"/>
        </w:rPr>
        <w:t>The PBAC noted that this submission is not eligible for an Independent Review as it received a positive recommendation.</w:t>
      </w:r>
    </w:p>
    <w:p w14:paraId="421AE484" w14:textId="79FC85A7" w:rsidR="00B66558" w:rsidRPr="00275539" w:rsidRDefault="00B66558" w:rsidP="00B66558">
      <w:pPr>
        <w:widowControl w:val="0"/>
        <w:ind w:left="720"/>
        <w:rPr>
          <w:rFonts w:asciiTheme="minorHAnsi" w:hAnsiTheme="minorHAnsi"/>
          <w:b/>
          <w:bCs/>
          <w:snapToGrid w:val="0"/>
          <w:u w:val="single"/>
        </w:rPr>
      </w:pPr>
    </w:p>
    <w:p w14:paraId="691C9C17" w14:textId="77777777" w:rsidR="00704F14" w:rsidRPr="00D8553E" w:rsidRDefault="00704F14" w:rsidP="00704F14">
      <w:pPr>
        <w:rPr>
          <w:rFonts w:asciiTheme="minorHAnsi" w:hAnsiTheme="minorHAnsi"/>
          <w:b/>
          <w:bCs/>
          <w:snapToGrid w:val="0"/>
          <w:lang w:val="en-GB"/>
        </w:rPr>
      </w:pPr>
      <w:r w:rsidRPr="00D8553E">
        <w:rPr>
          <w:rFonts w:asciiTheme="minorHAnsi" w:hAnsiTheme="minorHAnsi"/>
          <w:b/>
          <w:bCs/>
          <w:snapToGrid w:val="0"/>
          <w:lang w:val="en-GB"/>
        </w:rPr>
        <w:t>Outcome:</w:t>
      </w:r>
    </w:p>
    <w:p w14:paraId="099D1A97" w14:textId="4859A47F" w:rsidR="00704F14" w:rsidRPr="00D8553E" w:rsidRDefault="00704F14" w:rsidP="00704F14">
      <w:pPr>
        <w:rPr>
          <w:rFonts w:asciiTheme="minorHAnsi" w:hAnsiTheme="minorHAnsi"/>
          <w:bCs/>
          <w:snapToGrid w:val="0"/>
          <w:lang w:val="en-GB"/>
        </w:rPr>
      </w:pPr>
      <w:r w:rsidRPr="00D8553E">
        <w:rPr>
          <w:rFonts w:asciiTheme="minorHAnsi" w:hAnsiTheme="minorHAnsi"/>
          <w:bCs/>
          <w:snapToGrid w:val="0"/>
          <w:lang w:val="en-GB"/>
        </w:rPr>
        <w:t xml:space="preserve">Recommended </w:t>
      </w:r>
    </w:p>
    <w:bookmarkEnd w:id="71"/>
    <w:p w14:paraId="625BA5E2" w14:textId="77777777" w:rsidR="00B607FB" w:rsidRPr="003B1FC7" w:rsidRDefault="00B607FB" w:rsidP="003B1FC7">
      <w:pPr>
        <w:pStyle w:val="2-SectionHeading"/>
      </w:pPr>
      <w:r w:rsidRPr="003B1FC7">
        <w:t>Recommended listing</w:t>
      </w:r>
    </w:p>
    <w:p w14:paraId="6D7CB925" w14:textId="67392E1D" w:rsidR="00B607FB" w:rsidRPr="00B607FB" w:rsidRDefault="00B607FB" w:rsidP="00B607FB">
      <w:pPr>
        <w:widowControl w:val="0"/>
        <w:numPr>
          <w:ilvl w:val="1"/>
          <w:numId w:val="1"/>
        </w:numPr>
        <w:contextualSpacing/>
        <w:rPr>
          <w:rFonts w:asciiTheme="minorHAnsi" w:hAnsiTheme="minorHAnsi"/>
          <w:b/>
          <w:bCs/>
          <w:snapToGrid w:val="0"/>
        </w:rPr>
      </w:pPr>
      <w:r w:rsidRPr="00B607FB">
        <w:rPr>
          <w:rFonts w:asciiTheme="minorHAnsi" w:hAnsiTheme="minorHAnsi"/>
          <w:bCs/>
          <w:snapToGrid w:val="0"/>
        </w:rPr>
        <w:t>Add new item</w:t>
      </w:r>
      <w:r>
        <w:rPr>
          <w:rFonts w:asciiTheme="minorHAnsi" w:hAnsiTheme="minorHAnsi"/>
          <w:bCs/>
          <w:snapToGrid w:val="0"/>
        </w:rPr>
        <w:t>s</w:t>
      </w:r>
      <w:r w:rsidRPr="00B607FB">
        <w:rPr>
          <w:rFonts w:asciiTheme="minorHAnsi" w:hAnsiTheme="minorHAnsi"/>
          <w:bCs/>
          <w:snapToGrid w:val="0"/>
        </w:rPr>
        <w:t>:</w:t>
      </w:r>
    </w:p>
    <w:p w14:paraId="1DA3B5E5" w14:textId="77777777" w:rsidR="009C5E27" w:rsidRPr="00592E29" w:rsidRDefault="009C5E27" w:rsidP="009C5E27">
      <w:pPr>
        <w:pStyle w:val="Caption"/>
        <w:rPr>
          <w:szCs w:val="20"/>
        </w:rPr>
      </w:pPr>
      <w:bookmarkStart w:id="74" w:name="_Toc170208116"/>
      <w:bookmarkStart w:id="75" w:name="_Toc174449248"/>
      <w:r w:rsidRPr="00592E29">
        <w:rPr>
          <w:szCs w:val="20"/>
        </w:rPr>
        <w:t>Proposed Restriction – initial treatment</w:t>
      </w:r>
      <w:bookmarkEnd w:id="74"/>
      <w:bookmarkEnd w:id="75"/>
      <w:r w:rsidRPr="00592E29">
        <w:rPr>
          <w:szCs w:val="20"/>
        </w:rPr>
        <w:t xml:space="preserve"> (General Schedule SC injection)</w:t>
      </w:r>
    </w:p>
    <w:p w14:paraId="2C85D840" w14:textId="77777777" w:rsidR="009C5E27" w:rsidRPr="00592E29" w:rsidRDefault="009C5E27" w:rsidP="009C5E27">
      <w:pPr>
        <w:pStyle w:val="Caption"/>
        <w:rPr>
          <w:szCs w:val="20"/>
        </w:rPr>
      </w:pPr>
      <w:r w:rsidRPr="00592E29">
        <w:rPr>
          <w:szCs w:val="20"/>
        </w:rPr>
        <w:t>Proposed Restriction – Grandfather arrangements for induction (General Schedule SC injection)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Proposed Restriction – initial treatment (General Schedule SC injection)&#10;Proposed Restriction – Grandfather arrangements for induction (General Schedule SC injection)&#10;"/>
      </w:tblPr>
      <w:tblGrid>
        <w:gridCol w:w="488"/>
        <w:gridCol w:w="784"/>
        <w:gridCol w:w="2668"/>
        <w:gridCol w:w="811"/>
        <w:gridCol w:w="812"/>
        <w:gridCol w:w="811"/>
        <w:gridCol w:w="812"/>
        <w:gridCol w:w="1831"/>
      </w:tblGrid>
      <w:tr w:rsidR="009C5E27" w:rsidRPr="00592E29" w14:paraId="67547712" w14:textId="77777777" w:rsidTr="7688D4E4">
        <w:trPr>
          <w:cantSplit/>
          <w:trHeight w:val="20"/>
        </w:trPr>
        <w:tc>
          <w:tcPr>
            <w:tcW w:w="3940" w:type="dxa"/>
            <w:gridSpan w:val="3"/>
            <w:vAlign w:val="center"/>
          </w:tcPr>
          <w:p w14:paraId="25C5E2B9" w14:textId="77777777" w:rsidR="009C5E27" w:rsidRPr="00592E29" w:rsidRDefault="009C5E27" w:rsidP="003124CE">
            <w:pPr>
              <w:keepLines/>
              <w:rPr>
                <w:rFonts w:ascii="Arial Narrow" w:eastAsia="Calibri" w:hAnsi="Arial Narrow"/>
                <w:b/>
                <w:bCs/>
                <w:sz w:val="20"/>
                <w:szCs w:val="20"/>
              </w:rPr>
            </w:pPr>
            <w:r w:rsidRPr="00592E29">
              <w:rPr>
                <w:rFonts w:ascii="Arial Narrow" w:eastAsia="Calibri" w:hAnsi="Arial Narrow"/>
                <w:b/>
                <w:bCs/>
                <w:sz w:val="20"/>
                <w:szCs w:val="20"/>
              </w:rPr>
              <w:t>MEDICINAL PRODUCT</w:t>
            </w:r>
          </w:p>
          <w:p w14:paraId="33979405"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bCs/>
                <w:sz w:val="20"/>
                <w:szCs w:val="20"/>
              </w:rPr>
              <w:t>medicinal product pack</w:t>
            </w:r>
          </w:p>
        </w:tc>
        <w:tc>
          <w:tcPr>
            <w:tcW w:w="811" w:type="dxa"/>
            <w:vAlign w:val="center"/>
          </w:tcPr>
          <w:p w14:paraId="5916623A"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PBS item code</w:t>
            </w:r>
          </w:p>
        </w:tc>
        <w:tc>
          <w:tcPr>
            <w:tcW w:w="812" w:type="dxa"/>
            <w:vAlign w:val="center"/>
          </w:tcPr>
          <w:p w14:paraId="4AC31FD0"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packs</w:t>
            </w:r>
          </w:p>
        </w:tc>
        <w:tc>
          <w:tcPr>
            <w:tcW w:w="811" w:type="dxa"/>
            <w:vAlign w:val="center"/>
          </w:tcPr>
          <w:p w14:paraId="3AA8591C"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units</w:t>
            </w:r>
          </w:p>
        </w:tc>
        <w:tc>
          <w:tcPr>
            <w:tcW w:w="812" w:type="dxa"/>
            <w:vAlign w:val="center"/>
          </w:tcPr>
          <w:p w14:paraId="676F6C40"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№.of</w:t>
            </w:r>
          </w:p>
          <w:p w14:paraId="3898AE5D"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Rpts</w:t>
            </w:r>
          </w:p>
        </w:tc>
        <w:tc>
          <w:tcPr>
            <w:tcW w:w="1831" w:type="dxa"/>
            <w:vAlign w:val="center"/>
          </w:tcPr>
          <w:p w14:paraId="5465FAD4" w14:textId="77777777" w:rsidR="009C5E27" w:rsidRPr="00592E29" w:rsidRDefault="009C5E27" w:rsidP="003124CE">
            <w:pPr>
              <w:keepLines/>
              <w:rPr>
                <w:rFonts w:ascii="Arial Narrow" w:eastAsia="Calibri" w:hAnsi="Arial Narrow"/>
                <w:b/>
                <w:sz w:val="20"/>
                <w:szCs w:val="20"/>
                <w:lang w:val="fr-FR"/>
              </w:rPr>
            </w:pPr>
            <w:r w:rsidRPr="00592E29">
              <w:rPr>
                <w:rFonts w:ascii="Arial Narrow" w:eastAsia="Calibri" w:hAnsi="Arial Narrow"/>
                <w:b/>
                <w:sz w:val="20"/>
                <w:szCs w:val="20"/>
              </w:rPr>
              <w:t>Available brands</w:t>
            </w:r>
          </w:p>
        </w:tc>
      </w:tr>
      <w:tr w:rsidR="009C5E27" w:rsidRPr="00592E29" w14:paraId="09AC2CC0" w14:textId="77777777" w:rsidTr="7688D4E4">
        <w:trPr>
          <w:cantSplit/>
          <w:trHeight w:val="20"/>
        </w:trPr>
        <w:tc>
          <w:tcPr>
            <w:tcW w:w="9017" w:type="dxa"/>
            <w:gridSpan w:val="8"/>
            <w:vAlign w:val="center"/>
          </w:tcPr>
          <w:p w14:paraId="2E68E87F"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GUSELKUMAB</w:t>
            </w:r>
          </w:p>
        </w:tc>
      </w:tr>
      <w:tr w:rsidR="009C5E27" w:rsidRPr="00592E29" w14:paraId="264AA2F1" w14:textId="77777777" w:rsidTr="7688D4E4">
        <w:trPr>
          <w:cantSplit/>
          <w:trHeight w:val="20"/>
        </w:trPr>
        <w:tc>
          <w:tcPr>
            <w:tcW w:w="3940" w:type="dxa"/>
            <w:gridSpan w:val="3"/>
            <w:vAlign w:val="center"/>
          </w:tcPr>
          <w:p w14:paraId="2D3D88B5"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631F3C">
              <w:rPr>
                <w:rFonts w:ascii="Arial Narrow" w:eastAsia="Calibri" w:hAnsi="Arial Narrow"/>
                <w:sz w:val="20"/>
                <w:szCs w:val="20"/>
              </w:rPr>
              <w:t xml:space="preserve">uselkumab 200 mg/2 mL injection, 2 x 2 mL </w:t>
            </w:r>
            <w:r>
              <w:rPr>
                <w:rFonts w:ascii="Arial Narrow" w:eastAsia="Calibri" w:hAnsi="Arial Narrow"/>
                <w:sz w:val="20"/>
                <w:szCs w:val="20"/>
              </w:rPr>
              <w:t>pen devices</w:t>
            </w:r>
            <w:r w:rsidRPr="00631F3C" w:rsidDel="00631F3C">
              <w:rPr>
                <w:rFonts w:ascii="Arial Narrow" w:eastAsia="Calibri" w:hAnsi="Arial Narrow"/>
                <w:sz w:val="20"/>
                <w:szCs w:val="20"/>
              </w:rPr>
              <w:t xml:space="preserve"> </w:t>
            </w:r>
            <w:r>
              <w:rPr>
                <w:rFonts w:ascii="Arial Narrow" w:eastAsia="Calibri" w:hAnsi="Arial Narrow"/>
                <w:sz w:val="20"/>
                <w:szCs w:val="20"/>
              </w:rPr>
              <w:t xml:space="preserve"> </w:t>
            </w:r>
          </w:p>
        </w:tc>
        <w:tc>
          <w:tcPr>
            <w:tcW w:w="811" w:type="dxa"/>
            <w:vAlign w:val="center"/>
          </w:tcPr>
          <w:p w14:paraId="2CB2621E"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526AF4FC"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6C454A73"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2" w:type="dxa"/>
            <w:vAlign w:val="center"/>
          </w:tcPr>
          <w:p w14:paraId="394614FD"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50A00773"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39860CFC" w14:textId="77777777" w:rsidTr="7688D4E4">
        <w:trPr>
          <w:cantSplit/>
          <w:trHeight w:val="20"/>
        </w:trPr>
        <w:tc>
          <w:tcPr>
            <w:tcW w:w="3940" w:type="dxa"/>
            <w:gridSpan w:val="3"/>
            <w:vAlign w:val="center"/>
          </w:tcPr>
          <w:p w14:paraId="1859BB10"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631F3C">
              <w:rPr>
                <w:rFonts w:ascii="Arial Narrow" w:eastAsia="Calibri" w:hAnsi="Arial Narrow"/>
                <w:sz w:val="20"/>
                <w:szCs w:val="20"/>
              </w:rPr>
              <w:t>uselkumab 200 mg/2 mL injection, 2 x 2 mL syringes</w:t>
            </w:r>
            <w:r>
              <w:rPr>
                <w:rFonts w:ascii="Arial Narrow" w:eastAsia="Calibri" w:hAnsi="Arial Narrow"/>
                <w:sz w:val="20"/>
                <w:szCs w:val="20"/>
              </w:rPr>
              <w:t xml:space="preserve"> </w:t>
            </w:r>
          </w:p>
        </w:tc>
        <w:tc>
          <w:tcPr>
            <w:tcW w:w="811" w:type="dxa"/>
            <w:vAlign w:val="center"/>
          </w:tcPr>
          <w:p w14:paraId="456A218A"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139584FA"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6A1B1620"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2" w:type="dxa"/>
            <w:vAlign w:val="center"/>
          </w:tcPr>
          <w:p w14:paraId="2C2CC961"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4D365C77"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12D45491" w14:textId="77777777" w:rsidTr="7688D4E4">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66ACEB86" w14:textId="77777777" w:rsidR="009C5E27" w:rsidRPr="00592E29" w:rsidRDefault="009C5E27" w:rsidP="003124CE">
            <w:pPr>
              <w:rPr>
                <w:rFonts w:ascii="Arial Narrow" w:eastAsia="Calibri" w:hAnsi="Arial Narrow"/>
                <w:sz w:val="20"/>
                <w:szCs w:val="20"/>
              </w:rPr>
            </w:pPr>
          </w:p>
        </w:tc>
      </w:tr>
      <w:tr w:rsidR="009C5E27" w:rsidRPr="00592E29" w14:paraId="67871A55" w14:textId="77777777" w:rsidTr="7688D4E4">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76BCECD4"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 xml:space="preserve">Concept ID </w:t>
            </w:r>
            <w:r w:rsidRPr="00592E29">
              <w:rPr>
                <w:rFonts w:ascii="Arial Narrow" w:eastAsia="Calibri"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8D67D06" w14:textId="5746E927" w:rsidR="009C5E27" w:rsidRPr="00592E29" w:rsidRDefault="009C5E27" w:rsidP="003124CE">
            <w:pPr>
              <w:keepLines/>
              <w:rPr>
                <w:rFonts w:ascii="Arial Narrow" w:eastAsia="Calibri" w:hAnsi="Arial Narrow"/>
                <w:sz w:val="20"/>
                <w:szCs w:val="20"/>
              </w:rPr>
            </w:pPr>
            <w:r w:rsidRPr="7688D4E4">
              <w:rPr>
                <w:rFonts w:ascii="Arial Narrow" w:eastAsia="Calibri" w:hAnsi="Arial Narrow"/>
                <w:b/>
                <w:bCs/>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Check1"/>
                  <w:enabled/>
                  <w:calcOnExit w:val="0"/>
                  <w:checkBox>
                    <w:sizeAuto/>
                    <w:default w:val="1"/>
                  </w:checkBox>
                </w:ffData>
              </w:fldChar>
            </w:r>
            <w:bookmarkStart w:id="76" w:name="Check1"/>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bookmarkEnd w:id="76"/>
            <w:r w:rsidRPr="00592E29">
              <w:rPr>
                <w:rFonts w:ascii="Arial Narrow" w:eastAsia="Calibri" w:hAnsi="Arial Narrow"/>
                <w:sz w:val="20"/>
                <w:szCs w:val="20"/>
              </w:rPr>
              <w:t xml:space="preserve"> GENERAL - Section 85 General Schedule (Code GE) </w:t>
            </w:r>
          </w:p>
        </w:tc>
      </w:tr>
      <w:tr w:rsidR="009C5E27" w:rsidRPr="00592E29" w14:paraId="788E88F4" w14:textId="77777777" w:rsidTr="7688D4E4">
        <w:tblPrEx>
          <w:tblCellMar>
            <w:top w:w="15" w:type="dxa"/>
            <w:bottom w:w="15" w:type="dxa"/>
          </w:tblCellMar>
          <w:tblLook w:val="04A0" w:firstRow="1" w:lastRow="0" w:firstColumn="1" w:lastColumn="0" w:noHBand="0" w:noVBand="1"/>
        </w:tblPrEx>
        <w:trPr>
          <w:trHeight w:val="20"/>
        </w:trPr>
        <w:tc>
          <w:tcPr>
            <w:tcW w:w="1272" w:type="dxa"/>
            <w:gridSpan w:val="2"/>
            <w:vMerge/>
          </w:tcPr>
          <w:p w14:paraId="450A0FD6"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0E603B"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2912DB55" w14:textId="77777777" w:rsidTr="7688D4E4">
        <w:tblPrEx>
          <w:tblCellMar>
            <w:top w:w="15" w:type="dxa"/>
            <w:bottom w:w="15" w:type="dxa"/>
          </w:tblCellMar>
          <w:tblLook w:val="04A0" w:firstRow="1" w:lastRow="0" w:firstColumn="1" w:lastColumn="0" w:noHBand="0" w:noVBand="1"/>
        </w:tblPrEx>
        <w:trPr>
          <w:trHeight w:val="20"/>
        </w:trPr>
        <w:tc>
          <w:tcPr>
            <w:tcW w:w="1272" w:type="dxa"/>
            <w:gridSpan w:val="2"/>
            <w:vMerge/>
          </w:tcPr>
          <w:p w14:paraId="0F28EA76"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B7610C" w14:textId="77777777" w:rsidR="009C5E27" w:rsidRPr="00592E29" w:rsidRDefault="009C5E27" w:rsidP="003124CE">
            <w:pPr>
              <w:keepLines/>
              <w:rPr>
                <w:rFonts w:ascii="Arial Narrow" w:eastAsia="Calibri" w:hAnsi="Arial Narrow"/>
                <w:color w:val="FF0000"/>
                <w:sz w:val="20"/>
                <w:szCs w:val="20"/>
              </w:rPr>
            </w:pPr>
            <w:r w:rsidRPr="00592E29">
              <w:rPr>
                <w:rFonts w:ascii="Arial Narrow" w:eastAsia="Calibri" w:hAnsi="Arial Narrow"/>
                <w:b/>
                <w:sz w:val="20"/>
                <w:szCs w:val="20"/>
              </w:rPr>
              <w:t xml:space="preserve">Restriction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Authority Required (FULL assessment) in writing only via post/HPOS upload)</w:t>
            </w:r>
            <w:r w:rsidRPr="00592E29">
              <w:rPr>
                <w:rFonts w:ascii="Arial Narrow" w:eastAsia="Calibri" w:hAnsi="Arial Narrow"/>
                <w:color w:val="FF0000"/>
                <w:sz w:val="20"/>
                <w:szCs w:val="20"/>
              </w:rPr>
              <w:t xml:space="preserve"> </w:t>
            </w:r>
          </w:p>
        </w:tc>
      </w:tr>
      <w:tr w:rsidR="009C5E27" w:rsidRPr="00592E29" w14:paraId="5210FA97" w14:textId="77777777" w:rsidTr="7688D4E4">
        <w:tblPrEx>
          <w:tblCellMar>
            <w:top w:w="15" w:type="dxa"/>
            <w:bottom w:w="15" w:type="dxa"/>
          </w:tblCellMar>
          <w:tblLook w:val="04A0" w:firstRow="1" w:lastRow="0" w:firstColumn="1" w:lastColumn="0" w:noHBand="0" w:noVBand="1"/>
        </w:tblPrEx>
        <w:trPr>
          <w:trHeight w:val="38"/>
        </w:trPr>
        <w:tc>
          <w:tcPr>
            <w:tcW w:w="488" w:type="dxa"/>
            <w:vMerge w:val="restart"/>
            <w:tcBorders>
              <w:left w:val="single" w:sz="4" w:space="0" w:color="auto"/>
              <w:right w:val="single" w:sz="4" w:space="0" w:color="auto"/>
            </w:tcBorders>
            <w:textDirection w:val="btLr"/>
            <w:vAlign w:val="center"/>
          </w:tcPr>
          <w:p w14:paraId="53751AC7" w14:textId="77777777" w:rsidR="009C5E27" w:rsidRPr="00592E29" w:rsidRDefault="009C5E27" w:rsidP="003124CE">
            <w:pPr>
              <w:jc w:val="center"/>
              <w:rPr>
                <w:rFonts w:ascii="Arial Narrow" w:eastAsia="Calibri" w:hAnsi="Arial Narrow"/>
                <w:sz w:val="20"/>
                <w:szCs w:val="20"/>
              </w:rPr>
            </w:pPr>
            <w:r w:rsidRPr="00592E29">
              <w:rPr>
                <w:rFonts w:ascii="Arial Narrow" w:eastAsia="Calibri" w:hAnsi="Arial Narrow"/>
                <w:sz w:val="20"/>
                <w:szCs w:val="20"/>
              </w:rPr>
              <w:t>Prescribing rule level</w:t>
            </w:r>
          </w:p>
        </w:tc>
        <w:tc>
          <w:tcPr>
            <w:tcW w:w="784" w:type="dxa"/>
            <w:vAlign w:val="center"/>
          </w:tcPr>
          <w:p w14:paraId="4E912866" w14:textId="762EDA6F"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31C79E4F" w14:textId="77777777" w:rsidR="009C5E27" w:rsidRPr="00592E29" w:rsidRDefault="009C5E27" w:rsidP="003124CE">
            <w:pPr>
              <w:keepNext/>
              <w:keepLines/>
              <w:rPr>
                <w:rFonts w:ascii="Arial Narrow" w:hAnsi="Arial Narrow"/>
                <w:sz w:val="20"/>
                <w:szCs w:val="20"/>
                <w:u w:val="single"/>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u w:val="single"/>
              </w:rPr>
              <w:t>Overarching administrative advice note:</w:t>
            </w:r>
          </w:p>
        </w:tc>
      </w:tr>
      <w:tr w:rsidR="009C5E27" w:rsidRPr="00592E29" w14:paraId="5E3F6EBA"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706A4E0A" w14:textId="77777777" w:rsidR="009C5E27" w:rsidRPr="00592E29" w:rsidRDefault="009C5E27" w:rsidP="003124CE">
            <w:pPr>
              <w:rPr>
                <w:rFonts w:ascii="Arial Narrow" w:eastAsia="Calibri" w:hAnsi="Arial Narrow"/>
                <w:sz w:val="20"/>
                <w:szCs w:val="20"/>
              </w:rPr>
            </w:pPr>
          </w:p>
        </w:tc>
        <w:tc>
          <w:tcPr>
            <w:tcW w:w="784" w:type="dxa"/>
            <w:vAlign w:val="center"/>
          </w:tcPr>
          <w:p w14:paraId="3940D802" w14:textId="7E7EC995" w:rsidR="009C5E27" w:rsidRPr="00B607FB" w:rsidRDefault="009C5E27" w:rsidP="003124CE">
            <w:pPr>
              <w:jc w:val="center"/>
              <w:rPr>
                <w:rFonts w:ascii="Arial Narrow" w:hAnsi="Arial Narrow"/>
                <w:color w:val="333333"/>
                <w:sz w:val="20"/>
                <w:szCs w:val="20"/>
              </w:rPr>
            </w:pPr>
          </w:p>
        </w:tc>
        <w:tc>
          <w:tcPr>
            <w:tcW w:w="7745" w:type="dxa"/>
            <w:gridSpan w:val="6"/>
          </w:tcPr>
          <w:p w14:paraId="07ABA0A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quantity or number of units may be authorised.</w:t>
            </w:r>
          </w:p>
        </w:tc>
      </w:tr>
      <w:tr w:rsidR="009C5E27" w:rsidRPr="00592E29" w14:paraId="026D8EA1"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4287AEA9" w14:textId="77777777" w:rsidR="009C5E27" w:rsidRPr="00592E29" w:rsidRDefault="009C5E27" w:rsidP="003124CE">
            <w:pPr>
              <w:rPr>
                <w:rFonts w:ascii="Arial Narrow" w:eastAsia="Calibri" w:hAnsi="Arial Narrow"/>
                <w:sz w:val="20"/>
                <w:szCs w:val="20"/>
              </w:rPr>
            </w:pPr>
          </w:p>
        </w:tc>
        <w:tc>
          <w:tcPr>
            <w:tcW w:w="784" w:type="dxa"/>
            <w:vAlign w:val="center"/>
          </w:tcPr>
          <w:p w14:paraId="6A44621B" w14:textId="610863AB" w:rsidR="009C5E27" w:rsidRPr="00B607FB" w:rsidRDefault="009C5E27" w:rsidP="003124CE">
            <w:pPr>
              <w:jc w:val="center"/>
              <w:rPr>
                <w:rFonts w:ascii="Arial Narrow" w:hAnsi="Arial Narrow"/>
                <w:color w:val="333333"/>
                <w:sz w:val="20"/>
                <w:szCs w:val="20"/>
              </w:rPr>
            </w:pPr>
          </w:p>
        </w:tc>
        <w:tc>
          <w:tcPr>
            <w:tcW w:w="7745" w:type="dxa"/>
            <w:gridSpan w:val="6"/>
          </w:tcPr>
          <w:p w14:paraId="5C74A86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number of repeats may be authorised.</w:t>
            </w:r>
          </w:p>
        </w:tc>
      </w:tr>
      <w:tr w:rsidR="009C5E27" w:rsidRPr="00592E29" w14:paraId="4888AF16"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400558BB" w14:textId="77777777" w:rsidR="009C5E27" w:rsidRPr="00592E29" w:rsidRDefault="009C5E27" w:rsidP="003124CE">
            <w:pPr>
              <w:rPr>
                <w:rFonts w:ascii="Arial Narrow" w:eastAsia="Calibri" w:hAnsi="Arial Narrow"/>
                <w:sz w:val="20"/>
                <w:szCs w:val="20"/>
              </w:rPr>
            </w:pPr>
          </w:p>
        </w:tc>
        <w:tc>
          <w:tcPr>
            <w:tcW w:w="784" w:type="dxa"/>
            <w:vAlign w:val="center"/>
          </w:tcPr>
          <w:p w14:paraId="2829D827" w14:textId="19E491C8" w:rsidR="009C5E27" w:rsidRPr="00B607FB" w:rsidRDefault="009C5E27" w:rsidP="003124CE">
            <w:pPr>
              <w:jc w:val="center"/>
              <w:rPr>
                <w:rFonts w:ascii="Arial Narrow" w:hAnsi="Arial Narrow"/>
                <w:color w:val="333333"/>
                <w:sz w:val="20"/>
                <w:szCs w:val="20"/>
              </w:rPr>
            </w:pPr>
          </w:p>
        </w:tc>
        <w:tc>
          <w:tcPr>
            <w:tcW w:w="7745" w:type="dxa"/>
            <w:gridSpan w:val="6"/>
          </w:tcPr>
          <w:p w14:paraId="68560EF5"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Special Pricing Arrangements apply</w:t>
            </w:r>
          </w:p>
        </w:tc>
      </w:tr>
      <w:tr w:rsidR="009C5E27" w:rsidRPr="00592E29" w14:paraId="453EFF0D"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3EB1AFEA" w14:textId="77777777" w:rsidR="009C5E27" w:rsidRPr="00592E29" w:rsidRDefault="009C5E27" w:rsidP="003124CE">
            <w:pPr>
              <w:rPr>
                <w:rFonts w:ascii="Arial Narrow" w:eastAsia="Calibri" w:hAnsi="Arial Narrow"/>
                <w:sz w:val="20"/>
                <w:szCs w:val="20"/>
              </w:rPr>
            </w:pPr>
          </w:p>
        </w:tc>
        <w:tc>
          <w:tcPr>
            <w:tcW w:w="784" w:type="dxa"/>
            <w:vAlign w:val="center"/>
          </w:tcPr>
          <w:p w14:paraId="41B68471" w14:textId="70B96664" w:rsidR="009C5E27" w:rsidRPr="007716C9" w:rsidRDefault="009C5E27" w:rsidP="003124CE">
            <w:pPr>
              <w:jc w:val="center"/>
              <w:textAlignment w:val="baseline"/>
              <w:rPr>
                <w:rFonts w:ascii="Arial Narrow" w:hAnsi="Arial Narrow" w:cs="Open Sans"/>
                <w:sz w:val="20"/>
                <w:szCs w:val="20"/>
              </w:rPr>
            </w:pPr>
          </w:p>
          <w:p w14:paraId="1203B420" w14:textId="139A0823" w:rsidR="009C5E27" w:rsidRPr="00592E29" w:rsidRDefault="009C5E27" w:rsidP="003124CE">
            <w:pPr>
              <w:jc w:val="center"/>
              <w:rPr>
                <w:rFonts w:ascii="Arial Narrow" w:hAnsi="Arial Narrow"/>
                <w:i/>
                <w:iCs/>
                <w:color w:val="333333"/>
                <w:sz w:val="20"/>
                <w:szCs w:val="20"/>
              </w:rPr>
            </w:pPr>
          </w:p>
        </w:tc>
        <w:tc>
          <w:tcPr>
            <w:tcW w:w="7745" w:type="dxa"/>
            <w:gridSpan w:val="6"/>
          </w:tcPr>
          <w:p w14:paraId="3321F7A2" w14:textId="77777777" w:rsidR="009C5E27" w:rsidRPr="00592E29" w:rsidRDefault="009C5E27" w:rsidP="003124CE">
            <w:pPr>
              <w:pStyle w:val="TableText0"/>
              <w:rPr>
                <w:szCs w:val="20"/>
              </w:rPr>
            </w:pPr>
            <w:r w:rsidRPr="00592E29">
              <w:rPr>
                <w:rFonts w:eastAsia="Times New Roman" w:cs="Times New Roman"/>
                <w:b/>
                <w:color w:val="333333"/>
                <w:szCs w:val="20"/>
              </w:rPr>
              <w:t>Administrative Advice:</w:t>
            </w:r>
            <w:r w:rsidRPr="00592E29">
              <w:rPr>
                <w:rFonts w:eastAsia="Times New Roman" w:cs="Times New Roman"/>
                <w:color w:val="333333"/>
                <w:szCs w:val="20"/>
              </w:rPr>
              <w:t xml:space="preserve"> </w:t>
            </w:r>
            <w:r w:rsidRPr="00592E29">
              <w:rPr>
                <w:szCs w:val="20"/>
              </w:rPr>
              <w:t>Any queries concerning the arrangements to prescribe may be directed to Services Australia on 1800 700 270 (hours of operation 8 a.m. to 5 p.m. EST Monday to Friday).</w:t>
            </w:r>
          </w:p>
          <w:p w14:paraId="3925CAAF" w14:textId="77777777" w:rsidR="009C5E27" w:rsidRPr="00592E29" w:rsidRDefault="009C5E27" w:rsidP="003124CE">
            <w:pPr>
              <w:pStyle w:val="TableText0"/>
              <w:rPr>
                <w:szCs w:val="20"/>
              </w:rPr>
            </w:pPr>
            <w:r w:rsidRPr="00592E29">
              <w:rPr>
                <w:szCs w:val="20"/>
              </w:rPr>
              <w:t xml:space="preserve">Prescribing information (including Authority Application forms and other relevant documentation as applicable) is available on the Services Australia website at </w:t>
            </w:r>
            <w:hyperlink r:id="rId22" w:history="1">
              <w:r w:rsidRPr="00592E29">
                <w:rPr>
                  <w:rStyle w:val="Hyperlink"/>
                  <w:szCs w:val="20"/>
                </w:rPr>
                <w:t>www.servicesaustralia.gov.au</w:t>
              </w:r>
            </w:hyperlink>
            <w:r w:rsidRPr="00592E29">
              <w:rPr>
                <w:szCs w:val="20"/>
              </w:rPr>
              <w:t xml:space="preserve"> </w:t>
            </w:r>
          </w:p>
          <w:p w14:paraId="79DD6454" w14:textId="77777777" w:rsidR="009C5E27" w:rsidRPr="00592E29" w:rsidRDefault="009C5E27" w:rsidP="003124CE">
            <w:pPr>
              <w:pStyle w:val="TableText0"/>
              <w:rPr>
                <w:szCs w:val="20"/>
              </w:rPr>
            </w:pPr>
            <w:r w:rsidRPr="00592E29">
              <w:rPr>
                <w:szCs w:val="20"/>
              </w:rPr>
              <w:t xml:space="preserve">Applications for authority to prescribe should be submitted online using the form upload facility in Health Professional Online Services (HPOS) at </w:t>
            </w:r>
            <w:hyperlink r:id="rId23">
              <w:r w:rsidRPr="00592E29">
                <w:rPr>
                  <w:rStyle w:val="Hyperlink"/>
                  <w:szCs w:val="20"/>
                </w:rPr>
                <w:t>www.servicesaustralia.gov.au/hpos</w:t>
              </w:r>
            </w:hyperlink>
            <w:r w:rsidRPr="00592E29">
              <w:rPr>
                <w:szCs w:val="20"/>
              </w:rPr>
              <w:t xml:space="preserve"> </w:t>
            </w:r>
          </w:p>
          <w:p w14:paraId="3D5ED2AB" w14:textId="77777777" w:rsidR="009C5E27" w:rsidRPr="00592E29" w:rsidRDefault="009C5E27" w:rsidP="003124CE">
            <w:pPr>
              <w:pStyle w:val="TableText0"/>
              <w:rPr>
                <w:szCs w:val="20"/>
              </w:rPr>
            </w:pPr>
            <w:r w:rsidRPr="00592E29">
              <w:rPr>
                <w:szCs w:val="20"/>
              </w:rPr>
              <w:t>Or mailed to:</w:t>
            </w:r>
          </w:p>
          <w:p w14:paraId="79C4B02D" w14:textId="77777777" w:rsidR="009C5E27" w:rsidRPr="00592E29" w:rsidRDefault="009C5E27" w:rsidP="003124CE">
            <w:pPr>
              <w:pStyle w:val="TableText0"/>
              <w:rPr>
                <w:szCs w:val="20"/>
              </w:rPr>
            </w:pPr>
            <w:r w:rsidRPr="00592E29">
              <w:rPr>
                <w:szCs w:val="20"/>
              </w:rPr>
              <w:t>Services Australia</w:t>
            </w:r>
          </w:p>
          <w:p w14:paraId="09A7A82F" w14:textId="77777777" w:rsidR="009C5E27" w:rsidRPr="00592E29" w:rsidRDefault="009C5E27" w:rsidP="003124CE">
            <w:pPr>
              <w:pStyle w:val="TableText0"/>
              <w:rPr>
                <w:szCs w:val="20"/>
              </w:rPr>
            </w:pPr>
            <w:r w:rsidRPr="00592E29">
              <w:rPr>
                <w:szCs w:val="20"/>
              </w:rPr>
              <w:t>Complex Drugs</w:t>
            </w:r>
          </w:p>
          <w:p w14:paraId="7FEBD409" w14:textId="77777777" w:rsidR="009C5E27" w:rsidRPr="00592E29" w:rsidRDefault="009C5E27" w:rsidP="003124CE">
            <w:pPr>
              <w:pStyle w:val="TableText0"/>
              <w:rPr>
                <w:szCs w:val="20"/>
              </w:rPr>
            </w:pPr>
            <w:r w:rsidRPr="00592E29">
              <w:rPr>
                <w:szCs w:val="20"/>
              </w:rPr>
              <w:t>Reply Paid 9826</w:t>
            </w:r>
          </w:p>
          <w:p w14:paraId="1532499E"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HOBART TAS 7001</w:t>
            </w:r>
          </w:p>
        </w:tc>
      </w:tr>
      <w:tr w:rsidR="009C5E27" w:rsidRPr="00592E29" w14:paraId="5645C68E"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1CCB6899" w14:textId="77777777" w:rsidR="009C5E27" w:rsidRPr="00592E29" w:rsidRDefault="009C5E27" w:rsidP="003124CE">
            <w:pPr>
              <w:rPr>
                <w:rFonts w:ascii="Arial Narrow" w:eastAsia="Calibri" w:hAnsi="Arial Narrow"/>
                <w:sz w:val="20"/>
                <w:szCs w:val="20"/>
              </w:rPr>
            </w:pPr>
          </w:p>
        </w:tc>
        <w:tc>
          <w:tcPr>
            <w:tcW w:w="784" w:type="dxa"/>
            <w:vAlign w:val="center"/>
          </w:tcPr>
          <w:p w14:paraId="42786503" w14:textId="7752E414" w:rsidR="009C5E27" w:rsidRPr="00B607FB" w:rsidRDefault="009C5E27" w:rsidP="003124CE">
            <w:pPr>
              <w:jc w:val="center"/>
              <w:rPr>
                <w:rFonts w:ascii="Arial Narrow" w:hAnsi="Arial Narrow"/>
                <w:color w:val="333333"/>
                <w:sz w:val="20"/>
                <w:szCs w:val="20"/>
              </w:rPr>
            </w:pPr>
          </w:p>
        </w:tc>
        <w:tc>
          <w:tcPr>
            <w:tcW w:w="7745" w:type="dxa"/>
            <w:gridSpan w:val="6"/>
          </w:tcPr>
          <w:p w14:paraId="1FC7FD1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The prescriber completing this authority application must be a specialist medical practitioner of the type specified in the restriction.</w:t>
            </w:r>
          </w:p>
        </w:tc>
      </w:tr>
      <w:tr w:rsidR="009C5E27" w:rsidRPr="00592E29" w14:paraId="0259AF06"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tcPr>
          <w:p w14:paraId="4DDF15F1"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[new1] / Treatment of Concept: [new1] </w:t>
            </w:r>
          </w:p>
        </w:tc>
      </w:tr>
      <w:tr w:rsidR="009C5E27" w:rsidRPr="00592E29" w14:paraId="0F6E09C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459C1EF2" w14:textId="4204D498" w:rsidR="009C5E27" w:rsidRPr="00B607FB" w:rsidRDefault="009C5E27" w:rsidP="003124CE">
            <w:pPr>
              <w:keepLines/>
              <w:jc w:val="center"/>
              <w:rPr>
                <w:rFonts w:ascii="Arial Narrow" w:hAnsi="Arial Narrow"/>
                <w:color w:val="333333"/>
                <w:sz w:val="20"/>
                <w:szCs w:val="20"/>
              </w:rPr>
            </w:pPr>
          </w:p>
        </w:tc>
        <w:tc>
          <w:tcPr>
            <w:tcW w:w="7745" w:type="dxa"/>
            <w:gridSpan w:val="6"/>
            <w:vAlign w:val="center"/>
            <w:hideMark/>
          </w:tcPr>
          <w:p w14:paraId="115BF260"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355706E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0B7A7E13"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hideMark/>
          </w:tcPr>
          <w:p w14:paraId="754363C2"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1 (new patient)</w:t>
            </w:r>
          </w:p>
        </w:tc>
      </w:tr>
      <w:tr w:rsidR="009C5E27" w:rsidRPr="00592E29" w14:paraId="1F61B782" w14:textId="77777777" w:rsidTr="7688D4E4">
        <w:tblPrEx>
          <w:tblCellMar>
            <w:top w:w="15" w:type="dxa"/>
            <w:bottom w:w="15" w:type="dxa"/>
          </w:tblCellMar>
          <w:tblLook w:val="04A0" w:firstRow="1" w:lastRow="0" w:firstColumn="1" w:lastColumn="0" w:noHBand="0" w:noVBand="1"/>
        </w:tblPrEx>
        <w:trPr>
          <w:cantSplit/>
          <w:trHeight w:val="38"/>
        </w:trPr>
        <w:tc>
          <w:tcPr>
            <w:tcW w:w="1272" w:type="dxa"/>
            <w:gridSpan w:val="2"/>
            <w:vAlign w:val="center"/>
            <w:hideMark/>
          </w:tcPr>
          <w:p w14:paraId="27FB0E48" w14:textId="4E5C927A" w:rsidR="009C5E27" w:rsidRPr="00B607FB" w:rsidRDefault="009C5E27" w:rsidP="00EA3282">
            <w:pPr>
              <w:jc w:val="center"/>
              <w:rPr>
                <w:rFonts w:ascii="Arial Narrow" w:hAnsi="Arial Narrow"/>
                <w:color w:val="333333"/>
                <w:sz w:val="20"/>
                <w:szCs w:val="20"/>
              </w:rPr>
            </w:pPr>
          </w:p>
        </w:tc>
        <w:tc>
          <w:tcPr>
            <w:tcW w:w="7745" w:type="dxa"/>
            <w:gridSpan w:val="6"/>
            <w:vAlign w:val="center"/>
            <w:hideMark/>
          </w:tcPr>
          <w:p w14:paraId="655F9847"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 xml:space="preserve">Clinical criteria: </w:t>
            </w:r>
          </w:p>
        </w:tc>
      </w:tr>
      <w:tr w:rsidR="009C5E27" w:rsidRPr="00592E29" w14:paraId="67F62CD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C9B64B" w14:textId="506C2231"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0F631A57"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have confirmed severe Crohn disease, defined by standard clinical, endoscopic and/or imaging features, including histological evidence, with the diagnosis confirmed by a gastroenterologist or a consultant physician</w:t>
            </w:r>
          </w:p>
        </w:tc>
      </w:tr>
      <w:tr w:rsidR="009C5E27" w:rsidRPr="00592E29" w14:paraId="5893255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22E52E"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57BF14F0"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AND</w:t>
            </w:r>
          </w:p>
        </w:tc>
      </w:tr>
      <w:tr w:rsidR="009C5E27" w:rsidRPr="00592E29" w14:paraId="713B68F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00D2306" w14:textId="5F68A3C4"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33056689"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Clinical criteria:</w:t>
            </w:r>
          </w:p>
        </w:tc>
      </w:tr>
      <w:tr w:rsidR="009C5E27" w:rsidRPr="00592E29" w14:paraId="2397477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35B0DB" w14:textId="4C5F7A9B"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19CE8A2B"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have failed to achieve an adequate response to prior systemic therapy with a tapered course of steroids, starting at a dose of at least 40 mg prednisolone (or equivalent), over a 6 week period</w:t>
            </w:r>
          </w:p>
        </w:tc>
      </w:tr>
      <w:tr w:rsidR="009C5E27" w:rsidRPr="00592E29" w14:paraId="0DC5B84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9DBB1B"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71FE5F5"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595AAAF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3A5DB1" w14:textId="05EF7570"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5B294576"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7FC6B2C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5CA8AF" w14:textId="4E78F718"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BBFFFD7" w14:textId="77777777" w:rsidR="009C5E27" w:rsidRPr="00592E29" w:rsidRDefault="009C5E27" w:rsidP="003124CE">
            <w:pPr>
              <w:pStyle w:val="TableText0"/>
              <w:rPr>
                <w:szCs w:val="20"/>
              </w:rPr>
            </w:pPr>
            <w:r w:rsidRPr="00592E29">
              <w:rPr>
                <w:szCs w:val="20"/>
              </w:rPr>
              <w:t>Patient must have failed to achieve adequate response to prior systemic immunosuppressive therapy with azathioprine at a dose of at least 2 mg per kg daily for 3 or more consecutive months; or</w:t>
            </w:r>
          </w:p>
        </w:tc>
      </w:tr>
      <w:tr w:rsidR="009C5E27" w:rsidRPr="00592E29" w14:paraId="2E3F9E5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4C51D57" w14:textId="11AC3068"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19034A21" w14:textId="77777777" w:rsidR="009C5E27" w:rsidRPr="00592E29" w:rsidRDefault="009C5E27" w:rsidP="003124CE">
            <w:pPr>
              <w:pStyle w:val="TableText0"/>
              <w:rPr>
                <w:szCs w:val="20"/>
              </w:rPr>
            </w:pPr>
            <w:r w:rsidRPr="00592E29">
              <w:rPr>
                <w:szCs w:val="20"/>
              </w:rPr>
              <w:t>Patient must have failed to achieve adequate response to prior systemic immunosuppressive therapy with 6-mercaptopurine at a dose of at least 1 mg per kg daily for 3 or more consecutive months; or</w:t>
            </w:r>
          </w:p>
        </w:tc>
      </w:tr>
      <w:tr w:rsidR="009C5E27" w:rsidRPr="00592E29" w14:paraId="084066C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9A96A75" w14:textId="15C9D3B6"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5365ECF5" w14:textId="77777777" w:rsidR="009C5E27" w:rsidRPr="00592E29" w:rsidRDefault="009C5E27" w:rsidP="003124CE">
            <w:pPr>
              <w:pStyle w:val="TableText0"/>
              <w:rPr>
                <w:szCs w:val="20"/>
              </w:rPr>
            </w:pPr>
            <w:r w:rsidRPr="00592E29">
              <w:rPr>
                <w:szCs w:val="20"/>
              </w:rPr>
              <w:t>Patient must have failed to achieve adequate response to prior systemic immunosuppressive therapy with methotrexate at a dose of at least 15 mg weekly for 3 or more consecutive months</w:t>
            </w:r>
          </w:p>
        </w:tc>
      </w:tr>
      <w:tr w:rsidR="009C5E27" w:rsidRPr="00592E29" w14:paraId="26A3E1F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B35F65"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615F78A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1ECDBEC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2108B6" w14:textId="7ACB9CFE"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658269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617E76A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1CDA84" w14:textId="7052BF18"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BF7EE51" w14:textId="77777777" w:rsidR="009C5E27" w:rsidRPr="00592E29" w:rsidRDefault="009C5E27" w:rsidP="003124CE">
            <w:pPr>
              <w:pStyle w:val="TableText0"/>
              <w:rPr>
                <w:szCs w:val="20"/>
              </w:rPr>
            </w:pPr>
            <w:r w:rsidRPr="00592E29">
              <w:rPr>
                <w:szCs w:val="20"/>
              </w:rPr>
              <w:t>Patient must have a Crohn Disease Activity Index (CDAI) Score greater than or equal to 300 as evidence of failure to achieve an adequate response to prior systemic therapy; or</w:t>
            </w:r>
          </w:p>
        </w:tc>
      </w:tr>
      <w:tr w:rsidR="009C5E27" w:rsidRPr="00592E29" w14:paraId="4D28B50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9A238E" w14:textId="317A019E"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7352DE57" w14:textId="77777777" w:rsidR="009C5E27" w:rsidRPr="00592E29" w:rsidRDefault="009C5E27" w:rsidP="003124CE">
            <w:pPr>
              <w:pStyle w:val="TableText0"/>
              <w:rPr>
                <w:szCs w:val="20"/>
              </w:rPr>
            </w:pPr>
            <w:r w:rsidRPr="00592E29">
              <w:rPr>
                <w:szCs w:val="20"/>
              </w:rP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p>
        </w:tc>
      </w:tr>
      <w:tr w:rsidR="009C5E27" w:rsidRPr="00592E29" w14:paraId="1213BAB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B6A0E5" w14:textId="309CD4A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52473D9E" w14:textId="77777777" w:rsidR="009C5E27" w:rsidRPr="00592E29" w:rsidRDefault="009C5E27" w:rsidP="003124CE">
            <w:pPr>
              <w:pStyle w:val="TableText0"/>
              <w:rPr>
                <w:szCs w:val="20"/>
              </w:rPr>
            </w:pPr>
            <w:r w:rsidRPr="00592E29">
              <w:rPr>
                <w:szCs w:val="20"/>
              </w:rP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p>
        </w:tc>
      </w:tr>
      <w:tr w:rsidR="009C5E27" w:rsidRPr="00592E29" w14:paraId="7E42312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EF53BB"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0D6BDE77"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69FDC3B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658328" w14:textId="0B96E4BC" w:rsidR="009C5E27" w:rsidRPr="003D775E" w:rsidRDefault="009C5E27" w:rsidP="003124CE">
            <w:pPr>
              <w:jc w:val="center"/>
              <w:rPr>
                <w:rFonts w:ascii="Arial Narrow" w:hAnsi="Arial Narrow"/>
                <w:color w:val="333333"/>
                <w:sz w:val="20"/>
                <w:szCs w:val="20"/>
              </w:rPr>
            </w:pPr>
          </w:p>
        </w:tc>
        <w:tc>
          <w:tcPr>
            <w:tcW w:w="7745" w:type="dxa"/>
            <w:gridSpan w:val="6"/>
            <w:vAlign w:val="center"/>
          </w:tcPr>
          <w:p w14:paraId="6D658074"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0720182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4970AF" w14:textId="36D1C083" w:rsidR="009C5E27" w:rsidRPr="003D775E" w:rsidRDefault="009C5E27" w:rsidP="003124CE">
            <w:pPr>
              <w:jc w:val="center"/>
              <w:rPr>
                <w:rFonts w:ascii="Arial Narrow" w:hAnsi="Arial Narrow"/>
                <w:color w:val="333333"/>
                <w:sz w:val="20"/>
                <w:szCs w:val="20"/>
              </w:rPr>
            </w:pPr>
          </w:p>
        </w:tc>
        <w:tc>
          <w:tcPr>
            <w:tcW w:w="7745" w:type="dxa"/>
            <w:gridSpan w:val="6"/>
            <w:vAlign w:val="center"/>
          </w:tcPr>
          <w:p w14:paraId="6774CE6D" w14:textId="77777777" w:rsidR="009C5E27" w:rsidRPr="00592E29" w:rsidRDefault="009C5E27" w:rsidP="003124CE">
            <w:pPr>
              <w:rPr>
                <w:rFonts w:ascii="Arial Narrow" w:hAnsi="Arial Narrow"/>
                <w:color w:val="333333"/>
                <w:sz w:val="20"/>
                <w:szCs w:val="20"/>
              </w:rPr>
            </w:pPr>
            <w:r w:rsidRPr="00592E29">
              <w:rPr>
                <w:rFonts w:ascii="Arial Narrow" w:hAnsi="Arial Narrow"/>
                <w:sz w:val="20"/>
                <w:szCs w:val="20"/>
              </w:rPr>
              <w:t>The treatment must not exceed a total of 3 doses to be administered at weeks 0, 4 and 8 under this restriction</w:t>
            </w:r>
          </w:p>
        </w:tc>
      </w:tr>
      <w:tr w:rsidR="009C5E27" w:rsidRPr="00592E29" w14:paraId="71E3298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4C0B06"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014FEA7B" w14:textId="77777777" w:rsidR="009C5E27" w:rsidRPr="00592E29" w:rsidRDefault="009C5E27" w:rsidP="003124CE">
            <w:pPr>
              <w:rPr>
                <w:rFonts w:ascii="Arial Narrow" w:hAnsi="Arial Narrow"/>
                <w:b/>
                <w:bCs/>
                <w:color w:val="333333"/>
                <w:sz w:val="20"/>
                <w:szCs w:val="20"/>
              </w:rPr>
            </w:pPr>
          </w:p>
        </w:tc>
      </w:tr>
      <w:tr w:rsidR="009C5E27" w:rsidRPr="00592E29" w14:paraId="2CD9331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BE0142" w14:textId="27D32E9E"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3E4309B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Treatment criteria:</w:t>
            </w:r>
          </w:p>
        </w:tc>
      </w:tr>
      <w:tr w:rsidR="009C5E27" w:rsidRPr="00592E29" w14:paraId="68477A3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38998E7" w14:textId="6BB032BF"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70BB9B73" w14:textId="77777777" w:rsidR="009C5E27" w:rsidRPr="00592E29" w:rsidRDefault="009C5E27" w:rsidP="003124CE">
            <w:pPr>
              <w:pStyle w:val="TableText0"/>
              <w:rPr>
                <w:szCs w:val="20"/>
              </w:rPr>
            </w:pPr>
            <w:r w:rsidRPr="00592E29">
              <w:rPr>
                <w:szCs w:val="20"/>
              </w:rPr>
              <w:t>Must be treated by a gastroenterologist (code 87); or</w:t>
            </w:r>
          </w:p>
        </w:tc>
      </w:tr>
      <w:tr w:rsidR="009C5E27" w:rsidRPr="00592E29" w14:paraId="208846F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27ADE7" w14:textId="6197B0F0"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2473350" w14:textId="77777777" w:rsidR="009C5E27" w:rsidRPr="00592E29" w:rsidRDefault="009C5E27" w:rsidP="003124CE">
            <w:pPr>
              <w:pStyle w:val="TableText0"/>
              <w:rPr>
                <w:szCs w:val="20"/>
              </w:rPr>
            </w:pPr>
            <w:r w:rsidRPr="00592E29">
              <w:rPr>
                <w:szCs w:val="20"/>
              </w:rPr>
              <w:t>Must be treated by a consultant physician [internal medicine specialising in gastroenterology (code 81)]; or</w:t>
            </w:r>
          </w:p>
        </w:tc>
      </w:tr>
      <w:tr w:rsidR="009C5E27" w:rsidRPr="00592E29" w14:paraId="4A60AB1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17A02A" w14:textId="136BC23A"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50683FB4"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63A5348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8F7A5F"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10568E7E" w14:textId="77777777" w:rsidR="009C5E27" w:rsidRPr="00592E29" w:rsidRDefault="009C5E27" w:rsidP="003124CE">
            <w:pPr>
              <w:rPr>
                <w:rFonts w:ascii="Arial Narrow" w:hAnsi="Arial Narrow"/>
                <w:b/>
                <w:bCs/>
                <w:color w:val="333333"/>
                <w:sz w:val="20"/>
                <w:szCs w:val="20"/>
              </w:rPr>
            </w:pPr>
          </w:p>
        </w:tc>
      </w:tr>
      <w:tr w:rsidR="009C5E27" w:rsidRPr="00592E29" w14:paraId="10E7ECFF"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3DD77E2" w14:textId="2806F926" w:rsidR="009C5E27" w:rsidRPr="00B607FB" w:rsidRDefault="009C5E27" w:rsidP="003124CE">
            <w:pPr>
              <w:jc w:val="center"/>
              <w:rPr>
                <w:rFonts w:ascii="Arial Narrow" w:hAnsi="Arial Narrow"/>
                <w:color w:val="333333"/>
                <w:sz w:val="20"/>
                <w:szCs w:val="20"/>
              </w:rPr>
            </w:pPr>
          </w:p>
        </w:tc>
        <w:tc>
          <w:tcPr>
            <w:tcW w:w="7745" w:type="dxa"/>
            <w:gridSpan w:val="6"/>
            <w:vAlign w:val="center"/>
            <w:hideMark/>
          </w:tcPr>
          <w:p w14:paraId="724D0C90" w14:textId="77777777" w:rsidR="009C5E27" w:rsidRPr="00592E29" w:rsidRDefault="009C5E27" w:rsidP="003124CE">
            <w:pPr>
              <w:rPr>
                <w:rFonts w:ascii="Arial Narrow" w:hAnsi="Arial Narrow"/>
                <w:color w:val="333333"/>
                <w:sz w:val="20"/>
                <w:szCs w:val="20"/>
              </w:rPr>
            </w:pPr>
            <w:r w:rsidRPr="00592E29">
              <w:rPr>
                <w:rFonts w:ascii="Arial Narrow" w:hAnsi="Arial Narrow"/>
                <w:b/>
                <w:bCs/>
                <w:color w:val="333333"/>
                <w:sz w:val="20"/>
                <w:szCs w:val="20"/>
              </w:rPr>
              <w:t>Population criteria:</w:t>
            </w:r>
          </w:p>
        </w:tc>
      </w:tr>
      <w:tr w:rsidR="009C5E27" w:rsidRPr="00592E29" w14:paraId="306554A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2C7BAFB4" w14:textId="2E90E49F" w:rsidR="009C5E27" w:rsidRPr="00B607FB" w:rsidRDefault="009C5E27" w:rsidP="003124CE">
            <w:pPr>
              <w:jc w:val="center"/>
              <w:rPr>
                <w:rFonts w:ascii="Arial Narrow" w:hAnsi="Arial Narrow"/>
                <w:sz w:val="20"/>
                <w:szCs w:val="20"/>
              </w:rPr>
            </w:pPr>
          </w:p>
        </w:tc>
        <w:tc>
          <w:tcPr>
            <w:tcW w:w="7745" w:type="dxa"/>
            <w:gridSpan w:val="6"/>
            <w:vAlign w:val="center"/>
            <w:hideMark/>
          </w:tcPr>
          <w:p w14:paraId="201067A8"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Patient must be aged 18 years or older</w:t>
            </w:r>
          </w:p>
        </w:tc>
      </w:tr>
      <w:tr w:rsidR="009C5E27" w:rsidRPr="00592E29" w14:paraId="625BB61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3A6D3C1F" w14:textId="079F7BFC" w:rsidR="009C5E27" w:rsidRPr="00B607FB" w:rsidRDefault="009C5E27" w:rsidP="003124CE">
            <w:pPr>
              <w:jc w:val="center"/>
              <w:rPr>
                <w:rFonts w:ascii="Arial Narrow" w:hAnsi="Arial Narrow"/>
                <w:sz w:val="20"/>
                <w:szCs w:val="20"/>
              </w:rPr>
            </w:pPr>
          </w:p>
          <w:p w14:paraId="0BA8469C" w14:textId="0C642C52" w:rsidR="009C5E27" w:rsidRPr="00B607FB" w:rsidRDefault="009C5E27" w:rsidP="003124CE">
            <w:pPr>
              <w:jc w:val="center"/>
              <w:rPr>
                <w:rFonts w:ascii="Arial Narrow" w:hAnsi="Arial Narrow"/>
                <w:color w:val="FF0000"/>
                <w:sz w:val="20"/>
                <w:szCs w:val="20"/>
              </w:rPr>
            </w:pPr>
          </w:p>
          <w:p w14:paraId="51A97DE0" w14:textId="77777777" w:rsidR="009C5E27" w:rsidRPr="00B607FB" w:rsidRDefault="009C5E27" w:rsidP="003124CE">
            <w:pPr>
              <w:jc w:val="center"/>
              <w:rPr>
                <w:rFonts w:ascii="Arial Narrow" w:hAnsi="Arial Narrow"/>
                <w:color w:val="FF0000"/>
                <w:sz w:val="20"/>
                <w:szCs w:val="20"/>
              </w:rPr>
            </w:pPr>
          </w:p>
          <w:p w14:paraId="6FEC7484" w14:textId="77777777" w:rsidR="009C5E27" w:rsidRPr="00B607FB" w:rsidRDefault="009C5E27" w:rsidP="00B607FB">
            <w:pPr>
              <w:rPr>
                <w:rFonts w:ascii="Arial Narrow" w:hAnsi="Arial Narrow"/>
                <w:color w:val="FF0000"/>
                <w:sz w:val="20"/>
                <w:szCs w:val="20"/>
              </w:rPr>
            </w:pPr>
          </w:p>
          <w:p w14:paraId="5D3ED53A" w14:textId="77777777" w:rsidR="009C5E27" w:rsidRPr="00B607FB" w:rsidRDefault="009C5E27" w:rsidP="003124CE">
            <w:pPr>
              <w:rPr>
                <w:rFonts w:ascii="Arial Narrow" w:hAnsi="Arial Narrow"/>
                <w:color w:val="333333"/>
                <w:sz w:val="20"/>
                <w:szCs w:val="20"/>
              </w:rPr>
            </w:pPr>
          </w:p>
          <w:p w14:paraId="4E86F3DA"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hideMark/>
          </w:tcPr>
          <w:p w14:paraId="2A45CD9C"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21392BCD"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The authority application must be made in writing and must include:</w:t>
            </w:r>
          </w:p>
          <w:p w14:paraId="29520960"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(1) details of the proposed prescription; and</w:t>
            </w:r>
          </w:p>
          <w:p w14:paraId="4B3E80AA"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(2) a completed authority application form relevant to the indication and treatment phase (the latest version is located on the website specified in the Administrative Advice).</w:t>
            </w:r>
          </w:p>
          <w:p w14:paraId="37DADCF7" w14:textId="77777777" w:rsidR="009C5E27" w:rsidRPr="00592E29" w:rsidRDefault="009C5E27" w:rsidP="003124CE">
            <w:pPr>
              <w:rPr>
                <w:rFonts w:ascii="Arial Narrow" w:hAnsi="Arial Narrow"/>
                <w:i/>
                <w:iCs/>
                <w:sz w:val="20"/>
                <w:szCs w:val="20"/>
              </w:rPr>
            </w:pPr>
          </w:p>
        </w:tc>
      </w:tr>
      <w:tr w:rsidR="009C5E27" w:rsidRPr="00592E29" w14:paraId="6737F61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655955" w14:textId="4BBAC9D3" w:rsidR="009C5E27" w:rsidRPr="00B607FB" w:rsidRDefault="009C5E27" w:rsidP="003124CE">
            <w:pPr>
              <w:jc w:val="center"/>
              <w:rPr>
                <w:rFonts w:ascii="Arial Narrow" w:hAnsi="Arial Narrow"/>
                <w:color w:val="333333"/>
                <w:sz w:val="20"/>
                <w:szCs w:val="20"/>
              </w:rPr>
            </w:pPr>
          </w:p>
          <w:p w14:paraId="12210EF0" w14:textId="57DD9086" w:rsidR="009C5E27" w:rsidRPr="00592E29" w:rsidRDefault="009C5E27" w:rsidP="003124CE">
            <w:pPr>
              <w:jc w:val="center"/>
              <w:rPr>
                <w:rFonts w:ascii="Arial Narrow" w:hAnsi="Arial Narrow"/>
                <w:i/>
                <w:iCs/>
                <w:color w:val="333333"/>
                <w:sz w:val="20"/>
                <w:szCs w:val="20"/>
              </w:rPr>
            </w:pPr>
          </w:p>
          <w:p w14:paraId="1946C6CF"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B45C0D3"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4E033F62"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Evidence of failure to achieve an adequate response to prior therapy must include at least one of the following:</w:t>
            </w:r>
          </w:p>
          <w:p w14:paraId="6DA37F8B"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(a) patient must have evidence of intestinal inflammation;</w:t>
            </w:r>
          </w:p>
          <w:p w14:paraId="3460FBBF"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(b) patient must be assessed clinically as being in a high faecal output state;</w:t>
            </w:r>
          </w:p>
          <w:p w14:paraId="07A698CB"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(c) patient must be assessed clinically as requiring surgery or total parenteral nutrition (TPN) as the next therapeutic option, in the absence of this drug, if affected by short gut syndrome, extensive small intestine disease or is an ostomy patient.</w:t>
            </w:r>
          </w:p>
          <w:p w14:paraId="1D406563" w14:textId="77777777" w:rsidR="009C5E27" w:rsidRPr="00592E29" w:rsidRDefault="009C5E27" w:rsidP="003124CE">
            <w:pPr>
              <w:rPr>
                <w:rFonts w:ascii="Arial Narrow" w:hAnsi="Arial Narrow"/>
                <w:sz w:val="20"/>
                <w:szCs w:val="20"/>
              </w:rPr>
            </w:pPr>
          </w:p>
          <w:p w14:paraId="4A7E3EF0"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Evidence of intestinal inflammation includes:</w:t>
            </w:r>
          </w:p>
          <w:p w14:paraId="68414AF6"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 xml:space="preserve">(i) blood: higher than normal platelet count, </w:t>
            </w:r>
            <w:proofErr w:type="gramStart"/>
            <w:r w:rsidRPr="00592E29">
              <w:rPr>
                <w:rFonts w:ascii="Arial Narrow" w:hAnsi="Arial Narrow"/>
                <w:sz w:val="20"/>
                <w:szCs w:val="20"/>
              </w:rPr>
              <w:t>or,</w:t>
            </w:r>
            <w:proofErr w:type="gramEnd"/>
            <w:r w:rsidRPr="00592E29">
              <w:rPr>
                <w:rFonts w:ascii="Arial Narrow" w:hAnsi="Arial Narrow"/>
                <w:sz w:val="20"/>
                <w:szCs w:val="20"/>
              </w:rPr>
              <w:t xml:space="preserve"> an elevated erythrocyte sedimentation rate (ESR) greater than 25 mm per hour, </w:t>
            </w:r>
            <w:proofErr w:type="gramStart"/>
            <w:r w:rsidRPr="00592E29">
              <w:rPr>
                <w:rFonts w:ascii="Arial Narrow" w:hAnsi="Arial Narrow"/>
                <w:sz w:val="20"/>
                <w:szCs w:val="20"/>
              </w:rPr>
              <w:t>or,</w:t>
            </w:r>
            <w:proofErr w:type="gramEnd"/>
            <w:r w:rsidRPr="00592E29">
              <w:rPr>
                <w:rFonts w:ascii="Arial Narrow" w:hAnsi="Arial Narrow"/>
                <w:sz w:val="20"/>
                <w:szCs w:val="20"/>
              </w:rPr>
              <w:t xml:space="preserve"> a C-reactive protein (CRP) level greater than 15 mg per L; or</w:t>
            </w:r>
          </w:p>
          <w:p w14:paraId="2BE5AE0A"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(ii) faeces: higher than normal lactoferrin or calprotectin level; or</w:t>
            </w:r>
          </w:p>
          <w:p w14:paraId="255273FA"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(iii) diagnostic imaging: demonstration of increased uptake of intravenous contrast with thickening of the bowel wall or mesenteric lymphadenopathy or fat streaking in the mesentery.</w:t>
            </w:r>
          </w:p>
        </w:tc>
      </w:tr>
      <w:tr w:rsidR="009C5E27" w:rsidRPr="00592E29" w14:paraId="7ECBB95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8E8BA01" w14:textId="26775B68"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4334968C"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53805F10"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p>
        </w:tc>
      </w:tr>
      <w:tr w:rsidR="009C5E27" w:rsidRPr="00592E29" w14:paraId="696D7173" w14:textId="77777777" w:rsidTr="7688D4E4">
        <w:tblPrEx>
          <w:tblCellMar>
            <w:top w:w="15" w:type="dxa"/>
            <w:bottom w:w="15" w:type="dxa"/>
          </w:tblCellMar>
          <w:tblLook w:val="04A0" w:firstRow="1" w:lastRow="0" w:firstColumn="1" w:lastColumn="0" w:noHBand="0" w:noVBand="1"/>
        </w:tblPrEx>
        <w:trPr>
          <w:cantSplit/>
          <w:trHeight w:val="779"/>
        </w:trPr>
        <w:tc>
          <w:tcPr>
            <w:tcW w:w="1272" w:type="dxa"/>
            <w:gridSpan w:val="2"/>
            <w:vAlign w:val="center"/>
          </w:tcPr>
          <w:p w14:paraId="6892E260" w14:textId="77777777" w:rsidR="009C5E27" w:rsidRPr="00B607FB" w:rsidRDefault="009C5E27" w:rsidP="003124CE">
            <w:pPr>
              <w:jc w:val="center"/>
              <w:rPr>
                <w:rFonts w:ascii="Arial Narrow" w:hAnsi="Arial Narrow"/>
                <w:color w:val="333333"/>
                <w:sz w:val="20"/>
                <w:szCs w:val="20"/>
              </w:rPr>
            </w:pPr>
          </w:p>
          <w:p w14:paraId="660362B3" w14:textId="4BFA69DD" w:rsidR="009C5E27" w:rsidRPr="00B607FB" w:rsidRDefault="009C5E27" w:rsidP="003124CE">
            <w:pPr>
              <w:jc w:val="center"/>
              <w:rPr>
                <w:rFonts w:ascii="Arial Narrow" w:hAnsi="Arial Narrow"/>
                <w:color w:val="333333"/>
                <w:sz w:val="20"/>
                <w:szCs w:val="20"/>
              </w:rPr>
            </w:pPr>
          </w:p>
          <w:p w14:paraId="2AEE6776" w14:textId="60BC2F41" w:rsidR="009C5E27" w:rsidRPr="00B607FB" w:rsidRDefault="009C5E27" w:rsidP="003124CE">
            <w:pPr>
              <w:jc w:val="center"/>
              <w:rPr>
                <w:rFonts w:ascii="Arial Narrow" w:hAnsi="Arial Narrow"/>
                <w:color w:val="333333"/>
                <w:sz w:val="20"/>
                <w:szCs w:val="20"/>
              </w:rPr>
            </w:pPr>
          </w:p>
          <w:p w14:paraId="1703EC11"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0C84059F"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3FD85624"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If treatment with any of the specified prior conventional drugs is contraindicated according to the relevant TGA-approved Product Information, please provide details at the time of application.</w:t>
            </w:r>
          </w:p>
        </w:tc>
      </w:tr>
      <w:tr w:rsidR="009C5E27" w:rsidRPr="00592E29" w14:paraId="62266C3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44D71D" w14:textId="35487AAE" w:rsidR="009C5E27" w:rsidRPr="00B607FB" w:rsidRDefault="009C5E27" w:rsidP="003124CE">
            <w:pPr>
              <w:jc w:val="center"/>
              <w:rPr>
                <w:rFonts w:ascii="Arial Narrow" w:hAnsi="Arial Narrow"/>
                <w:color w:val="333333"/>
                <w:sz w:val="20"/>
                <w:szCs w:val="20"/>
              </w:rPr>
            </w:pPr>
          </w:p>
          <w:p w14:paraId="6FFD552A" w14:textId="389730AA" w:rsidR="009C5E27" w:rsidRPr="00B607FB" w:rsidRDefault="009C5E27" w:rsidP="003124CE">
            <w:pPr>
              <w:jc w:val="center"/>
              <w:rPr>
                <w:rFonts w:ascii="Arial Narrow" w:hAnsi="Arial Narrow"/>
                <w:color w:val="333333"/>
                <w:sz w:val="20"/>
                <w:szCs w:val="20"/>
              </w:rPr>
            </w:pPr>
          </w:p>
          <w:p w14:paraId="64B92018"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D113207"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07B9134F"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If intolerance to treatment develops during the relevant period of use, which is of a severity necessitating permanent treatment withdrawal, details of this toxicity must be provided at the time of application.</w:t>
            </w:r>
          </w:p>
        </w:tc>
      </w:tr>
      <w:tr w:rsidR="009C5E27" w:rsidRPr="00592E29" w14:paraId="77EB28F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712E58D" w14:textId="418C0A3C"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AFD556C"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53C2EC2C"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Details of the accepted toxicities including severity can be found on the Services Australia website.</w:t>
            </w:r>
          </w:p>
        </w:tc>
      </w:tr>
      <w:tr w:rsidR="009C5E27" w:rsidRPr="00592E29" w14:paraId="521457D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38EF1BC" w14:textId="347175D1"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6DDC6BB9"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3C1D7B6A"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 subsidised therapy</w:t>
            </w:r>
          </w:p>
        </w:tc>
      </w:tr>
      <w:tr w:rsidR="009C5E27" w:rsidRPr="00592E29" w14:paraId="4F01289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7BA8A0" w14:textId="7FC19A7B" w:rsidR="009C5E27" w:rsidRPr="00B607FB" w:rsidRDefault="009C5E27" w:rsidP="003124CE">
            <w:pPr>
              <w:jc w:val="center"/>
              <w:rPr>
                <w:rFonts w:ascii="Arial Narrow" w:hAnsi="Arial Narrow"/>
                <w:sz w:val="20"/>
                <w:szCs w:val="20"/>
              </w:rPr>
            </w:pPr>
          </w:p>
        </w:tc>
        <w:tc>
          <w:tcPr>
            <w:tcW w:w="7745" w:type="dxa"/>
            <w:gridSpan w:val="6"/>
            <w:vAlign w:val="center"/>
          </w:tcPr>
          <w:p w14:paraId="3000FF2E" w14:textId="77777777" w:rsidR="009C5E27" w:rsidRPr="00B607FB" w:rsidRDefault="009C5E27" w:rsidP="003124CE">
            <w:pPr>
              <w:rPr>
                <w:rFonts w:ascii="Arial Narrow" w:hAnsi="Arial Narrow"/>
                <w:bCs/>
                <w:sz w:val="20"/>
                <w:szCs w:val="20"/>
              </w:rPr>
            </w:pPr>
            <w:r w:rsidRPr="00B607FB">
              <w:rPr>
                <w:rFonts w:ascii="Arial Narrow" w:hAnsi="Arial Narrow"/>
                <w:b/>
                <w:bCs/>
                <w:sz w:val="20"/>
                <w:szCs w:val="20"/>
              </w:rPr>
              <w:t xml:space="preserve">Prescribing Instructions: </w:t>
            </w:r>
          </w:p>
          <w:p w14:paraId="314A67B2"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A maximum quantity and number of repeats to provide for an initial course of this drug consisting of two pre-filled subcutaneous injections of 200 mg per dose (400mg in total), administered at weeks 0, 4 and 8, will be authorised.</w:t>
            </w:r>
          </w:p>
          <w:p w14:paraId="0E78E54B" w14:textId="77777777" w:rsidR="009C5E27" w:rsidRPr="00B607FB" w:rsidRDefault="009C5E27" w:rsidP="003124CE">
            <w:pPr>
              <w:rPr>
                <w:rFonts w:ascii="Arial Narrow" w:hAnsi="Arial Narrow"/>
                <w:b/>
                <w:bCs/>
                <w:sz w:val="20"/>
                <w:szCs w:val="20"/>
              </w:rPr>
            </w:pPr>
            <w:r w:rsidRPr="00B607FB">
              <w:rPr>
                <w:rFonts w:ascii="Arial Narrow" w:hAnsi="Arial Narrow"/>
                <w:b/>
                <w:bCs/>
                <w:sz w:val="20"/>
                <w:szCs w:val="20"/>
              </w:rPr>
              <w:t>(FOR HSD LISTING: A maximum quantity and number of repeats to provide for an initial course of this drug consisting of a single 200 mg dose (via IV infusion) administered at weeks 0, 4 and 8, will be authorised)</w:t>
            </w:r>
          </w:p>
        </w:tc>
      </w:tr>
      <w:tr w:rsidR="009C5E27" w:rsidRPr="00592E29" w14:paraId="62428B8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A7FFBFA" w14:textId="41504C6E" w:rsidR="009C5E27" w:rsidRPr="00B607FB" w:rsidRDefault="009C5E27" w:rsidP="003124CE">
            <w:pPr>
              <w:jc w:val="center"/>
              <w:rPr>
                <w:rFonts w:ascii="Arial Narrow" w:hAnsi="Arial Narrow"/>
                <w:sz w:val="20"/>
                <w:szCs w:val="20"/>
              </w:rPr>
            </w:pPr>
          </w:p>
        </w:tc>
        <w:tc>
          <w:tcPr>
            <w:tcW w:w="7745" w:type="dxa"/>
            <w:gridSpan w:val="6"/>
            <w:vAlign w:val="center"/>
          </w:tcPr>
          <w:p w14:paraId="1AF2AA12" w14:textId="77777777" w:rsidR="009C5E27" w:rsidRPr="00B607FB" w:rsidRDefault="009C5E27" w:rsidP="003124CE">
            <w:pPr>
              <w:rPr>
                <w:rFonts w:ascii="Arial Narrow" w:hAnsi="Arial Narrow"/>
                <w:b/>
                <w:bCs/>
                <w:sz w:val="20"/>
                <w:szCs w:val="20"/>
              </w:rPr>
            </w:pPr>
            <w:r w:rsidRPr="00B607FB">
              <w:rPr>
                <w:rFonts w:ascii="Arial Narrow" w:hAnsi="Arial Narrow"/>
                <w:b/>
                <w:bCs/>
                <w:sz w:val="20"/>
                <w:szCs w:val="20"/>
              </w:rPr>
              <w:t>Prescribing Instructions:</w:t>
            </w:r>
          </w:p>
          <w:p w14:paraId="6A733EF1"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p>
        </w:tc>
      </w:tr>
      <w:tr w:rsidR="009C5E27" w:rsidRPr="00592E29" w14:paraId="6BBECE1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F07E8F" w14:textId="4090F998" w:rsidR="009C5E27" w:rsidRPr="00070663" w:rsidRDefault="009C5E27" w:rsidP="003124CE">
            <w:pPr>
              <w:jc w:val="center"/>
              <w:rPr>
                <w:rFonts w:ascii="Arial Narrow" w:hAnsi="Arial Narrow"/>
                <w:sz w:val="20"/>
                <w:szCs w:val="20"/>
              </w:rPr>
            </w:pPr>
          </w:p>
          <w:p w14:paraId="7E3401B9" w14:textId="4514E114" w:rsidR="009C5E27" w:rsidRPr="00070663" w:rsidRDefault="009C5E27" w:rsidP="003124CE">
            <w:pPr>
              <w:jc w:val="center"/>
              <w:rPr>
                <w:rFonts w:ascii="Arial Narrow" w:hAnsi="Arial Narrow"/>
                <w:strike/>
                <w:sz w:val="20"/>
                <w:szCs w:val="20"/>
              </w:rPr>
            </w:pPr>
          </w:p>
        </w:tc>
        <w:tc>
          <w:tcPr>
            <w:tcW w:w="7745" w:type="dxa"/>
            <w:gridSpan w:val="6"/>
            <w:vAlign w:val="center"/>
          </w:tcPr>
          <w:p w14:paraId="2C3304E1" w14:textId="77777777" w:rsidR="009C5E27" w:rsidRPr="00070663" w:rsidRDefault="009C5E27" w:rsidP="003124CE">
            <w:pPr>
              <w:rPr>
                <w:rFonts w:ascii="Arial Narrow" w:hAnsi="Arial Narrow"/>
                <w:bCs/>
                <w:sz w:val="20"/>
                <w:szCs w:val="20"/>
              </w:rPr>
            </w:pPr>
            <w:r w:rsidRPr="00070663">
              <w:rPr>
                <w:rFonts w:ascii="Arial Narrow" w:hAnsi="Arial Narrow"/>
                <w:b/>
                <w:bCs/>
                <w:sz w:val="20"/>
                <w:szCs w:val="20"/>
              </w:rPr>
              <w:t xml:space="preserve">Prescribing Instructions: </w:t>
            </w:r>
          </w:p>
          <w:p w14:paraId="3A79BFC5" w14:textId="6B6B95A4" w:rsidR="009C5E27" w:rsidRPr="00070663" w:rsidRDefault="009C5E27" w:rsidP="007E2DA2">
            <w:pPr>
              <w:pStyle w:val="TableText0"/>
            </w:pPr>
            <w:r w:rsidRPr="00070663">
              <w:rPr>
                <w:szCs w:val="20"/>
              </w:rPr>
              <w:t>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treatment.</w:t>
            </w:r>
          </w:p>
        </w:tc>
      </w:tr>
      <w:tr w:rsidR="009C5E27" w:rsidRPr="00592E29" w14:paraId="7ED8EEF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1F54D48" w14:textId="14C409B3" w:rsidR="009C5E27" w:rsidRPr="00070663" w:rsidRDefault="009C5E27" w:rsidP="003124CE">
            <w:pPr>
              <w:jc w:val="center"/>
              <w:rPr>
                <w:rFonts w:ascii="Arial Narrow" w:hAnsi="Arial Narrow"/>
                <w:sz w:val="20"/>
                <w:szCs w:val="20"/>
              </w:rPr>
            </w:pPr>
          </w:p>
        </w:tc>
        <w:tc>
          <w:tcPr>
            <w:tcW w:w="7745" w:type="dxa"/>
            <w:gridSpan w:val="6"/>
          </w:tcPr>
          <w:p w14:paraId="0AA27FA1" w14:textId="77777777" w:rsidR="009C5E27" w:rsidRPr="00070663" w:rsidRDefault="009C5E27" w:rsidP="003124CE">
            <w:pPr>
              <w:rPr>
                <w:rFonts w:ascii="Arial Narrow" w:hAnsi="Arial Narrow"/>
                <w:b/>
                <w:bCs/>
                <w:sz w:val="20"/>
                <w:szCs w:val="20"/>
              </w:rPr>
            </w:pPr>
            <w:r w:rsidRPr="00070663">
              <w:rPr>
                <w:rFonts w:ascii="Arial Narrow" w:hAnsi="Arial Narrow"/>
                <w:b/>
                <w:bCs/>
                <w:sz w:val="20"/>
                <w:szCs w:val="20"/>
              </w:rPr>
              <w:t xml:space="preserve">Prescribing Instructions: </w:t>
            </w:r>
          </w:p>
          <w:p w14:paraId="1706E702" w14:textId="77777777" w:rsidR="009C5E27" w:rsidRPr="00070663" w:rsidRDefault="009C5E27" w:rsidP="003124CE">
            <w:pPr>
              <w:rPr>
                <w:rFonts w:ascii="Arial Narrow" w:hAnsi="Arial Narrow"/>
                <w:b/>
                <w:bCs/>
                <w:sz w:val="20"/>
                <w:szCs w:val="20"/>
              </w:rPr>
            </w:pPr>
            <w:r w:rsidRPr="00070663">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C5E27" w:rsidRPr="00592E29" w14:paraId="21F8509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53B518" w14:textId="3FB4C476" w:rsidR="009C5E27" w:rsidRPr="00070663" w:rsidRDefault="009C5E27" w:rsidP="003124CE">
            <w:pPr>
              <w:jc w:val="center"/>
              <w:rPr>
                <w:rFonts w:ascii="Arial Narrow" w:hAnsi="Arial Narrow"/>
                <w:sz w:val="20"/>
                <w:szCs w:val="20"/>
              </w:rPr>
            </w:pPr>
          </w:p>
        </w:tc>
        <w:tc>
          <w:tcPr>
            <w:tcW w:w="7745" w:type="dxa"/>
            <w:gridSpan w:val="6"/>
          </w:tcPr>
          <w:p w14:paraId="1D574B3D" w14:textId="77777777" w:rsidR="009C5E27" w:rsidRPr="00070663" w:rsidRDefault="009C5E27" w:rsidP="003124CE">
            <w:pPr>
              <w:rPr>
                <w:rFonts w:ascii="Arial Narrow" w:hAnsi="Arial Narrow"/>
                <w:b/>
                <w:bCs/>
                <w:sz w:val="20"/>
                <w:szCs w:val="20"/>
              </w:rPr>
            </w:pPr>
            <w:r w:rsidRPr="00070663">
              <w:rPr>
                <w:rFonts w:ascii="Arial Narrow" w:hAnsi="Arial Narrow"/>
                <w:b/>
                <w:bCs/>
                <w:sz w:val="20"/>
                <w:szCs w:val="20"/>
              </w:rPr>
              <w:t xml:space="preserve">Prescribing Instructions: </w:t>
            </w:r>
          </w:p>
          <w:p w14:paraId="38EE1DC1" w14:textId="77777777" w:rsidR="009C5E27" w:rsidRPr="00070663" w:rsidRDefault="009C5E27" w:rsidP="003124CE">
            <w:pPr>
              <w:rPr>
                <w:rFonts w:ascii="Arial Narrow" w:hAnsi="Arial Narrow"/>
                <w:sz w:val="20"/>
                <w:szCs w:val="20"/>
              </w:rPr>
            </w:pPr>
            <w:r w:rsidRPr="00070663">
              <w:rPr>
                <w:rFonts w:ascii="Arial Narrow" w:hAnsi="Arial Narrow"/>
                <w:sz w:val="20"/>
                <w:szCs w:val="20"/>
              </w:rPr>
              <w:t xml:space="preserve">If a patient fails to demonstrate a response to treatment with this </w:t>
            </w:r>
            <w:proofErr w:type="gramStart"/>
            <w:r w:rsidRPr="00070663">
              <w:rPr>
                <w:rFonts w:ascii="Arial Narrow" w:hAnsi="Arial Narrow"/>
                <w:sz w:val="20"/>
                <w:szCs w:val="20"/>
              </w:rPr>
              <w:t>drug</w:t>
            </w:r>
            <w:proofErr w:type="gramEnd"/>
            <w:r w:rsidRPr="00070663">
              <w:rPr>
                <w:rFonts w:ascii="Arial Narrow" w:hAnsi="Arial Narrow"/>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C5E27" w:rsidRPr="00592E29" w14:paraId="7A2DC80B"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4E38F577" w14:textId="77777777" w:rsidR="009C5E27" w:rsidRPr="00592E29" w:rsidRDefault="009C5E27" w:rsidP="003124CE">
            <w:pPr>
              <w:rPr>
                <w:rFonts w:ascii="Arial Narrow" w:hAnsi="Arial Narrow"/>
                <w:bCs/>
                <w:color w:val="FF0000"/>
                <w:sz w:val="20"/>
                <w:szCs w:val="20"/>
              </w:rPr>
            </w:pPr>
          </w:p>
        </w:tc>
      </w:tr>
      <w:tr w:rsidR="009C5E27" w:rsidRPr="00592E29" w14:paraId="0E23722C"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vAlign w:val="center"/>
          </w:tcPr>
          <w:p w14:paraId="49604AD4" w14:textId="77777777" w:rsidR="009C5E27" w:rsidRPr="00592E29" w:rsidRDefault="009C5E27" w:rsidP="003124CE">
            <w:pPr>
              <w:keepNext/>
              <w:keepLines/>
              <w:rPr>
                <w:rFonts w:ascii="Arial Narrow" w:hAnsi="Arial Narrow"/>
                <w:b/>
                <w:bCs/>
                <w:color w:val="333333"/>
                <w:sz w:val="20"/>
                <w:szCs w:val="20"/>
              </w:rPr>
            </w:pPr>
            <w:r w:rsidRPr="00592E29">
              <w:rPr>
                <w:rFonts w:ascii="Arial Narrow" w:hAnsi="Arial Narrow"/>
                <w:b/>
                <w:bCs/>
                <w:color w:val="333333"/>
                <w:sz w:val="20"/>
                <w:szCs w:val="20"/>
              </w:rPr>
              <w:t xml:space="preserve">Restriction Summary [new2] / Treatment of Concept: [new2] </w:t>
            </w:r>
          </w:p>
        </w:tc>
      </w:tr>
      <w:tr w:rsidR="009C5E27" w:rsidRPr="00592E29" w14:paraId="4B9D702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00DFBC95"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Concept ID</w:t>
            </w:r>
            <w:r w:rsidRPr="00592E29">
              <w:rPr>
                <w:rFonts w:ascii="Arial Narrow" w:eastAsia="Calibri" w:hAnsi="Arial Narrow"/>
                <w:b/>
                <w:sz w:val="20"/>
                <w:szCs w:val="20"/>
              </w:rPr>
              <w:br/>
            </w:r>
            <w:r w:rsidRPr="00592E29">
              <w:rPr>
                <w:rFonts w:ascii="Arial Narrow" w:eastAsia="Calibri"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525541"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GENERAL – Section 85 General Schedule (Code GE) </w:t>
            </w:r>
          </w:p>
        </w:tc>
      </w:tr>
      <w:tr w:rsidR="009C5E27" w:rsidRPr="00592E29" w14:paraId="3F1A5DA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71E3C5AB"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231646"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1990E4B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7187FB40"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BEC4CF"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 xml:space="preserve">Restriction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Authority Required (FULL assessment) in writing only via post/HPOS upload) </w:t>
            </w:r>
          </w:p>
        </w:tc>
      </w:tr>
      <w:tr w:rsidR="009C5E27" w:rsidRPr="00592E29" w14:paraId="5FE6CD7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6A3C83A" w14:textId="14E1B1B2" w:rsidR="009C5E27" w:rsidRPr="00070663" w:rsidRDefault="009C5E27" w:rsidP="003124CE">
            <w:pPr>
              <w:jc w:val="center"/>
              <w:rPr>
                <w:rFonts w:ascii="Arial Narrow" w:hAnsi="Arial Narrow"/>
                <w:color w:val="333333"/>
                <w:sz w:val="20"/>
                <w:szCs w:val="20"/>
              </w:rPr>
            </w:pPr>
          </w:p>
        </w:tc>
        <w:tc>
          <w:tcPr>
            <w:tcW w:w="7745" w:type="dxa"/>
            <w:gridSpan w:val="6"/>
            <w:vAlign w:val="center"/>
            <w:hideMark/>
          </w:tcPr>
          <w:p w14:paraId="3445414C" w14:textId="77777777" w:rsidR="009C5E27" w:rsidRPr="00592E29" w:rsidRDefault="009C5E27" w:rsidP="003124CE">
            <w:pPr>
              <w:rPr>
                <w:rFonts w:ascii="Arial Narrow" w:hAnsi="Arial Narrow"/>
                <w:sz w:val="20"/>
                <w:szCs w:val="20"/>
              </w:rPr>
            </w:pPr>
            <w:r w:rsidRPr="00592E29">
              <w:rPr>
                <w:rFonts w:ascii="Arial Narrow" w:hAnsi="Arial Narrow"/>
                <w:b/>
                <w:bCs/>
                <w:sz w:val="20"/>
                <w:szCs w:val="20"/>
              </w:rPr>
              <w:t>Indication:</w:t>
            </w:r>
            <w:r w:rsidRPr="00592E29">
              <w:rPr>
                <w:rFonts w:ascii="Arial Narrow" w:hAnsi="Arial Narrow"/>
                <w:sz w:val="20"/>
                <w:szCs w:val="20"/>
              </w:rPr>
              <w:t xml:space="preserve"> Severe Crohn Disease</w:t>
            </w:r>
          </w:p>
        </w:tc>
      </w:tr>
      <w:tr w:rsidR="009C5E27" w:rsidRPr="00592E29" w14:paraId="469024C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3465F5D3" w14:textId="77777777" w:rsidR="009C5E27" w:rsidRPr="00070663" w:rsidRDefault="009C5E27" w:rsidP="003124CE">
            <w:pPr>
              <w:jc w:val="center"/>
              <w:rPr>
                <w:rFonts w:ascii="Arial Narrow" w:hAnsi="Arial Narrow"/>
                <w:color w:val="333333"/>
                <w:sz w:val="20"/>
                <w:szCs w:val="20"/>
              </w:rPr>
            </w:pPr>
          </w:p>
        </w:tc>
        <w:tc>
          <w:tcPr>
            <w:tcW w:w="7745" w:type="dxa"/>
            <w:gridSpan w:val="6"/>
            <w:vAlign w:val="center"/>
            <w:hideMark/>
          </w:tcPr>
          <w:p w14:paraId="46946915" w14:textId="77777777" w:rsidR="009C5E27" w:rsidRPr="00592E29" w:rsidRDefault="009C5E27" w:rsidP="003124CE">
            <w:pPr>
              <w:rPr>
                <w:rFonts w:ascii="Arial Narrow" w:hAnsi="Arial Narrow"/>
                <w:sz w:val="20"/>
                <w:szCs w:val="20"/>
              </w:rPr>
            </w:pPr>
            <w:r w:rsidRPr="00592E29">
              <w:rPr>
                <w:rFonts w:ascii="Arial Narrow" w:hAnsi="Arial Narrow"/>
                <w:b/>
                <w:bCs/>
                <w:sz w:val="20"/>
                <w:szCs w:val="20"/>
              </w:rPr>
              <w:t>Treatment Phase:</w:t>
            </w:r>
            <w:r w:rsidRPr="00592E29">
              <w:rPr>
                <w:rFonts w:ascii="Arial Narrow" w:hAnsi="Arial Narrow"/>
                <w:sz w:val="20"/>
                <w:szCs w:val="20"/>
              </w:rPr>
              <w:t xml:space="preserve"> Initial 2 (change or recommencement of treatment after a break in biological medicine of less than 5 years)</w:t>
            </w:r>
          </w:p>
        </w:tc>
      </w:tr>
      <w:tr w:rsidR="009C5E27" w:rsidRPr="00592E29" w14:paraId="0F94F2C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DF60C0" w14:textId="316AB070"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6E8F6EA7"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Clinical criteria:</w:t>
            </w:r>
          </w:p>
        </w:tc>
      </w:tr>
      <w:tr w:rsidR="009C5E27" w:rsidRPr="00592E29" w14:paraId="2C33189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31BA24" w14:textId="64FF8A0F" w:rsidR="009C5E27" w:rsidRPr="00070663" w:rsidRDefault="009C5E27" w:rsidP="003124CE">
            <w:pPr>
              <w:jc w:val="center"/>
              <w:rPr>
                <w:rFonts w:ascii="Arial Narrow" w:hAnsi="Arial Narrow"/>
                <w:color w:val="333333"/>
                <w:sz w:val="20"/>
                <w:szCs w:val="20"/>
              </w:rPr>
            </w:pPr>
          </w:p>
        </w:tc>
        <w:tc>
          <w:tcPr>
            <w:tcW w:w="7745" w:type="dxa"/>
            <w:gridSpan w:val="6"/>
          </w:tcPr>
          <w:p w14:paraId="6EBEE3B9" w14:textId="77777777" w:rsidR="009C5E27" w:rsidRPr="00592E29" w:rsidRDefault="009C5E27" w:rsidP="003124CE">
            <w:pPr>
              <w:pStyle w:val="TableText0"/>
              <w:rPr>
                <w:szCs w:val="20"/>
              </w:rPr>
            </w:pPr>
            <w:r w:rsidRPr="00592E29">
              <w:rPr>
                <w:szCs w:val="20"/>
              </w:rPr>
              <w:t>Patient must have received prior PBS-subsidised treatment with a biological medicine for this condition in this treatment cycle</w:t>
            </w:r>
          </w:p>
        </w:tc>
      </w:tr>
      <w:tr w:rsidR="009C5E27" w:rsidRPr="00592E29" w14:paraId="5904FF1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42E704" w14:textId="77777777"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04A56AF5"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AND</w:t>
            </w:r>
          </w:p>
        </w:tc>
      </w:tr>
      <w:tr w:rsidR="009C5E27" w:rsidRPr="00592E29" w14:paraId="4B54A44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B9DC49" w14:textId="3A604554"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08449D56"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Clinical criteria:</w:t>
            </w:r>
          </w:p>
        </w:tc>
      </w:tr>
      <w:tr w:rsidR="009C5E27" w:rsidRPr="00592E29" w14:paraId="7973368F"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2F7FA1" w14:textId="1A50863A"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7E4007AB" w14:textId="77777777" w:rsidR="009C5E27" w:rsidRPr="00592E29" w:rsidRDefault="009C5E27" w:rsidP="003124CE">
            <w:pPr>
              <w:pStyle w:val="TableText0"/>
              <w:rPr>
                <w:szCs w:val="20"/>
              </w:rPr>
            </w:pPr>
            <w:r w:rsidRPr="00592E29">
              <w:rPr>
                <w:szCs w:val="20"/>
              </w:rPr>
              <w:t>The treatment must not have on a previous occasion failed to provide the patient with an adequate response during the current treatment cycle</w:t>
            </w:r>
          </w:p>
        </w:tc>
      </w:tr>
      <w:tr w:rsidR="009C5E27" w:rsidRPr="00592E29" w14:paraId="25AF346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010D80" w14:textId="77777777"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476FC396"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AND</w:t>
            </w:r>
          </w:p>
        </w:tc>
      </w:tr>
      <w:tr w:rsidR="009C5E27" w:rsidRPr="00592E29" w14:paraId="2E9464C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79FDE7" w14:textId="1E3A2954"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5C0E6062"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Clinical criteria:</w:t>
            </w:r>
          </w:p>
        </w:tc>
      </w:tr>
      <w:tr w:rsidR="009C5E27" w:rsidRPr="00592E29" w14:paraId="191B263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EBADBF" w14:textId="38502F38"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25751E61" w14:textId="77777777" w:rsidR="009C5E27" w:rsidRPr="00592E29" w:rsidRDefault="009C5E27" w:rsidP="003124CE">
            <w:pPr>
              <w:rPr>
                <w:rFonts w:ascii="Arial Narrow" w:hAnsi="Arial Narrow"/>
                <w:b/>
                <w:bCs/>
                <w:sz w:val="20"/>
                <w:szCs w:val="20"/>
              </w:rPr>
            </w:pPr>
            <w:r w:rsidRPr="00592E29">
              <w:rPr>
                <w:rFonts w:ascii="Arial Narrow" w:hAnsi="Arial Narrow"/>
                <w:sz w:val="20"/>
                <w:szCs w:val="20"/>
              </w:rPr>
              <w:t>The treatment must not exceed a total of 3 doses to be administered at weeks 0, 4 and 8 under this restriction</w:t>
            </w:r>
          </w:p>
        </w:tc>
      </w:tr>
      <w:tr w:rsidR="009C5E27" w:rsidRPr="00592E29" w14:paraId="52AB9AB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96B213" w14:textId="7730378E"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4D3A5A6B"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criteria:</w:t>
            </w:r>
          </w:p>
        </w:tc>
      </w:tr>
      <w:tr w:rsidR="009C5E27" w:rsidRPr="00592E29" w14:paraId="2190636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5AD172" w14:textId="0FD035FB"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6321C506"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gastroenterologist (code 87); or</w:t>
            </w:r>
          </w:p>
        </w:tc>
      </w:tr>
      <w:tr w:rsidR="009C5E27" w:rsidRPr="00592E29" w14:paraId="68727A6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413ECE" w14:textId="41B3872B"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51133203"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consultant physician [internal medicine specialising in gastroenterology (code 81)]; or</w:t>
            </w:r>
          </w:p>
        </w:tc>
      </w:tr>
      <w:tr w:rsidR="009C5E27" w:rsidRPr="00592E29" w14:paraId="1333E79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CD9430" w14:textId="1F55642D"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0BBAAAB7"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6F028C9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47DBFA" w14:textId="77777777"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64CEDD09" w14:textId="77777777" w:rsidR="009C5E27" w:rsidRPr="00592E29" w:rsidRDefault="009C5E27" w:rsidP="003124CE">
            <w:pPr>
              <w:rPr>
                <w:rFonts w:ascii="Arial Narrow" w:hAnsi="Arial Narrow"/>
                <w:sz w:val="20"/>
                <w:szCs w:val="20"/>
              </w:rPr>
            </w:pPr>
          </w:p>
        </w:tc>
      </w:tr>
      <w:tr w:rsidR="009C5E27" w:rsidRPr="00592E29" w14:paraId="62DE347F"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FD87364" w14:textId="29F0C6E0"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3DCFAAF4"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Population criteria:</w:t>
            </w:r>
          </w:p>
        </w:tc>
      </w:tr>
      <w:tr w:rsidR="009C5E27" w:rsidRPr="00592E29" w14:paraId="258AB7B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190CE86" w14:textId="150A3F84"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2B4F8AC0"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Patient must be aged 18 years or older</w:t>
            </w:r>
          </w:p>
        </w:tc>
      </w:tr>
      <w:tr w:rsidR="009C5E27" w:rsidRPr="00592E29" w14:paraId="08751F0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5B62C19"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8C6AA03" w14:textId="77777777" w:rsidR="009C5E27" w:rsidRPr="00592E29" w:rsidRDefault="009C5E27" w:rsidP="003124CE">
            <w:pPr>
              <w:rPr>
                <w:rFonts w:ascii="Arial Narrow" w:hAnsi="Arial Narrow"/>
                <w:sz w:val="20"/>
                <w:szCs w:val="20"/>
              </w:rPr>
            </w:pPr>
          </w:p>
        </w:tc>
      </w:tr>
      <w:tr w:rsidR="009C5E27" w:rsidRPr="00592E29" w14:paraId="01936F4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349655" w14:textId="45337103" w:rsidR="009C5E27" w:rsidRPr="00070663" w:rsidRDefault="009C5E27" w:rsidP="003124CE">
            <w:pPr>
              <w:jc w:val="center"/>
              <w:rPr>
                <w:rFonts w:ascii="Arial Narrow" w:hAnsi="Arial Narrow"/>
                <w:sz w:val="20"/>
                <w:szCs w:val="20"/>
              </w:rPr>
            </w:pPr>
          </w:p>
          <w:p w14:paraId="4C77EA3C" w14:textId="6183538F" w:rsidR="009C5E27" w:rsidRPr="00592E29" w:rsidRDefault="009C5E27" w:rsidP="003124CE">
            <w:pPr>
              <w:jc w:val="center"/>
              <w:rPr>
                <w:rFonts w:ascii="Arial Narrow" w:hAnsi="Arial Narrow"/>
                <w:i/>
                <w:iCs/>
                <w:color w:val="FF0000"/>
                <w:sz w:val="20"/>
                <w:szCs w:val="20"/>
              </w:rPr>
            </w:pPr>
          </w:p>
          <w:p w14:paraId="2F61D1D8" w14:textId="77777777" w:rsidR="009C5E27" w:rsidRPr="00592E29" w:rsidRDefault="009C5E27" w:rsidP="003124CE">
            <w:pPr>
              <w:jc w:val="center"/>
              <w:rPr>
                <w:rFonts w:ascii="Arial Narrow" w:hAnsi="Arial Narrow"/>
                <w:i/>
                <w:iCs/>
                <w:color w:val="FF0000"/>
                <w:sz w:val="20"/>
                <w:szCs w:val="20"/>
              </w:rPr>
            </w:pPr>
          </w:p>
          <w:p w14:paraId="56BC2156" w14:textId="77777777" w:rsidR="009C5E27" w:rsidRPr="00592E29" w:rsidRDefault="009C5E27" w:rsidP="003124CE">
            <w:pPr>
              <w:jc w:val="center"/>
              <w:rPr>
                <w:rFonts w:ascii="Arial Narrow" w:hAnsi="Arial Narrow"/>
                <w:i/>
                <w:iCs/>
                <w:color w:val="333333"/>
                <w:sz w:val="20"/>
                <w:szCs w:val="20"/>
              </w:rPr>
            </w:pPr>
          </w:p>
          <w:p w14:paraId="0A57C03B"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63763EB2"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5D4214D9" w14:textId="77777777" w:rsidR="009C5E27" w:rsidRPr="00070663" w:rsidRDefault="009C5E27" w:rsidP="003124CE">
            <w:pPr>
              <w:rPr>
                <w:rFonts w:ascii="Arial Narrow" w:hAnsi="Arial Narrow"/>
                <w:sz w:val="20"/>
                <w:szCs w:val="20"/>
              </w:rPr>
            </w:pPr>
            <w:r w:rsidRPr="00070663">
              <w:rPr>
                <w:rFonts w:ascii="Arial Narrow" w:hAnsi="Arial Narrow"/>
                <w:sz w:val="20"/>
                <w:szCs w:val="20"/>
              </w:rPr>
              <w:t>The authority application must be made in writing and must include:</w:t>
            </w:r>
          </w:p>
          <w:p w14:paraId="4B26B0D5" w14:textId="77777777" w:rsidR="009C5E27" w:rsidRPr="00070663" w:rsidRDefault="009C5E27" w:rsidP="003124CE">
            <w:pPr>
              <w:rPr>
                <w:rFonts w:ascii="Arial Narrow" w:hAnsi="Arial Narrow"/>
                <w:sz w:val="20"/>
                <w:szCs w:val="20"/>
              </w:rPr>
            </w:pPr>
            <w:r w:rsidRPr="00070663">
              <w:rPr>
                <w:rFonts w:ascii="Arial Narrow" w:hAnsi="Arial Narrow"/>
                <w:sz w:val="20"/>
                <w:szCs w:val="20"/>
              </w:rPr>
              <w:t>(1) details of the proposed prescription; and</w:t>
            </w:r>
          </w:p>
          <w:p w14:paraId="265AB9B7" w14:textId="77777777" w:rsidR="009C5E27" w:rsidRPr="00592E29" w:rsidRDefault="009C5E27" w:rsidP="003124CE">
            <w:pPr>
              <w:rPr>
                <w:rFonts w:ascii="Arial Narrow" w:hAnsi="Arial Narrow"/>
                <w:i/>
                <w:iCs/>
                <w:sz w:val="20"/>
                <w:szCs w:val="20"/>
              </w:rPr>
            </w:pPr>
            <w:r w:rsidRPr="00070663">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9C5E27" w:rsidRPr="00592E29" w14:paraId="2BDFF78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1FFF49" w14:textId="1AD14979" w:rsidR="009C5E27" w:rsidRPr="00475B69" w:rsidRDefault="009C5E27" w:rsidP="003124CE">
            <w:pPr>
              <w:jc w:val="center"/>
              <w:rPr>
                <w:rFonts w:ascii="Arial Narrow" w:hAnsi="Arial Narrow"/>
                <w:color w:val="333333"/>
                <w:sz w:val="20"/>
                <w:szCs w:val="20"/>
              </w:rPr>
            </w:pPr>
          </w:p>
        </w:tc>
        <w:tc>
          <w:tcPr>
            <w:tcW w:w="7745" w:type="dxa"/>
            <w:gridSpan w:val="6"/>
            <w:vAlign w:val="center"/>
          </w:tcPr>
          <w:p w14:paraId="369151DD" w14:textId="77777777" w:rsidR="009C5E27" w:rsidRPr="00592E29" w:rsidRDefault="009C5E27" w:rsidP="003124CE">
            <w:pPr>
              <w:pStyle w:val="TableText0"/>
              <w:rPr>
                <w:b/>
                <w:bCs w:val="0"/>
                <w:szCs w:val="20"/>
              </w:rPr>
            </w:pPr>
            <w:r w:rsidRPr="00592E29">
              <w:rPr>
                <w:b/>
                <w:szCs w:val="20"/>
              </w:rPr>
              <w:t>Prescribing Instructions:</w:t>
            </w:r>
          </w:p>
          <w:p w14:paraId="7FFE4F0E" w14:textId="77777777" w:rsidR="009C5E27" w:rsidRPr="00592E29" w:rsidRDefault="009C5E27" w:rsidP="003124CE">
            <w:pPr>
              <w:pStyle w:val="TableText0"/>
              <w:rPr>
                <w:szCs w:val="20"/>
              </w:rPr>
            </w:pPr>
            <w:r w:rsidRPr="00592E29">
              <w:rPr>
                <w:szCs w:val="20"/>
              </w:rPr>
              <w:t>In relation to the biological medicine prescribed immediately before this one, provide at least one of the following which is not more than 4 weeks from the last administered dose:</w:t>
            </w:r>
          </w:p>
          <w:p w14:paraId="5A2BC46B" w14:textId="77777777" w:rsidR="009C5E27" w:rsidRPr="00592E29" w:rsidRDefault="009C5E27" w:rsidP="003124CE">
            <w:pPr>
              <w:pStyle w:val="TableText0"/>
              <w:rPr>
                <w:szCs w:val="20"/>
              </w:rPr>
            </w:pPr>
            <w:r w:rsidRPr="00592E29">
              <w:rPr>
                <w:szCs w:val="20"/>
              </w:rPr>
              <w:t>(i) the Crohn Disease Activity Index (CDAI) score, including the date the score was calculated on; or</w:t>
            </w:r>
          </w:p>
          <w:p w14:paraId="5C1B3248" w14:textId="77777777" w:rsidR="009C5E27" w:rsidRPr="00592E29" w:rsidRDefault="009C5E27" w:rsidP="003124CE">
            <w:pPr>
              <w:pStyle w:val="TableText0"/>
              <w:rPr>
                <w:szCs w:val="20"/>
              </w:rPr>
            </w:pPr>
            <w:r w:rsidRPr="00592E29">
              <w:rPr>
                <w:szCs w:val="20"/>
              </w:rPr>
              <w:t>(ii) the unique serial/identifying number and date(s) of pathology or diagnostic imaging test(s) used to assess response to therapy for patients with short gut syndrome, extensive small intestine disease or an ostomy, if relevant; or</w:t>
            </w:r>
          </w:p>
          <w:p w14:paraId="1A64E633" w14:textId="77777777" w:rsidR="009C5E27" w:rsidRPr="00592E29" w:rsidRDefault="009C5E27" w:rsidP="003124CE">
            <w:pPr>
              <w:pStyle w:val="TableText0"/>
              <w:rPr>
                <w:b/>
                <w:bCs w:val="0"/>
                <w:szCs w:val="20"/>
              </w:rPr>
            </w:pPr>
            <w:r w:rsidRPr="00592E29">
              <w:rPr>
                <w:szCs w:val="20"/>
              </w:rPr>
              <w:t>(iii) confirmation that a severe intolerance occurred that resulted in the cessation of treatment.</w:t>
            </w:r>
          </w:p>
        </w:tc>
      </w:tr>
      <w:tr w:rsidR="009C5E27" w:rsidRPr="00592E29" w14:paraId="3FD1D11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2827C6"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018AAB14" w14:textId="77777777" w:rsidR="009C5E27" w:rsidRPr="00592E29" w:rsidRDefault="009C5E27" w:rsidP="003124CE">
            <w:pPr>
              <w:pStyle w:val="TableText0"/>
              <w:rPr>
                <w:b/>
                <w:bCs w:val="0"/>
                <w:szCs w:val="20"/>
              </w:rPr>
            </w:pPr>
          </w:p>
        </w:tc>
      </w:tr>
      <w:tr w:rsidR="009C5E27" w:rsidRPr="00592E29" w14:paraId="2BB3D381"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vAlign w:val="center"/>
          </w:tcPr>
          <w:p w14:paraId="6F4E58DC" w14:textId="77777777" w:rsidR="009C5E27" w:rsidRPr="00592E29" w:rsidRDefault="009C5E27" w:rsidP="003124CE">
            <w:pPr>
              <w:pStyle w:val="TableText0"/>
              <w:rPr>
                <w:b/>
                <w:bCs w:val="0"/>
                <w:szCs w:val="20"/>
              </w:rPr>
            </w:pPr>
            <w:r w:rsidRPr="00592E29">
              <w:rPr>
                <w:rFonts w:eastAsia="Times New Roman" w:cs="Times New Roman"/>
                <w:b/>
                <w:color w:val="333333"/>
                <w:szCs w:val="20"/>
              </w:rPr>
              <w:t xml:space="preserve">Restriction Summary [new3] / Treatment of Concept: [new3] </w:t>
            </w:r>
          </w:p>
        </w:tc>
      </w:tr>
      <w:tr w:rsidR="009C5E27" w:rsidRPr="00592E29" w14:paraId="3110A8A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Pr>
          <w:p w14:paraId="2CC5BEC7" w14:textId="77777777" w:rsidR="009C5E27" w:rsidRPr="00592E29" w:rsidRDefault="009C5E27" w:rsidP="003124CE">
            <w:pPr>
              <w:jc w:val="center"/>
              <w:rPr>
                <w:rFonts w:ascii="Arial Narrow" w:hAnsi="Arial Narrow"/>
                <w:color w:val="333333"/>
                <w:sz w:val="20"/>
                <w:szCs w:val="20"/>
              </w:rPr>
            </w:pPr>
            <w:r w:rsidRPr="00592E29">
              <w:rPr>
                <w:rFonts w:ascii="Arial Narrow" w:eastAsia="Calibri" w:hAnsi="Arial Narrow"/>
                <w:b/>
                <w:sz w:val="20"/>
                <w:szCs w:val="20"/>
              </w:rPr>
              <w:t>Concept ID</w:t>
            </w:r>
            <w:r w:rsidRPr="00592E29">
              <w:rPr>
                <w:rFonts w:ascii="Arial Narrow" w:eastAsia="Calibri" w:hAnsi="Arial Narrow"/>
                <w:b/>
                <w:sz w:val="20"/>
                <w:szCs w:val="20"/>
              </w:rPr>
              <w:br/>
            </w:r>
            <w:r w:rsidRPr="00592E29">
              <w:rPr>
                <w:rFonts w:ascii="Arial Narrow" w:eastAsia="Calibri" w:hAnsi="Arial Narrow"/>
                <w:sz w:val="20"/>
                <w:szCs w:val="20"/>
              </w:rPr>
              <w:t>(for internal Dept. use)</w:t>
            </w:r>
          </w:p>
        </w:tc>
        <w:tc>
          <w:tcPr>
            <w:tcW w:w="7745" w:type="dxa"/>
            <w:gridSpan w:val="6"/>
            <w:vAlign w:val="center"/>
          </w:tcPr>
          <w:p w14:paraId="393493A3" w14:textId="77777777" w:rsidR="009C5E27" w:rsidRPr="00592E29" w:rsidRDefault="009C5E27" w:rsidP="003124CE">
            <w:pPr>
              <w:pStyle w:val="TableText0"/>
              <w:rPr>
                <w:b/>
                <w:bCs w:val="0"/>
                <w:szCs w:val="20"/>
              </w:rPr>
            </w:pPr>
            <w:r w:rsidRPr="00592E29">
              <w:rPr>
                <w:rFonts w:eastAsia="Calibri" w:cs="Arial"/>
                <w:b/>
                <w:szCs w:val="20"/>
              </w:rPr>
              <w:t>Category / Program:</w:t>
            </w:r>
            <w:r w:rsidRPr="00592E29">
              <w:rPr>
                <w:rFonts w:eastAsia="Calibri" w:cs="Arial"/>
                <w:color w:val="FF0000"/>
                <w:szCs w:val="20"/>
              </w:rPr>
              <w:t xml:space="preserv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 GENERAL – Section 85 General Schedule (Code GE) </w:t>
            </w:r>
          </w:p>
        </w:tc>
      </w:tr>
      <w:tr w:rsidR="009C5E27" w:rsidRPr="00592E29" w14:paraId="038F034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67232A11"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4B11C3BD" w14:textId="77777777" w:rsidR="009C5E27" w:rsidRPr="00592E29" w:rsidRDefault="009C5E27" w:rsidP="003124CE">
            <w:pPr>
              <w:pStyle w:val="TableText0"/>
              <w:rPr>
                <w:b/>
                <w:bCs w:val="0"/>
                <w:szCs w:val="20"/>
              </w:rPr>
            </w:pPr>
            <w:r w:rsidRPr="00592E29">
              <w:rPr>
                <w:rFonts w:eastAsia="Calibri" w:cs="Arial"/>
                <w:b/>
                <w:szCs w:val="20"/>
              </w:rPr>
              <w:t xml:space="preserve">Prescriber type: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Medical Practitioners </w:t>
            </w:r>
          </w:p>
        </w:tc>
      </w:tr>
      <w:tr w:rsidR="009C5E27" w:rsidRPr="00592E29" w14:paraId="7B4F5C7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207D7790"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08608EB5" w14:textId="77777777" w:rsidR="009C5E27" w:rsidRPr="00592E29" w:rsidRDefault="009C5E27" w:rsidP="003124CE">
            <w:pPr>
              <w:pStyle w:val="TableText0"/>
              <w:rPr>
                <w:b/>
                <w:bCs w:val="0"/>
                <w:szCs w:val="20"/>
              </w:rPr>
            </w:pPr>
            <w:r w:rsidRPr="00592E29">
              <w:rPr>
                <w:rFonts w:eastAsia="Calibri" w:cs="Arial"/>
                <w:b/>
                <w:szCs w:val="20"/>
              </w:rPr>
              <w:t xml:space="preserve">Restriction type: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Authority Required (FULL assessment) in writing only via post/HPOS upload) </w:t>
            </w:r>
          </w:p>
        </w:tc>
      </w:tr>
      <w:tr w:rsidR="009C5E27" w:rsidRPr="00592E29" w14:paraId="17E41F4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9C2418" w14:textId="69FC68AB"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372169C9" w14:textId="77777777" w:rsidR="009C5E27" w:rsidRPr="00592E29" w:rsidRDefault="009C5E27" w:rsidP="003124CE">
            <w:pPr>
              <w:pStyle w:val="TableText0"/>
              <w:rPr>
                <w:b/>
                <w:bCs w:val="0"/>
                <w:szCs w:val="20"/>
              </w:rPr>
            </w:pPr>
            <w:r w:rsidRPr="00592E29">
              <w:rPr>
                <w:rFonts w:eastAsia="Times New Roman" w:cs="Times New Roman"/>
                <w:b/>
                <w:szCs w:val="20"/>
              </w:rPr>
              <w:t>Indication:</w:t>
            </w:r>
            <w:r w:rsidRPr="00592E29">
              <w:rPr>
                <w:rFonts w:eastAsia="Times New Roman" w:cs="Times New Roman"/>
                <w:szCs w:val="20"/>
              </w:rPr>
              <w:t xml:space="preserve"> Severe Crohn Disease</w:t>
            </w:r>
          </w:p>
        </w:tc>
      </w:tr>
      <w:tr w:rsidR="009C5E27" w:rsidRPr="00592E29" w14:paraId="2FF3A4C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90F023"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4594688" w14:textId="77777777" w:rsidR="009C5E27" w:rsidRPr="00592E29" w:rsidRDefault="009C5E27" w:rsidP="003124CE">
            <w:pPr>
              <w:pStyle w:val="TableText0"/>
              <w:rPr>
                <w:b/>
                <w:bCs w:val="0"/>
                <w:szCs w:val="20"/>
              </w:rPr>
            </w:pPr>
            <w:r w:rsidRPr="00592E29">
              <w:rPr>
                <w:rFonts w:eastAsia="Times New Roman" w:cs="Times New Roman"/>
                <w:b/>
                <w:szCs w:val="20"/>
              </w:rPr>
              <w:t>Treatment Phase:</w:t>
            </w:r>
            <w:r w:rsidRPr="00592E29">
              <w:rPr>
                <w:rFonts w:eastAsia="Times New Roman" w:cs="Times New Roman"/>
                <w:szCs w:val="20"/>
              </w:rPr>
              <w:t xml:space="preserve"> Initial 3 (recommencement of treatment after a break in biological medicine of more than 5 years)</w:t>
            </w:r>
          </w:p>
        </w:tc>
      </w:tr>
      <w:tr w:rsidR="009C5E27" w:rsidRPr="00592E29" w14:paraId="4F32F5A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1042F52" w14:textId="13484D6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89820E7" w14:textId="77777777" w:rsidR="009C5E27" w:rsidRPr="00592E29" w:rsidRDefault="009C5E27" w:rsidP="003124CE">
            <w:pPr>
              <w:pStyle w:val="TableText0"/>
              <w:rPr>
                <w:b/>
                <w:bCs w:val="0"/>
                <w:szCs w:val="20"/>
              </w:rPr>
            </w:pPr>
            <w:r w:rsidRPr="00592E29">
              <w:rPr>
                <w:rFonts w:eastAsia="Times New Roman" w:cs="Times New Roman"/>
                <w:b/>
                <w:szCs w:val="20"/>
              </w:rPr>
              <w:t>Clinical criteria:</w:t>
            </w:r>
          </w:p>
        </w:tc>
      </w:tr>
      <w:tr w:rsidR="009C5E27" w:rsidRPr="00592E29" w14:paraId="1CFFB64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0759FD" w14:textId="57CF1840"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21439F1" w14:textId="77777777" w:rsidR="009C5E27" w:rsidRPr="00592E29" w:rsidRDefault="009C5E27" w:rsidP="003124CE">
            <w:pPr>
              <w:pStyle w:val="TableText0"/>
              <w:rPr>
                <w:szCs w:val="20"/>
              </w:rPr>
            </w:pPr>
            <w:r w:rsidRPr="00592E29">
              <w:rPr>
                <w:szCs w:val="20"/>
              </w:rPr>
              <w:t>Patient must have received prior PBS-subsidised treatment with a biological medicine for this condition</w:t>
            </w:r>
          </w:p>
        </w:tc>
      </w:tr>
      <w:tr w:rsidR="009C5E27" w:rsidRPr="00592E29" w14:paraId="1F9F145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00B8EF"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BC354F5"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AND</w:t>
            </w:r>
          </w:p>
        </w:tc>
      </w:tr>
      <w:tr w:rsidR="009C5E27" w:rsidRPr="00592E29" w14:paraId="7383326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DB550C" w14:textId="3EE23E4B"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D5A7D3B"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 xml:space="preserve">Clinical criteria: </w:t>
            </w:r>
          </w:p>
        </w:tc>
      </w:tr>
      <w:tr w:rsidR="009C5E27" w:rsidRPr="00592E29" w14:paraId="19F2504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B315776" w14:textId="087CA46F"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EF50CA0" w14:textId="77777777" w:rsidR="009C5E27" w:rsidRPr="00592E29" w:rsidRDefault="009C5E27" w:rsidP="003124CE">
            <w:pPr>
              <w:pStyle w:val="TableText0"/>
              <w:rPr>
                <w:szCs w:val="20"/>
              </w:rPr>
            </w:pPr>
            <w:r w:rsidRPr="00592E29">
              <w:rPr>
                <w:szCs w:val="20"/>
              </w:rPr>
              <w:t>Patient must have a break in treatment of 5 years or more from the most recently approved PBS-subsided biological medicine for this condition</w:t>
            </w:r>
          </w:p>
        </w:tc>
      </w:tr>
      <w:tr w:rsidR="009C5E27" w:rsidRPr="00592E29" w14:paraId="13FDFEC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FFDD0CF"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740976D"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AND</w:t>
            </w:r>
          </w:p>
        </w:tc>
      </w:tr>
      <w:tr w:rsidR="009C5E27" w:rsidRPr="00592E29" w14:paraId="0A1A102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22D08A" w14:textId="30BCD9FE"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CA6E7DE"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 xml:space="preserve">Clinical criteria: </w:t>
            </w:r>
          </w:p>
        </w:tc>
      </w:tr>
      <w:tr w:rsidR="009C5E27" w:rsidRPr="00592E29" w14:paraId="33A7F51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4EAA693" w14:textId="5803AA6E"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9051949" w14:textId="77777777" w:rsidR="009C5E27" w:rsidRPr="00592E29" w:rsidRDefault="009C5E27" w:rsidP="003124CE">
            <w:pPr>
              <w:pStyle w:val="TableText0"/>
              <w:rPr>
                <w:rFonts w:eastAsia="Times New Roman" w:cs="Times New Roman"/>
                <w:b/>
                <w:bCs w:val="0"/>
                <w:szCs w:val="20"/>
              </w:rPr>
            </w:pPr>
            <w:r w:rsidRPr="00592E29">
              <w:rPr>
                <w:szCs w:val="20"/>
              </w:rPr>
              <w:t>Patient must have confirmed severe Crohn disease, defined by standard clinical, endoscopic and/or imaging features, including histological evidence, with the diagnosis confirmed by a gastroenterologist or a consultant physician</w:t>
            </w:r>
          </w:p>
        </w:tc>
      </w:tr>
      <w:tr w:rsidR="009C5E27" w:rsidRPr="00592E29" w14:paraId="243B533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723897"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31F1CC67"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AND</w:t>
            </w:r>
          </w:p>
        </w:tc>
      </w:tr>
      <w:tr w:rsidR="009C5E27" w:rsidRPr="00592E29" w14:paraId="70FCFBD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tcPr>
          <w:p w14:paraId="2F7CB536" w14:textId="1FAE30E7" w:rsidR="009C5E27" w:rsidRPr="007C06FF" w:rsidRDefault="009C5E27" w:rsidP="003124CE">
            <w:pPr>
              <w:jc w:val="center"/>
              <w:rPr>
                <w:rFonts w:ascii="Arial Narrow" w:hAnsi="Arial Narrow"/>
                <w:strike/>
                <w:sz w:val="20"/>
                <w:szCs w:val="20"/>
              </w:rPr>
            </w:pPr>
          </w:p>
        </w:tc>
        <w:tc>
          <w:tcPr>
            <w:tcW w:w="7745" w:type="dxa"/>
            <w:gridSpan w:val="6"/>
          </w:tcPr>
          <w:p w14:paraId="5E40A4BE" w14:textId="77777777" w:rsidR="009C5E27" w:rsidRPr="007C06FF" w:rsidRDefault="009C5E27" w:rsidP="003124CE">
            <w:pPr>
              <w:pStyle w:val="TableText0"/>
              <w:rPr>
                <w:strike/>
                <w:szCs w:val="20"/>
              </w:rPr>
            </w:pPr>
            <w:r w:rsidRPr="007C06FF">
              <w:rPr>
                <w:rFonts w:cstheme="minorHAnsi"/>
                <w:b/>
                <w:szCs w:val="20"/>
              </w:rPr>
              <w:t>Clinical criteria:</w:t>
            </w:r>
          </w:p>
        </w:tc>
      </w:tr>
      <w:tr w:rsidR="009C5E27" w:rsidRPr="00592E29" w14:paraId="5F1EDE6E"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tcPr>
          <w:p w14:paraId="345659BF" w14:textId="7896D9D1" w:rsidR="009C5E27" w:rsidRPr="007C06FF" w:rsidRDefault="009C5E27" w:rsidP="003124CE">
            <w:pPr>
              <w:jc w:val="center"/>
              <w:rPr>
                <w:rFonts w:ascii="Arial Narrow" w:hAnsi="Arial Narrow"/>
                <w:strike/>
                <w:sz w:val="20"/>
                <w:szCs w:val="20"/>
              </w:rPr>
            </w:pPr>
          </w:p>
        </w:tc>
        <w:tc>
          <w:tcPr>
            <w:tcW w:w="7745" w:type="dxa"/>
            <w:gridSpan w:val="6"/>
          </w:tcPr>
          <w:p w14:paraId="6FBDCAED" w14:textId="77777777" w:rsidR="009C5E27" w:rsidRPr="007C06FF" w:rsidRDefault="009C5E27" w:rsidP="003124CE">
            <w:pPr>
              <w:pStyle w:val="TableText0"/>
              <w:rPr>
                <w:strike/>
                <w:szCs w:val="20"/>
              </w:rPr>
            </w:pPr>
            <w:r w:rsidRPr="007C06FF">
              <w:rPr>
                <w:rFonts w:cstheme="minorHAnsi"/>
                <w:szCs w:val="20"/>
              </w:rPr>
              <w:t>Patient must have a Crohn Disease Activity Index (CDAI) Score of greater than or equal to 300 that is no more than 4 weeks old at the time of application; or</w:t>
            </w:r>
          </w:p>
        </w:tc>
      </w:tr>
      <w:tr w:rsidR="009C5E27" w:rsidRPr="00592E29" w14:paraId="456AD19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tcPr>
          <w:p w14:paraId="3E481760" w14:textId="4E2F2734" w:rsidR="009C5E27" w:rsidRPr="007C06FF" w:rsidRDefault="009C5E27" w:rsidP="003124CE">
            <w:pPr>
              <w:jc w:val="center"/>
              <w:rPr>
                <w:rFonts w:ascii="Arial Narrow" w:hAnsi="Arial Narrow"/>
                <w:strike/>
                <w:sz w:val="20"/>
                <w:szCs w:val="20"/>
              </w:rPr>
            </w:pPr>
          </w:p>
        </w:tc>
        <w:tc>
          <w:tcPr>
            <w:tcW w:w="7745" w:type="dxa"/>
            <w:gridSpan w:val="6"/>
          </w:tcPr>
          <w:p w14:paraId="6EB5898D" w14:textId="77777777" w:rsidR="009C5E27" w:rsidRPr="007C06FF" w:rsidRDefault="009C5E27" w:rsidP="003124CE">
            <w:pPr>
              <w:pStyle w:val="TableText0"/>
              <w:rPr>
                <w:strike/>
                <w:szCs w:val="20"/>
              </w:rPr>
            </w:pPr>
            <w:r w:rsidRPr="007C06FF">
              <w:rPr>
                <w:rFonts w:cstheme="minorHAnsi"/>
                <w:szCs w:val="20"/>
              </w:rPr>
              <w:t>Patient must have a documented history of intestinal inflammation and have diagnostic imaging or surgical evidence of short gut syndrome if affected by the syndrome or has an ileostomy or colostomy; or</w:t>
            </w:r>
          </w:p>
        </w:tc>
      </w:tr>
      <w:tr w:rsidR="009C5E27" w:rsidRPr="00592E29" w14:paraId="1687354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tcPr>
          <w:p w14:paraId="2DF7994C" w14:textId="01FFCE89" w:rsidR="009C5E27" w:rsidRPr="007C06FF" w:rsidRDefault="009C5E27" w:rsidP="003124CE">
            <w:pPr>
              <w:jc w:val="center"/>
              <w:rPr>
                <w:rFonts w:ascii="Arial Narrow" w:hAnsi="Arial Narrow"/>
                <w:strike/>
                <w:sz w:val="20"/>
                <w:szCs w:val="20"/>
              </w:rPr>
            </w:pPr>
          </w:p>
        </w:tc>
        <w:tc>
          <w:tcPr>
            <w:tcW w:w="7745" w:type="dxa"/>
            <w:gridSpan w:val="6"/>
          </w:tcPr>
          <w:p w14:paraId="0EC0D3BA" w14:textId="77777777" w:rsidR="009C5E27" w:rsidRPr="007C06FF" w:rsidRDefault="009C5E27" w:rsidP="003124CE">
            <w:pPr>
              <w:pStyle w:val="TableText0"/>
              <w:rPr>
                <w:strike/>
                <w:szCs w:val="20"/>
              </w:rPr>
            </w:pPr>
            <w:r w:rsidRPr="007C06FF">
              <w:rPr>
                <w:rFonts w:cstheme="minorHAnsi"/>
                <w:szCs w:val="20"/>
              </w:rPr>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w:t>
            </w:r>
          </w:p>
        </w:tc>
      </w:tr>
      <w:tr w:rsidR="009C5E27" w:rsidRPr="00592E29" w14:paraId="00FAB0D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C12B84F"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5535834B" w14:textId="77777777" w:rsidR="009C5E27" w:rsidRPr="00592E29" w:rsidRDefault="009C5E27" w:rsidP="003124CE">
            <w:pPr>
              <w:pStyle w:val="TableText0"/>
              <w:rPr>
                <w:szCs w:val="20"/>
              </w:rPr>
            </w:pPr>
            <w:r w:rsidRPr="00592E29">
              <w:rPr>
                <w:rFonts w:eastAsia="Times New Roman" w:cs="Times New Roman"/>
                <w:b/>
                <w:szCs w:val="20"/>
              </w:rPr>
              <w:t>AND</w:t>
            </w:r>
          </w:p>
        </w:tc>
      </w:tr>
      <w:tr w:rsidR="009C5E27" w:rsidRPr="00592E29" w14:paraId="313D750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5FAEE1" w14:textId="4DA30CA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DC4C81A" w14:textId="77777777" w:rsidR="009C5E27" w:rsidRPr="00592E29" w:rsidRDefault="009C5E27" w:rsidP="003124CE">
            <w:pPr>
              <w:pStyle w:val="TableText0"/>
              <w:rPr>
                <w:szCs w:val="20"/>
              </w:rPr>
            </w:pPr>
            <w:r w:rsidRPr="00592E29">
              <w:rPr>
                <w:rFonts w:eastAsia="Times New Roman" w:cs="Times New Roman"/>
                <w:b/>
                <w:szCs w:val="20"/>
              </w:rPr>
              <w:t xml:space="preserve">Clinical criteria: </w:t>
            </w:r>
          </w:p>
        </w:tc>
      </w:tr>
      <w:tr w:rsidR="009C5E27" w:rsidRPr="00592E29" w14:paraId="14D9641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DBFA593" w14:textId="032A1774"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C3FC0EE" w14:textId="77777777" w:rsidR="009C5E27" w:rsidRPr="00592E29" w:rsidRDefault="009C5E27" w:rsidP="003124CE">
            <w:pPr>
              <w:pStyle w:val="TableText0"/>
              <w:rPr>
                <w:szCs w:val="20"/>
              </w:rPr>
            </w:pPr>
            <w:r w:rsidRPr="00592E29">
              <w:rPr>
                <w:szCs w:val="20"/>
              </w:rPr>
              <w:t>Patient must have evidence of intestinal inflammation; or</w:t>
            </w:r>
          </w:p>
        </w:tc>
      </w:tr>
      <w:tr w:rsidR="009C5E27" w:rsidRPr="00592E29" w14:paraId="59A38F2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E0D8CF" w14:textId="00D27604"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36EA67F9" w14:textId="77777777" w:rsidR="009C5E27" w:rsidRPr="00592E29" w:rsidRDefault="009C5E27" w:rsidP="003124CE">
            <w:pPr>
              <w:pStyle w:val="TableText0"/>
              <w:rPr>
                <w:szCs w:val="20"/>
              </w:rPr>
            </w:pPr>
            <w:r w:rsidRPr="00592E29">
              <w:rPr>
                <w:szCs w:val="20"/>
              </w:rPr>
              <w:t>Patient must be assessed clinically as being in a high faecal output state; or</w:t>
            </w:r>
          </w:p>
        </w:tc>
      </w:tr>
      <w:tr w:rsidR="009C5E27" w:rsidRPr="00592E29" w14:paraId="7234D58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B7A0E2" w14:textId="250625C3"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9A3F684" w14:textId="77777777" w:rsidR="009C5E27" w:rsidRPr="00592E29" w:rsidRDefault="009C5E27" w:rsidP="003124CE">
            <w:pPr>
              <w:pStyle w:val="TableText0"/>
              <w:rPr>
                <w:szCs w:val="20"/>
              </w:rPr>
            </w:pPr>
            <w:r w:rsidRPr="00592E29">
              <w:rPr>
                <w:szCs w:val="20"/>
              </w:rPr>
              <w:t>Patient must be assessed clinically as requiring surgery or total parenteral nutrition (TPN) as the next therapeutic option, in the absence of this drug, if affected by short gut syndrome, extensive small intestine disease or is an ostomy patient</w:t>
            </w:r>
          </w:p>
        </w:tc>
      </w:tr>
      <w:tr w:rsidR="009C5E27" w:rsidRPr="00592E29" w14:paraId="0D42E00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FF0A95B"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7E9DF813" w14:textId="77777777" w:rsidR="009C5E27" w:rsidRPr="00592E29" w:rsidRDefault="009C5E27" w:rsidP="003124CE">
            <w:pPr>
              <w:pStyle w:val="TableText0"/>
              <w:rPr>
                <w:szCs w:val="20"/>
              </w:rPr>
            </w:pPr>
            <w:r w:rsidRPr="00592E29">
              <w:rPr>
                <w:rFonts w:eastAsia="Times New Roman" w:cs="Times New Roman"/>
                <w:b/>
                <w:szCs w:val="20"/>
              </w:rPr>
              <w:t>AND</w:t>
            </w:r>
          </w:p>
        </w:tc>
      </w:tr>
      <w:tr w:rsidR="009C5E27" w:rsidRPr="00592E29" w14:paraId="606904C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999080A" w14:textId="77E37E0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ED65ADF" w14:textId="77777777" w:rsidR="009C5E27" w:rsidRPr="00592E29" w:rsidRDefault="009C5E27" w:rsidP="003124CE">
            <w:pPr>
              <w:pStyle w:val="TableText0"/>
              <w:rPr>
                <w:szCs w:val="20"/>
              </w:rPr>
            </w:pPr>
            <w:r w:rsidRPr="00592E29">
              <w:rPr>
                <w:rFonts w:eastAsia="Times New Roman" w:cs="Times New Roman"/>
                <w:b/>
                <w:szCs w:val="20"/>
              </w:rPr>
              <w:t xml:space="preserve">Clinical criteria: </w:t>
            </w:r>
          </w:p>
        </w:tc>
      </w:tr>
      <w:tr w:rsidR="009C5E27" w:rsidRPr="00592E29" w14:paraId="4C34A39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E982D0" w14:textId="6D67AC13"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44C3FB4" w14:textId="77777777" w:rsidR="009C5E27" w:rsidRPr="00592E29" w:rsidRDefault="009C5E27" w:rsidP="003124CE">
            <w:pPr>
              <w:pStyle w:val="TableText0"/>
              <w:rPr>
                <w:szCs w:val="20"/>
              </w:rPr>
            </w:pPr>
            <w:r w:rsidRPr="00592E29">
              <w:rPr>
                <w:szCs w:val="20"/>
              </w:rPr>
              <w:t>The treatment must not exceed a total of 3 doses to be administered at weeks 0, 4 and 8 under this restriction</w:t>
            </w:r>
          </w:p>
        </w:tc>
      </w:tr>
      <w:tr w:rsidR="009C5E27" w:rsidRPr="00592E29" w14:paraId="42F9E04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A74074F"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7049316C" w14:textId="77777777" w:rsidR="009C5E27" w:rsidRPr="00592E29" w:rsidRDefault="009C5E27" w:rsidP="003124CE">
            <w:pPr>
              <w:pStyle w:val="TableText0"/>
              <w:rPr>
                <w:b/>
                <w:bCs w:val="0"/>
                <w:szCs w:val="20"/>
              </w:rPr>
            </w:pPr>
          </w:p>
        </w:tc>
      </w:tr>
      <w:tr w:rsidR="009C5E27" w:rsidRPr="00592E29" w14:paraId="58C7477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1D5711" w14:textId="3D4133F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BA1C9CC" w14:textId="77777777" w:rsidR="009C5E27" w:rsidRPr="00592E29" w:rsidRDefault="009C5E27" w:rsidP="003124CE">
            <w:pPr>
              <w:pStyle w:val="TableText0"/>
              <w:rPr>
                <w:b/>
                <w:bCs w:val="0"/>
                <w:szCs w:val="20"/>
              </w:rPr>
            </w:pPr>
            <w:r w:rsidRPr="00592E29">
              <w:rPr>
                <w:rFonts w:eastAsia="Times New Roman" w:cs="Times New Roman"/>
                <w:b/>
                <w:color w:val="333333"/>
                <w:szCs w:val="20"/>
              </w:rPr>
              <w:t>Treatment criteria:</w:t>
            </w:r>
          </w:p>
        </w:tc>
      </w:tr>
      <w:tr w:rsidR="009C5E27" w:rsidRPr="00592E29" w14:paraId="3B73B81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00C7398" w14:textId="097437B9"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28BB7B3E" w14:textId="77777777" w:rsidR="009C5E27" w:rsidRPr="00592E29" w:rsidRDefault="009C5E27" w:rsidP="003124CE">
            <w:pPr>
              <w:pStyle w:val="TableText0"/>
              <w:rPr>
                <w:b/>
                <w:bCs w:val="0"/>
                <w:szCs w:val="20"/>
              </w:rPr>
            </w:pPr>
            <w:r w:rsidRPr="00592E29">
              <w:rPr>
                <w:szCs w:val="20"/>
              </w:rPr>
              <w:t>Must be treated by a gastroenterologist (code 87); or</w:t>
            </w:r>
          </w:p>
        </w:tc>
      </w:tr>
      <w:tr w:rsidR="009C5E27" w:rsidRPr="00592E29" w14:paraId="5DB5FA9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16A1788" w14:textId="4A8A5A45"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3E1599B1" w14:textId="77777777" w:rsidR="009C5E27" w:rsidRPr="00592E29" w:rsidRDefault="009C5E27" w:rsidP="003124CE">
            <w:pPr>
              <w:pStyle w:val="TableText0"/>
              <w:rPr>
                <w:b/>
                <w:bCs w:val="0"/>
                <w:szCs w:val="20"/>
              </w:rPr>
            </w:pPr>
            <w:r w:rsidRPr="00592E29">
              <w:rPr>
                <w:szCs w:val="20"/>
              </w:rPr>
              <w:t>Must be treated by a consultant physician [internal medicine specialising in gastroenterology (code 81)]; or</w:t>
            </w:r>
          </w:p>
        </w:tc>
      </w:tr>
      <w:tr w:rsidR="009C5E27" w:rsidRPr="00592E29" w14:paraId="7FAE041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5C0E50" w14:textId="38B5ED65"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B9DCC28" w14:textId="77777777" w:rsidR="009C5E27" w:rsidRPr="00592E29" w:rsidRDefault="009C5E27" w:rsidP="003124CE">
            <w:pPr>
              <w:pStyle w:val="TableText0"/>
              <w:rPr>
                <w:b/>
                <w:bCs w:val="0"/>
                <w:szCs w:val="20"/>
              </w:rPr>
            </w:pPr>
            <w:r w:rsidRPr="00592E29">
              <w:rPr>
                <w:szCs w:val="20"/>
              </w:rPr>
              <w:t>Must be treated by a consultant physician [general medicine specialising in gastroenterology (code 82)]</w:t>
            </w:r>
          </w:p>
        </w:tc>
      </w:tr>
      <w:tr w:rsidR="009C5E27" w:rsidRPr="00592E29" w14:paraId="4E64040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E05706"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26776B81" w14:textId="77777777" w:rsidR="009C5E27" w:rsidRPr="00592E29" w:rsidRDefault="009C5E27" w:rsidP="003124CE">
            <w:pPr>
              <w:pStyle w:val="TableText0"/>
              <w:rPr>
                <w:b/>
                <w:bCs w:val="0"/>
                <w:szCs w:val="20"/>
              </w:rPr>
            </w:pPr>
          </w:p>
        </w:tc>
      </w:tr>
      <w:tr w:rsidR="009C5E27" w:rsidRPr="00592E29" w14:paraId="1ABDB5F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FBB4BE" w14:textId="36611DD9"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C51D74E" w14:textId="77777777" w:rsidR="009C5E27" w:rsidRPr="00592E29" w:rsidRDefault="009C5E27" w:rsidP="003124CE">
            <w:pPr>
              <w:pStyle w:val="TableText0"/>
              <w:rPr>
                <w:b/>
                <w:bCs w:val="0"/>
                <w:szCs w:val="20"/>
              </w:rPr>
            </w:pPr>
            <w:r w:rsidRPr="00592E29">
              <w:rPr>
                <w:rFonts w:eastAsia="Times New Roman" w:cs="Times New Roman"/>
                <w:b/>
                <w:color w:val="333333"/>
                <w:szCs w:val="20"/>
              </w:rPr>
              <w:t>Population criteria:</w:t>
            </w:r>
          </w:p>
        </w:tc>
      </w:tr>
      <w:tr w:rsidR="009C5E27" w:rsidRPr="00592E29" w14:paraId="161034F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AFA641F" w14:textId="46C2E5B9" w:rsidR="009C5E27" w:rsidRPr="007C06FF" w:rsidRDefault="009C5E27" w:rsidP="003124CE">
            <w:pPr>
              <w:jc w:val="center"/>
              <w:rPr>
                <w:rFonts w:ascii="Arial Narrow" w:hAnsi="Arial Narrow"/>
                <w:sz w:val="20"/>
                <w:szCs w:val="20"/>
              </w:rPr>
            </w:pPr>
          </w:p>
        </w:tc>
        <w:tc>
          <w:tcPr>
            <w:tcW w:w="7745" w:type="dxa"/>
            <w:gridSpan w:val="6"/>
            <w:vAlign w:val="center"/>
          </w:tcPr>
          <w:p w14:paraId="72DFFD95" w14:textId="77777777" w:rsidR="009C5E27" w:rsidRPr="00592E29" w:rsidRDefault="009C5E27" w:rsidP="003124CE">
            <w:pPr>
              <w:pStyle w:val="TableText0"/>
              <w:rPr>
                <w:b/>
                <w:bCs w:val="0"/>
                <w:szCs w:val="20"/>
              </w:rPr>
            </w:pPr>
            <w:r w:rsidRPr="00592E29">
              <w:rPr>
                <w:rFonts w:eastAsia="Times New Roman" w:cs="Times New Roman"/>
                <w:szCs w:val="20"/>
              </w:rPr>
              <w:t>Patient must be aged 18 years or older</w:t>
            </w:r>
          </w:p>
        </w:tc>
      </w:tr>
      <w:tr w:rsidR="009C5E27" w:rsidRPr="00592E29" w14:paraId="7A5B297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CBC61D"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527C01BA" w14:textId="77777777" w:rsidR="009C5E27" w:rsidRPr="00592E29" w:rsidRDefault="009C5E27" w:rsidP="003124CE">
            <w:pPr>
              <w:pStyle w:val="TableText0"/>
              <w:rPr>
                <w:b/>
                <w:bCs w:val="0"/>
                <w:szCs w:val="20"/>
              </w:rPr>
            </w:pPr>
          </w:p>
        </w:tc>
      </w:tr>
      <w:tr w:rsidR="009C5E27" w:rsidRPr="00592E29" w14:paraId="4C65CE2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51AAF8" w14:textId="3DF3C685" w:rsidR="009C5E27" w:rsidRPr="007C06FF" w:rsidRDefault="009C5E27" w:rsidP="003124CE">
            <w:pPr>
              <w:jc w:val="center"/>
              <w:rPr>
                <w:rFonts w:ascii="Arial Narrow" w:hAnsi="Arial Narrow"/>
                <w:sz w:val="20"/>
                <w:szCs w:val="20"/>
              </w:rPr>
            </w:pPr>
          </w:p>
          <w:p w14:paraId="5618BA8B" w14:textId="4C13ADC3" w:rsidR="009C5E27" w:rsidRPr="00592E29" w:rsidRDefault="009C5E27" w:rsidP="003124CE">
            <w:pPr>
              <w:jc w:val="center"/>
              <w:rPr>
                <w:rFonts w:ascii="Arial Narrow" w:hAnsi="Arial Narrow"/>
                <w:i/>
                <w:iCs/>
                <w:color w:val="FF0000"/>
                <w:sz w:val="20"/>
                <w:szCs w:val="20"/>
              </w:rPr>
            </w:pPr>
          </w:p>
          <w:p w14:paraId="0DB94728" w14:textId="77777777" w:rsidR="009C5E27" w:rsidRPr="00592E29" w:rsidRDefault="009C5E27" w:rsidP="003124CE">
            <w:pPr>
              <w:jc w:val="center"/>
              <w:rPr>
                <w:rFonts w:ascii="Arial Narrow" w:hAnsi="Arial Narrow"/>
                <w:i/>
                <w:iCs/>
                <w:color w:val="FF0000"/>
                <w:sz w:val="20"/>
                <w:szCs w:val="20"/>
              </w:rPr>
            </w:pPr>
          </w:p>
          <w:p w14:paraId="17EB8926"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1F93273"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3C3E7EC6" w14:textId="77777777" w:rsidR="009C5E27" w:rsidRPr="007C06FF" w:rsidRDefault="009C5E27" w:rsidP="003124CE">
            <w:pPr>
              <w:rPr>
                <w:rFonts w:ascii="Arial Narrow" w:hAnsi="Arial Narrow"/>
                <w:sz w:val="20"/>
                <w:szCs w:val="20"/>
              </w:rPr>
            </w:pPr>
            <w:r w:rsidRPr="007C06FF">
              <w:rPr>
                <w:rFonts w:ascii="Arial Narrow" w:hAnsi="Arial Narrow"/>
                <w:sz w:val="20"/>
                <w:szCs w:val="20"/>
              </w:rPr>
              <w:t>The authority application must be made in writing and must include:</w:t>
            </w:r>
          </w:p>
          <w:p w14:paraId="44925655" w14:textId="77777777" w:rsidR="009C5E27" w:rsidRPr="007C06FF" w:rsidRDefault="009C5E27" w:rsidP="003124CE">
            <w:pPr>
              <w:rPr>
                <w:rFonts w:ascii="Arial Narrow" w:hAnsi="Arial Narrow"/>
                <w:sz w:val="20"/>
                <w:szCs w:val="20"/>
              </w:rPr>
            </w:pPr>
            <w:r w:rsidRPr="007C06FF">
              <w:rPr>
                <w:rFonts w:ascii="Arial Narrow" w:hAnsi="Arial Narrow"/>
                <w:sz w:val="20"/>
                <w:szCs w:val="20"/>
              </w:rPr>
              <w:t>(1) details of the proposed prescription; and</w:t>
            </w:r>
          </w:p>
          <w:p w14:paraId="3D06E401" w14:textId="77777777" w:rsidR="009C5E27" w:rsidRPr="00592E29" w:rsidRDefault="009C5E27" w:rsidP="003124CE">
            <w:pPr>
              <w:rPr>
                <w:rFonts w:ascii="Arial Narrow" w:hAnsi="Arial Narrow"/>
                <w:i/>
                <w:iCs/>
                <w:sz w:val="20"/>
                <w:szCs w:val="20"/>
              </w:rPr>
            </w:pPr>
            <w:r w:rsidRPr="007C06FF">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9C5E27" w:rsidRPr="00592E29" w14:paraId="3C1D3B1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A1CB09" w14:textId="2B596B53" w:rsidR="009C5E27" w:rsidRPr="007C06FF" w:rsidRDefault="009C5E27" w:rsidP="003124CE">
            <w:pPr>
              <w:jc w:val="center"/>
              <w:rPr>
                <w:rFonts w:ascii="Arial Narrow" w:hAnsi="Arial Narrow"/>
                <w:sz w:val="20"/>
                <w:szCs w:val="20"/>
              </w:rPr>
            </w:pPr>
          </w:p>
        </w:tc>
        <w:tc>
          <w:tcPr>
            <w:tcW w:w="7745" w:type="dxa"/>
            <w:gridSpan w:val="6"/>
            <w:vAlign w:val="center"/>
          </w:tcPr>
          <w:p w14:paraId="71F70C8E" w14:textId="77777777" w:rsidR="009C5E27" w:rsidRPr="007C06FF" w:rsidRDefault="009C5E27" w:rsidP="003124CE">
            <w:pPr>
              <w:pStyle w:val="TableText0"/>
              <w:rPr>
                <w:b/>
                <w:bCs w:val="0"/>
                <w:szCs w:val="20"/>
              </w:rPr>
            </w:pPr>
            <w:r w:rsidRPr="007C06FF">
              <w:rPr>
                <w:b/>
                <w:szCs w:val="20"/>
              </w:rPr>
              <w:t xml:space="preserve">Prescribing Instructions: </w:t>
            </w:r>
          </w:p>
          <w:p w14:paraId="2DA9A031" w14:textId="77777777" w:rsidR="009C5E27" w:rsidRPr="007C06FF" w:rsidRDefault="009C5E27" w:rsidP="003124CE">
            <w:pPr>
              <w:rPr>
                <w:rFonts w:ascii="Arial Narrow" w:hAnsi="Arial Narrow"/>
                <w:color w:val="333333"/>
                <w:sz w:val="20"/>
                <w:szCs w:val="20"/>
              </w:rPr>
            </w:pPr>
            <w:r w:rsidRPr="007C06FF">
              <w:rPr>
                <w:rFonts w:ascii="Arial Narrow" w:hAnsi="Arial Narrow"/>
                <w:color w:val="333333"/>
                <w:sz w:val="20"/>
                <w:szCs w:val="20"/>
              </w:rPr>
              <w:t>Provide at least one of the following:</w:t>
            </w:r>
          </w:p>
          <w:p w14:paraId="5F735456" w14:textId="77777777" w:rsidR="009C5E27" w:rsidRPr="007C06FF" w:rsidRDefault="009C5E27" w:rsidP="003124CE">
            <w:pPr>
              <w:rPr>
                <w:rFonts w:ascii="Arial Narrow" w:hAnsi="Arial Narrow"/>
                <w:color w:val="333333"/>
                <w:sz w:val="20"/>
                <w:szCs w:val="20"/>
              </w:rPr>
            </w:pPr>
            <w:r w:rsidRPr="007C06FF">
              <w:rPr>
                <w:rFonts w:ascii="Arial Narrow" w:hAnsi="Arial Narrow"/>
                <w:color w:val="333333"/>
                <w:sz w:val="20"/>
                <w:szCs w:val="20"/>
              </w:rPr>
              <w:t>(i) the current Crohn Disease Activity Index (CDAI) score, including the date this score was calculated on;</w:t>
            </w:r>
          </w:p>
          <w:p w14:paraId="66774D98" w14:textId="77777777" w:rsidR="009C5E27" w:rsidRPr="007C06FF" w:rsidRDefault="009C5E27" w:rsidP="003124CE">
            <w:pPr>
              <w:rPr>
                <w:rFonts w:ascii="Arial Narrow" w:hAnsi="Arial Narrow"/>
                <w:color w:val="333333"/>
                <w:sz w:val="20"/>
                <w:szCs w:val="20"/>
              </w:rPr>
            </w:pPr>
            <w:r w:rsidRPr="007C06FF">
              <w:rPr>
                <w:rFonts w:ascii="Arial Narrow" w:hAnsi="Arial Narrow"/>
                <w:color w:val="333333"/>
                <w:sz w:val="20"/>
                <w:szCs w:val="20"/>
              </w:rPr>
              <w:t>(ii) confirmation that there is a documented history of intestinal inflammation plus diagnostic imaging/surgical evidence of at least one of: (a) short gut syndrome, (b) ileostomy, (c) colostomy;</w:t>
            </w:r>
          </w:p>
          <w:p w14:paraId="09E89EB5" w14:textId="77777777" w:rsidR="009C5E27" w:rsidRPr="007C06FF" w:rsidRDefault="009C5E27" w:rsidP="003124CE">
            <w:pPr>
              <w:rPr>
                <w:rFonts w:ascii="Arial Narrow" w:hAnsi="Arial Narrow"/>
                <w:b/>
                <w:bCs/>
                <w:color w:val="333333"/>
                <w:sz w:val="20"/>
                <w:szCs w:val="20"/>
              </w:rPr>
            </w:pPr>
            <w:r w:rsidRPr="007C06FF">
              <w:rPr>
                <w:rFonts w:ascii="Arial Narrow" w:hAnsi="Arial Narrow"/>
                <w:color w:val="333333"/>
                <w:sz w:val="20"/>
                <w:szCs w:val="20"/>
              </w:rPr>
              <w:t>(iii) confirmation that there is a documented history and radiological evidence of intestinal inflammation from extensive small intestinal disease affecting more than 50 cm of the small intestine where the CDAI score is at least 220, but below 300</w:t>
            </w:r>
          </w:p>
        </w:tc>
      </w:tr>
      <w:tr w:rsidR="009C5E27" w:rsidRPr="00592E29" w14:paraId="442B1A2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713ADF" w14:textId="20770F71" w:rsidR="009C5E27" w:rsidRPr="007C06FF" w:rsidRDefault="009C5E27" w:rsidP="003124CE">
            <w:pPr>
              <w:jc w:val="center"/>
              <w:rPr>
                <w:rFonts w:ascii="Arial Narrow" w:hAnsi="Arial Narrow"/>
                <w:color w:val="333333"/>
                <w:sz w:val="20"/>
                <w:szCs w:val="20"/>
              </w:rPr>
            </w:pPr>
          </w:p>
          <w:p w14:paraId="3AEC6277" w14:textId="1298360C" w:rsidR="009C5E27" w:rsidRPr="00592E29" w:rsidRDefault="009C5E27" w:rsidP="003124CE">
            <w:pPr>
              <w:jc w:val="center"/>
              <w:rPr>
                <w:rFonts w:ascii="Arial Narrow" w:hAnsi="Arial Narrow"/>
                <w:i/>
                <w:iCs/>
                <w:color w:val="333333"/>
                <w:sz w:val="20"/>
                <w:szCs w:val="20"/>
              </w:rPr>
            </w:pPr>
          </w:p>
          <w:p w14:paraId="198A46D3"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68CBCD17" w14:textId="77777777" w:rsidR="009C5E27" w:rsidRPr="00592E29" w:rsidRDefault="009C5E27" w:rsidP="003124CE">
            <w:pPr>
              <w:pStyle w:val="TableText0"/>
              <w:rPr>
                <w:b/>
                <w:bCs w:val="0"/>
                <w:szCs w:val="20"/>
              </w:rPr>
            </w:pPr>
            <w:r w:rsidRPr="00592E29">
              <w:rPr>
                <w:b/>
                <w:szCs w:val="20"/>
              </w:rPr>
              <w:t xml:space="preserve">Prescribing Instructions: </w:t>
            </w:r>
          </w:p>
          <w:p w14:paraId="6D87CD49" w14:textId="77777777" w:rsidR="009C5E27" w:rsidRPr="00592E29" w:rsidRDefault="009C5E27" w:rsidP="003124CE">
            <w:pPr>
              <w:pStyle w:val="TableText0"/>
              <w:rPr>
                <w:szCs w:val="20"/>
              </w:rPr>
            </w:pPr>
            <w:r w:rsidRPr="00592E29">
              <w:rPr>
                <w:szCs w:val="20"/>
              </w:rPr>
              <w:t>Evidence of intestinal inflammation includes:</w:t>
            </w:r>
          </w:p>
          <w:p w14:paraId="0DDB52DF" w14:textId="77777777" w:rsidR="009C5E27" w:rsidRPr="00592E29" w:rsidRDefault="009C5E27" w:rsidP="003124CE">
            <w:pPr>
              <w:pStyle w:val="TableText0"/>
              <w:rPr>
                <w:szCs w:val="20"/>
              </w:rPr>
            </w:pPr>
            <w:r w:rsidRPr="00592E29">
              <w:rPr>
                <w:szCs w:val="20"/>
              </w:rPr>
              <w:t xml:space="preserve">(i) blood: higher than normal platelet count, </w:t>
            </w:r>
            <w:proofErr w:type="gramStart"/>
            <w:r w:rsidRPr="00592E29">
              <w:rPr>
                <w:szCs w:val="20"/>
              </w:rPr>
              <w:t>or,</w:t>
            </w:r>
            <w:proofErr w:type="gramEnd"/>
            <w:r w:rsidRPr="00592E29">
              <w:rPr>
                <w:szCs w:val="20"/>
              </w:rPr>
              <w:t xml:space="preserve"> an elevated erythrocyte sedimentation rate (ESR) greater than 25 mm per hour, </w:t>
            </w:r>
            <w:proofErr w:type="gramStart"/>
            <w:r w:rsidRPr="00592E29">
              <w:rPr>
                <w:szCs w:val="20"/>
              </w:rPr>
              <w:t>or,</w:t>
            </w:r>
            <w:proofErr w:type="gramEnd"/>
            <w:r w:rsidRPr="00592E29">
              <w:rPr>
                <w:szCs w:val="20"/>
              </w:rPr>
              <w:t xml:space="preserve"> a C-reactive protein (CRP) level greater than 15 mg per L; or</w:t>
            </w:r>
          </w:p>
          <w:p w14:paraId="3206F779" w14:textId="77777777" w:rsidR="009C5E27" w:rsidRPr="00592E29" w:rsidRDefault="009C5E27" w:rsidP="003124CE">
            <w:pPr>
              <w:pStyle w:val="TableText0"/>
              <w:rPr>
                <w:szCs w:val="20"/>
              </w:rPr>
            </w:pPr>
            <w:r w:rsidRPr="00592E29">
              <w:rPr>
                <w:szCs w:val="20"/>
              </w:rPr>
              <w:t>(ii) faeces: higher than normal lactoferrin or calprotectin level; or</w:t>
            </w:r>
          </w:p>
          <w:p w14:paraId="5050BB37" w14:textId="77777777" w:rsidR="009C5E27" w:rsidRPr="00592E29" w:rsidRDefault="009C5E27" w:rsidP="003124CE">
            <w:pPr>
              <w:pStyle w:val="TableText0"/>
              <w:rPr>
                <w:szCs w:val="20"/>
              </w:rPr>
            </w:pPr>
            <w:r w:rsidRPr="00592E29">
              <w:rPr>
                <w:szCs w:val="20"/>
              </w:rPr>
              <w:t>(iii) diagnostic imaging: demonstration of increased uptake of intravenous contrast with thickening of the bowel wall or mesenteric lymphadenopathy or fat streaking in the mesentery.</w:t>
            </w:r>
          </w:p>
        </w:tc>
      </w:tr>
      <w:tr w:rsidR="009C5E27" w:rsidRPr="00592E29" w14:paraId="02C164F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E04AB05" w14:textId="117E373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421CE63" w14:textId="77777777" w:rsidR="009C5E27" w:rsidRPr="00592E29" w:rsidRDefault="009C5E27" w:rsidP="003124CE">
            <w:pPr>
              <w:pStyle w:val="TableText0"/>
              <w:rPr>
                <w:b/>
                <w:bCs w:val="0"/>
                <w:szCs w:val="20"/>
              </w:rPr>
            </w:pPr>
            <w:r w:rsidRPr="00592E29">
              <w:rPr>
                <w:b/>
                <w:szCs w:val="20"/>
              </w:rPr>
              <w:t xml:space="preserve">Prescribing Instructions: </w:t>
            </w:r>
          </w:p>
          <w:p w14:paraId="6FF77145" w14:textId="77777777" w:rsidR="009C5E27" w:rsidRPr="00592E29" w:rsidRDefault="009C5E27" w:rsidP="003124CE">
            <w:pPr>
              <w:pStyle w:val="TableText0"/>
              <w:rPr>
                <w:szCs w:val="20"/>
              </w:rPr>
            </w:pPr>
            <w:r w:rsidRPr="00592E29">
              <w:rPr>
                <w:szCs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 subsidised therapy.</w:t>
            </w:r>
          </w:p>
        </w:tc>
      </w:tr>
      <w:tr w:rsidR="009C5E27" w:rsidRPr="00592E29" w14:paraId="1D0C996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F7CB8C" w14:textId="32192481" w:rsidR="009C5E27" w:rsidRPr="007C06FF" w:rsidRDefault="009C5E27" w:rsidP="003124CE">
            <w:pPr>
              <w:jc w:val="center"/>
              <w:rPr>
                <w:rFonts w:ascii="Arial Narrow" w:hAnsi="Arial Narrow"/>
                <w:sz w:val="20"/>
                <w:szCs w:val="20"/>
              </w:rPr>
            </w:pPr>
          </w:p>
          <w:p w14:paraId="6E48B27E" w14:textId="6F07864D" w:rsidR="009C5E27" w:rsidRPr="007C06FF" w:rsidRDefault="009C5E27" w:rsidP="003124CE">
            <w:pPr>
              <w:jc w:val="center"/>
              <w:rPr>
                <w:rFonts w:ascii="Arial Narrow" w:hAnsi="Arial Narrow"/>
                <w:strike/>
                <w:sz w:val="20"/>
                <w:szCs w:val="20"/>
              </w:rPr>
            </w:pPr>
          </w:p>
        </w:tc>
        <w:tc>
          <w:tcPr>
            <w:tcW w:w="7745" w:type="dxa"/>
            <w:gridSpan w:val="6"/>
            <w:vAlign w:val="center"/>
          </w:tcPr>
          <w:p w14:paraId="75F4768B" w14:textId="77777777" w:rsidR="009C5E27" w:rsidRPr="007C06FF" w:rsidRDefault="009C5E27" w:rsidP="003124CE">
            <w:pPr>
              <w:pStyle w:val="TableText0"/>
              <w:rPr>
                <w:b/>
                <w:bCs w:val="0"/>
                <w:szCs w:val="20"/>
              </w:rPr>
            </w:pPr>
            <w:r w:rsidRPr="007C06FF">
              <w:rPr>
                <w:b/>
                <w:szCs w:val="20"/>
              </w:rPr>
              <w:t>Prescribing Instructions:</w:t>
            </w:r>
          </w:p>
          <w:p w14:paraId="3E74AC8E" w14:textId="0EB821C6" w:rsidR="009C5E27" w:rsidRPr="007C06FF" w:rsidRDefault="009C5E27" w:rsidP="003124CE">
            <w:pPr>
              <w:pStyle w:val="TableText0"/>
              <w:rPr>
                <w:b/>
                <w:bCs w:val="0"/>
                <w:strike/>
                <w:szCs w:val="20"/>
              </w:rPr>
            </w:pPr>
            <w:r w:rsidRPr="007C06FF">
              <w:rPr>
                <w:szCs w:val="20"/>
              </w:rPr>
              <w:t xml:space="preserve">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w:t>
            </w:r>
            <w:r w:rsidR="00DC022F" w:rsidRPr="007C06FF">
              <w:rPr>
                <w:szCs w:val="20"/>
              </w:rPr>
              <w:t>treatment.</w:t>
            </w:r>
            <w:r w:rsidR="00DC022F" w:rsidRPr="007C06FF">
              <w:rPr>
                <w:strike/>
                <w:szCs w:val="20"/>
              </w:rPr>
              <w:t xml:space="preserve"> </w:t>
            </w:r>
          </w:p>
        </w:tc>
      </w:tr>
      <w:tr w:rsidR="009C5E27" w:rsidRPr="00592E29" w14:paraId="212A41C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64F742" w14:textId="099A3572" w:rsidR="009C5E27" w:rsidRPr="007C06FF" w:rsidRDefault="009C5E27" w:rsidP="003124CE">
            <w:pPr>
              <w:jc w:val="center"/>
              <w:rPr>
                <w:rFonts w:ascii="Arial Narrow" w:hAnsi="Arial Narrow"/>
                <w:sz w:val="20"/>
                <w:szCs w:val="20"/>
              </w:rPr>
            </w:pPr>
          </w:p>
        </w:tc>
        <w:tc>
          <w:tcPr>
            <w:tcW w:w="7745" w:type="dxa"/>
            <w:gridSpan w:val="6"/>
            <w:vAlign w:val="center"/>
          </w:tcPr>
          <w:p w14:paraId="476E4A5C" w14:textId="77777777" w:rsidR="009C5E27" w:rsidRPr="0096479F" w:rsidRDefault="009C5E27" w:rsidP="003124CE">
            <w:pPr>
              <w:pStyle w:val="TableText0"/>
              <w:rPr>
                <w:b/>
                <w:bCs w:val="0"/>
                <w:szCs w:val="20"/>
              </w:rPr>
            </w:pPr>
            <w:r w:rsidRPr="0096479F">
              <w:rPr>
                <w:b/>
                <w:szCs w:val="20"/>
              </w:rPr>
              <w:t xml:space="preserve">Prescribing Instructions: </w:t>
            </w:r>
          </w:p>
          <w:p w14:paraId="6D278BC7" w14:textId="77777777" w:rsidR="009C5E27" w:rsidRPr="0096479F" w:rsidRDefault="009C5E27" w:rsidP="003124CE">
            <w:pPr>
              <w:pStyle w:val="TableText0"/>
              <w:rPr>
                <w:szCs w:val="20"/>
              </w:rPr>
            </w:pPr>
            <w:r w:rsidRPr="0096479F">
              <w:rPr>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C5E27" w:rsidRPr="00592E29" w14:paraId="2566952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29A20A" w14:textId="7C00FBF3" w:rsidR="009C5E27" w:rsidRPr="007C06FF" w:rsidRDefault="009C5E27" w:rsidP="003124CE">
            <w:pPr>
              <w:jc w:val="center"/>
              <w:rPr>
                <w:rFonts w:ascii="Arial Narrow" w:hAnsi="Arial Narrow"/>
                <w:sz w:val="20"/>
                <w:szCs w:val="20"/>
              </w:rPr>
            </w:pPr>
          </w:p>
        </w:tc>
        <w:tc>
          <w:tcPr>
            <w:tcW w:w="7745" w:type="dxa"/>
            <w:gridSpan w:val="6"/>
            <w:vAlign w:val="center"/>
          </w:tcPr>
          <w:p w14:paraId="713A4F6B" w14:textId="77777777" w:rsidR="009C5E27" w:rsidRPr="0096479F" w:rsidRDefault="009C5E27" w:rsidP="003124CE">
            <w:pPr>
              <w:pStyle w:val="TableText0"/>
              <w:rPr>
                <w:b/>
                <w:bCs w:val="0"/>
                <w:szCs w:val="20"/>
              </w:rPr>
            </w:pPr>
            <w:r w:rsidRPr="0096479F">
              <w:rPr>
                <w:b/>
                <w:szCs w:val="20"/>
              </w:rPr>
              <w:t xml:space="preserve">Prescribing Instructions: </w:t>
            </w:r>
          </w:p>
          <w:p w14:paraId="6505AA63" w14:textId="77777777" w:rsidR="009C5E27" w:rsidRPr="0096479F" w:rsidRDefault="009C5E27" w:rsidP="003124CE">
            <w:pPr>
              <w:pStyle w:val="TableText0"/>
              <w:rPr>
                <w:szCs w:val="20"/>
              </w:rPr>
            </w:pPr>
            <w:r w:rsidRPr="0096479F">
              <w:rPr>
                <w:szCs w:val="20"/>
              </w:rPr>
              <w:t xml:space="preserve">If a patient fails to demonstrate a response to treatment with this </w:t>
            </w:r>
            <w:proofErr w:type="gramStart"/>
            <w:r w:rsidRPr="0096479F">
              <w:rPr>
                <w:szCs w:val="20"/>
              </w:rPr>
              <w:t>drug</w:t>
            </w:r>
            <w:proofErr w:type="gramEnd"/>
            <w:r w:rsidRPr="0096479F">
              <w:rPr>
                <w:szCs w:val="20"/>
              </w:rPr>
              <w:t xml:space="preserve"> they will not be eligible to receive further PBS-subsidised treatment with this drug for this condition </w:t>
            </w:r>
            <w:r w:rsidRPr="0096479F">
              <w:rPr>
                <w:i/>
                <w:iCs/>
                <w:szCs w:val="20"/>
                <w:u w:val="single"/>
              </w:rPr>
              <w:t>within this treatment cycle</w:t>
            </w:r>
            <w:r w:rsidRPr="0096479F">
              <w:rPr>
                <w:szCs w:val="20"/>
              </w:rPr>
              <w:t>. Serious adverse reaction of a severity resulting in the necessity for permanent withdrawal of treatment is not considered as a treatment failure.</w:t>
            </w:r>
          </w:p>
        </w:tc>
      </w:tr>
      <w:tr w:rsidR="009C5E27" w:rsidRPr="00592E29" w14:paraId="0A110FE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758077" w14:textId="4CCE998E"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5CE3A03" w14:textId="77777777" w:rsidR="009C5E27" w:rsidRPr="00592E29" w:rsidRDefault="009C5E27" w:rsidP="003124CE">
            <w:pPr>
              <w:pStyle w:val="TableText0"/>
              <w:rPr>
                <w:b/>
                <w:bCs w:val="0"/>
                <w:szCs w:val="20"/>
              </w:rPr>
            </w:pPr>
            <w:r w:rsidRPr="00592E29">
              <w:rPr>
                <w:b/>
                <w:szCs w:val="20"/>
              </w:rPr>
              <w:t xml:space="preserve">Prescribing Instructions: </w:t>
            </w:r>
          </w:p>
          <w:p w14:paraId="23944468" w14:textId="77777777" w:rsidR="009C5E27" w:rsidRPr="00592E29" w:rsidRDefault="009C5E27" w:rsidP="003124CE">
            <w:pPr>
              <w:pStyle w:val="TableText0"/>
              <w:rPr>
                <w:b/>
                <w:bCs w:val="0"/>
                <w:szCs w:val="20"/>
              </w:rPr>
            </w:pPr>
            <w:r w:rsidRPr="00592E29">
              <w:rPr>
                <w:szCs w:val="20"/>
              </w:rPr>
              <w:t>A patient may re-trial this drug after a minimum of 5 years have elapsed between the date the last prescription for a PBS-subsided biological medicine was approved in this cycle and the date of the first application under a new cycle under the Initial 3 treatment restriction.</w:t>
            </w:r>
          </w:p>
        </w:tc>
      </w:tr>
      <w:tr w:rsidR="009C5E27" w:rsidRPr="00592E29" w14:paraId="58FDC06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9C5E72"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48E01E78" w14:textId="77777777" w:rsidR="009C5E27" w:rsidRPr="00592E29" w:rsidRDefault="009C5E27" w:rsidP="003124CE">
            <w:pPr>
              <w:pStyle w:val="TableText0"/>
              <w:rPr>
                <w:b/>
                <w:bCs w:val="0"/>
                <w:szCs w:val="20"/>
              </w:rPr>
            </w:pPr>
          </w:p>
        </w:tc>
      </w:tr>
      <w:tr w:rsidR="009C5E27" w:rsidRPr="00592E29" w14:paraId="7965F6CF"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vAlign w:val="center"/>
          </w:tcPr>
          <w:p w14:paraId="19CA1A77" w14:textId="77777777" w:rsidR="009C5E27" w:rsidRPr="00592E29" w:rsidRDefault="009C5E27" w:rsidP="003124CE">
            <w:pPr>
              <w:pStyle w:val="TableText0"/>
              <w:rPr>
                <w:b/>
                <w:bCs w:val="0"/>
                <w:szCs w:val="20"/>
              </w:rPr>
            </w:pPr>
            <w:r w:rsidRPr="00592E29">
              <w:rPr>
                <w:rFonts w:eastAsia="Times New Roman" w:cs="Times New Roman"/>
                <w:b/>
                <w:color w:val="333333"/>
                <w:szCs w:val="20"/>
              </w:rPr>
              <w:t>Restriction Summary [new4] / Treatment of Concept: [new4]</w:t>
            </w:r>
          </w:p>
        </w:tc>
      </w:tr>
      <w:tr w:rsidR="009C5E27" w:rsidRPr="00592E29" w14:paraId="54BCFE5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Pr>
          <w:p w14:paraId="57BA4A26" w14:textId="77777777" w:rsidR="009C5E27" w:rsidRPr="00592E29" w:rsidRDefault="009C5E27" w:rsidP="003124CE">
            <w:pPr>
              <w:jc w:val="center"/>
              <w:rPr>
                <w:rFonts w:ascii="Arial Narrow" w:hAnsi="Arial Narrow"/>
                <w:color w:val="333333"/>
                <w:sz w:val="20"/>
                <w:szCs w:val="20"/>
              </w:rPr>
            </w:pPr>
            <w:r w:rsidRPr="00592E29">
              <w:rPr>
                <w:rFonts w:ascii="Arial Narrow" w:eastAsia="Calibri" w:hAnsi="Arial Narrow"/>
                <w:b/>
                <w:sz w:val="20"/>
                <w:szCs w:val="20"/>
              </w:rPr>
              <w:t>Concept ID</w:t>
            </w:r>
            <w:r w:rsidRPr="00592E29">
              <w:rPr>
                <w:rFonts w:ascii="Arial Narrow" w:eastAsia="Calibri" w:hAnsi="Arial Narrow"/>
                <w:b/>
                <w:sz w:val="20"/>
                <w:szCs w:val="20"/>
              </w:rPr>
              <w:br/>
            </w:r>
            <w:r w:rsidRPr="00592E29">
              <w:rPr>
                <w:rFonts w:ascii="Arial Narrow" w:eastAsia="Calibri" w:hAnsi="Arial Narrow"/>
                <w:sz w:val="20"/>
                <w:szCs w:val="20"/>
              </w:rPr>
              <w:t>(for internal Dept. use)</w:t>
            </w:r>
          </w:p>
        </w:tc>
        <w:tc>
          <w:tcPr>
            <w:tcW w:w="7745" w:type="dxa"/>
            <w:gridSpan w:val="6"/>
            <w:vAlign w:val="center"/>
          </w:tcPr>
          <w:p w14:paraId="20BB83D3" w14:textId="77777777" w:rsidR="009C5E27" w:rsidRPr="00592E29" w:rsidRDefault="009C5E27" w:rsidP="003124CE">
            <w:pPr>
              <w:pStyle w:val="TableText0"/>
              <w:rPr>
                <w:b/>
                <w:bCs w:val="0"/>
                <w:szCs w:val="20"/>
              </w:rPr>
            </w:pPr>
            <w:r w:rsidRPr="00592E29">
              <w:rPr>
                <w:rFonts w:eastAsia="Calibri" w:cs="Arial"/>
                <w:b/>
                <w:szCs w:val="20"/>
              </w:rPr>
              <w:t>Category / Program:</w:t>
            </w:r>
            <w:r w:rsidRPr="00592E29">
              <w:rPr>
                <w:rFonts w:eastAsia="Calibri" w:cs="Arial"/>
                <w:color w:val="FF0000"/>
                <w:szCs w:val="20"/>
              </w:rPr>
              <w:t xml:space="preserv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 GENERAL - General Schedule (Code GE) </w:t>
            </w:r>
          </w:p>
        </w:tc>
      </w:tr>
      <w:tr w:rsidR="009C5E27" w:rsidRPr="00592E29" w14:paraId="6B8F3AA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7175E40F"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52BB03D7" w14:textId="77777777" w:rsidR="009C5E27" w:rsidRPr="00592E29" w:rsidRDefault="009C5E27" w:rsidP="003124CE">
            <w:pPr>
              <w:pStyle w:val="TableText0"/>
              <w:rPr>
                <w:b/>
                <w:bCs w:val="0"/>
                <w:szCs w:val="20"/>
              </w:rPr>
            </w:pPr>
            <w:r w:rsidRPr="00592E29">
              <w:rPr>
                <w:rFonts w:eastAsia="Calibri" w:cs="Arial"/>
                <w:b/>
                <w:szCs w:val="20"/>
              </w:rPr>
              <w:t xml:space="preserve">Prescriber type: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Medical Practitioners </w:t>
            </w:r>
          </w:p>
        </w:tc>
      </w:tr>
      <w:tr w:rsidR="009C5E27" w:rsidRPr="00592E29" w14:paraId="69CBC7FE"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70C8FF10"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69EDFB3A" w14:textId="77777777" w:rsidR="009C5E27" w:rsidRPr="00592E29" w:rsidRDefault="009C5E27" w:rsidP="003124CE">
            <w:pPr>
              <w:pStyle w:val="TableText0"/>
              <w:rPr>
                <w:b/>
                <w:bCs w:val="0"/>
                <w:szCs w:val="20"/>
              </w:rPr>
            </w:pPr>
            <w:r w:rsidRPr="00592E29">
              <w:rPr>
                <w:rFonts w:eastAsia="Calibri" w:cs="Arial"/>
                <w:b/>
                <w:szCs w:val="20"/>
              </w:rPr>
              <w:t xml:space="preserve">Restriction type: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Authority Required (FULL assessment) in writing only via post/HPOS upload) </w:t>
            </w:r>
          </w:p>
        </w:tc>
      </w:tr>
      <w:tr w:rsidR="009C5E27" w:rsidRPr="00592E29" w14:paraId="237BCB4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C45901" w14:textId="2CE5B53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C974D43" w14:textId="77777777" w:rsidR="009C5E27" w:rsidRPr="00592E29" w:rsidRDefault="009C5E27" w:rsidP="003124CE">
            <w:pPr>
              <w:pStyle w:val="TableText0"/>
              <w:rPr>
                <w:b/>
                <w:bCs w:val="0"/>
                <w:szCs w:val="20"/>
              </w:rPr>
            </w:pPr>
            <w:r w:rsidRPr="00592E29">
              <w:rPr>
                <w:b/>
                <w:szCs w:val="20"/>
              </w:rPr>
              <w:t xml:space="preserve">Indication: </w:t>
            </w:r>
            <w:r w:rsidRPr="00592E29">
              <w:rPr>
                <w:szCs w:val="20"/>
              </w:rPr>
              <w:t>Severe Crohn disease</w:t>
            </w:r>
          </w:p>
        </w:tc>
      </w:tr>
      <w:tr w:rsidR="009C5E27" w:rsidRPr="00592E29" w14:paraId="2D0F9D0A" w14:textId="77777777" w:rsidTr="007C4AD3">
        <w:tblPrEx>
          <w:tblCellMar>
            <w:top w:w="15" w:type="dxa"/>
            <w:bottom w:w="15" w:type="dxa"/>
          </w:tblCellMar>
          <w:tblLook w:val="04A0" w:firstRow="1" w:lastRow="0" w:firstColumn="1" w:lastColumn="0" w:noHBand="0" w:noVBand="1"/>
        </w:tblPrEx>
        <w:trPr>
          <w:cantSplit/>
          <w:trHeight w:val="230"/>
        </w:trPr>
        <w:tc>
          <w:tcPr>
            <w:tcW w:w="1272" w:type="dxa"/>
            <w:gridSpan w:val="2"/>
            <w:vAlign w:val="center"/>
          </w:tcPr>
          <w:p w14:paraId="5F31FE4A"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BF55020" w14:textId="77777777" w:rsidR="009C5E27" w:rsidRPr="00592E29" w:rsidRDefault="009C5E27" w:rsidP="003124CE">
            <w:pPr>
              <w:pStyle w:val="TableText0"/>
              <w:rPr>
                <w:b/>
                <w:bCs w:val="0"/>
                <w:szCs w:val="20"/>
              </w:rPr>
            </w:pPr>
            <w:r w:rsidRPr="00592E29">
              <w:rPr>
                <w:b/>
                <w:szCs w:val="20"/>
              </w:rPr>
              <w:t xml:space="preserve">Treatment Phase: </w:t>
            </w:r>
            <w:r w:rsidRPr="00592E29">
              <w:rPr>
                <w:rFonts w:cs="Times New Roman"/>
                <w:szCs w:val="20"/>
              </w:rPr>
              <w:t xml:space="preserve">Transitioning from non-PBS to PBS-subsidised supply - Grandfather arrangements </w:t>
            </w:r>
            <w:r w:rsidRPr="00540F64">
              <w:rPr>
                <w:rFonts w:cs="Times New Roman"/>
                <w:i/>
                <w:szCs w:val="20"/>
              </w:rPr>
              <w:t>(for patients transitioning through induction doses)</w:t>
            </w:r>
          </w:p>
        </w:tc>
      </w:tr>
      <w:tr w:rsidR="009C5E27" w:rsidRPr="00592E29" w14:paraId="6F279CD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085210"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94109F4" w14:textId="77777777" w:rsidR="009C5E27" w:rsidRPr="00592E29" w:rsidRDefault="009C5E27" w:rsidP="003124CE">
            <w:pPr>
              <w:pStyle w:val="TableText0"/>
              <w:rPr>
                <w:b/>
                <w:bCs w:val="0"/>
                <w:szCs w:val="20"/>
              </w:rPr>
            </w:pPr>
            <w:r w:rsidRPr="00592E29">
              <w:rPr>
                <w:b/>
                <w:szCs w:val="20"/>
              </w:rPr>
              <w:t>Clinical Criteria:</w:t>
            </w:r>
          </w:p>
        </w:tc>
      </w:tr>
      <w:tr w:rsidR="009C5E27" w:rsidRPr="00592E29" w14:paraId="34359E6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DB8138E" w14:textId="0366475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9D324BF" w14:textId="77777777" w:rsidR="009C5E27" w:rsidRPr="00592E29" w:rsidRDefault="009C5E27" w:rsidP="003124CE">
            <w:pPr>
              <w:pStyle w:val="TableText0"/>
              <w:tabs>
                <w:tab w:val="left" w:pos="790"/>
              </w:tabs>
              <w:rPr>
                <w:szCs w:val="20"/>
              </w:rPr>
            </w:pPr>
            <w:r w:rsidRPr="00592E29">
              <w:rPr>
                <w:szCs w:val="20"/>
              </w:rPr>
              <w:t>Patient must have a documented history of severe Crohn disease</w:t>
            </w:r>
          </w:p>
        </w:tc>
      </w:tr>
      <w:tr w:rsidR="009C5E27" w:rsidRPr="00592E29" w14:paraId="43A00C2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09FE21"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0266FA61" w14:textId="77777777" w:rsidR="009C5E27" w:rsidRPr="00592E29" w:rsidRDefault="009C5E27" w:rsidP="003124CE">
            <w:pPr>
              <w:pStyle w:val="TableText0"/>
              <w:rPr>
                <w:b/>
                <w:bCs w:val="0"/>
                <w:szCs w:val="20"/>
              </w:rPr>
            </w:pPr>
            <w:r w:rsidRPr="00592E29">
              <w:rPr>
                <w:b/>
                <w:szCs w:val="20"/>
              </w:rPr>
              <w:t>AND</w:t>
            </w:r>
          </w:p>
        </w:tc>
      </w:tr>
      <w:tr w:rsidR="009C5E27" w:rsidRPr="00592E29" w14:paraId="7BF14EB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FF988D"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018C3C48" w14:textId="77777777" w:rsidR="009C5E27" w:rsidRPr="00592E29" w:rsidRDefault="009C5E27" w:rsidP="003124CE">
            <w:pPr>
              <w:pStyle w:val="TableText0"/>
              <w:rPr>
                <w:b/>
                <w:bCs w:val="0"/>
                <w:szCs w:val="20"/>
              </w:rPr>
            </w:pPr>
            <w:r w:rsidRPr="00592E29">
              <w:rPr>
                <w:b/>
                <w:szCs w:val="20"/>
              </w:rPr>
              <w:t xml:space="preserve">Clinical criteria: </w:t>
            </w:r>
          </w:p>
        </w:tc>
      </w:tr>
      <w:tr w:rsidR="009C5E27" w:rsidRPr="00592E29" w14:paraId="6DF035B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6614BA" w14:textId="05CBA336" w:rsidR="009C5E27" w:rsidRPr="00C3770F" w:rsidRDefault="009C5E27" w:rsidP="003124CE">
            <w:pPr>
              <w:jc w:val="center"/>
              <w:rPr>
                <w:rFonts w:ascii="Arial Narrow" w:hAnsi="Arial Narrow"/>
                <w:color w:val="333333"/>
                <w:sz w:val="20"/>
                <w:szCs w:val="20"/>
              </w:rPr>
            </w:pPr>
          </w:p>
        </w:tc>
        <w:tc>
          <w:tcPr>
            <w:tcW w:w="7745" w:type="dxa"/>
            <w:gridSpan w:val="6"/>
            <w:vAlign w:val="center"/>
          </w:tcPr>
          <w:p w14:paraId="2E36232D" w14:textId="142C8F21" w:rsidR="009C5E27" w:rsidRPr="00592E29" w:rsidRDefault="009C5E27" w:rsidP="003124CE">
            <w:pPr>
              <w:pStyle w:val="TableText0"/>
              <w:tabs>
                <w:tab w:val="left" w:pos="790"/>
              </w:tabs>
              <w:rPr>
                <w:szCs w:val="20"/>
              </w:rPr>
            </w:pPr>
            <w:r w:rsidRPr="00592E29">
              <w:rPr>
                <w:szCs w:val="20"/>
              </w:rPr>
              <w:t xml:space="preserve">Patient must have previously received non-PBS-subsidised treatment with this drug for this condition prior to </w:t>
            </w:r>
            <w:r w:rsidR="00E77A69">
              <w:rPr>
                <w:color w:val="000000"/>
                <w:spacing w:val="52"/>
                <w:szCs w:val="20"/>
                <w:shd w:val="solid" w:color="000000" w:fill="000000"/>
                <w:fitText w:val="330" w:id="-628921083"/>
                <w14:textFill>
                  <w14:solidFill>
                    <w14:srgbClr w14:val="000000">
                      <w14:alpha w14:val="100000"/>
                    </w14:srgbClr>
                  </w14:solidFill>
                </w14:textFill>
              </w:rPr>
              <w:t>|||</w:t>
            </w:r>
            <w:r w:rsidR="00E77A69">
              <w:rPr>
                <w:color w:val="000000"/>
                <w:spacing w:val="2"/>
                <w:szCs w:val="20"/>
                <w:shd w:val="solid" w:color="000000" w:fill="000000"/>
                <w:fitText w:val="330" w:id="-628921083"/>
                <w14:textFill>
                  <w14:solidFill>
                    <w14:srgbClr w14:val="000000">
                      <w14:alpha w14:val="100000"/>
                    </w14:srgbClr>
                  </w14:solidFill>
                </w14:textFill>
              </w:rPr>
              <w:t>|</w:t>
            </w:r>
          </w:p>
        </w:tc>
      </w:tr>
      <w:tr w:rsidR="009C5E27" w:rsidRPr="00592E29" w14:paraId="5CF7825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496215"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214486E3" w14:textId="77777777" w:rsidR="009C5E27" w:rsidRPr="00592E29" w:rsidRDefault="009C5E27" w:rsidP="003124CE">
            <w:pPr>
              <w:pStyle w:val="TableText0"/>
              <w:rPr>
                <w:b/>
                <w:bCs w:val="0"/>
                <w:szCs w:val="20"/>
              </w:rPr>
            </w:pPr>
            <w:r w:rsidRPr="00592E29">
              <w:rPr>
                <w:b/>
                <w:szCs w:val="20"/>
              </w:rPr>
              <w:t>AND</w:t>
            </w:r>
          </w:p>
        </w:tc>
      </w:tr>
      <w:tr w:rsidR="009C5E27" w:rsidRPr="00592E29" w14:paraId="22443E2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500F36" w14:textId="7040F07B"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06448A9" w14:textId="77777777" w:rsidR="009C5E27" w:rsidRPr="00592E29" w:rsidRDefault="009C5E27" w:rsidP="003124CE">
            <w:pPr>
              <w:pStyle w:val="TableText0"/>
              <w:rPr>
                <w:b/>
                <w:bCs w:val="0"/>
                <w:szCs w:val="20"/>
              </w:rPr>
            </w:pPr>
            <w:r w:rsidRPr="00592E29">
              <w:rPr>
                <w:b/>
                <w:szCs w:val="20"/>
              </w:rPr>
              <w:t xml:space="preserve">Clinical criteria: </w:t>
            </w:r>
          </w:p>
        </w:tc>
      </w:tr>
      <w:tr w:rsidR="009C5E27" w:rsidRPr="00592E29" w14:paraId="7EE52E7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11584E" w14:textId="0656A2C9"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7756D0C" w14:textId="77777777" w:rsidR="009C5E27" w:rsidRPr="00592E29" w:rsidRDefault="009C5E27" w:rsidP="003124CE">
            <w:pPr>
              <w:pStyle w:val="TableText0"/>
              <w:tabs>
                <w:tab w:val="left" w:pos="790"/>
              </w:tabs>
              <w:rPr>
                <w:szCs w:val="20"/>
              </w:rPr>
            </w:pPr>
            <w:r w:rsidRPr="00592E29">
              <w:rPr>
                <w:szCs w:val="20"/>
              </w:rPr>
              <w:t>Patient must be receiving treatment with this drug for this condition at the time of application</w:t>
            </w:r>
          </w:p>
        </w:tc>
      </w:tr>
      <w:tr w:rsidR="009C5E27" w:rsidRPr="00592E29" w14:paraId="0599524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35560A"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E329560" w14:textId="77777777" w:rsidR="009C5E27" w:rsidRPr="00592E29" w:rsidRDefault="009C5E27" w:rsidP="003124CE">
            <w:pPr>
              <w:pStyle w:val="TableText0"/>
              <w:rPr>
                <w:b/>
                <w:bCs w:val="0"/>
                <w:szCs w:val="20"/>
              </w:rPr>
            </w:pPr>
            <w:r w:rsidRPr="00592E29">
              <w:rPr>
                <w:b/>
                <w:szCs w:val="20"/>
              </w:rPr>
              <w:t>AND</w:t>
            </w:r>
          </w:p>
        </w:tc>
      </w:tr>
      <w:tr w:rsidR="009C5E27" w:rsidRPr="00592E29" w14:paraId="1C9C192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F53AF0" w14:textId="44AFB57D" w:rsidR="009C5E27" w:rsidRPr="00C3770F" w:rsidRDefault="009C5E27" w:rsidP="003124CE">
            <w:pPr>
              <w:jc w:val="center"/>
              <w:rPr>
                <w:rFonts w:ascii="Arial Narrow" w:hAnsi="Arial Narrow"/>
                <w:color w:val="333333"/>
                <w:sz w:val="20"/>
                <w:szCs w:val="20"/>
              </w:rPr>
            </w:pPr>
          </w:p>
        </w:tc>
        <w:tc>
          <w:tcPr>
            <w:tcW w:w="7745" w:type="dxa"/>
            <w:gridSpan w:val="6"/>
            <w:vAlign w:val="center"/>
          </w:tcPr>
          <w:p w14:paraId="0BE2F34A" w14:textId="77777777" w:rsidR="009C5E27" w:rsidRPr="00592E29" w:rsidRDefault="009C5E27" w:rsidP="003124CE">
            <w:pPr>
              <w:pStyle w:val="TableText0"/>
              <w:rPr>
                <w:b/>
                <w:bCs w:val="0"/>
                <w:szCs w:val="20"/>
              </w:rPr>
            </w:pPr>
            <w:r w:rsidRPr="00592E29">
              <w:rPr>
                <w:b/>
                <w:szCs w:val="20"/>
              </w:rPr>
              <w:t xml:space="preserve">Clinical criteria: </w:t>
            </w:r>
          </w:p>
        </w:tc>
      </w:tr>
      <w:tr w:rsidR="009C5E27" w:rsidRPr="00592E29" w14:paraId="489E077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7DBAA5" w14:textId="23D2464B"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16E1EBE" w14:textId="77777777" w:rsidR="009C5E27" w:rsidRPr="00592E29" w:rsidRDefault="009C5E27" w:rsidP="003124CE">
            <w:pPr>
              <w:pStyle w:val="TableText0"/>
              <w:tabs>
                <w:tab w:val="left" w:pos="790"/>
              </w:tabs>
              <w:rPr>
                <w:szCs w:val="20"/>
              </w:rPr>
            </w:pPr>
            <w:r w:rsidRPr="00592E29">
              <w:rPr>
                <w:szCs w:val="20"/>
              </w:rPr>
              <w:t>Patient must have had a Crohn Disease Activity Index (CDAI) Score of greater than or equal to 300 prior to commencing treatment with this drug; or</w:t>
            </w:r>
          </w:p>
        </w:tc>
      </w:tr>
      <w:tr w:rsidR="009C5E27" w:rsidRPr="00592E29" w14:paraId="1A658A7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91FD2E" w14:textId="54DF627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8AAC573" w14:textId="77777777" w:rsidR="009C5E27" w:rsidRPr="00592E29" w:rsidRDefault="009C5E27" w:rsidP="003124CE">
            <w:pPr>
              <w:pStyle w:val="TableText0"/>
              <w:tabs>
                <w:tab w:val="left" w:pos="790"/>
              </w:tabs>
              <w:rPr>
                <w:szCs w:val="20"/>
              </w:rPr>
            </w:pPr>
            <w:r w:rsidRPr="00592E29">
              <w:rPr>
                <w:szCs w:val="20"/>
              </w:rPr>
              <w:t>Patient must have had short gut syndrome with diagnostic imaging or surgical evidence, or have had an ileostomy or colostomy; and must have had evidence of intestinal inflammation; and must have had evidence of failure to achieve an adequate response to prior systemic therapy as specified below prior to commencing treatment with this drug; or</w:t>
            </w:r>
          </w:p>
        </w:tc>
      </w:tr>
      <w:tr w:rsidR="009C5E27" w:rsidRPr="00592E29" w14:paraId="2879207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47CFDB2" w14:textId="18D16A6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A1D7E0B" w14:textId="77777777" w:rsidR="009C5E27" w:rsidRPr="00592E29" w:rsidRDefault="009C5E27" w:rsidP="003124CE">
            <w:pPr>
              <w:pStyle w:val="TableText0"/>
              <w:tabs>
                <w:tab w:val="left" w:pos="790"/>
              </w:tabs>
              <w:rPr>
                <w:szCs w:val="20"/>
              </w:rPr>
            </w:pPr>
            <w:r w:rsidRPr="00592E29">
              <w:rPr>
                <w:szCs w:val="20"/>
              </w:rPr>
              <w:t>Patient must have had extensive intestinal inflammation affecting more than 50 cm of the small intestine as evidenced by radiological imaging; and must have had a Crohn Disease Activity Index (CDAI) Score greater than or equal to 220; and must have had evidence of failure to achieve an adequate response to prior systemic therapy as specified below prior to commencing treatment with this drug</w:t>
            </w:r>
          </w:p>
        </w:tc>
      </w:tr>
      <w:tr w:rsidR="009C5E27" w:rsidRPr="00592E29" w14:paraId="08BC739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DE94F3"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B04F874" w14:textId="77777777" w:rsidR="009C5E27" w:rsidRPr="00592E29" w:rsidRDefault="009C5E27" w:rsidP="003124CE">
            <w:pPr>
              <w:pStyle w:val="TableText0"/>
              <w:rPr>
                <w:b/>
                <w:bCs w:val="0"/>
                <w:szCs w:val="20"/>
              </w:rPr>
            </w:pPr>
          </w:p>
        </w:tc>
      </w:tr>
      <w:tr w:rsidR="009C5E27" w:rsidRPr="00592E29" w14:paraId="7D6A96F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0AB9F5B" w14:textId="34EC2FA9"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30D39AE" w14:textId="77777777" w:rsidR="009C5E27" w:rsidRPr="00592E29" w:rsidRDefault="009C5E27" w:rsidP="003124CE">
            <w:pPr>
              <w:pStyle w:val="TableText0"/>
              <w:rPr>
                <w:b/>
                <w:bCs w:val="0"/>
                <w:szCs w:val="20"/>
              </w:rPr>
            </w:pPr>
            <w:r w:rsidRPr="00592E29">
              <w:rPr>
                <w:rFonts w:eastAsia="Times New Roman" w:cs="Times New Roman"/>
                <w:b/>
                <w:color w:val="333333"/>
                <w:szCs w:val="20"/>
              </w:rPr>
              <w:t>Treatment criteria:</w:t>
            </w:r>
          </w:p>
        </w:tc>
      </w:tr>
      <w:tr w:rsidR="009C5E27" w:rsidRPr="00592E29" w14:paraId="5C7AEFA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2E3188" w14:textId="63ED475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02F2A69" w14:textId="77777777" w:rsidR="009C5E27" w:rsidRPr="00592E29" w:rsidRDefault="009C5E27" w:rsidP="003124CE">
            <w:pPr>
              <w:pStyle w:val="TableText0"/>
              <w:rPr>
                <w:b/>
                <w:bCs w:val="0"/>
                <w:szCs w:val="20"/>
              </w:rPr>
            </w:pPr>
            <w:r w:rsidRPr="00592E29">
              <w:rPr>
                <w:szCs w:val="20"/>
              </w:rPr>
              <w:t>Must be treated by a gastroenterologist (code 87); or</w:t>
            </w:r>
          </w:p>
        </w:tc>
      </w:tr>
      <w:tr w:rsidR="009C5E27" w:rsidRPr="00592E29" w14:paraId="727DBDA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49076D" w14:textId="20D7232F"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3AEC30D" w14:textId="77777777" w:rsidR="009C5E27" w:rsidRPr="00592E29" w:rsidRDefault="009C5E27" w:rsidP="003124CE">
            <w:pPr>
              <w:pStyle w:val="TableText0"/>
              <w:rPr>
                <w:b/>
                <w:bCs w:val="0"/>
                <w:szCs w:val="20"/>
              </w:rPr>
            </w:pPr>
            <w:r w:rsidRPr="00592E29">
              <w:rPr>
                <w:szCs w:val="20"/>
              </w:rPr>
              <w:t>Must be treated by a consultant physician [internal medicine specialising in gastroenterology (code 81)]; or</w:t>
            </w:r>
          </w:p>
        </w:tc>
      </w:tr>
      <w:tr w:rsidR="009C5E27" w:rsidRPr="00592E29" w14:paraId="45DCB3B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CE0EFFA" w14:textId="786D939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3C633B0A" w14:textId="77777777" w:rsidR="009C5E27" w:rsidRPr="00592E29" w:rsidRDefault="009C5E27" w:rsidP="003124CE">
            <w:pPr>
              <w:pStyle w:val="TableText0"/>
              <w:rPr>
                <w:b/>
                <w:bCs w:val="0"/>
                <w:szCs w:val="20"/>
              </w:rPr>
            </w:pPr>
            <w:r w:rsidRPr="00592E29">
              <w:rPr>
                <w:szCs w:val="20"/>
              </w:rPr>
              <w:t>Must be treated by a consultant physician [general medicine specialising in gastroenterology (code 82)]</w:t>
            </w:r>
          </w:p>
        </w:tc>
      </w:tr>
      <w:tr w:rsidR="009C5E27" w:rsidRPr="00592E29" w14:paraId="0643E5C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EE75F74"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D45B52A" w14:textId="77777777" w:rsidR="009C5E27" w:rsidRPr="00592E29" w:rsidRDefault="009C5E27" w:rsidP="003124CE">
            <w:pPr>
              <w:pStyle w:val="TableText0"/>
              <w:rPr>
                <w:b/>
                <w:bCs w:val="0"/>
                <w:szCs w:val="20"/>
              </w:rPr>
            </w:pPr>
          </w:p>
        </w:tc>
      </w:tr>
      <w:tr w:rsidR="009C5E27" w:rsidRPr="00592E29" w14:paraId="46AE015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D39F45" w14:textId="1EC4200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29203F0" w14:textId="77777777" w:rsidR="009C5E27" w:rsidRPr="00592E29" w:rsidRDefault="009C5E27" w:rsidP="003124CE">
            <w:pPr>
              <w:pStyle w:val="TableText0"/>
              <w:rPr>
                <w:b/>
                <w:bCs w:val="0"/>
                <w:szCs w:val="20"/>
              </w:rPr>
            </w:pPr>
            <w:r w:rsidRPr="00592E29">
              <w:rPr>
                <w:rFonts w:eastAsia="Times New Roman" w:cs="Times New Roman"/>
                <w:b/>
                <w:color w:val="333333"/>
                <w:szCs w:val="20"/>
              </w:rPr>
              <w:t>Population criteria:</w:t>
            </w:r>
          </w:p>
        </w:tc>
      </w:tr>
      <w:tr w:rsidR="009C5E27" w:rsidRPr="00592E29" w14:paraId="015F204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76BA81" w14:textId="650DCFCF"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1DDB46B" w14:textId="77777777" w:rsidR="009C5E27" w:rsidRPr="00592E29" w:rsidRDefault="009C5E27" w:rsidP="003124CE">
            <w:pPr>
              <w:pStyle w:val="TableText0"/>
              <w:rPr>
                <w:b/>
                <w:bCs w:val="0"/>
                <w:szCs w:val="20"/>
              </w:rPr>
            </w:pPr>
            <w:r w:rsidRPr="00592E29">
              <w:rPr>
                <w:rFonts w:eastAsia="Times New Roman" w:cs="Times New Roman"/>
                <w:szCs w:val="20"/>
              </w:rPr>
              <w:t>Patient must be aged 18 years or older</w:t>
            </w:r>
          </w:p>
        </w:tc>
      </w:tr>
      <w:tr w:rsidR="009C5E27" w:rsidRPr="00592E29" w14:paraId="005D209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65E822"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15873DDE" w14:textId="77777777" w:rsidR="009C5E27" w:rsidRPr="00592E29" w:rsidRDefault="009C5E27" w:rsidP="003124CE">
            <w:pPr>
              <w:pStyle w:val="TableText0"/>
              <w:rPr>
                <w:b/>
                <w:bCs w:val="0"/>
                <w:szCs w:val="20"/>
              </w:rPr>
            </w:pPr>
          </w:p>
        </w:tc>
      </w:tr>
      <w:tr w:rsidR="009C5E27" w:rsidRPr="00592E29" w14:paraId="54DE0EB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B87B35" w14:textId="5DEA3088" w:rsidR="009C5E27" w:rsidRPr="007C06FF" w:rsidRDefault="009C5E27" w:rsidP="003124CE">
            <w:pPr>
              <w:jc w:val="center"/>
              <w:rPr>
                <w:rFonts w:ascii="Arial Narrow" w:hAnsi="Arial Narrow"/>
                <w:color w:val="333333"/>
                <w:sz w:val="20"/>
                <w:szCs w:val="20"/>
              </w:rPr>
            </w:pPr>
          </w:p>
          <w:p w14:paraId="335B49C4" w14:textId="7C54C6AA" w:rsidR="009C5E27" w:rsidRPr="007C06FF" w:rsidRDefault="009C5E27" w:rsidP="003124CE">
            <w:pPr>
              <w:jc w:val="center"/>
              <w:rPr>
                <w:rFonts w:ascii="Arial Narrow" w:hAnsi="Arial Narrow"/>
                <w:color w:val="333333"/>
                <w:sz w:val="20"/>
                <w:szCs w:val="20"/>
              </w:rPr>
            </w:pPr>
          </w:p>
          <w:p w14:paraId="5029BE2C"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C718575" w14:textId="77777777" w:rsidR="009C5E27" w:rsidRPr="007C06FF" w:rsidRDefault="009C5E27" w:rsidP="003124CE">
            <w:pPr>
              <w:pStyle w:val="TableText0"/>
              <w:rPr>
                <w:b/>
                <w:bCs w:val="0"/>
                <w:szCs w:val="20"/>
              </w:rPr>
            </w:pPr>
            <w:r w:rsidRPr="007C06FF">
              <w:rPr>
                <w:b/>
                <w:szCs w:val="20"/>
              </w:rPr>
              <w:t xml:space="preserve">Prescribing Instructions: </w:t>
            </w:r>
          </w:p>
          <w:p w14:paraId="3266241E" w14:textId="77777777" w:rsidR="009C5E27" w:rsidRPr="007C06FF" w:rsidRDefault="009C5E27" w:rsidP="003124CE">
            <w:pPr>
              <w:rPr>
                <w:rFonts w:ascii="Arial Narrow" w:hAnsi="Arial Narrow"/>
                <w:sz w:val="20"/>
                <w:szCs w:val="20"/>
              </w:rPr>
            </w:pPr>
            <w:r w:rsidRPr="007C06FF">
              <w:rPr>
                <w:rFonts w:ascii="Arial Narrow" w:hAnsi="Arial Narrow"/>
                <w:sz w:val="20"/>
                <w:szCs w:val="20"/>
              </w:rPr>
              <w:t>The authority application must be made in writing and must include:</w:t>
            </w:r>
          </w:p>
          <w:p w14:paraId="13846852" w14:textId="77777777" w:rsidR="009C5E27" w:rsidRPr="007C06FF" w:rsidRDefault="009C5E27" w:rsidP="003124CE">
            <w:pPr>
              <w:rPr>
                <w:rFonts w:ascii="Arial Narrow" w:hAnsi="Arial Narrow"/>
                <w:sz w:val="20"/>
                <w:szCs w:val="20"/>
              </w:rPr>
            </w:pPr>
            <w:r w:rsidRPr="007C06FF">
              <w:rPr>
                <w:rFonts w:ascii="Arial Narrow" w:hAnsi="Arial Narrow"/>
                <w:sz w:val="20"/>
                <w:szCs w:val="20"/>
              </w:rPr>
              <w:t>(1) details of the proposed prescription; and</w:t>
            </w:r>
          </w:p>
          <w:p w14:paraId="59A2C7F6" w14:textId="77777777" w:rsidR="009C5E27" w:rsidRPr="007C06FF" w:rsidRDefault="009C5E27" w:rsidP="003124CE">
            <w:pPr>
              <w:pStyle w:val="TableText0"/>
              <w:rPr>
                <w:szCs w:val="20"/>
              </w:rPr>
            </w:pPr>
            <w:r w:rsidRPr="007C06FF">
              <w:rPr>
                <w:rFonts w:eastAsia="Times New Roman" w:cs="Times New Roman"/>
                <w:szCs w:val="20"/>
              </w:rPr>
              <w:t>(2) a completed authority application form relevant to the indication and treatment phase (the latest version is located on the website specified in the Administrative Advice).</w:t>
            </w:r>
          </w:p>
        </w:tc>
      </w:tr>
      <w:tr w:rsidR="009C5E27" w:rsidRPr="00592E29" w14:paraId="2841715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E78754" w14:textId="349826FC" w:rsidR="009C5E27" w:rsidRPr="007C06FF" w:rsidRDefault="009C5E27" w:rsidP="003124CE">
            <w:pPr>
              <w:jc w:val="center"/>
              <w:rPr>
                <w:rFonts w:ascii="Arial Narrow" w:hAnsi="Arial Narrow"/>
                <w:color w:val="333333"/>
                <w:sz w:val="20"/>
                <w:szCs w:val="20"/>
              </w:rPr>
            </w:pPr>
          </w:p>
          <w:p w14:paraId="7E3F7D39" w14:textId="0893B418" w:rsidR="009C5E27" w:rsidRPr="00A776A9" w:rsidRDefault="009C5E27" w:rsidP="003124CE">
            <w:pPr>
              <w:jc w:val="center"/>
              <w:rPr>
                <w:rFonts w:ascii="Arial Narrow" w:hAnsi="Arial Narrow"/>
                <w:i/>
                <w:iCs/>
                <w:strike/>
                <w:color w:val="333333"/>
                <w:sz w:val="20"/>
                <w:szCs w:val="20"/>
              </w:rPr>
            </w:pPr>
          </w:p>
        </w:tc>
        <w:tc>
          <w:tcPr>
            <w:tcW w:w="7745" w:type="dxa"/>
            <w:gridSpan w:val="6"/>
            <w:vAlign w:val="center"/>
          </w:tcPr>
          <w:p w14:paraId="64B4007F" w14:textId="77777777" w:rsidR="009C5E27" w:rsidRPr="00592E29" w:rsidRDefault="009C5E27" w:rsidP="003124CE">
            <w:pPr>
              <w:pStyle w:val="TableText0"/>
              <w:rPr>
                <w:b/>
                <w:bCs w:val="0"/>
                <w:szCs w:val="20"/>
              </w:rPr>
            </w:pPr>
            <w:r w:rsidRPr="00592E29">
              <w:rPr>
                <w:b/>
                <w:szCs w:val="20"/>
              </w:rPr>
              <w:t xml:space="preserve">Prescribing Instructions: </w:t>
            </w:r>
          </w:p>
          <w:p w14:paraId="6883EDAA" w14:textId="00441776" w:rsidR="009C5E27" w:rsidRPr="007C06FF" w:rsidRDefault="009C5E27" w:rsidP="003124CE">
            <w:pPr>
              <w:pStyle w:val="TableText0"/>
              <w:rPr>
                <w:b/>
                <w:bCs w:val="0"/>
                <w:szCs w:val="20"/>
              </w:rPr>
            </w:pPr>
            <w:r w:rsidRPr="007C06FF">
              <w:rPr>
                <w:szCs w:val="20"/>
              </w:rPr>
              <w:t xml:space="preserve">The authority application must include the following:, (i) the completed Crohn Disease Activity Index (CDAI) Score including the date of the assessment of the patient's condition, if relevant; or, (ii) the unique serial/identifying number and dates of the pathology test or diagnostic imaging test(s) used to assess response to therapy for patients with short gut syndrome, extensive small intestine disease or an ostomy, if relevant; </w:t>
            </w:r>
          </w:p>
        </w:tc>
      </w:tr>
      <w:tr w:rsidR="009C5E27" w:rsidRPr="00592E29" w14:paraId="2FF5855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40B3CEA" w14:textId="4C1C67B7" w:rsidR="009C5E27" w:rsidRPr="007C06FF" w:rsidRDefault="009C5E27" w:rsidP="003124CE">
            <w:pPr>
              <w:jc w:val="center"/>
              <w:rPr>
                <w:rFonts w:ascii="Arial Narrow" w:hAnsi="Arial Narrow"/>
                <w:sz w:val="20"/>
                <w:szCs w:val="20"/>
              </w:rPr>
            </w:pPr>
          </w:p>
        </w:tc>
        <w:tc>
          <w:tcPr>
            <w:tcW w:w="7745" w:type="dxa"/>
            <w:gridSpan w:val="6"/>
            <w:vAlign w:val="center"/>
          </w:tcPr>
          <w:p w14:paraId="1E2CDB1D" w14:textId="77777777" w:rsidR="009C5E27" w:rsidRPr="007C06FF" w:rsidRDefault="009C5E27" w:rsidP="003124CE">
            <w:pPr>
              <w:pStyle w:val="TableText0"/>
              <w:rPr>
                <w:b/>
                <w:bCs w:val="0"/>
                <w:szCs w:val="20"/>
              </w:rPr>
            </w:pPr>
            <w:r w:rsidRPr="007C06FF">
              <w:rPr>
                <w:b/>
                <w:szCs w:val="20"/>
              </w:rPr>
              <w:t>Prescribing Instructions:</w:t>
            </w:r>
          </w:p>
          <w:p w14:paraId="39DEB5E9" w14:textId="183FE54B" w:rsidR="009C5E27" w:rsidRPr="00896DE4" w:rsidRDefault="009C5E27" w:rsidP="003124CE">
            <w:pPr>
              <w:pStyle w:val="TableText0"/>
              <w:rPr>
                <w:b/>
                <w:bCs w:val="0"/>
                <w:szCs w:val="20"/>
              </w:rPr>
            </w:pPr>
            <w:r w:rsidRPr="007C06FF">
              <w:rPr>
                <w:rFonts w:eastAsia="Times New Roman"/>
                <w:szCs w:val="20"/>
              </w:rPr>
              <w:t xml:space="preserve">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w:t>
            </w:r>
            <w:r w:rsidR="00DC022F" w:rsidRPr="007C06FF">
              <w:rPr>
                <w:rFonts w:eastAsia="Times New Roman"/>
                <w:szCs w:val="20"/>
              </w:rPr>
              <w:t>treatment.</w:t>
            </w:r>
            <w:r w:rsidR="00DC022F" w:rsidRPr="00A776A9">
              <w:rPr>
                <w:i/>
                <w:iCs/>
                <w:strike/>
                <w:szCs w:val="20"/>
              </w:rPr>
              <w:t xml:space="preserve"> </w:t>
            </w:r>
          </w:p>
        </w:tc>
      </w:tr>
      <w:tr w:rsidR="009C5E27" w:rsidRPr="00592E29" w14:paraId="64DD16B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08F7F9" w14:textId="78C3ACF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81E1373"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p>
        </w:tc>
      </w:tr>
      <w:tr w:rsidR="009C5E27" w:rsidRPr="00592E29" w14:paraId="0DD0A14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BC5E11" w14:textId="05CFAFF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25717CE2"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 xml:space="preserve">If a patient fails to demonstrate a response to treatment with this </w:t>
            </w:r>
            <w:proofErr w:type="gramStart"/>
            <w:r w:rsidRPr="00592E29">
              <w:rPr>
                <w:szCs w:val="20"/>
              </w:rPr>
              <w:t>drug</w:t>
            </w:r>
            <w:proofErr w:type="gramEnd"/>
            <w:r w:rsidRPr="00592E29">
              <w:rPr>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C5E27" w:rsidRPr="00592E29" w14:paraId="7854B99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C6E21A" w14:textId="0B9E529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3DCCEB8" w14:textId="77777777" w:rsidR="009C5E27" w:rsidRPr="007C06FF" w:rsidRDefault="009C5E27" w:rsidP="003124CE">
            <w:pPr>
              <w:pStyle w:val="TableText0"/>
              <w:rPr>
                <w:b/>
                <w:bCs w:val="0"/>
                <w:szCs w:val="20"/>
              </w:rPr>
            </w:pPr>
            <w:r w:rsidRPr="007C06FF">
              <w:rPr>
                <w:b/>
                <w:szCs w:val="20"/>
              </w:rPr>
              <w:t xml:space="preserve">Prescribing Instructions: </w:t>
            </w:r>
          </w:p>
          <w:p w14:paraId="08F3496E" w14:textId="77777777" w:rsidR="009C5E27" w:rsidRPr="00A776A9" w:rsidRDefault="009C5E27" w:rsidP="003124CE">
            <w:pPr>
              <w:pStyle w:val="TableText0"/>
              <w:rPr>
                <w:i/>
                <w:iCs/>
                <w:szCs w:val="20"/>
              </w:rPr>
            </w:pPr>
            <w:r w:rsidRPr="007C06FF">
              <w:rPr>
                <w:szCs w:val="20"/>
              </w:rPr>
              <w:t xml:space="preserve">The prescriber should request </w:t>
            </w:r>
            <w:proofErr w:type="gramStart"/>
            <w:r w:rsidRPr="007C06FF">
              <w:rPr>
                <w:szCs w:val="20"/>
              </w:rPr>
              <w:t>sufficient quantity</w:t>
            </w:r>
            <w:proofErr w:type="gramEnd"/>
            <w:r w:rsidRPr="007C06FF">
              <w:rPr>
                <w:szCs w:val="20"/>
              </w:rPr>
              <w:t xml:space="preserve"> and repeats to provide for the balance to complete 12 weeks of induction therapy only</w:t>
            </w:r>
          </w:p>
        </w:tc>
      </w:tr>
      <w:tr w:rsidR="009C5E27" w:rsidRPr="00592E29" w14:paraId="38B0BFA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61556F" w14:textId="53D39671"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2177357"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Patients are eligible to receive continuing treatment with this drug in courses of up to 24 weeks providing they continue to sustain a response.</w:t>
            </w:r>
          </w:p>
        </w:tc>
      </w:tr>
      <w:tr w:rsidR="009C5E27" w:rsidRPr="00592E29" w14:paraId="0831693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FB5247C" w14:textId="773F453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3459971" w14:textId="77777777" w:rsidR="009C5E27" w:rsidRPr="00592E29" w:rsidRDefault="009C5E27" w:rsidP="003124CE">
            <w:pPr>
              <w:pStyle w:val="TableText0"/>
              <w:rPr>
                <w:b/>
                <w:bCs w:val="0"/>
                <w:szCs w:val="20"/>
              </w:rPr>
            </w:pPr>
            <w:r w:rsidRPr="00592E29">
              <w:rPr>
                <w:b/>
                <w:szCs w:val="20"/>
              </w:rPr>
              <w:t xml:space="preserve">Prescribing Instructions: </w:t>
            </w:r>
          </w:p>
          <w:p w14:paraId="701C4935" w14:textId="77777777" w:rsidR="009C5E27" w:rsidRPr="00592E29" w:rsidRDefault="009C5E27" w:rsidP="003124CE">
            <w:pPr>
              <w:pStyle w:val="TableText0"/>
              <w:rPr>
                <w:szCs w:val="20"/>
              </w:rPr>
            </w:pPr>
            <w:r w:rsidRPr="00592E29">
              <w:rPr>
                <w:szCs w:val="20"/>
              </w:rPr>
              <w:t>A Grandfathered patient may qualify for PBS-subsidised treatment under this restriction once only. For continuing PBS-subsidised treatment, a Grandfathered patient must qualify under the continuing treatment criteria.</w:t>
            </w:r>
          </w:p>
        </w:tc>
      </w:tr>
      <w:tr w:rsidR="009C5E27" w:rsidRPr="00592E29" w14:paraId="64D538D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9D6F37" w14:textId="51502D58" w:rsidR="009C5E27" w:rsidRPr="007C06FF" w:rsidRDefault="009C5E27" w:rsidP="003124CE">
            <w:pPr>
              <w:jc w:val="center"/>
              <w:rPr>
                <w:rFonts w:ascii="Arial Narrow" w:hAnsi="Arial Narrow"/>
                <w:color w:val="333333"/>
                <w:sz w:val="20"/>
                <w:szCs w:val="20"/>
              </w:rPr>
            </w:pPr>
          </w:p>
          <w:p w14:paraId="34C078D5" w14:textId="0BE8704C"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56E853C7" w14:textId="77777777" w:rsidR="009C5E27" w:rsidRPr="00592E29" w:rsidRDefault="009C5E27" w:rsidP="003124CE">
            <w:pPr>
              <w:pStyle w:val="TableText0"/>
              <w:rPr>
                <w:b/>
                <w:bCs w:val="0"/>
                <w:szCs w:val="20"/>
              </w:rPr>
            </w:pPr>
            <w:r w:rsidRPr="00592E29">
              <w:rPr>
                <w:b/>
                <w:szCs w:val="20"/>
              </w:rPr>
              <w:t xml:space="preserve">Prescribing Instructions: </w:t>
            </w:r>
          </w:p>
          <w:p w14:paraId="29E2CF50" w14:textId="77777777" w:rsidR="009C5E27" w:rsidRPr="00592E29" w:rsidRDefault="009C5E27" w:rsidP="003124CE">
            <w:pPr>
              <w:pStyle w:val="TableText0"/>
              <w:rPr>
                <w:szCs w:val="20"/>
              </w:rPr>
            </w:pPr>
            <w:r w:rsidRPr="00592E29">
              <w:rPr>
                <w:szCs w:val="20"/>
              </w:rPr>
              <w:t>Evidence of failure to achieve an adequate response to prior therapy must include at least one of the following:</w:t>
            </w:r>
          </w:p>
          <w:p w14:paraId="7D37F79E" w14:textId="77777777" w:rsidR="009C5E27" w:rsidRPr="00592E29" w:rsidRDefault="009C5E27" w:rsidP="003124CE">
            <w:pPr>
              <w:pStyle w:val="TableText0"/>
              <w:rPr>
                <w:szCs w:val="20"/>
              </w:rPr>
            </w:pPr>
            <w:r w:rsidRPr="00592E29">
              <w:rPr>
                <w:szCs w:val="20"/>
              </w:rPr>
              <w:t>(a) patient must have evidence of intestinal inflammation;</w:t>
            </w:r>
          </w:p>
          <w:p w14:paraId="67235425" w14:textId="77777777" w:rsidR="009C5E27" w:rsidRPr="00592E29" w:rsidRDefault="009C5E27" w:rsidP="003124CE">
            <w:pPr>
              <w:pStyle w:val="TableText0"/>
              <w:rPr>
                <w:szCs w:val="20"/>
              </w:rPr>
            </w:pPr>
            <w:r w:rsidRPr="00592E29">
              <w:rPr>
                <w:szCs w:val="20"/>
              </w:rPr>
              <w:t>(b) patient must be assessed clinically as being in a high faecal output state;</w:t>
            </w:r>
          </w:p>
          <w:p w14:paraId="515FF112" w14:textId="77777777" w:rsidR="009C5E27" w:rsidRPr="00592E29" w:rsidRDefault="009C5E27" w:rsidP="003124CE">
            <w:pPr>
              <w:pStyle w:val="TableText0"/>
              <w:rPr>
                <w:szCs w:val="20"/>
              </w:rPr>
            </w:pPr>
            <w:r w:rsidRPr="00592E29">
              <w:rPr>
                <w:szCs w:val="20"/>
              </w:rPr>
              <w:t>(c) patient must be assessed clinically as requiring surgery or total parenteral nutrition (TPN) as the next therapeutic option, in the absence of this drug, if affected by short gut syndrome, extensive small intestine disease or is an ostomy patient.</w:t>
            </w:r>
          </w:p>
          <w:p w14:paraId="68B03360" w14:textId="77777777" w:rsidR="009C5E27" w:rsidRPr="00592E29" w:rsidRDefault="009C5E27" w:rsidP="003124CE">
            <w:pPr>
              <w:pStyle w:val="TableText0"/>
              <w:rPr>
                <w:szCs w:val="20"/>
              </w:rPr>
            </w:pPr>
          </w:p>
          <w:p w14:paraId="4AAFE309" w14:textId="77777777" w:rsidR="009C5E27" w:rsidRPr="00592E29" w:rsidRDefault="009C5E27" w:rsidP="003124CE">
            <w:pPr>
              <w:pStyle w:val="TableText0"/>
              <w:rPr>
                <w:szCs w:val="20"/>
              </w:rPr>
            </w:pPr>
            <w:r w:rsidRPr="00592E29">
              <w:rPr>
                <w:szCs w:val="20"/>
              </w:rPr>
              <w:t>Evidence of intestinal inflammation includes:</w:t>
            </w:r>
          </w:p>
          <w:p w14:paraId="58A59F18" w14:textId="77777777" w:rsidR="009C5E27" w:rsidRPr="00592E29" w:rsidRDefault="009C5E27" w:rsidP="003124CE">
            <w:pPr>
              <w:pStyle w:val="TableText0"/>
              <w:rPr>
                <w:szCs w:val="20"/>
              </w:rPr>
            </w:pPr>
            <w:r w:rsidRPr="00592E29">
              <w:rPr>
                <w:szCs w:val="20"/>
              </w:rPr>
              <w:t>(i) blood: higher than normal platelet count, or, an elevated erythrocyte sedimentation rate (ESR) greater than 25 mm per hour, or, a C-reactive protein (CRP) level greater than 15 mg per L; or (ii) faeces: higher than normal lactoferrin or calprotectin level; or (iii) diagnostic imaging: demonstration of increased uptake of intravenous contrast with thickening of the bowel wall or mesenteric lymphadenopathy or fat streaking in the mesentery.</w:t>
            </w:r>
          </w:p>
        </w:tc>
      </w:tr>
      <w:tr w:rsidR="009C5E27" w:rsidRPr="00592E29" w14:paraId="4A29C85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2F2FAEE" w14:textId="1883897C"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E916058" w14:textId="2E6ED4B6" w:rsidR="009C5E27" w:rsidRPr="00592E29" w:rsidRDefault="009C5E27" w:rsidP="003124CE">
            <w:pPr>
              <w:pStyle w:val="TableText0"/>
              <w:rPr>
                <w:szCs w:val="20"/>
              </w:rPr>
            </w:pPr>
            <w:r w:rsidRPr="00592E29">
              <w:rPr>
                <w:b/>
                <w:szCs w:val="20"/>
              </w:rPr>
              <w:t xml:space="preserve">Prescribing Instructions: </w:t>
            </w:r>
            <w:r w:rsidRPr="007C06FF">
              <w:rPr>
                <w:szCs w:val="20"/>
              </w:rPr>
              <w:t>All assessments, pathology tests and diagnostic imaging studies were to have been within 4 weeks leading up to commencing the non-PBS subsidised supply of this drug and should have been performed preferably whilst still on conventional treatment, but no longer than 4 weeks following the last dose of conventional treatment</w:t>
            </w:r>
            <w:r w:rsidRPr="007C06FF">
              <w:rPr>
                <w:b/>
                <w:szCs w:val="20"/>
              </w:rPr>
              <w:t>.</w:t>
            </w:r>
          </w:p>
        </w:tc>
      </w:tr>
      <w:tr w:rsidR="009C5E27" w:rsidRPr="00592E29" w14:paraId="6978F24F" w14:textId="77777777" w:rsidTr="7688D4E4">
        <w:tblPrEx>
          <w:tblCellMar>
            <w:top w:w="15" w:type="dxa"/>
            <w:bottom w:w="15" w:type="dxa"/>
          </w:tblCellMar>
          <w:tblLook w:val="04A0" w:firstRow="1" w:lastRow="0" w:firstColumn="1" w:lastColumn="0" w:noHBand="0" w:noVBand="1"/>
        </w:tblPrEx>
        <w:trPr>
          <w:cantSplit/>
          <w:trHeight w:val="455"/>
        </w:trPr>
        <w:tc>
          <w:tcPr>
            <w:tcW w:w="1272" w:type="dxa"/>
            <w:gridSpan w:val="2"/>
            <w:vAlign w:val="center"/>
          </w:tcPr>
          <w:p w14:paraId="71D90E46" w14:textId="093E06B5" w:rsidR="009C5E27" w:rsidRPr="007C06FF" w:rsidRDefault="009C5E27" w:rsidP="003124CE">
            <w:pPr>
              <w:jc w:val="center"/>
              <w:rPr>
                <w:rFonts w:ascii="Arial Narrow" w:hAnsi="Arial Narrow"/>
                <w:color w:val="333333"/>
                <w:sz w:val="20"/>
                <w:szCs w:val="20"/>
              </w:rPr>
            </w:pPr>
          </w:p>
          <w:p w14:paraId="2F057A02" w14:textId="2B940B1F" w:rsidR="009C5E27" w:rsidRPr="00592E29" w:rsidRDefault="009C5E27" w:rsidP="003124CE">
            <w:pPr>
              <w:jc w:val="center"/>
              <w:rPr>
                <w:rFonts w:ascii="Arial Narrow" w:hAnsi="Arial Narrow"/>
                <w:i/>
                <w:iCs/>
                <w:color w:val="333333"/>
                <w:sz w:val="20"/>
                <w:szCs w:val="20"/>
              </w:rPr>
            </w:pPr>
          </w:p>
          <w:p w14:paraId="00266BD5"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5D037A55"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If treatment with any of the specified prior conventional drugs is contraindicated according to the relevant TGA approved Product Information, please provide details at the time of application.</w:t>
            </w:r>
          </w:p>
        </w:tc>
      </w:tr>
      <w:tr w:rsidR="009C5E27" w:rsidRPr="00592E29" w14:paraId="1461840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37F684" w14:textId="6281D16C" w:rsidR="009C5E27" w:rsidRPr="007C06FF" w:rsidRDefault="009C5E27" w:rsidP="003124CE">
            <w:pPr>
              <w:jc w:val="center"/>
              <w:rPr>
                <w:rFonts w:ascii="Arial Narrow" w:hAnsi="Arial Narrow"/>
                <w:color w:val="333333"/>
                <w:sz w:val="20"/>
                <w:szCs w:val="20"/>
              </w:rPr>
            </w:pPr>
          </w:p>
          <w:p w14:paraId="25F90C28" w14:textId="294BF879" w:rsidR="009C5E27" w:rsidRPr="00592E29" w:rsidRDefault="009C5E27" w:rsidP="003124CE">
            <w:pPr>
              <w:jc w:val="center"/>
              <w:rPr>
                <w:rFonts w:ascii="Arial Narrow" w:hAnsi="Arial Narrow"/>
                <w:i/>
                <w:iCs/>
                <w:color w:val="333333"/>
                <w:sz w:val="20"/>
                <w:szCs w:val="20"/>
              </w:rPr>
            </w:pPr>
          </w:p>
          <w:p w14:paraId="5E542B14"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5E058238"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If intolerance to treatment develops during the relevant period of use, which is of a severity necessitating permanent treatment withdrawal, details of this toxicity must be provided at the time of application.</w:t>
            </w:r>
          </w:p>
        </w:tc>
      </w:tr>
      <w:tr w:rsidR="009C5E27" w:rsidRPr="00592E29" w14:paraId="2DCFCCA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12A04F" w14:textId="683CCF6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19CF780"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Details of the accepted toxicities including severity can be found on the Services Australia website.</w:t>
            </w:r>
          </w:p>
        </w:tc>
      </w:tr>
      <w:tr w:rsidR="009C5E27" w:rsidRPr="00592E29" w14:paraId="27CA475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EA2252" w14:textId="7FED88B1"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C335180"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9C5E27" w:rsidRPr="00592E29" w14:paraId="2A7A21C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1F6BB0" w14:textId="56A1EC2E"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E72F051"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C5E27" w:rsidRPr="00592E29" w14:paraId="11359A2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8F86C0" w14:textId="1CEE808C"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24314520" w14:textId="77777777" w:rsidR="009C5E27" w:rsidRPr="00592E29" w:rsidRDefault="009C5E27" w:rsidP="003124CE">
            <w:pPr>
              <w:pStyle w:val="TableText0"/>
              <w:rPr>
                <w:b/>
                <w:bCs w:val="0"/>
                <w:szCs w:val="20"/>
              </w:rPr>
            </w:pPr>
            <w:r w:rsidRPr="00592E29">
              <w:rPr>
                <w:b/>
                <w:szCs w:val="20"/>
              </w:rPr>
              <w:t xml:space="preserve">Administrative Advice: </w:t>
            </w:r>
            <w:r w:rsidRPr="00592E29">
              <w:rPr>
                <w:szCs w:val="20"/>
              </w:rPr>
              <w:t>This grandfather restriction will cease to operate from 12 months after the date specified in the clinical criteria</w:t>
            </w:r>
          </w:p>
        </w:tc>
      </w:tr>
    </w:tbl>
    <w:p w14:paraId="327A255F" w14:textId="2A546865" w:rsidR="009C5E27" w:rsidRPr="00592E29" w:rsidRDefault="009C5E27" w:rsidP="009C5E27">
      <w:pPr>
        <w:pStyle w:val="Caption"/>
        <w:rPr>
          <w:szCs w:val="20"/>
        </w:rPr>
      </w:pPr>
      <w:r w:rsidRPr="00592E29">
        <w:rPr>
          <w:szCs w:val="20"/>
        </w:rPr>
        <w:t>Proposed Restriction – Continuing treatment (General Schedule SC injection)</w:t>
      </w:r>
    </w:p>
    <w:p w14:paraId="12F87A8B" w14:textId="77777777" w:rsidR="009C5E27" w:rsidRPr="00592E29" w:rsidRDefault="009C5E27" w:rsidP="009C5E27">
      <w:pPr>
        <w:pStyle w:val="Caption"/>
        <w:rPr>
          <w:szCs w:val="20"/>
        </w:rPr>
      </w:pPr>
      <w:r w:rsidRPr="00592E29">
        <w:rPr>
          <w:szCs w:val="20"/>
        </w:rPr>
        <w:t>Proposed Restriction – Grandfather arrangements for maintenance (General Schedule SC injection)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Proposed Restriction – Continuing treatment (General Schedule SC injection)&#10;Proposed Restriction – Grandfather arrangements for maintenance (General Schedule SC injection)&#10;"/>
      </w:tblPr>
      <w:tblGrid>
        <w:gridCol w:w="488"/>
        <w:gridCol w:w="784"/>
        <w:gridCol w:w="2668"/>
        <w:gridCol w:w="811"/>
        <w:gridCol w:w="812"/>
        <w:gridCol w:w="811"/>
        <w:gridCol w:w="812"/>
        <w:gridCol w:w="1831"/>
      </w:tblGrid>
      <w:tr w:rsidR="009C5E27" w:rsidRPr="00592E29" w14:paraId="48EF1A1B" w14:textId="77777777" w:rsidTr="00DE413E">
        <w:trPr>
          <w:cantSplit/>
          <w:trHeight w:val="20"/>
        </w:trPr>
        <w:tc>
          <w:tcPr>
            <w:tcW w:w="3940" w:type="dxa"/>
            <w:gridSpan w:val="3"/>
            <w:vAlign w:val="center"/>
          </w:tcPr>
          <w:p w14:paraId="6181CF7B" w14:textId="77777777" w:rsidR="009C5E27" w:rsidRPr="00592E29" w:rsidRDefault="009C5E27" w:rsidP="003124CE">
            <w:pPr>
              <w:keepLines/>
              <w:rPr>
                <w:rFonts w:ascii="Arial Narrow" w:eastAsia="Calibri" w:hAnsi="Arial Narrow"/>
                <w:b/>
                <w:bCs/>
                <w:sz w:val="20"/>
                <w:szCs w:val="20"/>
              </w:rPr>
            </w:pPr>
            <w:r w:rsidRPr="00592E29">
              <w:rPr>
                <w:rFonts w:ascii="Arial Narrow" w:eastAsia="Calibri" w:hAnsi="Arial Narrow"/>
                <w:b/>
                <w:bCs/>
                <w:sz w:val="20"/>
                <w:szCs w:val="20"/>
              </w:rPr>
              <w:t>MEDICINAL PRODUCT</w:t>
            </w:r>
          </w:p>
          <w:p w14:paraId="4C01893C"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bCs/>
                <w:sz w:val="20"/>
                <w:szCs w:val="20"/>
              </w:rPr>
              <w:t>medicinal product pack</w:t>
            </w:r>
          </w:p>
        </w:tc>
        <w:tc>
          <w:tcPr>
            <w:tcW w:w="811" w:type="dxa"/>
            <w:vAlign w:val="center"/>
          </w:tcPr>
          <w:p w14:paraId="71FA9DA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PBS item code</w:t>
            </w:r>
          </w:p>
        </w:tc>
        <w:tc>
          <w:tcPr>
            <w:tcW w:w="812" w:type="dxa"/>
            <w:vAlign w:val="center"/>
          </w:tcPr>
          <w:p w14:paraId="36802914"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packs</w:t>
            </w:r>
          </w:p>
        </w:tc>
        <w:tc>
          <w:tcPr>
            <w:tcW w:w="811" w:type="dxa"/>
            <w:vAlign w:val="center"/>
          </w:tcPr>
          <w:p w14:paraId="6DB4AA52"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units</w:t>
            </w:r>
          </w:p>
        </w:tc>
        <w:tc>
          <w:tcPr>
            <w:tcW w:w="812" w:type="dxa"/>
            <w:vAlign w:val="center"/>
          </w:tcPr>
          <w:p w14:paraId="46F7059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№.of</w:t>
            </w:r>
          </w:p>
          <w:p w14:paraId="0D9F8C17"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Rpts</w:t>
            </w:r>
          </w:p>
        </w:tc>
        <w:tc>
          <w:tcPr>
            <w:tcW w:w="1831" w:type="dxa"/>
            <w:vAlign w:val="center"/>
          </w:tcPr>
          <w:p w14:paraId="3CCE1457" w14:textId="77777777" w:rsidR="009C5E27" w:rsidRPr="00592E29" w:rsidRDefault="009C5E27" w:rsidP="003124CE">
            <w:pPr>
              <w:keepLines/>
              <w:rPr>
                <w:rFonts w:ascii="Arial Narrow" w:eastAsia="Calibri" w:hAnsi="Arial Narrow"/>
                <w:b/>
                <w:sz w:val="20"/>
                <w:szCs w:val="20"/>
                <w:lang w:val="fr-FR"/>
              </w:rPr>
            </w:pPr>
            <w:r w:rsidRPr="00592E29">
              <w:rPr>
                <w:rFonts w:ascii="Arial Narrow" w:eastAsia="Calibri" w:hAnsi="Arial Narrow"/>
                <w:b/>
                <w:sz w:val="20"/>
                <w:szCs w:val="20"/>
              </w:rPr>
              <w:t>Available brands</w:t>
            </w:r>
          </w:p>
        </w:tc>
      </w:tr>
      <w:tr w:rsidR="009C5E27" w:rsidRPr="00592E29" w14:paraId="24D20ED8" w14:textId="77777777" w:rsidTr="00DE413E">
        <w:trPr>
          <w:cantSplit/>
          <w:trHeight w:val="20"/>
        </w:trPr>
        <w:tc>
          <w:tcPr>
            <w:tcW w:w="9017" w:type="dxa"/>
            <w:gridSpan w:val="8"/>
            <w:vAlign w:val="center"/>
          </w:tcPr>
          <w:p w14:paraId="17C9691C"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GUSELKUMAB</w:t>
            </w:r>
          </w:p>
        </w:tc>
      </w:tr>
      <w:tr w:rsidR="009C5E27" w:rsidRPr="00592E29" w14:paraId="732884C1" w14:textId="77777777" w:rsidTr="00DE413E">
        <w:trPr>
          <w:cantSplit/>
          <w:trHeight w:val="20"/>
        </w:trPr>
        <w:tc>
          <w:tcPr>
            <w:tcW w:w="3940" w:type="dxa"/>
            <w:gridSpan w:val="3"/>
            <w:vAlign w:val="center"/>
          </w:tcPr>
          <w:p w14:paraId="29904CBC"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 xml:space="preserve">guselkumab 100 mg/1mL injection, 1 x 1 mL pen device </w:t>
            </w:r>
          </w:p>
        </w:tc>
        <w:tc>
          <w:tcPr>
            <w:tcW w:w="811" w:type="dxa"/>
            <w:vAlign w:val="center"/>
          </w:tcPr>
          <w:p w14:paraId="1FDCA117"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6E1CAC32"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5D06E6E2"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2" w:type="dxa"/>
            <w:vAlign w:val="center"/>
          </w:tcPr>
          <w:p w14:paraId="6CD45B84"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29C7DAFA"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3DAA4FBB" w14:textId="77777777" w:rsidTr="00DE413E">
        <w:trPr>
          <w:cantSplit/>
          <w:trHeight w:val="20"/>
        </w:trPr>
        <w:tc>
          <w:tcPr>
            <w:tcW w:w="3940" w:type="dxa"/>
            <w:gridSpan w:val="3"/>
            <w:vAlign w:val="center"/>
          </w:tcPr>
          <w:p w14:paraId="7479DB71"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 xml:space="preserve">guselkumab 100 mg/1mL injection, 1 x 1 mL syringe </w:t>
            </w:r>
          </w:p>
        </w:tc>
        <w:tc>
          <w:tcPr>
            <w:tcW w:w="811" w:type="dxa"/>
            <w:vAlign w:val="center"/>
          </w:tcPr>
          <w:p w14:paraId="01E47DA8"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35B55665"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08C03BA9"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2" w:type="dxa"/>
            <w:vAlign w:val="center"/>
          </w:tcPr>
          <w:p w14:paraId="51BD7A24"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6D03964F"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268F31EB" w14:textId="77777777" w:rsidTr="00DE413E">
        <w:trPr>
          <w:cantSplit/>
          <w:trHeight w:val="20"/>
        </w:trPr>
        <w:tc>
          <w:tcPr>
            <w:tcW w:w="3940" w:type="dxa"/>
            <w:gridSpan w:val="3"/>
            <w:vAlign w:val="center"/>
          </w:tcPr>
          <w:p w14:paraId="49C19CAA"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 xml:space="preserve">uselkumab 200 mg/2 mL injection, 2 mL </w:t>
            </w:r>
            <w:r>
              <w:rPr>
                <w:rFonts w:ascii="Arial Narrow" w:eastAsia="Calibri" w:hAnsi="Arial Narrow"/>
                <w:sz w:val="20"/>
                <w:szCs w:val="20"/>
              </w:rPr>
              <w:t>pen device</w:t>
            </w:r>
            <w:r w:rsidRPr="00A60CB5" w:rsidDel="00A60CB5">
              <w:rPr>
                <w:rFonts w:ascii="Arial Narrow" w:eastAsia="Calibri" w:hAnsi="Arial Narrow"/>
                <w:sz w:val="20"/>
                <w:szCs w:val="20"/>
              </w:rPr>
              <w:t xml:space="preserve"> </w:t>
            </w:r>
          </w:p>
        </w:tc>
        <w:tc>
          <w:tcPr>
            <w:tcW w:w="811" w:type="dxa"/>
            <w:vAlign w:val="center"/>
          </w:tcPr>
          <w:p w14:paraId="23A3F688"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643591E7"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762B243B"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2" w:type="dxa"/>
            <w:vAlign w:val="center"/>
          </w:tcPr>
          <w:p w14:paraId="7019D90D"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5</w:t>
            </w:r>
          </w:p>
        </w:tc>
        <w:tc>
          <w:tcPr>
            <w:tcW w:w="1831" w:type="dxa"/>
            <w:vAlign w:val="center"/>
          </w:tcPr>
          <w:p w14:paraId="2AA8BE09"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1A6EA816" w14:textId="77777777" w:rsidTr="00DE413E">
        <w:trPr>
          <w:cantSplit/>
          <w:trHeight w:val="20"/>
        </w:trPr>
        <w:tc>
          <w:tcPr>
            <w:tcW w:w="3940" w:type="dxa"/>
            <w:gridSpan w:val="3"/>
            <w:vAlign w:val="center"/>
          </w:tcPr>
          <w:p w14:paraId="5E7AC542"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 mL injection, 2 mL syringe</w:t>
            </w:r>
            <w:r w:rsidRPr="00A60CB5" w:rsidDel="00A60CB5">
              <w:rPr>
                <w:rFonts w:ascii="Arial Narrow" w:eastAsia="Calibri" w:hAnsi="Arial Narrow"/>
                <w:sz w:val="20"/>
                <w:szCs w:val="20"/>
              </w:rPr>
              <w:t xml:space="preserve"> </w:t>
            </w:r>
          </w:p>
        </w:tc>
        <w:tc>
          <w:tcPr>
            <w:tcW w:w="811" w:type="dxa"/>
            <w:vAlign w:val="center"/>
          </w:tcPr>
          <w:p w14:paraId="26EE5A5B"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210D25AF"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106B6F23"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2" w:type="dxa"/>
            <w:vAlign w:val="center"/>
          </w:tcPr>
          <w:p w14:paraId="04934CEA"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5</w:t>
            </w:r>
          </w:p>
        </w:tc>
        <w:tc>
          <w:tcPr>
            <w:tcW w:w="1831" w:type="dxa"/>
            <w:vAlign w:val="center"/>
          </w:tcPr>
          <w:p w14:paraId="21FA4D27"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1EBD29B6" w14:textId="77777777" w:rsidTr="00DE413E">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22332272" w14:textId="77777777" w:rsidR="009C5E27" w:rsidRPr="00592E29" w:rsidRDefault="009C5E27" w:rsidP="003124CE">
            <w:pPr>
              <w:rPr>
                <w:rFonts w:ascii="Arial Narrow" w:eastAsia="Calibri" w:hAnsi="Arial Narrow"/>
                <w:sz w:val="20"/>
                <w:szCs w:val="20"/>
              </w:rPr>
            </w:pPr>
          </w:p>
        </w:tc>
      </w:tr>
      <w:tr w:rsidR="009C5E27" w:rsidRPr="00592E29" w14:paraId="512D8C81" w14:textId="77777777" w:rsidTr="00DE413E">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59F5EABB"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 xml:space="preserve">Concept ID </w:t>
            </w:r>
            <w:r w:rsidRPr="00592E29">
              <w:rPr>
                <w:rFonts w:ascii="Arial Narrow" w:eastAsia="Calibri"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3AE9F1"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Check1"/>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GENERAL – Section 85 General Schedule (Code GE) </w:t>
            </w:r>
          </w:p>
        </w:tc>
      </w:tr>
      <w:tr w:rsidR="009C5E27" w:rsidRPr="00592E29" w14:paraId="6978FE91" w14:textId="77777777" w:rsidTr="00DE413E">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5B74156A"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667A92"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2B1D6D45" w14:textId="77777777" w:rsidTr="00DE413E">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61CADE1C"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EB7C56B" w14:textId="4867FBAA" w:rsidR="009C5E27" w:rsidRPr="00592E29" w:rsidRDefault="009C5E27" w:rsidP="003124CE">
            <w:pPr>
              <w:keepLines/>
              <w:rPr>
                <w:rFonts w:ascii="Arial Narrow" w:eastAsia="Calibri" w:hAnsi="Arial Narrow"/>
                <w:color w:val="FF0000"/>
                <w:sz w:val="20"/>
                <w:szCs w:val="20"/>
              </w:rPr>
            </w:pPr>
            <w:r w:rsidRPr="00592E29">
              <w:rPr>
                <w:rFonts w:ascii="Arial Narrow" w:eastAsia="Calibri" w:hAnsi="Arial Narrow"/>
                <w:b/>
                <w:sz w:val="20"/>
                <w:szCs w:val="20"/>
              </w:rPr>
              <w:t xml:space="preserve">Restriction type: </w:t>
            </w:r>
            <w:r w:rsidR="005F4B20">
              <w:rPr>
                <w:rFonts w:ascii="Arial Narrow" w:eastAsia="Calibri" w:hAnsi="Arial Narrow"/>
                <w:sz w:val="20"/>
                <w:szCs w:val="20"/>
              </w:rPr>
              <w:fldChar w:fldCharType="begin">
                <w:ffData>
                  <w:name w:val=""/>
                  <w:enabled/>
                  <w:calcOnExit w:val="0"/>
                  <w:checkBox>
                    <w:sizeAuto/>
                    <w:default w:val="1"/>
                  </w:checkBox>
                </w:ffData>
              </w:fldChar>
            </w:r>
            <w:r w:rsidR="005F4B20">
              <w:rPr>
                <w:rFonts w:ascii="Arial Narrow" w:eastAsia="Calibri" w:hAnsi="Arial Narrow"/>
                <w:sz w:val="20"/>
                <w:szCs w:val="20"/>
              </w:rPr>
              <w:instrText xml:space="preserve"> FORMCHECKBOX </w:instrText>
            </w:r>
            <w:r w:rsidR="005F4B20">
              <w:rPr>
                <w:rFonts w:ascii="Arial Narrow" w:eastAsia="Calibri" w:hAnsi="Arial Narrow"/>
                <w:sz w:val="20"/>
                <w:szCs w:val="20"/>
              </w:rPr>
            </w:r>
            <w:r w:rsidR="005F4B20">
              <w:rPr>
                <w:rFonts w:ascii="Arial Narrow" w:eastAsia="Calibri" w:hAnsi="Arial Narrow"/>
                <w:sz w:val="20"/>
                <w:szCs w:val="20"/>
              </w:rPr>
              <w:fldChar w:fldCharType="separate"/>
            </w:r>
            <w:r w:rsidR="005F4B20">
              <w:rPr>
                <w:rFonts w:ascii="Arial Narrow" w:eastAsia="Calibri" w:hAnsi="Arial Narrow"/>
                <w:sz w:val="20"/>
                <w:szCs w:val="20"/>
              </w:rPr>
              <w:fldChar w:fldCharType="end"/>
            </w:r>
            <w:r w:rsidRPr="00592E29">
              <w:rPr>
                <w:rFonts w:ascii="Arial Narrow" w:eastAsia="Calibri" w:hAnsi="Arial Narrow"/>
                <w:sz w:val="20"/>
                <w:szCs w:val="20"/>
              </w:rPr>
              <w:t>Authority Required (FULL assessment) in writing only via post/HPOS upload)</w:t>
            </w:r>
            <w:r w:rsidRPr="00592E29">
              <w:rPr>
                <w:rFonts w:ascii="Arial Narrow" w:eastAsia="Calibri" w:hAnsi="Arial Narrow"/>
                <w:color w:val="FF0000"/>
                <w:sz w:val="20"/>
                <w:szCs w:val="20"/>
              </w:rPr>
              <w:t xml:space="preserve"> </w:t>
            </w:r>
          </w:p>
        </w:tc>
      </w:tr>
      <w:tr w:rsidR="009C5E27" w:rsidRPr="00592E29" w14:paraId="54A5A68D" w14:textId="77777777" w:rsidTr="00DE413E">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22F5A9EA" w14:textId="77777777" w:rsidR="009C5E27" w:rsidRPr="00592E29" w:rsidRDefault="009C5E27" w:rsidP="003124CE">
            <w:pPr>
              <w:jc w:val="center"/>
              <w:rPr>
                <w:rFonts w:ascii="Arial Narrow" w:eastAsia="Calibri" w:hAnsi="Arial Narrow"/>
                <w:sz w:val="20"/>
                <w:szCs w:val="20"/>
              </w:rPr>
            </w:pPr>
            <w:r w:rsidRPr="00592E29">
              <w:rPr>
                <w:rFonts w:ascii="Arial Narrow" w:eastAsia="Calibri" w:hAnsi="Arial Narrow"/>
                <w:sz w:val="20"/>
                <w:szCs w:val="20"/>
              </w:rPr>
              <w:t>Prescribing rule level</w:t>
            </w:r>
          </w:p>
        </w:tc>
        <w:tc>
          <w:tcPr>
            <w:tcW w:w="784" w:type="dxa"/>
            <w:vAlign w:val="center"/>
          </w:tcPr>
          <w:p w14:paraId="4584322D" w14:textId="04C63A8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B85BCB7" w14:textId="77777777" w:rsidR="009C5E27" w:rsidRPr="00592E29" w:rsidRDefault="009C5E27" w:rsidP="003124CE">
            <w:pPr>
              <w:keepNext/>
              <w:keepLines/>
              <w:rPr>
                <w:rFonts w:ascii="Arial Narrow" w:hAnsi="Arial Narrow"/>
                <w:sz w:val="20"/>
                <w:szCs w:val="20"/>
                <w:u w:val="single"/>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u w:val="single"/>
              </w:rPr>
              <w:t>Overarching administrative advice note:</w:t>
            </w:r>
          </w:p>
        </w:tc>
      </w:tr>
      <w:tr w:rsidR="009C5E27" w:rsidRPr="00592E29" w14:paraId="7D8F3779"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71F3429D" w14:textId="77777777" w:rsidR="009C5E27" w:rsidRPr="00592E29" w:rsidRDefault="009C5E27" w:rsidP="003124CE">
            <w:pPr>
              <w:rPr>
                <w:rFonts w:ascii="Arial Narrow" w:eastAsia="Calibri" w:hAnsi="Arial Narrow"/>
                <w:sz w:val="20"/>
                <w:szCs w:val="20"/>
              </w:rPr>
            </w:pPr>
          </w:p>
        </w:tc>
        <w:tc>
          <w:tcPr>
            <w:tcW w:w="784" w:type="dxa"/>
            <w:vAlign w:val="center"/>
          </w:tcPr>
          <w:p w14:paraId="1C4F879C" w14:textId="43C0F5D6" w:rsidR="009C5E27" w:rsidRPr="007C06FF" w:rsidRDefault="009C5E27" w:rsidP="003124CE">
            <w:pPr>
              <w:jc w:val="center"/>
              <w:rPr>
                <w:rFonts w:ascii="Arial Narrow" w:hAnsi="Arial Narrow"/>
                <w:color w:val="333333"/>
                <w:sz w:val="20"/>
                <w:szCs w:val="20"/>
              </w:rPr>
            </w:pPr>
          </w:p>
        </w:tc>
        <w:tc>
          <w:tcPr>
            <w:tcW w:w="7745" w:type="dxa"/>
            <w:gridSpan w:val="6"/>
          </w:tcPr>
          <w:p w14:paraId="321227D7"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quantity or number of units may be authorised.</w:t>
            </w:r>
          </w:p>
        </w:tc>
      </w:tr>
      <w:tr w:rsidR="009C5E27" w:rsidRPr="00592E29" w14:paraId="15764E2C"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7A500B06" w14:textId="77777777" w:rsidR="009C5E27" w:rsidRPr="00592E29" w:rsidRDefault="009C5E27" w:rsidP="003124CE">
            <w:pPr>
              <w:rPr>
                <w:rFonts w:ascii="Arial Narrow" w:eastAsia="Calibri" w:hAnsi="Arial Narrow"/>
                <w:sz w:val="20"/>
                <w:szCs w:val="20"/>
              </w:rPr>
            </w:pPr>
          </w:p>
        </w:tc>
        <w:tc>
          <w:tcPr>
            <w:tcW w:w="784" w:type="dxa"/>
            <w:vAlign w:val="center"/>
          </w:tcPr>
          <w:p w14:paraId="6BC3DEF0" w14:textId="5CA3D893" w:rsidR="009C5E27" w:rsidRPr="007C06FF" w:rsidRDefault="009C5E27" w:rsidP="003124CE">
            <w:pPr>
              <w:jc w:val="center"/>
              <w:rPr>
                <w:rFonts w:ascii="Arial Narrow" w:hAnsi="Arial Narrow"/>
                <w:color w:val="333333"/>
                <w:sz w:val="20"/>
                <w:szCs w:val="20"/>
              </w:rPr>
            </w:pPr>
          </w:p>
        </w:tc>
        <w:tc>
          <w:tcPr>
            <w:tcW w:w="7745" w:type="dxa"/>
            <w:gridSpan w:val="6"/>
          </w:tcPr>
          <w:p w14:paraId="544C7D7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number of repeats may be authorised.</w:t>
            </w:r>
          </w:p>
        </w:tc>
      </w:tr>
      <w:tr w:rsidR="009C5E27" w:rsidRPr="00592E29" w14:paraId="164F7BAE"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76A19ED6" w14:textId="77777777" w:rsidR="009C5E27" w:rsidRPr="00592E29" w:rsidRDefault="009C5E27" w:rsidP="003124CE">
            <w:pPr>
              <w:rPr>
                <w:rFonts w:ascii="Arial Narrow" w:eastAsia="Calibri" w:hAnsi="Arial Narrow"/>
                <w:sz w:val="20"/>
                <w:szCs w:val="20"/>
              </w:rPr>
            </w:pPr>
          </w:p>
        </w:tc>
        <w:tc>
          <w:tcPr>
            <w:tcW w:w="784" w:type="dxa"/>
            <w:vAlign w:val="center"/>
          </w:tcPr>
          <w:p w14:paraId="31576211" w14:textId="14B86455" w:rsidR="009C5E27" w:rsidRPr="007C06FF" w:rsidRDefault="009C5E27" w:rsidP="003124CE">
            <w:pPr>
              <w:jc w:val="center"/>
              <w:rPr>
                <w:rFonts w:ascii="Arial Narrow" w:hAnsi="Arial Narrow"/>
                <w:color w:val="333333"/>
                <w:sz w:val="20"/>
                <w:szCs w:val="20"/>
              </w:rPr>
            </w:pPr>
          </w:p>
        </w:tc>
        <w:tc>
          <w:tcPr>
            <w:tcW w:w="7745" w:type="dxa"/>
            <w:gridSpan w:val="6"/>
          </w:tcPr>
          <w:p w14:paraId="0059F66E"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Special Pricing Arrangements apply</w:t>
            </w:r>
          </w:p>
        </w:tc>
      </w:tr>
      <w:tr w:rsidR="009C5E27" w:rsidRPr="00592E29" w14:paraId="7F9FC6F0"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02489204" w14:textId="77777777" w:rsidR="009C5E27" w:rsidRPr="00592E29" w:rsidRDefault="009C5E27" w:rsidP="003124CE">
            <w:pPr>
              <w:rPr>
                <w:rFonts w:ascii="Arial Narrow" w:eastAsia="Calibri" w:hAnsi="Arial Narrow"/>
                <w:sz w:val="20"/>
                <w:szCs w:val="20"/>
              </w:rPr>
            </w:pPr>
          </w:p>
        </w:tc>
        <w:tc>
          <w:tcPr>
            <w:tcW w:w="784" w:type="dxa"/>
            <w:vAlign w:val="center"/>
          </w:tcPr>
          <w:p w14:paraId="35165018" w14:textId="00EDDE0F" w:rsidR="009C5E27" w:rsidRPr="00E66603" w:rsidRDefault="009C5E27" w:rsidP="003124CE">
            <w:pPr>
              <w:jc w:val="center"/>
              <w:textAlignment w:val="baseline"/>
              <w:rPr>
                <w:rFonts w:ascii="Arial Narrow" w:hAnsi="Arial Narrow" w:cs="Open Sans"/>
                <w:sz w:val="20"/>
                <w:szCs w:val="20"/>
              </w:rPr>
            </w:pPr>
          </w:p>
          <w:p w14:paraId="340B6DF0" w14:textId="406C9C5F" w:rsidR="009C5E27" w:rsidRPr="00592E29" w:rsidRDefault="009C5E27" w:rsidP="003124CE">
            <w:pPr>
              <w:jc w:val="center"/>
              <w:rPr>
                <w:rFonts w:ascii="Arial Narrow" w:hAnsi="Arial Narrow"/>
                <w:i/>
                <w:iCs/>
                <w:color w:val="333333"/>
                <w:sz w:val="20"/>
                <w:szCs w:val="20"/>
              </w:rPr>
            </w:pPr>
          </w:p>
        </w:tc>
        <w:tc>
          <w:tcPr>
            <w:tcW w:w="7745" w:type="dxa"/>
            <w:gridSpan w:val="6"/>
          </w:tcPr>
          <w:p w14:paraId="35855C34" w14:textId="77777777" w:rsidR="009C5E27" w:rsidRPr="00592E29" w:rsidRDefault="009C5E27" w:rsidP="003124CE">
            <w:pPr>
              <w:pStyle w:val="TableText0"/>
              <w:rPr>
                <w:szCs w:val="20"/>
              </w:rPr>
            </w:pPr>
            <w:r w:rsidRPr="00592E29">
              <w:rPr>
                <w:rFonts w:eastAsia="Times New Roman" w:cs="Times New Roman"/>
                <w:b/>
                <w:color w:val="333333"/>
                <w:szCs w:val="20"/>
              </w:rPr>
              <w:t>Administrative Advice:</w:t>
            </w:r>
            <w:r w:rsidRPr="00592E29">
              <w:rPr>
                <w:rFonts w:eastAsia="Times New Roman" w:cs="Times New Roman"/>
                <w:color w:val="333333"/>
                <w:szCs w:val="20"/>
              </w:rPr>
              <w:t xml:space="preserve"> </w:t>
            </w:r>
            <w:r w:rsidRPr="00592E29">
              <w:rPr>
                <w:szCs w:val="20"/>
              </w:rPr>
              <w:t>Any queries concerning the arrangements to prescribe may be directed to Services Australia on 1800 700 270 (hours of operation 8 a.m. to 5 p.m. EST Monday to Friday).</w:t>
            </w:r>
          </w:p>
          <w:p w14:paraId="582F0813" w14:textId="77777777" w:rsidR="009C5E27" w:rsidRPr="00592E29" w:rsidRDefault="009C5E27" w:rsidP="003124CE">
            <w:pPr>
              <w:pStyle w:val="TableText0"/>
              <w:rPr>
                <w:szCs w:val="20"/>
              </w:rPr>
            </w:pPr>
            <w:r w:rsidRPr="00592E29">
              <w:rPr>
                <w:szCs w:val="20"/>
              </w:rPr>
              <w:t xml:space="preserve">Prescribing information (including Authority Application forms and other relevant documentation as applicable) is available on the Services Australia website at </w:t>
            </w:r>
            <w:hyperlink r:id="rId24" w:history="1">
              <w:r w:rsidRPr="00592E29">
                <w:rPr>
                  <w:rStyle w:val="Hyperlink"/>
                  <w:szCs w:val="20"/>
                </w:rPr>
                <w:t>www.servicesaustralia.gov.au</w:t>
              </w:r>
            </w:hyperlink>
            <w:r w:rsidRPr="00592E29">
              <w:rPr>
                <w:szCs w:val="20"/>
              </w:rPr>
              <w:t xml:space="preserve"> </w:t>
            </w:r>
          </w:p>
          <w:p w14:paraId="1F55A682" w14:textId="77777777" w:rsidR="009C5E27" w:rsidRPr="00592E29" w:rsidRDefault="009C5E27" w:rsidP="003124CE">
            <w:pPr>
              <w:pStyle w:val="TableText0"/>
              <w:rPr>
                <w:szCs w:val="20"/>
              </w:rPr>
            </w:pPr>
            <w:r w:rsidRPr="00592E29">
              <w:rPr>
                <w:szCs w:val="20"/>
              </w:rPr>
              <w:t xml:space="preserve">Applications for authority to prescribe should be submitted online using the form upload facility in Health Professional Online Services (HPOS) at </w:t>
            </w:r>
            <w:hyperlink r:id="rId25">
              <w:r w:rsidRPr="00592E29">
                <w:rPr>
                  <w:rStyle w:val="Hyperlink"/>
                  <w:szCs w:val="20"/>
                </w:rPr>
                <w:t>www.servicesaustralia.gov.au/hpos</w:t>
              </w:r>
            </w:hyperlink>
            <w:r w:rsidRPr="00592E29">
              <w:rPr>
                <w:szCs w:val="20"/>
              </w:rPr>
              <w:t xml:space="preserve"> </w:t>
            </w:r>
          </w:p>
          <w:p w14:paraId="33E18864" w14:textId="77777777" w:rsidR="009C5E27" w:rsidRPr="00592E29" w:rsidRDefault="009C5E27" w:rsidP="003124CE">
            <w:pPr>
              <w:pStyle w:val="TableText0"/>
              <w:rPr>
                <w:szCs w:val="20"/>
              </w:rPr>
            </w:pPr>
            <w:r w:rsidRPr="00592E29">
              <w:rPr>
                <w:szCs w:val="20"/>
              </w:rPr>
              <w:t>Or mailed to:</w:t>
            </w:r>
          </w:p>
          <w:p w14:paraId="6E3A42E3" w14:textId="77777777" w:rsidR="009C5E27" w:rsidRPr="00592E29" w:rsidRDefault="009C5E27" w:rsidP="003124CE">
            <w:pPr>
              <w:pStyle w:val="TableText0"/>
              <w:rPr>
                <w:szCs w:val="20"/>
              </w:rPr>
            </w:pPr>
            <w:r w:rsidRPr="00592E29">
              <w:rPr>
                <w:szCs w:val="20"/>
              </w:rPr>
              <w:t>Services Australia</w:t>
            </w:r>
          </w:p>
          <w:p w14:paraId="4C24E125" w14:textId="77777777" w:rsidR="009C5E27" w:rsidRPr="00592E29" w:rsidRDefault="009C5E27" w:rsidP="003124CE">
            <w:pPr>
              <w:pStyle w:val="TableText0"/>
              <w:rPr>
                <w:szCs w:val="20"/>
              </w:rPr>
            </w:pPr>
            <w:r w:rsidRPr="00592E29">
              <w:rPr>
                <w:szCs w:val="20"/>
              </w:rPr>
              <w:t>Complex Drugs</w:t>
            </w:r>
          </w:p>
          <w:p w14:paraId="3DDE2AD3" w14:textId="77777777" w:rsidR="009C5E27" w:rsidRPr="00592E29" w:rsidRDefault="009C5E27" w:rsidP="003124CE">
            <w:pPr>
              <w:pStyle w:val="TableText0"/>
              <w:rPr>
                <w:szCs w:val="20"/>
              </w:rPr>
            </w:pPr>
            <w:r w:rsidRPr="00592E29">
              <w:rPr>
                <w:szCs w:val="20"/>
              </w:rPr>
              <w:t>Reply Paid 9826</w:t>
            </w:r>
          </w:p>
          <w:p w14:paraId="0F1DA717"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HOBART TAS 7001</w:t>
            </w:r>
          </w:p>
        </w:tc>
      </w:tr>
      <w:tr w:rsidR="009C5E27" w:rsidRPr="00592E29" w14:paraId="0D9146AB"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cPr>
          <w:p w14:paraId="2F9FDE20" w14:textId="77777777" w:rsidR="009C5E27" w:rsidRPr="00592E29" w:rsidRDefault="009C5E27" w:rsidP="003124CE">
            <w:pPr>
              <w:rPr>
                <w:rFonts w:ascii="Arial Narrow" w:eastAsia="Calibri" w:hAnsi="Arial Narrow"/>
                <w:sz w:val="20"/>
                <w:szCs w:val="20"/>
              </w:rPr>
            </w:pPr>
          </w:p>
        </w:tc>
        <w:tc>
          <w:tcPr>
            <w:tcW w:w="784" w:type="dxa"/>
            <w:vAlign w:val="center"/>
          </w:tcPr>
          <w:p w14:paraId="23192BB2" w14:textId="53CDE9D8" w:rsidR="009C5E27" w:rsidRPr="005F4B20" w:rsidRDefault="009C5E27" w:rsidP="003124CE">
            <w:pPr>
              <w:jc w:val="center"/>
              <w:rPr>
                <w:rFonts w:ascii="Arial Narrow" w:hAnsi="Arial Narrow"/>
                <w:color w:val="333333"/>
                <w:sz w:val="20"/>
                <w:szCs w:val="20"/>
              </w:rPr>
            </w:pPr>
          </w:p>
        </w:tc>
        <w:tc>
          <w:tcPr>
            <w:tcW w:w="7745" w:type="dxa"/>
            <w:gridSpan w:val="6"/>
          </w:tcPr>
          <w:p w14:paraId="17AE1CBD"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The prescriber completing this authority application must be a specialist medical practitioner of the type specified in the restriction.</w:t>
            </w:r>
          </w:p>
        </w:tc>
      </w:tr>
      <w:tr w:rsidR="009C5E27" w:rsidRPr="00592E29" w14:paraId="4D531765" w14:textId="77777777" w:rsidTr="00DE413E">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tcPr>
          <w:p w14:paraId="1950D6F4"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[new6] / Treatment of Concept: [new6] </w:t>
            </w:r>
          </w:p>
        </w:tc>
      </w:tr>
      <w:tr w:rsidR="009C5E27" w:rsidRPr="00592E29" w14:paraId="01D6AFC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07B565D8" w14:textId="1D90EBB2" w:rsidR="009C5E27" w:rsidRPr="005F4B20" w:rsidRDefault="009C5E27" w:rsidP="003124CE">
            <w:pPr>
              <w:keepLines/>
              <w:jc w:val="center"/>
              <w:rPr>
                <w:rFonts w:ascii="Arial Narrow" w:hAnsi="Arial Narrow"/>
                <w:color w:val="333333"/>
                <w:sz w:val="20"/>
                <w:szCs w:val="20"/>
              </w:rPr>
            </w:pPr>
          </w:p>
        </w:tc>
        <w:tc>
          <w:tcPr>
            <w:tcW w:w="7745" w:type="dxa"/>
            <w:gridSpan w:val="6"/>
            <w:vAlign w:val="center"/>
            <w:hideMark/>
          </w:tcPr>
          <w:p w14:paraId="5510D560"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3741E00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242207FD"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hideMark/>
          </w:tcPr>
          <w:p w14:paraId="48992C36"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Continuing treatment</w:t>
            </w:r>
          </w:p>
        </w:tc>
      </w:tr>
      <w:tr w:rsidR="009C5E27" w:rsidRPr="00592E29" w14:paraId="510D32B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753CEA52" w14:textId="5BAED88A" w:rsidR="009C5E27" w:rsidRPr="005F4B20" w:rsidRDefault="009C5E27" w:rsidP="003124CE">
            <w:pPr>
              <w:jc w:val="center"/>
              <w:rPr>
                <w:rFonts w:ascii="Arial Narrow" w:hAnsi="Arial Narrow"/>
                <w:color w:val="333333"/>
                <w:sz w:val="20"/>
                <w:szCs w:val="20"/>
              </w:rPr>
            </w:pPr>
          </w:p>
        </w:tc>
        <w:tc>
          <w:tcPr>
            <w:tcW w:w="7745" w:type="dxa"/>
            <w:gridSpan w:val="6"/>
            <w:vAlign w:val="center"/>
            <w:hideMark/>
          </w:tcPr>
          <w:p w14:paraId="3CF6544F"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 xml:space="preserve">Clinical criteria: </w:t>
            </w:r>
          </w:p>
        </w:tc>
      </w:tr>
      <w:tr w:rsidR="009C5E27" w:rsidRPr="00592E29" w14:paraId="33118D6F"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6066EA" w14:textId="5DB60DE8"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758C1D9" w14:textId="77777777" w:rsidR="009C5E27" w:rsidRPr="00592E29" w:rsidRDefault="009C5E27" w:rsidP="003124CE">
            <w:pPr>
              <w:pStyle w:val="TableText0"/>
              <w:rPr>
                <w:szCs w:val="20"/>
              </w:rPr>
            </w:pPr>
            <w:r w:rsidRPr="00592E29">
              <w:rPr>
                <w:szCs w:val="20"/>
              </w:rPr>
              <w:t>Patient must have received this drug as their most recent course of PBS-subsidised biological medicine treatment for this condition</w:t>
            </w:r>
          </w:p>
        </w:tc>
      </w:tr>
      <w:tr w:rsidR="009C5E27" w:rsidRPr="00592E29" w14:paraId="48FE4273"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6B9F8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2D3234F"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AND</w:t>
            </w:r>
          </w:p>
        </w:tc>
      </w:tr>
      <w:tr w:rsidR="009C5E27" w:rsidRPr="00592E29" w14:paraId="7237FCEC"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D480AD2" w14:textId="2C406D13"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FD3FA59"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465DB84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8EEECB5" w14:textId="3EA54C0B"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0FBC913" w14:textId="77777777" w:rsidR="009C5E27" w:rsidRPr="00592E29" w:rsidRDefault="009C5E27" w:rsidP="003124CE">
            <w:pPr>
              <w:pStyle w:val="TableText0"/>
              <w:rPr>
                <w:szCs w:val="20"/>
              </w:rPr>
            </w:pPr>
            <w:r w:rsidRPr="00592E29">
              <w:rPr>
                <w:szCs w:val="20"/>
              </w:rPr>
              <w:t>Patient must have an adequate response to this drug defined as a reduction in Crohn Disease Activity Index (CDAI) Score to a level no greater than 150 if assessed by CDAI or if affected by extensive small intestine disease; or</w:t>
            </w:r>
          </w:p>
        </w:tc>
      </w:tr>
      <w:tr w:rsidR="009C5E27" w:rsidRPr="00592E29" w14:paraId="5E3E73B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72E4CB" w14:textId="6663092D"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6BFFC4A" w14:textId="77777777" w:rsidR="009C5E27" w:rsidRPr="00592E29" w:rsidRDefault="009C5E27" w:rsidP="003124CE">
            <w:pPr>
              <w:pStyle w:val="TableText0"/>
              <w:rPr>
                <w:szCs w:val="20"/>
              </w:rPr>
            </w:pPr>
            <w:r w:rsidRPr="00592E29">
              <w:rPr>
                <w:szCs w:val="20"/>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tc>
      </w:tr>
      <w:tr w:rsidR="009C5E27" w:rsidRPr="00592E29" w14:paraId="6B8B9AE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EAA667"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0FE6C3F"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AND</w:t>
            </w:r>
          </w:p>
        </w:tc>
      </w:tr>
      <w:tr w:rsidR="009C5E27" w:rsidRPr="00592E29" w14:paraId="2BA953A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C19C74" w14:textId="0063F29F"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F9BEB9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1BFB1155"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FADAB4" w14:textId="155F672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7A4E53C"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not receive more than 24 weeks of treatment under this restriction</w:t>
            </w:r>
          </w:p>
        </w:tc>
      </w:tr>
      <w:tr w:rsidR="009C5E27" w:rsidRPr="00592E29" w14:paraId="41C1164E"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D497E3"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BD3A72C" w14:textId="77777777" w:rsidR="009C5E27" w:rsidRPr="00592E29" w:rsidRDefault="009C5E27" w:rsidP="003124CE">
            <w:pPr>
              <w:rPr>
                <w:rFonts w:ascii="Arial Narrow" w:hAnsi="Arial Narrow"/>
                <w:b/>
                <w:bCs/>
                <w:color w:val="333333"/>
                <w:sz w:val="20"/>
                <w:szCs w:val="20"/>
              </w:rPr>
            </w:pPr>
          </w:p>
        </w:tc>
      </w:tr>
      <w:tr w:rsidR="009C5E27" w:rsidRPr="00592E29" w14:paraId="0471621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818794" w14:textId="0803F44C"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F3AF90E"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Treatment criteria:</w:t>
            </w:r>
          </w:p>
        </w:tc>
      </w:tr>
      <w:tr w:rsidR="009C5E27" w:rsidRPr="00592E29" w14:paraId="48ABFB6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CC8ADC" w14:textId="1ABFB5E6"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DF7DB7D"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gastroenterologist (code 87); or</w:t>
            </w:r>
          </w:p>
        </w:tc>
      </w:tr>
      <w:tr w:rsidR="009C5E27" w:rsidRPr="00592E29" w14:paraId="1925325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D8E368" w14:textId="47B1FD9F"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398D4B7"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[internal medicine specialising in gastroenterology (code 81)]; or</w:t>
            </w:r>
          </w:p>
        </w:tc>
      </w:tr>
      <w:tr w:rsidR="009C5E27" w:rsidRPr="00592E29" w14:paraId="70297E50"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0926D8" w14:textId="125B8A3E"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124143E"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078698B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DFC39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D5E58EE" w14:textId="77777777" w:rsidR="009C5E27" w:rsidRPr="00592E29" w:rsidRDefault="009C5E27" w:rsidP="003124CE">
            <w:pPr>
              <w:rPr>
                <w:rFonts w:ascii="Arial Narrow" w:hAnsi="Arial Narrow"/>
                <w:b/>
                <w:bCs/>
                <w:color w:val="333333"/>
                <w:sz w:val="20"/>
                <w:szCs w:val="20"/>
              </w:rPr>
            </w:pPr>
          </w:p>
        </w:tc>
      </w:tr>
      <w:tr w:rsidR="009C5E27" w:rsidRPr="00592E29" w14:paraId="3CCC8A63"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9CEDA2" w14:textId="5CD318F4"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C553B31"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Population criteria:</w:t>
            </w:r>
          </w:p>
        </w:tc>
      </w:tr>
      <w:tr w:rsidR="009C5E27" w:rsidRPr="00592E29" w14:paraId="274F7295"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E5CBAA" w14:textId="29713DD5" w:rsidR="009C5E27" w:rsidRPr="005F4B20" w:rsidRDefault="009C5E27" w:rsidP="003124CE">
            <w:pPr>
              <w:jc w:val="center"/>
              <w:rPr>
                <w:rFonts w:ascii="Arial Narrow" w:hAnsi="Arial Narrow"/>
                <w:sz w:val="20"/>
                <w:szCs w:val="20"/>
              </w:rPr>
            </w:pPr>
          </w:p>
        </w:tc>
        <w:tc>
          <w:tcPr>
            <w:tcW w:w="7745" w:type="dxa"/>
            <w:gridSpan w:val="6"/>
            <w:vAlign w:val="center"/>
          </w:tcPr>
          <w:p w14:paraId="43C2E81D"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be aged 18 years or older</w:t>
            </w:r>
          </w:p>
        </w:tc>
      </w:tr>
      <w:tr w:rsidR="009C5E27" w:rsidRPr="00592E29" w14:paraId="38750A63"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EB9400"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1997D9F" w14:textId="77777777" w:rsidR="009C5E27" w:rsidRPr="00592E29" w:rsidRDefault="009C5E27" w:rsidP="003124CE">
            <w:pPr>
              <w:rPr>
                <w:rFonts w:ascii="Arial Narrow" w:hAnsi="Arial Narrow"/>
                <w:b/>
                <w:bCs/>
                <w:color w:val="333333"/>
                <w:sz w:val="20"/>
                <w:szCs w:val="20"/>
              </w:rPr>
            </w:pPr>
          </w:p>
        </w:tc>
      </w:tr>
      <w:tr w:rsidR="009C5E27" w:rsidRPr="00592E29" w14:paraId="4E842A9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1C58B2" w14:textId="0A58D76D" w:rsidR="009C5E27" w:rsidRPr="005F4B20" w:rsidRDefault="009C5E27" w:rsidP="00FE529A">
            <w:pPr>
              <w:rPr>
                <w:rFonts w:ascii="Arial Narrow" w:hAnsi="Arial Narrow"/>
                <w:strike/>
                <w:color w:val="333333"/>
                <w:sz w:val="20"/>
                <w:szCs w:val="20"/>
              </w:rPr>
            </w:pPr>
          </w:p>
          <w:p w14:paraId="4383919C" w14:textId="02C9C38B" w:rsidR="009C5E27" w:rsidRPr="005F4B20" w:rsidRDefault="009C5E27" w:rsidP="003124CE">
            <w:pPr>
              <w:jc w:val="center"/>
              <w:rPr>
                <w:rFonts w:ascii="Arial Narrow" w:hAnsi="Arial Narrow"/>
                <w:strike/>
                <w:color w:val="333333"/>
                <w:sz w:val="20"/>
                <w:szCs w:val="20"/>
              </w:rPr>
            </w:pPr>
          </w:p>
          <w:p w14:paraId="2975EBB5"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BE05705"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5877339B" w14:textId="77777777" w:rsidR="009C5E27" w:rsidRPr="00592E29" w:rsidRDefault="009C5E27" w:rsidP="003124CE">
            <w:pPr>
              <w:pStyle w:val="TableText0"/>
              <w:rPr>
                <w:szCs w:val="20"/>
              </w:rPr>
            </w:pPr>
            <w:r w:rsidRPr="00592E29">
              <w:rPr>
                <w:szCs w:val="20"/>
              </w:rPr>
              <w:t xml:space="preserve">Applications for authorisation must be made in writing and must </w:t>
            </w:r>
            <w:proofErr w:type="gramStart"/>
            <w:r w:rsidRPr="00592E29">
              <w:rPr>
                <w:szCs w:val="20"/>
              </w:rPr>
              <w:t>include:,</w:t>
            </w:r>
            <w:proofErr w:type="gramEnd"/>
            <w:r w:rsidRPr="00592E29">
              <w:rPr>
                <w:szCs w:val="20"/>
              </w:rPr>
              <w:t xml:space="preserve"> </w:t>
            </w:r>
          </w:p>
          <w:p w14:paraId="7003A483" w14:textId="27E3603F" w:rsidR="009C5E27" w:rsidRPr="00592E29" w:rsidRDefault="009C5E27" w:rsidP="003124CE">
            <w:pPr>
              <w:pStyle w:val="TableText0"/>
              <w:rPr>
                <w:szCs w:val="20"/>
              </w:rPr>
            </w:pPr>
            <w:r w:rsidRPr="00592E29">
              <w:rPr>
                <w:szCs w:val="20"/>
              </w:rPr>
              <w:t xml:space="preserve">(a) details of the proposed prescription form; and, </w:t>
            </w:r>
          </w:p>
          <w:p w14:paraId="3941D5BD" w14:textId="6F261CCD" w:rsidR="009C5E27" w:rsidRDefault="009C5E27" w:rsidP="003124CE">
            <w:pPr>
              <w:pStyle w:val="TableText0"/>
              <w:rPr>
                <w:strike/>
                <w:szCs w:val="20"/>
              </w:rPr>
            </w:pPr>
            <w:r w:rsidRPr="00A776A9">
              <w:rPr>
                <w:strike/>
                <w:szCs w:val="20"/>
              </w:rPr>
              <w:t>(</w:t>
            </w:r>
          </w:p>
          <w:p w14:paraId="2DB17AB2" w14:textId="77777777" w:rsidR="009C5E27" w:rsidRPr="009703BB" w:rsidRDefault="009C5E27" w:rsidP="003124CE">
            <w:pPr>
              <w:pStyle w:val="TableText0"/>
              <w:rPr>
                <w:i/>
                <w:iCs/>
                <w:szCs w:val="20"/>
              </w:rPr>
            </w:pPr>
            <w:r w:rsidRPr="009703BB">
              <w:rPr>
                <w:i/>
                <w:iCs/>
                <w:szCs w:val="20"/>
              </w:rPr>
              <w:t>(b) a completed authority application form relevant to the indication and treatment phase (the latest version is located on the website specified in the Administrative Advice).</w:t>
            </w:r>
          </w:p>
          <w:p w14:paraId="0CBCB9A3" w14:textId="77777777" w:rsidR="009C5E27" w:rsidRPr="009703BB" w:rsidRDefault="009C5E27" w:rsidP="003124CE">
            <w:pPr>
              <w:pStyle w:val="TableText0"/>
              <w:rPr>
                <w:i/>
                <w:iCs/>
                <w:szCs w:val="20"/>
              </w:rPr>
            </w:pPr>
            <w:r w:rsidRPr="009703BB">
              <w:rPr>
                <w:i/>
                <w:iCs/>
                <w:szCs w:val="20"/>
              </w:rPr>
              <w:t>In relation to the immediately preceding supply of this biological medicine, provide at least one of the following which is not more than 4 weeks from the last administered dose:</w:t>
            </w:r>
          </w:p>
          <w:p w14:paraId="3F2A53D1" w14:textId="77777777" w:rsidR="009C5E27" w:rsidRPr="009703BB" w:rsidRDefault="009C5E27" w:rsidP="003124CE">
            <w:pPr>
              <w:pStyle w:val="TableText0"/>
              <w:rPr>
                <w:i/>
                <w:iCs/>
                <w:szCs w:val="20"/>
              </w:rPr>
            </w:pPr>
            <w:r w:rsidRPr="009703BB">
              <w:rPr>
                <w:i/>
                <w:iCs/>
                <w:szCs w:val="20"/>
              </w:rPr>
              <w:t>(i) the Crohn Disease Activity Index (CDAI) score, including the date the score was calculated on; or</w:t>
            </w:r>
          </w:p>
          <w:p w14:paraId="55DE5C34" w14:textId="77777777" w:rsidR="009C5E27" w:rsidRPr="00A776A9" w:rsidRDefault="009C5E27" w:rsidP="003124CE">
            <w:pPr>
              <w:pStyle w:val="TableText0"/>
              <w:rPr>
                <w:i/>
                <w:iCs/>
                <w:szCs w:val="20"/>
              </w:rPr>
            </w:pPr>
            <w:r w:rsidRPr="009703BB">
              <w:rPr>
                <w:i/>
                <w:iCs/>
                <w:szCs w:val="20"/>
              </w:rPr>
              <w:t>(ii) the unique serial/identifying number and date(s) of pathology or diagnostic imaging test(s) used to assess response to therapy for patients with short gut syndrome, extensive small intestine disease or an ostomy, if relevant .</w:t>
            </w:r>
          </w:p>
        </w:tc>
      </w:tr>
      <w:tr w:rsidR="009C5E27" w:rsidRPr="00592E29" w14:paraId="488372A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625AFD" w14:textId="78E3691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B4972FA"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0BCCBD36" w14:textId="77777777" w:rsidR="009C5E27" w:rsidRPr="00592E29" w:rsidRDefault="009C5E27" w:rsidP="003124CE">
            <w:pPr>
              <w:pStyle w:val="TableText0"/>
              <w:rPr>
                <w:szCs w:val="20"/>
              </w:rPr>
            </w:pPr>
            <w:r w:rsidRPr="00592E29">
              <w:rPr>
                <w:szCs w:val="20"/>
              </w:rPr>
              <w:t>All assessments, pathology tests, and diagnostic imaging studies must be made within 1 month of the date of application.</w:t>
            </w:r>
          </w:p>
        </w:tc>
      </w:tr>
      <w:tr w:rsidR="009C5E27" w:rsidRPr="00592E29" w14:paraId="63833C0F"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D2F0D8" w14:textId="50618E70" w:rsidR="009C5E27" w:rsidRPr="005F4B20" w:rsidRDefault="009C5E27" w:rsidP="003124CE">
            <w:pPr>
              <w:jc w:val="center"/>
              <w:rPr>
                <w:rFonts w:ascii="Arial Narrow" w:hAnsi="Arial Narrow"/>
                <w:strike/>
                <w:color w:val="333333"/>
                <w:sz w:val="20"/>
                <w:szCs w:val="20"/>
              </w:rPr>
            </w:pPr>
          </w:p>
          <w:p w14:paraId="386E8FCC" w14:textId="47429295"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48F4C5F"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0595EBC9" w14:textId="77777777" w:rsidR="009C5E27" w:rsidRPr="00A776A9" w:rsidRDefault="009C5E27" w:rsidP="003124CE">
            <w:pPr>
              <w:pStyle w:val="TableText0"/>
              <w:rPr>
                <w:strike/>
                <w:szCs w:val="20"/>
              </w:rPr>
            </w:pPr>
            <w:r w:rsidRPr="00FC1FF8">
              <w:rPr>
                <w:rFonts w:eastAsia="Times New Roman"/>
                <w:i/>
                <w:iCs/>
                <w:szCs w:val="20"/>
              </w:rPr>
              <w:t>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treatment.</w:t>
            </w:r>
          </w:p>
        </w:tc>
      </w:tr>
      <w:tr w:rsidR="009C5E27" w:rsidRPr="00592E29" w14:paraId="39BBC9B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F894D52" w14:textId="5FFE3D1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167FC2E"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3D427629" w14:textId="77777777" w:rsidR="009C5E27" w:rsidRPr="00592E29" w:rsidRDefault="009C5E27" w:rsidP="003124CE">
            <w:pPr>
              <w:pStyle w:val="TableText0"/>
              <w:rPr>
                <w:szCs w:val="20"/>
              </w:rPr>
            </w:pPr>
            <w:r w:rsidRPr="00592E29">
              <w:rPr>
                <w:szCs w:val="20"/>
              </w:rPr>
              <w:t>Where an assessment is not submitted within these timeframes, patients will be deemed to have failed to respond, or to have failed to sustain a response, to treatment with this drug.</w:t>
            </w:r>
          </w:p>
        </w:tc>
      </w:tr>
      <w:tr w:rsidR="009C5E27" w:rsidRPr="00592E29" w14:paraId="5A70585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435CAD1" w14:textId="37796DF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EB29841"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3487D7D8" w14:textId="77777777" w:rsidR="009C5E27" w:rsidRPr="00592E29" w:rsidRDefault="009C5E27" w:rsidP="003124CE">
            <w:pPr>
              <w:pStyle w:val="TableText0"/>
              <w:rPr>
                <w:szCs w:val="20"/>
              </w:rPr>
            </w:pPr>
            <w:r w:rsidRPr="00592E29">
              <w:rPr>
                <w:szCs w:val="20"/>
              </w:rPr>
              <w:t xml:space="preserve">If a patient fails to demonstrate a response to treatment with this </w:t>
            </w:r>
            <w:proofErr w:type="gramStart"/>
            <w:r w:rsidRPr="00592E29">
              <w:rPr>
                <w:szCs w:val="20"/>
              </w:rPr>
              <w:t>drug</w:t>
            </w:r>
            <w:proofErr w:type="gramEnd"/>
            <w:r w:rsidRPr="00592E29">
              <w:rPr>
                <w:szCs w:val="20"/>
              </w:rPr>
              <w:t xml:space="preserve"> they will not be eligible to receive further PBS-subsidised treatment with this drug for this condition. Serious adverse reaction of a severity resulting in the necessity for permanent withdrawal of treatment is not considered as a treatment failure.</w:t>
            </w:r>
          </w:p>
        </w:tc>
      </w:tr>
      <w:tr w:rsidR="009C5E27" w:rsidRPr="00592E29" w14:paraId="5D0578E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F966B5" w14:textId="487CB728"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4E5FF9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168A91BB" w14:textId="77777777" w:rsidR="009C5E27" w:rsidRPr="00592E29" w:rsidRDefault="009C5E27" w:rsidP="003124CE">
            <w:pPr>
              <w:pStyle w:val="TableText0"/>
              <w:rPr>
                <w:szCs w:val="20"/>
              </w:rPr>
            </w:pPr>
            <w:r w:rsidRPr="00592E29">
              <w:rPr>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9C5E27" w:rsidRPr="00592E29" w14:paraId="7CC0F58F"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5FC9BE0" w14:textId="738B613B"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6F4A54F"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6276A5BC"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Patients are eligible to receive continuing treatment with this drug in courses of up to 24 weeks providing they continue to sustain a response</w:t>
            </w:r>
          </w:p>
        </w:tc>
      </w:tr>
      <w:tr w:rsidR="009C5E27" w:rsidRPr="00592E29" w14:paraId="179EB2E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1996E1B"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621BEBA" w14:textId="77777777" w:rsidR="009C5E27" w:rsidRPr="00592E29" w:rsidRDefault="009C5E27" w:rsidP="003124CE">
            <w:pPr>
              <w:rPr>
                <w:rFonts w:ascii="Arial Narrow" w:hAnsi="Arial Narrow"/>
                <w:b/>
                <w:bCs/>
                <w:color w:val="333333"/>
                <w:sz w:val="20"/>
                <w:szCs w:val="20"/>
              </w:rPr>
            </w:pPr>
          </w:p>
        </w:tc>
      </w:tr>
      <w:tr w:rsidR="009C5E27" w:rsidRPr="00592E29" w14:paraId="5A93AEC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E41E66A"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01314794" w14:textId="77777777" w:rsidR="009C5E27" w:rsidRPr="00592E29" w:rsidRDefault="009C5E27" w:rsidP="003124CE">
            <w:pPr>
              <w:rPr>
                <w:rFonts w:ascii="Arial Narrow" w:hAnsi="Arial Narrow"/>
                <w:b/>
                <w:bCs/>
                <w:color w:val="333333"/>
                <w:sz w:val="20"/>
                <w:szCs w:val="20"/>
              </w:rPr>
            </w:pPr>
          </w:p>
        </w:tc>
      </w:tr>
      <w:tr w:rsidR="009C5E27" w:rsidRPr="00592E29" w14:paraId="578CAB4D" w14:textId="77777777" w:rsidTr="00DE413E">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vAlign w:val="center"/>
          </w:tcPr>
          <w:p w14:paraId="6EA553CC" w14:textId="77777777" w:rsidR="009C5E27" w:rsidRPr="00592E29" w:rsidRDefault="009C5E27" w:rsidP="003124CE">
            <w:pPr>
              <w:rPr>
                <w:rFonts w:ascii="Arial Narrow" w:hAnsi="Arial Narrow"/>
                <w:b/>
                <w:bCs/>
                <w:color w:val="333333"/>
                <w:sz w:val="20"/>
                <w:szCs w:val="20"/>
              </w:rPr>
            </w:pPr>
            <w:r w:rsidRPr="00592E29">
              <w:rPr>
                <w:rFonts w:ascii="Arial Narrow" w:hAnsi="Arial Narrow"/>
                <w:b/>
                <w:sz w:val="20"/>
                <w:szCs w:val="20"/>
              </w:rPr>
              <w:t>Restriction Summary [new7] / Treatment of Concept: [new7]</w:t>
            </w:r>
          </w:p>
        </w:tc>
      </w:tr>
      <w:tr w:rsidR="009C5E27" w:rsidRPr="00592E29" w14:paraId="10E4C440"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947BEB" w14:textId="451DFD42"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D62C322"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Indication: </w:t>
            </w:r>
            <w:r w:rsidRPr="00592E29">
              <w:rPr>
                <w:rFonts w:ascii="Arial Narrow" w:hAnsi="Arial Narrow"/>
                <w:sz w:val="20"/>
                <w:szCs w:val="20"/>
              </w:rPr>
              <w:t>Severe Crohn disease</w:t>
            </w:r>
          </w:p>
        </w:tc>
      </w:tr>
      <w:tr w:rsidR="009C5E27" w:rsidRPr="00592E29" w14:paraId="2D89C42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49770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4676491"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Treatment Phase: </w:t>
            </w:r>
            <w:r w:rsidRPr="00592E29">
              <w:rPr>
                <w:rFonts w:ascii="Arial Narrow" w:hAnsi="Arial Narrow"/>
                <w:sz w:val="20"/>
                <w:szCs w:val="20"/>
              </w:rPr>
              <w:t xml:space="preserve">Transitioning from non-PBS to PBS-subsidised supply - Grandfather arrangements </w:t>
            </w:r>
            <w:r w:rsidRPr="00626553">
              <w:rPr>
                <w:rFonts w:ascii="Arial Narrow" w:hAnsi="Arial Narrow"/>
                <w:i/>
                <w:sz w:val="20"/>
                <w:szCs w:val="20"/>
              </w:rPr>
              <w:t>(for patients transitioning through maintenance doses)</w:t>
            </w:r>
          </w:p>
        </w:tc>
      </w:tr>
      <w:tr w:rsidR="009C5E27" w:rsidRPr="00592E29" w14:paraId="0CBDF3D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37C05A"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ADAF38C"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Clinical Criteria:</w:t>
            </w:r>
          </w:p>
        </w:tc>
      </w:tr>
      <w:tr w:rsidR="009C5E27" w:rsidRPr="00592E29" w14:paraId="7979F24C"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E40387F" w14:textId="2A89AB5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0C46596"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have a documented history of severe Crohn disease</w:t>
            </w:r>
          </w:p>
        </w:tc>
      </w:tr>
      <w:tr w:rsidR="009C5E27" w:rsidRPr="00592E29" w14:paraId="25112AC2"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514066"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6206D6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0FA4F65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A22C5F"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E8CEE76"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Clinical criteria: </w:t>
            </w:r>
          </w:p>
        </w:tc>
      </w:tr>
      <w:tr w:rsidR="009C5E27" w:rsidRPr="00592E29" w14:paraId="052F866E"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8A45E9" w14:textId="7E7DE9D6"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1A8D63C" w14:textId="6F40C802"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 xml:space="preserve">Patient must have previously received non-PBS-subsidised treatment with this drug for this condition prior to </w:t>
            </w:r>
            <w:r w:rsidR="00E77A69">
              <w:rPr>
                <w:rFonts w:ascii="Arial Narrow" w:hAnsi="Arial Narrow"/>
                <w:color w:val="000000"/>
                <w:spacing w:val="9"/>
                <w:sz w:val="20"/>
                <w:szCs w:val="20"/>
                <w:shd w:val="solid" w:color="000000" w:fill="000000"/>
                <w:fitText w:val="310" w:id="-628921082"/>
                <w14:textFill>
                  <w14:solidFill>
                    <w14:srgbClr w14:val="000000">
                      <w14:alpha w14:val="100000"/>
                    </w14:srgbClr>
                  </w14:solidFill>
                </w14:textFill>
              </w:rPr>
              <w:t>||  |</w:t>
            </w:r>
            <w:r w:rsidR="00E77A69">
              <w:rPr>
                <w:rFonts w:ascii="Arial Narrow" w:hAnsi="Arial Narrow"/>
                <w:color w:val="000000"/>
                <w:spacing w:val="1"/>
                <w:sz w:val="20"/>
                <w:szCs w:val="20"/>
                <w:shd w:val="solid" w:color="000000" w:fill="000000"/>
                <w:fitText w:val="310" w:id="-628921082"/>
                <w14:textFill>
                  <w14:solidFill>
                    <w14:srgbClr w14:val="000000">
                      <w14:alpha w14:val="100000"/>
                    </w14:srgbClr>
                  </w14:solidFill>
                </w14:textFill>
              </w:rPr>
              <w:t>|</w:t>
            </w:r>
          </w:p>
        </w:tc>
      </w:tr>
      <w:tr w:rsidR="009C5E27" w:rsidRPr="00592E29" w14:paraId="78D7E69E"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B44DA25"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B71690C"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4D90FF92"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B745F2" w14:textId="3F80A56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B0302D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Clinical criteria: </w:t>
            </w:r>
          </w:p>
        </w:tc>
      </w:tr>
      <w:tr w:rsidR="009C5E27" w:rsidRPr="00592E29" w14:paraId="4A30230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A95B7B" w14:textId="455691EC"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227568C"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be receiving treatment with this drug for this condition at the time of application</w:t>
            </w:r>
          </w:p>
        </w:tc>
      </w:tr>
      <w:tr w:rsidR="009C5E27" w:rsidRPr="00592E29" w14:paraId="743EBD4C"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BCD28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DE48E94"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AND</w:t>
            </w:r>
          </w:p>
        </w:tc>
      </w:tr>
      <w:tr w:rsidR="009C5E27" w:rsidRPr="00592E29" w14:paraId="00F0A10E"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F0FE6D" w14:textId="2528F05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95D7224"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 xml:space="preserve">Clinical criteria: </w:t>
            </w:r>
          </w:p>
        </w:tc>
      </w:tr>
      <w:tr w:rsidR="009C5E27" w:rsidRPr="00592E29" w14:paraId="423C466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A5F3EA0" w14:textId="2E98F8C5"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2F23DDF" w14:textId="77777777" w:rsidR="009C5E27" w:rsidRPr="00592E29" w:rsidRDefault="009C5E27" w:rsidP="003124CE">
            <w:pPr>
              <w:rPr>
                <w:rFonts w:ascii="Arial Narrow" w:hAnsi="Arial Narrow"/>
                <w:b/>
                <w:bCs/>
                <w:sz w:val="20"/>
                <w:szCs w:val="20"/>
              </w:rPr>
            </w:pPr>
            <w:r w:rsidRPr="00592E29">
              <w:rPr>
                <w:rFonts w:ascii="Arial Narrow" w:hAnsi="Arial Narrow"/>
                <w:sz w:val="20"/>
                <w:szCs w:val="20"/>
              </w:rPr>
              <w:t>Patient must have had a Crohn Disease Activity Index (CDAI) Score of greater than or equal to 300 prior to commencing treatment with this drug; or</w:t>
            </w:r>
          </w:p>
        </w:tc>
      </w:tr>
      <w:tr w:rsidR="009C5E27" w:rsidRPr="00592E29" w14:paraId="11674E2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D65A9F6" w14:textId="3D8C7C2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035F791" w14:textId="77777777" w:rsidR="009C5E27" w:rsidRPr="00592E29" w:rsidRDefault="009C5E27" w:rsidP="003124CE">
            <w:pPr>
              <w:rPr>
                <w:rFonts w:ascii="Arial Narrow" w:hAnsi="Arial Narrow"/>
                <w:b/>
                <w:bCs/>
                <w:sz w:val="20"/>
                <w:szCs w:val="20"/>
              </w:rPr>
            </w:pPr>
            <w:r w:rsidRPr="00592E29">
              <w:rPr>
                <w:rFonts w:ascii="Arial Narrow" w:hAnsi="Arial Narrow"/>
                <w:sz w:val="20"/>
                <w:szCs w:val="20"/>
              </w:rPr>
              <w:t>Patient must have had short gut syndrome with diagnostic imaging or surgical evidence, or have had an ileostomy or colostomy; and must have had evidence of intestinal inflammation; and must have had evidence of failure to achieve an adequate response to prior systemic therapy as specified below prior to commencing treatment with this drug; or</w:t>
            </w:r>
          </w:p>
        </w:tc>
      </w:tr>
      <w:tr w:rsidR="009C5E27" w:rsidRPr="00592E29" w14:paraId="61BF458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2E8EF4" w14:textId="5182BA4E"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C2EFD7B" w14:textId="77777777" w:rsidR="009C5E27" w:rsidRPr="00592E29" w:rsidRDefault="009C5E27" w:rsidP="003124CE">
            <w:pPr>
              <w:rPr>
                <w:rFonts w:ascii="Arial Narrow" w:hAnsi="Arial Narrow"/>
                <w:b/>
                <w:bCs/>
                <w:sz w:val="20"/>
                <w:szCs w:val="20"/>
              </w:rPr>
            </w:pPr>
            <w:r w:rsidRPr="00592E29">
              <w:rPr>
                <w:rFonts w:ascii="Arial Narrow" w:hAnsi="Arial Narrow"/>
                <w:sz w:val="20"/>
                <w:szCs w:val="20"/>
              </w:rPr>
              <w:t>Patient must have had extensive intestinal inflammation affecting more than 50 cm of the small intestine as evidenced by radiological imaging; and must have had a Crohn Disease Activity Index (CDAI) Score greater than or equal to 220; and must have had evidence of failure to achieve an adequate response to prior systemic therapy as specified below prior to commencing treatment with this drug</w:t>
            </w:r>
          </w:p>
        </w:tc>
      </w:tr>
      <w:tr w:rsidR="009C5E27" w:rsidRPr="00592E29" w14:paraId="04305D25"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1DB30FA" w14:textId="77777777" w:rsidR="009C5E27" w:rsidRPr="005F4B20" w:rsidRDefault="009C5E27" w:rsidP="003124CE">
            <w:pPr>
              <w:jc w:val="center"/>
              <w:rPr>
                <w:rFonts w:ascii="Arial Narrow" w:hAnsi="Arial Narrow"/>
                <w:sz w:val="20"/>
                <w:szCs w:val="20"/>
              </w:rPr>
            </w:pPr>
          </w:p>
        </w:tc>
        <w:tc>
          <w:tcPr>
            <w:tcW w:w="7745" w:type="dxa"/>
            <w:gridSpan w:val="6"/>
            <w:vAlign w:val="center"/>
          </w:tcPr>
          <w:p w14:paraId="50F28DA2" w14:textId="77777777" w:rsidR="009C5E27" w:rsidRPr="00A776A9" w:rsidRDefault="009C5E27" w:rsidP="003124CE">
            <w:pPr>
              <w:rPr>
                <w:rFonts w:ascii="Arial Narrow" w:hAnsi="Arial Narrow"/>
                <w:b/>
                <w:bCs/>
                <w:sz w:val="20"/>
                <w:szCs w:val="20"/>
              </w:rPr>
            </w:pPr>
            <w:r w:rsidRPr="00A776A9">
              <w:rPr>
                <w:rFonts w:ascii="Arial Narrow" w:hAnsi="Arial Narrow"/>
                <w:b/>
                <w:bCs/>
                <w:sz w:val="20"/>
                <w:szCs w:val="20"/>
              </w:rPr>
              <w:t>AND</w:t>
            </w:r>
          </w:p>
        </w:tc>
      </w:tr>
      <w:tr w:rsidR="009C5E27" w:rsidRPr="00592E29" w14:paraId="403BA9D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71FE07" w14:textId="1F3224A5" w:rsidR="009C5E27" w:rsidRPr="005F4B20" w:rsidRDefault="009C5E27" w:rsidP="003124CE">
            <w:pPr>
              <w:jc w:val="center"/>
              <w:rPr>
                <w:rFonts w:ascii="Arial Narrow" w:hAnsi="Arial Narrow"/>
                <w:sz w:val="20"/>
                <w:szCs w:val="20"/>
              </w:rPr>
            </w:pPr>
          </w:p>
        </w:tc>
        <w:tc>
          <w:tcPr>
            <w:tcW w:w="7745" w:type="dxa"/>
            <w:gridSpan w:val="6"/>
            <w:vAlign w:val="center"/>
          </w:tcPr>
          <w:p w14:paraId="062B251E" w14:textId="77777777" w:rsidR="009C5E27" w:rsidRPr="00A776A9" w:rsidRDefault="009C5E27" w:rsidP="003124CE">
            <w:pPr>
              <w:rPr>
                <w:rFonts w:ascii="Arial Narrow" w:hAnsi="Arial Narrow"/>
                <w:b/>
                <w:bCs/>
                <w:sz w:val="20"/>
                <w:szCs w:val="20"/>
              </w:rPr>
            </w:pPr>
            <w:r w:rsidRPr="00A776A9">
              <w:rPr>
                <w:rFonts w:ascii="Arial Narrow" w:hAnsi="Arial Narrow"/>
                <w:b/>
                <w:bCs/>
                <w:sz w:val="20"/>
                <w:szCs w:val="20"/>
              </w:rPr>
              <w:t xml:space="preserve">Clinical criteria: </w:t>
            </w:r>
          </w:p>
        </w:tc>
      </w:tr>
      <w:tr w:rsidR="009C5E27" w:rsidRPr="00592E29" w14:paraId="72BD5DE9"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EEA06D" w14:textId="61B48D67" w:rsidR="009C5E27" w:rsidRPr="005F4B20" w:rsidRDefault="009C5E27" w:rsidP="003124CE">
            <w:pPr>
              <w:jc w:val="center"/>
              <w:rPr>
                <w:rFonts w:ascii="Arial Narrow" w:hAnsi="Arial Narrow"/>
                <w:sz w:val="20"/>
                <w:szCs w:val="20"/>
              </w:rPr>
            </w:pPr>
          </w:p>
        </w:tc>
        <w:tc>
          <w:tcPr>
            <w:tcW w:w="7745" w:type="dxa"/>
            <w:gridSpan w:val="6"/>
            <w:vAlign w:val="center"/>
          </w:tcPr>
          <w:p w14:paraId="1C8D45D9" w14:textId="77777777" w:rsidR="009C5E27" w:rsidRPr="00A776A9" w:rsidRDefault="009C5E27" w:rsidP="003124CE">
            <w:pPr>
              <w:pStyle w:val="TableText0"/>
              <w:rPr>
                <w:szCs w:val="20"/>
              </w:rPr>
            </w:pPr>
            <w:r w:rsidRPr="00A776A9">
              <w:rPr>
                <w:szCs w:val="20"/>
              </w:rPr>
              <w:t>Patient must have an adequate response to this drug defined as a reduction in Crohn Disease Activity Index (CDAI) Score to a level no greater than 150 if assessed by CDAI or if affected by extensive small intestine disease; or</w:t>
            </w:r>
          </w:p>
        </w:tc>
      </w:tr>
      <w:tr w:rsidR="009C5E27" w:rsidRPr="00592E29" w14:paraId="203F69C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C8A9CE" w14:textId="66A1A2D9" w:rsidR="009C5E27" w:rsidRPr="005F4B20" w:rsidRDefault="009C5E27" w:rsidP="003124CE">
            <w:pPr>
              <w:jc w:val="center"/>
              <w:rPr>
                <w:rFonts w:ascii="Arial Narrow" w:hAnsi="Arial Narrow"/>
                <w:sz w:val="20"/>
                <w:szCs w:val="20"/>
              </w:rPr>
            </w:pPr>
          </w:p>
        </w:tc>
        <w:tc>
          <w:tcPr>
            <w:tcW w:w="7745" w:type="dxa"/>
            <w:gridSpan w:val="6"/>
            <w:vAlign w:val="center"/>
          </w:tcPr>
          <w:p w14:paraId="5E272EE8" w14:textId="77777777" w:rsidR="009C5E27" w:rsidRPr="00A776A9" w:rsidRDefault="009C5E27" w:rsidP="003124CE">
            <w:pPr>
              <w:rPr>
                <w:rFonts w:ascii="Arial Narrow" w:hAnsi="Arial Narrow"/>
                <w:b/>
                <w:bCs/>
                <w:sz w:val="20"/>
                <w:szCs w:val="20"/>
              </w:rPr>
            </w:pPr>
            <w:r w:rsidRPr="00A776A9">
              <w:rPr>
                <w:rFonts w:ascii="Arial Narrow" w:hAnsi="Arial Narrow"/>
                <w:sz w:val="20"/>
                <w:szCs w:val="20"/>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tc>
      </w:tr>
      <w:tr w:rsidR="009C5E27" w:rsidRPr="00592E29" w14:paraId="73D5A2C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C9B58F"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447069E" w14:textId="77777777" w:rsidR="009C5E27" w:rsidRPr="00592E29" w:rsidRDefault="009C5E27" w:rsidP="003124CE">
            <w:pPr>
              <w:rPr>
                <w:rFonts w:ascii="Arial Narrow" w:hAnsi="Arial Narrow"/>
                <w:b/>
                <w:bCs/>
                <w:color w:val="333333"/>
                <w:sz w:val="20"/>
                <w:szCs w:val="20"/>
              </w:rPr>
            </w:pPr>
          </w:p>
        </w:tc>
      </w:tr>
      <w:tr w:rsidR="009C5E27" w:rsidRPr="00592E29" w14:paraId="20E35BE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D396A5" w14:textId="61F15764"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14721A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Treatment criteria:</w:t>
            </w:r>
          </w:p>
        </w:tc>
      </w:tr>
      <w:tr w:rsidR="009C5E27" w:rsidRPr="00592E29" w14:paraId="1F6CE152"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49DBBA" w14:textId="02B27B23"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57F4AFF"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gastroenterologist (code 87); or</w:t>
            </w:r>
          </w:p>
        </w:tc>
      </w:tr>
      <w:tr w:rsidR="009C5E27" w:rsidRPr="00592E29" w14:paraId="3007898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0CC19C" w14:textId="142A9F18"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76C47B4"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[internal medicine specialising in gastroenterology (code 81)]; or</w:t>
            </w:r>
          </w:p>
        </w:tc>
      </w:tr>
      <w:tr w:rsidR="009C5E27" w:rsidRPr="00592E29" w14:paraId="5A4BF2C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34B2CD" w14:textId="42262A1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CBC2E5F"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1369416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AE0806"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576A372" w14:textId="77777777" w:rsidR="009C5E27" w:rsidRPr="00592E29" w:rsidRDefault="009C5E27" w:rsidP="003124CE">
            <w:pPr>
              <w:rPr>
                <w:rFonts w:ascii="Arial Narrow" w:hAnsi="Arial Narrow"/>
                <w:b/>
                <w:bCs/>
                <w:color w:val="333333"/>
                <w:sz w:val="20"/>
                <w:szCs w:val="20"/>
              </w:rPr>
            </w:pPr>
          </w:p>
        </w:tc>
      </w:tr>
      <w:tr w:rsidR="009C5E27" w:rsidRPr="00592E29" w14:paraId="1A9A2C4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FDEE78" w14:textId="4D29CB6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3B24F54"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Population criteria:</w:t>
            </w:r>
          </w:p>
        </w:tc>
      </w:tr>
      <w:tr w:rsidR="009C5E27" w:rsidRPr="00592E29" w14:paraId="13D6204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A13C7E" w14:textId="576D5C2D"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F9A770D"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be aged 18 years or older</w:t>
            </w:r>
          </w:p>
        </w:tc>
      </w:tr>
      <w:tr w:rsidR="009C5E27" w:rsidRPr="00592E29" w14:paraId="1999AE3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8A1866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7AD2CBB" w14:textId="77777777" w:rsidR="009C5E27" w:rsidRPr="00592E29" w:rsidRDefault="009C5E27" w:rsidP="003124CE">
            <w:pPr>
              <w:rPr>
                <w:rFonts w:ascii="Arial Narrow" w:hAnsi="Arial Narrow"/>
                <w:b/>
                <w:bCs/>
                <w:color w:val="333333"/>
                <w:sz w:val="20"/>
                <w:szCs w:val="20"/>
              </w:rPr>
            </w:pPr>
          </w:p>
        </w:tc>
      </w:tr>
      <w:tr w:rsidR="009C5E27" w:rsidRPr="00592E29" w14:paraId="25BDC812"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BD5B3C" w14:textId="19760CCE" w:rsidR="009C5E27" w:rsidRPr="005F4B20" w:rsidRDefault="009C5E27" w:rsidP="003124CE">
            <w:pPr>
              <w:jc w:val="center"/>
              <w:rPr>
                <w:rFonts w:ascii="Arial Narrow" w:hAnsi="Arial Narrow"/>
                <w:color w:val="333333"/>
                <w:sz w:val="20"/>
                <w:szCs w:val="20"/>
              </w:rPr>
            </w:pPr>
          </w:p>
          <w:p w14:paraId="7661CBCF" w14:textId="60D6083C" w:rsidR="009C5E27" w:rsidRPr="00592E29" w:rsidRDefault="009C5E27" w:rsidP="003124CE">
            <w:pPr>
              <w:jc w:val="center"/>
              <w:rPr>
                <w:rFonts w:ascii="Arial Narrow" w:hAnsi="Arial Narrow"/>
                <w:color w:val="333333"/>
                <w:sz w:val="20"/>
                <w:szCs w:val="20"/>
              </w:rPr>
            </w:pPr>
          </w:p>
          <w:p w14:paraId="20D4BB30"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C1DE500" w14:textId="77777777" w:rsidR="009C5E27" w:rsidRPr="00592E29" w:rsidRDefault="009C5E27" w:rsidP="003124CE">
            <w:pPr>
              <w:pStyle w:val="TableText0"/>
              <w:rPr>
                <w:b/>
                <w:bCs w:val="0"/>
                <w:szCs w:val="20"/>
              </w:rPr>
            </w:pPr>
            <w:r w:rsidRPr="00592E29">
              <w:rPr>
                <w:b/>
                <w:szCs w:val="20"/>
              </w:rPr>
              <w:t xml:space="preserve">Prescribing Instructions: </w:t>
            </w:r>
          </w:p>
          <w:p w14:paraId="5E7146DE" w14:textId="77777777" w:rsidR="009C5E27" w:rsidRPr="00592E29" w:rsidRDefault="009C5E27" w:rsidP="003124CE">
            <w:pPr>
              <w:rPr>
                <w:rFonts w:ascii="Arial Narrow" w:hAnsi="Arial Narrow"/>
                <w:i/>
                <w:iCs/>
                <w:sz w:val="20"/>
                <w:szCs w:val="20"/>
              </w:rPr>
            </w:pPr>
            <w:r w:rsidRPr="00592E29">
              <w:rPr>
                <w:rFonts w:ascii="Arial Narrow" w:hAnsi="Arial Narrow"/>
                <w:i/>
                <w:iCs/>
                <w:sz w:val="20"/>
                <w:szCs w:val="20"/>
              </w:rPr>
              <w:t>The authority application must be made in writing and must include:</w:t>
            </w:r>
          </w:p>
          <w:p w14:paraId="3AB8934E" w14:textId="77777777" w:rsidR="009C5E27" w:rsidRPr="00592E29" w:rsidRDefault="009C5E27" w:rsidP="003124CE">
            <w:pPr>
              <w:rPr>
                <w:rFonts w:ascii="Arial Narrow" w:hAnsi="Arial Narrow"/>
                <w:i/>
                <w:iCs/>
                <w:sz w:val="20"/>
                <w:szCs w:val="20"/>
              </w:rPr>
            </w:pPr>
            <w:r w:rsidRPr="00592E29">
              <w:rPr>
                <w:rFonts w:ascii="Arial Narrow" w:hAnsi="Arial Narrow"/>
                <w:i/>
                <w:iCs/>
                <w:sz w:val="20"/>
                <w:szCs w:val="20"/>
              </w:rPr>
              <w:t>(1) details of the proposed prescription; and</w:t>
            </w:r>
          </w:p>
          <w:p w14:paraId="55F7FD50" w14:textId="77777777" w:rsidR="009C5E27" w:rsidRPr="00592E29" w:rsidRDefault="009C5E27" w:rsidP="003124CE">
            <w:pPr>
              <w:pStyle w:val="TableText0"/>
              <w:rPr>
                <w:szCs w:val="20"/>
              </w:rPr>
            </w:pPr>
            <w:r w:rsidRPr="00592E29">
              <w:rPr>
                <w:rFonts w:eastAsia="Times New Roman" w:cs="Times New Roman"/>
                <w:i/>
                <w:iCs/>
                <w:szCs w:val="20"/>
              </w:rPr>
              <w:t>(2) a completed authority application form relevant to the indication and treatment phase (the latest version is located on the website specified in the Administrative Advice).</w:t>
            </w:r>
          </w:p>
        </w:tc>
      </w:tr>
      <w:tr w:rsidR="009C5E27" w:rsidRPr="00592E29" w14:paraId="33555E40"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B1247D" w14:textId="2B48ECA8"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2D1DA54" w14:textId="77777777" w:rsidR="009C5E27" w:rsidRPr="00592E29" w:rsidRDefault="009C5E27" w:rsidP="003124CE">
            <w:pPr>
              <w:pStyle w:val="TableText0"/>
              <w:rPr>
                <w:b/>
                <w:bCs w:val="0"/>
                <w:szCs w:val="20"/>
              </w:rPr>
            </w:pPr>
            <w:r w:rsidRPr="00592E29">
              <w:rPr>
                <w:b/>
                <w:szCs w:val="20"/>
              </w:rPr>
              <w:t xml:space="preserve">Prescribing Instructions: </w:t>
            </w:r>
          </w:p>
          <w:p w14:paraId="37B1995D" w14:textId="77777777" w:rsidR="009C5E27" w:rsidRPr="00592E29" w:rsidRDefault="009C5E27" w:rsidP="003124CE">
            <w:pPr>
              <w:pStyle w:val="TableText0"/>
              <w:rPr>
                <w:b/>
                <w:bCs w:val="0"/>
                <w:szCs w:val="20"/>
              </w:rPr>
            </w:pPr>
            <w:r w:rsidRPr="00592E29">
              <w:rPr>
                <w:szCs w:val="20"/>
              </w:rPr>
              <w:t>The authority application must include the following:, (i) the completed Crohn Disease Activity Index (CDAI) Score calculation sheet including the date of the assessment of the patient's condition, if relevant; or, (ii) the reports and dates of the pathology test or diagnostic imaging test(s) used to assess response to therapy for patients with short gut syndrome, extensive small intestine disease or an ostomy, if relevant; and, (iii) the date of most recent clinical assessment.</w:t>
            </w:r>
          </w:p>
        </w:tc>
      </w:tr>
      <w:tr w:rsidR="009C5E27" w:rsidRPr="00592E29" w14:paraId="10FA6A7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BA2C0C0" w14:textId="27ABC3C5" w:rsidR="009C5E27" w:rsidRPr="005F4B20" w:rsidRDefault="009C5E27" w:rsidP="003124CE">
            <w:pPr>
              <w:jc w:val="center"/>
              <w:rPr>
                <w:rFonts w:ascii="Arial Narrow" w:hAnsi="Arial Narrow"/>
                <w:sz w:val="20"/>
                <w:szCs w:val="20"/>
              </w:rPr>
            </w:pPr>
          </w:p>
        </w:tc>
        <w:tc>
          <w:tcPr>
            <w:tcW w:w="7745" w:type="dxa"/>
            <w:gridSpan w:val="6"/>
            <w:vAlign w:val="center"/>
          </w:tcPr>
          <w:p w14:paraId="4DC944D7" w14:textId="77777777" w:rsidR="009C5E27" w:rsidRPr="00D04C07" w:rsidRDefault="009C5E27" w:rsidP="003124CE">
            <w:pPr>
              <w:pStyle w:val="TableText0"/>
              <w:rPr>
                <w:b/>
                <w:szCs w:val="20"/>
              </w:rPr>
            </w:pPr>
            <w:r w:rsidRPr="00D04C07">
              <w:rPr>
                <w:b/>
                <w:szCs w:val="20"/>
              </w:rPr>
              <w:t>Prescribing Instructions:</w:t>
            </w:r>
          </w:p>
          <w:p w14:paraId="3D62C3B2" w14:textId="77777777" w:rsidR="009C5E27" w:rsidRPr="00B778E5" w:rsidRDefault="009C5E27" w:rsidP="003124CE">
            <w:pPr>
              <w:pStyle w:val="TableText0"/>
              <w:rPr>
                <w:b/>
                <w:bCs w:val="0"/>
                <w:szCs w:val="20"/>
              </w:rPr>
            </w:pPr>
            <w:r w:rsidRPr="00D04C07">
              <w:rPr>
                <w:szCs w:val="20"/>
              </w:rPr>
              <w:t>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treatment.</w:t>
            </w:r>
          </w:p>
        </w:tc>
      </w:tr>
      <w:tr w:rsidR="009C5E27" w:rsidRPr="00592E29" w14:paraId="3BB0D69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D33929" w14:textId="03823523"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F44C33E" w14:textId="77777777" w:rsidR="009C5E27" w:rsidRPr="00592E29" w:rsidRDefault="009C5E27" w:rsidP="003124CE">
            <w:pPr>
              <w:pStyle w:val="TableText0"/>
              <w:rPr>
                <w:b/>
                <w:bCs w:val="0"/>
                <w:szCs w:val="20"/>
              </w:rPr>
            </w:pPr>
            <w:r w:rsidRPr="00592E29">
              <w:rPr>
                <w:b/>
                <w:szCs w:val="20"/>
              </w:rPr>
              <w:t xml:space="preserve">Prescribing Instructions: </w:t>
            </w:r>
          </w:p>
          <w:p w14:paraId="1C030A5A" w14:textId="77777777" w:rsidR="009C5E27" w:rsidRPr="00592E29" w:rsidRDefault="009C5E27" w:rsidP="003124CE">
            <w:pPr>
              <w:pStyle w:val="TableText0"/>
              <w:rPr>
                <w:szCs w:val="20"/>
              </w:rPr>
            </w:pPr>
            <w:r w:rsidRPr="00592E29">
              <w:rPr>
                <w:szCs w:val="20"/>
              </w:rP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p>
        </w:tc>
      </w:tr>
      <w:tr w:rsidR="009C5E27" w:rsidRPr="00592E29" w14:paraId="31AE326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254C08" w14:textId="353D27A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3E274F8" w14:textId="77777777" w:rsidR="009C5E27" w:rsidRPr="00592E29" w:rsidRDefault="009C5E27" w:rsidP="003124CE">
            <w:pPr>
              <w:pStyle w:val="TableText0"/>
              <w:rPr>
                <w:b/>
                <w:bCs w:val="0"/>
                <w:szCs w:val="20"/>
              </w:rPr>
            </w:pPr>
            <w:r w:rsidRPr="00592E29">
              <w:rPr>
                <w:b/>
                <w:szCs w:val="20"/>
              </w:rPr>
              <w:t xml:space="preserve">Prescribing Instructions: </w:t>
            </w:r>
            <w:r w:rsidRPr="00592E29">
              <w:rPr>
                <w:szCs w:val="20"/>
              </w:rPr>
              <w:t xml:space="preserve">If a patient fails to demonstrate a response to treatment with this </w:t>
            </w:r>
            <w:proofErr w:type="gramStart"/>
            <w:r w:rsidRPr="00592E29">
              <w:rPr>
                <w:szCs w:val="20"/>
              </w:rPr>
              <w:t>drug</w:t>
            </w:r>
            <w:proofErr w:type="gramEnd"/>
            <w:r w:rsidRPr="00592E29">
              <w:rPr>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C5E27" w:rsidRPr="00592E29" w14:paraId="3EE9F07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D13B65" w14:textId="06270465"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FE04338" w14:textId="77777777" w:rsidR="009C5E27" w:rsidRPr="00592E29" w:rsidRDefault="009C5E27" w:rsidP="003124CE">
            <w:pPr>
              <w:pStyle w:val="TableText0"/>
              <w:rPr>
                <w:b/>
                <w:bCs w:val="0"/>
                <w:szCs w:val="20"/>
              </w:rPr>
            </w:pPr>
            <w:r w:rsidRPr="00592E29">
              <w:rPr>
                <w:b/>
                <w:szCs w:val="20"/>
              </w:rPr>
              <w:t xml:space="preserve">Prescribing Instructions: </w:t>
            </w:r>
          </w:p>
          <w:p w14:paraId="497F97A8" w14:textId="77777777" w:rsidR="009C5E27" w:rsidRPr="00592E29" w:rsidRDefault="009C5E27" w:rsidP="003124CE">
            <w:pPr>
              <w:pStyle w:val="TableText0"/>
              <w:rPr>
                <w:szCs w:val="20"/>
              </w:rPr>
            </w:pPr>
            <w:r w:rsidRPr="00592E29">
              <w:rPr>
                <w:szCs w:val="20"/>
              </w:rPr>
              <w:t>Patients are eligible to receive continuing treatment with this drug in courses of up to 24 weeks providing they continue to sustain a response.</w:t>
            </w:r>
          </w:p>
        </w:tc>
      </w:tr>
      <w:tr w:rsidR="009C5E27" w:rsidRPr="00592E29" w14:paraId="370A7BB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BB8077" w14:textId="21E0383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73C30A5" w14:textId="77777777" w:rsidR="009C5E27" w:rsidRPr="00592E29" w:rsidRDefault="009C5E27" w:rsidP="003124CE">
            <w:pPr>
              <w:pStyle w:val="TableText0"/>
              <w:rPr>
                <w:b/>
                <w:bCs w:val="0"/>
                <w:szCs w:val="20"/>
              </w:rPr>
            </w:pPr>
            <w:r w:rsidRPr="00592E29">
              <w:rPr>
                <w:b/>
                <w:szCs w:val="20"/>
              </w:rPr>
              <w:t xml:space="preserve">Prescribing Instructions: </w:t>
            </w:r>
          </w:p>
          <w:p w14:paraId="6B22F47E" w14:textId="77777777" w:rsidR="009C5E27" w:rsidRPr="00592E29" w:rsidRDefault="009C5E27" w:rsidP="003124CE">
            <w:pPr>
              <w:pStyle w:val="TableText0"/>
              <w:rPr>
                <w:szCs w:val="20"/>
              </w:rPr>
            </w:pPr>
            <w:r w:rsidRPr="00592E29">
              <w:rPr>
                <w:szCs w:val="20"/>
              </w:rPr>
              <w:t>A Grandfathered patient may qualify for PBS-subsidised treatment under this restriction once only. For continuing PBS-subsidised treatment, a Grandfathered patient must qualify under the continuing treatment criteria.</w:t>
            </w:r>
          </w:p>
        </w:tc>
      </w:tr>
      <w:tr w:rsidR="009C5E27" w:rsidRPr="00592E29" w14:paraId="29E6B8D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38CB5D" w14:textId="31D84455" w:rsidR="009C5E27" w:rsidRPr="005F4B20" w:rsidRDefault="009C5E27" w:rsidP="003124CE">
            <w:pPr>
              <w:jc w:val="center"/>
              <w:rPr>
                <w:rFonts w:ascii="Arial Narrow" w:hAnsi="Arial Narrow"/>
                <w:color w:val="333333"/>
                <w:sz w:val="20"/>
                <w:szCs w:val="20"/>
              </w:rPr>
            </w:pPr>
          </w:p>
          <w:p w14:paraId="25DE64E3" w14:textId="50C241E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FD1117C" w14:textId="77777777" w:rsidR="009C5E27" w:rsidRPr="00592E29" w:rsidRDefault="009C5E27" w:rsidP="003124CE">
            <w:pPr>
              <w:pStyle w:val="TableText0"/>
              <w:rPr>
                <w:b/>
                <w:bCs w:val="0"/>
                <w:szCs w:val="20"/>
              </w:rPr>
            </w:pPr>
            <w:r w:rsidRPr="00592E29">
              <w:rPr>
                <w:b/>
                <w:szCs w:val="20"/>
              </w:rPr>
              <w:t xml:space="preserve">Prescribing Instructions: </w:t>
            </w:r>
          </w:p>
          <w:p w14:paraId="7298A4A6" w14:textId="77777777" w:rsidR="009C5E27" w:rsidRPr="00592E29" w:rsidRDefault="009C5E27" w:rsidP="003124CE">
            <w:pPr>
              <w:pStyle w:val="TableText0"/>
              <w:rPr>
                <w:szCs w:val="20"/>
              </w:rPr>
            </w:pPr>
            <w:r w:rsidRPr="00592E29">
              <w:rPr>
                <w:szCs w:val="20"/>
              </w:rPr>
              <w:t>Evidence of failure to achieve an adequate response to prior therapy must include at least one of the following:</w:t>
            </w:r>
          </w:p>
          <w:p w14:paraId="64F17601" w14:textId="77777777" w:rsidR="009C5E27" w:rsidRPr="00592E29" w:rsidRDefault="009C5E27" w:rsidP="003124CE">
            <w:pPr>
              <w:pStyle w:val="TableText0"/>
              <w:rPr>
                <w:szCs w:val="20"/>
              </w:rPr>
            </w:pPr>
            <w:r w:rsidRPr="00592E29">
              <w:rPr>
                <w:szCs w:val="20"/>
              </w:rPr>
              <w:t>(a) patient must have evidence of intestinal inflammation;</w:t>
            </w:r>
          </w:p>
          <w:p w14:paraId="1E48EE64" w14:textId="77777777" w:rsidR="009C5E27" w:rsidRPr="00592E29" w:rsidRDefault="009C5E27" w:rsidP="003124CE">
            <w:pPr>
              <w:pStyle w:val="TableText0"/>
              <w:rPr>
                <w:szCs w:val="20"/>
              </w:rPr>
            </w:pPr>
            <w:r w:rsidRPr="00592E29">
              <w:rPr>
                <w:szCs w:val="20"/>
              </w:rPr>
              <w:t>(b) patient must be assessed clinically as being in a high faecal output state;</w:t>
            </w:r>
          </w:p>
          <w:p w14:paraId="6EEE26A0" w14:textId="77777777" w:rsidR="009C5E27" w:rsidRPr="00592E29" w:rsidRDefault="009C5E27" w:rsidP="003124CE">
            <w:pPr>
              <w:pStyle w:val="TableText0"/>
              <w:rPr>
                <w:szCs w:val="20"/>
              </w:rPr>
            </w:pPr>
            <w:r w:rsidRPr="00592E29">
              <w:rPr>
                <w:szCs w:val="20"/>
              </w:rPr>
              <w:t>(c) patient must be assessed clinically as requiring surgery or total parenteral nutrition (TPN) as the next therapeutic option, in the absence of this drug, if affected by short gut syndrome, extensive small intestine disease or is an ostomy patient.</w:t>
            </w:r>
          </w:p>
          <w:p w14:paraId="414CC016" w14:textId="77777777" w:rsidR="009C5E27" w:rsidRPr="00592E29" w:rsidRDefault="009C5E27" w:rsidP="003124CE">
            <w:pPr>
              <w:pStyle w:val="TableText0"/>
              <w:rPr>
                <w:szCs w:val="20"/>
              </w:rPr>
            </w:pPr>
          </w:p>
          <w:p w14:paraId="3871DE7D" w14:textId="77777777" w:rsidR="009C5E27" w:rsidRPr="00592E29" w:rsidRDefault="009C5E27" w:rsidP="003124CE">
            <w:pPr>
              <w:pStyle w:val="TableText0"/>
              <w:rPr>
                <w:szCs w:val="20"/>
              </w:rPr>
            </w:pPr>
            <w:r w:rsidRPr="00592E29">
              <w:rPr>
                <w:szCs w:val="20"/>
              </w:rPr>
              <w:t>Evidence of intestinal inflammation includes:</w:t>
            </w:r>
          </w:p>
          <w:p w14:paraId="03713ABB" w14:textId="77777777" w:rsidR="009C5E27" w:rsidRPr="00592E29" w:rsidRDefault="009C5E27" w:rsidP="003124CE">
            <w:pPr>
              <w:pStyle w:val="TableText0"/>
              <w:rPr>
                <w:szCs w:val="20"/>
              </w:rPr>
            </w:pPr>
            <w:r w:rsidRPr="00592E29">
              <w:rPr>
                <w:szCs w:val="20"/>
              </w:rPr>
              <w:t>(i) blood: higher than normal platelet count, or, an elevated erythrocyte sedimentation rate (ESR) greater than 25 mm per hour, or, a C-reactive protein (CRP) level greater than 15 mg per L; or (ii) faeces: higher than normal lactoferrin or calprotectin level; or (iii) diagnostic imaging: demonstration of increased uptake of intravenous contrast with thickening of the bowel wall or mesenteric lymphadenopathy or fat streaking in the mesentery.</w:t>
            </w:r>
          </w:p>
        </w:tc>
      </w:tr>
      <w:tr w:rsidR="009C5E27" w:rsidRPr="00592E29" w14:paraId="66150F3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34D6CE4" w14:textId="383F1D5F" w:rsidR="009C5E27" w:rsidRPr="005F4B20" w:rsidRDefault="009C5E27" w:rsidP="003124CE">
            <w:pPr>
              <w:jc w:val="center"/>
              <w:rPr>
                <w:rFonts w:ascii="Arial Narrow" w:hAnsi="Arial Narrow"/>
                <w:strike/>
                <w:color w:val="333333"/>
                <w:sz w:val="20"/>
                <w:szCs w:val="20"/>
              </w:rPr>
            </w:pPr>
          </w:p>
        </w:tc>
        <w:tc>
          <w:tcPr>
            <w:tcW w:w="7745" w:type="dxa"/>
            <w:gridSpan w:val="6"/>
            <w:vAlign w:val="center"/>
          </w:tcPr>
          <w:p w14:paraId="1C57326F" w14:textId="77777777" w:rsidR="009C5E27" w:rsidRDefault="009C5E27" w:rsidP="003124CE">
            <w:pPr>
              <w:pStyle w:val="TableText0"/>
              <w:rPr>
                <w:b/>
                <w:bCs w:val="0"/>
                <w:szCs w:val="20"/>
              </w:rPr>
            </w:pPr>
            <w:r w:rsidRPr="00592E29">
              <w:rPr>
                <w:b/>
                <w:szCs w:val="20"/>
              </w:rPr>
              <w:t xml:space="preserve">Prescribing Instructions: </w:t>
            </w:r>
          </w:p>
          <w:p w14:paraId="58368A5D" w14:textId="77777777" w:rsidR="009C5E27" w:rsidRPr="00D04C07" w:rsidRDefault="009C5E27" w:rsidP="003124CE">
            <w:pPr>
              <w:pStyle w:val="TableText0"/>
              <w:rPr>
                <w:szCs w:val="20"/>
              </w:rPr>
            </w:pPr>
            <w:r w:rsidRPr="00D04C07">
              <w:rPr>
                <w:szCs w:val="20"/>
              </w:rPr>
              <w:t>All assessments, pathology tests and diagnostic imaging studies were to have been within 4 weeks leading up to commencing the non-PBS subsidised supply of this drug and should have been performed preferably whilst still on conventional treatment, but no longer than 4 weeks following the last dose of conventional treatment.</w:t>
            </w:r>
          </w:p>
          <w:p w14:paraId="6CB49069" w14:textId="34097344" w:rsidR="009C5E27" w:rsidRPr="00A776A9" w:rsidRDefault="009C5E27" w:rsidP="003124CE">
            <w:pPr>
              <w:pStyle w:val="TableText0"/>
              <w:rPr>
                <w:strike/>
                <w:szCs w:val="20"/>
              </w:rPr>
            </w:pPr>
          </w:p>
        </w:tc>
      </w:tr>
      <w:tr w:rsidR="009C5E27" w:rsidRPr="00592E29" w14:paraId="4564F2CF"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568B78" w14:textId="765CB0E8" w:rsidR="009C5E27" w:rsidRPr="005F4B20" w:rsidRDefault="009C5E27" w:rsidP="003124CE">
            <w:pPr>
              <w:jc w:val="center"/>
              <w:rPr>
                <w:rFonts w:ascii="Arial Narrow" w:hAnsi="Arial Narrow"/>
                <w:color w:val="333333"/>
                <w:sz w:val="20"/>
                <w:szCs w:val="20"/>
              </w:rPr>
            </w:pPr>
          </w:p>
          <w:p w14:paraId="0B3152F0" w14:textId="5CFB9FF4" w:rsidR="009C5E27" w:rsidRPr="005F4B20" w:rsidRDefault="009C5E27" w:rsidP="003124CE">
            <w:pPr>
              <w:jc w:val="center"/>
              <w:rPr>
                <w:rFonts w:ascii="Arial Narrow" w:hAnsi="Arial Narrow"/>
                <w:color w:val="333333"/>
                <w:sz w:val="20"/>
                <w:szCs w:val="20"/>
              </w:rPr>
            </w:pPr>
          </w:p>
          <w:p w14:paraId="7E477A94"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7368537" w14:textId="77777777" w:rsidR="009C5E27" w:rsidRPr="00592E29" w:rsidRDefault="009C5E27" w:rsidP="003124CE">
            <w:pPr>
              <w:pStyle w:val="TableText0"/>
              <w:rPr>
                <w:b/>
                <w:bCs w:val="0"/>
                <w:szCs w:val="20"/>
              </w:rPr>
            </w:pPr>
            <w:r w:rsidRPr="00592E29">
              <w:rPr>
                <w:b/>
                <w:szCs w:val="20"/>
              </w:rPr>
              <w:t xml:space="preserve">Prescribing Instructions: </w:t>
            </w:r>
          </w:p>
          <w:p w14:paraId="21A155CA" w14:textId="77777777" w:rsidR="009C5E27" w:rsidRPr="00592E29" w:rsidRDefault="009C5E27" w:rsidP="003124CE">
            <w:pPr>
              <w:pStyle w:val="TableText0"/>
              <w:rPr>
                <w:szCs w:val="20"/>
              </w:rPr>
            </w:pPr>
            <w:r w:rsidRPr="00592E29">
              <w:rPr>
                <w:szCs w:val="20"/>
              </w:rPr>
              <w:t>If treatment with any of the specified prior conventional drugs is contraindicated according to the relevant TGA approved Product Information, please provide details at the time of application.</w:t>
            </w:r>
          </w:p>
        </w:tc>
      </w:tr>
      <w:tr w:rsidR="009C5E27" w:rsidRPr="00592E29" w14:paraId="77D4DFD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96C434" w14:textId="54F71666" w:rsidR="009C5E27" w:rsidRPr="005F4B20" w:rsidRDefault="009C5E27" w:rsidP="003124CE">
            <w:pPr>
              <w:jc w:val="center"/>
              <w:rPr>
                <w:rFonts w:ascii="Arial Narrow" w:hAnsi="Arial Narrow"/>
                <w:color w:val="333333"/>
                <w:sz w:val="20"/>
                <w:szCs w:val="20"/>
              </w:rPr>
            </w:pPr>
          </w:p>
          <w:p w14:paraId="25F1B06C" w14:textId="26232B89" w:rsidR="009C5E27" w:rsidRPr="005F4B20" w:rsidRDefault="009C5E27" w:rsidP="003124CE">
            <w:pPr>
              <w:jc w:val="center"/>
              <w:rPr>
                <w:rFonts w:ascii="Arial Narrow" w:hAnsi="Arial Narrow"/>
                <w:color w:val="333333"/>
                <w:sz w:val="20"/>
                <w:szCs w:val="20"/>
              </w:rPr>
            </w:pPr>
          </w:p>
          <w:p w14:paraId="4409D52F"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8443D85" w14:textId="77777777" w:rsidR="009C5E27" w:rsidRPr="00592E29" w:rsidRDefault="009C5E27" w:rsidP="003124CE">
            <w:pPr>
              <w:pStyle w:val="TableText0"/>
              <w:rPr>
                <w:b/>
                <w:bCs w:val="0"/>
                <w:szCs w:val="20"/>
              </w:rPr>
            </w:pPr>
            <w:r w:rsidRPr="00592E29">
              <w:rPr>
                <w:b/>
                <w:szCs w:val="20"/>
              </w:rPr>
              <w:t xml:space="preserve">Prescribing Instructions: </w:t>
            </w:r>
          </w:p>
          <w:p w14:paraId="7CF90229" w14:textId="77777777" w:rsidR="009C5E27" w:rsidRPr="00592E29" w:rsidRDefault="009C5E27" w:rsidP="003124CE">
            <w:pPr>
              <w:pStyle w:val="TableText0"/>
              <w:rPr>
                <w:szCs w:val="20"/>
              </w:rPr>
            </w:pPr>
            <w:r w:rsidRPr="00592E29">
              <w:rPr>
                <w:szCs w:val="20"/>
              </w:rPr>
              <w:t>If intolerance to treatment develops during the relevant period of use, which is of a severity necessitating permanent treatment withdrawal, details of this toxicity must be provided at the time of application.</w:t>
            </w:r>
          </w:p>
        </w:tc>
      </w:tr>
      <w:tr w:rsidR="009C5E27" w:rsidRPr="00592E29" w14:paraId="165CA4E5"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9C5289" w14:textId="220C0654"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4172F5B" w14:textId="77777777" w:rsidR="009C5E27" w:rsidRPr="00592E29" w:rsidRDefault="009C5E27" w:rsidP="003124CE">
            <w:pPr>
              <w:pStyle w:val="TableText0"/>
              <w:rPr>
                <w:b/>
                <w:bCs w:val="0"/>
                <w:szCs w:val="20"/>
              </w:rPr>
            </w:pPr>
            <w:r w:rsidRPr="00592E29">
              <w:rPr>
                <w:b/>
                <w:szCs w:val="20"/>
              </w:rPr>
              <w:t xml:space="preserve">Prescribing Instructions: </w:t>
            </w:r>
          </w:p>
          <w:p w14:paraId="18808AE1" w14:textId="77777777" w:rsidR="009C5E27" w:rsidRPr="00592E29" w:rsidRDefault="009C5E27" w:rsidP="003124CE">
            <w:pPr>
              <w:pStyle w:val="TableText0"/>
              <w:rPr>
                <w:szCs w:val="20"/>
              </w:rPr>
            </w:pPr>
            <w:r w:rsidRPr="00592E29">
              <w:rPr>
                <w:szCs w:val="20"/>
              </w:rPr>
              <w:t>Details of the accepted toxicities including severity can be found on the Services Australia website.</w:t>
            </w:r>
          </w:p>
        </w:tc>
      </w:tr>
      <w:tr w:rsidR="009C5E27" w:rsidRPr="00592E29" w14:paraId="37A17213"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2E9FC8" w14:textId="425B90B8"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46B4BD82" w14:textId="77777777" w:rsidR="009C5E27" w:rsidRPr="00592E29" w:rsidRDefault="009C5E27" w:rsidP="003124CE">
            <w:pPr>
              <w:pStyle w:val="TableText0"/>
              <w:rPr>
                <w:b/>
                <w:bCs w:val="0"/>
                <w:szCs w:val="20"/>
              </w:rPr>
            </w:pPr>
            <w:r w:rsidRPr="00592E29">
              <w:rPr>
                <w:b/>
                <w:szCs w:val="20"/>
              </w:rPr>
              <w:t xml:space="preserve">Prescribing Instructions: </w:t>
            </w:r>
          </w:p>
          <w:p w14:paraId="1ED6F5D3" w14:textId="77777777" w:rsidR="009C5E27" w:rsidRPr="00592E29" w:rsidRDefault="009C5E27" w:rsidP="003124CE">
            <w:pPr>
              <w:pStyle w:val="TableText0"/>
              <w:rPr>
                <w:szCs w:val="20"/>
              </w:rPr>
            </w:pPr>
            <w:r w:rsidRPr="00592E29">
              <w:rPr>
                <w:szCs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9C5E27" w:rsidRPr="00592E29" w14:paraId="3196E709"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A21540" w14:textId="4DCBB244"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301603A1" w14:textId="77777777" w:rsidR="009C5E27" w:rsidRPr="00592E29" w:rsidRDefault="009C5E27" w:rsidP="003124CE">
            <w:pPr>
              <w:pStyle w:val="TableText0"/>
              <w:rPr>
                <w:b/>
                <w:bCs w:val="0"/>
                <w:szCs w:val="20"/>
              </w:rPr>
            </w:pPr>
            <w:r w:rsidRPr="00592E29">
              <w:rPr>
                <w:b/>
                <w:szCs w:val="20"/>
              </w:rPr>
              <w:t xml:space="preserve">Prescribing Instructions: </w:t>
            </w:r>
          </w:p>
          <w:p w14:paraId="579606FC" w14:textId="77777777" w:rsidR="009C5E27" w:rsidRPr="00592E29" w:rsidRDefault="009C5E27" w:rsidP="003124CE">
            <w:pPr>
              <w:pStyle w:val="TableText0"/>
              <w:rPr>
                <w:szCs w:val="20"/>
              </w:rPr>
            </w:pPr>
            <w:r w:rsidRPr="00592E29">
              <w:rPr>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C5E27" w:rsidRPr="00592E29" w14:paraId="617EE1E0"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CE7117" w14:textId="1A82C93A"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6FD535D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Administrative Advice: </w:t>
            </w:r>
            <w:r w:rsidRPr="00592E29">
              <w:rPr>
                <w:rFonts w:ascii="Arial Narrow" w:hAnsi="Arial Narrow"/>
                <w:sz w:val="20"/>
                <w:szCs w:val="20"/>
              </w:rPr>
              <w:t>This grandfather restriction will cease to operate from 12 months after the date specified in the clinical criteria</w:t>
            </w:r>
          </w:p>
        </w:tc>
      </w:tr>
    </w:tbl>
    <w:p w14:paraId="5BAC42E3" w14:textId="77777777" w:rsidR="009C5E27" w:rsidRPr="00592E29" w:rsidRDefault="009C5E27" w:rsidP="009C5E27">
      <w:pPr>
        <w:rPr>
          <w:rFonts w:ascii="Arial Narrow" w:hAnsi="Arial Narrow"/>
          <w:sz w:val="20"/>
          <w:szCs w:val="20"/>
        </w:rPr>
      </w:pPr>
    </w:p>
    <w:p w14:paraId="7A8EE99C" w14:textId="77777777" w:rsidR="009C5E27" w:rsidRPr="00592E29" w:rsidRDefault="009C5E27" w:rsidP="009C5E27">
      <w:pPr>
        <w:rPr>
          <w:rFonts w:ascii="Arial Narrow" w:hAnsi="Arial Narrow"/>
          <w:b/>
          <w:iCs/>
          <w:sz w:val="20"/>
          <w:szCs w:val="20"/>
        </w:rPr>
      </w:pPr>
      <w:r w:rsidRPr="00592E29">
        <w:rPr>
          <w:rFonts w:ascii="Arial Narrow" w:hAnsi="Arial Narrow"/>
          <w:sz w:val="20"/>
          <w:szCs w:val="20"/>
        </w:rPr>
        <w:br w:type="page"/>
      </w:r>
    </w:p>
    <w:p w14:paraId="57A4FC22" w14:textId="77777777" w:rsidR="009C5E27" w:rsidRPr="00592E29" w:rsidRDefault="009C5E27" w:rsidP="009C5E27">
      <w:pPr>
        <w:pStyle w:val="Caption"/>
        <w:rPr>
          <w:szCs w:val="20"/>
        </w:rPr>
      </w:pPr>
      <w:r w:rsidRPr="00592E29">
        <w:rPr>
          <w:szCs w:val="20"/>
        </w:rPr>
        <w:t>Proposed Restriction – Balance of Supply (General Schedule SC injection)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Proposed Restriction – Balance of Supply (General Schedule SC injection)"/>
      </w:tblPr>
      <w:tblGrid>
        <w:gridCol w:w="488"/>
        <w:gridCol w:w="784"/>
        <w:gridCol w:w="2668"/>
        <w:gridCol w:w="811"/>
        <w:gridCol w:w="812"/>
        <w:gridCol w:w="811"/>
        <w:gridCol w:w="812"/>
        <w:gridCol w:w="1831"/>
      </w:tblGrid>
      <w:tr w:rsidR="009C5E27" w:rsidRPr="00592E29" w14:paraId="608E430B" w14:textId="77777777" w:rsidTr="003124CE">
        <w:trPr>
          <w:cantSplit/>
          <w:trHeight w:val="20"/>
        </w:trPr>
        <w:tc>
          <w:tcPr>
            <w:tcW w:w="3939" w:type="dxa"/>
            <w:gridSpan w:val="3"/>
            <w:vAlign w:val="center"/>
          </w:tcPr>
          <w:p w14:paraId="6F6984EE" w14:textId="77777777" w:rsidR="009C5E27" w:rsidRPr="00592E29" w:rsidRDefault="009C5E27" w:rsidP="003124CE">
            <w:pPr>
              <w:keepLines/>
              <w:rPr>
                <w:rFonts w:ascii="Arial Narrow" w:eastAsia="Calibri" w:hAnsi="Arial Narrow"/>
                <w:b/>
                <w:bCs/>
                <w:sz w:val="20"/>
                <w:szCs w:val="20"/>
              </w:rPr>
            </w:pPr>
            <w:r w:rsidRPr="00592E29">
              <w:rPr>
                <w:rFonts w:ascii="Arial Narrow" w:eastAsia="Calibri" w:hAnsi="Arial Narrow"/>
                <w:b/>
                <w:bCs/>
                <w:sz w:val="20"/>
                <w:szCs w:val="20"/>
              </w:rPr>
              <w:t>MEDICINAL PRODUCT</w:t>
            </w:r>
          </w:p>
          <w:p w14:paraId="3E1DA3D5"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bCs/>
                <w:sz w:val="20"/>
                <w:szCs w:val="20"/>
              </w:rPr>
              <w:t>medicinal product pack</w:t>
            </w:r>
          </w:p>
        </w:tc>
        <w:tc>
          <w:tcPr>
            <w:tcW w:w="811" w:type="dxa"/>
            <w:vAlign w:val="center"/>
          </w:tcPr>
          <w:p w14:paraId="12230882"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PBS item code</w:t>
            </w:r>
          </w:p>
        </w:tc>
        <w:tc>
          <w:tcPr>
            <w:tcW w:w="812" w:type="dxa"/>
            <w:vAlign w:val="center"/>
          </w:tcPr>
          <w:p w14:paraId="650A2CCE"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packs</w:t>
            </w:r>
          </w:p>
        </w:tc>
        <w:tc>
          <w:tcPr>
            <w:tcW w:w="811" w:type="dxa"/>
            <w:vAlign w:val="center"/>
          </w:tcPr>
          <w:p w14:paraId="5265C2E9"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units</w:t>
            </w:r>
          </w:p>
        </w:tc>
        <w:tc>
          <w:tcPr>
            <w:tcW w:w="812" w:type="dxa"/>
            <w:vAlign w:val="center"/>
          </w:tcPr>
          <w:p w14:paraId="24F349F3"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№.of</w:t>
            </w:r>
          </w:p>
          <w:p w14:paraId="2468B8E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Rpts</w:t>
            </w:r>
          </w:p>
        </w:tc>
        <w:tc>
          <w:tcPr>
            <w:tcW w:w="1831" w:type="dxa"/>
            <w:vAlign w:val="center"/>
          </w:tcPr>
          <w:p w14:paraId="608B7181" w14:textId="77777777" w:rsidR="009C5E27" w:rsidRPr="00592E29" w:rsidRDefault="009C5E27" w:rsidP="003124CE">
            <w:pPr>
              <w:keepLines/>
              <w:rPr>
                <w:rFonts w:ascii="Arial Narrow" w:eastAsia="Calibri" w:hAnsi="Arial Narrow"/>
                <w:b/>
                <w:sz w:val="20"/>
                <w:szCs w:val="20"/>
                <w:lang w:val="fr-FR"/>
              </w:rPr>
            </w:pPr>
            <w:r w:rsidRPr="00592E29">
              <w:rPr>
                <w:rFonts w:ascii="Arial Narrow" w:eastAsia="Calibri" w:hAnsi="Arial Narrow"/>
                <w:b/>
                <w:sz w:val="20"/>
                <w:szCs w:val="20"/>
              </w:rPr>
              <w:t>Available brands</w:t>
            </w:r>
          </w:p>
        </w:tc>
      </w:tr>
      <w:tr w:rsidR="009C5E27" w:rsidRPr="00592E29" w14:paraId="6DD5DA7C" w14:textId="77777777" w:rsidTr="003124CE">
        <w:trPr>
          <w:cantSplit/>
          <w:trHeight w:val="20"/>
        </w:trPr>
        <w:tc>
          <w:tcPr>
            <w:tcW w:w="9016" w:type="dxa"/>
            <w:gridSpan w:val="8"/>
            <w:vAlign w:val="center"/>
          </w:tcPr>
          <w:p w14:paraId="4CAEED63"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GUSELKUMAB</w:t>
            </w:r>
          </w:p>
        </w:tc>
      </w:tr>
      <w:tr w:rsidR="009C5E27" w:rsidRPr="00592E29" w14:paraId="7DB127F7" w14:textId="77777777" w:rsidTr="003124CE">
        <w:trPr>
          <w:cantSplit/>
          <w:trHeight w:val="20"/>
        </w:trPr>
        <w:tc>
          <w:tcPr>
            <w:tcW w:w="3939" w:type="dxa"/>
            <w:gridSpan w:val="3"/>
            <w:vAlign w:val="center"/>
          </w:tcPr>
          <w:p w14:paraId="402BB9FD"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 mL injection, 2 mL pen device</w:t>
            </w:r>
            <w:r w:rsidRPr="00A60CB5" w:rsidDel="00A60CB5">
              <w:rPr>
                <w:rFonts w:ascii="Arial Narrow" w:eastAsia="Calibri" w:hAnsi="Arial Narrow"/>
                <w:sz w:val="20"/>
                <w:szCs w:val="20"/>
              </w:rPr>
              <w:t xml:space="preserve"> </w:t>
            </w:r>
          </w:p>
        </w:tc>
        <w:tc>
          <w:tcPr>
            <w:tcW w:w="811" w:type="dxa"/>
            <w:vAlign w:val="center"/>
          </w:tcPr>
          <w:p w14:paraId="688AEAF6"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3464C738"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1" w:type="dxa"/>
            <w:vAlign w:val="center"/>
          </w:tcPr>
          <w:p w14:paraId="193B7FBF"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2" w:type="dxa"/>
            <w:vAlign w:val="center"/>
          </w:tcPr>
          <w:p w14:paraId="1AA0720B"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1843D78E"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434EA052" w14:textId="77777777" w:rsidTr="003124CE">
        <w:trPr>
          <w:cantSplit/>
          <w:trHeight w:val="20"/>
        </w:trPr>
        <w:tc>
          <w:tcPr>
            <w:tcW w:w="3939" w:type="dxa"/>
            <w:gridSpan w:val="3"/>
            <w:vAlign w:val="center"/>
          </w:tcPr>
          <w:p w14:paraId="10573694"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 mL injection, 2 mL syringe</w:t>
            </w:r>
            <w:r w:rsidRPr="00A60CB5" w:rsidDel="00A60CB5">
              <w:rPr>
                <w:rFonts w:ascii="Arial Narrow" w:eastAsia="Calibri" w:hAnsi="Arial Narrow"/>
                <w:sz w:val="20"/>
                <w:szCs w:val="20"/>
              </w:rPr>
              <w:t xml:space="preserve"> </w:t>
            </w:r>
          </w:p>
        </w:tc>
        <w:tc>
          <w:tcPr>
            <w:tcW w:w="811" w:type="dxa"/>
            <w:vAlign w:val="center"/>
          </w:tcPr>
          <w:p w14:paraId="7CD58B60"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2750EA3F"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1" w:type="dxa"/>
            <w:vAlign w:val="center"/>
          </w:tcPr>
          <w:p w14:paraId="66373CD7"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2" w:type="dxa"/>
            <w:vAlign w:val="center"/>
          </w:tcPr>
          <w:p w14:paraId="7025E8A8"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795B6C17"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74EC76CB" w14:textId="77777777" w:rsidTr="003124CE">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A694E45" w14:textId="77777777" w:rsidR="009C5E27" w:rsidRPr="00592E29" w:rsidRDefault="009C5E27" w:rsidP="003124CE">
            <w:pPr>
              <w:rPr>
                <w:rFonts w:ascii="Arial Narrow" w:eastAsia="Calibri" w:hAnsi="Arial Narrow"/>
                <w:sz w:val="20"/>
                <w:szCs w:val="20"/>
              </w:rPr>
            </w:pPr>
          </w:p>
        </w:tc>
      </w:tr>
      <w:tr w:rsidR="009C5E27" w:rsidRPr="00592E29" w14:paraId="5518D29D" w14:textId="77777777" w:rsidTr="003124CE">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2E963FC2"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Restriction Summary [new]</w:t>
            </w:r>
            <w:r w:rsidRPr="00592E29">
              <w:rPr>
                <w:rFonts w:ascii="Arial Narrow" w:eastAsia="Calibri" w:hAnsi="Arial Narrow"/>
                <w:b/>
                <w:color w:val="FF0000"/>
                <w:sz w:val="20"/>
                <w:szCs w:val="20"/>
              </w:rPr>
              <w:t xml:space="preserve"> </w:t>
            </w:r>
            <w:r w:rsidRPr="00592E29">
              <w:rPr>
                <w:rFonts w:ascii="Arial Narrow" w:eastAsia="Calibri" w:hAnsi="Arial Narrow"/>
                <w:b/>
                <w:sz w:val="20"/>
                <w:szCs w:val="20"/>
              </w:rPr>
              <w:t>/ Treatment of Concept: [new]</w:t>
            </w:r>
          </w:p>
        </w:tc>
      </w:tr>
      <w:tr w:rsidR="009C5E27" w:rsidRPr="00592E29" w14:paraId="1E81591B" w14:textId="77777777" w:rsidTr="003124CE">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454A269"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 xml:space="preserve">Concept ID </w:t>
            </w:r>
            <w:r w:rsidRPr="00592E29">
              <w:rPr>
                <w:rFonts w:ascii="Arial Narrow" w:eastAsia="Calibri"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E753A9"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Check1"/>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GENERAL -Section 85 General Schedule (Code GE) </w:t>
            </w:r>
          </w:p>
        </w:tc>
      </w:tr>
      <w:tr w:rsidR="009C5E27" w:rsidRPr="00592E29" w14:paraId="0C571DF5" w14:textId="77777777" w:rsidTr="003124C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3442B10"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34DEE0"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0E55CC26" w14:textId="77777777" w:rsidTr="003124C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524E6AC"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B1FD78" w14:textId="04527204" w:rsidR="009C5E27" w:rsidRPr="00592E29" w:rsidRDefault="009C5E27" w:rsidP="003124CE">
            <w:pPr>
              <w:keepLines/>
              <w:rPr>
                <w:rFonts w:ascii="Arial Narrow" w:eastAsia="Calibri" w:hAnsi="Arial Narrow"/>
                <w:color w:val="FF0000"/>
                <w:sz w:val="20"/>
                <w:szCs w:val="20"/>
              </w:rPr>
            </w:pPr>
            <w:r w:rsidRPr="00592E29">
              <w:rPr>
                <w:rFonts w:ascii="Arial Narrow" w:eastAsia="Calibri" w:hAnsi="Arial Narrow"/>
                <w:b/>
                <w:sz w:val="20"/>
                <w:szCs w:val="20"/>
              </w:rPr>
              <w:t xml:space="preserve">Restriction type: </w:t>
            </w:r>
            <w:r w:rsidR="00D04C07">
              <w:rPr>
                <w:rFonts w:ascii="Arial Narrow" w:eastAsia="Calibri" w:hAnsi="Arial Narrow"/>
                <w:sz w:val="20"/>
                <w:szCs w:val="20"/>
              </w:rPr>
              <w:fldChar w:fldCharType="begin">
                <w:ffData>
                  <w:name w:val=""/>
                  <w:enabled/>
                  <w:calcOnExit w:val="0"/>
                  <w:checkBox>
                    <w:sizeAuto/>
                    <w:default w:val="1"/>
                  </w:checkBox>
                </w:ffData>
              </w:fldChar>
            </w:r>
            <w:r w:rsidR="00D04C07">
              <w:rPr>
                <w:rFonts w:ascii="Arial Narrow" w:eastAsia="Calibri" w:hAnsi="Arial Narrow"/>
                <w:sz w:val="20"/>
                <w:szCs w:val="20"/>
              </w:rPr>
              <w:instrText xml:space="preserve"> FORMCHECKBOX </w:instrText>
            </w:r>
            <w:r w:rsidR="00D04C07">
              <w:rPr>
                <w:rFonts w:ascii="Arial Narrow" w:eastAsia="Calibri" w:hAnsi="Arial Narrow"/>
                <w:sz w:val="20"/>
                <w:szCs w:val="20"/>
              </w:rPr>
            </w:r>
            <w:r w:rsidR="00D04C07">
              <w:rPr>
                <w:rFonts w:ascii="Arial Narrow" w:eastAsia="Calibri" w:hAnsi="Arial Narrow"/>
                <w:sz w:val="20"/>
                <w:szCs w:val="20"/>
              </w:rPr>
              <w:fldChar w:fldCharType="separate"/>
            </w:r>
            <w:r w:rsidR="00D04C07">
              <w:rPr>
                <w:rFonts w:ascii="Arial Narrow" w:eastAsia="Calibri" w:hAnsi="Arial Narrow"/>
                <w:sz w:val="20"/>
                <w:szCs w:val="20"/>
              </w:rPr>
              <w:fldChar w:fldCharType="end"/>
            </w:r>
            <w:r w:rsidRPr="00592E29">
              <w:rPr>
                <w:rFonts w:ascii="Arial Narrow" w:eastAsia="Calibri" w:hAnsi="Arial Narrow"/>
                <w:sz w:val="20"/>
                <w:szCs w:val="20"/>
              </w:rPr>
              <w:t>Authority Required (</w:t>
            </w:r>
            <w:r w:rsidR="00CE7325">
              <w:rPr>
                <w:rFonts w:ascii="Arial Narrow" w:eastAsia="Calibri" w:hAnsi="Arial Narrow"/>
                <w:sz w:val="20"/>
                <w:szCs w:val="20"/>
              </w:rPr>
              <w:t>telephone</w:t>
            </w:r>
            <w:r w:rsidR="00F25EBE">
              <w:rPr>
                <w:rFonts w:ascii="Arial Narrow" w:eastAsia="Calibri" w:hAnsi="Arial Narrow"/>
                <w:sz w:val="20"/>
                <w:szCs w:val="20"/>
              </w:rPr>
              <w:t>/electronic</w:t>
            </w:r>
            <w:r w:rsidRPr="00592E29">
              <w:rPr>
                <w:rFonts w:ascii="Arial Narrow" w:eastAsia="Calibri" w:hAnsi="Arial Narrow"/>
                <w:sz w:val="20"/>
                <w:szCs w:val="20"/>
              </w:rPr>
              <w:t>)</w:t>
            </w:r>
            <w:r w:rsidRPr="00592E29">
              <w:rPr>
                <w:rFonts w:ascii="Arial Narrow" w:eastAsia="Calibri" w:hAnsi="Arial Narrow"/>
                <w:color w:val="FF0000"/>
                <w:sz w:val="20"/>
                <w:szCs w:val="20"/>
              </w:rPr>
              <w:t xml:space="preserve"> </w:t>
            </w:r>
          </w:p>
        </w:tc>
      </w:tr>
      <w:tr w:rsidR="009C5E27" w:rsidRPr="00592E29" w14:paraId="04E60554" w14:textId="77777777" w:rsidTr="00EA3282">
        <w:tblPrEx>
          <w:tblCellMar>
            <w:top w:w="15" w:type="dxa"/>
            <w:bottom w:w="15" w:type="dxa"/>
          </w:tblCellMar>
          <w:tblLook w:val="04A0" w:firstRow="1" w:lastRow="0" w:firstColumn="1" w:lastColumn="0" w:noHBand="0" w:noVBand="1"/>
        </w:tblPrEx>
        <w:trPr>
          <w:trHeight w:val="71"/>
        </w:trPr>
        <w:tc>
          <w:tcPr>
            <w:tcW w:w="487" w:type="dxa"/>
            <w:vMerge w:val="restart"/>
            <w:tcBorders>
              <w:left w:val="single" w:sz="4" w:space="0" w:color="auto"/>
              <w:right w:val="single" w:sz="4" w:space="0" w:color="auto"/>
            </w:tcBorders>
            <w:textDirection w:val="btLr"/>
            <w:vAlign w:val="center"/>
          </w:tcPr>
          <w:p w14:paraId="0C85827C" w14:textId="77777777" w:rsidR="009C5E27" w:rsidRPr="00592E29" w:rsidRDefault="009C5E27" w:rsidP="003124CE">
            <w:pPr>
              <w:jc w:val="center"/>
              <w:rPr>
                <w:rFonts w:ascii="Arial Narrow" w:eastAsia="Calibri" w:hAnsi="Arial Narrow"/>
                <w:sz w:val="20"/>
                <w:szCs w:val="20"/>
              </w:rPr>
            </w:pPr>
            <w:r w:rsidRPr="00592E29">
              <w:rPr>
                <w:rFonts w:ascii="Arial Narrow" w:eastAsia="Calibri" w:hAnsi="Arial Narrow"/>
                <w:sz w:val="20"/>
                <w:szCs w:val="20"/>
              </w:rPr>
              <w:t>Prescribing rule level</w:t>
            </w:r>
          </w:p>
        </w:tc>
        <w:tc>
          <w:tcPr>
            <w:tcW w:w="784" w:type="dxa"/>
            <w:vAlign w:val="center"/>
          </w:tcPr>
          <w:p w14:paraId="78EB76C1" w14:textId="266E667A"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C37D4A7" w14:textId="77777777" w:rsidR="009C5E27" w:rsidRPr="00592E29" w:rsidRDefault="009C5E27" w:rsidP="003124CE">
            <w:pPr>
              <w:keepNext/>
              <w:keepLines/>
              <w:spacing w:after="120"/>
              <w:rPr>
                <w:rFonts w:ascii="Arial Narrow" w:hAnsi="Arial Narrow"/>
                <w:sz w:val="20"/>
                <w:szCs w:val="20"/>
                <w:u w:val="single"/>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u w:val="single"/>
              </w:rPr>
              <w:t>Overarching administrative advice note:</w:t>
            </w:r>
          </w:p>
        </w:tc>
      </w:tr>
      <w:tr w:rsidR="009C5E27" w:rsidRPr="00592E29" w14:paraId="7AB0F6A6"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07672855" w14:textId="77777777" w:rsidR="009C5E27" w:rsidRPr="00592E29" w:rsidRDefault="009C5E27" w:rsidP="003124CE">
            <w:pPr>
              <w:rPr>
                <w:rFonts w:ascii="Arial Narrow" w:eastAsia="Calibri" w:hAnsi="Arial Narrow"/>
                <w:sz w:val="20"/>
                <w:szCs w:val="20"/>
              </w:rPr>
            </w:pPr>
          </w:p>
        </w:tc>
        <w:tc>
          <w:tcPr>
            <w:tcW w:w="784" w:type="dxa"/>
            <w:vAlign w:val="center"/>
          </w:tcPr>
          <w:p w14:paraId="1B82FCEE" w14:textId="745E16D5" w:rsidR="009C5E27" w:rsidRPr="005F4B20" w:rsidRDefault="009C5E27" w:rsidP="003124CE">
            <w:pPr>
              <w:jc w:val="center"/>
              <w:rPr>
                <w:rFonts w:ascii="Arial Narrow" w:hAnsi="Arial Narrow"/>
                <w:color w:val="333333"/>
                <w:sz w:val="20"/>
                <w:szCs w:val="20"/>
              </w:rPr>
            </w:pPr>
          </w:p>
        </w:tc>
        <w:tc>
          <w:tcPr>
            <w:tcW w:w="7745" w:type="dxa"/>
            <w:gridSpan w:val="6"/>
          </w:tcPr>
          <w:p w14:paraId="0B2DE4D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quantity or number of units may be authorised.</w:t>
            </w:r>
          </w:p>
        </w:tc>
      </w:tr>
      <w:tr w:rsidR="009C5E27" w:rsidRPr="00592E29" w14:paraId="12E94C52"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71F349BE" w14:textId="77777777" w:rsidR="009C5E27" w:rsidRPr="00592E29" w:rsidRDefault="009C5E27" w:rsidP="003124CE">
            <w:pPr>
              <w:rPr>
                <w:rFonts w:ascii="Arial Narrow" w:eastAsia="Calibri" w:hAnsi="Arial Narrow"/>
                <w:sz w:val="20"/>
                <w:szCs w:val="20"/>
              </w:rPr>
            </w:pPr>
          </w:p>
        </w:tc>
        <w:tc>
          <w:tcPr>
            <w:tcW w:w="784" w:type="dxa"/>
            <w:vAlign w:val="center"/>
          </w:tcPr>
          <w:p w14:paraId="1D60FF94" w14:textId="589ED247" w:rsidR="009C5E27" w:rsidRPr="005F4B20" w:rsidRDefault="009C5E27" w:rsidP="003124CE">
            <w:pPr>
              <w:jc w:val="center"/>
              <w:rPr>
                <w:rFonts w:ascii="Arial Narrow" w:hAnsi="Arial Narrow"/>
                <w:color w:val="333333"/>
                <w:sz w:val="20"/>
                <w:szCs w:val="20"/>
              </w:rPr>
            </w:pPr>
          </w:p>
        </w:tc>
        <w:tc>
          <w:tcPr>
            <w:tcW w:w="7745" w:type="dxa"/>
            <w:gridSpan w:val="6"/>
          </w:tcPr>
          <w:p w14:paraId="2D39867E"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number of repeats may be authorised.</w:t>
            </w:r>
          </w:p>
        </w:tc>
      </w:tr>
      <w:tr w:rsidR="009C5E27" w:rsidRPr="00592E29" w14:paraId="14D8C1AD"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1B219047" w14:textId="77777777" w:rsidR="009C5E27" w:rsidRPr="00592E29" w:rsidRDefault="009C5E27" w:rsidP="003124CE">
            <w:pPr>
              <w:rPr>
                <w:rFonts w:ascii="Arial Narrow" w:eastAsia="Calibri" w:hAnsi="Arial Narrow"/>
                <w:sz w:val="20"/>
                <w:szCs w:val="20"/>
              </w:rPr>
            </w:pPr>
          </w:p>
        </w:tc>
        <w:tc>
          <w:tcPr>
            <w:tcW w:w="784" w:type="dxa"/>
            <w:vAlign w:val="center"/>
          </w:tcPr>
          <w:p w14:paraId="71A8A6E4" w14:textId="5FF5D305" w:rsidR="009C5E27" w:rsidRPr="005F4B20" w:rsidRDefault="009C5E27" w:rsidP="003124CE">
            <w:pPr>
              <w:jc w:val="center"/>
              <w:rPr>
                <w:rFonts w:ascii="Arial Narrow" w:hAnsi="Arial Narrow"/>
                <w:color w:val="333333"/>
                <w:sz w:val="20"/>
                <w:szCs w:val="20"/>
              </w:rPr>
            </w:pPr>
          </w:p>
        </w:tc>
        <w:tc>
          <w:tcPr>
            <w:tcW w:w="7745" w:type="dxa"/>
            <w:gridSpan w:val="6"/>
          </w:tcPr>
          <w:p w14:paraId="6E177462"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Special Pricing Arrangements apply</w:t>
            </w:r>
          </w:p>
        </w:tc>
      </w:tr>
      <w:tr w:rsidR="009C5E27" w:rsidRPr="00592E29" w14:paraId="01E5B4E5"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5A8AB6E1" w14:textId="77777777" w:rsidR="009C5E27" w:rsidRPr="00592E29" w:rsidRDefault="009C5E27" w:rsidP="003124CE">
            <w:pPr>
              <w:rPr>
                <w:rFonts w:ascii="Arial Narrow" w:eastAsia="Calibri" w:hAnsi="Arial Narrow"/>
                <w:sz w:val="20"/>
                <w:szCs w:val="20"/>
              </w:rPr>
            </w:pPr>
          </w:p>
        </w:tc>
        <w:tc>
          <w:tcPr>
            <w:tcW w:w="784" w:type="dxa"/>
            <w:vAlign w:val="center"/>
          </w:tcPr>
          <w:p w14:paraId="1696B5F3" w14:textId="74AD4FDD" w:rsidR="009C5E27" w:rsidRPr="005F4B20" w:rsidRDefault="009C5E27" w:rsidP="003124CE">
            <w:pPr>
              <w:jc w:val="center"/>
              <w:rPr>
                <w:rFonts w:ascii="Arial Narrow" w:hAnsi="Arial Narrow" w:cs="Open Sans"/>
                <w:color w:val="333333"/>
                <w:sz w:val="20"/>
                <w:szCs w:val="20"/>
              </w:rPr>
            </w:pPr>
          </w:p>
          <w:p w14:paraId="2ECEE772" w14:textId="37DDC473" w:rsidR="009C5E27" w:rsidRPr="005F4B20" w:rsidRDefault="009C5E27" w:rsidP="003124CE">
            <w:pPr>
              <w:jc w:val="center"/>
              <w:rPr>
                <w:rFonts w:ascii="Arial Narrow" w:hAnsi="Arial Narrow"/>
                <w:color w:val="333333"/>
                <w:sz w:val="20"/>
                <w:szCs w:val="20"/>
              </w:rPr>
            </w:pPr>
          </w:p>
        </w:tc>
        <w:tc>
          <w:tcPr>
            <w:tcW w:w="7745" w:type="dxa"/>
            <w:gridSpan w:val="6"/>
          </w:tcPr>
          <w:p w14:paraId="5291D4C8" w14:textId="77777777" w:rsidR="009C5E27" w:rsidRPr="00592E29" w:rsidRDefault="009C5E27" w:rsidP="003124CE">
            <w:pPr>
              <w:rPr>
                <w:rFonts w:ascii="Arial Narrow" w:hAnsi="Arial Narrow"/>
                <w:sz w:val="20"/>
                <w:szCs w:val="20"/>
              </w:rPr>
            </w:pPr>
            <w:r w:rsidRPr="00592E29">
              <w:rPr>
                <w:rFonts w:ascii="Arial Narrow" w:hAnsi="Arial Narrow"/>
                <w:b/>
                <w:bCs/>
                <w:sz w:val="20"/>
                <w:szCs w:val="20"/>
              </w:rPr>
              <w:t>Administrative Advice</w:t>
            </w:r>
            <w:r w:rsidRPr="00592E29">
              <w:rPr>
                <w:rFonts w:ascii="Arial Narrow" w:hAnsi="Arial Narrow"/>
                <w:sz w:val="20"/>
                <w:szCs w:val="20"/>
              </w:rPr>
              <w:t>:</w:t>
            </w:r>
          </w:p>
          <w:p w14:paraId="3F9CEABA"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9C5E27" w:rsidRPr="00592E29" w14:paraId="57B2D59D"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64596811" w14:textId="77777777" w:rsidR="009C5E27" w:rsidRPr="00592E29" w:rsidRDefault="009C5E27" w:rsidP="003124CE">
            <w:pPr>
              <w:rPr>
                <w:rFonts w:ascii="Arial Narrow" w:eastAsia="Calibri" w:hAnsi="Arial Narrow"/>
                <w:sz w:val="20"/>
                <w:szCs w:val="20"/>
              </w:rPr>
            </w:pPr>
          </w:p>
        </w:tc>
        <w:tc>
          <w:tcPr>
            <w:tcW w:w="784" w:type="dxa"/>
            <w:vAlign w:val="center"/>
          </w:tcPr>
          <w:p w14:paraId="54FA3AD4" w14:textId="497FB61F" w:rsidR="009C5E27" w:rsidRPr="005F4B20" w:rsidRDefault="009C5E27" w:rsidP="003124CE">
            <w:pPr>
              <w:jc w:val="center"/>
              <w:rPr>
                <w:rFonts w:ascii="Arial Narrow" w:hAnsi="Arial Narrow"/>
                <w:color w:val="333333"/>
                <w:sz w:val="20"/>
                <w:szCs w:val="20"/>
              </w:rPr>
            </w:pPr>
          </w:p>
        </w:tc>
        <w:tc>
          <w:tcPr>
            <w:tcW w:w="7745" w:type="dxa"/>
            <w:gridSpan w:val="6"/>
          </w:tcPr>
          <w:p w14:paraId="1EAFC204"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The prescriber completing this authority application must be a specialist medical practitioner of the type specified in the restriction.</w:t>
            </w:r>
          </w:p>
        </w:tc>
      </w:tr>
      <w:tr w:rsidR="009C5E27" w:rsidRPr="00592E29" w14:paraId="2D8B8650" w14:textId="77777777" w:rsidTr="003124CE">
        <w:tblPrEx>
          <w:tblCellMar>
            <w:top w:w="15" w:type="dxa"/>
            <w:bottom w:w="15" w:type="dxa"/>
          </w:tblCellMar>
          <w:tblLook w:val="04A0" w:firstRow="1" w:lastRow="0" w:firstColumn="1" w:lastColumn="0" w:noHBand="0" w:noVBand="1"/>
        </w:tblPrEx>
        <w:trPr>
          <w:cantSplit/>
          <w:trHeight w:val="20"/>
        </w:trPr>
        <w:tc>
          <w:tcPr>
            <w:tcW w:w="9016" w:type="dxa"/>
            <w:gridSpan w:val="8"/>
            <w:shd w:val="clear" w:color="auto" w:fill="A6A6A6" w:themeFill="background1" w:themeFillShade="A6"/>
          </w:tcPr>
          <w:p w14:paraId="02B9D0CA"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[new5] / Treatment of Concept: [new5] </w:t>
            </w:r>
          </w:p>
        </w:tc>
      </w:tr>
      <w:tr w:rsidR="009C5E27" w:rsidRPr="00592E29" w14:paraId="6D76994C"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CAC75FE" w14:textId="437AB1EE" w:rsidR="009C5E27" w:rsidRPr="005F4B20" w:rsidRDefault="009C5E27" w:rsidP="003124CE">
            <w:pPr>
              <w:keepLines/>
              <w:jc w:val="center"/>
              <w:rPr>
                <w:rFonts w:ascii="Arial Narrow" w:hAnsi="Arial Narrow"/>
                <w:color w:val="333333"/>
                <w:sz w:val="20"/>
                <w:szCs w:val="20"/>
              </w:rPr>
            </w:pPr>
          </w:p>
        </w:tc>
        <w:tc>
          <w:tcPr>
            <w:tcW w:w="7745" w:type="dxa"/>
            <w:gridSpan w:val="6"/>
            <w:vAlign w:val="center"/>
            <w:hideMark/>
          </w:tcPr>
          <w:p w14:paraId="5F377454"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0212E6D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9E3F031"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hideMark/>
          </w:tcPr>
          <w:p w14:paraId="3882841C"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1 (new patient), Initial 2 (change or recommencement of treatment after a break in biological medicine of less than 5 years), or Initial 3 (recommencement of treatment after a break in biological medicine of more than 5 years) - balance of supply</w:t>
            </w:r>
          </w:p>
        </w:tc>
      </w:tr>
      <w:tr w:rsidR="009C5E27" w:rsidRPr="00592E29" w14:paraId="0ADE6689"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tcPr>
          <w:p w14:paraId="2A2E7038" w14:textId="5508DC2A"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293CAF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1E8772E5"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tcPr>
          <w:p w14:paraId="11105277" w14:textId="4FF315E4"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A3857A7" w14:textId="77777777" w:rsidR="009C5E27" w:rsidRPr="00592E29" w:rsidRDefault="009C5E27" w:rsidP="003124CE">
            <w:pPr>
              <w:pStyle w:val="TableText0"/>
              <w:tabs>
                <w:tab w:val="left" w:pos="790"/>
              </w:tabs>
              <w:rPr>
                <w:szCs w:val="20"/>
              </w:rPr>
            </w:pPr>
            <w:r w:rsidRPr="00592E29">
              <w:rPr>
                <w:szCs w:val="20"/>
              </w:rPr>
              <w:t>Patient must have received insufficient therapy with this drug for this condition under the Initial 1 (new patient) restriction to complete the 3 doses (the initial infusion regimen at 0, 4 and 8 weeks); or</w:t>
            </w:r>
          </w:p>
        </w:tc>
      </w:tr>
      <w:tr w:rsidR="009C5E27" w:rsidRPr="00592E29" w14:paraId="302E2DD3"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tcPr>
          <w:p w14:paraId="4D4F6AC5" w14:textId="3B9BB57A"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ABFEE84" w14:textId="77777777" w:rsidR="009C5E27" w:rsidRPr="00592E29" w:rsidRDefault="009C5E27" w:rsidP="003124CE">
            <w:pPr>
              <w:pStyle w:val="TableText0"/>
              <w:tabs>
                <w:tab w:val="left" w:pos="790"/>
              </w:tabs>
              <w:rPr>
                <w:szCs w:val="20"/>
              </w:rPr>
            </w:pPr>
            <w:r w:rsidRPr="00592E29">
              <w:rPr>
                <w:szCs w:val="20"/>
              </w:rPr>
              <w:t>Patient must have received insufficient therapy with this drug for this condition under the Initial 2 (change or recommencement of treatment after a break in biological medicine of less than 5 years) restriction to complete the 3 doses (the initial infusion regimen at 0, 4 and 8 weeks); or</w:t>
            </w:r>
          </w:p>
        </w:tc>
      </w:tr>
      <w:tr w:rsidR="009C5E27" w:rsidRPr="00592E29" w14:paraId="21E5D012"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tcPr>
          <w:p w14:paraId="76A0B278" w14:textId="5F8DE781"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DEB95FD" w14:textId="77777777" w:rsidR="009C5E27" w:rsidRPr="00592E29" w:rsidRDefault="009C5E27" w:rsidP="003124CE">
            <w:pPr>
              <w:pStyle w:val="TableText0"/>
              <w:tabs>
                <w:tab w:val="left" w:pos="790"/>
              </w:tabs>
              <w:rPr>
                <w:szCs w:val="20"/>
              </w:rPr>
            </w:pPr>
            <w:r w:rsidRPr="00592E29">
              <w:rPr>
                <w:szCs w:val="20"/>
              </w:rPr>
              <w:t>Patient must have received insufficient therapy with this drug for this condition under the Initial 3 (recommencement of treatment after a break in biological medicine of more than 5 years) restriction to complete the 3 doses (the initial infusion regimen at 0, 4 and 8 weeks); or</w:t>
            </w:r>
          </w:p>
        </w:tc>
      </w:tr>
      <w:tr w:rsidR="009C5E27" w:rsidRPr="00592E29" w14:paraId="165A3B64"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86C0F1F" w14:textId="61F7261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48CBDCD" w14:textId="77777777" w:rsidR="009C5E27" w:rsidRPr="00592E29" w:rsidRDefault="009C5E27" w:rsidP="003124CE">
            <w:pPr>
              <w:pStyle w:val="TableText0"/>
              <w:tabs>
                <w:tab w:val="left" w:pos="790"/>
              </w:tabs>
              <w:rPr>
                <w:szCs w:val="20"/>
              </w:rPr>
            </w:pPr>
            <w:r w:rsidRPr="00592E29">
              <w:rPr>
                <w:szCs w:val="20"/>
              </w:rPr>
              <w:t xml:space="preserve">Patient must have received insufficient therapy with this drug </w:t>
            </w:r>
            <w:r w:rsidRPr="00626553">
              <w:rPr>
                <w:i/>
                <w:szCs w:val="20"/>
              </w:rPr>
              <w:t>for this condition</w:t>
            </w:r>
            <w:r w:rsidRPr="00626553">
              <w:rPr>
                <w:szCs w:val="20"/>
              </w:rPr>
              <w:t xml:space="preserve"> </w:t>
            </w:r>
            <w:r w:rsidRPr="00592E29">
              <w:rPr>
                <w:szCs w:val="20"/>
              </w:rPr>
              <w:t>under the Continuing treatment restriction to complete 24 weeks of treatment</w:t>
            </w:r>
          </w:p>
        </w:tc>
      </w:tr>
      <w:tr w:rsidR="009C5E27" w:rsidRPr="00592E29" w14:paraId="6A83345D"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EA51D9B"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F6D9894"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AND</w:t>
            </w:r>
          </w:p>
        </w:tc>
      </w:tr>
      <w:tr w:rsidR="009C5E27" w:rsidRPr="00592E29" w14:paraId="3678933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7CC261" w14:textId="617C2AB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B39E0F9"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27B0973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B467E4" w14:textId="737FDF2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602778A"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The treatment must provide no more than the balance of up to 12 weeks therapy available under Initial 1, 2 or 3 treatment or</w:t>
            </w:r>
          </w:p>
        </w:tc>
      </w:tr>
      <w:tr w:rsidR="009C5E27" w:rsidRPr="00592E29" w14:paraId="0E179C0D"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CA5E7A8" w14:textId="0BA10D93"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3B4E73B"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The treatment must provide no more than the balance of up to 24 weeks treatment available under Continuing treatment</w:t>
            </w:r>
          </w:p>
        </w:tc>
      </w:tr>
      <w:tr w:rsidR="009C5E27" w:rsidRPr="00592E29" w14:paraId="1A87085D"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ACA5B7D"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024B02B" w14:textId="77777777" w:rsidR="009C5E27" w:rsidRPr="00592E29" w:rsidRDefault="009C5E27" w:rsidP="003124CE">
            <w:pPr>
              <w:rPr>
                <w:rFonts w:ascii="Arial Narrow" w:hAnsi="Arial Narrow"/>
                <w:sz w:val="20"/>
                <w:szCs w:val="20"/>
              </w:rPr>
            </w:pPr>
          </w:p>
        </w:tc>
      </w:tr>
      <w:tr w:rsidR="009C5E27" w:rsidRPr="00592E29" w14:paraId="446119D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5887BE" w14:textId="3C92869C" w:rsidR="009C5E27" w:rsidRPr="00592E29" w:rsidRDefault="009C5E27" w:rsidP="003124CE">
            <w:pPr>
              <w:jc w:val="center"/>
              <w:rPr>
                <w:rFonts w:ascii="Arial Narrow" w:hAnsi="Arial Narrow"/>
                <w:sz w:val="20"/>
                <w:szCs w:val="20"/>
              </w:rPr>
            </w:pPr>
          </w:p>
        </w:tc>
        <w:tc>
          <w:tcPr>
            <w:tcW w:w="7745" w:type="dxa"/>
            <w:gridSpan w:val="6"/>
            <w:vAlign w:val="center"/>
          </w:tcPr>
          <w:p w14:paraId="645C4F75" w14:textId="77777777" w:rsidR="009C5E27" w:rsidRPr="00592E29" w:rsidRDefault="009C5E27" w:rsidP="003124CE">
            <w:pPr>
              <w:rPr>
                <w:rFonts w:ascii="Arial Narrow" w:hAnsi="Arial Narrow"/>
                <w:sz w:val="20"/>
                <w:szCs w:val="20"/>
              </w:rPr>
            </w:pPr>
            <w:r w:rsidRPr="00592E29">
              <w:rPr>
                <w:rFonts w:ascii="Arial Narrow" w:hAnsi="Arial Narrow"/>
                <w:b/>
                <w:bCs/>
                <w:sz w:val="20"/>
                <w:szCs w:val="20"/>
              </w:rPr>
              <w:t>Treatment criteria:</w:t>
            </w:r>
          </w:p>
        </w:tc>
      </w:tr>
      <w:tr w:rsidR="009C5E27" w:rsidRPr="00592E29" w14:paraId="022A327D"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C291AE1" w14:textId="5C42F014" w:rsidR="009C5E27" w:rsidRPr="00592E29" w:rsidRDefault="009C5E27" w:rsidP="003124CE">
            <w:pPr>
              <w:jc w:val="center"/>
              <w:rPr>
                <w:rFonts w:ascii="Arial Narrow" w:hAnsi="Arial Narrow"/>
                <w:sz w:val="20"/>
                <w:szCs w:val="20"/>
              </w:rPr>
            </w:pPr>
          </w:p>
        </w:tc>
        <w:tc>
          <w:tcPr>
            <w:tcW w:w="7745" w:type="dxa"/>
            <w:gridSpan w:val="6"/>
            <w:vAlign w:val="center"/>
          </w:tcPr>
          <w:p w14:paraId="2FF91869"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gastroenterologist (code 87); or</w:t>
            </w:r>
          </w:p>
        </w:tc>
      </w:tr>
      <w:tr w:rsidR="009C5E27" w:rsidRPr="00592E29" w14:paraId="4A3ABE1C"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DF9DAF" w14:textId="0F010E34" w:rsidR="009C5E27" w:rsidRPr="00592E29" w:rsidRDefault="009C5E27" w:rsidP="003124CE">
            <w:pPr>
              <w:jc w:val="center"/>
              <w:rPr>
                <w:rFonts w:ascii="Arial Narrow" w:hAnsi="Arial Narrow"/>
                <w:sz w:val="20"/>
                <w:szCs w:val="20"/>
              </w:rPr>
            </w:pPr>
          </w:p>
        </w:tc>
        <w:tc>
          <w:tcPr>
            <w:tcW w:w="7745" w:type="dxa"/>
            <w:gridSpan w:val="6"/>
            <w:vAlign w:val="center"/>
          </w:tcPr>
          <w:p w14:paraId="48B105DD"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consultant physician [internal medicine specialising in gastroenterology (code 81)]; or</w:t>
            </w:r>
          </w:p>
        </w:tc>
      </w:tr>
      <w:tr w:rsidR="009C5E27" w:rsidRPr="00592E29" w14:paraId="17021B6C"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9C154F" w14:textId="368A99B0" w:rsidR="009C5E27" w:rsidRPr="00592E29" w:rsidRDefault="009C5E27" w:rsidP="003124CE">
            <w:pPr>
              <w:jc w:val="center"/>
              <w:rPr>
                <w:rFonts w:ascii="Arial Narrow" w:hAnsi="Arial Narrow"/>
                <w:sz w:val="20"/>
                <w:szCs w:val="20"/>
              </w:rPr>
            </w:pPr>
          </w:p>
        </w:tc>
        <w:tc>
          <w:tcPr>
            <w:tcW w:w="7745" w:type="dxa"/>
            <w:gridSpan w:val="6"/>
            <w:vAlign w:val="center"/>
          </w:tcPr>
          <w:p w14:paraId="60EA4912"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7FB055A9"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E2B695" w14:textId="77777777" w:rsidR="009C5E27" w:rsidRPr="00592E29" w:rsidRDefault="009C5E27" w:rsidP="003124CE">
            <w:pPr>
              <w:jc w:val="center"/>
              <w:rPr>
                <w:rFonts w:ascii="Arial Narrow" w:hAnsi="Arial Narrow"/>
                <w:sz w:val="20"/>
                <w:szCs w:val="20"/>
              </w:rPr>
            </w:pPr>
          </w:p>
        </w:tc>
        <w:tc>
          <w:tcPr>
            <w:tcW w:w="7745" w:type="dxa"/>
            <w:gridSpan w:val="6"/>
            <w:vAlign w:val="center"/>
          </w:tcPr>
          <w:p w14:paraId="02833C63" w14:textId="77777777" w:rsidR="009C5E27" w:rsidRPr="00592E29" w:rsidRDefault="009C5E27" w:rsidP="003124CE">
            <w:pPr>
              <w:rPr>
                <w:rFonts w:ascii="Arial Narrow" w:hAnsi="Arial Narrow"/>
                <w:sz w:val="20"/>
                <w:szCs w:val="20"/>
              </w:rPr>
            </w:pPr>
          </w:p>
        </w:tc>
      </w:tr>
      <w:tr w:rsidR="009C5E27" w:rsidRPr="00592E29" w14:paraId="5CD997B6"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D34157" w14:textId="7E36C2A2" w:rsidR="009C5E27" w:rsidRPr="00592E29" w:rsidRDefault="009C5E27" w:rsidP="003124CE">
            <w:pPr>
              <w:jc w:val="center"/>
              <w:rPr>
                <w:rFonts w:ascii="Arial Narrow" w:hAnsi="Arial Narrow"/>
                <w:sz w:val="20"/>
                <w:szCs w:val="20"/>
              </w:rPr>
            </w:pPr>
          </w:p>
        </w:tc>
        <w:tc>
          <w:tcPr>
            <w:tcW w:w="7745" w:type="dxa"/>
            <w:gridSpan w:val="6"/>
            <w:vAlign w:val="center"/>
          </w:tcPr>
          <w:p w14:paraId="057E6446"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Population criteria:</w:t>
            </w:r>
          </w:p>
        </w:tc>
      </w:tr>
      <w:tr w:rsidR="009C5E27" w:rsidRPr="00592E29" w14:paraId="3D4CB70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9E097F" w14:textId="15D5CEEB" w:rsidR="009C5E27" w:rsidRPr="00592E29" w:rsidRDefault="009C5E27" w:rsidP="003124CE">
            <w:pPr>
              <w:jc w:val="center"/>
              <w:rPr>
                <w:rFonts w:ascii="Arial Narrow" w:hAnsi="Arial Narrow"/>
                <w:sz w:val="20"/>
                <w:szCs w:val="20"/>
              </w:rPr>
            </w:pPr>
          </w:p>
        </w:tc>
        <w:tc>
          <w:tcPr>
            <w:tcW w:w="7745" w:type="dxa"/>
            <w:gridSpan w:val="6"/>
            <w:vAlign w:val="center"/>
          </w:tcPr>
          <w:p w14:paraId="23DF0197"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Patient must be aged 18 years or older</w:t>
            </w:r>
          </w:p>
        </w:tc>
      </w:tr>
    </w:tbl>
    <w:p w14:paraId="431651B9" w14:textId="77777777" w:rsidR="009C5E27" w:rsidRPr="00592E29" w:rsidRDefault="009C5E27" w:rsidP="009C5E27">
      <w:pPr>
        <w:rPr>
          <w:rFonts w:ascii="Arial Narrow" w:hAnsi="Arial Narrow"/>
          <w:sz w:val="20"/>
          <w:szCs w:val="20"/>
        </w:rPr>
      </w:pPr>
    </w:p>
    <w:p w14:paraId="12EDE9AC" w14:textId="77777777" w:rsidR="009C5E27" w:rsidRPr="00592E29" w:rsidRDefault="009C5E27" w:rsidP="009C5E27">
      <w:pPr>
        <w:pStyle w:val="Caption"/>
        <w:rPr>
          <w:szCs w:val="20"/>
        </w:rPr>
      </w:pPr>
      <w:r w:rsidRPr="00592E29">
        <w:rPr>
          <w:szCs w:val="20"/>
        </w:rPr>
        <w:t>Proposed Restrictions</w:t>
      </w:r>
    </w:p>
    <w:p w14:paraId="4C2A3823" w14:textId="77777777" w:rsidR="009C5E27" w:rsidRPr="00592E29" w:rsidRDefault="009C5E27" w:rsidP="009C5E27">
      <w:pPr>
        <w:pStyle w:val="Caption"/>
        <w:rPr>
          <w:szCs w:val="20"/>
        </w:rPr>
      </w:pPr>
      <w:r w:rsidRPr="00592E29">
        <w:rPr>
          <w:szCs w:val="20"/>
        </w:rPr>
        <w:t>Initial treatment 1,2, 3, Grandfather Arrangements (Initial) &amp; Balance of Supply (HSD IV Infusion)</w:t>
      </w:r>
    </w:p>
    <w:p w14:paraId="0AB86997" w14:textId="77777777" w:rsidR="009C5E27" w:rsidRPr="00592E29" w:rsidRDefault="009C5E27" w:rsidP="009C5E27">
      <w:pPr>
        <w:rPr>
          <w:rFonts w:ascii="Arial Narrow" w:eastAsia="Calibri" w:hAnsi="Arial Narrow"/>
          <w:sz w:val="20"/>
          <w:szCs w:val="20"/>
        </w:rPr>
      </w:pPr>
      <w:r w:rsidRPr="00592E29">
        <w:rPr>
          <w:rFonts w:ascii="Arial Narrow" w:eastAsia="Calibri" w:hAnsi="Arial Narrow"/>
          <w:sz w:val="20"/>
          <w:szCs w:val="20"/>
        </w:rPr>
        <w:t>Abridged version of restrictions (to mirror General Schedule restrictions)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Proposed Restrictions&#10;Initial treatment 1,2, 3, Grandfather Arrangements (Initial) &amp; Balance of Supply (HSD IV Infusion)&#10;"/>
      </w:tblPr>
      <w:tblGrid>
        <w:gridCol w:w="1200"/>
        <w:gridCol w:w="2486"/>
        <w:gridCol w:w="1354"/>
        <w:gridCol w:w="960"/>
        <w:gridCol w:w="960"/>
        <w:gridCol w:w="840"/>
        <w:gridCol w:w="1222"/>
      </w:tblGrid>
      <w:tr w:rsidR="009C5E27" w:rsidRPr="00592E29" w14:paraId="44C531AB" w14:textId="77777777" w:rsidTr="00F70C8E">
        <w:trPr>
          <w:cantSplit/>
          <w:trHeight w:val="20"/>
        </w:trPr>
        <w:tc>
          <w:tcPr>
            <w:tcW w:w="3686" w:type="dxa"/>
            <w:gridSpan w:val="2"/>
            <w:vAlign w:val="center"/>
          </w:tcPr>
          <w:p w14:paraId="5FB77549" w14:textId="77777777" w:rsidR="009C5E27" w:rsidRPr="00592E29" w:rsidRDefault="009C5E27" w:rsidP="003124CE">
            <w:pPr>
              <w:keepLines/>
              <w:rPr>
                <w:rFonts w:ascii="Arial Narrow" w:eastAsia="Calibri" w:hAnsi="Arial Narrow"/>
                <w:b/>
                <w:bCs/>
                <w:sz w:val="20"/>
                <w:szCs w:val="20"/>
              </w:rPr>
            </w:pPr>
            <w:r w:rsidRPr="00592E29">
              <w:rPr>
                <w:rFonts w:ascii="Arial Narrow" w:eastAsia="Calibri" w:hAnsi="Arial Narrow"/>
                <w:b/>
                <w:bCs/>
                <w:sz w:val="20"/>
                <w:szCs w:val="20"/>
              </w:rPr>
              <w:t>MEDICINAL PRODUCT</w:t>
            </w:r>
          </w:p>
          <w:p w14:paraId="1C1B4A89"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bCs/>
                <w:sz w:val="20"/>
                <w:szCs w:val="20"/>
              </w:rPr>
              <w:t>medicinal product pack</w:t>
            </w:r>
          </w:p>
        </w:tc>
        <w:tc>
          <w:tcPr>
            <w:tcW w:w="1354" w:type="dxa"/>
            <w:vAlign w:val="center"/>
          </w:tcPr>
          <w:p w14:paraId="5E073B84"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PBS item code</w:t>
            </w:r>
          </w:p>
        </w:tc>
        <w:tc>
          <w:tcPr>
            <w:tcW w:w="960" w:type="dxa"/>
            <w:vAlign w:val="center"/>
          </w:tcPr>
          <w:p w14:paraId="5683174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packs</w:t>
            </w:r>
          </w:p>
        </w:tc>
        <w:tc>
          <w:tcPr>
            <w:tcW w:w="960" w:type="dxa"/>
            <w:vAlign w:val="center"/>
          </w:tcPr>
          <w:p w14:paraId="7E22222A"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units</w:t>
            </w:r>
          </w:p>
        </w:tc>
        <w:tc>
          <w:tcPr>
            <w:tcW w:w="840" w:type="dxa"/>
            <w:vAlign w:val="center"/>
          </w:tcPr>
          <w:p w14:paraId="7E8597B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№.of</w:t>
            </w:r>
          </w:p>
          <w:p w14:paraId="661B6934"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Rpts</w:t>
            </w:r>
          </w:p>
        </w:tc>
        <w:tc>
          <w:tcPr>
            <w:tcW w:w="1222" w:type="dxa"/>
            <w:vAlign w:val="center"/>
          </w:tcPr>
          <w:p w14:paraId="449FE29B" w14:textId="77777777" w:rsidR="009C5E27" w:rsidRPr="00592E29" w:rsidRDefault="009C5E27" w:rsidP="003124CE">
            <w:pPr>
              <w:keepLines/>
              <w:rPr>
                <w:rFonts w:ascii="Arial Narrow" w:eastAsia="Calibri" w:hAnsi="Arial Narrow"/>
                <w:b/>
                <w:sz w:val="20"/>
                <w:szCs w:val="20"/>
                <w:lang w:val="fr-FR"/>
              </w:rPr>
            </w:pPr>
            <w:r w:rsidRPr="00592E29">
              <w:rPr>
                <w:rFonts w:ascii="Arial Narrow" w:eastAsia="Calibri" w:hAnsi="Arial Narrow"/>
                <w:b/>
                <w:sz w:val="20"/>
                <w:szCs w:val="20"/>
              </w:rPr>
              <w:t>Available brands</w:t>
            </w:r>
          </w:p>
        </w:tc>
      </w:tr>
      <w:tr w:rsidR="009C5E27" w:rsidRPr="00592E29" w14:paraId="52FF4792" w14:textId="77777777" w:rsidTr="00F70C8E">
        <w:trPr>
          <w:cantSplit/>
          <w:trHeight w:val="20"/>
        </w:trPr>
        <w:tc>
          <w:tcPr>
            <w:tcW w:w="9022" w:type="dxa"/>
            <w:gridSpan w:val="7"/>
            <w:vAlign w:val="center"/>
          </w:tcPr>
          <w:p w14:paraId="5C0F5366"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GUSELKUMAB</w:t>
            </w:r>
          </w:p>
        </w:tc>
      </w:tr>
      <w:tr w:rsidR="009C5E27" w:rsidRPr="00592E29" w14:paraId="794BD771" w14:textId="77777777" w:rsidTr="00F70C8E">
        <w:trPr>
          <w:cantSplit/>
          <w:trHeight w:val="20"/>
        </w:trPr>
        <w:tc>
          <w:tcPr>
            <w:tcW w:w="3686" w:type="dxa"/>
            <w:gridSpan w:val="2"/>
            <w:vAlign w:val="center"/>
          </w:tcPr>
          <w:p w14:paraId="26698BE0"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mg/20 mL injection, 20 mL vial</w:t>
            </w:r>
            <w:r w:rsidRPr="00A60CB5" w:rsidDel="00A60CB5">
              <w:rPr>
                <w:rFonts w:ascii="Arial Narrow" w:eastAsia="Calibri" w:hAnsi="Arial Narrow"/>
                <w:sz w:val="20"/>
                <w:szCs w:val="20"/>
              </w:rPr>
              <w:t xml:space="preserve"> </w:t>
            </w:r>
            <w:r>
              <w:rPr>
                <w:rFonts w:ascii="Arial Narrow" w:eastAsia="Calibri" w:hAnsi="Arial Narrow"/>
                <w:sz w:val="20"/>
                <w:szCs w:val="20"/>
              </w:rPr>
              <w:t xml:space="preserve"> </w:t>
            </w:r>
          </w:p>
        </w:tc>
        <w:tc>
          <w:tcPr>
            <w:tcW w:w="1354" w:type="dxa"/>
            <w:vAlign w:val="center"/>
          </w:tcPr>
          <w:p w14:paraId="3A27D011"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 (public)</w:t>
            </w:r>
          </w:p>
        </w:tc>
        <w:tc>
          <w:tcPr>
            <w:tcW w:w="960" w:type="dxa"/>
            <w:vAlign w:val="center"/>
          </w:tcPr>
          <w:p w14:paraId="2465DECA" w14:textId="4A0A64B1" w:rsidR="009C5E27" w:rsidRPr="00592E29" w:rsidRDefault="00CE7325" w:rsidP="003124CE">
            <w:pPr>
              <w:keepLines/>
              <w:jc w:val="center"/>
              <w:rPr>
                <w:rFonts w:ascii="Arial Narrow" w:eastAsia="Calibri" w:hAnsi="Arial Narrow"/>
                <w:sz w:val="20"/>
                <w:szCs w:val="20"/>
              </w:rPr>
            </w:pPr>
            <w:r>
              <w:rPr>
                <w:rFonts w:ascii="Arial Narrow" w:eastAsia="Calibri" w:hAnsi="Arial Narrow"/>
                <w:sz w:val="20"/>
                <w:szCs w:val="20"/>
              </w:rPr>
              <w:t>1</w:t>
            </w:r>
          </w:p>
        </w:tc>
        <w:tc>
          <w:tcPr>
            <w:tcW w:w="960" w:type="dxa"/>
            <w:vAlign w:val="center"/>
          </w:tcPr>
          <w:p w14:paraId="7320B137" w14:textId="3C705E1E" w:rsidR="009C5E27" w:rsidRPr="00592E29" w:rsidRDefault="005A6F8F" w:rsidP="003124CE">
            <w:pPr>
              <w:keepLines/>
              <w:jc w:val="center"/>
              <w:rPr>
                <w:rFonts w:ascii="Arial Narrow" w:eastAsia="Calibri" w:hAnsi="Arial Narrow"/>
                <w:sz w:val="20"/>
                <w:szCs w:val="20"/>
              </w:rPr>
            </w:pPr>
            <w:r>
              <w:rPr>
                <w:rFonts w:ascii="Arial Narrow" w:eastAsia="Calibri" w:hAnsi="Arial Narrow"/>
                <w:sz w:val="20"/>
                <w:szCs w:val="20"/>
              </w:rPr>
              <w:t>1</w:t>
            </w:r>
          </w:p>
        </w:tc>
        <w:tc>
          <w:tcPr>
            <w:tcW w:w="840" w:type="dxa"/>
            <w:vAlign w:val="center"/>
          </w:tcPr>
          <w:p w14:paraId="483B6FE9"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222" w:type="dxa"/>
            <w:vAlign w:val="center"/>
          </w:tcPr>
          <w:p w14:paraId="2B410AE6"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0DF775CD" w14:textId="77777777" w:rsidTr="00F70C8E">
        <w:trPr>
          <w:cantSplit/>
          <w:trHeight w:val="20"/>
        </w:trPr>
        <w:tc>
          <w:tcPr>
            <w:tcW w:w="3686" w:type="dxa"/>
            <w:gridSpan w:val="2"/>
            <w:vAlign w:val="center"/>
          </w:tcPr>
          <w:p w14:paraId="6D950B99"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mg/20 mL injection, 20 mL vial</w:t>
            </w:r>
            <w:r w:rsidRPr="00A60CB5" w:rsidDel="00A60CB5">
              <w:rPr>
                <w:rFonts w:ascii="Arial Narrow" w:eastAsia="Calibri" w:hAnsi="Arial Narrow"/>
                <w:sz w:val="20"/>
                <w:szCs w:val="20"/>
              </w:rPr>
              <w:t xml:space="preserve"> </w:t>
            </w:r>
            <w:r>
              <w:rPr>
                <w:rFonts w:ascii="Arial Narrow" w:eastAsia="Calibri" w:hAnsi="Arial Narrow"/>
                <w:sz w:val="20"/>
                <w:szCs w:val="20"/>
              </w:rPr>
              <w:t xml:space="preserve"> </w:t>
            </w:r>
          </w:p>
        </w:tc>
        <w:tc>
          <w:tcPr>
            <w:tcW w:w="1354" w:type="dxa"/>
            <w:vAlign w:val="center"/>
          </w:tcPr>
          <w:p w14:paraId="09EAEF09"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 (private)</w:t>
            </w:r>
          </w:p>
        </w:tc>
        <w:tc>
          <w:tcPr>
            <w:tcW w:w="960" w:type="dxa"/>
            <w:vAlign w:val="center"/>
          </w:tcPr>
          <w:p w14:paraId="14E0E8E4" w14:textId="7BDBC53F" w:rsidR="009C5E27" w:rsidRPr="00592E29" w:rsidRDefault="00CE7325" w:rsidP="003124CE">
            <w:pPr>
              <w:keepLines/>
              <w:jc w:val="center"/>
              <w:rPr>
                <w:rFonts w:ascii="Arial Narrow" w:eastAsia="Calibri" w:hAnsi="Arial Narrow"/>
                <w:sz w:val="20"/>
                <w:szCs w:val="20"/>
              </w:rPr>
            </w:pPr>
            <w:r>
              <w:rPr>
                <w:rFonts w:ascii="Arial Narrow" w:eastAsia="Calibri" w:hAnsi="Arial Narrow"/>
                <w:sz w:val="20"/>
                <w:szCs w:val="20"/>
              </w:rPr>
              <w:t>1</w:t>
            </w:r>
          </w:p>
        </w:tc>
        <w:tc>
          <w:tcPr>
            <w:tcW w:w="960" w:type="dxa"/>
            <w:vAlign w:val="center"/>
          </w:tcPr>
          <w:p w14:paraId="13532449" w14:textId="2E4E146C" w:rsidR="009C5E27" w:rsidRPr="00592E29" w:rsidRDefault="005A6F8F" w:rsidP="003124CE">
            <w:pPr>
              <w:keepLines/>
              <w:jc w:val="center"/>
              <w:rPr>
                <w:rFonts w:ascii="Arial Narrow" w:eastAsia="Calibri" w:hAnsi="Arial Narrow"/>
                <w:sz w:val="20"/>
                <w:szCs w:val="20"/>
              </w:rPr>
            </w:pPr>
            <w:r>
              <w:rPr>
                <w:rFonts w:ascii="Arial Narrow" w:eastAsia="Calibri" w:hAnsi="Arial Narrow"/>
                <w:sz w:val="20"/>
                <w:szCs w:val="20"/>
              </w:rPr>
              <w:t>1</w:t>
            </w:r>
          </w:p>
        </w:tc>
        <w:tc>
          <w:tcPr>
            <w:tcW w:w="840" w:type="dxa"/>
            <w:vAlign w:val="center"/>
          </w:tcPr>
          <w:p w14:paraId="77A3B37F"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222" w:type="dxa"/>
            <w:vAlign w:val="center"/>
          </w:tcPr>
          <w:p w14:paraId="5E2A0B11"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623F7885" w14:textId="77777777" w:rsidTr="00F70C8E">
        <w:tblPrEx>
          <w:tblCellMar>
            <w:top w:w="15" w:type="dxa"/>
            <w:bottom w:w="15" w:type="dxa"/>
          </w:tblCellMar>
          <w:tblLook w:val="04A0" w:firstRow="1" w:lastRow="0" w:firstColumn="1" w:lastColumn="0" w:noHBand="0" w:noVBand="1"/>
        </w:tblPrEx>
        <w:trPr>
          <w:trHeight w:val="20"/>
        </w:trPr>
        <w:tc>
          <w:tcPr>
            <w:tcW w:w="9022" w:type="dxa"/>
            <w:gridSpan w:val="7"/>
            <w:tcBorders>
              <w:top w:val="single" w:sz="4" w:space="0" w:color="auto"/>
              <w:left w:val="single" w:sz="4" w:space="0" w:color="auto"/>
              <w:right w:val="single" w:sz="4" w:space="0" w:color="auto"/>
            </w:tcBorders>
            <w:vAlign w:val="center"/>
          </w:tcPr>
          <w:p w14:paraId="696EFF27" w14:textId="77777777" w:rsidR="009C5E27" w:rsidRPr="00592E29" w:rsidRDefault="009C5E27" w:rsidP="003124CE">
            <w:pPr>
              <w:rPr>
                <w:rFonts w:ascii="Arial Narrow" w:eastAsia="Calibri" w:hAnsi="Arial Narrow"/>
                <w:sz w:val="20"/>
                <w:szCs w:val="20"/>
              </w:rPr>
            </w:pPr>
          </w:p>
        </w:tc>
      </w:tr>
      <w:tr w:rsidR="009C5E27" w:rsidRPr="00592E29" w14:paraId="7FC5F4BF" w14:textId="77777777" w:rsidTr="00F70C8E">
        <w:tblPrEx>
          <w:tblCellMar>
            <w:top w:w="15" w:type="dxa"/>
            <w:bottom w:w="15" w:type="dxa"/>
          </w:tblCellMar>
          <w:tblLook w:val="04A0" w:firstRow="1" w:lastRow="0" w:firstColumn="1" w:lastColumn="0" w:noHBand="0" w:noVBand="1"/>
        </w:tblPrEx>
        <w:trPr>
          <w:trHeight w:val="20"/>
        </w:trPr>
        <w:tc>
          <w:tcPr>
            <w:tcW w:w="1200" w:type="dxa"/>
            <w:vMerge w:val="restart"/>
            <w:tcBorders>
              <w:top w:val="single" w:sz="4" w:space="0" w:color="auto"/>
              <w:left w:val="single" w:sz="4" w:space="0" w:color="auto"/>
              <w:right w:val="single" w:sz="4" w:space="0" w:color="auto"/>
            </w:tcBorders>
          </w:tcPr>
          <w:p w14:paraId="37FF8219"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 xml:space="preserve">Concept ID </w:t>
            </w:r>
            <w:r w:rsidRPr="00592E29">
              <w:rPr>
                <w:rFonts w:ascii="Arial Narrow" w:eastAsia="Calibri" w:hAnsi="Arial Narrow"/>
                <w:sz w:val="20"/>
                <w:szCs w:val="20"/>
              </w:rPr>
              <w:t>(for internal Dept. use)</w:t>
            </w:r>
          </w:p>
        </w:tc>
        <w:tc>
          <w:tcPr>
            <w:tcW w:w="7822" w:type="dxa"/>
            <w:gridSpan w:val="6"/>
            <w:tcBorders>
              <w:top w:val="single" w:sz="4" w:space="0" w:color="auto"/>
              <w:left w:val="single" w:sz="4" w:space="0" w:color="auto"/>
              <w:bottom w:val="single" w:sz="4" w:space="0" w:color="auto"/>
              <w:right w:val="single" w:sz="4" w:space="0" w:color="auto"/>
            </w:tcBorders>
            <w:vAlign w:val="center"/>
          </w:tcPr>
          <w:p w14:paraId="602ED59E"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Check1"/>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Section 100 – Highly Specialised Drugs Program – Public (Code HB) / Private (Code HS)</w:t>
            </w:r>
          </w:p>
        </w:tc>
      </w:tr>
      <w:tr w:rsidR="009C5E27" w:rsidRPr="00592E29" w14:paraId="5F8C9E86" w14:textId="77777777" w:rsidTr="00F70C8E">
        <w:tblPrEx>
          <w:tblCellMar>
            <w:top w:w="15" w:type="dxa"/>
            <w:bottom w:w="15" w:type="dxa"/>
          </w:tblCellMar>
          <w:tblLook w:val="04A0" w:firstRow="1" w:lastRow="0" w:firstColumn="1" w:lastColumn="0" w:noHBand="0" w:noVBand="1"/>
        </w:tblPrEx>
        <w:trPr>
          <w:trHeight w:val="20"/>
        </w:trPr>
        <w:tc>
          <w:tcPr>
            <w:tcW w:w="1200" w:type="dxa"/>
            <w:vMerge/>
            <w:tcBorders>
              <w:left w:val="single" w:sz="4" w:space="0" w:color="auto"/>
              <w:right w:val="single" w:sz="4" w:space="0" w:color="auto"/>
            </w:tcBorders>
          </w:tcPr>
          <w:p w14:paraId="684B483C" w14:textId="77777777" w:rsidR="009C5E27" w:rsidRPr="00592E29" w:rsidRDefault="009C5E27" w:rsidP="003124CE">
            <w:pPr>
              <w:rPr>
                <w:rFonts w:ascii="Arial Narrow" w:eastAsia="Calibri" w:hAnsi="Arial Narrow"/>
                <w:sz w:val="20"/>
                <w:szCs w:val="20"/>
              </w:rPr>
            </w:pPr>
          </w:p>
        </w:tc>
        <w:tc>
          <w:tcPr>
            <w:tcW w:w="7822" w:type="dxa"/>
            <w:gridSpan w:val="6"/>
            <w:tcBorders>
              <w:top w:val="single" w:sz="4" w:space="0" w:color="auto"/>
              <w:left w:val="single" w:sz="4" w:space="0" w:color="auto"/>
              <w:bottom w:val="single" w:sz="4" w:space="0" w:color="auto"/>
              <w:right w:val="single" w:sz="4" w:space="0" w:color="auto"/>
            </w:tcBorders>
            <w:vAlign w:val="center"/>
          </w:tcPr>
          <w:p w14:paraId="2B1F0196"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07B3775F" w14:textId="77777777" w:rsidTr="00F70C8E">
        <w:tblPrEx>
          <w:tblCellMar>
            <w:top w:w="15" w:type="dxa"/>
            <w:bottom w:w="15" w:type="dxa"/>
          </w:tblCellMar>
          <w:tblLook w:val="04A0" w:firstRow="1" w:lastRow="0" w:firstColumn="1" w:lastColumn="0" w:noHBand="0" w:noVBand="1"/>
        </w:tblPrEx>
        <w:trPr>
          <w:trHeight w:val="20"/>
        </w:trPr>
        <w:tc>
          <w:tcPr>
            <w:tcW w:w="1200" w:type="dxa"/>
            <w:vMerge/>
            <w:tcBorders>
              <w:left w:val="single" w:sz="4" w:space="0" w:color="auto"/>
              <w:right w:val="single" w:sz="4" w:space="0" w:color="auto"/>
            </w:tcBorders>
          </w:tcPr>
          <w:p w14:paraId="30AA5C03" w14:textId="77777777" w:rsidR="009C5E27" w:rsidRPr="00592E29" w:rsidRDefault="009C5E27" w:rsidP="003124CE">
            <w:pPr>
              <w:rPr>
                <w:rFonts w:ascii="Arial Narrow" w:eastAsia="Calibri" w:hAnsi="Arial Narrow"/>
                <w:sz w:val="20"/>
                <w:szCs w:val="20"/>
              </w:rPr>
            </w:pPr>
          </w:p>
        </w:tc>
        <w:tc>
          <w:tcPr>
            <w:tcW w:w="7822" w:type="dxa"/>
            <w:gridSpan w:val="6"/>
            <w:tcBorders>
              <w:top w:val="single" w:sz="4" w:space="0" w:color="auto"/>
              <w:left w:val="single" w:sz="4" w:space="0" w:color="auto"/>
              <w:bottom w:val="single" w:sz="4" w:space="0" w:color="auto"/>
              <w:right w:val="single" w:sz="4" w:space="0" w:color="auto"/>
            </w:tcBorders>
            <w:vAlign w:val="center"/>
          </w:tcPr>
          <w:p w14:paraId="22155C5E" w14:textId="77777777" w:rsidR="00F25EBE" w:rsidRDefault="009C5E27" w:rsidP="00512CE5">
            <w:pPr>
              <w:keepLines/>
              <w:rPr>
                <w:rFonts w:ascii="Arial Narrow" w:eastAsia="Calibri" w:hAnsi="Arial Narrow"/>
                <w:color w:val="FF0000"/>
                <w:sz w:val="20"/>
                <w:szCs w:val="20"/>
              </w:rPr>
            </w:pPr>
            <w:r w:rsidRPr="00592E29">
              <w:rPr>
                <w:rFonts w:ascii="Arial Narrow" w:eastAsia="Calibri" w:hAnsi="Arial Narrow"/>
                <w:b/>
                <w:sz w:val="20"/>
                <w:szCs w:val="20"/>
              </w:rPr>
              <w:t xml:space="preserve">Restriction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Authority Required (FULL assessment) in writing only via post/HPOS upload)</w:t>
            </w:r>
            <w:r w:rsidRPr="00592E29">
              <w:rPr>
                <w:rFonts w:ascii="Arial Narrow" w:eastAsia="Calibri" w:hAnsi="Arial Narrow"/>
                <w:color w:val="FF0000"/>
                <w:sz w:val="20"/>
                <w:szCs w:val="20"/>
              </w:rPr>
              <w:t xml:space="preserve"> </w:t>
            </w:r>
          </w:p>
          <w:p w14:paraId="1298B70F" w14:textId="602B4504" w:rsidR="009C5E27" w:rsidRPr="00F457CB" w:rsidRDefault="00F457CB" w:rsidP="003124CE">
            <w:pPr>
              <w:keepLines/>
              <w:rPr>
                <w:rFonts w:ascii="Arial Narrow" w:eastAsia="Calibri" w:hAnsi="Arial Narrow"/>
                <w:i/>
                <w:color w:val="FF0000"/>
                <w:sz w:val="20"/>
                <w:szCs w:val="20"/>
              </w:rPr>
            </w:pPr>
            <w:r w:rsidRPr="00F457CB">
              <w:rPr>
                <w:rFonts w:ascii="Arial Narrow" w:eastAsia="Calibri" w:hAnsi="Arial Narrow"/>
                <w:i/>
                <w:iCs/>
                <w:sz w:val="20"/>
                <w:szCs w:val="20"/>
              </w:rPr>
              <w:t>[for balance of supply - Authority Required (telephone/electronic)]</w:t>
            </w:r>
          </w:p>
        </w:tc>
      </w:tr>
      <w:tr w:rsidR="009C5E27" w:rsidRPr="00592E29" w14:paraId="007602C8" w14:textId="77777777" w:rsidTr="00F70C8E">
        <w:tblPrEx>
          <w:tblCellMar>
            <w:top w:w="15" w:type="dxa"/>
            <w:bottom w:w="15" w:type="dxa"/>
          </w:tblCellMar>
          <w:tblLook w:val="04A0" w:firstRow="1" w:lastRow="0" w:firstColumn="1" w:lastColumn="0" w:noHBand="0" w:noVBand="1"/>
        </w:tblPrEx>
        <w:trPr>
          <w:trHeight w:val="20"/>
        </w:trPr>
        <w:tc>
          <w:tcPr>
            <w:tcW w:w="1200" w:type="dxa"/>
            <w:tcBorders>
              <w:left w:val="single" w:sz="4" w:space="0" w:color="auto"/>
              <w:right w:val="single" w:sz="4" w:space="0" w:color="auto"/>
            </w:tcBorders>
          </w:tcPr>
          <w:p w14:paraId="0AF71E7A" w14:textId="77777777" w:rsidR="009C5E27" w:rsidRPr="00592E29" w:rsidRDefault="009C5E27" w:rsidP="003124CE">
            <w:pPr>
              <w:rPr>
                <w:rFonts w:ascii="Arial Narrow" w:eastAsia="Calibri" w:hAnsi="Arial Narrow"/>
                <w:sz w:val="20"/>
                <w:szCs w:val="20"/>
              </w:rPr>
            </w:pPr>
          </w:p>
        </w:tc>
        <w:tc>
          <w:tcPr>
            <w:tcW w:w="7822" w:type="dxa"/>
            <w:gridSpan w:val="6"/>
            <w:tcBorders>
              <w:top w:val="single" w:sz="4" w:space="0" w:color="auto"/>
              <w:left w:val="single" w:sz="4" w:space="0" w:color="auto"/>
              <w:bottom w:val="single" w:sz="4" w:space="0" w:color="auto"/>
              <w:right w:val="single" w:sz="4" w:space="0" w:color="auto"/>
            </w:tcBorders>
            <w:vAlign w:val="center"/>
          </w:tcPr>
          <w:p w14:paraId="4558F32E" w14:textId="77777777" w:rsidR="009C5E27" w:rsidRPr="00592E29" w:rsidRDefault="009C5E27" w:rsidP="003124CE">
            <w:pPr>
              <w:keepLines/>
              <w:rPr>
                <w:rFonts w:ascii="Arial Narrow" w:hAnsi="Arial Narrow"/>
                <w:b/>
                <w:color w:val="FF0000"/>
                <w:sz w:val="20"/>
                <w:szCs w:val="20"/>
              </w:rPr>
            </w:pPr>
            <w:r w:rsidRPr="00592E29">
              <w:rPr>
                <w:rFonts w:ascii="Arial Narrow" w:hAnsi="Arial Narrow"/>
                <w:b/>
                <w:sz w:val="20"/>
                <w:szCs w:val="20"/>
              </w:rPr>
              <w:t xml:space="preserve">Authority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Complex Authority Required (CAR)</w:t>
            </w:r>
          </w:p>
        </w:tc>
      </w:tr>
      <w:tr w:rsidR="009C5E27" w:rsidRPr="00592E29" w14:paraId="499DB3A1" w14:textId="77777777" w:rsidTr="00F70C8E">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A6A6A6" w:themeFill="background1" w:themeFillShade="A6"/>
          </w:tcPr>
          <w:p w14:paraId="4A5568AE"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 / Treatment of Concept: [new] </w:t>
            </w:r>
          </w:p>
        </w:tc>
      </w:tr>
      <w:tr w:rsidR="009C5E27" w:rsidRPr="00592E29" w14:paraId="7AD64245"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4200F351" w14:textId="466FCFD5" w:rsidR="009C5E27" w:rsidRPr="005F4B20" w:rsidRDefault="009C5E27" w:rsidP="003124CE">
            <w:pPr>
              <w:keepLines/>
              <w:jc w:val="center"/>
              <w:rPr>
                <w:rFonts w:ascii="Arial Narrow" w:hAnsi="Arial Narrow"/>
                <w:color w:val="333333"/>
                <w:sz w:val="20"/>
                <w:szCs w:val="20"/>
              </w:rPr>
            </w:pPr>
          </w:p>
        </w:tc>
        <w:tc>
          <w:tcPr>
            <w:tcW w:w="7822" w:type="dxa"/>
            <w:gridSpan w:val="6"/>
            <w:vAlign w:val="center"/>
            <w:hideMark/>
          </w:tcPr>
          <w:p w14:paraId="39833D5F"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0DABE024"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08B94C54" w14:textId="77777777" w:rsidR="009C5E27" w:rsidRPr="00592E29" w:rsidRDefault="009C5E27" w:rsidP="003124CE">
            <w:pPr>
              <w:jc w:val="center"/>
              <w:rPr>
                <w:rFonts w:ascii="Arial Narrow" w:hAnsi="Arial Narrow"/>
                <w:i/>
                <w:iCs/>
                <w:color w:val="333333"/>
                <w:sz w:val="20"/>
                <w:szCs w:val="20"/>
              </w:rPr>
            </w:pPr>
          </w:p>
        </w:tc>
        <w:tc>
          <w:tcPr>
            <w:tcW w:w="7822" w:type="dxa"/>
            <w:gridSpan w:val="6"/>
            <w:vAlign w:val="center"/>
            <w:hideMark/>
          </w:tcPr>
          <w:p w14:paraId="47B1DE59"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1 (new patient)</w:t>
            </w:r>
          </w:p>
        </w:tc>
      </w:tr>
      <w:tr w:rsidR="009C5E27" w:rsidRPr="00592E29" w14:paraId="604734E1" w14:textId="77777777" w:rsidTr="003124CE">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A6A6A6" w:themeFill="background1" w:themeFillShade="A6"/>
          </w:tcPr>
          <w:p w14:paraId="15C27675"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 / Treatment of Concept: [new] </w:t>
            </w:r>
          </w:p>
        </w:tc>
      </w:tr>
      <w:tr w:rsidR="009C5E27" w:rsidRPr="00592E29" w14:paraId="11C24E4C"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26C4756E" w14:textId="4A84FCA3" w:rsidR="009C5E27" w:rsidRPr="005F4B20" w:rsidRDefault="009C5E27" w:rsidP="003124CE">
            <w:pPr>
              <w:keepLines/>
              <w:jc w:val="center"/>
              <w:rPr>
                <w:rFonts w:ascii="Arial Narrow" w:hAnsi="Arial Narrow"/>
                <w:color w:val="333333"/>
                <w:sz w:val="20"/>
                <w:szCs w:val="20"/>
              </w:rPr>
            </w:pPr>
          </w:p>
        </w:tc>
        <w:tc>
          <w:tcPr>
            <w:tcW w:w="7822" w:type="dxa"/>
            <w:gridSpan w:val="6"/>
            <w:vAlign w:val="center"/>
            <w:hideMark/>
          </w:tcPr>
          <w:p w14:paraId="59D9C0B2"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7560F934"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66428715" w14:textId="77777777" w:rsidR="009C5E27" w:rsidRPr="00592E29" w:rsidRDefault="009C5E27" w:rsidP="003124CE">
            <w:pPr>
              <w:jc w:val="center"/>
              <w:rPr>
                <w:rFonts w:ascii="Arial Narrow" w:hAnsi="Arial Narrow"/>
                <w:i/>
                <w:iCs/>
                <w:color w:val="333333"/>
                <w:sz w:val="20"/>
                <w:szCs w:val="20"/>
              </w:rPr>
            </w:pPr>
          </w:p>
        </w:tc>
        <w:tc>
          <w:tcPr>
            <w:tcW w:w="7822" w:type="dxa"/>
            <w:gridSpan w:val="6"/>
            <w:vAlign w:val="center"/>
            <w:hideMark/>
          </w:tcPr>
          <w:p w14:paraId="214529CA"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2 (change or recommencement of treatment after a break in biological medicine of less than 5 years)</w:t>
            </w:r>
          </w:p>
        </w:tc>
      </w:tr>
      <w:tr w:rsidR="009C5E27" w:rsidRPr="00592E29" w14:paraId="103724C7" w14:textId="77777777" w:rsidTr="003124CE">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A6A6A6" w:themeFill="background1" w:themeFillShade="A6"/>
          </w:tcPr>
          <w:p w14:paraId="24454364"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 / Treatment of Concept: [new] </w:t>
            </w:r>
          </w:p>
        </w:tc>
      </w:tr>
      <w:tr w:rsidR="009C5E27" w:rsidRPr="00592E29" w14:paraId="0F989EBC"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2E8AAAC7" w14:textId="6ADCE662" w:rsidR="009C5E27" w:rsidRPr="005F4B20" w:rsidRDefault="009C5E27" w:rsidP="003124CE">
            <w:pPr>
              <w:keepLines/>
              <w:jc w:val="center"/>
              <w:rPr>
                <w:rFonts w:ascii="Arial Narrow" w:hAnsi="Arial Narrow"/>
                <w:color w:val="333333"/>
                <w:sz w:val="20"/>
                <w:szCs w:val="20"/>
              </w:rPr>
            </w:pPr>
          </w:p>
        </w:tc>
        <w:tc>
          <w:tcPr>
            <w:tcW w:w="7822" w:type="dxa"/>
            <w:gridSpan w:val="6"/>
            <w:vAlign w:val="center"/>
            <w:hideMark/>
          </w:tcPr>
          <w:p w14:paraId="18C66EE2"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782C504B"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6D0E4279" w14:textId="77777777" w:rsidR="009C5E27" w:rsidRPr="00592E29" w:rsidRDefault="009C5E27" w:rsidP="003124CE">
            <w:pPr>
              <w:jc w:val="center"/>
              <w:rPr>
                <w:rFonts w:ascii="Arial Narrow" w:hAnsi="Arial Narrow"/>
                <w:i/>
                <w:iCs/>
                <w:color w:val="333333"/>
                <w:sz w:val="20"/>
                <w:szCs w:val="20"/>
              </w:rPr>
            </w:pPr>
          </w:p>
        </w:tc>
        <w:tc>
          <w:tcPr>
            <w:tcW w:w="7822" w:type="dxa"/>
            <w:gridSpan w:val="6"/>
            <w:vAlign w:val="center"/>
            <w:hideMark/>
          </w:tcPr>
          <w:p w14:paraId="5719144A"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 xml:space="preserve">Initial 3 (recommencement of treatment after a break in biological medicine of more than 5 years) </w:t>
            </w:r>
          </w:p>
        </w:tc>
      </w:tr>
      <w:tr w:rsidR="00827481" w:rsidRPr="00592E29" w14:paraId="57C670B1" w14:textId="77777777">
        <w:tblPrEx>
          <w:tblCellMar>
            <w:top w:w="15" w:type="dxa"/>
            <w:bottom w:w="15" w:type="dxa"/>
          </w:tblCellMar>
          <w:tblLook w:val="04A0" w:firstRow="1" w:lastRow="0" w:firstColumn="1" w:lastColumn="0" w:noHBand="0" w:noVBand="1"/>
        </w:tblPrEx>
        <w:trPr>
          <w:cantSplit/>
          <w:trHeight w:val="20"/>
        </w:trPr>
        <w:tc>
          <w:tcPr>
            <w:tcW w:w="9022" w:type="dxa"/>
            <w:gridSpan w:val="7"/>
            <w:vAlign w:val="center"/>
          </w:tcPr>
          <w:p w14:paraId="034A630C" w14:textId="255A98AF" w:rsidR="00827481" w:rsidRPr="00592E29" w:rsidRDefault="00827481" w:rsidP="003124CE">
            <w:pPr>
              <w:rPr>
                <w:rFonts w:ascii="Arial Narrow" w:hAnsi="Arial Narrow"/>
                <w:b/>
                <w:bCs/>
                <w:color w:val="333333"/>
                <w:sz w:val="20"/>
                <w:szCs w:val="20"/>
              </w:rPr>
            </w:pPr>
            <w:r w:rsidRPr="00592E29">
              <w:rPr>
                <w:rFonts w:ascii="Arial Narrow" w:hAnsi="Arial Narrow"/>
                <w:b/>
                <w:sz w:val="20"/>
                <w:szCs w:val="20"/>
              </w:rPr>
              <w:t>Restriction Summary [new] / Treatment of Concept: [new]</w:t>
            </w:r>
          </w:p>
        </w:tc>
      </w:tr>
      <w:tr w:rsidR="00827481" w:rsidRPr="00592E29" w14:paraId="1B7CB1F1"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tcPr>
          <w:p w14:paraId="07FB95E4" w14:textId="377F3064" w:rsidR="00827481" w:rsidRPr="00592E29" w:rsidRDefault="00827481" w:rsidP="00827481">
            <w:pPr>
              <w:jc w:val="center"/>
              <w:rPr>
                <w:rFonts w:ascii="Arial Narrow" w:hAnsi="Arial Narrow"/>
                <w:i/>
                <w:iCs/>
                <w:color w:val="333333"/>
                <w:sz w:val="20"/>
                <w:szCs w:val="20"/>
              </w:rPr>
            </w:pPr>
          </w:p>
        </w:tc>
        <w:tc>
          <w:tcPr>
            <w:tcW w:w="7822" w:type="dxa"/>
            <w:gridSpan w:val="6"/>
            <w:vAlign w:val="center"/>
          </w:tcPr>
          <w:p w14:paraId="59B1F7CF" w14:textId="6E4016A1" w:rsidR="00827481" w:rsidRPr="00592E29" w:rsidRDefault="00827481" w:rsidP="00827481">
            <w:pPr>
              <w:rPr>
                <w:rFonts w:ascii="Arial Narrow" w:hAnsi="Arial Narrow"/>
                <w:b/>
                <w:bCs/>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827481" w:rsidRPr="00592E29" w14:paraId="137FE692"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tcPr>
          <w:p w14:paraId="07FB5892" w14:textId="77777777" w:rsidR="00827481" w:rsidRPr="00592E29" w:rsidRDefault="00827481" w:rsidP="003124CE">
            <w:pPr>
              <w:jc w:val="center"/>
              <w:rPr>
                <w:rFonts w:ascii="Arial Narrow" w:hAnsi="Arial Narrow"/>
                <w:i/>
                <w:iCs/>
                <w:color w:val="333333"/>
                <w:sz w:val="20"/>
                <w:szCs w:val="20"/>
              </w:rPr>
            </w:pPr>
          </w:p>
        </w:tc>
        <w:tc>
          <w:tcPr>
            <w:tcW w:w="7822" w:type="dxa"/>
            <w:gridSpan w:val="6"/>
            <w:vAlign w:val="center"/>
          </w:tcPr>
          <w:p w14:paraId="508182B3" w14:textId="76E92F8B" w:rsidR="00827481" w:rsidRPr="00A1092A" w:rsidRDefault="00A1092A" w:rsidP="003124CE">
            <w:pPr>
              <w:rPr>
                <w:rFonts w:ascii="Arial Narrow" w:hAnsi="Arial Narrow"/>
                <w:b/>
                <w:bCs/>
                <w:color w:val="333333"/>
                <w:sz w:val="20"/>
                <w:szCs w:val="20"/>
              </w:rPr>
            </w:pPr>
            <w:r w:rsidRPr="00A1092A">
              <w:rPr>
                <w:rFonts w:ascii="Arial Narrow" w:hAnsi="Arial Narrow"/>
                <w:b/>
                <w:sz w:val="20"/>
                <w:szCs w:val="20"/>
              </w:rPr>
              <w:t xml:space="preserve">Treatment Phase: </w:t>
            </w:r>
            <w:r w:rsidRPr="00A1092A">
              <w:rPr>
                <w:rFonts w:ascii="Arial Narrow" w:hAnsi="Arial Narrow" w:cs="Times New Roman"/>
                <w:sz w:val="20"/>
                <w:szCs w:val="20"/>
              </w:rPr>
              <w:t xml:space="preserve">Transitioning from non-PBS to PBS-subsidised supply - Grandfather arrangements </w:t>
            </w:r>
            <w:r w:rsidRPr="00626553">
              <w:rPr>
                <w:rFonts w:ascii="Arial Narrow" w:hAnsi="Arial Narrow" w:cs="Times New Roman"/>
                <w:i/>
                <w:sz w:val="20"/>
                <w:szCs w:val="20"/>
              </w:rPr>
              <w:t>(for patients transitioning through induction doses)</w:t>
            </w:r>
          </w:p>
        </w:tc>
      </w:tr>
      <w:tr w:rsidR="009C5E27" w:rsidRPr="00592E29" w14:paraId="4BB5BF0B" w14:textId="77777777" w:rsidTr="003124CE">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A6A6A6" w:themeFill="background1" w:themeFillShade="A6"/>
          </w:tcPr>
          <w:p w14:paraId="57113F49"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 / Treatment of Concept: [new] </w:t>
            </w:r>
          </w:p>
        </w:tc>
      </w:tr>
      <w:tr w:rsidR="009C5E27" w:rsidRPr="00592E29" w14:paraId="7D576E3F"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166ED593" w14:textId="257050A9" w:rsidR="009C5E27" w:rsidRPr="005F4B20" w:rsidRDefault="009C5E27" w:rsidP="003124CE">
            <w:pPr>
              <w:keepLines/>
              <w:jc w:val="center"/>
              <w:rPr>
                <w:rFonts w:ascii="Arial Narrow" w:hAnsi="Arial Narrow"/>
                <w:color w:val="333333"/>
                <w:sz w:val="20"/>
                <w:szCs w:val="20"/>
              </w:rPr>
            </w:pPr>
          </w:p>
        </w:tc>
        <w:tc>
          <w:tcPr>
            <w:tcW w:w="7822" w:type="dxa"/>
            <w:gridSpan w:val="6"/>
            <w:vAlign w:val="center"/>
            <w:hideMark/>
          </w:tcPr>
          <w:p w14:paraId="3504344E"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055BBA8E"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1E2D65E4" w14:textId="77777777" w:rsidR="009C5E27" w:rsidRPr="00592E29" w:rsidRDefault="009C5E27" w:rsidP="00597EF0">
            <w:pPr>
              <w:rPr>
                <w:rFonts w:ascii="Arial Narrow" w:hAnsi="Arial Narrow"/>
                <w:i/>
                <w:iCs/>
                <w:color w:val="333333"/>
                <w:sz w:val="20"/>
                <w:szCs w:val="20"/>
              </w:rPr>
            </w:pPr>
          </w:p>
        </w:tc>
        <w:tc>
          <w:tcPr>
            <w:tcW w:w="7822" w:type="dxa"/>
            <w:gridSpan w:val="6"/>
            <w:vAlign w:val="center"/>
            <w:hideMark/>
          </w:tcPr>
          <w:p w14:paraId="4EAAB12C"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1 (new patient), Initial 2 (change or recommencement of treatment after a break in biological medicine of less than 5 years), or Initial 3 (recommencement of treatment after a break in biological medicine of more than 5 years) - balance of supply</w:t>
            </w:r>
          </w:p>
        </w:tc>
      </w:tr>
    </w:tbl>
    <w:p w14:paraId="2B109DB3" w14:textId="0CCB0BAC" w:rsidR="00AB1CEA" w:rsidRDefault="00AB1CEA" w:rsidP="009C5E27">
      <w:pPr>
        <w:rPr>
          <w:rFonts w:ascii="Arial Narrow" w:hAnsi="Arial Narrow"/>
          <w:sz w:val="20"/>
          <w:szCs w:val="20"/>
        </w:rPr>
      </w:pPr>
    </w:p>
    <w:p w14:paraId="648B8B3E" w14:textId="77777777" w:rsidR="00AB1CEA" w:rsidRDefault="00AB1CEA">
      <w:pPr>
        <w:jc w:val="left"/>
        <w:rPr>
          <w:rFonts w:ascii="Arial Narrow" w:hAnsi="Arial Narrow"/>
          <w:sz w:val="20"/>
          <w:szCs w:val="20"/>
        </w:rPr>
      </w:pPr>
      <w:r>
        <w:rPr>
          <w:rFonts w:ascii="Arial Narrow" w:hAnsi="Arial Narrow"/>
          <w:sz w:val="20"/>
          <w:szCs w:val="20"/>
        </w:rPr>
        <w:br w:type="page"/>
      </w:r>
    </w:p>
    <w:p w14:paraId="6D08FC7C" w14:textId="77777777" w:rsidR="009C5E27" w:rsidRPr="00592E29" w:rsidRDefault="009C5E27" w:rsidP="009C5E27">
      <w:pPr>
        <w:rPr>
          <w:rFonts w:ascii="Arial Narrow" w:hAnsi="Arial Narrow"/>
          <w:sz w:val="20"/>
          <w:szCs w:val="20"/>
        </w:rPr>
      </w:pPr>
    </w:p>
    <w:p w14:paraId="377E93C6" w14:textId="77777777" w:rsidR="009C5E27" w:rsidRPr="00592E29" w:rsidRDefault="009C5E27" w:rsidP="009C5E27">
      <w:pPr>
        <w:rPr>
          <w:rFonts w:ascii="Arial Narrow" w:hAnsi="Arial Narrow"/>
          <w:b/>
          <w:bCs/>
          <w:sz w:val="20"/>
          <w:szCs w:val="20"/>
          <w:u w:val="single"/>
        </w:rPr>
      </w:pPr>
      <w:r w:rsidRPr="00592E29">
        <w:rPr>
          <w:rFonts w:ascii="Arial Narrow" w:hAnsi="Arial Narrow"/>
          <w:b/>
          <w:bCs/>
          <w:sz w:val="20"/>
          <w:szCs w:val="20"/>
          <w:u w:val="single"/>
        </w:rPr>
        <w:t>Overarching Administrative Advice</w:t>
      </w:r>
    </w:p>
    <w:tbl>
      <w:tblPr>
        <w:tblStyle w:val="TableGrid"/>
        <w:tblW w:w="0" w:type="auto"/>
        <w:tblLook w:val="04A0" w:firstRow="1" w:lastRow="0" w:firstColumn="1" w:lastColumn="0" w:noHBand="0" w:noVBand="1"/>
        <w:tblCaption w:val="Recommended listing: Overarching Administrative Advice"/>
      </w:tblPr>
      <w:tblGrid>
        <w:gridCol w:w="718"/>
        <w:gridCol w:w="8298"/>
      </w:tblGrid>
      <w:tr w:rsidR="009C5E27" w:rsidRPr="00096092" w14:paraId="6664A61D" w14:textId="77777777" w:rsidTr="003124CE">
        <w:tc>
          <w:tcPr>
            <w:tcW w:w="718" w:type="dxa"/>
          </w:tcPr>
          <w:p w14:paraId="0DF7F22B" w14:textId="60D31F30" w:rsidR="009C5E27" w:rsidRPr="00096092" w:rsidRDefault="009C5E27" w:rsidP="003124CE">
            <w:pPr>
              <w:spacing w:line="259" w:lineRule="auto"/>
              <w:rPr>
                <w:rFonts w:ascii="Arial Narrow" w:hAnsi="Arial Narrow"/>
                <w:sz w:val="20"/>
                <w:szCs w:val="20"/>
              </w:rPr>
            </w:pPr>
          </w:p>
        </w:tc>
        <w:tc>
          <w:tcPr>
            <w:tcW w:w="8298" w:type="dxa"/>
          </w:tcPr>
          <w:p w14:paraId="7C1209EC" w14:textId="77777777" w:rsidR="009C5E27" w:rsidRPr="00096092" w:rsidRDefault="009C5E27" w:rsidP="003124CE">
            <w:pPr>
              <w:spacing w:line="259" w:lineRule="auto"/>
              <w:rPr>
                <w:rFonts w:ascii="Arial Narrow" w:hAnsi="Arial Narrow"/>
                <w:b/>
                <w:bCs/>
                <w:sz w:val="20"/>
                <w:szCs w:val="20"/>
              </w:rPr>
            </w:pPr>
            <w:r w:rsidRPr="00096092">
              <w:rPr>
                <w:rFonts w:ascii="Arial Narrow" w:hAnsi="Arial Narrow"/>
                <w:b/>
                <w:bCs/>
                <w:sz w:val="20"/>
                <w:szCs w:val="20"/>
              </w:rPr>
              <w:t>Administrative Advice:</w:t>
            </w:r>
          </w:p>
          <w:p w14:paraId="5B13ACAD"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SEVERE CROHN DISEASE - TREATMENT PHASES AND CYCLES</w:t>
            </w:r>
          </w:p>
          <w:p w14:paraId="1CD45220"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The following information applies to the prescribing under the Pharmaceutical Benefits Scheme (PBS) of benefits that contain the words: 'severe Crohn disease' in the stated PBS indication. Some of these benefits are not biological medicines, but are small molecules (e.g. a Janus-kinase inhibitor). Where the term 'biological medicine' appears in the restriction, it includes such benefits for PBS administrative purposes.</w:t>
            </w:r>
          </w:p>
          <w:p w14:paraId="185F50F9"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 patient is eligible for PBS-subsidised treatment with only one PBS-subsidised biological medicine at any one time.</w:t>
            </w:r>
          </w:p>
          <w:p w14:paraId="1BB20E8A"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Treatment cycle:</w:t>
            </w:r>
          </w:p>
          <w:p w14:paraId="18E492C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 treatment cycle begins when an authority application is approved under an Initial 1 or Initial 3 type restriction. Once commenced, where biological medicine fails to provide the patient with an adequate response on 3 occasions, the current treatment cycle ends and there must be an absence of PBS-subsidy for a period of 5 years. The 5 year break is measured from the date of the last approval for PBS-subsidised biological medicine treatment in the most recent cycle to the date of the first application for initial treatment with a biological medicine under the new treatment cycle.</w:t>
            </w:r>
          </w:p>
          <w:p w14:paraId="13E0DE67"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An exception to this 5 year break clause applies where:</w:t>
            </w:r>
          </w:p>
          <w:p w14:paraId="34C0C8AC"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(i) since the commencement of the break, an additional biological medicine has since become PBS-listed with a different pharmacological mechanism of action (i.e. the newly listed biological medicine) relative to those available on the PBS at the time of commencing the 5 year break; and</w:t>
            </w:r>
          </w:p>
          <w:p w14:paraId="62DF2B40"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(ii) the patient has never been prescribed the newly listed biological medicine; and</w:t>
            </w:r>
          </w:p>
          <w:p w14:paraId="268B1C01"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(iii) the prescribed biological medicine is the newly listed biological medicine.</w:t>
            </w:r>
          </w:p>
          <w:p w14:paraId="41BE1F77"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Prescribing of the newly listed biological medicine is to occur through the 'Initial 2' treatment phase listing and the patient will not be in a new treatment cycle (i.e. where this newly listed biological medicine fails to provide an adequate response, the current treatment cycle ends and there must be an absence of PBS-subsidised biological medicine for a period of 5 years unless the exception outlined above is triggered again).</w:t>
            </w:r>
          </w:p>
          <w:p w14:paraId="35C9EE8C"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Within the same treatment cycle, the same PBS-subsidised biological medicine cannot continue to be subsidised where it has resulted in an inadequate response. An inadequate response is one which does not meet the minimum improvements in disease measures stated in the Continuing treatment restriction. A serious adverse reaction leading to treatment discontinuation will be exempted from being counted as an inadequate response.</w:t>
            </w:r>
          </w:p>
          <w:p w14:paraId="1ED1544B"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There is no limit to the number of treatment cycles a patient may undertake in their lifetime.</w:t>
            </w:r>
          </w:p>
          <w:p w14:paraId="5F9B7625"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Treatment phases:</w:t>
            </w:r>
          </w:p>
          <w:p w14:paraId="6A104C6B"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 Initial 1</w:t>
            </w:r>
          </w:p>
          <w:p w14:paraId="0E50A30E"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Apply through this treatment phase where the patient has never been treated with PBS-subsidised biological medicine for this indication.</w:t>
            </w:r>
          </w:p>
          <w:p w14:paraId="468BFF11"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(b) Initial 2</w:t>
            </w:r>
          </w:p>
          <w:p w14:paraId="03C504B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Apply through this treatment phase where the prescribed treatment is changing (other than dose/form), or, where there has been a break in therapy of less than 5 years and treatment is resuming; authority applications through this treatment phase do not require prior response to conventional therapies to be re-established and do not require baseline disease activity to be re-demonstrated. An assessment of response to the preceding supply must be provided - where it is not, it will be assumed that the preceding supply provided an inadequate response.</w:t>
            </w:r>
          </w:p>
          <w:p w14:paraId="3853D77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(c) Initial 3</w:t>
            </w:r>
          </w:p>
          <w:p w14:paraId="037F0140"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Apply through this treatment phase where treatment is resuming after an absence of PBS-subsidy for at least 5 years; authority applications through this treatment phase do not require a re-trial of conventional therapies.</w:t>
            </w:r>
          </w:p>
          <w:p w14:paraId="3A5FAD1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(d) Continuing treatment</w:t>
            </w:r>
          </w:p>
          <w:p w14:paraId="038152E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Apply through this treatment phase where an adequate response to the preceding supply is observed (or where the dose is increasing where multiple strengths exist). It is recommended that a patient be reviewed in the 4 weeks prior to exhausting the current supply to ensure uninterrupted supply. Continuing treatment authority applications are not to be made on the same day as Initial treatment authority applications.</w:t>
            </w:r>
          </w:p>
          <w:p w14:paraId="1357580B"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(e) Balance of supply</w:t>
            </w:r>
          </w:p>
          <w:p w14:paraId="18D960D6"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Apply through this type of treatment phase only where the benefit was not requested in the full amount available in the preceding supply - this may be because the maximum quantity was not prescribed and/or the full number of repeat prescriptions was not prescribed. The intent of this treatment phase listing is to: (i) provide the balance of what could have been obtained had the full quantity and number of repeats been prescribed in the preceding authority application, (ii) allow further time for an adequate response to treatment to be demonstrated where it may not have already, and (iii) provide more immediate access to PBS-subsidy via a telephone/online authority application relative to an 'in-writing only' application where the preceding supply was obtained through such.</w:t>
            </w:r>
          </w:p>
        </w:tc>
      </w:tr>
    </w:tbl>
    <w:p w14:paraId="3E45A577" w14:textId="77777777" w:rsidR="009C5E27" w:rsidRPr="00592E29" w:rsidRDefault="009C5E27" w:rsidP="009C5E27">
      <w:pPr>
        <w:rPr>
          <w:rFonts w:ascii="Arial Narrow" w:hAnsi="Arial Narrow"/>
          <w:sz w:val="20"/>
          <w:szCs w:val="20"/>
        </w:rPr>
      </w:pPr>
    </w:p>
    <w:p w14:paraId="49704389" w14:textId="426BE646" w:rsidR="007476CF" w:rsidRPr="007476CF" w:rsidRDefault="0035614D" w:rsidP="005B5882">
      <w:pPr>
        <w:spacing w:after="80"/>
      </w:pPr>
      <w:r w:rsidRPr="00907671">
        <w:rPr>
          <w:rFonts w:asciiTheme="minorHAnsi" w:hAnsiTheme="minorHAnsi"/>
          <w:b/>
          <w:i/>
          <w:iCs/>
          <w:snapToGrid w:val="0"/>
          <w:lang w:val="en-GB"/>
        </w:rPr>
        <w:t>Th</w:t>
      </w:r>
      <w:r>
        <w:rPr>
          <w:rFonts w:asciiTheme="minorHAnsi" w:hAnsiTheme="minorHAnsi"/>
          <w:b/>
          <w:i/>
          <w:iCs/>
          <w:snapToGrid w:val="0"/>
          <w:lang w:val="en-GB"/>
        </w:rPr>
        <w:t>ese</w:t>
      </w:r>
      <w:r w:rsidRPr="00907671">
        <w:rPr>
          <w:rFonts w:asciiTheme="minorHAnsi" w:hAnsiTheme="minorHAnsi"/>
          <w:b/>
          <w:i/>
          <w:iCs/>
          <w:snapToGrid w:val="0"/>
          <w:lang w:val="en-GB"/>
        </w:rPr>
        <w:t xml:space="preserve"> restriction</w:t>
      </w:r>
      <w:r>
        <w:rPr>
          <w:rFonts w:asciiTheme="minorHAnsi" w:hAnsiTheme="minorHAnsi"/>
          <w:b/>
          <w:i/>
          <w:iCs/>
          <w:snapToGrid w:val="0"/>
          <w:lang w:val="en-GB"/>
        </w:rPr>
        <w:t>s</w:t>
      </w:r>
      <w:r w:rsidRPr="00907671">
        <w:rPr>
          <w:rFonts w:asciiTheme="minorHAnsi" w:hAnsiTheme="minorHAnsi"/>
          <w:b/>
          <w:i/>
          <w:iCs/>
          <w:snapToGrid w:val="0"/>
          <w:lang w:val="en-GB"/>
        </w:rPr>
        <w:t xml:space="preserve"> may be subject to further review. Should there be any changes made to the restriction</w:t>
      </w:r>
      <w:r>
        <w:rPr>
          <w:rFonts w:asciiTheme="minorHAnsi" w:hAnsiTheme="minorHAnsi"/>
          <w:b/>
          <w:i/>
          <w:iCs/>
          <w:snapToGrid w:val="0"/>
          <w:lang w:val="en-GB"/>
        </w:rPr>
        <w:t>s</w:t>
      </w:r>
      <w:r w:rsidRPr="00907671">
        <w:rPr>
          <w:rFonts w:asciiTheme="minorHAnsi" w:hAnsiTheme="minorHAnsi"/>
          <w:b/>
          <w:i/>
          <w:iCs/>
          <w:snapToGrid w:val="0"/>
          <w:lang w:val="en-GB"/>
        </w:rPr>
        <w:t xml:space="preserve"> the sponsor will be informed.</w:t>
      </w:r>
    </w:p>
    <w:p w14:paraId="73CCEDE7" w14:textId="77777777" w:rsidR="007476CF" w:rsidRPr="007476CF" w:rsidRDefault="007476CF" w:rsidP="007476CF">
      <w:pPr>
        <w:keepNext/>
        <w:spacing w:before="240" w:after="120"/>
        <w:ind w:left="720" w:hanging="720"/>
        <w:jc w:val="left"/>
        <w:outlineLvl w:val="0"/>
        <w:rPr>
          <w:rFonts w:asciiTheme="minorHAnsi" w:hAnsiTheme="minorHAnsi"/>
          <w:b/>
          <w:bCs/>
          <w:snapToGrid w:val="0"/>
          <w:sz w:val="32"/>
          <w:szCs w:val="32"/>
          <w:lang w:val="en-GB"/>
        </w:rPr>
      </w:pPr>
      <w:r w:rsidRPr="007476CF">
        <w:rPr>
          <w:rFonts w:asciiTheme="minorHAnsi" w:hAnsiTheme="minorHAnsi"/>
          <w:b/>
          <w:snapToGrid w:val="0"/>
          <w:sz w:val="32"/>
          <w:szCs w:val="32"/>
        </w:rPr>
        <w:t>9</w:t>
      </w:r>
      <w:r w:rsidRPr="007476CF">
        <w:rPr>
          <w:rFonts w:asciiTheme="minorHAnsi" w:hAnsiTheme="minorHAnsi"/>
          <w:b/>
          <w:snapToGrid w:val="0"/>
          <w:sz w:val="32"/>
          <w:szCs w:val="32"/>
        </w:rPr>
        <w:tab/>
        <w:t>Context for Decision</w:t>
      </w:r>
    </w:p>
    <w:p w14:paraId="17CFBF37" w14:textId="77777777" w:rsidR="007476CF" w:rsidRPr="007476CF" w:rsidRDefault="007476CF" w:rsidP="007476CF">
      <w:pPr>
        <w:spacing w:after="120"/>
        <w:ind w:left="720"/>
        <w:rPr>
          <w:rFonts w:asciiTheme="minorHAnsi" w:hAnsiTheme="minorHAnsi"/>
          <w:bCs/>
          <w:lang w:val="en-GB"/>
        </w:rPr>
      </w:pPr>
      <w:r w:rsidRPr="007476C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FFA10DD" w14:textId="77777777" w:rsidR="00576434" w:rsidRPr="00576434" w:rsidRDefault="00576434" w:rsidP="00576434">
      <w:pPr>
        <w:keepNext/>
        <w:spacing w:before="240" w:after="120"/>
        <w:ind w:left="720" w:hanging="720"/>
        <w:jc w:val="left"/>
        <w:outlineLvl w:val="0"/>
        <w:rPr>
          <w:rFonts w:asciiTheme="minorHAnsi" w:hAnsiTheme="minorHAnsi"/>
          <w:b/>
          <w:snapToGrid w:val="0"/>
          <w:sz w:val="32"/>
          <w:szCs w:val="32"/>
        </w:rPr>
      </w:pPr>
      <w:r w:rsidRPr="00576434">
        <w:rPr>
          <w:rFonts w:asciiTheme="minorHAnsi" w:hAnsiTheme="minorHAnsi"/>
          <w:b/>
          <w:snapToGrid w:val="0"/>
          <w:sz w:val="32"/>
          <w:szCs w:val="32"/>
        </w:rPr>
        <w:t>10</w:t>
      </w:r>
      <w:r w:rsidRPr="00576434">
        <w:rPr>
          <w:rFonts w:asciiTheme="minorHAnsi" w:hAnsiTheme="minorHAnsi"/>
          <w:b/>
          <w:snapToGrid w:val="0"/>
          <w:sz w:val="32"/>
          <w:szCs w:val="32"/>
        </w:rPr>
        <w:tab/>
        <w:t>Sponsor’s Comment</w:t>
      </w:r>
    </w:p>
    <w:p w14:paraId="14A11567" w14:textId="77777777" w:rsidR="00947B6C" w:rsidRPr="00AD0A34" w:rsidRDefault="00947B6C" w:rsidP="00947B6C">
      <w:pPr>
        <w:spacing w:after="120" w:line="276" w:lineRule="auto"/>
        <w:ind w:left="720"/>
        <w:rPr>
          <w:rFonts w:asciiTheme="minorHAnsi" w:eastAsiaTheme="minorHAnsi" w:hAnsiTheme="minorHAnsi"/>
          <w:bCs/>
          <w:szCs w:val="22"/>
          <w:lang w:eastAsia="en-US"/>
        </w:rPr>
      </w:pPr>
      <w:r w:rsidRPr="00AD0A34">
        <w:rPr>
          <w:rFonts w:asciiTheme="minorHAnsi" w:eastAsiaTheme="minorHAnsi" w:hAnsiTheme="minorHAnsi"/>
          <w:bCs/>
          <w:szCs w:val="22"/>
          <w:lang w:eastAsia="en-US"/>
        </w:rPr>
        <w:t>The sponsor had no comment.</w:t>
      </w:r>
    </w:p>
    <w:p w14:paraId="34ACD927" w14:textId="77777777" w:rsidR="00947B6C" w:rsidRDefault="00947B6C" w:rsidP="00576434">
      <w:pPr>
        <w:ind w:left="680"/>
        <w:rPr>
          <w:rFonts w:asciiTheme="minorHAnsi" w:hAnsiTheme="minorHAnsi"/>
          <w:b/>
          <w:i/>
          <w:iCs/>
          <w:snapToGrid w:val="0"/>
          <w:lang w:val="en-GB"/>
        </w:rPr>
      </w:pPr>
    </w:p>
    <w:p w14:paraId="39093B88" w14:textId="77777777" w:rsidR="007476CF" w:rsidRPr="007476CF" w:rsidRDefault="007476CF" w:rsidP="007476CF"/>
    <w:sectPr w:rsidR="007476CF" w:rsidRPr="007476CF" w:rsidSect="00C653F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CA43" w14:textId="77777777" w:rsidR="00B552C8" w:rsidRDefault="00B552C8" w:rsidP="00124A51">
      <w:r>
        <w:separator/>
      </w:r>
    </w:p>
    <w:p w14:paraId="3D6D370B" w14:textId="77777777" w:rsidR="00B552C8" w:rsidRDefault="00B552C8"/>
  </w:endnote>
  <w:endnote w:type="continuationSeparator" w:id="0">
    <w:p w14:paraId="7C330F13" w14:textId="77777777" w:rsidR="00B552C8" w:rsidRDefault="00B552C8" w:rsidP="00124A51">
      <w:r>
        <w:continuationSeparator/>
      </w:r>
    </w:p>
    <w:p w14:paraId="4DD6418A" w14:textId="77777777" w:rsidR="00B552C8" w:rsidRDefault="00B552C8"/>
  </w:endnote>
  <w:endnote w:type="continuationNotice" w:id="1">
    <w:p w14:paraId="3BA8AA3B" w14:textId="77777777" w:rsidR="00B552C8" w:rsidRDefault="00B55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00AC" w14:textId="01342BED" w:rsidR="00D4584E" w:rsidRDefault="0017404D">
    <w:pPr>
      <w:pStyle w:val="Footer"/>
    </w:pPr>
    <w:r>
      <w:rPr>
        <w:noProof/>
      </w:rPr>
      <mc:AlternateContent>
        <mc:Choice Requires="wps">
          <w:drawing>
            <wp:anchor distT="0" distB="0" distL="0" distR="0" simplePos="0" relativeHeight="251663365" behindDoc="0" locked="0" layoutInCell="1" allowOverlap="1" wp14:anchorId="4985CE2E" wp14:editId="19A54672">
              <wp:simplePos x="635" y="635"/>
              <wp:positionH relativeFrom="page">
                <wp:align>center</wp:align>
              </wp:positionH>
              <wp:positionV relativeFrom="page">
                <wp:align>bottom</wp:align>
              </wp:positionV>
              <wp:extent cx="551815" cy="376555"/>
              <wp:effectExtent l="0" t="0" r="635" b="0"/>
              <wp:wrapNone/>
              <wp:docPr id="599448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334501" w14:textId="24EAF9FA"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5CE2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7334501" w14:textId="24EAF9FA"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42FA30CD" w:rsidR="00286E68" w:rsidRDefault="0017404D" w:rsidP="00753B29">
    <w:pPr>
      <w:pStyle w:val="Footer"/>
      <w:jc w:val="center"/>
    </w:pPr>
    <w:r>
      <w:rPr>
        <w:noProof/>
      </w:rPr>
      <mc:AlternateContent>
        <mc:Choice Requires="wps">
          <w:drawing>
            <wp:anchor distT="0" distB="0" distL="0" distR="0" simplePos="0" relativeHeight="251664389" behindDoc="0" locked="0" layoutInCell="1" allowOverlap="1" wp14:anchorId="132EFFC4" wp14:editId="57B0CDA6">
              <wp:simplePos x="635" y="635"/>
              <wp:positionH relativeFrom="page">
                <wp:align>center</wp:align>
              </wp:positionH>
              <wp:positionV relativeFrom="page">
                <wp:align>bottom</wp:align>
              </wp:positionV>
              <wp:extent cx="551815" cy="376555"/>
              <wp:effectExtent l="0" t="0" r="635" b="0"/>
              <wp:wrapNone/>
              <wp:docPr id="405975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C85D67" w14:textId="27B42045"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EFFC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EC85D67" w14:textId="27B42045"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p w14:paraId="37484CD3" w14:textId="38935C0E" w:rsidR="00286E68" w:rsidRPr="00FE67C6" w:rsidRDefault="000756FD" w:rsidP="00C653F0">
    <w:pPr>
      <w:pStyle w:val="Footer"/>
      <w:jc w:val="center"/>
      <w:rPr>
        <w:b/>
        <w:bCs/>
      </w:rPr>
    </w:pPr>
    <w:sdt>
      <w:sdtPr>
        <w:rPr>
          <w:b/>
          <w:bCs/>
        </w:rPr>
        <w:id w:val="1036156457"/>
        <w:docPartObj>
          <w:docPartGallery w:val="Page Numbers (Bottom of Page)"/>
          <w:docPartUnique/>
        </w:docPartObj>
      </w:sdtPr>
      <w:sdtEndPr>
        <w:rPr>
          <w:noProof/>
        </w:rPr>
      </w:sdtEndPr>
      <w:sdtContent>
        <w:r w:rsidR="00286E68" w:rsidRPr="00FE67C6">
          <w:rPr>
            <w:b/>
            <w:bCs/>
          </w:rPr>
          <w:fldChar w:fldCharType="begin"/>
        </w:r>
        <w:r w:rsidR="00286E68" w:rsidRPr="00FE67C6">
          <w:rPr>
            <w:b/>
            <w:bCs/>
          </w:rPr>
          <w:instrText xml:space="preserve"> PAGE   \* MERGEFORMAT </w:instrText>
        </w:r>
        <w:r w:rsidR="00286E68" w:rsidRPr="00FE67C6">
          <w:rPr>
            <w:b/>
            <w:bCs/>
          </w:rPr>
          <w:fldChar w:fldCharType="separate"/>
        </w:r>
        <w:r w:rsidR="00286E68">
          <w:rPr>
            <w:b/>
            <w:bCs/>
          </w:rPr>
          <w:t>9</w:t>
        </w:r>
        <w:r w:rsidR="00286E68" w:rsidRPr="00FE67C6">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711D" w14:textId="4750A9E5" w:rsidR="00D4584E" w:rsidRDefault="0017404D">
    <w:pPr>
      <w:pStyle w:val="Footer"/>
    </w:pPr>
    <w:r>
      <w:rPr>
        <w:noProof/>
      </w:rPr>
      <mc:AlternateContent>
        <mc:Choice Requires="wps">
          <w:drawing>
            <wp:anchor distT="0" distB="0" distL="0" distR="0" simplePos="0" relativeHeight="251662341" behindDoc="0" locked="0" layoutInCell="1" allowOverlap="1" wp14:anchorId="7C9284B6" wp14:editId="3AC1FF88">
              <wp:simplePos x="635" y="635"/>
              <wp:positionH relativeFrom="page">
                <wp:align>center</wp:align>
              </wp:positionH>
              <wp:positionV relativeFrom="page">
                <wp:align>bottom</wp:align>
              </wp:positionV>
              <wp:extent cx="551815" cy="376555"/>
              <wp:effectExtent l="0" t="0" r="635" b="0"/>
              <wp:wrapNone/>
              <wp:docPr id="11479733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AD15BD" w14:textId="6A27DD02"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284B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BAD15BD" w14:textId="6A27DD02"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C46E" w14:textId="77777777" w:rsidR="00B552C8" w:rsidRDefault="00B552C8" w:rsidP="00124A51">
      <w:r>
        <w:separator/>
      </w:r>
    </w:p>
    <w:p w14:paraId="089E6A55" w14:textId="77777777" w:rsidR="00B552C8" w:rsidRDefault="00B552C8"/>
  </w:footnote>
  <w:footnote w:type="continuationSeparator" w:id="0">
    <w:p w14:paraId="0B785DC2" w14:textId="77777777" w:rsidR="00B552C8" w:rsidRDefault="00B552C8" w:rsidP="00124A51">
      <w:r>
        <w:continuationSeparator/>
      </w:r>
    </w:p>
    <w:p w14:paraId="23B17F72" w14:textId="77777777" w:rsidR="00B552C8" w:rsidRDefault="00B552C8"/>
  </w:footnote>
  <w:footnote w:type="continuationNotice" w:id="1">
    <w:p w14:paraId="33E44F16" w14:textId="77777777" w:rsidR="00B552C8" w:rsidRDefault="00B552C8"/>
  </w:footnote>
  <w:footnote w:id="2">
    <w:p w14:paraId="57B463ED" w14:textId="77777777" w:rsidR="00286E68" w:rsidRDefault="00286E68" w:rsidP="00670FEA">
      <w:pPr>
        <w:pStyle w:val="FootnoteText"/>
      </w:pPr>
      <w:r>
        <w:rPr>
          <w:rStyle w:val="FootnoteReference"/>
        </w:rPr>
        <w:footnoteRef/>
      </w:r>
      <w:r>
        <w:t xml:space="preserve"> Crohn’s &amp; Colitis Australia (CCA). 2025. Remission. Available from: </w:t>
      </w:r>
      <w:hyperlink r:id="rId1" w:anchor=":~:text=How%20often%20you%20have%20an,your%20personal%20and%20family%20history" w:history="1">
        <w:r w:rsidRPr="0068539B">
          <w:rPr>
            <w:rStyle w:val="Hyperlink"/>
          </w:rPr>
          <w:t>https://crohnsandcolitis.org.au/living-with-crohns-colitis/medical/remission/#:~:text=How%20often%20you%20have%20an,your%20personal%20and%20family%20history</w:t>
        </w:r>
      </w:hyperlink>
      <w:r>
        <w:t>. [accessed on 07/05/2025].</w:t>
      </w:r>
    </w:p>
  </w:footnote>
  <w:footnote w:id="3">
    <w:p w14:paraId="04A0E8AD" w14:textId="77777777" w:rsidR="00286E68" w:rsidRDefault="00286E68" w:rsidP="00C735D2">
      <w:pPr>
        <w:pStyle w:val="FootnoteText"/>
      </w:pPr>
      <w:r>
        <w:rPr>
          <w:rStyle w:val="FootnoteReference"/>
        </w:rPr>
        <w:footnoteRef/>
      </w:r>
      <w:r w:rsidRPr="00C735D2">
        <w:t>Feuerstein</w:t>
      </w:r>
      <w:r>
        <w:t xml:space="preserve"> JD, </w:t>
      </w:r>
      <w:r w:rsidRPr="00C735D2">
        <w:t>Ho</w:t>
      </w:r>
      <w:r>
        <w:t xml:space="preserve"> EH, </w:t>
      </w:r>
      <w:r w:rsidRPr="00C735D2">
        <w:t>Shmidt</w:t>
      </w:r>
      <w:r>
        <w:t xml:space="preserve"> E, </w:t>
      </w:r>
      <w:r w:rsidRPr="00C735D2">
        <w:t>Singh</w:t>
      </w:r>
      <w:r>
        <w:t xml:space="preserve"> H,</w:t>
      </w:r>
      <w:r w:rsidRPr="00C735D2">
        <w:t xml:space="preserve"> Falck-Ytter</w:t>
      </w:r>
      <w:r>
        <w:t xml:space="preserve"> Y,</w:t>
      </w:r>
      <w:r w:rsidRPr="00C735D2">
        <w:t xml:space="preserve"> Sultan</w:t>
      </w:r>
      <w:r>
        <w:t xml:space="preserve"> S,</w:t>
      </w:r>
      <w:r w:rsidRPr="00C735D2">
        <w:t xml:space="preserve"> Terdiman</w:t>
      </w:r>
      <w:r>
        <w:t xml:space="preserve"> JP</w:t>
      </w:r>
      <w:r w:rsidRPr="00C735D2">
        <w:t xml:space="preserve"> on behalf of American Gastroenterological Association Institute Clinical Guidelines Committee</w:t>
      </w:r>
      <w:r>
        <w:t xml:space="preserve">. 2021. </w:t>
      </w:r>
      <w:r w:rsidRPr="00C735D2">
        <w:t>AGA Clinical Practice Guidelines on the Medical Management of Moderate to Severe Luminal and Perianal Fistulizing Crohn’s Disease</w:t>
      </w:r>
      <w:r>
        <w:t>. Gastroenterology 160(7):2496-2508.</w:t>
      </w:r>
    </w:p>
  </w:footnote>
  <w:footnote w:id="4">
    <w:p w14:paraId="665C1E3A" w14:textId="18E3487C" w:rsidR="00286E68" w:rsidRDefault="00286E68">
      <w:pPr>
        <w:pStyle w:val="FootnoteText"/>
      </w:pPr>
      <w:r>
        <w:rPr>
          <w:rStyle w:val="FootnoteReference"/>
        </w:rPr>
        <w:footnoteRef/>
      </w:r>
      <w:r>
        <w:t xml:space="preserve"> </w:t>
      </w:r>
      <w:r w:rsidRPr="00C735D2">
        <w:t>Gastroenterological Society of Australia</w:t>
      </w:r>
      <w:r>
        <w:t xml:space="preserve"> (GESA)</w:t>
      </w:r>
      <w:r w:rsidRPr="00C735D2">
        <w:t>. 2018</w:t>
      </w:r>
      <w:r>
        <w:t>.</w:t>
      </w:r>
      <w:r w:rsidRPr="00C735D2">
        <w:t xml:space="preserve"> Clinical update for general practitioners and physicians : Inflammatory Bowel Disease Gastroenterological Society of Australia</w:t>
      </w:r>
      <w:r>
        <w:t>.</w:t>
      </w:r>
    </w:p>
  </w:footnote>
  <w:footnote w:id="5">
    <w:p w14:paraId="0F60EFEB" w14:textId="77777777" w:rsidR="00286E68" w:rsidRDefault="00286E68" w:rsidP="007E1DDC">
      <w:pPr>
        <w:pStyle w:val="FootnoteText"/>
      </w:pPr>
      <w:r>
        <w:rPr>
          <w:rStyle w:val="FootnoteReference"/>
        </w:rPr>
        <w:footnoteRef/>
      </w:r>
      <w:r>
        <w:t xml:space="preserve"> </w:t>
      </w:r>
      <w:r w:rsidRPr="00347CF8">
        <w:t xml:space="preserve">Singh S, Murad MH, Fumery M, Sedano R, Jairath V, Panaccione R, Sandborn WJ, Ma C. Comparative efficacy and safety of biologic therapies for moderate-to-severe Crohn's disease: a systematic review and network meta-analysis. Lancet Gastroenterol Hepatol. 2021 Dec;6(12):1002-1014. </w:t>
      </w:r>
    </w:p>
  </w:footnote>
  <w:footnote w:id="6">
    <w:p w14:paraId="14E0CEA2" w14:textId="77777777" w:rsidR="00286E68" w:rsidRDefault="00286E68" w:rsidP="007E1DDC">
      <w:pPr>
        <w:pStyle w:val="FootnoteText"/>
      </w:pPr>
      <w:r>
        <w:rPr>
          <w:rStyle w:val="FootnoteReference"/>
        </w:rPr>
        <w:footnoteRef/>
      </w:r>
      <w:r>
        <w:t xml:space="preserve"> </w:t>
      </w:r>
      <w:r w:rsidRPr="00347CF8">
        <w:t xml:space="preserve">Attauabi M, Steenholdt C, Poulsen A, Gubatan J, Burisch J, Nielsen OH, Seidelin JB. Network meta-analysis: Comparative onset of early effect of biologics and small molecules in moderately to severely active luminal Crohn's disease. Aliment Pharmacol Ther. 2024 Jul;60(2):124-143. </w:t>
      </w:r>
    </w:p>
  </w:footnote>
  <w:footnote w:id="7">
    <w:p w14:paraId="3D06B543" w14:textId="344A2128" w:rsidR="005E3E22" w:rsidRDefault="005E3E22" w:rsidP="005E3E22">
      <w:pPr>
        <w:pStyle w:val="FootnoteText"/>
        <w:jc w:val="left"/>
      </w:pPr>
      <w:r>
        <w:rPr>
          <w:rStyle w:val="FootnoteReference"/>
        </w:rPr>
        <w:footnoteRef/>
      </w:r>
      <w:r>
        <w:t xml:space="preserve"> PBS Medicine Status Website. Available from: </w:t>
      </w:r>
      <w:r w:rsidRPr="005E3E22">
        <w:t>https://www.pbs.gov.au/medicinestatus/search.html?question=USTEKINUMAB&amp;sort=-psproperty-meeting-date</w:t>
      </w:r>
    </w:p>
  </w:footnote>
  <w:footnote w:id="8">
    <w:p w14:paraId="7E9C7257" w14:textId="77777777" w:rsidR="00286E68" w:rsidRDefault="00286E68" w:rsidP="009262AD">
      <w:pPr>
        <w:pStyle w:val="FootnoteText"/>
      </w:pPr>
      <w:r>
        <w:rPr>
          <w:rStyle w:val="FootnoteReference"/>
        </w:rPr>
        <w:footnoteRef/>
      </w:r>
      <w:r>
        <w:t xml:space="preserve"> </w:t>
      </w:r>
      <w:r w:rsidRPr="00FC6FB0">
        <w:t xml:space="preserve">Chaimani A, Caldwell DM, Li T, Higgins JPT, Salanti G. Chapter 11: Undertaking network meta-analyses [last updated October 2019]. In: Higgins JPT, Thomas J, Chandler J, Cumpston M, Li T, Page MJ, Welch VA (editors). Cochrane Handbook for Systematic Reviews of Interventions version 6.5. Cochrane, 2024. Available from </w:t>
      </w:r>
      <w:hyperlink r:id="rId2" w:history="1">
        <w:r w:rsidRPr="00C45622">
          <w:rPr>
            <w:rStyle w:val="Hyperlink"/>
          </w:rPr>
          <w:t>www.training.cochrane.org/handbook</w:t>
        </w:r>
      </w:hyperlink>
      <w:r>
        <w:t xml:space="preserve"> [accessed on 17/04/2025].</w:t>
      </w:r>
    </w:p>
  </w:footnote>
  <w:footnote w:id="9">
    <w:p w14:paraId="48EE9175" w14:textId="77777777" w:rsidR="00425A52" w:rsidRPr="00425A52" w:rsidRDefault="00425A52" w:rsidP="00425A52">
      <w:pPr>
        <w:rPr>
          <w:i/>
          <w:iCs/>
          <w:sz w:val="20"/>
          <w:szCs w:val="20"/>
        </w:rPr>
      </w:pPr>
      <w:r w:rsidRPr="00425A52">
        <w:rPr>
          <w:rStyle w:val="FootnoteReference"/>
          <w:sz w:val="20"/>
          <w:szCs w:val="20"/>
        </w:rPr>
        <w:footnoteRef/>
      </w:r>
      <w:r w:rsidRPr="00425A52">
        <w:rPr>
          <w:sz w:val="20"/>
          <w:szCs w:val="20"/>
        </w:rPr>
        <w:t xml:space="preserve"> </w:t>
      </w:r>
      <w:r w:rsidRPr="00425A52">
        <w:rPr>
          <w:color w:val="000000" w:themeColor="text1"/>
          <w:sz w:val="20"/>
          <w:szCs w:val="18"/>
        </w:rPr>
        <w:t>Neff-Baro et al (2024). Endoscopic improvement at 1 year and association with long term disease outcome: a pooled clinical trial analysis in Crohn’s Disease. Poster presented at UEG. October 12-15 2024</w:t>
      </w:r>
    </w:p>
    <w:p w14:paraId="76322992" w14:textId="034F22E7" w:rsidR="00425A52" w:rsidRDefault="00425A52">
      <w:pPr>
        <w:pStyle w:val="FootnoteText"/>
      </w:pPr>
    </w:p>
  </w:footnote>
  <w:footnote w:id="10">
    <w:p w14:paraId="4DEE2DDF" w14:textId="77777777" w:rsidR="00286E68" w:rsidRDefault="00286E68" w:rsidP="0039363F">
      <w:pPr>
        <w:pStyle w:val="FootnoteText"/>
      </w:pPr>
      <w:r>
        <w:rPr>
          <w:rStyle w:val="FootnoteReference"/>
        </w:rPr>
        <w:footnoteRef/>
      </w:r>
      <w:r>
        <w:t xml:space="preserve"> </w:t>
      </w:r>
      <w:r w:rsidRPr="00247639">
        <w:t>Ko Y, Paramsothy S, Yau Y, Leong RW. Superior treatment persistence with ustekinumab in Crohn's disease and vedolizumab in ulcerative colitis compared with anti-TNF biological agents: real-world registry data from the Persistence Australian National IBD Cohort (PANIC) study. Aliment Pharmacol Ther. 2021 Aug;54(3):292-301. doi: 10.1111/apt.16436.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F3F" w14:textId="6BB4CCC3" w:rsidR="00D4584E" w:rsidRDefault="0017404D">
    <w:pPr>
      <w:pStyle w:val="Header"/>
    </w:pPr>
    <w:r>
      <w:rPr>
        <w:noProof/>
      </w:rPr>
      <mc:AlternateContent>
        <mc:Choice Requires="wps">
          <w:drawing>
            <wp:anchor distT="0" distB="0" distL="0" distR="0" simplePos="0" relativeHeight="251660293" behindDoc="0" locked="0" layoutInCell="1" allowOverlap="1" wp14:anchorId="122056FE" wp14:editId="59D1ED13">
              <wp:simplePos x="635" y="635"/>
              <wp:positionH relativeFrom="page">
                <wp:align>center</wp:align>
              </wp:positionH>
              <wp:positionV relativeFrom="page">
                <wp:align>top</wp:align>
              </wp:positionV>
              <wp:extent cx="551815" cy="376555"/>
              <wp:effectExtent l="0" t="0" r="635" b="4445"/>
              <wp:wrapNone/>
              <wp:docPr id="18629989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5F128A" w14:textId="53570BFA"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056F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D5F128A" w14:textId="53570BFA"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1BCCAA67" w:rsidR="00286E68" w:rsidRPr="00195452" w:rsidRDefault="0017404D" w:rsidP="00D822E2">
    <w:pPr>
      <w:pStyle w:val="Header"/>
      <w:rPr>
        <w:rFonts w:asciiTheme="minorHAnsi" w:hAnsiTheme="minorHAnsi"/>
        <w:i/>
        <w:color w:val="808080"/>
      </w:rPr>
    </w:pPr>
    <w:r>
      <w:rPr>
        <w:rFonts w:asciiTheme="minorHAnsi" w:hAnsiTheme="minorHAnsi"/>
        <w:i/>
        <w:noProof/>
        <w:color w:val="808080"/>
      </w:rPr>
      <mc:AlternateContent>
        <mc:Choice Requires="wps">
          <w:drawing>
            <wp:anchor distT="0" distB="0" distL="0" distR="0" simplePos="0" relativeHeight="251661317" behindDoc="0" locked="0" layoutInCell="1" allowOverlap="1" wp14:anchorId="15B1E499" wp14:editId="550ADEAA">
              <wp:simplePos x="635" y="635"/>
              <wp:positionH relativeFrom="page">
                <wp:align>center</wp:align>
              </wp:positionH>
              <wp:positionV relativeFrom="page">
                <wp:align>top</wp:align>
              </wp:positionV>
              <wp:extent cx="551815" cy="376555"/>
              <wp:effectExtent l="0" t="0" r="635" b="4445"/>
              <wp:wrapNone/>
              <wp:docPr id="16600471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3FAE1D" w14:textId="15075B44"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B1E49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B3FAE1D" w14:textId="15075B44"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r w:rsidR="00B134D3">
      <w:rPr>
        <w:rFonts w:asciiTheme="minorHAnsi" w:hAnsiTheme="minorHAnsi"/>
        <w:i/>
        <w:color w:val="808080"/>
      </w:rPr>
      <w:t>Public Summary Document</w:t>
    </w:r>
    <w:r w:rsidR="000F42F9">
      <w:rPr>
        <w:rFonts w:asciiTheme="minorHAnsi" w:hAnsiTheme="minorHAnsi"/>
        <w:i/>
        <w:color w:val="808080"/>
      </w:rPr>
      <w:t xml:space="preserve"> - </w:t>
    </w:r>
    <w:r w:rsidR="00286E68">
      <w:rPr>
        <w:rFonts w:asciiTheme="minorHAnsi" w:hAnsiTheme="minorHAnsi"/>
        <w:i/>
        <w:color w:val="808080"/>
      </w:rPr>
      <w:t xml:space="preserve">July 2025 </w:t>
    </w:r>
    <w:r w:rsidR="00286E68" w:rsidRPr="00195452">
      <w:rPr>
        <w:rFonts w:asciiTheme="minorHAnsi" w:hAnsiTheme="minorHAnsi"/>
        <w:i/>
        <w:color w:val="808080"/>
      </w:rPr>
      <w:t>PBAC Meeting</w:t>
    </w:r>
  </w:p>
  <w:p w14:paraId="03AF943B" w14:textId="77777777" w:rsidR="00286E68" w:rsidRPr="008C7ECB" w:rsidRDefault="00286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2BC4" w14:textId="33E2560A" w:rsidR="00D4584E" w:rsidRDefault="0017404D">
    <w:pPr>
      <w:pStyle w:val="Header"/>
    </w:pPr>
    <w:r>
      <w:rPr>
        <w:noProof/>
      </w:rPr>
      <mc:AlternateContent>
        <mc:Choice Requires="wps">
          <w:drawing>
            <wp:anchor distT="0" distB="0" distL="0" distR="0" simplePos="0" relativeHeight="251659269" behindDoc="0" locked="0" layoutInCell="1" allowOverlap="1" wp14:anchorId="0D0B839F" wp14:editId="5E2378C6">
              <wp:simplePos x="635" y="635"/>
              <wp:positionH relativeFrom="page">
                <wp:align>center</wp:align>
              </wp:positionH>
              <wp:positionV relativeFrom="page">
                <wp:align>top</wp:align>
              </wp:positionV>
              <wp:extent cx="551815" cy="376555"/>
              <wp:effectExtent l="0" t="0" r="635" b="4445"/>
              <wp:wrapNone/>
              <wp:docPr id="5449139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2632DA" w14:textId="4079B33B"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839F"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C2632DA" w14:textId="4079B33B"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1893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36B9C"/>
    <w:multiLevelType w:val="hybridMultilevel"/>
    <w:tmpl w:val="046030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A312D"/>
    <w:multiLevelType w:val="hybridMultilevel"/>
    <w:tmpl w:val="9C9A49F8"/>
    <w:lvl w:ilvl="0" w:tplc="FCCEFC38">
      <w:start w:val="1"/>
      <w:numFmt w:val="bullet"/>
      <w:lvlText w:val="•"/>
      <w:lvlJc w:val="left"/>
      <w:pPr>
        <w:tabs>
          <w:tab w:val="num" w:pos="720"/>
        </w:tabs>
        <w:ind w:left="720" w:hanging="360"/>
      </w:pPr>
      <w:rPr>
        <w:rFonts w:ascii="Arial" w:hAnsi="Arial" w:hint="default"/>
      </w:rPr>
    </w:lvl>
    <w:lvl w:ilvl="1" w:tplc="BE1248A0">
      <w:start w:val="1"/>
      <w:numFmt w:val="bullet"/>
      <w:lvlText w:val="•"/>
      <w:lvlJc w:val="left"/>
      <w:pPr>
        <w:tabs>
          <w:tab w:val="num" w:pos="1440"/>
        </w:tabs>
        <w:ind w:left="1440" w:hanging="360"/>
      </w:pPr>
      <w:rPr>
        <w:rFonts w:ascii="Arial" w:hAnsi="Arial" w:hint="default"/>
      </w:rPr>
    </w:lvl>
    <w:lvl w:ilvl="2" w:tplc="7C6A872A" w:tentative="1">
      <w:start w:val="1"/>
      <w:numFmt w:val="bullet"/>
      <w:lvlText w:val="•"/>
      <w:lvlJc w:val="left"/>
      <w:pPr>
        <w:tabs>
          <w:tab w:val="num" w:pos="2160"/>
        </w:tabs>
        <w:ind w:left="2160" w:hanging="360"/>
      </w:pPr>
      <w:rPr>
        <w:rFonts w:ascii="Arial" w:hAnsi="Arial" w:hint="default"/>
      </w:rPr>
    </w:lvl>
    <w:lvl w:ilvl="3" w:tplc="C2DC0488" w:tentative="1">
      <w:start w:val="1"/>
      <w:numFmt w:val="bullet"/>
      <w:lvlText w:val="•"/>
      <w:lvlJc w:val="left"/>
      <w:pPr>
        <w:tabs>
          <w:tab w:val="num" w:pos="2880"/>
        </w:tabs>
        <w:ind w:left="2880" w:hanging="360"/>
      </w:pPr>
      <w:rPr>
        <w:rFonts w:ascii="Arial" w:hAnsi="Arial" w:hint="default"/>
      </w:rPr>
    </w:lvl>
    <w:lvl w:ilvl="4" w:tplc="4DC023D0" w:tentative="1">
      <w:start w:val="1"/>
      <w:numFmt w:val="bullet"/>
      <w:lvlText w:val="•"/>
      <w:lvlJc w:val="left"/>
      <w:pPr>
        <w:tabs>
          <w:tab w:val="num" w:pos="3600"/>
        </w:tabs>
        <w:ind w:left="3600" w:hanging="360"/>
      </w:pPr>
      <w:rPr>
        <w:rFonts w:ascii="Arial" w:hAnsi="Arial" w:hint="default"/>
      </w:rPr>
    </w:lvl>
    <w:lvl w:ilvl="5" w:tplc="3C80656E" w:tentative="1">
      <w:start w:val="1"/>
      <w:numFmt w:val="bullet"/>
      <w:lvlText w:val="•"/>
      <w:lvlJc w:val="left"/>
      <w:pPr>
        <w:tabs>
          <w:tab w:val="num" w:pos="4320"/>
        </w:tabs>
        <w:ind w:left="4320" w:hanging="360"/>
      </w:pPr>
      <w:rPr>
        <w:rFonts w:ascii="Arial" w:hAnsi="Arial" w:hint="default"/>
      </w:rPr>
    </w:lvl>
    <w:lvl w:ilvl="6" w:tplc="C58E4F44" w:tentative="1">
      <w:start w:val="1"/>
      <w:numFmt w:val="bullet"/>
      <w:lvlText w:val="•"/>
      <w:lvlJc w:val="left"/>
      <w:pPr>
        <w:tabs>
          <w:tab w:val="num" w:pos="5040"/>
        </w:tabs>
        <w:ind w:left="5040" w:hanging="360"/>
      </w:pPr>
      <w:rPr>
        <w:rFonts w:ascii="Arial" w:hAnsi="Arial" w:hint="default"/>
      </w:rPr>
    </w:lvl>
    <w:lvl w:ilvl="7" w:tplc="7C8C71D6" w:tentative="1">
      <w:start w:val="1"/>
      <w:numFmt w:val="bullet"/>
      <w:lvlText w:val="•"/>
      <w:lvlJc w:val="left"/>
      <w:pPr>
        <w:tabs>
          <w:tab w:val="num" w:pos="5760"/>
        </w:tabs>
        <w:ind w:left="5760" w:hanging="360"/>
      </w:pPr>
      <w:rPr>
        <w:rFonts w:ascii="Arial" w:hAnsi="Arial" w:hint="default"/>
      </w:rPr>
    </w:lvl>
    <w:lvl w:ilvl="8" w:tplc="A6D017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3F1831"/>
    <w:multiLevelType w:val="hybridMultilevel"/>
    <w:tmpl w:val="6DD60F72"/>
    <w:lvl w:ilvl="0" w:tplc="7A8E3AF4">
      <w:numFmt w:val="bullet"/>
      <w:lvlText w:val="-"/>
      <w:lvlJc w:val="left"/>
      <w:pPr>
        <w:ind w:left="502"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460B98"/>
    <w:multiLevelType w:val="hybridMultilevel"/>
    <w:tmpl w:val="FE4C7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E1193C"/>
    <w:multiLevelType w:val="hybridMultilevel"/>
    <w:tmpl w:val="90C415D8"/>
    <w:lvl w:ilvl="0" w:tplc="3C92103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B350A"/>
    <w:multiLevelType w:val="multilevel"/>
    <w:tmpl w:val="DABABB68"/>
    <w:lvl w:ilvl="0">
      <w:start w:val="1"/>
      <w:numFmt w:val="decimal"/>
      <w:lvlText w:val="%1."/>
      <w:lvlJc w:val="left"/>
      <w:pPr>
        <w:tabs>
          <w:tab w:val="num" w:pos="720"/>
        </w:tabs>
        <w:ind w:left="720" w:hanging="360"/>
      </w:pPr>
      <w:rPr>
        <w:b w:val="0"/>
        <w:bCs/>
        <w:color w:val="FF000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6274A"/>
    <w:multiLevelType w:val="hybridMultilevel"/>
    <w:tmpl w:val="E07A47CC"/>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D308F2"/>
    <w:multiLevelType w:val="hybridMultilevel"/>
    <w:tmpl w:val="A620BC66"/>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9" w15:restartNumberingAfterBreak="0">
    <w:nsid w:val="299F72F3"/>
    <w:multiLevelType w:val="hybridMultilevel"/>
    <w:tmpl w:val="4916204E"/>
    <w:lvl w:ilvl="0" w:tplc="B78C1CD2">
      <w:start w:val="1"/>
      <w:numFmt w:val="decimal"/>
      <w:lvlText w:val="%1."/>
      <w:lvlJc w:val="left"/>
      <w:pPr>
        <w:ind w:left="1020" w:hanging="360"/>
      </w:pPr>
    </w:lvl>
    <w:lvl w:ilvl="1" w:tplc="1B04E5F2">
      <w:start w:val="1"/>
      <w:numFmt w:val="decimal"/>
      <w:lvlText w:val="%2."/>
      <w:lvlJc w:val="left"/>
      <w:pPr>
        <w:ind w:left="1020" w:hanging="360"/>
      </w:pPr>
    </w:lvl>
    <w:lvl w:ilvl="2" w:tplc="2D521538">
      <w:start w:val="1"/>
      <w:numFmt w:val="decimal"/>
      <w:lvlText w:val="%3."/>
      <w:lvlJc w:val="left"/>
      <w:pPr>
        <w:ind w:left="1020" w:hanging="360"/>
      </w:pPr>
    </w:lvl>
    <w:lvl w:ilvl="3" w:tplc="4EFEEBF2">
      <w:start w:val="1"/>
      <w:numFmt w:val="decimal"/>
      <w:lvlText w:val="%4."/>
      <w:lvlJc w:val="left"/>
      <w:pPr>
        <w:ind w:left="1020" w:hanging="360"/>
      </w:pPr>
    </w:lvl>
    <w:lvl w:ilvl="4" w:tplc="26501CEA">
      <w:start w:val="1"/>
      <w:numFmt w:val="decimal"/>
      <w:lvlText w:val="%5."/>
      <w:lvlJc w:val="left"/>
      <w:pPr>
        <w:ind w:left="1020" w:hanging="360"/>
      </w:pPr>
    </w:lvl>
    <w:lvl w:ilvl="5" w:tplc="8F2E470A">
      <w:start w:val="1"/>
      <w:numFmt w:val="decimal"/>
      <w:lvlText w:val="%6."/>
      <w:lvlJc w:val="left"/>
      <w:pPr>
        <w:ind w:left="1020" w:hanging="360"/>
      </w:pPr>
    </w:lvl>
    <w:lvl w:ilvl="6" w:tplc="C98EE71A">
      <w:start w:val="1"/>
      <w:numFmt w:val="decimal"/>
      <w:lvlText w:val="%7."/>
      <w:lvlJc w:val="left"/>
      <w:pPr>
        <w:ind w:left="1020" w:hanging="360"/>
      </w:pPr>
    </w:lvl>
    <w:lvl w:ilvl="7" w:tplc="64A47FBE">
      <w:start w:val="1"/>
      <w:numFmt w:val="decimal"/>
      <w:lvlText w:val="%8."/>
      <w:lvlJc w:val="left"/>
      <w:pPr>
        <w:ind w:left="1020" w:hanging="360"/>
      </w:pPr>
    </w:lvl>
    <w:lvl w:ilvl="8" w:tplc="29F4CDCA">
      <w:start w:val="1"/>
      <w:numFmt w:val="decimal"/>
      <w:lvlText w:val="%9."/>
      <w:lvlJc w:val="left"/>
      <w:pPr>
        <w:ind w:left="1020" w:hanging="360"/>
      </w:pPr>
    </w:lvl>
  </w:abstractNum>
  <w:abstractNum w:abstractNumId="10" w15:restartNumberingAfterBreak="0">
    <w:nsid w:val="2A6D4232"/>
    <w:multiLevelType w:val="hybridMultilevel"/>
    <w:tmpl w:val="41E428F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433F49"/>
    <w:multiLevelType w:val="hybridMultilevel"/>
    <w:tmpl w:val="8A5455A0"/>
    <w:lvl w:ilvl="0" w:tplc="C38EA8D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D2641DC"/>
    <w:multiLevelType w:val="hybridMultilevel"/>
    <w:tmpl w:val="B3CE9410"/>
    <w:lvl w:ilvl="0" w:tplc="BC1CF826">
      <w:start w:val="1"/>
      <w:numFmt w:val="bullet"/>
      <w:lvlText w:val=""/>
      <w:lvlJc w:val="left"/>
      <w:pPr>
        <w:ind w:left="720" w:hanging="360"/>
      </w:pPr>
      <w:rPr>
        <w:rFonts w:ascii="Symbol" w:hAnsi="Symbol"/>
      </w:rPr>
    </w:lvl>
    <w:lvl w:ilvl="1" w:tplc="723A7EBA">
      <w:start w:val="1"/>
      <w:numFmt w:val="bullet"/>
      <w:lvlText w:val=""/>
      <w:lvlJc w:val="left"/>
      <w:pPr>
        <w:ind w:left="720" w:hanging="360"/>
      </w:pPr>
      <w:rPr>
        <w:rFonts w:ascii="Symbol" w:hAnsi="Symbol"/>
      </w:rPr>
    </w:lvl>
    <w:lvl w:ilvl="2" w:tplc="133AFB00">
      <w:start w:val="1"/>
      <w:numFmt w:val="bullet"/>
      <w:lvlText w:val=""/>
      <w:lvlJc w:val="left"/>
      <w:pPr>
        <w:ind w:left="720" w:hanging="360"/>
      </w:pPr>
      <w:rPr>
        <w:rFonts w:ascii="Symbol" w:hAnsi="Symbol"/>
      </w:rPr>
    </w:lvl>
    <w:lvl w:ilvl="3" w:tplc="BF5E016C">
      <w:start w:val="1"/>
      <w:numFmt w:val="bullet"/>
      <w:lvlText w:val=""/>
      <w:lvlJc w:val="left"/>
      <w:pPr>
        <w:ind w:left="720" w:hanging="360"/>
      </w:pPr>
      <w:rPr>
        <w:rFonts w:ascii="Symbol" w:hAnsi="Symbol"/>
      </w:rPr>
    </w:lvl>
    <w:lvl w:ilvl="4" w:tplc="E7E038B2">
      <w:start w:val="1"/>
      <w:numFmt w:val="bullet"/>
      <w:lvlText w:val=""/>
      <w:lvlJc w:val="left"/>
      <w:pPr>
        <w:ind w:left="720" w:hanging="360"/>
      </w:pPr>
      <w:rPr>
        <w:rFonts w:ascii="Symbol" w:hAnsi="Symbol"/>
      </w:rPr>
    </w:lvl>
    <w:lvl w:ilvl="5" w:tplc="78FAB106">
      <w:start w:val="1"/>
      <w:numFmt w:val="bullet"/>
      <w:lvlText w:val=""/>
      <w:lvlJc w:val="left"/>
      <w:pPr>
        <w:ind w:left="720" w:hanging="360"/>
      </w:pPr>
      <w:rPr>
        <w:rFonts w:ascii="Symbol" w:hAnsi="Symbol"/>
      </w:rPr>
    </w:lvl>
    <w:lvl w:ilvl="6" w:tplc="BC28BC2E">
      <w:start w:val="1"/>
      <w:numFmt w:val="bullet"/>
      <w:lvlText w:val=""/>
      <w:lvlJc w:val="left"/>
      <w:pPr>
        <w:ind w:left="720" w:hanging="360"/>
      </w:pPr>
      <w:rPr>
        <w:rFonts w:ascii="Symbol" w:hAnsi="Symbol"/>
      </w:rPr>
    </w:lvl>
    <w:lvl w:ilvl="7" w:tplc="E6889E98">
      <w:start w:val="1"/>
      <w:numFmt w:val="bullet"/>
      <w:lvlText w:val=""/>
      <w:lvlJc w:val="left"/>
      <w:pPr>
        <w:ind w:left="720" w:hanging="360"/>
      </w:pPr>
      <w:rPr>
        <w:rFonts w:ascii="Symbol" w:hAnsi="Symbol"/>
      </w:rPr>
    </w:lvl>
    <w:lvl w:ilvl="8" w:tplc="A2089968">
      <w:start w:val="1"/>
      <w:numFmt w:val="bullet"/>
      <w:lvlText w:val=""/>
      <w:lvlJc w:val="left"/>
      <w:pPr>
        <w:ind w:left="720" w:hanging="360"/>
      </w:pPr>
      <w:rPr>
        <w:rFonts w:ascii="Symbol" w:hAnsi="Symbol"/>
      </w:rPr>
    </w:lvl>
  </w:abstractNum>
  <w:abstractNum w:abstractNumId="13" w15:restartNumberingAfterBreak="0">
    <w:nsid w:val="2E2C52CD"/>
    <w:multiLevelType w:val="hybridMultilevel"/>
    <w:tmpl w:val="F3D6FCDA"/>
    <w:lvl w:ilvl="0" w:tplc="D2AA4414">
      <w:start w:val="1"/>
      <w:numFmt w:val="decimal"/>
      <w:lvlText w:val="%1."/>
      <w:lvlJc w:val="left"/>
      <w:pPr>
        <w:ind w:left="786" w:hanging="360"/>
      </w:pPr>
    </w:lvl>
    <w:lvl w:ilvl="1" w:tplc="1B90C1EE">
      <w:start w:val="1"/>
      <w:numFmt w:val="lowerLetter"/>
      <w:lvlText w:val="%2."/>
      <w:lvlJc w:val="left"/>
      <w:pPr>
        <w:ind w:left="1506" w:hanging="360"/>
      </w:pPr>
    </w:lvl>
    <w:lvl w:ilvl="2" w:tplc="3B6E6AA8">
      <w:start w:val="1"/>
      <w:numFmt w:val="lowerRoman"/>
      <w:lvlText w:val="%3."/>
      <w:lvlJc w:val="right"/>
      <w:pPr>
        <w:ind w:left="2226" w:hanging="180"/>
      </w:pPr>
    </w:lvl>
    <w:lvl w:ilvl="3" w:tplc="3F4CD96E">
      <w:start w:val="1"/>
      <w:numFmt w:val="decimal"/>
      <w:lvlText w:val="%4."/>
      <w:lvlJc w:val="left"/>
      <w:pPr>
        <w:ind w:left="2946" w:hanging="360"/>
      </w:pPr>
    </w:lvl>
    <w:lvl w:ilvl="4" w:tplc="CF2EA45A">
      <w:start w:val="1"/>
      <w:numFmt w:val="lowerLetter"/>
      <w:lvlText w:val="%5."/>
      <w:lvlJc w:val="left"/>
      <w:pPr>
        <w:ind w:left="3666" w:hanging="360"/>
      </w:pPr>
    </w:lvl>
    <w:lvl w:ilvl="5" w:tplc="8A2C4FC0">
      <w:start w:val="1"/>
      <w:numFmt w:val="lowerRoman"/>
      <w:lvlText w:val="%6."/>
      <w:lvlJc w:val="right"/>
      <w:pPr>
        <w:ind w:left="4386" w:hanging="180"/>
      </w:pPr>
    </w:lvl>
    <w:lvl w:ilvl="6" w:tplc="0368149A">
      <w:start w:val="1"/>
      <w:numFmt w:val="decimal"/>
      <w:lvlText w:val="%7."/>
      <w:lvlJc w:val="left"/>
      <w:pPr>
        <w:ind w:left="5106" w:hanging="360"/>
      </w:pPr>
    </w:lvl>
    <w:lvl w:ilvl="7" w:tplc="AE6CF394">
      <w:start w:val="1"/>
      <w:numFmt w:val="lowerLetter"/>
      <w:lvlText w:val="%8."/>
      <w:lvlJc w:val="left"/>
      <w:pPr>
        <w:ind w:left="5826" w:hanging="360"/>
      </w:pPr>
    </w:lvl>
    <w:lvl w:ilvl="8" w:tplc="0FFA5870">
      <w:start w:val="1"/>
      <w:numFmt w:val="lowerRoman"/>
      <w:lvlText w:val="%9."/>
      <w:lvlJc w:val="right"/>
      <w:pPr>
        <w:ind w:left="6546" w:hanging="180"/>
      </w:pPr>
    </w:lvl>
  </w:abstractNum>
  <w:abstractNum w:abstractNumId="14" w15:restartNumberingAfterBreak="0">
    <w:nsid w:val="2FB02DF1"/>
    <w:multiLevelType w:val="hybridMultilevel"/>
    <w:tmpl w:val="73086FA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1F3791D"/>
    <w:multiLevelType w:val="hybridMultilevel"/>
    <w:tmpl w:val="3324656A"/>
    <w:lvl w:ilvl="0" w:tplc="C9E4A27E">
      <w:numFmt w:val="bullet"/>
      <w:lvlText w:val="-"/>
      <w:lvlJc w:val="left"/>
      <w:pPr>
        <w:ind w:left="360" w:hanging="360"/>
      </w:pPr>
      <w:rPr>
        <w:rFonts w:ascii="Arial Narrow" w:eastAsiaTheme="majorEastAsia" w:hAnsi="Arial Narrow" w:cstheme="majorBidi" w:hint="default"/>
        <w:i/>
      </w:rPr>
    </w:lvl>
    <w:lvl w:ilvl="1" w:tplc="B3D6895C">
      <w:numFmt w:val="bullet"/>
      <w:lvlText w:val="•"/>
      <w:lvlJc w:val="left"/>
      <w:pPr>
        <w:ind w:left="1080" w:hanging="360"/>
      </w:pPr>
      <w:rPr>
        <w:rFonts w:ascii="Arial Narrow" w:eastAsia="Times New Roman" w:hAnsi="Arial Narro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FD1198"/>
    <w:multiLevelType w:val="hybridMultilevel"/>
    <w:tmpl w:val="54D6158A"/>
    <w:lvl w:ilvl="0" w:tplc="E12850CE">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54188F"/>
    <w:multiLevelType w:val="hybridMultilevel"/>
    <w:tmpl w:val="0868CB18"/>
    <w:lvl w:ilvl="0" w:tplc="7068E508">
      <w:start w:val="1"/>
      <w:numFmt w:val="upp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7A4021"/>
    <w:multiLevelType w:val="hybridMultilevel"/>
    <w:tmpl w:val="02828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337B80"/>
    <w:multiLevelType w:val="hybridMultilevel"/>
    <w:tmpl w:val="4EDE26CE"/>
    <w:lvl w:ilvl="0" w:tplc="7A8E3AF4">
      <w:numFmt w:val="bullet"/>
      <w:lvlText w:val="-"/>
      <w:lvlJc w:val="left"/>
      <w:pPr>
        <w:ind w:left="502"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4635A0"/>
    <w:multiLevelType w:val="hybridMultilevel"/>
    <w:tmpl w:val="E6D63E86"/>
    <w:lvl w:ilvl="0" w:tplc="C9E4A27E">
      <w:numFmt w:val="bullet"/>
      <w:lvlText w:val="-"/>
      <w:lvlJc w:val="left"/>
      <w:pPr>
        <w:ind w:left="360" w:hanging="360"/>
      </w:pPr>
      <w:rPr>
        <w:rFonts w:ascii="Arial Narrow" w:eastAsiaTheme="majorEastAsia" w:hAnsi="Arial Narrow" w:cstheme="majorBidi" w:hint="default"/>
        <w:i/>
      </w:rPr>
    </w:lvl>
    <w:lvl w:ilvl="1" w:tplc="C9E4A27E">
      <w:numFmt w:val="bullet"/>
      <w:lvlText w:val="-"/>
      <w:lvlJc w:val="left"/>
      <w:pPr>
        <w:ind w:left="1080" w:hanging="360"/>
      </w:pPr>
      <w:rPr>
        <w:rFonts w:ascii="Arial Narrow" w:eastAsiaTheme="majorEastAsia" w:hAnsi="Arial Narrow" w:cstheme="majorBidi" w:hint="default"/>
        <w:i/>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224D0A"/>
    <w:multiLevelType w:val="hybridMultilevel"/>
    <w:tmpl w:val="8BFA7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9F7B29"/>
    <w:multiLevelType w:val="hybridMultilevel"/>
    <w:tmpl w:val="78A4CBBA"/>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D50482D6"/>
    <w:lvl w:ilvl="0" w:tplc="04090001">
      <w:start w:val="1"/>
      <w:numFmt w:val="bullet"/>
      <w:lvlText w:val=""/>
      <w:lvlJc w:val="left"/>
      <w:pPr>
        <w:ind w:left="720" w:hanging="360"/>
      </w:pPr>
      <w:rPr>
        <w:rFonts w:ascii="Symbol" w:hAnsi="Symbol" w:hint="default"/>
      </w:rPr>
    </w:lvl>
    <w:lvl w:ilvl="1" w:tplc="BB5E7F3A">
      <w:numFmt w:val="bullet"/>
      <w:lvlText w:val="•"/>
      <w:lvlJc w:val="left"/>
      <w:pPr>
        <w:ind w:left="1440" w:hanging="360"/>
      </w:pPr>
      <w:rPr>
        <w:rFonts w:ascii="Arial Narrow" w:eastAsiaTheme="majorEastAsia" w:hAnsi="Arial Narrow"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B20F9"/>
    <w:multiLevelType w:val="hybridMultilevel"/>
    <w:tmpl w:val="3C668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E563F4"/>
    <w:multiLevelType w:val="hybridMultilevel"/>
    <w:tmpl w:val="DD488C72"/>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2561A4"/>
    <w:multiLevelType w:val="hybridMultilevel"/>
    <w:tmpl w:val="896EE63C"/>
    <w:lvl w:ilvl="0" w:tplc="13AAD45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8122B9"/>
    <w:multiLevelType w:val="hybridMultilevel"/>
    <w:tmpl w:val="8416A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0025E9"/>
    <w:multiLevelType w:val="hybridMultilevel"/>
    <w:tmpl w:val="22CEB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4E15D37"/>
    <w:multiLevelType w:val="multilevel"/>
    <w:tmpl w:val="9112E4B4"/>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256AA5"/>
    <w:multiLevelType w:val="multilevel"/>
    <w:tmpl w:val="DABABB68"/>
    <w:lvl w:ilvl="0">
      <w:start w:val="1"/>
      <w:numFmt w:val="decimal"/>
      <w:lvlText w:val="%1."/>
      <w:lvlJc w:val="left"/>
      <w:pPr>
        <w:tabs>
          <w:tab w:val="num" w:pos="720"/>
        </w:tabs>
        <w:ind w:left="720" w:hanging="360"/>
      </w:pPr>
      <w:rPr>
        <w:b w:val="0"/>
        <w:bCs/>
        <w:color w:val="FF000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7A0699"/>
    <w:multiLevelType w:val="hybridMultilevel"/>
    <w:tmpl w:val="A6F81DDC"/>
    <w:lvl w:ilvl="0" w:tplc="D57ED4C6">
      <w:numFmt w:val="bullet"/>
      <w:lvlText w:val="-"/>
      <w:lvlJc w:val="left"/>
      <w:pPr>
        <w:ind w:left="360" w:hanging="360"/>
      </w:pPr>
      <w:rPr>
        <w:rFonts w:ascii="Arial Narrow" w:eastAsiaTheme="majorEastAsia" w:hAnsi="Arial Narrow" w:cstheme="maj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BD75895"/>
    <w:multiLevelType w:val="hybridMultilevel"/>
    <w:tmpl w:val="0868CB18"/>
    <w:lvl w:ilvl="0" w:tplc="7068E508">
      <w:start w:val="1"/>
      <w:numFmt w:val="upp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79E28A7"/>
    <w:multiLevelType w:val="hybridMultilevel"/>
    <w:tmpl w:val="73BED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EC272B"/>
    <w:multiLevelType w:val="hybridMultilevel"/>
    <w:tmpl w:val="B2C0FD50"/>
    <w:lvl w:ilvl="0" w:tplc="0C090001">
      <w:start w:val="1"/>
      <w:numFmt w:val="bullet"/>
      <w:lvlText w:val=""/>
      <w:lvlJc w:val="left"/>
      <w:pPr>
        <w:ind w:left="360" w:hanging="360"/>
      </w:pPr>
      <w:rPr>
        <w:rFonts w:ascii="Symbol" w:hAnsi="Symbol" w:hint="default"/>
      </w:rPr>
    </w:lvl>
    <w:lvl w:ilvl="1" w:tplc="B79EBD70">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14493459">
    <w:abstractNumId w:val="37"/>
  </w:num>
  <w:num w:numId="2" w16cid:durableId="83116734">
    <w:abstractNumId w:val="23"/>
  </w:num>
  <w:num w:numId="3" w16cid:durableId="2058552345">
    <w:abstractNumId w:val="24"/>
  </w:num>
  <w:num w:numId="4" w16cid:durableId="902064458">
    <w:abstractNumId w:val="0"/>
  </w:num>
  <w:num w:numId="5" w16cid:durableId="843664018">
    <w:abstractNumId w:val="37"/>
  </w:num>
  <w:num w:numId="6" w16cid:durableId="104028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6591670">
    <w:abstractNumId w:val="38"/>
  </w:num>
  <w:num w:numId="8" w16cid:durableId="2032759299">
    <w:abstractNumId w:val="30"/>
  </w:num>
  <w:num w:numId="9" w16cid:durableId="235627974">
    <w:abstractNumId w:val="15"/>
  </w:num>
  <w:num w:numId="10" w16cid:durableId="2074543847">
    <w:abstractNumId w:val="20"/>
  </w:num>
  <w:num w:numId="11" w16cid:durableId="699666924">
    <w:abstractNumId w:val="8"/>
  </w:num>
  <w:num w:numId="12" w16cid:durableId="1115830639">
    <w:abstractNumId w:val="18"/>
  </w:num>
  <w:num w:numId="13" w16cid:durableId="1380713253">
    <w:abstractNumId w:val="4"/>
  </w:num>
  <w:num w:numId="14" w16cid:durableId="1313489026">
    <w:abstractNumId w:val="34"/>
  </w:num>
  <w:num w:numId="15" w16cid:durableId="1127309326">
    <w:abstractNumId w:val="27"/>
  </w:num>
  <w:num w:numId="16" w16cid:durableId="1586453877">
    <w:abstractNumId w:val="25"/>
  </w:num>
  <w:num w:numId="17" w16cid:durableId="726684916">
    <w:abstractNumId w:val="5"/>
  </w:num>
  <w:num w:numId="18" w16cid:durableId="674453348">
    <w:abstractNumId w:val="3"/>
  </w:num>
  <w:num w:numId="19" w16cid:durableId="186452764">
    <w:abstractNumId w:val="35"/>
  </w:num>
  <w:num w:numId="20" w16cid:durableId="788620978">
    <w:abstractNumId w:val="19"/>
  </w:num>
  <w:num w:numId="21" w16cid:durableId="363481689">
    <w:abstractNumId w:val="11"/>
  </w:num>
  <w:num w:numId="22" w16cid:durableId="275140194">
    <w:abstractNumId w:val="36"/>
  </w:num>
  <w:num w:numId="23" w16cid:durableId="931400714">
    <w:abstractNumId w:val="14"/>
  </w:num>
  <w:num w:numId="24" w16cid:durableId="994529215">
    <w:abstractNumId w:val="17"/>
  </w:num>
  <w:num w:numId="25" w16cid:durableId="357317434">
    <w:abstractNumId w:val="21"/>
  </w:num>
  <w:num w:numId="26" w16cid:durableId="1021971401">
    <w:abstractNumId w:val="7"/>
  </w:num>
  <w:num w:numId="27" w16cid:durableId="1530339859">
    <w:abstractNumId w:val="16"/>
  </w:num>
  <w:num w:numId="28" w16cid:durableId="14191349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40624">
    <w:abstractNumId w:val="33"/>
  </w:num>
  <w:num w:numId="30" w16cid:durableId="188182907">
    <w:abstractNumId w:val="29"/>
  </w:num>
  <w:num w:numId="31" w16cid:durableId="2118257733">
    <w:abstractNumId w:val="28"/>
  </w:num>
  <w:num w:numId="32" w16cid:durableId="760951046">
    <w:abstractNumId w:val="9"/>
  </w:num>
  <w:num w:numId="33" w16cid:durableId="1163812563">
    <w:abstractNumId w:val="1"/>
  </w:num>
  <w:num w:numId="34" w16cid:durableId="2047871177">
    <w:abstractNumId w:val="32"/>
  </w:num>
  <w:num w:numId="35" w16cid:durableId="787815823">
    <w:abstractNumId w:val="26"/>
  </w:num>
  <w:num w:numId="36" w16cid:durableId="2064668822">
    <w:abstractNumId w:val="6"/>
  </w:num>
  <w:num w:numId="37" w16cid:durableId="1523669605">
    <w:abstractNumId w:val="12"/>
  </w:num>
  <w:num w:numId="38" w16cid:durableId="941500385">
    <w:abstractNumId w:val="37"/>
  </w:num>
  <w:num w:numId="39" w16cid:durableId="1825275884">
    <w:abstractNumId w:val="2"/>
  </w:num>
  <w:num w:numId="40" w16cid:durableId="561065613">
    <w:abstractNumId w:val="10"/>
  </w:num>
  <w:num w:numId="41" w16cid:durableId="1185946290">
    <w:abstractNumId w:val="31"/>
  </w:num>
  <w:num w:numId="42" w16cid:durableId="513111606">
    <w:abstractNumId w:val="22"/>
  </w:num>
  <w:num w:numId="43" w16cid:durableId="1528518579">
    <w:abstractNumId w:val="37"/>
  </w:num>
  <w:num w:numId="44" w16cid:durableId="522129657">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110B"/>
    <w:rsid w:val="00001B96"/>
    <w:rsid w:val="000024A7"/>
    <w:rsid w:val="00002EED"/>
    <w:rsid w:val="000032C6"/>
    <w:rsid w:val="00003499"/>
    <w:rsid w:val="000039B7"/>
    <w:rsid w:val="0000437A"/>
    <w:rsid w:val="00004B0A"/>
    <w:rsid w:val="000050CB"/>
    <w:rsid w:val="000056B9"/>
    <w:rsid w:val="000059DE"/>
    <w:rsid w:val="00005BE9"/>
    <w:rsid w:val="0000639A"/>
    <w:rsid w:val="000078A5"/>
    <w:rsid w:val="00010424"/>
    <w:rsid w:val="0001061C"/>
    <w:rsid w:val="0001102F"/>
    <w:rsid w:val="00011755"/>
    <w:rsid w:val="0001181B"/>
    <w:rsid w:val="000119D3"/>
    <w:rsid w:val="00011D59"/>
    <w:rsid w:val="00012343"/>
    <w:rsid w:val="000126FF"/>
    <w:rsid w:val="00012814"/>
    <w:rsid w:val="00013247"/>
    <w:rsid w:val="0001350B"/>
    <w:rsid w:val="000139C3"/>
    <w:rsid w:val="000141DC"/>
    <w:rsid w:val="000144C4"/>
    <w:rsid w:val="0001459E"/>
    <w:rsid w:val="00015886"/>
    <w:rsid w:val="000158D5"/>
    <w:rsid w:val="00015B6D"/>
    <w:rsid w:val="000162EC"/>
    <w:rsid w:val="000162EF"/>
    <w:rsid w:val="0001652F"/>
    <w:rsid w:val="0001664F"/>
    <w:rsid w:val="00017222"/>
    <w:rsid w:val="00017CEF"/>
    <w:rsid w:val="0002023D"/>
    <w:rsid w:val="000207C9"/>
    <w:rsid w:val="00020D06"/>
    <w:rsid w:val="000214BE"/>
    <w:rsid w:val="00021F93"/>
    <w:rsid w:val="00022236"/>
    <w:rsid w:val="0002225F"/>
    <w:rsid w:val="00022B09"/>
    <w:rsid w:val="00023207"/>
    <w:rsid w:val="00023763"/>
    <w:rsid w:val="00024065"/>
    <w:rsid w:val="0002496D"/>
    <w:rsid w:val="00024EB5"/>
    <w:rsid w:val="000253D0"/>
    <w:rsid w:val="00025F84"/>
    <w:rsid w:val="00025FEB"/>
    <w:rsid w:val="0002629C"/>
    <w:rsid w:val="000267DE"/>
    <w:rsid w:val="000274B8"/>
    <w:rsid w:val="000275E4"/>
    <w:rsid w:val="00030575"/>
    <w:rsid w:val="0003201C"/>
    <w:rsid w:val="0003244E"/>
    <w:rsid w:val="000327BA"/>
    <w:rsid w:val="00033418"/>
    <w:rsid w:val="00033863"/>
    <w:rsid w:val="00033956"/>
    <w:rsid w:val="00033C5A"/>
    <w:rsid w:val="00033D9C"/>
    <w:rsid w:val="0003434A"/>
    <w:rsid w:val="0003458B"/>
    <w:rsid w:val="000345C2"/>
    <w:rsid w:val="00034944"/>
    <w:rsid w:val="00035B88"/>
    <w:rsid w:val="00035DC0"/>
    <w:rsid w:val="00036247"/>
    <w:rsid w:val="00036270"/>
    <w:rsid w:val="00036829"/>
    <w:rsid w:val="00036B3C"/>
    <w:rsid w:val="00036D89"/>
    <w:rsid w:val="00036FE6"/>
    <w:rsid w:val="000375D3"/>
    <w:rsid w:val="0003780F"/>
    <w:rsid w:val="00037D0E"/>
    <w:rsid w:val="00040895"/>
    <w:rsid w:val="000410A0"/>
    <w:rsid w:val="00041319"/>
    <w:rsid w:val="0004237B"/>
    <w:rsid w:val="0004347A"/>
    <w:rsid w:val="000435EE"/>
    <w:rsid w:val="00043B09"/>
    <w:rsid w:val="00043B7E"/>
    <w:rsid w:val="00043C37"/>
    <w:rsid w:val="00043DB5"/>
    <w:rsid w:val="00043FF3"/>
    <w:rsid w:val="00045017"/>
    <w:rsid w:val="00045981"/>
    <w:rsid w:val="00045A2B"/>
    <w:rsid w:val="00045D81"/>
    <w:rsid w:val="000462C0"/>
    <w:rsid w:val="0004680B"/>
    <w:rsid w:val="0004698F"/>
    <w:rsid w:val="00046D64"/>
    <w:rsid w:val="00047493"/>
    <w:rsid w:val="00047688"/>
    <w:rsid w:val="00047C96"/>
    <w:rsid w:val="000500A3"/>
    <w:rsid w:val="00050176"/>
    <w:rsid w:val="0005053E"/>
    <w:rsid w:val="000508B6"/>
    <w:rsid w:val="000508C2"/>
    <w:rsid w:val="000513A2"/>
    <w:rsid w:val="0005159C"/>
    <w:rsid w:val="00051FF6"/>
    <w:rsid w:val="000539D0"/>
    <w:rsid w:val="000539DB"/>
    <w:rsid w:val="00053DF0"/>
    <w:rsid w:val="00053FA9"/>
    <w:rsid w:val="0005414E"/>
    <w:rsid w:val="00054621"/>
    <w:rsid w:val="000546D7"/>
    <w:rsid w:val="00054A6A"/>
    <w:rsid w:val="00054A8D"/>
    <w:rsid w:val="00054F35"/>
    <w:rsid w:val="00055493"/>
    <w:rsid w:val="00056217"/>
    <w:rsid w:val="000564DF"/>
    <w:rsid w:val="0005680B"/>
    <w:rsid w:val="00056ECF"/>
    <w:rsid w:val="00057BC8"/>
    <w:rsid w:val="00057EC2"/>
    <w:rsid w:val="00057FEF"/>
    <w:rsid w:val="00060123"/>
    <w:rsid w:val="000603E4"/>
    <w:rsid w:val="000604DF"/>
    <w:rsid w:val="000605B8"/>
    <w:rsid w:val="00060AFD"/>
    <w:rsid w:val="00060FEB"/>
    <w:rsid w:val="00061014"/>
    <w:rsid w:val="00061C41"/>
    <w:rsid w:val="0006230E"/>
    <w:rsid w:val="00062A78"/>
    <w:rsid w:val="00062C74"/>
    <w:rsid w:val="000630AB"/>
    <w:rsid w:val="0006375A"/>
    <w:rsid w:val="000638D1"/>
    <w:rsid w:val="000653B5"/>
    <w:rsid w:val="00066014"/>
    <w:rsid w:val="00066360"/>
    <w:rsid w:val="00066AE6"/>
    <w:rsid w:val="00066AF8"/>
    <w:rsid w:val="00066B2D"/>
    <w:rsid w:val="00066BCE"/>
    <w:rsid w:val="000678FF"/>
    <w:rsid w:val="00070090"/>
    <w:rsid w:val="0007019C"/>
    <w:rsid w:val="00070663"/>
    <w:rsid w:val="00071248"/>
    <w:rsid w:val="00071274"/>
    <w:rsid w:val="000720B9"/>
    <w:rsid w:val="00072E75"/>
    <w:rsid w:val="000737F7"/>
    <w:rsid w:val="00073DA5"/>
    <w:rsid w:val="00074F38"/>
    <w:rsid w:val="000756FD"/>
    <w:rsid w:val="000761B3"/>
    <w:rsid w:val="0007672F"/>
    <w:rsid w:val="00076B54"/>
    <w:rsid w:val="000774F0"/>
    <w:rsid w:val="00077A76"/>
    <w:rsid w:val="00080909"/>
    <w:rsid w:val="0008096F"/>
    <w:rsid w:val="00080D0D"/>
    <w:rsid w:val="000812CA"/>
    <w:rsid w:val="00081505"/>
    <w:rsid w:val="0008185F"/>
    <w:rsid w:val="00081E63"/>
    <w:rsid w:val="000821DC"/>
    <w:rsid w:val="0008258D"/>
    <w:rsid w:val="000829FA"/>
    <w:rsid w:val="00082BC4"/>
    <w:rsid w:val="0008356A"/>
    <w:rsid w:val="00083DA8"/>
    <w:rsid w:val="00083E99"/>
    <w:rsid w:val="00083FDC"/>
    <w:rsid w:val="00084150"/>
    <w:rsid w:val="000844AC"/>
    <w:rsid w:val="00084A13"/>
    <w:rsid w:val="00084FA8"/>
    <w:rsid w:val="000856C5"/>
    <w:rsid w:val="00085A1E"/>
    <w:rsid w:val="00085C31"/>
    <w:rsid w:val="000868CB"/>
    <w:rsid w:val="00087AE6"/>
    <w:rsid w:val="000902D9"/>
    <w:rsid w:val="0009042C"/>
    <w:rsid w:val="000904B4"/>
    <w:rsid w:val="00090920"/>
    <w:rsid w:val="0009098E"/>
    <w:rsid w:val="00090C7E"/>
    <w:rsid w:val="00090E90"/>
    <w:rsid w:val="00090FFC"/>
    <w:rsid w:val="000911AC"/>
    <w:rsid w:val="00092600"/>
    <w:rsid w:val="0009262B"/>
    <w:rsid w:val="00093310"/>
    <w:rsid w:val="00093958"/>
    <w:rsid w:val="00093A61"/>
    <w:rsid w:val="00093CEF"/>
    <w:rsid w:val="00093DBB"/>
    <w:rsid w:val="00093E39"/>
    <w:rsid w:val="00094330"/>
    <w:rsid w:val="0009445C"/>
    <w:rsid w:val="00095200"/>
    <w:rsid w:val="0009556E"/>
    <w:rsid w:val="000955E7"/>
    <w:rsid w:val="00095AB2"/>
    <w:rsid w:val="00095B3A"/>
    <w:rsid w:val="00095E52"/>
    <w:rsid w:val="00095FE5"/>
    <w:rsid w:val="00096092"/>
    <w:rsid w:val="00096284"/>
    <w:rsid w:val="000967AC"/>
    <w:rsid w:val="00096EAB"/>
    <w:rsid w:val="00097F36"/>
    <w:rsid w:val="00097FD1"/>
    <w:rsid w:val="000A0850"/>
    <w:rsid w:val="000A08B0"/>
    <w:rsid w:val="000A1BC0"/>
    <w:rsid w:val="000A2D6C"/>
    <w:rsid w:val="000A2F9E"/>
    <w:rsid w:val="000A3E47"/>
    <w:rsid w:val="000A4A48"/>
    <w:rsid w:val="000A522B"/>
    <w:rsid w:val="000A52BF"/>
    <w:rsid w:val="000A6039"/>
    <w:rsid w:val="000A6A02"/>
    <w:rsid w:val="000A7453"/>
    <w:rsid w:val="000A7D08"/>
    <w:rsid w:val="000B00FB"/>
    <w:rsid w:val="000B0121"/>
    <w:rsid w:val="000B0670"/>
    <w:rsid w:val="000B0B7C"/>
    <w:rsid w:val="000B0C8B"/>
    <w:rsid w:val="000B0E75"/>
    <w:rsid w:val="000B193B"/>
    <w:rsid w:val="000B19A2"/>
    <w:rsid w:val="000B1AAB"/>
    <w:rsid w:val="000B2DCB"/>
    <w:rsid w:val="000B3D9F"/>
    <w:rsid w:val="000B4FAF"/>
    <w:rsid w:val="000B5407"/>
    <w:rsid w:val="000B56D9"/>
    <w:rsid w:val="000B5CE0"/>
    <w:rsid w:val="000B5EC9"/>
    <w:rsid w:val="000B6896"/>
    <w:rsid w:val="000B6AE5"/>
    <w:rsid w:val="000B6CAC"/>
    <w:rsid w:val="000B7612"/>
    <w:rsid w:val="000B78AE"/>
    <w:rsid w:val="000B7D75"/>
    <w:rsid w:val="000C0206"/>
    <w:rsid w:val="000C2141"/>
    <w:rsid w:val="000C2567"/>
    <w:rsid w:val="000C28B6"/>
    <w:rsid w:val="000C39FB"/>
    <w:rsid w:val="000C3DF9"/>
    <w:rsid w:val="000C4CF2"/>
    <w:rsid w:val="000C53D1"/>
    <w:rsid w:val="000C5DE8"/>
    <w:rsid w:val="000C6713"/>
    <w:rsid w:val="000C71E2"/>
    <w:rsid w:val="000D0BE3"/>
    <w:rsid w:val="000D0F77"/>
    <w:rsid w:val="000D1A8B"/>
    <w:rsid w:val="000D1BFC"/>
    <w:rsid w:val="000D1D5D"/>
    <w:rsid w:val="000D22DF"/>
    <w:rsid w:val="000D25AB"/>
    <w:rsid w:val="000D2738"/>
    <w:rsid w:val="000D281A"/>
    <w:rsid w:val="000D2848"/>
    <w:rsid w:val="000D297E"/>
    <w:rsid w:val="000D326A"/>
    <w:rsid w:val="000D3650"/>
    <w:rsid w:val="000D39E0"/>
    <w:rsid w:val="000D3D6D"/>
    <w:rsid w:val="000D45ED"/>
    <w:rsid w:val="000D4FD0"/>
    <w:rsid w:val="000D51FA"/>
    <w:rsid w:val="000D51FB"/>
    <w:rsid w:val="000D5F9E"/>
    <w:rsid w:val="000D607C"/>
    <w:rsid w:val="000D7545"/>
    <w:rsid w:val="000D76F2"/>
    <w:rsid w:val="000D7DE5"/>
    <w:rsid w:val="000D7F49"/>
    <w:rsid w:val="000E0607"/>
    <w:rsid w:val="000E0640"/>
    <w:rsid w:val="000E0C15"/>
    <w:rsid w:val="000E135D"/>
    <w:rsid w:val="000E22EB"/>
    <w:rsid w:val="000E32BC"/>
    <w:rsid w:val="000E41E6"/>
    <w:rsid w:val="000E53F9"/>
    <w:rsid w:val="000E574B"/>
    <w:rsid w:val="000E595A"/>
    <w:rsid w:val="000E6096"/>
    <w:rsid w:val="000E6602"/>
    <w:rsid w:val="000E719D"/>
    <w:rsid w:val="000E7259"/>
    <w:rsid w:val="000E7645"/>
    <w:rsid w:val="000F00BA"/>
    <w:rsid w:val="000F0339"/>
    <w:rsid w:val="000F05C8"/>
    <w:rsid w:val="000F0ED4"/>
    <w:rsid w:val="000F122A"/>
    <w:rsid w:val="000F13EF"/>
    <w:rsid w:val="000F160B"/>
    <w:rsid w:val="000F1F6E"/>
    <w:rsid w:val="000F2360"/>
    <w:rsid w:val="000F316A"/>
    <w:rsid w:val="000F3C74"/>
    <w:rsid w:val="000F42D7"/>
    <w:rsid w:val="000F42F9"/>
    <w:rsid w:val="000F4BB8"/>
    <w:rsid w:val="000F4FA9"/>
    <w:rsid w:val="000F53FB"/>
    <w:rsid w:val="000F604A"/>
    <w:rsid w:val="000F626F"/>
    <w:rsid w:val="000F69AC"/>
    <w:rsid w:val="000F7127"/>
    <w:rsid w:val="000F7B54"/>
    <w:rsid w:val="000F7E6C"/>
    <w:rsid w:val="001000B3"/>
    <w:rsid w:val="00100F8A"/>
    <w:rsid w:val="0010136A"/>
    <w:rsid w:val="00102AD7"/>
    <w:rsid w:val="00103555"/>
    <w:rsid w:val="00103F0C"/>
    <w:rsid w:val="0010452E"/>
    <w:rsid w:val="00104C79"/>
    <w:rsid w:val="001058CA"/>
    <w:rsid w:val="00105A5D"/>
    <w:rsid w:val="00105AE2"/>
    <w:rsid w:val="00105C99"/>
    <w:rsid w:val="00105FAF"/>
    <w:rsid w:val="001060C6"/>
    <w:rsid w:val="001065AA"/>
    <w:rsid w:val="001065EE"/>
    <w:rsid w:val="0010676E"/>
    <w:rsid w:val="00106B80"/>
    <w:rsid w:val="00106E59"/>
    <w:rsid w:val="00107A1B"/>
    <w:rsid w:val="0011032E"/>
    <w:rsid w:val="001108C3"/>
    <w:rsid w:val="001111D0"/>
    <w:rsid w:val="00111245"/>
    <w:rsid w:val="001112A3"/>
    <w:rsid w:val="00112310"/>
    <w:rsid w:val="001123E3"/>
    <w:rsid w:val="0011348B"/>
    <w:rsid w:val="00113AE7"/>
    <w:rsid w:val="00114BCF"/>
    <w:rsid w:val="00115982"/>
    <w:rsid w:val="00115BE5"/>
    <w:rsid w:val="00115F35"/>
    <w:rsid w:val="00116C53"/>
    <w:rsid w:val="00117591"/>
    <w:rsid w:val="00120DA5"/>
    <w:rsid w:val="00121252"/>
    <w:rsid w:val="001213A0"/>
    <w:rsid w:val="00121799"/>
    <w:rsid w:val="00121B17"/>
    <w:rsid w:val="001222FC"/>
    <w:rsid w:val="00122424"/>
    <w:rsid w:val="001224D1"/>
    <w:rsid w:val="001229F2"/>
    <w:rsid w:val="00122AB6"/>
    <w:rsid w:val="00123902"/>
    <w:rsid w:val="001247BA"/>
    <w:rsid w:val="00124A51"/>
    <w:rsid w:val="00126621"/>
    <w:rsid w:val="00126B07"/>
    <w:rsid w:val="00126B1D"/>
    <w:rsid w:val="00126B72"/>
    <w:rsid w:val="001272D6"/>
    <w:rsid w:val="00127E81"/>
    <w:rsid w:val="001301E9"/>
    <w:rsid w:val="00130A75"/>
    <w:rsid w:val="001317A5"/>
    <w:rsid w:val="00131C8C"/>
    <w:rsid w:val="00131D4D"/>
    <w:rsid w:val="00131D82"/>
    <w:rsid w:val="001323FD"/>
    <w:rsid w:val="0013241E"/>
    <w:rsid w:val="00132B22"/>
    <w:rsid w:val="00132C3B"/>
    <w:rsid w:val="0013349D"/>
    <w:rsid w:val="001334F9"/>
    <w:rsid w:val="00133D36"/>
    <w:rsid w:val="0013416C"/>
    <w:rsid w:val="001341BF"/>
    <w:rsid w:val="00134C7D"/>
    <w:rsid w:val="001350DD"/>
    <w:rsid w:val="001359BB"/>
    <w:rsid w:val="00135C13"/>
    <w:rsid w:val="00135DCD"/>
    <w:rsid w:val="0013634F"/>
    <w:rsid w:val="00136EED"/>
    <w:rsid w:val="00137645"/>
    <w:rsid w:val="00137808"/>
    <w:rsid w:val="0013784D"/>
    <w:rsid w:val="00137DB8"/>
    <w:rsid w:val="00140145"/>
    <w:rsid w:val="0014015A"/>
    <w:rsid w:val="0014019C"/>
    <w:rsid w:val="00140721"/>
    <w:rsid w:val="00140A7A"/>
    <w:rsid w:val="00140E99"/>
    <w:rsid w:val="001414E8"/>
    <w:rsid w:val="00142346"/>
    <w:rsid w:val="00143F67"/>
    <w:rsid w:val="00144663"/>
    <w:rsid w:val="00144A9F"/>
    <w:rsid w:val="00145234"/>
    <w:rsid w:val="001453B4"/>
    <w:rsid w:val="00145540"/>
    <w:rsid w:val="001456B0"/>
    <w:rsid w:val="00150120"/>
    <w:rsid w:val="001512EE"/>
    <w:rsid w:val="001523B9"/>
    <w:rsid w:val="0015369B"/>
    <w:rsid w:val="00153CFE"/>
    <w:rsid w:val="00153FC2"/>
    <w:rsid w:val="001547AB"/>
    <w:rsid w:val="00154933"/>
    <w:rsid w:val="0015517B"/>
    <w:rsid w:val="00155D29"/>
    <w:rsid w:val="00156256"/>
    <w:rsid w:val="001564CC"/>
    <w:rsid w:val="00156F8F"/>
    <w:rsid w:val="00157130"/>
    <w:rsid w:val="001573EA"/>
    <w:rsid w:val="001576B1"/>
    <w:rsid w:val="001579AE"/>
    <w:rsid w:val="00160307"/>
    <w:rsid w:val="0016047B"/>
    <w:rsid w:val="00160A4C"/>
    <w:rsid w:val="00160C6C"/>
    <w:rsid w:val="00161F03"/>
    <w:rsid w:val="0016209E"/>
    <w:rsid w:val="0016238E"/>
    <w:rsid w:val="00162913"/>
    <w:rsid w:val="00162FAA"/>
    <w:rsid w:val="001635FD"/>
    <w:rsid w:val="00163EFF"/>
    <w:rsid w:val="00163F66"/>
    <w:rsid w:val="0016427D"/>
    <w:rsid w:val="0016478E"/>
    <w:rsid w:val="00164D36"/>
    <w:rsid w:val="00164F0C"/>
    <w:rsid w:val="00165244"/>
    <w:rsid w:val="00165DAD"/>
    <w:rsid w:val="00165EC4"/>
    <w:rsid w:val="00165EFA"/>
    <w:rsid w:val="001661FB"/>
    <w:rsid w:val="00166B97"/>
    <w:rsid w:val="00166D4C"/>
    <w:rsid w:val="0016706E"/>
    <w:rsid w:val="001671A0"/>
    <w:rsid w:val="001671EC"/>
    <w:rsid w:val="0016767F"/>
    <w:rsid w:val="00167F4B"/>
    <w:rsid w:val="00170A28"/>
    <w:rsid w:val="00170A7A"/>
    <w:rsid w:val="00172B46"/>
    <w:rsid w:val="00173565"/>
    <w:rsid w:val="00173B07"/>
    <w:rsid w:val="00173F65"/>
    <w:rsid w:val="0017404D"/>
    <w:rsid w:val="001745EA"/>
    <w:rsid w:val="001751FA"/>
    <w:rsid w:val="00175898"/>
    <w:rsid w:val="00176C03"/>
    <w:rsid w:val="0018014A"/>
    <w:rsid w:val="001814CA"/>
    <w:rsid w:val="0018163F"/>
    <w:rsid w:val="00181C10"/>
    <w:rsid w:val="00181D9C"/>
    <w:rsid w:val="001823D8"/>
    <w:rsid w:val="00183563"/>
    <w:rsid w:val="001837FF"/>
    <w:rsid w:val="00183C80"/>
    <w:rsid w:val="00184102"/>
    <w:rsid w:val="00184B0E"/>
    <w:rsid w:val="001852B2"/>
    <w:rsid w:val="0018565A"/>
    <w:rsid w:val="00185675"/>
    <w:rsid w:val="001856EE"/>
    <w:rsid w:val="00185FAF"/>
    <w:rsid w:val="00186629"/>
    <w:rsid w:val="0018752F"/>
    <w:rsid w:val="00187935"/>
    <w:rsid w:val="00190261"/>
    <w:rsid w:val="0019057A"/>
    <w:rsid w:val="001909D4"/>
    <w:rsid w:val="00190FA9"/>
    <w:rsid w:val="00191BE5"/>
    <w:rsid w:val="001922C9"/>
    <w:rsid w:val="001931F5"/>
    <w:rsid w:val="0019347E"/>
    <w:rsid w:val="00193838"/>
    <w:rsid w:val="00193A2A"/>
    <w:rsid w:val="00193DCD"/>
    <w:rsid w:val="00194775"/>
    <w:rsid w:val="00194AD8"/>
    <w:rsid w:val="00195222"/>
    <w:rsid w:val="00195400"/>
    <w:rsid w:val="00195452"/>
    <w:rsid w:val="00195A47"/>
    <w:rsid w:val="0019685A"/>
    <w:rsid w:val="001975D8"/>
    <w:rsid w:val="00197691"/>
    <w:rsid w:val="001A0992"/>
    <w:rsid w:val="001A178E"/>
    <w:rsid w:val="001A17A7"/>
    <w:rsid w:val="001A17FB"/>
    <w:rsid w:val="001A191D"/>
    <w:rsid w:val="001A2087"/>
    <w:rsid w:val="001A21E9"/>
    <w:rsid w:val="001A2394"/>
    <w:rsid w:val="001A35FD"/>
    <w:rsid w:val="001A39E2"/>
    <w:rsid w:val="001A43FA"/>
    <w:rsid w:val="001A47C5"/>
    <w:rsid w:val="001A4EAA"/>
    <w:rsid w:val="001A4FEC"/>
    <w:rsid w:val="001A5554"/>
    <w:rsid w:val="001A59FB"/>
    <w:rsid w:val="001A5E9E"/>
    <w:rsid w:val="001A607E"/>
    <w:rsid w:val="001A607F"/>
    <w:rsid w:val="001A632D"/>
    <w:rsid w:val="001A6354"/>
    <w:rsid w:val="001A6366"/>
    <w:rsid w:val="001A6F82"/>
    <w:rsid w:val="001A7914"/>
    <w:rsid w:val="001A7AE8"/>
    <w:rsid w:val="001A7AEB"/>
    <w:rsid w:val="001A7F43"/>
    <w:rsid w:val="001B204E"/>
    <w:rsid w:val="001B2372"/>
    <w:rsid w:val="001B2B02"/>
    <w:rsid w:val="001B2C62"/>
    <w:rsid w:val="001B3443"/>
    <w:rsid w:val="001B3854"/>
    <w:rsid w:val="001B3937"/>
    <w:rsid w:val="001B40A3"/>
    <w:rsid w:val="001B4D20"/>
    <w:rsid w:val="001B501E"/>
    <w:rsid w:val="001B5A84"/>
    <w:rsid w:val="001B68D6"/>
    <w:rsid w:val="001B7190"/>
    <w:rsid w:val="001B7F84"/>
    <w:rsid w:val="001C04E6"/>
    <w:rsid w:val="001C068B"/>
    <w:rsid w:val="001C0C40"/>
    <w:rsid w:val="001C1709"/>
    <w:rsid w:val="001C1FEF"/>
    <w:rsid w:val="001C2A9B"/>
    <w:rsid w:val="001C32F0"/>
    <w:rsid w:val="001C3DD6"/>
    <w:rsid w:val="001C4062"/>
    <w:rsid w:val="001C4299"/>
    <w:rsid w:val="001C47DE"/>
    <w:rsid w:val="001C4874"/>
    <w:rsid w:val="001C4CEC"/>
    <w:rsid w:val="001C5DFF"/>
    <w:rsid w:val="001C5F94"/>
    <w:rsid w:val="001C61F6"/>
    <w:rsid w:val="001C6732"/>
    <w:rsid w:val="001C689E"/>
    <w:rsid w:val="001C6A5A"/>
    <w:rsid w:val="001C6C4E"/>
    <w:rsid w:val="001C6E66"/>
    <w:rsid w:val="001C7495"/>
    <w:rsid w:val="001D0946"/>
    <w:rsid w:val="001D1100"/>
    <w:rsid w:val="001D1391"/>
    <w:rsid w:val="001D176B"/>
    <w:rsid w:val="001D18BE"/>
    <w:rsid w:val="001D1BB2"/>
    <w:rsid w:val="001D1EB9"/>
    <w:rsid w:val="001D1FD1"/>
    <w:rsid w:val="001D25D7"/>
    <w:rsid w:val="001D28BC"/>
    <w:rsid w:val="001D3233"/>
    <w:rsid w:val="001D3402"/>
    <w:rsid w:val="001D3C27"/>
    <w:rsid w:val="001D4004"/>
    <w:rsid w:val="001D4753"/>
    <w:rsid w:val="001D50B2"/>
    <w:rsid w:val="001D5366"/>
    <w:rsid w:val="001D565E"/>
    <w:rsid w:val="001D61C4"/>
    <w:rsid w:val="001D62F5"/>
    <w:rsid w:val="001D71F4"/>
    <w:rsid w:val="001D7645"/>
    <w:rsid w:val="001E09FC"/>
    <w:rsid w:val="001E0CDC"/>
    <w:rsid w:val="001E182F"/>
    <w:rsid w:val="001E1E86"/>
    <w:rsid w:val="001E238E"/>
    <w:rsid w:val="001E23BC"/>
    <w:rsid w:val="001E2483"/>
    <w:rsid w:val="001E275F"/>
    <w:rsid w:val="001E2B1E"/>
    <w:rsid w:val="001E2CFF"/>
    <w:rsid w:val="001E2F24"/>
    <w:rsid w:val="001E30D4"/>
    <w:rsid w:val="001E32BE"/>
    <w:rsid w:val="001E34DF"/>
    <w:rsid w:val="001E365E"/>
    <w:rsid w:val="001E3E95"/>
    <w:rsid w:val="001E45A8"/>
    <w:rsid w:val="001E48A7"/>
    <w:rsid w:val="001E490B"/>
    <w:rsid w:val="001E4ED4"/>
    <w:rsid w:val="001E52EB"/>
    <w:rsid w:val="001E5C02"/>
    <w:rsid w:val="001E61D2"/>
    <w:rsid w:val="001E7009"/>
    <w:rsid w:val="001E70FE"/>
    <w:rsid w:val="001E740C"/>
    <w:rsid w:val="001E7C56"/>
    <w:rsid w:val="001F02F9"/>
    <w:rsid w:val="001F046B"/>
    <w:rsid w:val="001F0C38"/>
    <w:rsid w:val="001F1235"/>
    <w:rsid w:val="001F1C22"/>
    <w:rsid w:val="001F1CB3"/>
    <w:rsid w:val="001F28C8"/>
    <w:rsid w:val="001F2BF1"/>
    <w:rsid w:val="001F2FF2"/>
    <w:rsid w:val="001F379F"/>
    <w:rsid w:val="001F38B5"/>
    <w:rsid w:val="001F3CEA"/>
    <w:rsid w:val="001F4081"/>
    <w:rsid w:val="001F432A"/>
    <w:rsid w:val="001F4FA1"/>
    <w:rsid w:val="001F6762"/>
    <w:rsid w:val="001F707F"/>
    <w:rsid w:val="001F7361"/>
    <w:rsid w:val="001F7561"/>
    <w:rsid w:val="00200E36"/>
    <w:rsid w:val="00201030"/>
    <w:rsid w:val="002011B0"/>
    <w:rsid w:val="00201FD1"/>
    <w:rsid w:val="00203181"/>
    <w:rsid w:val="00203783"/>
    <w:rsid w:val="0020385F"/>
    <w:rsid w:val="00203956"/>
    <w:rsid w:val="00203CEE"/>
    <w:rsid w:val="00204107"/>
    <w:rsid w:val="002045DE"/>
    <w:rsid w:val="00205377"/>
    <w:rsid w:val="00205689"/>
    <w:rsid w:val="00205975"/>
    <w:rsid w:val="00205BD0"/>
    <w:rsid w:val="00206809"/>
    <w:rsid w:val="002068A0"/>
    <w:rsid w:val="00207021"/>
    <w:rsid w:val="0020709C"/>
    <w:rsid w:val="0020732F"/>
    <w:rsid w:val="00207D00"/>
    <w:rsid w:val="002101B2"/>
    <w:rsid w:val="002105C1"/>
    <w:rsid w:val="002113BD"/>
    <w:rsid w:val="002116FD"/>
    <w:rsid w:val="002122EC"/>
    <w:rsid w:val="00212BAD"/>
    <w:rsid w:val="002133EA"/>
    <w:rsid w:val="00213976"/>
    <w:rsid w:val="00213C47"/>
    <w:rsid w:val="00213D49"/>
    <w:rsid w:val="00213EF5"/>
    <w:rsid w:val="002143C0"/>
    <w:rsid w:val="00214EF4"/>
    <w:rsid w:val="00215231"/>
    <w:rsid w:val="00216BF5"/>
    <w:rsid w:val="00216E74"/>
    <w:rsid w:val="00220A5B"/>
    <w:rsid w:val="00221B6E"/>
    <w:rsid w:val="00222F00"/>
    <w:rsid w:val="0022347E"/>
    <w:rsid w:val="00223B49"/>
    <w:rsid w:val="00223D5A"/>
    <w:rsid w:val="002245DC"/>
    <w:rsid w:val="00224DD4"/>
    <w:rsid w:val="00225193"/>
    <w:rsid w:val="0022596E"/>
    <w:rsid w:val="00225E19"/>
    <w:rsid w:val="00226C2A"/>
    <w:rsid w:val="00226EA3"/>
    <w:rsid w:val="002278A0"/>
    <w:rsid w:val="00227D4B"/>
    <w:rsid w:val="00227D82"/>
    <w:rsid w:val="00230454"/>
    <w:rsid w:val="002304E5"/>
    <w:rsid w:val="002309CC"/>
    <w:rsid w:val="00231BA9"/>
    <w:rsid w:val="0023209F"/>
    <w:rsid w:val="00232233"/>
    <w:rsid w:val="002325F7"/>
    <w:rsid w:val="00232739"/>
    <w:rsid w:val="00232B47"/>
    <w:rsid w:val="00232F2E"/>
    <w:rsid w:val="00233B0D"/>
    <w:rsid w:val="00233C01"/>
    <w:rsid w:val="0023413C"/>
    <w:rsid w:val="00234407"/>
    <w:rsid w:val="002346BB"/>
    <w:rsid w:val="002346F0"/>
    <w:rsid w:val="0023629D"/>
    <w:rsid w:val="00236EF9"/>
    <w:rsid w:val="00237255"/>
    <w:rsid w:val="002373FA"/>
    <w:rsid w:val="00240317"/>
    <w:rsid w:val="00240A20"/>
    <w:rsid w:val="00240BB4"/>
    <w:rsid w:val="0024126A"/>
    <w:rsid w:val="00241310"/>
    <w:rsid w:val="002424AF"/>
    <w:rsid w:val="002439DC"/>
    <w:rsid w:val="002441D2"/>
    <w:rsid w:val="00244DC8"/>
    <w:rsid w:val="00244FC6"/>
    <w:rsid w:val="002451AA"/>
    <w:rsid w:val="002458BA"/>
    <w:rsid w:val="00245A14"/>
    <w:rsid w:val="00245CE9"/>
    <w:rsid w:val="0024636C"/>
    <w:rsid w:val="00247639"/>
    <w:rsid w:val="00247925"/>
    <w:rsid w:val="00250EC4"/>
    <w:rsid w:val="00251006"/>
    <w:rsid w:val="002511E7"/>
    <w:rsid w:val="00251842"/>
    <w:rsid w:val="002523DA"/>
    <w:rsid w:val="002524D5"/>
    <w:rsid w:val="002535FF"/>
    <w:rsid w:val="002539A5"/>
    <w:rsid w:val="00253B1D"/>
    <w:rsid w:val="00253DE6"/>
    <w:rsid w:val="002542E0"/>
    <w:rsid w:val="00254DCF"/>
    <w:rsid w:val="0025534B"/>
    <w:rsid w:val="00255359"/>
    <w:rsid w:val="002554CF"/>
    <w:rsid w:val="002554E5"/>
    <w:rsid w:val="00255BB7"/>
    <w:rsid w:val="00255CB2"/>
    <w:rsid w:val="00255DB9"/>
    <w:rsid w:val="00256508"/>
    <w:rsid w:val="00257030"/>
    <w:rsid w:val="00257541"/>
    <w:rsid w:val="00257A39"/>
    <w:rsid w:val="00257AC4"/>
    <w:rsid w:val="00257B9F"/>
    <w:rsid w:val="00257BBE"/>
    <w:rsid w:val="00260465"/>
    <w:rsid w:val="00260E93"/>
    <w:rsid w:val="00261AF1"/>
    <w:rsid w:val="00261E67"/>
    <w:rsid w:val="00261EEF"/>
    <w:rsid w:val="00262872"/>
    <w:rsid w:val="00262A1A"/>
    <w:rsid w:val="00262A87"/>
    <w:rsid w:val="00262CD7"/>
    <w:rsid w:val="00262F6B"/>
    <w:rsid w:val="00262FB4"/>
    <w:rsid w:val="00263394"/>
    <w:rsid w:val="0026347C"/>
    <w:rsid w:val="0026426F"/>
    <w:rsid w:val="00264AEC"/>
    <w:rsid w:val="00264AFE"/>
    <w:rsid w:val="00264D26"/>
    <w:rsid w:val="00265E7C"/>
    <w:rsid w:val="00267617"/>
    <w:rsid w:val="00267642"/>
    <w:rsid w:val="00267AEA"/>
    <w:rsid w:val="00267D33"/>
    <w:rsid w:val="00267D9B"/>
    <w:rsid w:val="002700E6"/>
    <w:rsid w:val="00270F0E"/>
    <w:rsid w:val="00271EE0"/>
    <w:rsid w:val="0027294B"/>
    <w:rsid w:val="002737B1"/>
    <w:rsid w:val="00273EB4"/>
    <w:rsid w:val="00273F58"/>
    <w:rsid w:val="00274050"/>
    <w:rsid w:val="002742AE"/>
    <w:rsid w:val="00274506"/>
    <w:rsid w:val="00274682"/>
    <w:rsid w:val="00275158"/>
    <w:rsid w:val="002759EC"/>
    <w:rsid w:val="00275C5A"/>
    <w:rsid w:val="002760BA"/>
    <w:rsid w:val="00276EBA"/>
    <w:rsid w:val="00276F67"/>
    <w:rsid w:val="00277FF6"/>
    <w:rsid w:val="00280243"/>
    <w:rsid w:val="0028028B"/>
    <w:rsid w:val="002805A0"/>
    <w:rsid w:val="00281014"/>
    <w:rsid w:val="002810A7"/>
    <w:rsid w:val="002817F7"/>
    <w:rsid w:val="00281A65"/>
    <w:rsid w:val="002823A0"/>
    <w:rsid w:val="002825C8"/>
    <w:rsid w:val="00282A64"/>
    <w:rsid w:val="002830C2"/>
    <w:rsid w:val="00283DE4"/>
    <w:rsid w:val="00283DE5"/>
    <w:rsid w:val="00284280"/>
    <w:rsid w:val="00285BCE"/>
    <w:rsid w:val="00286311"/>
    <w:rsid w:val="0028665D"/>
    <w:rsid w:val="002868FE"/>
    <w:rsid w:val="00286CD8"/>
    <w:rsid w:val="00286E68"/>
    <w:rsid w:val="00287144"/>
    <w:rsid w:val="002900B9"/>
    <w:rsid w:val="002918EB"/>
    <w:rsid w:val="00292E62"/>
    <w:rsid w:val="00293C61"/>
    <w:rsid w:val="00294AA1"/>
    <w:rsid w:val="00295666"/>
    <w:rsid w:val="0029570F"/>
    <w:rsid w:val="002965F2"/>
    <w:rsid w:val="0029734E"/>
    <w:rsid w:val="002A0184"/>
    <w:rsid w:val="002A1007"/>
    <w:rsid w:val="002A1180"/>
    <w:rsid w:val="002A14AB"/>
    <w:rsid w:val="002A1DC9"/>
    <w:rsid w:val="002A1DCC"/>
    <w:rsid w:val="002A2ADE"/>
    <w:rsid w:val="002A2F50"/>
    <w:rsid w:val="002A34A7"/>
    <w:rsid w:val="002A3C8B"/>
    <w:rsid w:val="002A5353"/>
    <w:rsid w:val="002A604D"/>
    <w:rsid w:val="002A6154"/>
    <w:rsid w:val="002A6551"/>
    <w:rsid w:val="002A6994"/>
    <w:rsid w:val="002A7943"/>
    <w:rsid w:val="002B01E6"/>
    <w:rsid w:val="002B05A1"/>
    <w:rsid w:val="002B09A4"/>
    <w:rsid w:val="002B133B"/>
    <w:rsid w:val="002B1B42"/>
    <w:rsid w:val="002B1C1F"/>
    <w:rsid w:val="002B1DC4"/>
    <w:rsid w:val="002B26FB"/>
    <w:rsid w:val="002B2E4F"/>
    <w:rsid w:val="002B3A18"/>
    <w:rsid w:val="002B432F"/>
    <w:rsid w:val="002B4BF7"/>
    <w:rsid w:val="002B4C8A"/>
    <w:rsid w:val="002B58AC"/>
    <w:rsid w:val="002B5F8E"/>
    <w:rsid w:val="002B62B3"/>
    <w:rsid w:val="002B6376"/>
    <w:rsid w:val="002B650D"/>
    <w:rsid w:val="002B6754"/>
    <w:rsid w:val="002B6B42"/>
    <w:rsid w:val="002B6CCE"/>
    <w:rsid w:val="002B6FC3"/>
    <w:rsid w:val="002B7A18"/>
    <w:rsid w:val="002C19D6"/>
    <w:rsid w:val="002C20D3"/>
    <w:rsid w:val="002C2510"/>
    <w:rsid w:val="002C258F"/>
    <w:rsid w:val="002C2775"/>
    <w:rsid w:val="002C27C1"/>
    <w:rsid w:val="002C2B5F"/>
    <w:rsid w:val="002C2C06"/>
    <w:rsid w:val="002C2EB1"/>
    <w:rsid w:val="002C3343"/>
    <w:rsid w:val="002C36E3"/>
    <w:rsid w:val="002C4257"/>
    <w:rsid w:val="002C4446"/>
    <w:rsid w:val="002C4DED"/>
    <w:rsid w:val="002C5099"/>
    <w:rsid w:val="002C5889"/>
    <w:rsid w:val="002C692C"/>
    <w:rsid w:val="002C71CE"/>
    <w:rsid w:val="002D061D"/>
    <w:rsid w:val="002D08F8"/>
    <w:rsid w:val="002D0FD9"/>
    <w:rsid w:val="002D11A2"/>
    <w:rsid w:val="002D158B"/>
    <w:rsid w:val="002D2308"/>
    <w:rsid w:val="002D34C2"/>
    <w:rsid w:val="002D43D6"/>
    <w:rsid w:val="002D4431"/>
    <w:rsid w:val="002D4BF6"/>
    <w:rsid w:val="002D5043"/>
    <w:rsid w:val="002D577C"/>
    <w:rsid w:val="002D5B0F"/>
    <w:rsid w:val="002D5FE0"/>
    <w:rsid w:val="002D6BCC"/>
    <w:rsid w:val="002D726B"/>
    <w:rsid w:val="002D7832"/>
    <w:rsid w:val="002E00D4"/>
    <w:rsid w:val="002E0294"/>
    <w:rsid w:val="002E0CE3"/>
    <w:rsid w:val="002E0E37"/>
    <w:rsid w:val="002E0FB1"/>
    <w:rsid w:val="002E1071"/>
    <w:rsid w:val="002E15B9"/>
    <w:rsid w:val="002E18F4"/>
    <w:rsid w:val="002E2158"/>
    <w:rsid w:val="002E27B4"/>
    <w:rsid w:val="002E37D0"/>
    <w:rsid w:val="002E3B92"/>
    <w:rsid w:val="002E4606"/>
    <w:rsid w:val="002E49B0"/>
    <w:rsid w:val="002E4F02"/>
    <w:rsid w:val="002E504A"/>
    <w:rsid w:val="002E70C9"/>
    <w:rsid w:val="002E7722"/>
    <w:rsid w:val="002E7929"/>
    <w:rsid w:val="002F07BA"/>
    <w:rsid w:val="002F0874"/>
    <w:rsid w:val="002F0C63"/>
    <w:rsid w:val="002F0DA9"/>
    <w:rsid w:val="002F1014"/>
    <w:rsid w:val="002F1913"/>
    <w:rsid w:val="002F1E3B"/>
    <w:rsid w:val="002F2049"/>
    <w:rsid w:val="002F2348"/>
    <w:rsid w:val="002F2405"/>
    <w:rsid w:val="002F2459"/>
    <w:rsid w:val="002F2B42"/>
    <w:rsid w:val="002F3519"/>
    <w:rsid w:val="002F3D27"/>
    <w:rsid w:val="002F5955"/>
    <w:rsid w:val="002F5EC4"/>
    <w:rsid w:val="002F627A"/>
    <w:rsid w:val="002F643C"/>
    <w:rsid w:val="002F67A4"/>
    <w:rsid w:val="002F6A03"/>
    <w:rsid w:val="002F71C0"/>
    <w:rsid w:val="002F74F1"/>
    <w:rsid w:val="002F786A"/>
    <w:rsid w:val="00301017"/>
    <w:rsid w:val="0030155F"/>
    <w:rsid w:val="003017C7"/>
    <w:rsid w:val="00302ACD"/>
    <w:rsid w:val="003042DB"/>
    <w:rsid w:val="0030587B"/>
    <w:rsid w:val="00305A41"/>
    <w:rsid w:val="00305B31"/>
    <w:rsid w:val="00305EED"/>
    <w:rsid w:val="00306B55"/>
    <w:rsid w:val="00306D98"/>
    <w:rsid w:val="003073B3"/>
    <w:rsid w:val="003073EC"/>
    <w:rsid w:val="003073F0"/>
    <w:rsid w:val="0030786C"/>
    <w:rsid w:val="0031031A"/>
    <w:rsid w:val="003104D2"/>
    <w:rsid w:val="003106DF"/>
    <w:rsid w:val="00310981"/>
    <w:rsid w:val="003117D0"/>
    <w:rsid w:val="00311A66"/>
    <w:rsid w:val="00311B34"/>
    <w:rsid w:val="00311B7E"/>
    <w:rsid w:val="00311D9B"/>
    <w:rsid w:val="00311DA1"/>
    <w:rsid w:val="003124CE"/>
    <w:rsid w:val="003124D9"/>
    <w:rsid w:val="00312594"/>
    <w:rsid w:val="0031284F"/>
    <w:rsid w:val="003134F1"/>
    <w:rsid w:val="00313522"/>
    <w:rsid w:val="00314452"/>
    <w:rsid w:val="003148A9"/>
    <w:rsid w:val="00315498"/>
    <w:rsid w:val="00316474"/>
    <w:rsid w:val="0031703D"/>
    <w:rsid w:val="00317158"/>
    <w:rsid w:val="003171C7"/>
    <w:rsid w:val="00317A80"/>
    <w:rsid w:val="0032055A"/>
    <w:rsid w:val="003207D1"/>
    <w:rsid w:val="003207FA"/>
    <w:rsid w:val="00320BA2"/>
    <w:rsid w:val="003211CA"/>
    <w:rsid w:val="00322107"/>
    <w:rsid w:val="00322355"/>
    <w:rsid w:val="003223C3"/>
    <w:rsid w:val="00322846"/>
    <w:rsid w:val="00323F31"/>
    <w:rsid w:val="00325555"/>
    <w:rsid w:val="00325847"/>
    <w:rsid w:val="00325EA1"/>
    <w:rsid w:val="0032623D"/>
    <w:rsid w:val="00326296"/>
    <w:rsid w:val="00326DA7"/>
    <w:rsid w:val="003270E4"/>
    <w:rsid w:val="0032729A"/>
    <w:rsid w:val="003273B4"/>
    <w:rsid w:val="00327B25"/>
    <w:rsid w:val="00330DAA"/>
    <w:rsid w:val="00330F5C"/>
    <w:rsid w:val="0033102D"/>
    <w:rsid w:val="00331165"/>
    <w:rsid w:val="00331973"/>
    <w:rsid w:val="00331979"/>
    <w:rsid w:val="00332337"/>
    <w:rsid w:val="0033288C"/>
    <w:rsid w:val="00332AEB"/>
    <w:rsid w:val="00333D58"/>
    <w:rsid w:val="00334143"/>
    <w:rsid w:val="0033466B"/>
    <w:rsid w:val="0033486C"/>
    <w:rsid w:val="003350A9"/>
    <w:rsid w:val="003350AD"/>
    <w:rsid w:val="00335263"/>
    <w:rsid w:val="00336385"/>
    <w:rsid w:val="003366C9"/>
    <w:rsid w:val="00336FC9"/>
    <w:rsid w:val="003371B0"/>
    <w:rsid w:val="00337B8E"/>
    <w:rsid w:val="00337F6F"/>
    <w:rsid w:val="00340BEE"/>
    <w:rsid w:val="00340DF1"/>
    <w:rsid w:val="003413C9"/>
    <w:rsid w:val="0034163E"/>
    <w:rsid w:val="00341E26"/>
    <w:rsid w:val="003422D4"/>
    <w:rsid w:val="00342666"/>
    <w:rsid w:val="0034375A"/>
    <w:rsid w:val="00344344"/>
    <w:rsid w:val="00344683"/>
    <w:rsid w:val="00344B8D"/>
    <w:rsid w:val="00345555"/>
    <w:rsid w:val="00345967"/>
    <w:rsid w:val="003460C2"/>
    <w:rsid w:val="0034634D"/>
    <w:rsid w:val="003465E8"/>
    <w:rsid w:val="00347BDD"/>
    <w:rsid w:val="00347CF8"/>
    <w:rsid w:val="00347D72"/>
    <w:rsid w:val="00350B6C"/>
    <w:rsid w:val="003517F9"/>
    <w:rsid w:val="00351A7B"/>
    <w:rsid w:val="00351BA9"/>
    <w:rsid w:val="00353126"/>
    <w:rsid w:val="00353492"/>
    <w:rsid w:val="00353E58"/>
    <w:rsid w:val="0035452E"/>
    <w:rsid w:val="0035479B"/>
    <w:rsid w:val="00354F64"/>
    <w:rsid w:val="0035518C"/>
    <w:rsid w:val="00355497"/>
    <w:rsid w:val="00355CC9"/>
    <w:rsid w:val="00355E66"/>
    <w:rsid w:val="0035614D"/>
    <w:rsid w:val="0035620E"/>
    <w:rsid w:val="003566FB"/>
    <w:rsid w:val="00356FB2"/>
    <w:rsid w:val="003571AE"/>
    <w:rsid w:val="003571D9"/>
    <w:rsid w:val="003575BE"/>
    <w:rsid w:val="00357B99"/>
    <w:rsid w:val="00360345"/>
    <w:rsid w:val="0036041B"/>
    <w:rsid w:val="00360D50"/>
    <w:rsid w:val="00361287"/>
    <w:rsid w:val="00361A05"/>
    <w:rsid w:val="003624C4"/>
    <w:rsid w:val="0036393C"/>
    <w:rsid w:val="00363984"/>
    <w:rsid w:val="00363B00"/>
    <w:rsid w:val="00363E0C"/>
    <w:rsid w:val="00364365"/>
    <w:rsid w:val="003643A5"/>
    <w:rsid w:val="003654AC"/>
    <w:rsid w:val="003656C8"/>
    <w:rsid w:val="00367522"/>
    <w:rsid w:val="00367C9C"/>
    <w:rsid w:val="0037076E"/>
    <w:rsid w:val="0037106A"/>
    <w:rsid w:val="003710CF"/>
    <w:rsid w:val="00371459"/>
    <w:rsid w:val="0037264A"/>
    <w:rsid w:val="0037358A"/>
    <w:rsid w:val="00374438"/>
    <w:rsid w:val="00374448"/>
    <w:rsid w:val="0037454C"/>
    <w:rsid w:val="003747B0"/>
    <w:rsid w:val="0037509D"/>
    <w:rsid w:val="003750BB"/>
    <w:rsid w:val="003750F6"/>
    <w:rsid w:val="003757EC"/>
    <w:rsid w:val="003760FC"/>
    <w:rsid w:val="00376160"/>
    <w:rsid w:val="00376983"/>
    <w:rsid w:val="00376ADC"/>
    <w:rsid w:val="00376C38"/>
    <w:rsid w:val="0037771D"/>
    <w:rsid w:val="003777FC"/>
    <w:rsid w:val="0038078C"/>
    <w:rsid w:val="00381C13"/>
    <w:rsid w:val="00381D23"/>
    <w:rsid w:val="00382A54"/>
    <w:rsid w:val="0038365C"/>
    <w:rsid w:val="0038369B"/>
    <w:rsid w:val="00383B78"/>
    <w:rsid w:val="0038422A"/>
    <w:rsid w:val="00384FBE"/>
    <w:rsid w:val="003856BC"/>
    <w:rsid w:val="003857A0"/>
    <w:rsid w:val="003859B3"/>
    <w:rsid w:val="00385A9D"/>
    <w:rsid w:val="003860B2"/>
    <w:rsid w:val="0038622E"/>
    <w:rsid w:val="00387121"/>
    <w:rsid w:val="0038772E"/>
    <w:rsid w:val="003902B1"/>
    <w:rsid w:val="00390C41"/>
    <w:rsid w:val="00391607"/>
    <w:rsid w:val="0039179C"/>
    <w:rsid w:val="00391C64"/>
    <w:rsid w:val="0039363F"/>
    <w:rsid w:val="00393857"/>
    <w:rsid w:val="0039565A"/>
    <w:rsid w:val="00395ED2"/>
    <w:rsid w:val="003963D3"/>
    <w:rsid w:val="003965BF"/>
    <w:rsid w:val="00396659"/>
    <w:rsid w:val="00396896"/>
    <w:rsid w:val="00396FD0"/>
    <w:rsid w:val="0039735D"/>
    <w:rsid w:val="00397404"/>
    <w:rsid w:val="003978DF"/>
    <w:rsid w:val="003A01A6"/>
    <w:rsid w:val="003A04B5"/>
    <w:rsid w:val="003A0BEC"/>
    <w:rsid w:val="003A0D68"/>
    <w:rsid w:val="003A1324"/>
    <w:rsid w:val="003A16A3"/>
    <w:rsid w:val="003A1A7A"/>
    <w:rsid w:val="003A2392"/>
    <w:rsid w:val="003A2831"/>
    <w:rsid w:val="003A2FBE"/>
    <w:rsid w:val="003A3629"/>
    <w:rsid w:val="003A3CB6"/>
    <w:rsid w:val="003A3ED1"/>
    <w:rsid w:val="003A4161"/>
    <w:rsid w:val="003A44DB"/>
    <w:rsid w:val="003A4927"/>
    <w:rsid w:val="003A4C14"/>
    <w:rsid w:val="003A4D53"/>
    <w:rsid w:val="003A5016"/>
    <w:rsid w:val="003A592E"/>
    <w:rsid w:val="003A5C88"/>
    <w:rsid w:val="003A6177"/>
    <w:rsid w:val="003A6D75"/>
    <w:rsid w:val="003B045B"/>
    <w:rsid w:val="003B09F5"/>
    <w:rsid w:val="003B1B58"/>
    <w:rsid w:val="003B1C5E"/>
    <w:rsid w:val="003B1FC7"/>
    <w:rsid w:val="003B25C5"/>
    <w:rsid w:val="003B2BF2"/>
    <w:rsid w:val="003B307F"/>
    <w:rsid w:val="003B33D3"/>
    <w:rsid w:val="003B3971"/>
    <w:rsid w:val="003B44E7"/>
    <w:rsid w:val="003B4A0C"/>
    <w:rsid w:val="003B4B71"/>
    <w:rsid w:val="003B4C41"/>
    <w:rsid w:val="003B4EC2"/>
    <w:rsid w:val="003B55D1"/>
    <w:rsid w:val="003B569B"/>
    <w:rsid w:val="003B5B61"/>
    <w:rsid w:val="003B5EA4"/>
    <w:rsid w:val="003B6085"/>
    <w:rsid w:val="003B60A3"/>
    <w:rsid w:val="003B6799"/>
    <w:rsid w:val="003B7941"/>
    <w:rsid w:val="003B7DE0"/>
    <w:rsid w:val="003B7E35"/>
    <w:rsid w:val="003C01FE"/>
    <w:rsid w:val="003C0A19"/>
    <w:rsid w:val="003C1331"/>
    <w:rsid w:val="003C1654"/>
    <w:rsid w:val="003C1BE5"/>
    <w:rsid w:val="003C20B5"/>
    <w:rsid w:val="003C292D"/>
    <w:rsid w:val="003C3921"/>
    <w:rsid w:val="003C39DA"/>
    <w:rsid w:val="003C3EF5"/>
    <w:rsid w:val="003C3F51"/>
    <w:rsid w:val="003C4604"/>
    <w:rsid w:val="003C4993"/>
    <w:rsid w:val="003C53A2"/>
    <w:rsid w:val="003C5542"/>
    <w:rsid w:val="003C6552"/>
    <w:rsid w:val="003C7B43"/>
    <w:rsid w:val="003C7C15"/>
    <w:rsid w:val="003C7D19"/>
    <w:rsid w:val="003C7D2F"/>
    <w:rsid w:val="003D0C5A"/>
    <w:rsid w:val="003D1828"/>
    <w:rsid w:val="003D1A43"/>
    <w:rsid w:val="003D1DE4"/>
    <w:rsid w:val="003D1E9A"/>
    <w:rsid w:val="003D20B3"/>
    <w:rsid w:val="003D2422"/>
    <w:rsid w:val="003D2BCD"/>
    <w:rsid w:val="003D39A1"/>
    <w:rsid w:val="003D3FBF"/>
    <w:rsid w:val="003D4074"/>
    <w:rsid w:val="003D4A00"/>
    <w:rsid w:val="003D4A30"/>
    <w:rsid w:val="003D4AEE"/>
    <w:rsid w:val="003D69E0"/>
    <w:rsid w:val="003D7452"/>
    <w:rsid w:val="003D775E"/>
    <w:rsid w:val="003D79BB"/>
    <w:rsid w:val="003D7C98"/>
    <w:rsid w:val="003D7D9D"/>
    <w:rsid w:val="003E0543"/>
    <w:rsid w:val="003E09AA"/>
    <w:rsid w:val="003E2149"/>
    <w:rsid w:val="003E21F3"/>
    <w:rsid w:val="003E2299"/>
    <w:rsid w:val="003E2BBB"/>
    <w:rsid w:val="003E3838"/>
    <w:rsid w:val="003E38A2"/>
    <w:rsid w:val="003E4204"/>
    <w:rsid w:val="003E4F2C"/>
    <w:rsid w:val="003E4FE1"/>
    <w:rsid w:val="003E5603"/>
    <w:rsid w:val="003E67DF"/>
    <w:rsid w:val="003E692E"/>
    <w:rsid w:val="003E749E"/>
    <w:rsid w:val="003E7891"/>
    <w:rsid w:val="003E7C4A"/>
    <w:rsid w:val="003E7CE8"/>
    <w:rsid w:val="003F1BCA"/>
    <w:rsid w:val="003F1D56"/>
    <w:rsid w:val="003F30FC"/>
    <w:rsid w:val="003F3219"/>
    <w:rsid w:val="003F36E9"/>
    <w:rsid w:val="003F38F8"/>
    <w:rsid w:val="003F3D8E"/>
    <w:rsid w:val="003F4156"/>
    <w:rsid w:val="003F44BC"/>
    <w:rsid w:val="003F44EA"/>
    <w:rsid w:val="003F500B"/>
    <w:rsid w:val="003F5475"/>
    <w:rsid w:val="003F5ADF"/>
    <w:rsid w:val="003F6717"/>
    <w:rsid w:val="003F6EF8"/>
    <w:rsid w:val="003F7107"/>
    <w:rsid w:val="003F7848"/>
    <w:rsid w:val="003F7E9E"/>
    <w:rsid w:val="003F7F1E"/>
    <w:rsid w:val="004005D5"/>
    <w:rsid w:val="00400B29"/>
    <w:rsid w:val="00401DD6"/>
    <w:rsid w:val="00401ECA"/>
    <w:rsid w:val="00402812"/>
    <w:rsid w:val="00402A6A"/>
    <w:rsid w:val="0040374D"/>
    <w:rsid w:val="0040504B"/>
    <w:rsid w:val="0040595F"/>
    <w:rsid w:val="004059F4"/>
    <w:rsid w:val="00407421"/>
    <w:rsid w:val="00407C92"/>
    <w:rsid w:val="00407FE5"/>
    <w:rsid w:val="0041011F"/>
    <w:rsid w:val="004101B0"/>
    <w:rsid w:val="00410326"/>
    <w:rsid w:val="004104D1"/>
    <w:rsid w:val="00410708"/>
    <w:rsid w:val="00410EC7"/>
    <w:rsid w:val="00410F58"/>
    <w:rsid w:val="00411B39"/>
    <w:rsid w:val="0041220F"/>
    <w:rsid w:val="004127A7"/>
    <w:rsid w:val="00412BE5"/>
    <w:rsid w:val="00413A1E"/>
    <w:rsid w:val="00413C9C"/>
    <w:rsid w:val="0041415C"/>
    <w:rsid w:val="00414476"/>
    <w:rsid w:val="00414541"/>
    <w:rsid w:val="00414850"/>
    <w:rsid w:val="00414C2E"/>
    <w:rsid w:val="00415022"/>
    <w:rsid w:val="004151CF"/>
    <w:rsid w:val="004154CD"/>
    <w:rsid w:val="0041561D"/>
    <w:rsid w:val="00415900"/>
    <w:rsid w:val="00416364"/>
    <w:rsid w:val="00416A00"/>
    <w:rsid w:val="00417D46"/>
    <w:rsid w:val="0042047F"/>
    <w:rsid w:val="004204C0"/>
    <w:rsid w:val="004205D5"/>
    <w:rsid w:val="00420915"/>
    <w:rsid w:val="00420AA6"/>
    <w:rsid w:val="00420B6B"/>
    <w:rsid w:val="00420B9F"/>
    <w:rsid w:val="0042192C"/>
    <w:rsid w:val="00422260"/>
    <w:rsid w:val="004230BD"/>
    <w:rsid w:val="00423303"/>
    <w:rsid w:val="00423617"/>
    <w:rsid w:val="00423664"/>
    <w:rsid w:val="004238BA"/>
    <w:rsid w:val="00423F0C"/>
    <w:rsid w:val="0042413F"/>
    <w:rsid w:val="0042416D"/>
    <w:rsid w:val="00425684"/>
    <w:rsid w:val="004257F6"/>
    <w:rsid w:val="00425A52"/>
    <w:rsid w:val="00426318"/>
    <w:rsid w:val="00426CEF"/>
    <w:rsid w:val="004272E0"/>
    <w:rsid w:val="00427A15"/>
    <w:rsid w:val="004303D8"/>
    <w:rsid w:val="00430E91"/>
    <w:rsid w:val="004319F8"/>
    <w:rsid w:val="00431E55"/>
    <w:rsid w:val="004321F6"/>
    <w:rsid w:val="00432B5D"/>
    <w:rsid w:val="00432DA2"/>
    <w:rsid w:val="00433044"/>
    <w:rsid w:val="0043360C"/>
    <w:rsid w:val="00433919"/>
    <w:rsid w:val="00434088"/>
    <w:rsid w:val="0043466C"/>
    <w:rsid w:val="00434985"/>
    <w:rsid w:val="00436029"/>
    <w:rsid w:val="004360F0"/>
    <w:rsid w:val="004368E8"/>
    <w:rsid w:val="00436A37"/>
    <w:rsid w:val="00436A5A"/>
    <w:rsid w:val="004370B8"/>
    <w:rsid w:val="004375B9"/>
    <w:rsid w:val="00437B23"/>
    <w:rsid w:val="0044100D"/>
    <w:rsid w:val="0044169C"/>
    <w:rsid w:val="004428D0"/>
    <w:rsid w:val="00442C45"/>
    <w:rsid w:val="00442E51"/>
    <w:rsid w:val="0044305C"/>
    <w:rsid w:val="00444185"/>
    <w:rsid w:val="004443A7"/>
    <w:rsid w:val="0044442C"/>
    <w:rsid w:val="00444ABE"/>
    <w:rsid w:val="004451CE"/>
    <w:rsid w:val="004458DB"/>
    <w:rsid w:val="00445941"/>
    <w:rsid w:val="00445AAE"/>
    <w:rsid w:val="004464EB"/>
    <w:rsid w:val="00446A08"/>
    <w:rsid w:val="00447229"/>
    <w:rsid w:val="0044742D"/>
    <w:rsid w:val="00447495"/>
    <w:rsid w:val="00447A10"/>
    <w:rsid w:val="00447D26"/>
    <w:rsid w:val="00447DFC"/>
    <w:rsid w:val="00447E9B"/>
    <w:rsid w:val="00451AA1"/>
    <w:rsid w:val="004524E1"/>
    <w:rsid w:val="00453491"/>
    <w:rsid w:val="004536CC"/>
    <w:rsid w:val="00453B8E"/>
    <w:rsid w:val="00453EB4"/>
    <w:rsid w:val="00454099"/>
    <w:rsid w:val="00454436"/>
    <w:rsid w:val="00454625"/>
    <w:rsid w:val="00454FC2"/>
    <w:rsid w:val="004556E2"/>
    <w:rsid w:val="00455D45"/>
    <w:rsid w:val="00456432"/>
    <w:rsid w:val="004564B1"/>
    <w:rsid w:val="00457009"/>
    <w:rsid w:val="0046080F"/>
    <w:rsid w:val="00460EA8"/>
    <w:rsid w:val="00461235"/>
    <w:rsid w:val="0046126C"/>
    <w:rsid w:val="00461B60"/>
    <w:rsid w:val="0046235A"/>
    <w:rsid w:val="0046316C"/>
    <w:rsid w:val="0046328A"/>
    <w:rsid w:val="00464595"/>
    <w:rsid w:val="0046515B"/>
    <w:rsid w:val="004653CE"/>
    <w:rsid w:val="00465692"/>
    <w:rsid w:val="004658B5"/>
    <w:rsid w:val="0046728A"/>
    <w:rsid w:val="004702F7"/>
    <w:rsid w:val="00470680"/>
    <w:rsid w:val="00471E62"/>
    <w:rsid w:val="00471EA5"/>
    <w:rsid w:val="004720CE"/>
    <w:rsid w:val="00472296"/>
    <w:rsid w:val="004725A7"/>
    <w:rsid w:val="00472A79"/>
    <w:rsid w:val="00473388"/>
    <w:rsid w:val="00473F19"/>
    <w:rsid w:val="004746C9"/>
    <w:rsid w:val="004753C3"/>
    <w:rsid w:val="004755B7"/>
    <w:rsid w:val="004758B8"/>
    <w:rsid w:val="00475A14"/>
    <w:rsid w:val="00475B69"/>
    <w:rsid w:val="00475E22"/>
    <w:rsid w:val="00477591"/>
    <w:rsid w:val="0048088E"/>
    <w:rsid w:val="00480F2B"/>
    <w:rsid w:val="004810A4"/>
    <w:rsid w:val="00482720"/>
    <w:rsid w:val="0048331E"/>
    <w:rsid w:val="004834E8"/>
    <w:rsid w:val="004835A4"/>
    <w:rsid w:val="004835E7"/>
    <w:rsid w:val="00483670"/>
    <w:rsid w:val="00483901"/>
    <w:rsid w:val="00483CD3"/>
    <w:rsid w:val="0048410B"/>
    <w:rsid w:val="00484C00"/>
    <w:rsid w:val="004851E9"/>
    <w:rsid w:val="00485320"/>
    <w:rsid w:val="00485961"/>
    <w:rsid w:val="004859E1"/>
    <w:rsid w:val="0048656B"/>
    <w:rsid w:val="004867A7"/>
    <w:rsid w:val="004867E2"/>
    <w:rsid w:val="004867EF"/>
    <w:rsid w:val="00486F71"/>
    <w:rsid w:val="00487312"/>
    <w:rsid w:val="0048772C"/>
    <w:rsid w:val="004877BC"/>
    <w:rsid w:val="00487A15"/>
    <w:rsid w:val="00490A41"/>
    <w:rsid w:val="00490B17"/>
    <w:rsid w:val="00491B3A"/>
    <w:rsid w:val="00492340"/>
    <w:rsid w:val="00492CFD"/>
    <w:rsid w:val="004934B3"/>
    <w:rsid w:val="00493D1B"/>
    <w:rsid w:val="004940BC"/>
    <w:rsid w:val="00494207"/>
    <w:rsid w:val="00494DD5"/>
    <w:rsid w:val="004958C0"/>
    <w:rsid w:val="00495C7C"/>
    <w:rsid w:val="004962D2"/>
    <w:rsid w:val="00497012"/>
    <w:rsid w:val="004974EA"/>
    <w:rsid w:val="00497F15"/>
    <w:rsid w:val="00497FC1"/>
    <w:rsid w:val="004A0DA1"/>
    <w:rsid w:val="004A13D6"/>
    <w:rsid w:val="004A18F4"/>
    <w:rsid w:val="004A36A0"/>
    <w:rsid w:val="004A4653"/>
    <w:rsid w:val="004A481A"/>
    <w:rsid w:val="004A4BBC"/>
    <w:rsid w:val="004A52E9"/>
    <w:rsid w:val="004A5874"/>
    <w:rsid w:val="004A6040"/>
    <w:rsid w:val="004A607E"/>
    <w:rsid w:val="004A6597"/>
    <w:rsid w:val="004A6706"/>
    <w:rsid w:val="004A6791"/>
    <w:rsid w:val="004A6E5C"/>
    <w:rsid w:val="004A6F84"/>
    <w:rsid w:val="004A7848"/>
    <w:rsid w:val="004A793B"/>
    <w:rsid w:val="004A7A5C"/>
    <w:rsid w:val="004B07A0"/>
    <w:rsid w:val="004B0C86"/>
    <w:rsid w:val="004B0CB2"/>
    <w:rsid w:val="004B1A06"/>
    <w:rsid w:val="004B1CB4"/>
    <w:rsid w:val="004B1FBE"/>
    <w:rsid w:val="004B2587"/>
    <w:rsid w:val="004B2874"/>
    <w:rsid w:val="004B2BA4"/>
    <w:rsid w:val="004B2F18"/>
    <w:rsid w:val="004B3DDB"/>
    <w:rsid w:val="004B44FD"/>
    <w:rsid w:val="004B46DB"/>
    <w:rsid w:val="004B47EB"/>
    <w:rsid w:val="004B58B7"/>
    <w:rsid w:val="004B5B74"/>
    <w:rsid w:val="004B5CC5"/>
    <w:rsid w:val="004B5CFC"/>
    <w:rsid w:val="004B68D1"/>
    <w:rsid w:val="004B6F79"/>
    <w:rsid w:val="004B7424"/>
    <w:rsid w:val="004B7730"/>
    <w:rsid w:val="004B774D"/>
    <w:rsid w:val="004C0879"/>
    <w:rsid w:val="004C0B40"/>
    <w:rsid w:val="004C0B5C"/>
    <w:rsid w:val="004C18D3"/>
    <w:rsid w:val="004C19B5"/>
    <w:rsid w:val="004C1C9D"/>
    <w:rsid w:val="004C2187"/>
    <w:rsid w:val="004C2445"/>
    <w:rsid w:val="004C2887"/>
    <w:rsid w:val="004C2AC2"/>
    <w:rsid w:val="004C41C1"/>
    <w:rsid w:val="004C4AED"/>
    <w:rsid w:val="004C5955"/>
    <w:rsid w:val="004C5D28"/>
    <w:rsid w:val="004C6509"/>
    <w:rsid w:val="004C75ED"/>
    <w:rsid w:val="004D0328"/>
    <w:rsid w:val="004D13A6"/>
    <w:rsid w:val="004D1769"/>
    <w:rsid w:val="004D2C2D"/>
    <w:rsid w:val="004D2D78"/>
    <w:rsid w:val="004D2DDF"/>
    <w:rsid w:val="004D2ED1"/>
    <w:rsid w:val="004D3080"/>
    <w:rsid w:val="004D35A8"/>
    <w:rsid w:val="004D5068"/>
    <w:rsid w:val="004D524C"/>
    <w:rsid w:val="004D5B81"/>
    <w:rsid w:val="004D624B"/>
    <w:rsid w:val="004D62CB"/>
    <w:rsid w:val="004D681D"/>
    <w:rsid w:val="004D69B5"/>
    <w:rsid w:val="004D7227"/>
    <w:rsid w:val="004D7B5E"/>
    <w:rsid w:val="004E04D7"/>
    <w:rsid w:val="004E0765"/>
    <w:rsid w:val="004E0E7F"/>
    <w:rsid w:val="004E0EB8"/>
    <w:rsid w:val="004E18E9"/>
    <w:rsid w:val="004E20A2"/>
    <w:rsid w:val="004E227E"/>
    <w:rsid w:val="004E2ADC"/>
    <w:rsid w:val="004E3E10"/>
    <w:rsid w:val="004E4223"/>
    <w:rsid w:val="004E43B2"/>
    <w:rsid w:val="004E4842"/>
    <w:rsid w:val="004E4A81"/>
    <w:rsid w:val="004E6C39"/>
    <w:rsid w:val="004E6E87"/>
    <w:rsid w:val="004E7382"/>
    <w:rsid w:val="004F041F"/>
    <w:rsid w:val="004F1BEF"/>
    <w:rsid w:val="004F1D02"/>
    <w:rsid w:val="004F1E9D"/>
    <w:rsid w:val="004F226F"/>
    <w:rsid w:val="004F2679"/>
    <w:rsid w:val="004F2F21"/>
    <w:rsid w:val="004F36A0"/>
    <w:rsid w:val="004F3C6C"/>
    <w:rsid w:val="004F3C91"/>
    <w:rsid w:val="004F3DE5"/>
    <w:rsid w:val="004F4A3F"/>
    <w:rsid w:val="004F4D1A"/>
    <w:rsid w:val="004F5484"/>
    <w:rsid w:val="004F6913"/>
    <w:rsid w:val="004F7865"/>
    <w:rsid w:val="004F7C93"/>
    <w:rsid w:val="004F7CA7"/>
    <w:rsid w:val="0050043F"/>
    <w:rsid w:val="0050058E"/>
    <w:rsid w:val="00500F7B"/>
    <w:rsid w:val="0050174E"/>
    <w:rsid w:val="00501854"/>
    <w:rsid w:val="0050195B"/>
    <w:rsid w:val="0050219B"/>
    <w:rsid w:val="00502CBC"/>
    <w:rsid w:val="00503F17"/>
    <w:rsid w:val="00503F3A"/>
    <w:rsid w:val="005043E7"/>
    <w:rsid w:val="00504515"/>
    <w:rsid w:val="00504831"/>
    <w:rsid w:val="00504946"/>
    <w:rsid w:val="00504DA1"/>
    <w:rsid w:val="00505449"/>
    <w:rsid w:val="005063C5"/>
    <w:rsid w:val="00506928"/>
    <w:rsid w:val="00506C14"/>
    <w:rsid w:val="00506C6A"/>
    <w:rsid w:val="00506EF4"/>
    <w:rsid w:val="005077EF"/>
    <w:rsid w:val="00510864"/>
    <w:rsid w:val="00510C04"/>
    <w:rsid w:val="00511AD5"/>
    <w:rsid w:val="00511DC7"/>
    <w:rsid w:val="00511E05"/>
    <w:rsid w:val="00512CE5"/>
    <w:rsid w:val="00513CC5"/>
    <w:rsid w:val="005142C5"/>
    <w:rsid w:val="00514427"/>
    <w:rsid w:val="005145EF"/>
    <w:rsid w:val="005146DF"/>
    <w:rsid w:val="0051501B"/>
    <w:rsid w:val="00515190"/>
    <w:rsid w:val="005152B5"/>
    <w:rsid w:val="00515886"/>
    <w:rsid w:val="00516309"/>
    <w:rsid w:val="00516E32"/>
    <w:rsid w:val="005171DC"/>
    <w:rsid w:val="00517432"/>
    <w:rsid w:val="005200BD"/>
    <w:rsid w:val="00520D4A"/>
    <w:rsid w:val="0052123C"/>
    <w:rsid w:val="00521319"/>
    <w:rsid w:val="00521650"/>
    <w:rsid w:val="00521723"/>
    <w:rsid w:val="00522200"/>
    <w:rsid w:val="00522BC8"/>
    <w:rsid w:val="0052332A"/>
    <w:rsid w:val="00523C28"/>
    <w:rsid w:val="005248B2"/>
    <w:rsid w:val="00524C28"/>
    <w:rsid w:val="00524D4E"/>
    <w:rsid w:val="00526041"/>
    <w:rsid w:val="0052716F"/>
    <w:rsid w:val="00527AB9"/>
    <w:rsid w:val="0053176B"/>
    <w:rsid w:val="005329A0"/>
    <w:rsid w:val="0053396F"/>
    <w:rsid w:val="005341B3"/>
    <w:rsid w:val="005349E5"/>
    <w:rsid w:val="00534D54"/>
    <w:rsid w:val="0053553C"/>
    <w:rsid w:val="005355E3"/>
    <w:rsid w:val="00535922"/>
    <w:rsid w:val="0053680D"/>
    <w:rsid w:val="00536F42"/>
    <w:rsid w:val="00537182"/>
    <w:rsid w:val="0054029F"/>
    <w:rsid w:val="0054083A"/>
    <w:rsid w:val="00540F64"/>
    <w:rsid w:val="00540F9C"/>
    <w:rsid w:val="00541EDD"/>
    <w:rsid w:val="00541F9D"/>
    <w:rsid w:val="00541FB4"/>
    <w:rsid w:val="00542701"/>
    <w:rsid w:val="00542743"/>
    <w:rsid w:val="00542768"/>
    <w:rsid w:val="00542C2D"/>
    <w:rsid w:val="00542CA3"/>
    <w:rsid w:val="00543CAB"/>
    <w:rsid w:val="00543EEC"/>
    <w:rsid w:val="005444D8"/>
    <w:rsid w:val="005471D8"/>
    <w:rsid w:val="005478BD"/>
    <w:rsid w:val="005479E3"/>
    <w:rsid w:val="00547B8C"/>
    <w:rsid w:val="0055090C"/>
    <w:rsid w:val="00550F48"/>
    <w:rsid w:val="005516AF"/>
    <w:rsid w:val="00551985"/>
    <w:rsid w:val="00551DC5"/>
    <w:rsid w:val="00552BD3"/>
    <w:rsid w:val="005532A0"/>
    <w:rsid w:val="0055366B"/>
    <w:rsid w:val="0055392B"/>
    <w:rsid w:val="00554540"/>
    <w:rsid w:val="00555103"/>
    <w:rsid w:val="00555109"/>
    <w:rsid w:val="00556969"/>
    <w:rsid w:val="00556B35"/>
    <w:rsid w:val="00556EA2"/>
    <w:rsid w:val="00556F35"/>
    <w:rsid w:val="005572BF"/>
    <w:rsid w:val="0055741A"/>
    <w:rsid w:val="00557567"/>
    <w:rsid w:val="005600D3"/>
    <w:rsid w:val="0056021D"/>
    <w:rsid w:val="005603A4"/>
    <w:rsid w:val="005611B7"/>
    <w:rsid w:val="005618D4"/>
    <w:rsid w:val="00562964"/>
    <w:rsid w:val="005634EC"/>
    <w:rsid w:val="005640AA"/>
    <w:rsid w:val="005644B8"/>
    <w:rsid w:val="00564867"/>
    <w:rsid w:val="0056516D"/>
    <w:rsid w:val="00565911"/>
    <w:rsid w:val="00565A52"/>
    <w:rsid w:val="00565C79"/>
    <w:rsid w:val="00565DF0"/>
    <w:rsid w:val="005663D1"/>
    <w:rsid w:val="005667F7"/>
    <w:rsid w:val="0056696F"/>
    <w:rsid w:val="00567B21"/>
    <w:rsid w:val="00570019"/>
    <w:rsid w:val="00570512"/>
    <w:rsid w:val="00570F97"/>
    <w:rsid w:val="005715AF"/>
    <w:rsid w:val="00571638"/>
    <w:rsid w:val="00571701"/>
    <w:rsid w:val="00571748"/>
    <w:rsid w:val="005719FE"/>
    <w:rsid w:val="00571A9C"/>
    <w:rsid w:val="00571B8E"/>
    <w:rsid w:val="00572269"/>
    <w:rsid w:val="0057244A"/>
    <w:rsid w:val="00572F26"/>
    <w:rsid w:val="005736BE"/>
    <w:rsid w:val="005739CB"/>
    <w:rsid w:val="00573C7C"/>
    <w:rsid w:val="005744F2"/>
    <w:rsid w:val="00574B0D"/>
    <w:rsid w:val="005750C5"/>
    <w:rsid w:val="005752DE"/>
    <w:rsid w:val="00575D60"/>
    <w:rsid w:val="00575D8D"/>
    <w:rsid w:val="00576434"/>
    <w:rsid w:val="00576924"/>
    <w:rsid w:val="00576972"/>
    <w:rsid w:val="00577248"/>
    <w:rsid w:val="0057764E"/>
    <w:rsid w:val="00577F52"/>
    <w:rsid w:val="00581087"/>
    <w:rsid w:val="0058111E"/>
    <w:rsid w:val="00581354"/>
    <w:rsid w:val="00581D5E"/>
    <w:rsid w:val="005824DD"/>
    <w:rsid w:val="00582BEB"/>
    <w:rsid w:val="00583699"/>
    <w:rsid w:val="0058462D"/>
    <w:rsid w:val="005847F7"/>
    <w:rsid w:val="00585050"/>
    <w:rsid w:val="00585613"/>
    <w:rsid w:val="00585CDD"/>
    <w:rsid w:val="005860A4"/>
    <w:rsid w:val="00587058"/>
    <w:rsid w:val="00587170"/>
    <w:rsid w:val="005908B6"/>
    <w:rsid w:val="00590DBA"/>
    <w:rsid w:val="0059133C"/>
    <w:rsid w:val="00591482"/>
    <w:rsid w:val="005918DC"/>
    <w:rsid w:val="00591957"/>
    <w:rsid w:val="005922E6"/>
    <w:rsid w:val="00592AA3"/>
    <w:rsid w:val="00592C53"/>
    <w:rsid w:val="00592DC2"/>
    <w:rsid w:val="00593353"/>
    <w:rsid w:val="0059363A"/>
    <w:rsid w:val="00593CEA"/>
    <w:rsid w:val="00594D5A"/>
    <w:rsid w:val="00595152"/>
    <w:rsid w:val="0059527A"/>
    <w:rsid w:val="00595285"/>
    <w:rsid w:val="005956FF"/>
    <w:rsid w:val="00596CC3"/>
    <w:rsid w:val="00597238"/>
    <w:rsid w:val="00597537"/>
    <w:rsid w:val="00597BF9"/>
    <w:rsid w:val="00597EF0"/>
    <w:rsid w:val="005A084B"/>
    <w:rsid w:val="005A0C11"/>
    <w:rsid w:val="005A0C46"/>
    <w:rsid w:val="005A126D"/>
    <w:rsid w:val="005A2E86"/>
    <w:rsid w:val="005A309A"/>
    <w:rsid w:val="005A3278"/>
    <w:rsid w:val="005A373D"/>
    <w:rsid w:val="005A37FA"/>
    <w:rsid w:val="005A428D"/>
    <w:rsid w:val="005A4E32"/>
    <w:rsid w:val="005A55BD"/>
    <w:rsid w:val="005A5E9A"/>
    <w:rsid w:val="005A6F4B"/>
    <w:rsid w:val="005A6F8F"/>
    <w:rsid w:val="005A72E6"/>
    <w:rsid w:val="005A74A7"/>
    <w:rsid w:val="005B0153"/>
    <w:rsid w:val="005B0846"/>
    <w:rsid w:val="005B09DC"/>
    <w:rsid w:val="005B0B58"/>
    <w:rsid w:val="005B0FAE"/>
    <w:rsid w:val="005B276B"/>
    <w:rsid w:val="005B2E2D"/>
    <w:rsid w:val="005B2E99"/>
    <w:rsid w:val="005B376A"/>
    <w:rsid w:val="005B3B16"/>
    <w:rsid w:val="005B3B5D"/>
    <w:rsid w:val="005B4916"/>
    <w:rsid w:val="005B4BE6"/>
    <w:rsid w:val="005B4E53"/>
    <w:rsid w:val="005B4F56"/>
    <w:rsid w:val="005B57FE"/>
    <w:rsid w:val="005B5857"/>
    <w:rsid w:val="005B5882"/>
    <w:rsid w:val="005B6C26"/>
    <w:rsid w:val="005B73A6"/>
    <w:rsid w:val="005B7E4D"/>
    <w:rsid w:val="005C0446"/>
    <w:rsid w:val="005C0E86"/>
    <w:rsid w:val="005C1321"/>
    <w:rsid w:val="005C19C4"/>
    <w:rsid w:val="005C1B83"/>
    <w:rsid w:val="005C24E3"/>
    <w:rsid w:val="005C25FF"/>
    <w:rsid w:val="005C2A42"/>
    <w:rsid w:val="005C2BA6"/>
    <w:rsid w:val="005C2D00"/>
    <w:rsid w:val="005C2D55"/>
    <w:rsid w:val="005C2DF0"/>
    <w:rsid w:val="005C2E98"/>
    <w:rsid w:val="005C31B8"/>
    <w:rsid w:val="005C346B"/>
    <w:rsid w:val="005C35EA"/>
    <w:rsid w:val="005C3E42"/>
    <w:rsid w:val="005C448D"/>
    <w:rsid w:val="005C44C4"/>
    <w:rsid w:val="005C58C5"/>
    <w:rsid w:val="005C59C5"/>
    <w:rsid w:val="005C5ABC"/>
    <w:rsid w:val="005C5BDC"/>
    <w:rsid w:val="005C5ECE"/>
    <w:rsid w:val="005C64CC"/>
    <w:rsid w:val="005C683D"/>
    <w:rsid w:val="005C7C70"/>
    <w:rsid w:val="005D044D"/>
    <w:rsid w:val="005D0548"/>
    <w:rsid w:val="005D088B"/>
    <w:rsid w:val="005D0ABD"/>
    <w:rsid w:val="005D0BED"/>
    <w:rsid w:val="005D0E9C"/>
    <w:rsid w:val="005D139D"/>
    <w:rsid w:val="005D17D7"/>
    <w:rsid w:val="005D17F4"/>
    <w:rsid w:val="005D1850"/>
    <w:rsid w:val="005D18AD"/>
    <w:rsid w:val="005D25EB"/>
    <w:rsid w:val="005D26B4"/>
    <w:rsid w:val="005D3E6A"/>
    <w:rsid w:val="005D4649"/>
    <w:rsid w:val="005D4E07"/>
    <w:rsid w:val="005D4F3C"/>
    <w:rsid w:val="005D4FBC"/>
    <w:rsid w:val="005D5676"/>
    <w:rsid w:val="005D608C"/>
    <w:rsid w:val="005D6500"/>
    <w:rsid w:val="005D6CBB"/>
    <w:rsid w:val="005D70C9"/>
    <w:rsid w:val="005D76C0"/>
    <w:rsid w:val="005D7A67"/>
    <w:rsid w:val="005E0560"/>
    <w:rsid w:val="005E0DCC"/>
    <w:rsid w:val="005E0F9C"/>
    <w:rsid w:val="005E1995"/>
    <w:rsid w:val="005E1E13"/>
    <w:rsid w:val="005E200D"/>
    <w:rsid w:val="005E22C8"/>
    <w:rsid w:val="005E2BF3"/>
    <w:rsid w:val="005E3D5E"/>
    <w:rsid w:val="005E3E22"/>
    <w:rsid w:val="005E5282"/>
    <w:rsid w:val="005E6BB2"/>
    <w:rsid w:val="005E6CBC"/>
    <w:rsid w:val="005E72FF"/>
    <w:rsid w:val="005E73C0"/>
    <w:rsid w:val="005E7A4A"/>
    <w:rsid w:val="005F07ED"/>
    <w:rsid w:val="005F1B71"/>
    <w:rsid w:val="005F1CB2"/>
    <w:rsid w:val="005F1FBE"/>
    <w:rsid w:val="005F2706"/>
    <w:rsid w:val="005F2B6A"/>
    <w:rsid w:val="005F2D6A"/>
    <w:rsid w:val="005F324D"/>
    <w:rsid w:val="005F3ABC"/>
    <w:rsid w:val="005F4036"/>
    <w:rsid w:val="005F40F3"/>
    <w:rsid w:val="005F4460"/>
    <w:rsid w:val="005F4B20"/>
    <w:rsid w:val="005F51B8"/>
    <w:rsid w:val="005F5210"/>
    <w:rsid w:val="005F5407"/>
    <w:rsid w:val="005F5B25"/>
    <w:rsid w:val="005F6494"/>
    <w:rsid w:val="005F6A1B"/>
    <w:rsid w:val="005F6A8F"/>
    <w:rsid w:val="005F6BB7"/>
    <w:rsid w:val="005F7588"/>
    <w:rsid w:val="00600016"/>
    <w:rsid w:val="00601422"/>
    <w:rsid w:val="00602D46"/>
    <w:rsid w:val="006033A7"/>
    <w:rsid w:val="0060371B"/>
    <w:rsid w:val="00603DB9"/>
    <w:rsid w:val="006041EF"/>
    <w:rsid w:val="00604608"/>
    <w:rsid w:val="006048D6"/>
    <w:rsid w:val="006049BB"/>
    <w:rsid w:val="0060645A"/>
    <w:rsid w:val="00606769"/>
    <w:rsid w:val="00606C05"/>
    <w:rsid w:val="00606D25"/>
    <w:rsid w:val="00606FBA"/>
    <w:rsid w:val="00607669"/>
    <w:rsid w:val="006076F4"/>
    <w:rsid w:val="0060783E"/>
    <w:rsid w:val="00607AFD"/>
    <w:rsid w:val="006103AE"/>
    <w:rsid w:val="00610CC3"/>
    <w:rsid w:val="00610E7D"/>
    <w:rsid w:val="006111ED"/>
    <w:rsid w:val="0061151A"/>
    <w:rsid w:val="0061183B"/>
    <w:rsid w:val="00611B12"/>
    <w:rsid w:val="00612E64"/>
    <w:rsid w:val="00612F97"/>
    <w:rsid w:val="00613279"/>
    <w:rsid w:val="0061345D"/>
    <w:rsid w:val="006142A4"/>
    <w:rsid w:val="00614458"/>
    <w:rsid w:val="0061462D"/>
    <w:rsid w:val="0061484B"/>
    <w:rsid w:val="00614BB1"/>
    <w:rsid w:val="0061549B"/>
    <w:rsid w:val="00615803"/>
    <w:rsid w:val="00616802"/>
    <w:rsid w:val="00616A1F"/>
    <w:rsid w:val="00616CA8"/>
    <w:rsid w:val="00617237"/>
    <w:rsid w:val="006173AA"/>
    <w:rsid w:val="00617B42"/>
    <w:rsid w:val="00617E12"/>
    <w:rsid w:val="00620081"/>
    <w:rsid w:val="0062029A"/>
    <w:rsid w:val="00620664"/>
    <w:rsid w:val="0062097F"/>
    <w:rsid w:val="00620C25"/>
    <w:rsid w:val="00620CB7"/>
    <w:rsid w:val="00621477"/>
    <w:rsid w:val="00621689"/>
    <w:rsid w:val="00621765"/>
    <w:rsid w:val="00621ADA"/>
    <w:rsid w:val="00621C1A"/>
    <w:rsid w:val="00622368"/>
    <w:rsid w:val="00622631"/>
    <w:rsid w:val="00623F7B"/>
    <w:rsid w:val="00624BCD"/>
    <w:rsid w:val="00624BD4"/>
    <w:rsid w:val="00624F72"/>
    <w:rsid w:val="006257D4"/>
    <w:rsid w:val="00626249"/>
    <w:rsid w:val="00626553"/>
    <w:rsid w:val="00627CC0"/>
    <w:rsid w:val="00627EA4"/>
    <w:rsid w:val="00630C3B"/>
    <w:rsid w:val="00630D95"/>
    <w:rsid w:val="0063158F"/>
    <w:rsid w:val="00631670"/>
    <w:rsid w:val="0063176A"/>
    <w:rsid w:val="00631D6B"/>
    <w:rsid w:val="00631E07"/>
    <w:rsid w:val="00632183"/>
    <w:rsid w:val="006330A1"/>
    <w:rsid w:val="006336AC"/>
    <w:rsid w:val="0063479F"/>
    <w:rsid w:val="00634C4C"/>
    <w:rsid w:val="006351F1"/>
    <w:rsid w:val="006353F0"/>
    <w:rsid w:val="00635581"/>
    <w:rsid w:val="006357B5"/>
    <w:rsid w:val="00635886"/>
    <w:rsid w:val="00635B4B"/>
    <w:rsid w:val="006364A1"/>
    <w:rsid w:val="0063678E"/>
    <w:rsid w:val="00636FBB"/>
    <w:rsid w:val="00637BFD"/>
    <w:rsid w:val="00637C5C"/>
    <w:rsid w:val="006400DD"/>
    <w:rsid w:val="006404CE"/>
    <w:rsid w:val="0064132A"/>
    <w:rsid w:val="0064177E"/>
    <w:rsid w:val="00641C4E"/>
    <w:rsid w:val="00641FB3"/>
    <w:rsid w:val="006429F7"/>
    <w:rsid w:val="00642DFF"/>
    <w:rsid w:val="00642F5E"/>
    <w:rsid w:val="006439F5"/>
    <w:rsid w:val="0064434C"/>
    <w:rsid w:val="006444EA"/>
    <w:rsid w:val="0064475F"/>
    <w:rsid w:val="006451FB"/>
    <w:rsid w:val="006459C5"/>
    <w:rsid w:val="00645E9B"/>
    <w:rsid w:val="00645ED1"/>
    <w:rsid w:val="0064659F"/>
    <w:rsid w:val="006471CC"/>
    <w:rsid w:val="006472FE"/>
    <w:rsid w:val="006477DF"/>
    <w:rsid w:val="00647A29"/>
    <w:rsid w:val="0065079F"/>
    <w:rsid w:val="00651166"/>
    <w:rsid w:val="0065234C"/>
    <w:rsid w:val="00652A28"/>
    <w:rsid w:val="0065379F"/>
    <w:rsid w:val="00653C4B"/>
    <w:rsid w:val="00654A03"/>
    <w:rsid w:val="00654CB8"/>
    <w:rsid w:val="0065533F"/>
    <w:rsid w:val="00655B5E"/>
    <w:rsid w:val="00656188"/>
    <w:rsid w:val="006564DD"/>
    <w:rsid w:val="00656513"/>
    <w:rsid w:val="0065715A"/>
    <w:rsid w:val="00657E3B"/>
    <w:rsid w:val="006610F1"/>
    <w:rsid w:val="00661712"/>
    <w:rsid w:val="00661BFF"/>
    <w:rsid w:val="00661C6B"/>
    <w:rsid w:val="00662653"/>
    <w:rsid w:val="006628DA"/>
    <w:rsid w:val="00662D3E"/>
    <w:rsid w:val="006639CC"/>
    <w:rsid w:val="00663A5B"/>
    <w:rsid w:val="00664175"/>
    <w:rsid w:val="00664AE0"/>
    <w:rsid w:val="00664CE3"/>
    <w:rsid w:val="00664E7C"/>
    <w:rsid w:val="00665446"/>
    <w:rsid w:val="00665471"/>
    <w:rsid w:val="006668F7"/>
    <w:rsid w:val="006670AD"/>
    <w:rsid w:val="006675AE"/>
    <w:rsid w:val="006677F4"/>
    <w:rsid w:val="00667BE3"/>
    <w:rsid w:val="00667D65"/>
    <w:rsid w:val="00670FEA"/>
    <w:rsid w:val="00671004"/>
    <w:rsid w:val="00671352"/>
    <w:rsid w:val="00672356"/>
    <w:rsid w:val="00672646"/>
    <w:rsid w:val="00674E42"/>
    <w:rsid w:val="00675E22"/>
    <w:rsid w:val="00676563"/>
    <w:rsid w:val="00676827"/>
    <w:rsid w:val="00676DE0"/>
    <w:rsid w:val="006773D6"/>
    <w:rsid w:val="006773F7"/>
    <w:rsid w:val="00677917"/>
    <w:rsid w:val="00677E5E"/>
    <w:rsid w:val="00677F12"/>
    <w:rsid w:val="0068081B"/>
    <w:rsid w:val="00680908"/>
    <w:rsid w:val="0068098F"/>
    <w:rsid w:val="00680A2A"/>
    <w:rsid w:val="00680ACB"/>
    <w:rsid w:val="0068129A"/>
    <w:rsid w:val="006813F8"/>
    <w:rsid w:val="00682112"/>
    <w:rsid w:val="00682324"/>
    <w:rsid w:val="006824CD"/>
    <w:rsid w:val="00682BA6"/>
    <w:rsid w:val="00683C17"/>
    <w:rsid w:val="00683ED2"/>
    <w:rsid w:val="00684EEB"/>
    <w:rsid w:val="00685833"/>
    <w:rsid w:val="00686851"/>
    <w:rsid w:val="00686957"/>
    <w:rsid w:val="006872BA"/>
    <w:rsid w:val="00687482"/>
    <w:rsid w:val="00690345"/>
    <w:rsid w:val="00690795"/>
    <w:rsid w:val="0069106C"/>
    <w:rsid w:val="006913EA"/>
    <w:rsid w:val="00691648"/>
    <w:rsid w:val="006917D7"/>
    <w:rsid w:val="00691F12"/>
    <w:rsid w:val="00691F27"/>
    <w:rsid w:val="006935F1"/>
    <w:rsid w:val="006938B7"/>
    <w:rsid w:val="0069434C"/>
    <w:rsid w:val="00694F44"/>
    <w:rsid w:val="00694FB5"/>
    <w:rsid w:val="00695083"/>
    <w:rsid w:val="006950A7"/>
    <w:rsid w:val="00695D89"/>
    <w:rsid w:val="0069619B"/>
    <w:rsid w:val="00696EF9"/>
    <w:rsid w:val="00696F51"/>
    <w:rsid w:val="006973D0"/>
    <w:rsid w:val="00697498"/>
    <w:rsid w:val="0069754C"/>
    <w:rsid w:val="006979A5"/>
    <w:rsid w:val="006A016F"/>
    <w:rsid w:val="006A07DE"/>
    <w:rsid w:val="006A0822"/>
    <w:rsid w:val="006A0DF7"/>
    <w:rsid w:val="006A19B3"/>
    <w:rsid w:val="006A19B6"/>
    <w:rsid w:val="006A1BD4"/>
    <w:rsid w:val="006A2763"/>
    <w:rsid w:val="006A2925"/>
    <w:rsid w:val="006A2ACA"/>
    <w:rsid w:val="006A2C74"/>
    <w:rsid w:val="006A2EEC"/>
    <w:rsid w:val="006A38E6"/>
    <w:rsid w:val="006A3EB2"/>
    <w:rsid w:val="006A3EBF"/>
    <w:rsid w:val="006A4321"/>
    <w:rsid w:val="006A43D9"/>
    <w:rsid w:val="006A6B99"/>
    <w:rsid w:val="006A6CB0"/>
    <w:rsid w:val="006A708F"/>
    <w:rsid w:val="006A78E3"/>
    <w:rsid w:val="006A7B54"/>
    <w:rsid w:val="006A7DC2"/>
    <w:rsid w:val="006A7E4E"/>
    <w:rsid w:val="006A7E5F"/>
    <w:rsid w:val="006B084A"/>
    <w:rsid w:val="006B0B5C"/>
    <w:rsid w:val="006B11DB"/>
    <w:rsid w:val="006B1608"/>
    <w:rsid w:val="006B20C7"/>
    <w:rsid w:val="006B20D3"/>
    <w:rsid w:val="006B261B"/>
    <w:rsid w:val="006B29C2"/>
    <w:rsid w:val="006B2C90"/>
    <w:rsid w:val="006B35E6"/>
    <w:rsid w:val="006B3BFB"/>
    <w:rsid w:val="006B45E2"/>
    <w:rsid w:val="006B465A"/>
    <w:rsid w:val="006B4839"/>
    <w:rsid w:val="006B4C48"/>
    <w:rsid w:val="006B51E1"/>
    <w:rsid w:val="006B681F"/>
    <w:rsid w:val="006B682D"/>
    <w:rsid w:val="006B6DD0"/>
    <w:rsid w:val="006B7725"/>
    <w:rsid w:val="006C02EE"/>
    <w:rsid w:val="006C0399"/>
    <w:rsid w:val="006C0DF4"/>
    <w:rsid w:val="006C2151"/>
    <w:rsid w:val="006C24D4"/>
    <w:rsid w:val="006C2A8E"/>
    <w:rsid w:val="006C2F0C"/>
    <w:rsid w:val="006C30E0"/>
    <w:rsid w:val="006C30E3"/>
    <w:rsid w:val="006C3255"/>
    <w:rsid w:val="006C3F26"/>
    <w:rsid w:val="006C3FD6"/>
    <w:rsid w:val="006C424D"/>
    <w:rsid w:val="006C4B5C"/>
    <w:rsid w:val="006C4F97"/>
    <w:rsid w:val="006C5E77"/>
    <w:rsid w:val="006C6720"/>
    <w:rsid w:val="006C684B"/>
    <w:rsid w:val="006C6D10"/>
    <w:rsid w:val="006C73B6"/>
    <w:rsid w:val="006C790D"/>
    <w:rsid w:val="006C7ABE"/>
    <w:rsid w:val="006C7DD5"/>
    <w:rsid w:val="006D0A8F"/>
    <w:rsid w:val="006D0B15"/>
    <w:rsid w:val="006D0D17"/>
    <w:rsid w:val="006D1363"/>
    <w:rsid w:val="006D1D8E"/>
    <w:rsid w:val="006D26CB"/>
    <w:rsid w:val="006D2975"/>
    <w:rsid w:val="006D3187"/>
    <w:rsid w:val="006D3A3B"/>
    <w:rsid w:val="006D3C7D"/>
    <w:rsid w:val="006D4659"/>
    <w:rsid w:val="006D4D07"/>
    <w:rsid w:val="006D5AF0"/>
    <w:rsid w:val="006D5D5F"/>
    <w:rsid w:val="006D62DA"/>
    <w:rsid w:val="006D6634"/>
    <w:rsid w:val="006D67B9"/>
    <w:rsid w:val="006D68FB"/>
    <w:rsid w:val="006D6C05"/>
    <w:rsid w:val="006D7BFB"/>
    <w:rsid w:val="006E1136"/>
    <w:rsid w:val="006E18DD"/>
    <w:rsid w:val="006E1952"/>
    <w:rsid w:val="006E1A88"/>
    <w:rsid w:val="006E20B2"/>
    <w:rsid w:val="006E262E"/>
    <w:rsid w:val="006E2868"/>
    <w:rsid w:val="006E3423"/>
    <w:rsid w:val="006E399E"/>
    <w:rsid w:val="006E39B1"/>
    <w:rsid w:val="006E3E65"/>
    <w:rsid w:val="006E46EB"/>
    <w:rsid w:val="006E4D08"/>
    <w:rsid w:val="006E507D"/>
    <w:rsid w:val="006E519A"/>
    <w:rsid w:val="006E59E3"/>
    <w:rsid w:val="006E6CCE"/>
    <w:rsid w:val="006E6E60"/>
    <w:rsid w:val="006E7A8C"/>
    <w:rsid w:val="006F0353"/>
    <w:rsid w:val="006F11C5"/>
    <w:rsid w:val="006F1940"/>
    <w:rsid w:val="006F1EFE"/>
    <w:rsid w:val="006F2B48"/>
    <w:rsid w:val="006F306C"/>
    <w:rsid w:val="006F31CF"/>
    <w:rsid w:val="006F49BE"/>
    <w:rsid w:val="006F4A57"/>
    <w:rsid w:val="006F4B1F"/>
    <w:rsid w:val="006F6312"/>
    <w:rsid w:val="006F63A5"/>
    <w:rsid w:val="006F6577"/>
    <w:rsid w:val="006F6856"/>
    <w:rsid w:val="006F7C5D"/>
    <w:rsid w:val="0070044A"/>
    <w:rsid w:val="007004D0"/>
    <w:rsid w:val="00701259"/>
    <w:rsid w:val="0070142B"/>
    <w:rsid w:val="0070184F"/>
    <w:rsid w:val="007023A2"/>
    <w:rsid w:val="0070272A"/>
    <w:rsid w:val="0070276E"/>
    <w:rsid w:val="00702AB9"/>
    <w:rsid w:val="00702F8F"/>
    <w:rsid w:val="0070320E"/>
    <w:rsid w:val="007036FA"/>
    <w:rsid w:val="00704F14"/>
    <w:rsid w:val="007052AD"/>
    <w:rsid w:val="007068AE"/>
    <w:rsid w:val="00706C45"/>
    <w:rsid w:val="00706EEE"/>
    <w:rsid w:val="00707037"/>
    <w:rsid w:val="007076F3"/>
    <w:rsid w:val="007077B3"/>
    <w:rsid w:val="007079FC"/>
    <w:rsid w:val="00707E01"/>
    <w:rsid w:val="007115D1"/>
    <w:rsid w:val="00711A36"/>
    <w:rsid w:val="00712037"/>
    <w:rsid w:val="007125D3"/>
    <w:rsid w:val="00712C3F"/>
    <w:rsid w:val="00713475"/>
    <w:rsid w:val="00713ABA"/>
    <w:rsid w:val="00714033"/>
    <w:rsid w:val="007149C1"/>
    <w:rsid w:val="00714C26"/>
    <w:rsid w:val="007150AA"/>
    <w:rsid w:val="0071529C"/>
    <w:rsid w:val="00715745"/>
    <w:rsid w:val="007159FB"/>
    <w:rsid w:val="00715DF9"/>
    <w:rsid w:val="00716024"/>
    <w:rsid w:val="00716298"/>
    <w:rsid w:val="00717072"/>
    <w:rsid w:val="007170DA"/>
    <w:rsid w:val="007172AD"/>
    <w:rsid w:val="00717546"/>
    <w:rsid w:val="00717FB7"/>
    <w:rsid w:val="00720066"/>
    <w:rsid w:val="00720674"/>
    <w:rsid w:val="00720801"/>
    <w:rsid w:val="00720AAA"/>
    <w:rsid w:val="00721169"/>
    <w:rsid w:val="00721187"/>
    <w:rsid w:val="00721C7C"/>
    <w:rsid w:val="00722B1B"/>
    <w:rsid w:val="0072416F"/>
    <w:rsid w:val="007249A7"/>
    <w:rsid w:val="00725D98"/>
    <w:rsid w:val="0072683A"/>
    <w:rsid w:val="007276C7"/>
    <w:rsid w:val="00727BC5"/>
    <w:rsid w:val="00727C94"/>
    <w:rsid w:val="00727E5E"/>
    <w:rsid w:val="0073038E"/>
    <w:rsid w:val="007305A7"/>
    <w:rsid w:val="007319FC"/>
    <w:rsid w:val="00731B0A"/>
    <w:rsid w:val="00731E86"/>
    <w:rsid w:val="00731EAE"/>
    <w:rsid w:val="00732357"/>
    <w:rsid w:val="007326D4"/>
    <w:rsid w:val="0073289E"/>
    <w:rsid w:val="00732991"/>
    <w:rsid w:val="00733073"/>
    <w:rsid w:val="007331CA"/>
    <w:rsid w:val="00733338"/>
    <w:rsid w:val="0073364B"/>
    <w:rsid w:val="007346E1"/>
    <w:rsid w:val="00734708"/>
    <w:rsid w:val="00734A3B"/>
    <w:rsid w:val="00735033"/>
    <w:rsid w:val="00735328"/>
    <w:rsid w:val="00735916"/>
    <w:rsid w:val="00735DC4"/>
    <w:rsid w:val="0073685B"/>
    <w:rsid w:val="00737597"/>
    <w:rsid w:val="00737F53"/>
    <w:rsid w:val="00740384"/>
    <w:rsid w:val="00740568"/>
    <w:rsid w:val="00740809"/>
    <w:rsid w:val="00740D9F"/>
    <w:rsid w:val="00740F2C"/>
    <w:rsid w:val="00740FFE"/>
    <w:rsid w:val="0074104C"/>
    <w:rsid w:val="00741C65"/>
    <w:rsid w:val="00741D35"/>
    <w:rsid w:val="00743100"/>
    <w:rsid w:val="00743C94"/>
    <w:rsid w:val="007449BF"/>
    <w:rsid w:val="00744DAF"/>
    <w:rsid w:val="00744DE7"/>
    <w:rsid w:val="00745DBD"/>
    <w:rsid w:val="007463FE"/>
    <w:rsid w:val="00746BC0"/>
    <w:rsid w:val="007476CF"/>
    <w:rsid w:val="00750CE6"/>
    <w:rsid w:val="007510B4"/>
    <w:rsid w:val="0075125C"/>
    <w:rsid w:val="00751EA5"/>
    <w:rsid w:val="00752142"/>
    <w:rsid w:val="007523F9"/>
    <w:rsid w:val="00752791"/>
    <w:rsid w:val="00752F22"/>
    <w:rsid w:val="0075357E"/>
    <w:rsid w:val="00753B29"/>
    <w:rsid w:val="007554E6"/>
    <w:rsid w:val="00755A18"/>
    <w:rsid w:val="007573E8"/>
    <w:rsid w:val="0075744E"/>
    <w:rsid w:val="00757FF5"/>
    <w:rsid w:val="007602BE"/>
    <w:rsid w:val="00760687"/>
    <w:rsid w:val="0076072F"/>
    <w:rsid w:val="00760C4E"/>
    <w:rsid w:val="00760F9E"/>
    <w:rsid w:val="007616E6"/>
    <w:rsid w:val="00762025"/>
    <w:rsid w:val="007622FA"/>
    <w:rsid w:val="007627BE"/>
    <w:rsid w:val="00762C60"/>
    <w:rsid w:val="0076318D"/>
    <w:rsid w:val="007631E7"/>
    <w:rsid w:val="00763CA8"/>
    <w:rsid w:val="007646EC"/>
    <w:rsid w:val="00764CF5"/>
    <w:rsid w:val="00764F03"/>
    <w:rsid w:val="00764F1F"/>
    <w:rsid w:val="00765A15"/>
    <w:rsid w:val="00765B1A"/>
    <w:rsid w:val="00765CF0"/>
    <w:rsid w:val="00765DC1"/>
    <w:rsid w:val="00765E72"/>
    <w:rsid w:val="007664E6"/>
    <w:rsid w:val="00766B27"/>
    <w:rsid w:val="00766E09"/>
    <w:rsid w:val="00767FF8"/>
    <w:rsid w:val="00770B6C"/>
    <w:rsid w:val="007716C9"/>
    <w:rsid w:val="007717CA"/>
    <w:rsid w:val="0077286B"/>
    <w:rsid w:val="00772EBB"/>
    <w:rsid w:val="00772EF6"/>
    <w:rsid w:val="00773356"/>
    <w:rsid w:val="0077445E"/>
    <w:rsid w:val="0077475F"/>
    <w:rsid w:val="007758AC"/>
    <w:rsid w:val="007763D4"/>
    <w:rsid w:val="00776442"/>
    <w:rsid w:val="007768F8"/>
    <w:rsid w:val="00776B7D"/>
    <w:rsid w:val="00776D33"/>
    <w:rsid w:val="00777266"/>
    <w:rsid w:val="00777335"/>
    <w:rsid w:val="00780F09"/>
    <w:rsid w:val="00781525"/>
    <w:rsid w:val="007818CD"/>
    <w:rsid w:val="0078190C"/>
    <w:rsid w:val="007843F2"/>
    <w:rsid w:val="00784525"/>
    <w:rsid w:val="007846FA"/>
    <w:rsid w:val="007851D8"/>
    <w:rsid w:val="00785285"/>
    <w:rsid w:val="00785A9F"/>
    <w:rsid w:val="00786A28"/>
    <w:rsid w:val="00786F0B"/>
    <w:rsid w:val="007870C4"/>
    <w:rsid w:val="007870E8"/>
    <w:rsid w:val="00787A43"/>
    <w:rsid w:val="007907CA"/>
    <w:rsid w:val="00790953"/>
    <w:rsid w:val="0079115B"/>
    <w:rsid w:val="00791313"/>
    <w:rsid w:val="00791BBA"/>
    <w:rsid w:val="00791D7D"/>
    <w:rsid w:val="00791DAF"/>
    <w:rsid w:val="007925DF"/>
    <w:rsid w:val="0079298D"/>
    <w:rsid w:val="00792A94"/>
    <w:rsid w:val="007935FA"/>
    <w:rsid w:val="0079389E"/>
    <w:rsid w:val="007938B7"/>
    <w:rsid w:val="00793C9E"/>
    <w:rsid w:val="007941A1"/>
    <w:rsid w:val="00794FBB"/>
    <w:rsid w:val="00796502"/>
    <w:rsid w:val="007966CC"/>
    <w:rsid w:val="00796C27"/>
    <w:rsid w:val="0079728F"/>
    <w:rsid w:val="007A048B"/>
    <w:rsid w:val="007A04AD"/>
    <w:rsid w:val="007A05A9"/>
    <w:rsid w:val="007A08AA"/>
    <w:rsid w:val="007A0A12"/>
    <w:rsid w:val="007A132D"/>
    <w:rsid w:val="007A1345"/>
    <w:rsid w:val="007A154B"/>
    <w:rsid w:val="007A213D"/>
    <w:rsid w:val="007A2360"/>
    <w:rsid w:val="007A2883"/>
    <w:rsid w:val="007A2C4B"/>
    <w:rsid w:val="007A2DDB"/>
    <w:rsid w:val="007A3AF3"/>
    <w:rsid w:val="007A3D49"/>
    <w:rsid w:val="007A442D"/>
    <w:rsid w:val="007A5174"/>
    <w:rsid w:val="007A566F"/>
    <w:rsid w:val="007A602A"/>
    <w:rsid w:val="007A6A4B"/>
    <w:rsid w:val="007A6E9C"/>
    <w:rsid w:val="007A70BA"/>
    <w:rsid w:val="007B04E5"/>
    <w:rsid w:val="007B08DC"/>
    <w:rsid w:val="007B0D68"/>
    <w:rsid w:val="007B2201"/>
    <w:rsid w:val="007B229E"/>
    <w:rsid w:val="007B2445"/>
    <w:rsid w:val="007B251D"/>
    <w:rsid w:val="007B2D34"/>
    <w:rsid w:val="007B3533"/>
    <w:rsid w:val="007B39E1"/>
    <w:rsid w:val="007B3F3B"/>
    <w:rsid w:val="007B4940"/>
    <w:rsid w:val="007B4A7F"/>
    <w:rsid w:val="007B4F58"/>
    <w:rsid w:val="007B528D"/>
    <w:rsid w:val="007B5D0F"/>
    <w:rsid w:val="007B63CA"/>
    <w:rsid w:val="007B6836"/>
    <w:rsid w:val="007B6A28"/>
    <w:rsid w:val="007B77D1"/>
    <w:rsid w:val="007B7A9F"/>
    <w:rsid w:val="007C06FF"/>
    <w:rsid w:val="007C07C7"/>
    <w:rsid w:val="007C1A31"/>
    <w:rsid w:val="007C1CD9"/>
    <w:rsid w:val="007C2493"/>
    <w:rsid w:val="007C2EE5"/>
    <w:rsid w:val="007C32EF"/>
    <w:rsid w:val="007C33A9"/>
    <w:rsid w:val="007C361D"/>
    <w:rsid w:val="007C361E"/>
    <w:rsid w:val="007C3BC9"/>
    <w:rsid w:val="007C3E74"/>
    <w:rsid w:val="007C4051"/>
    <w:rsid w:val="007C4AD3"/>
    <w:rsid w:val="007C4B84"/>
    <w:rsid w:val="007C4E13"/>
    <w:rsid w:val="007C70FF"/>
    <w:rsid w:val="007C7142"/>
    <w:rsid w:val="007C7C25"/>
    <w:rsid w:val="007C7FA2"/>
    <w:rsid w:val="007D002A"/>
    <w:rsid w:val="007D004F"/>
    <w:rsid w:val="007D035F"/>
    <w:rsid w:val="007D0532"/>
    <w:rsid w:val="007D06B2"/>
    <w:rsid w:val="007D0B38"/>
    <w:rsid w:val="007D1BFA"/>
    <w:rsid w:val="007D2190"/>
    <w:rsid w:val="007D2407"/>
    <w:rsid w:val="007D2539"/>
    <w:rsid w:val="007D2C41"/>
    <w:rsid w:val="007D2D62"/>
    <w:rsid w:val="007D37D4"/>
    <w:rsid w:val="007D39C1"/>
    <w:rsid w:val="007D3A71"/>
    <w:rsid w:val="007D4623"/>
    <w:rsid w:val="007D4ADB"/>
    <w:rsid w:val="007D5440"/>
    <w:rsid w:val="007D627A"/>
    <w:rsid w:val="007D69EB"/>
    <w:rsid w:val="007E0A0F"/>
    <w:rsid w:val="007E0FF0"/>
    <w:rsid w:val="007E128F"/>
    <w:rsid w:val="007E12C1"/>
    <w:rsid w:val="007E1995"/>
    <w:rsid w:val="007E1DDC"/>
    <w:rsid w:val="007E2461"/>
    <w:rsid w:val="007E2DA2"/>
    <w:rsid w:val="007E2E98"/>
    <w:rsid w:val="007E3033"/>
    <w:rsid w:val="007E31D4"/>
    <w:rsid w:val="007E3499"/>
    <w:rsid w:val="007E4630"/>
    <w:rsid w:val="007E4B0C"/>
    <w:rsid w:val="007E52E5"/>
    <w:rsid w:val="007E5E76"/>
    <w:rsid w:val="007E6255"/>
    <w:rsid w:val="007E6AF1"/>
    <w:rsid w:val="007E6CEA"/>
    <w:rsid w:val="007E6E95"/>
    <w:rsid w:val="007E767D"/>
    <w:rsid w:val="007E7AF0"/>
    <w:rsid w:val="007F01C1"/>
    <w:rsid w:val="007F04C2"/>
    <w:rsid w:val="007F1017"/>
    <w:rsid w:val="007F111F"/>
    <w:rsid w:val="007F1420"/>
    <w:rsid w:val="007F1847"/>
    <w:rsid w:val="007F1D6B"/>
    <w:rsid w:val="007F367F"/>
    <w:rsid w:val="007F4765"/>
    <w:rsid w:val="007F49F3"/>
    <w:rsid w:val="007F4A3F"/>
    <w:rsid w:val="007F4A61"/>
    <w:rsid w:val="007F5255"/>
    <w:rsid w:val="007F5497"/>
    <w:rsid w:val="007F56CC"/>
    <w:rsid w:val="007F5FF3"/>
    <w:rsid w:val="007F61C2"/>
    <w:rsid w:val="007F62F0"/>
    <w:rsid w:val="007F7F8C"/>
    <w:rsid w:val="0080085A"/>
    <w:rsid w:val="008008B9"/>
    <w:rsid w:val="00800BF5"/>
    <w:rsid w:val="00801816"/>
    <w:rsid w:val="00803D9A"/>
    <w:rsid w:val="0080414C"/>
    <w:rsid w:val="0080444E"/>
    <w:rsid w:val="008047B0"/>
    <w:rsid w:val="00805142"/>
    <w:rsid w:val="008051F9"/>
    <w:rsid w:val="0080597F"/>
    <w:rsid w:val="00805FCE"/>
    <w:rsid w:val="008060AC"/>
    <w:rsid w:val="008061F5"/>
    <w:rsid w:val="00807582"/>
    <w:rsid w:val="00807A8B"/>
    <w:rsid w:val="00807D92"/>
    <w:rsid w:val="00807E37"/>
    <w:rsid w:val="00807FFA"/>
    <w:rsid w:val="0081079A"/>
    <w:rsid w:val="00810C8B"/>
    <w:rsid w:val="00811383"/>
    <w:rsid w:val="00811529"/>
    <w:rsid w:val="00811F05"/>
    <w:rsid w:val="00812004"/>
    <w:rsid w:val="00812149"/>
    <w:rsid w:val="008124F5"/>
    <w:rsid w:val="00812CAC"/>
    <w:rsid w:val="00812EF0"/>
    <w:rsid w:val="0081350C"/>
    <w:rsid w:val="00813D54"/>
    <w:rsid w:val="00813F80"/>
    <w:rsid w:val="00814694"/>
    <w:rsid w:val="00814A93"/>
    <w:rsid w:val="00814D3D"/>
    <w:rsid w:val="00814FF1"/>
    <w:rsid w:val="00815C4F"/>
    <w:rsid w:val="00816130"/>
    <w:rsid w:val="00816361"/>
    <w:rsid w:val="008166EF"/>
    <w:rsid w:val="00816FEF"/>
    <w:rsid w:val="008170EC"/>
    <w:rsid w:val="008178B3"/>
    <w:rsid w:val="008179BA"/>
    <w:rsid w:val="00817D82"/>
    <w:rsid w:val="00817F02"/>
    <w:rsid w:val="00820A8C"/>
    <w:rsid w:val="00821222"/>
    <w:rsid w:val="008215FB"/>
    <w:rsid w:val="00821732"/>
    <w:rsid w:val="00821E64"/>
    <w:rsid w:val="008220CC"/>
    <w:rsid w:val="00822986"/>
    <w:rsid w:val="00823174"/>
    <w:rsid w:val="00824126"/>
    <w:rsid w:val="00824338"/>
    <w:rsid w:val="00824479"/>
    <w:rsid w:val="00824B18"/>
    <w:rsid w:val="00825751"/>
    <w:rsid w:val="00825878"/>
    <w:rsid w:val="008260D0"/>
    <w:rsid w:val="008264EB"/>
    <w:rsid w:val="008268CE"/>
    <w:rsid w:val="00826EAF"/>
    <w:rsid w:val="00827481"/>
    <w:rsid w:val="00827C23"/>
    <w:rsid w:val="00827DFC"/>
    <w:rsid w:val="008309C8"/>
    <w:rsid w:val="00831F8F"/>
    <w:rsid w:val="00832A8E"/>
    <w:rsid w:val="008334BE"/>
    <w:rsid w:val="00833B05"/>
    <w:rsid w:val="00833CDB"/>
    <w:rsid w:val="008341CF"/>
    <w:rsid w:val="00834694"/>
    <w:rsid w:val="0083545A"/>
    <w:rsid w:val="00835DE7"/>
    <w:rsid w:val="008362B4"/>
    <w:rsid w:val="00836D47"/>
    <w:rsid w:val="00836E0B"/>
    <w:rsid w:val="008372E2"/>
    <w:rsid w:val="0084005F"/>
    <w:rsid w:val="00840CA2"/>
    <w:rsid w:val="008420F9"/>
    <w:rsid w:val="00842187"/>
    <w:rsid w:val="00842CA6"/>
    <w:rsid w:val="00842D5F"/>
    <w:rsid w:val="0084374F"/>
    <w:rsid w:val="00844A22"/>
    <w:rsid w:val="00844A4B"/>
    <w:rsid w:val="00845944"/>
    <w:rsid w:val="00845FA7"/>
    <w:rsid w:val="00847703"/>
    <w:rsid w:val="00847D9F"/>
    <w:rsid w:val="00847DF5"/>
    <w:rsid w:val="008502D3"/>
    <w:rsid w:val="00850615"/>
    <w:rsid w:val="00850F20"/>
    <w:rsid w:val="0085125B"/>
    <w:rsid w:val="008514FD"/>
    <w:rsid w:val="0085190F"/>
    <w:rsid w:val="00852C4D"/>
    <w:rsid w:val="00852DE4"/>
    <w:rsid w:val="0085309D"/>
    <w:rsid w:val="00853AC4"/>
    <w:rsid w:val="00854714"/>
    <w:rsid w:val="008550E4"/>
    <w:rsid w:val="00855671"/>
    <w:rsid w:val="0085634A"/>
    <w:rsid w:val="00856897"/>
    <w:rsid w:val="00856CEA"/>
    <w:rsid w:val="00856E9A"/>
    <w:rsid w:val="00857725"/>
    <w:rsid w:val="00860046"/>
    <w:rsid w:val="0086075D"/>
    <w:rsid w:val="00860C91"/>
    <w:rsid w:val="00861473"/>
    <w:rsid w:val="00862502"/>
    <w:rsid w:val="0086268D"/>
    <w:rsid w:val="00862CC1"/>
    <w:rsid w:val="00863127"/>
    <w:rsid w:val="008639DB"/>
    <w:rsid w:val="008642A7"/>
    <w:rsid w:val="00864E8A"/>
    <w:rsid w:val="00865B9D"/>
    <w:rsid w:val="00865E8D"/>
    <w:rsid w:val="008660D4"/>
    <w:rsid w:val="0086674F"/>
    <w:rsid w:val="00867C72"/>
    <w:rsid w:val="008705BA"/>
    <w:rsid w:val="008709A1"/>
    <w:rsid w:val="00870A7A"/>
    <w:rsid w:val="00870A90"/>
    <w:rsid w:val="0087162C"/>
    <w:rsid w:val="00871FA9"/>
    <w:rsid w:val="008728E9"/>
    <w:rsid w:val="0087297D"/>
    <w:rsid w:val="00874445"/>
    <w:rsid w:val="00875619"/>
    <w:rsid w:val="00875C51"/>
    <w:rsid w:val="00876C59"/>
    <w:rsid w:val="008777B1"/>
    <w:rsid w:val="00881149"/>
    <w:rsid w:val="008823E0"/>
    <w:rsid w:val="00882874"/>
    <w:rsid w:val="00882984"/>
    <w:rsid w:val="00882C2C"/>
    <w:rsid w:val="00882E3C"/>
    <w:rsid w:val="00882F5A"/>
    <w:rsid w:val="0088308A"/>
    <w:rsid w:val="00883787"/>
    <w:rsid w:val="00884BAA"/>
    <w:rsid w:val="008855E4"/>
    <w:rsid w:val="008857A6"/>
    <w:rsid w:val="00885A15"/>
    <w:rsid w:val="008862D3"/>
    <w:rsid w:val="00886B43"/>
    <w:rsid w:val="00886B8C"/>
    <w:rsid w:val="00886B9F"/>
    <w:rsid w:val="00886CD2"/>
    <w:rsid w:val="00887464"/>
    <w:rsid w:val="008879CD"/>
    <w:rsid w:val="008907E4"/>
    <w:rsid w:val="008912AF"/>
    <w:rsid w:val="008915B7"/>
    <w:rsid w:val="008918AD"/>
    <w:rsid w:val="00891E6F"/>
    <w:rsid w:val="0089275D"/>
    <w:rsid w:val="00892A36"/>
    <w:rsid w:val="00893123"/>
    <w:rsid w:val="00893239"/>
    <w:rsid w:val="008938AF"/>
    <w:rsid w:val="00893DA9"/>
    <w:rsid w:val="00893F4B"/>
    <w:rsid w:val="00894489"/>
    <w:rsid w:val="008945A6"/>
    <w:rsid w:val="00894CD6"/>
    <w:rsid w:val="00895A1B"/>
    <w:rsid w:val="00896258"/>
    <w:rsid w:val="008963A5"/>
    <w:rsid w:val="00896D5D"/>
    <w:rsid w:val="00897791"/>
    <w:rsid w:val="00897F00"/>
    <w:rsid w:val="008A025B"/>
    <w:rsid w:val="008A253A"/>
    <w:rsid w:val="008A2601"/>
    <w:rsid w:val="008A2FA7"/>
    <w:rsid w:val="008A3158"/>
    <w:rsid w:val="008A32CA"/>
    <w:rsid w:val="008A3363"/>
    <w:rsid w:val="008A3371"/>
    <w:rsid w:val="008A37A1"/>
    <w:rsid w:val="008A3BC4"/>
    <w:rsid w:val="008A3C3E"/>
    <w:rsid w:val="008A41BC"/>
    <w:rsid w:val="008A59F8"/>
    <w:rsid w:val="008A5C84"/>
    <w:rsid w:val="008A5FCB"/>
    <w:rsid w:val="008A6416"/>
    <w:rsid w:val="008A66B4"/>
    <w:rsid w:val="008A79DE"/>
    <w:rsid w:val="008A79E4"/>
    <w:rsid w:val="008A7EBE"/>
    <w:rsid w:val="008A7F78"/>
    <w:rsid w:val="008B1757"/>
    <w:rsid w:val="008B1C33"/>
    <w:rsid w:val="008B2002"/>
    <w:rsid w:val="008B2539"/>
    <w:rsid w:val="008B2BAA"/>
    <w:rsid w:val="008B2CBD"/>
    <w:rsid w:val="008B4B6F"/>
    <w:rsid w:val="008B51F7"/>
    <w:rsid w:val="008B621D"/>
    <w:rsid w:val="008B7992"/>
    <w:rsid w:val="008B7A15"/>
    <w:rsid w:val="008B7D7E"/>
    <w:rsid w:val="008C00B9"/>
    <w:rsid w:val="008C1970"/>
    <w:rsid w:val="008C1DE0"/>
    <w:rsid w:val="008C3CB6"/>
    <w:rsid w:val="008C440C"/>
    <w:rsid w:val="008C5610"/>
    <w:rsid w:val="008C5739"/>
    <w:rsid w:val="008C6BDA"/>
    <w:rsid w:val="008C7282"/>
    <w:rsid w:val="008C766F"/>
    <w:rsid w:val="008C791C"/>
    <w:rsid w:val="008C7D20"/>
    <w:rsid w:val="008C7ECB"/>
    <w:rsid w:val="008D0CAF"/>
    <w:rsid w:val="008D0E7C"/>
    <w:rsid w:val="008D0E85"/>
    <w:rsid w:val="008D17A8"/>
    <w:rsid w:val="008D29E8"/>
    <w:rsid w:val="008D3B86"/>
    <w:rsid w:val="008D4063"/>
    <w:rsid w:val="008D43FD"/>
    <w:rsid w:val="008D448D"/>
    <w:rsid w:val="008D4755"/>
    <w:rsid w:val="008D4B4F"/>
    <w:rsid w:val="008D4C3D"/>
    <w:rsid w:val="008D73C9"/>
    <w:rsid w:val="008D743C"/>
    <w:rsid w:val="008D7914"/>
    <w:rsid w:val="008E0164"/>
    <w:rsid w:val="008E0483"/>
    <w:rsid w:val="008E0D3C"/>
    <w:rsid w:val="008E11DF"/>
    <w:rsid w:val="008E11F1"/>
    <w:rsid w:val="008E12B3"/>
    <w:rsid w:val="008E1541"/>
    <w:rsid w:val="008E1B9E"/>
    <w:rsid w:val="008E30F6"/>
    <w:rsid w:val="008E3E0E"/>
    <w:rsid w:val="008E55AB"/>
    <w:rsid w:val="008E5E4F"/>
    <w:rsid w:val="008E6171"/>
    <w:rsid w:val="008E6399"/>
    <w:rsid w:val="008E677A"/>
    <w:rsid w:val="008E688B"/>
    <w:rsid w:val="008E6D97"/>
    <w:rsid w:val="008E70C9"/>
    <w:rsid w:val="008F01F9"/>
    <w:rsid w:val="008F0B6B"/>
    <w:rsid w:val="008F120A"/>
    <w:rsid w:val="008F2047"/>
    <w:rsid w:val="008F27E0"/>
    <w:rsid w:val="008F4221"/>
    <w:rsid w:val="008F48EB"/>
    <w:rsid w:val="008F49AC"/>
    <w:rsid w:val="008F4E7C"/>
    <w:rsid w:val="008F4F0B"/>
    <w:rsid w:val="008F5546"/>
    <w:rsid w:val="008F5869"/>
    <w:rsid w:val="008F58B0"/>
    <w:rsid w:val="008F6234"/>
    <w:rsid w:val="008F6908"/>
    <w:rsid w:val="008F6C52"/>
    <w:rsid w:val="008F73CB"/>
    <w:rsid w:val="008F7498"/>
    <w:rsid w:val="0090015B"/>
    <w:rsid w:val="009003A1"/>
    <w:rsid w:val="0090093A"/>
    <w:rsid w:val="00901488"/>
    <w:rsid w:val="009014AB"/>
    <w:rsid w:val="00901C10"/>
    <w:rsid w:val="00902B6C"/>
    <w:rsid w:val="00903ABD"/>
    <w:rsid w:val="009046C4"/>
    <w:rsid w:val="00904A36"/>
    <w:rsid w:val="00904B81"/>
    <w:rsid w:val="00904EDA"/>
    <w:rsid w:val="00905778"/>
    <w:rsid w:val="00905914"/>
    <w:rsid w:val="009062A5"/>
    <w:rsid w:val="00906B60"/>
    <w:rsid w:val="00906C07"/>
    <w:rsid w:val="00907699"/>
    <w:rsid w:val="00907C9A"/>
    <w:rsid w:val="0091000E"/>
    <w:rsid w:val="00910418"/>
    <w:rsid w:val="00910A1E"/>
    <w:rsid w:val="00910FA7"/>
    <w:rsid w:val="00911272"/>
    <w:rsid w:val="00911339"/>
    <w:rsid w:val="00911B0A"/>
    <w:rsid w:val="009120CF"/>
    <w:rsid w:val="009128F5"/>
    <w:rsid w:val="009132F2"/>
    <w:rsid w:val="009135D6"/>
    <w:rsid w:val="009135EF"/>
    <w:rsid w:val="00913922"/>
    <w:rsid w:val="009142B8"/>
    <w:rsid w:val="009142DE"/>
    <w:rsid w:val="00914906"/>
    <w:rsid w:val="00914AFE"/>
    <w:rsid w:val="00914C77"/>
    <w:rsid w:val="00915B3B"/>
    <w:rsid w:val="00915F18"/>
    <w:rsid w:val="00916AE2"/>
    <w:rsid w:val="0092009C"/>
    <w:rsid w:val="0092017B"/>
    <w:rsid w:val="009203E8"/>
    <w:rsid w:val="00920E6E"/>
    <w:rsid w:val="00920FF2"/>
    <w:rsid w:val="00921507"/>
    <w:rsid w:val="00921ACB"/>
    <w:rsid w:val="00922705"/>
    <w:rsid w:val="009231C9"/>
    <w:rsid w:val="0092349A"/>
    <w:rsid w:val="0092369B"/>
    <w:rsid w:val="009237AA"/>
    <w:rsid w:val="009238EB"/>
    <w:rsid w:val="00924CE2"/>
    <w:rsid w:val="00925318"/>
    <w:rsid w:val="00925705"/>
    <w:rsid w:val="009262AA"/>
    <w:rsid w:val="009262AD"/>
    <w:rsid w:val="009265D8"/>
    <w:rsid w:val="00927439"/>
    <w:rsid w:val="00927BB0"/>
    <w:rsid w:val="0093029B"/>
    <w:rsid w:val="009308A2"/>
    <w:rsid w:val="009308EB"/>
    <w:rsid w:val="00930A73"/>
    <w:rsid w:val="00931471"/>
    <w:rsid w:val="00931530"/>
    <w:rsid w:val="00932217"/>
    <w:rsid w:val="00932313"/>
    <w:rsid w:val="00932D53"/>
    <w:rsid w:val="009330AC"/>
    <w:rsid w:val="009330DB"/>
    <w:rsid w:val="00933330"/>
    <w:rsid w:val="0093381F"/>
    <w:rsid w:val="00933A0E"/>
    <w:rsid w:val="00934962"/>
    <w:rsid w:val="00934988"/>
    <w:rsid w:val="00934AEE"/>
    <w:rsid w:val="00934ED4"/>
    <w:rsid w:val="00934FCF"/>
    <w:rsid w:val="00935354"/>
    <w:rsid w:val="0093538E"/>
    <w:rsid w:val="009362B7"/>
    <w:rsid w:val="00937089"/>
    <w:rsid w:val="009370AC"/>
    <w:rsid w:val="00937D03"/>
    <w:rsid w:val="00937D9F"/>
    <w:rsid w:val="00937E85"/>
    <w:rsid w:val="009401B5"/>
    <w:rsid w:val="009404F1"/>
    <w:rsid w:val="00942082"/>
    <w:rsid w:val="00942EC1"/>
    <w:rsid w:val="0094313C"/>
    <w:rsid w:val="009433C8"/>
    <w:rsid w:val="00943CDC"/>
    <w:rsid w:val="00944DFA"/>
    <w:rsid w:val="00944F8A"/>
    <w:rsid w:val="00945740"/>
    <w:rsid w:val="00945A4D"/>
    <w:rsid w:val="00945B54"/>
    <w:rsid w:val="00947B6C"/>
    <w:rsid w:val="009503CB"/>
    <w:rsid w:val="00950A24"/>
    <w:rsid w:val="009510A2"/>
    <w:rsid w:val="009513DF"/>
    <w:rsid w:val="009527C8"/>
    <w:rsid w:val="00952DBF"/>
    <w:rsid w:val="00952EF5"/>
    <w:rsid w:val="00953257"/>
    <w:rsid w:val="009534E9"/>
    <w:rsid w:val="0095474C"/>
    <w:rsid w:val="00954F90"/>
    <w:rsid w:val="00955208"/>
    <w:rsid w:val="00955DC2"/>
    <w:rsid w:val="00955FF7"/>
    <w:rsid w:val="009560B7"/>
    <w:rsid w:val="00956295"/>
    <w:rsid w:val="009566C4"/>
    <w:rsid w:val="0095727F"/>
    <w:rsid w:val="00957D92"/>
    <w:rsid w:val="009603A4"/>
    <w:rsid w:val="00960466"/>
    <w:rsid w:val="009621F5"/>
    <w:rsid w:val="009625F3"/>
    <w:rsid w:val="0096291E"/>
    <w:rsid w:val="00962CB9"/>
    <w:rsid w:val="0096350F"/>
    <w:rsid w:val="00964312"/>
    <w:rsid w:val="00964D2F"/>
    <w:rsid w:val="00965B8A"/>
    <w:rsid w:val="0096605D"/>
    <w:rsid w:val="00966452"/>
    <w:rsid w:val="00966E6A"/>
    <w:rsid w:val="009700F3"/>
    <w:rsid w:val="0097071F"/>
    <w:rsid w:val="009717AC"/>
    <w:rsid w:val="00971936"/>
    <w:rsid w:val="00971B49"/>
    <w:rsid w:val="0097223D"/>
    <w:rsid w:val="00972763"/>
    <w:rsid w:val="00972A20"/>
    <w:rsid w:val="009731AB"/>
    <w:rsid w:val="009731F3"/>
    <w:rsid w:val="0097369C"/>
    <w:rsid w:val="00973C63"/>
    <w:rsid w:val="00974ABF"/>
    <w:rsid w:val="009751C1"/>
    <w:rsid w:val="00976BFF"/>
    <w:rsid w:val="009772A5"/>
    <w:rsid w:val="0097798D"/>
    <w:rsid w:val="0098038C"/>
    <w:rsid w:val="009811F1"/>
    <w:rsid w:val="009812C8"/>
    <w:rsid w:val="009815D1"/>
    <w:rsid w:val="0098191B"/>
    <w:rsid w:val="0098302F"/>
    <w:rsid w:val="00983424"/>
    <w:rsid w:val="00983B3F"/>
    <w:rsid w:val="00983E57"/>
    <w:rsid w:val="00983F27"/>
    <w:rsid w:val="00985A3D"/>
    <w:rsid w:val="00985ADF"/>
    <w:rsid w:val="00985DE2"/>
    <w:rsid w:val="00986566"/>
    <w:rsid w:val="0098675D"/>
    <w:rsid w:val="00986EFD"/>
    <w:rsid w:val="00987778"/>
    <w:rsid w:val="00987BA4"/>
    <w:rsid w:val="00987D9E"/>
    <w:rsid w:val="00990B88"/>
    <w:rsid w:val="00991A57"/>
    <w:rsid w:val="00991D2F"/>
    <w:rsid w:val="00991F5B"/>
    <w:rsid w:val="0099202C"/>
    <w:rsid w:val="00992442"/>
    <w:rsid w:val="009926E0"/>
    <w:rsid w:val="009927F7"/>
    <w:rsid w:val="00993F53"/>
    <w:rsid w:val="00993FA6"/>
    <w:rsid w:val="0099447C"/>
    <w:rsid w:val="0099451E"/>
    <w:rsid w:val="00996B1A"/>
    <w:rsid w:val="00997A18"/>
    <w:rsid w:val="009A00BD"/>
    <w:rsid w:val="009A16B8"/>
    <w:rsid w:val="009A18F6"/>
    <w:rsid w:val="009A22FB"/>
    <w:rsid w:val="009A28A2"/>
    <w:rsid w:val="009A2DCC"/>
    <w:rsid w:val="009A2F29"/>
    <w:rsid w:val="009A2FBC"/>
    <w:rsid w:val="009A30CE"/>
    <w:rsid w:val="009A3280"/>
    <w:rsid w:val="009A3614"/>
    <w:rsid w:val="009A4A06"/>
    <w:rsid w:val="009A5299"/>
    <w:rsid w:val="009A57B5"/>
    <w:rsid w:val="009A59CA"/>
    <w:rsid w:val="009A5ABC"/>
    <w:rsid w:val="009A5EAE"/>
    <w:rsid w:val="009A602D"/>
    <w:rsid w:val="009A6753"/>
    <w:rsid w:val="009A7259"/>
    <w:rsid w:val="009A7EE0"/>
    <w:rsid w:val="009A7F10"/>
    <w:rsid w:val="009B1479"/>
    <w:rsid w:val="009B23A9"/>
    <w:rsid w:val="009B25CB"/>
    <w:rsid w:val="009B263D"/>
    <w:rsid w:val="009B3E26"/>
    <w:rsid w:val="009B3E57"/>
    <w:rsid w:val="009B4E49"/>
    <w:rsid w:val="009B58C4"/>
    <w:rsid w:val="009B5DB6"/>
    <w:rsid w:val="009B5F69"/>
    <w:rsid w:val="009B6F7B"/>
    <w:rsid w:val="009B7795"/>
    <w:rsid w:val="009B77CC"/>
    <w:rsid w:val="009C1271"/>
    <w:rsid w:val="009C15E8"/>
    <w:rsid w:val="009C1749"/>
    <w:rsid w:val="009C1F4C"/>
    <w:rsid w:val="009C223D"/>
    <w:rsid w:val="009C34E6"/>
    <w:rsid w:val="009C3706"/>
    <w:rsid w:val="009C3A3A"/>
    <w:rsid w:val="009C3CF6"/>
    <w:rsid w:val="009C3D14"/>
    <w:rsid w:val="009C3EF7"/>
    <w:rsid w:val="009C45FD"/>
    <w:rsid w:val="009C4A26"/>
    <w:rsid w:val="009C4ACB"/>
    <w:rsid w:val="009C5E27"/>
    <w:rsid w:val="009C67BE"/>
    <w:rsid w:val="009C6861"/>
    <w:rsid w:val="009C6CEA"/>
    <w:rsid w:val="009C6F37"/>
    <w:rsid w:val="009C6F4F"/>
    <w:rsid w:val="009C7B85"/>
    <w:rsid w:val="009D0254"/>
    <w:rsid w:val="009D0B35"/>
    <w:rsid w:val="009D141D"/>
    <w:rsid w:val="009D1518"/>
    <w:rsid w:val="009D1A64"/>
    <w:rsid w:val="009D1ED8"/>
    <w:rsid w:val="009D1FEC"/>
    <w:rsid w:val="009D20A3"/>
    <w:rsid w:val="009D25E6"/>
    <w:rsid w:val="009D261E"/>
    <w:rsid w:val="009D278D"/>
    <w:rsid w:val="009D2822"/>
    <w:rsid w:val="009D282F"/>
    <w:rsid w:val="009D4107"/>
    <w:rsid w:val="009D4868"/>
    <w:rsid w:val="009D5B91"/>
    <w:rsid w:val="009D610C"/>
    <w:rsid w:val="009D61C4"/>
    <w:rsid w:val="009D7419"/>
    <w:rsid w:val="009D76C0"/>
    <w:rsid w:val="009D792E"/>
    <w:rsid w:val="009E0A87"/>
    <w:rsid w:val="009E0DFE"/>
    <w:rsid w:val="009E2D90"/>
    <w:rsid w:val="009E31C9"/>
    <w:rsid w:val="009E31F6"/>
    <w:rsid w:val="009E38C6"/>
    <w:rsid w:val="009E4C07"/>
    <w:rsid w:val="009E5D5F"/>
    <w:rsid w:val="009E65F9"/>
    <w:rsid w:val="009E6746"/>
    <w:rsid w:val="009E6BA7"/>
    <w:rsid w:val="009E777F"/>
    <w:rsid w:val="009E7919"/>
    <w:rsid w:val="009F10F1"/>
    <w:rsid w:val="009F181A"/>
    <w:rsid w:val="009F2972"/>
    <w:rsid w:val="009F2D5F"/>
    <w:rsid w:val="009F3A6A"/>
    <w:rsid w:val="009F3B42"/>
    <w:rsid w:val="009F4091"/>
    <w:rsid w:val="009F6120"/>
    <w:rsid w:val="009F61C2"/>
    <w:rsid w:val="009F683C"/>
    <w:rsid w:val="009F68C2"/>
    <w:rsid w:val="009F72EB"/>
    <w:rsid w:val="009F7616"/>
    <w:rsid w:val="00A0086D"/>
    <w:rsid w:val="00A00D76"/>
    <w:rsid w:val="00A01184"/>
    <w:rsid w:val="00A01449"/>
    <w:rsid w:val="00A01547"/>
    <w:rsid w:val="00A03452"/>
    <w:rsid w:val="00A03609"/>
    <w:rsid w:val="00A037C2"/>
    <w:rsid w:val="00A039B9"/>
    <w:rsid w:val="00A03D43"/>
    <w:rsid w:val="00A040CD"/>
    <w:rsid w:val="00A04380"/>
    <w:rsid w:val="00A045C8"/>
    <w:rsid w:val="00A04786"/>
    <w:rsid w:val="00A049B8"/>
    <w:rsid w:val="00A04FC0"/>
    <w:rsid w:val="00A05472"/>
    <w:rsid w:val="00A05505"/>
    <w:rsid w:val="00A05C32"/>
    <w:rsid w:val="00A0627C"/>
    <w:rsid w:val="00A0653F"/>
    <w:rsid w:val="00A071F9"/>
    <w:rsid w:val="00A07536"/>
    <w:rsid w:val="00A07837"/>
    <w:rsid w:val="00A07A32"/>
    <w:rsid w:val="00A07B40"/>
    <w:rsid w:val="00A07B6F"/>
    <w:rsid w:val="00A07BAB"/>
    <w:rsid w:val="00A1092A"/>
    <w:rsid w:val="00A11244"/>
    <w:rsid w:val="00A11BE9"/>
    <w:rsid w:val="00A11CD0"/>
    <w:rsid w:val="00A11E88"/>
    <w:rsid w:val="00A121C0"/>
    <w:rsid w:val="00A12716"/>
    <w:rsid w:val="00A12A4B"/>
    <w:rsid w:val="00A134A9"/>
    <w:rsid w:val="00A137F6"/>
    <w:rsid w:val="00A13948"/>
    <w:rsid w:val="00A13AB0"/>
    <w:rsid w:val="00A14AE1"/>
    <w:rsid w:val="00A14BC4"/>
    <w:rsid w:val="00A15068"/>
    <w:rsid w:val="00A15544"/>
    <w:rsid w:val="00A1555B"/>
    <w:rsid w:val="00A155C5"/>
    <w:rsid w:val="00A15B86"/>
    <w:rsid w:val="00A16357"/>
    <w:rsid w:val="00A1692D"/>
    <w:rsid w:val="00A16AD8"/>
    <w:rsid w:val="00A17CD0"/>
    <w:rsid w:val="00A20208"/>
    <w:rsid w:val="00A2021E"/>
    <w:rsid w:val="00A20BCE"/>
    <w:rsid w:val="00A20F20"/>
    <w:rsid w:val="00A21C95"/>
    <w:rsid w:val="00A21CF3"/>
    <w:rsid w:val="00A2225B"/>
    <w:rsid w:val="00A222F1"/>
    <w:rsid w:val="00A22F1C"/>
    <w:rsid w:val="00A2338F"/>
    <w:rsid w:val="00A2435B"/>
    <w:rsid w:val="00A244A4"/>
    <w:rsid w:val="00A24813"/>
    <w:rsid w:val="00A25086"/>
    <w:rsid w:val="00A26043"/>
    <w:rsid w:val="00A260EE"/>
    <w:rsid w:val="00A272E5"/>
    <w:rsid w:val="00A27AEC"/>
    <w:rsid w:val="00A27DC1"/>
    <w:rsid w:val="00A31AE3"/>
    <w:rsid w:val="00A320DB"/>
    <w:rsid w:val="00A323E6"/>
    <w:rsid w:val="00A32937"/>
    <w:rsid w:val="00A33384"/>
    <w:rsid w:val="00A33434"/>
    <w:rsid w:val="00A33DC6"/>
    <w:rsid w:val="00A33F4E"/>
    <w:rsid w:val="00A35087"/>
    <w:rsid w:val="00A35431"/>
    <w:rsid w:val="00A356AB"/>
    <w:rsid w:val="00A35D16"/>
    <w:rsid w:val="00A3622C"/>
    <w:rsid w:val="00A3714A"/>
    <w:rsid w:val="00A37382"/>
    <w:rsid w:val="00A379CD"/>
    <w:rsid w:val="00A37AF4"/>
    <w:rsid w:val="00A37BCD"/>
    <w:rsid w:val="00A37BE0"/>
    <w:rsid w:val="00A37E6E"/>
    <w:rsid w:val="00A401F3"/>
    <w:rsid w:val="00A40517"/>
    <w:rsid w:val="00A41689"/>
    <w:rsid w:val="00A41F99"/>
    <w:rsid w:val="00A42592"/>
    <w:rsid w:val="00A43C59"/>
    <w:rsid w:val="00A43D20"/>
    <w:rsid w:val="00A43E68"/>
    <w:rsid w:val="00A4435B"/>
    <w:rsid w:val="00A44FD6"/>
    <w:rsid w:val="00A45673"/>
    <w:rsid w:val="00A466CE"/>
    <w:rsid w:val="00A4670E"/>
    <w:rsid w:val="00A4762B"/>
    <w:rsid w:val="00A50846"/>
    <w:rsid w:val="00A50D53"/>
    <w:rsid w:val="00A50ECD"/>
    <w:rsid w:val="00A518F3"/>
    <w:rsid w:val="00A51F6B"/>
    <w:rsid w:val="00A52729"/>
    <w:rsid w:val="00A52DA4"/>
    <w:rsid w:val="00A53675"/>
    <w:rsid w:val="00A54140"/>
    <w:rsid w:val="00A544F2"/>
    <w:rsid w:val="00A54ADF"/>
    <w:rsid w:val="00A54BF5"/>
    <w:rsid w:val="00A5580E"/>
    <w:rsid w:val="00A55BE0"/>
    <w:rsid w:val="00A55CBF"/>
    <w:rsid w:val="00A561FE"/>
    <w:rsid w:val="00A564D7"/>
    <w:rsid w:val="00A5670B"/>
    <w:rsid w:val="00A56B6A"/>
    <w:rsid w:val="00A56C61"/>
    <w:rsid w:val="00A56D9F"/>
    <w:rsid w:val="00A575C9"/>
    <w:rsid w:val="00A578DC"/>
    <w:rsid w:val="00A57B0C"/>
    <w:rsid w:val="00A60641"/>
    <w:rsid w:val="00A60C60"/>
    <w:rsid w:val="00A60D62"/>
    <w:rsid w:val="00A622E7"/>
    <w:rsid w:val="00A62354"/>
    <w:rsid w:val="00A640E2"/>
    <w:rsid w:val="00A644A9"/>
    <w:rsid w:val="00A64D65"/>
    <w:rsid w:val="00A65721"/>
    <w:rsid w:val="00A65895"/>
    <w:rsid w:val="00A6678A"/>
    <w:rsid w:val="00A6725B"/>
    <w:rsid w:val="00A701EE"/>
    <w:rsid w:val="00A70352"/>
    <w:rsid w:val="00A70605"/>
    <w:rsid w:val="00A7108C"/>
    <w:rsid w:val="00A72432"/>
    <w:rsid w:val="00A7245E"/>
    <w:rsid w:val="00A73134"/>
    <w:rsid w:val="00A734D0"/>
    <w:rsid w:val="00A7365A"/>
    <w:rsid w:val="00A74287"/>
    <w:rsid w:val="00A74841"/>
    <w:rsid w:val="00A753E8"/>
    <w:rsid w:val="00A7544A"/>
    <w:rsid w:val="00A758F6"/>
    <w:rsid w:val="00A76001"/>
    <w:rsid w:val="00A762BE"/>
    <w:rsid w:val="00A76AD4"/>
    <w:rsid w:val="00A777B2"/>
    <w:rsid w:val="00A8043D"/>
    <w:rsid w:val="00A80817"/>
    <w:rsid w:val="00A8158C"/>
    <w:rsid w:val="00A81C89"/>
    <w:rsid w:val="00A825D4"/>
    <w:rsid w:val="00A828F6"/>
    <w:rsid w:val="00A82B73"/>
    <w:rsid w:val="00A82C60"/>
    <w:rsid w:val="00A83CB2"/>
    <w:rsid w:val="00A83EBA"/>
    <w:rsid w:val="00A84D46"/>
    <w:rsid w:val="00A84D95"/>
    <w:rsid w:val="00A85097"/>
    <w:rsid w:val="00A865E2"/>
    <w:rsid w:val="00A86E8B"/>
    <w:rsid w:val="00A86FCB"/>
    <w:rsid w:val="00A87164"/>
    <w:rsid w:val="00A87E31"/>
    <w:rsid w:val="00A90416"/>
    <w:rsid w:val="00A91836"/>
    <w:rsid w:val="00A91EAA"/>
    <w:rsid w:val="00A92AEF"/>
    <w:rsid w:val="00A93072"/>
    <w:rsid w:val="00A938BD"/>
    <w:rsid w:val="00A93953"/>
    <w:rsid w:val="00A953E4"/>
    <w:rsid w:val="00A959D8"/>
    <w:rsid w:val="00A95E22"/>
    <w:rsid w:val="00A963A9"/>
    <w:rsid w:val="00A97F6E"/>
    <w:rsid w:val="00AA00A2"/>
    <w:rsid w:val="00AA113D"/>
    <w:rsid w:val="00AA1758"/>
    <w:rsid w:val="00AA1C43"/>
    <w:rsid w:val="00AA2471"/>
    <w:rsid w:val="00AA3DC4"/>
    <w:rsid w:val="00AA58D0"/>
    <w:rsid w:val="00AA6BD5"/>
    <w:rsid w:val="00AA6BD8"/>
    <w:rsid w:val="00AA6C7D"/>
    <w:rsid w:val="00AA6FD7"/>
    <w:rsid w:val="00AA746A"/>
    <w:rsid w:val="00AA7E55"/>
    <w:rsid w:val="00AA7FD6"/>
    <w:rsid w:val="00AB0046"/>
    <w:rsid w:val="00AB038C"/>
    <w:rsid w:val="00AB03C7"/>
    <w:rsid w:val="00AB042A"/>
    <w:rsid w:val="00AB11AD"/>
    <w:rsid w:val="00AB19EF"/>
    <w:rsid w:val="00AB1CEA"/>
    <w:rsid w:val="00AB1D5D"/>
    <w:rsid w:val="00AB1FC0"/>
    <w:rsid w:val="00AB2495"/>
    <w:rsid w:val="00AB2B42"/>
    <w:rsid w:val="00AB2D34"/>
    <w:rsid w:val="00AB3430"/>
    <w:rsid w:val="00AB357B"/>
    <w:rsid w:val="00AB37B9"/>
    <w:rsid w:val="00AB45DC"/>
    <w:rsid w:val="00AB4AD1"/>
    <w:rsid w:val="00AB4BE4"/>
    <w:rsid w:val="00AB5290"/>
    <w:rsid w:val="00AB588F"/>
    <w:rsid w:val="00AB5AD9"/>
    <w:rsid w:val="00AB5CD2"/>
    <w:rsid w:val="00AB5E07"/>
    <w:rsid w:val="00AB6A08"/>
    <w:rsid w:val="00AB7435"/>
    <w:rsid w:val="00AB7548"/>
    <w:rsid w:val="00AB7953"/>
    <w:rsid w:val="00AB7C21"/>
    <w:rsid w:val="00AB7CFA"/>
    <w:rsid w:val="00AC0142"/>
    <w:rsid w:val="00AC0B66"/>
    <w:rsid w:val="00AC183B"/>
    <w:rsid w:val="00AC191C"/>
    <w:rsid w:val="00AC1A79"/>
    <w:rsid w:val="00AC1B4B"/>
    <w:rsid w:val="00AC2DED"/>
    <w:rsid w:val="00AC2EB8"/>
    <w:rsid w:val="00AC403E"/>
    <w:rsid w:val="00AC4054"/>
    <w:rsid w:val="00AC4B0A"/>
    <w:rsid w:val="00AC4B54"/>
    <w:rsid w:val="00AC4DC7"/>
    <w:rsid w:val="00AC55E5"/>
    <w:rsid w:val="00AC5B42"/>
    <w:rsid w:val="00AC5B48"/>
    <w:rsid w:val="00AC628E"/>
    <w:rsid w:val="00AC6EDE"/>
    <w:rsid w:val="00AC7512"/>
    <w:rsid w:val="00AD0248"/>
    <w:rsid w:val="00AD02B5"/>
    <w:rsid w:val="00AD09C0"/>
    <w:rsid w:val="00AD0AEA"/>
    <w:rsid w:val="00AD0C58"/>
    <w:rsid w:val="00AD1450"/>
    <w:rsid w:val="00AD15E8"/>
    <w:rsid w:val="00AD19D7"/>
    <w:rsid w:val="00AD1F12"/>
    <w:rsid w:val="00AD271F"/>
    <w:rsid w:val="00AD356D"/>
    <w:rsid w:val="00AD3CC2"/>
    <w:rsid w:val="00AD520C"/>
    <w:rsid w:val="00AD548A"/>
    <w:rsid w:val="00AD6502"/>
    <w:rsid w:val="00AD667B"/>
    <w:rsid w:val="00AD6F5C"/>
    <w:rsid w:val="00AD75FD"/>
    <w:rsid w:val="00AD7F48"/>
    <w:rsid w:val="00AE0695"/>
    <w:rsid w:val="00AE06F6"/>
    <w:rsid w:val="00AE096B"/>
    <w:rsid w:val="00AE0F4C"/>
    <w:rsid w:val="00AE1331"/>
    <w:rsid w:val="00AE1F9C"/>
    <w:rsid w:val="00AE23AF"/>
    <w:rsid w:val="00AE2EEA"/>
    <w:rsid w:val="00AE3260"/>
    <w:rsid w:val="00AE3E7E"/>
    <w:rsid w:val="00AE447B"/>
    <w:rsid w:val="00AE4C8B"/>
    <w:rsid w:val="00AE5432"/>
    <w:rsid w:val="00AE6B76"/>
    <w:rsid w:val="00AE70E8"/>
    <w:rsid w:val="00AE73A7"/>
    <w:rsid w:val="00AE74ED"/>
    <w:rsid w:val="00AE77E8"/>
    <w:rsid w:val="00AE7E53"/>
    <w:rsid w:val="00AF0093"/>
    <w:rsid w:val="00AF0440"/>
    <w:rsid w:val="00AF1315"/>
    <w:rsid w:val="00AF19BF"/>
    <w:rsid w:val="00AF2131"/>
    <w:rsid w:val="00AF25FC"/>
    <w:rsid w:val="00AF2DC3"/>
    <w:rsid w:val="00AF30DB"/>
    <w:rsid w:val="00AF3168"/>
    <w:rsid w:val="00AF347D"/>
    <w:rsid w:val="00AF372A"/>
    <w:rsid w:val="00AF4DC5"/>
    <w:rsid w:val="00AF55E3"/>
    <w:rsid w:val="00AF5A78"/>
    <w:rsid w:val="00AF5F55"/>
    <w:rsid w:val="00AF652B"/>
    <w:rsid w:val="00AF6A00"/>
    <w:rsid w:val="00AF7259"/>
    <w:rsid w:val="00AF7415"/>
    <w:rsid w:val="00B0077A"/>
    <w:rsid w:val="00B00A8D"/>
    <w:rsid w:val="00B00CA0"/>
    <w:rsid w:val="00B00F67"/>
    <w:rsid w:val="00B012BE"/>
    <w:rsid w:val="00B016EE"/>
    <w:rsid w:val="00B0336C"/>
    <w:rsid w:val="00B033E5"/>
    <w:rsid w:val="00B03A63"/>
    <w:rsid w:val="00B03B24"/>
    <w:rsid w:val="00B04D82"/>
    <w:rsid w:val="00B0531C"/>
    <w:rsid w:val="00B06B01"/>
    <w:rsid w:val="00B07CF1"/>
    <w:rsid w:val="00B101EE"/>
    <w:rsid w:val="00B10FDC"/>
    <w:rsid w:val="00B11F49"/>
    <w:rsid w:val="00B1226B"/>
    <w:rsid w:val="00B129A4"/>
    <w:rsid w:val="00B12B38"/>
    <w:rsid w:val="00B12BFF"/>
    <w:rsid w:val="00B134D3"/>
    <w:rsid w:val="00B13D60"/>
    <w:rsid w:val="00B1436F"/>
    <w:rsid w:val="00B154C4"/>
    <w:rsid w:val="00B15742"/>
    <w:rsid w:val="00B15C2D"/>
    <w:rsid w:val="00B15C3D"/>
    <w:rsid w:val="00B1625E"/>
    <w:rsid w:val="00B169D9"/>
    <w:rsid w:val="00B17149"/>
    <w:rsid w:val="00B173EC"/>
    <w:rsid w:val="00B178E9"/>
    <w:rsid w:val="00B17B05"/>
    <w:rsid w:val="00B201A4"/>
    <w:rsid w:val="00B201D1"/>
    <w:rsid w:val="00B20240"/>
    <w:rsid w:val="00B205BE"/>
    <w:rsid w:val="00B20800"/>
    <w:rsid w:val="00B2084F"/>
    <w:rsid w:val="00B21088"/>
    <w:rsid w:val="00B210E5"/>
    <w:rsid w:val="00B213A6"/>
    <w:rsid w:val="00B214FA"/>
    <w:rsid w:val="00B2207F"/>
    <w:rsid w:val="00B229BA"/>
    <w:rsid w:val="00B23286"/>
    <w:rsid w:val="00B23429"/>
    <w:rsid w:val="00B235B0"/>
    <w:rsid w:val="00B23901"/>
    <w:rsid w:val="00B23EBF"/>
    <w:rsid w:val="00B24DF6"/>
    <w:rsid w:val="00B2556F"/>
    <w:rsid w:val="00B2641B"/>
    <w:rsid w:val="00B2642A"/>
    <w:rsid w:val="00B269AC"/>
    <w:rsid w:val="00B27A61"/>
    <w:rsid w:val="00B27CE4"/>
    <w:rsid w:val="00B30B20"/>
    <w:rsid w:val="00B30CB4"/>
    <w:rsid w:val="00B31321"/>
    <w:rsid w:val="00B3195C"/>
    <w:rsid w:val="00B32752"/>
    <w:rsid w:val="00B32A45"/>
    <w:rsid w:val="00B33737"/>
    <w:rsid w:val="00B34918"/>
    <w:rsid w:val="00B34A29"/>
    <w:rsid w:val="00B34CAB"/>
    <w:rsid w:val="00B34FE2"/>
    <w:rsid w:val="00B35166"/>
    <w:rsid w:val="00B357D8"/>
    <w:rsid w:val="00B35BCF"/>
    <w:rsid w:val="00B35D0D"/>
    <w:rsid w:val="00B360F4"/>
    <w:rsid w:val="00B361A1"/>
    <w:rsid w:val="00B3668B"/>
    <w:rsid w:val="00B36831"/>
    <w:rsid w:val="00B36957"/>
    <w:rsid w:val="00B36A00"/>
    <w:rsid w:val="00B36B40"/>
    <w:rsid w:val="00B3792B"/>
    <w:rsid w:val="00B37BFC"/>
    <w:rsid w:val="00B4001D"/>
    <w:rsid w:val="00B40358"/>
    <w:rsid w:val="00B4077E"/>
    <w:rsid w:val="00B40BAC"/>
    <w:rsid w:val="00B41614"/>
    <w:rsid w:val="00B41C67"/>
    <w:rsid w:val="00B41E83"/>
    <w:rsid w:val="00B420E7"/>
    <w:rsid w:val="00B42851"/>
    <w:rsid w:val="00B42958"/>
    <w:rsid w:val="00B42F1F"/>
    <w:rsid w:val="00B42F80"/>
    <w:rsid w:val="00B43313"/>
    <w:rsid w:val="00B435CB"/>
    <w:rsid w:val="00B43FD2"/>
    <w:rsid w:val="00B46485"/>
    <w:rsid w:val="00B465EC"/>
    <w:rsid w:val="00B46A58"/>
    <w:rsid w:val="00B4720A"/>
    <w:rsid w:val="00B505C8"/>
    <w:rsid w:val="00B50DB8"/>
    <w:rsid w:val="00B516BA"/>
    <w:rsid w:val="00B5172B"/>
    <w:rsid w:val="00B53651"/>
    <w:rsid w:val="00B53654"/>
    <w:rsid w:val="00B53905"/>
    <w:rsid w:val="00B546DB"/>
    <w:rsid w:val="00B54B5B"/>
    <w:rsid w:val="00B5527C"/>
    <w:rsid w:val="00B552C8"/>
    <w:rsid w:val="00B5562E"/>
    <w:rsid w:val="00B55862"/>
    <w:rsid w:val="00B55D65"/>
    <w:rsid w:val="00B561CB"/>
    <w:rsid w:val="00B56305"/>
    <w:rsid w:val="00B56A49"/>
    <w:rsid w:val="00B56B63"/>
    <w:rsid w:val="00B57000"/>
    <w:rsid w:val="00B57AF9"/>
    <w:rsid w:val="00B57E5F"/>
    <w:rsid w:val="00B57F31"/>
    <w:rsid w:val="00B605D0"/>
    <w:rsid w:val="00B607FB"/>
    <w:rsid w:val="00B60939"/>
    <w:rsid w:val="00B60A25"/>
    <w:rsid w:val="00B60AFD"/>
    <w:rsid w:val="00B610E9"/>
    <w:rsid w:val="00B6253F"/>
    <w:rsid w:val="00B62715"/>
    <w:rsid w:val="00B62E17"/>
    <w:rsid w:val="00B63810"/>
    <w:rsid w:val="00B64271"/>
    <w:rsid w:val="00B643A2"/>
    <w:rsid w:val="00B647F3"/>
    <w:rsid w:val="00B65611"/>
    <w:rsid w:val="00B65F37"/>
    <w:rsid w:val="00B66324"/>
    <w:rsid w:val="00B66558"/>
    <w:rsid w:val="00B66641"/>
    <w:rsid w:val="00B66CD3"/>
    <w:rsid w:val="00B6725F"/>
    <w:rsid w:val="00B67D43"/>
    <w:rsid w:val="00B70456"/>
    <w:rsid w:val="00B70E8E"/>
    <w:rsid w:val="00B7127C"/>
    <w:rsid w:val="00B71473"/>
    <w:rsid w:val="00B716B5"/>
    <w:rsid w:val="00B72796"/>
    <w:rsid w:val="00B727C4"/>
    <w:rsid w:val="00B732B5"/>
    <w:rsid w:val="00B73798"/>
    <w:rsid w:val="00B73B4B"/>
    <w:rsid w:val="00B73C05"/>
    <w:rsid w:val="00B75029"/>
    <w:rsid w:val="00B75741"/>
    <w:rsid w:val="00B76B84"/>
    <w:rsid w:val="00B76C92"/>
    <w:rsid w:val="00B76FEC"/>
    <w:rsid w:val="00B77142"/>
    <w:rsid w:val="00B77B8B"/>
    <w:rsid w:val="00B800BC"/>
    <w:rsid w:val="00B8017A"/>
    <w:rsid w:val="00B80EFD"/>
    <w:rsid w:val="00B818A4"/>
    <w:rsid w:val="00B81DB2"/>
    <w:rsid w:val="00B82290"/>
    <w:rsid w:val="00B8271F"/>
    <w:rsid w:val="00B82A7C"/>
    <w:rsid w:val="00B83328"/>
    <w:rsid w:val="00B83739"/>
    <w:rsid w:val="00B83806"/>
    <w:rsid w:val="00B84117"/>
    <w:rsid w:val="00B846AC"/>
    <w:rsid w:val="00B8557B"/>
    <w:rsid w:val="00B85776"/>
    <w:rsid w:val="00B858F0"/>
    <w:rsid w:val="00B85AA2"/>
    <w:rsid w:val="00B85BB7"/>
    <w:rsid w:val="00B86164"/>
    <w:rsid w:val="00B8618A"/>
    <w:rsid w:val="00B8649C"/>
    <w:rsid w:val="00B8695D"/>
    <w:rsid w:val="00B872AC"/>
    <w:rsid w:val="00B87F0A"/>
    <w:rsid w:val="00B907B2"/>
    <w:rsid w:val="00B90AF9"/>
    <w:rsid w:val="00B91211"/>
    <w:rsid w:val="00B92D0B"/>
    <w:rsid w:val="00B944AF"/>
    <w:rsid w:val="00B94945"/>
    <w:rsid w:val="00B94A9C"/>
    <w:rsid w:val="00B94BA4"/>
    <w:rsid w:val="00B94DD6"/>
    <w:rsid w:val="00B94F8F"/>
    <w:rsid w:val="00B9528F"/>
    <w:rsid w:val="00B9569A"/>
    <w:rsid w:val="00B9598D"/>
    <w:rsid w:val="00B96065"/>
    <w:rsid w:val="00B962EB"/>
    <w:rsid w:val="00B9742B"/>
    <w:rsid w:val="00BA012F"/>
    <w:rsid w:val="00BA041D"/>
    <w:rsid w:val="00BA082D"/>
    <w:rsid w:val="00BA1937"/>
    <w:rsid w:val="00BA1D25"/>
    <w:rsid w:val="00BA214E"/>
    <w:rsid w:val="00BA29FE"/>
    <w:rsid w:val="00BA322D"/>
    <w:rsid w:val="00BA46DF"/>
    <w:rsid w:val="00BA4811"/>
    <w:rsid w:val="00BA5123"/>
    <w:rsid w:val="00BA5604"/>
    <w:rsid w:val="00BA5CB9"/>
    <w:rsid w:val="00BA6095"/>
    <w:rsid w:val="00BA63FA"/>
    <w:rsid w:val="00BA6B4C"/>
    <w:rsid w:val="00BB00B3"/>
    <w:rsid w:val="00BB017E"/>
    <w:rsid w:val="00BB0AB2"/>
    <w:rsid w:val="00BB0BDD"/>
    <w:rsid w:val="00BB176C"/>
    <w:rsid w:val="00BB1C81"/>
    <w:rsid w:val="00BB1DF6"/>
    <w:rsid w:val="00BB213B"/>
    <w:rsid w:val="00BB27C0"/>
    <w:rsid w:val="00BB2A73"/>
    <w:rsid w:val="00BB2AD2"/>
    <w:rsid w:val="00BB30AF"/>
    <w:rsid w:val="00BB36F7"/>
    <w:rsid w:val="00BB3A09"/>
    <w:rsid w:val="00BB3A45"/>
    <w:rsid w:val="00BB449D"/>
    <w:rsid w:val="00BB49BC"/>
    <w:rsid w:val="00BB4ACC"/>
    <w:rsid w:val="00BB4DD3"/>
    <w:rsid w:val="00BB584C"/>
    <w:rsid w:val="00BB5C60"/>
    <w:rsid w:val="00BB5E50"/>
    <w:rsid w:val="00BB66A6"/>
    <w:rsid w:val="00BB703E"/>
    <w:rsid w:val="00BB732D"/>
    <w:rsid w:val="00BB7405"/>
    <w:rsid w:val="00BB741B"/>
    <w:rsid w:val="00BB7429"/>
    <w:rsid w:val="00BB75C9"/>
    <w:rsid w:val="00BC009E"/>
    <w:rsid w:val="00BC1465"/>
    <w:rsid w:val="00BC2054"/>
    <w:rsid w:val="00BC3631"/>
    <w:rsid w:val="00BC419F"/>
    <w:rsid w:val="00BC4972"/>
    <w:rsid w:val="00BC4F6A"/>
    <w:rsid w:val="00BC51BA"/>
    <w:rsid w:val="00BC591F"/>
    <w:rsid w:val="00BC5D3F"/>
    <w:rsid w:val="00BC5D48"/>
    <w:rsid w:val="00BC5D51"/>
    <w:rsid w:val="00BC6055"/>
    <w:rsid w:val="00BC7983"/>
    <w:rsid w:val="00BC7A41"/>
    <w:rsid w:val="00BC7D6D"/>
    <w:rsid w:val="00BD0881"/>
    <w:rsid w:val="00BD0B9F"/>
    <w:rsid w:val="00BD2108"/>
    <w:rsid w:val="00BD2607"/>
    <w:rsid w:val="00BD2D09"/>
    <w:rsid w:val="00BD35A6"/>
    <w:rsid w:val="00BD406B"/>
    <w:rsid w:val="00BD4439"/>
    <w:rsid w:val="00BD4671"/>
    <w:rsid w:val="00BD5902"/>
    <w:rsid w:val="00BD5F64"/>
    <w:rsid w:val="00BD610D"/>
    <w:rsid w:val="00BD6354"/>
    <w:rsid w:val="00BD67D6"/>
    <w:rsid w:val="00BD68A3"/>
    <w:rsid w:val="00BD6938"/>
    <w:rsid w:val="00BD6AE2"/>
    <w:rsid w:val="00BD6CF3"/>
    <w:rsid w:val="00BD6DA2"/>
    <w:rsid w:val="00BD6DF2"/>
    <w:rsid w:val="00BD6E1E"/>
    <w:rsid w:val="00BD7109"/>
    <w:rsid w:val="00BD71AF"/>
    <w:rsid w:val="00BD79C3"/>
    <w:rsid w:val="00BD7F72"/>
    <w:rsid w:val="00BE0870"/>
    <w:rsid w:val="00BE0ECA"/>
    <w:rsid w:val="00BE124E"/>
    <w:rsid w:val="00BE14E6"/>
    <w:rsid w:val="00BE1837"/>
    <w:rsid w:val="00BE1A17"/>
    <w:rsid w:val="00BE1E68"/>
    <w:rsid w:val="00BE20C0"/>
    <w:rsid w:val="00BE2180"/>
    <w:rsid w:val="00BE21F2"/>
    <w:rsid w:val="00BE323A"/>
    <w:rsid w:val="00BE4191"/>
    <w:rsid w:val="00BE4205"/>
    <w:rsid w:val="00BE4275"/>
    <w:rsid w:val="00BE451C"/>
    <w:rsid w:val="00BE57D5"/>
    <w:rsid w:val="00BE67B3"/>
    <w:rsid w:val="00BE6AB0"/>
    <w:rsid w:val="00BE6DF9"/>
    <w:rsid w:val="00BE7A5D"/>
    <w:rsid w:val="00BF040C"/>
    <w:rsid w:val="00BF06AE"/>
    <w:rsid w:val="00BF0F95"/>
    <w:rsid w:val="00BF1036"/>
    <w:rsid w:val="00BF10B9"/>
    <w:rsid w:val="00BF13FC"/>
    <w:rsid w:val="00BF1D3C"/>
    <w:rsid w:val="00BF2433"/>
    <w:rsid w:val="00BF24DD"/>
    <w:rsid w:val="00BF2691"/>
    <w:rsid w:val="00BF28B4"/>
    <w:rsid w:val="00BF2E6E"/>
    <w:rsid w:val="00BF3416"/>
    <w:rsid w:val="00BF35AC"/>
    <w:rsid w:val="00BF3BC5"/>
    <w:rsid w:val="00BF3BD5"/>
    <w:rsid w:val="00BF3E46"/>
    <w:rsid w:val="00BF4673"/>
    <w:rsid w:val="00BF488E"/>
    <w:rsid w:val="00BF4E67"/>
    <w:rsid w:val="00BF5931"/>
    <w:rsid w:val="00BF6199"/>
    <w:rsid w:val="00BF61C9"/>
    <w:rsid w:val="00BF61E1"/>
    <w:rsid w:val="00BF6203"/>
    <w:rsid w:val="00BF6C94"/>
    <w:rsid w:val="00BF73FB"/>
    <w:rsid w:val="00BF784C"/>
    <w:rsid w:val="00C00424"/>
    <w:rsid w:val="00C007D5"/>
    <w:rsid w:val="00C00B55"/>
    <w:rsid w:val="00C00BB0"/>
    <w:rsid w:val="00C0138B"/>
    <w:rsid w:val="00C01758"/>
    <w:rsid w:val="00C01D77"/>
    <w:rsid w:val="00C03BB0"/>
    <w:rsid w:val="00C05C87"/>
    <w:rsid w:val="00C05E4B"/>
    <w:rsid w:val="00C061A6"/>
    <w:rsid w:val="00C06362"/>
    <w:rsid w:val="00C063A1"/>
    <w:rsid w:val="00C06605"/>
    <w:rsid w:val="00C07028"/>
    <w:rsid w:val="00C07F3E"/>
    <w:rsid w:val="00C103BA"/>
    <w:rsid w:val="00C10E7C"/>
    <w:rsid w:val="00C1179F"/>
    <w:rsid w:val="00C11E9C"/>
    <w:rsid w:val="00C12042"/>
    <w:rsid w:val="00C12359"/>
    <w:rsid w:val="00C1267C"/>
    <w:rsid w:val="00C127B9"/>
    <w:rsid w:val="00C128FA"/>
    <w:rsid w:val="00C1294F"/>
    <w:rsid w:val="00C12C14"/>
    <w:rsid w:val="00C12F59"/>
    <w:rsid w:val="00C134A8"/>
    <w:rsid w:val="00C13E8D"/>
    <w:rsid w:val="00C14280"/>
    <w:rsid w:val="00C14564"/>
    <w:rsid w:val="00C14DDD"/>
    <w:rsid w:val="00C1527D"/>
    <w:rsid w:val="00C1586B"/>
    <w:rsid w:val="00C15F04"/>
    <w:rsid w:val="00C16703"/>
    <w:rsid w:val="00C16965"/>
    <w:rsid w:val="00C16CC6"/>
    <w:rsid w:val="00C16EAF"/>
    <w:rsid w:val="00C175DF"/>
    <w:rsid w:val="00C1769F"/>
    <w:rsid w:val="00C179B3"/>
    <w:rsid w:val="00C17DFB"/>
    <w:rsid w:val="00C17E3F"/>
    <w:rsid w:val="00C17E42"/>
    <w:rsid w:val="00C200AA"/>
    <w:rsid w:val="00C2164A"/>
    <w:rsid w:val="00C216A9"/>
    <w:rsid w:val="00C21D88"/>
    <w:rsid w:val="00C21EC2"/>
    <w:rsid w:val="00C22AAE"/>
    <w:rsid w:val="00C231C8"/>
    <w:rsid w:val="00C235D2"/>
    <w:rsid w:val="00C237ED"/>
    <w:rsid w:val="00C240C4"/>
    <w:rsid w:val="00C2429B"/>
    <w:rsid w:val="00C244DA"/>
    <w:rsid w:val="00C24632"/>
    <w:rsid w:val="00C2464E"/>
    <w:rsid w:val="00C246D7"/>
    <w:rsid w:val="00C249CC"/>
    <w:rsid w:val="00C25418"/>
    <w:rsid w:val="00C25CCA"/>
    <w:rsid w:val="00C25D9C"/>
    <w:rsid w:val="00C262D8"/>
    <w:rsid w:val="00C26BEB"/>
    <w:rsid w:val="00C26C9F"/>
    <w:rsid w:val="00C26E42"/>
    <w:rsid w:val="00C27207"/>
    <w:rsid w:val="00C273B8"/>
    <w:rsid w:val="00C2778B"/>
    <w:rsid w:val="00C30315"/>
    <w:rsid w:val="00C31649"/>
    <w:rsid w:val="00C340EA"/>
    <w:rsid w:val="00C3434C"/>
    <w:rsid w:val="00C3472A"/>
    <w:rsid w:val="00C34C2C"/>
    <w:rsid w:val="00C359FB"/>
    <w:rsid w:val="00C35FA2"/>
    <w:rsid w:val="00C36ABD"/>
    <w:rsid w:val="00C36E92"/>
    <w:rsid w:val="00C3770F"/>
    <w:rsid w:val="00C37EE0"/>
    <w:rsid w:val="00C37F2F"/>
    <w:rsid w:val="00C4020D"/>
    <w:rsid w:val="00C40385"/>
    <w:rsid w:val="00C41138"/>
    <w:rsid w:val="00C41342"/>
    <w:rsid w:val="00C41768"/>
    <w:rsid w:val="00C4198F"/>
    <w:rsid w:val="00C426A1"/>
    <w:rsid w:val="00C43AE7"/>
    <w:rsid w:val="00C43BD1"/>
    <w:rsid w:val="00C43D0C"/>
    <w:rsid w:val="00C4402A"/>
    <w:rsid w:val="00C44872"/>
    <w:rsid w:val="00C44931"/>
    <w:rsid w:val="00C44ECF"/>
    <w:rsid w:val="00C4568F"/>
    <w:rsid w:val="00C4719C"/>
    <w:rsid w:val="00C475AA"/>
    <w:rsid w:val="00C47711"/>
    <w:rsid w:val="00C47ED6"/>
    <w:rsid w:val="00C5028E"/>
    <w:rsid w:val="00C50515"/>
    <w:rsid w:val="00C5091C"/>
    <w:rsid w:val="00C50A23"/>
    <w:rsid w:val="00C50A91"/>
    <w:rsid w:val="00C5165D"/>
    <w:rsid w:val="00C51C52"/>
    <w:rsid w:val="00C52793"/>
    <w:rsid w:val="00C527C7"/>
    <w:rsid w:val="00C53772"/>
    <w:rsid w:val="00C538B5"/>
    <w:rsid w:val="00C5397B"/>
    <w:rsid w:val="00C53A94"/>
    <w:rsid w:val="00C53C98"/>
    <w:rsid w:val="00C54031"/>
    <w:rsid w:val="00C54346"/>
    <w:rsid w:val="00C54C32"/>
    <w:rsid w:val="00C55C76"/>
    <w:rsid w:val="00C55FD1"/>
    <w:rsid w:val="00C56FCF"/>
    <w:rsid w:val="00C576BA"/>
    <w:rsid w:val="00C57B6C"/>
    <w:rsid w:val="00C60A04"/>
    <w:rsid w:val="00C615B7"/>
    <w:rsid w:val="00C61A59"/>
    <w:rsid w:val="00C628A6"/>
    <w:rsid w:val="00C63432"/>
    <w:rsid w:val="00C636B4"/>
    <w:rsid w:val="00C63BA3"/>
    <w:rsid w:val="00C640DB"/>
    <w:rsid w:val="00C64344"/>
    <w:rsid w:val="00C643DC"/>
    <w:rsid w:val="00C65108"/>
    <w:rsid w:val="00C653F0"/>
    <w:rsid w:val="00C65576"/>
    <w:rsid w:val="00C65BBA"/>
    <w:rsid w:val="00C66165"/>
    <w:rsid w:val="00C66567"/>
    <w:rsid w:val="00C667E7"/>
    <w:rsid w:val="00C6687C"/>
    <w:rsid w:val="00C6754A"/>
    <w:rsid w:val="00C7060A"/>
    <w:rsid w:val="00C70975"/>
    <w:rsid w:val="00C70A40"/>
    <w:rsid w:val="00C71039"/>
    <w:rsid w:val="00C71361"/>
    <w:rsid w:val="00C7151A"/>
    <w:rsid w:val="00C717E3"/>
    <w:rsid w:val="00C71F60"/>
    <w:rsid w:val="00C72241"/>
    <w:rsid w:val="00C735D2"/>
    <w:rsid w:val="00C7382B"/>
    <w:rsid w:val="00C73991"/>
    <w:rsid w:val="00C74450"/>
    <w:rsid w:val="00C744B9"/>
    <w:rsid w:val="00C74692"/>
    <w:rsid w:val="00C74E39"/>
    <w:rsid w:val="00C750C8"/>
    <w:rsid w:val="00C75396"/>
    <w:rsid w:val="00C75489"/>
    <w:rsid w:val="00C7560F"/>
    <w:rsid w:val="00C758FF"/>
    <w:rsid w:val="00C76B80"/>
    <w:rsid w:val="00C76D9D"/>
    <w:rsid w:val="00C77529"/>
    <w:rsid w:val="00C7753D"/>
    <w:rsid w:val="00C77AF7"/>
    <w:rsid w:val="00C80A0E"/>
    <w:rsid w:val="00C812B0"/>
    <w:rsid w:val="00C8161E"/>
    <w:rsid w:val="00C8170D"/>
    <w:rsid w:val="00C81A88"/>
    <w:rsid w:val="00C8213F"/>
    <w:rsid w:val="00C8303F"/>
    <w:rsid w:val="00C83695"/>
    <w:rsid w:val="00C83F78"/>
    <w:rsid w:val="00C8405B"/>
    <w:rsid w:val="00C84415"/>
    <w:rsid w:val="00C84476"/>
    <w:rsid w:val="00C85154"/>
    <w:rsid w:val="00C85807"/>
    <w:rsid w:val="00C85A70"/>
    <w:rsid w:val="00C85F86"/>
    <w:rsid w:val="00C86593"/>
    <w:rsid w:val="00C8720C"/>
    <w:rsid w:val="00C8797A"/>
    <w:rsid w:val="00C879F5"/>
    <w:rsid w:val="00C87DA3"/>
    <w:rsid w:val="00C900B8"/>
    <w:rsid w:val="00C90197"/>
    <w:rsid w:val="00C90359"/>
    <w:rsid w:val="00C90B38"/>
    <w:rsid w:val="00C90C71"/>
    <w:rsid w:val="00C91155"/>
    <w:rsid w:val="00C91B7F"/>
    <w:rsid w:val="00C91FD1"/>
    <w:rsid w:val="00C92881"/>
    <w:rsid w:val="00C931CF"/>
    <w:rsid w:val="00C93221"/>
    <w:rsid w:val="00C9343C"/>
    <w:rsid w:val="00C936C4"/>
    <w:rsid w:val="00C938CF"/>
    <w:rsid w:val="00C94053"/>
    <w:rsid w:val="00C945FD"/>
    <w:rsid w:val="00C94652"/>
    <w:rsid w:val="00C94BBF"/>
    <w:rsid w:val="00C95BA0"/>
    <w:rsid w:val="00C9624D"/>
    <w:rsid w:val="00C96491"/>
    <w:rsid w:val="00C969DA"/>
    <w:rsid w:val="00C9734D"/>
    <w:rsid w:val="00C97E9B"/>
    <w:rsid w:val="00CA0A3E"/>
    <w:rsid w:val="00CA0A7C"/>
    <w:rsid w:val="00CA1975"/>
    <w:rsid w:val="00CA1B20"/>
    <w:rsid w:val="00CA1FAD"/>
    <w:rsid w:val="00CA1FCE"/>
    <w:rsid w:val="00CA2C77"/>
    <w:rsid w:val="00CA2FB6"/>
    <w:rsid w:val="00CA379D"/>
    <w:rsid w:val="00CA3A9E"/>
    <w:rsid w:val="00CA3DD2"/>
    <w:rsid w:val="00CA444F"/>
    <w:rsid w:val="00CA4724"/>
    <w:rsid w:val="00CA5245"/>
    <w:rsid w:val="00CA5503"/>
    <w:rsid w:val="00CA55EC"/>
    <w:rsid w:val="00CA5C41"/>
    <w:rsid w:val="00CA5D4C"/>
    <w:rsid w:val="00CA5F4F"/>
    <w:rsid w:val="00CA6338"/>
    <w:rsid w:val="00CA6786"/>
    <w:rsid w:val="00CA6827"/>
    <w:rsid w:val="00CA71F4"/>
    <w:rsid w:val="00CA757D"/>
    <w:rsid w:val="00CA771D"/>
    <w:rsid w:val="00CA7B09"/>
    <w:rsid w:val="00CA7C2A"/>
    <w:rsid w:val="00CA7ED5"/>
    <w:rsid w:val="00CB12A5"/>
    <w:rsid w:val="00CB1559"/>
    <w:rsid w:val="00CB16CF"/>
    <w:rsid w:val="00CB192A"/>
    <w:rsid w:val="00CB1952"/>
    <w:rsid w:val="00CB1CAC"/>
    <w:rsid w:val="00CB2F2A"/>
    <w:rsid w:val="00CB3269"/>
    <w:rsid w:val="00CB3444"/>
    <w:rsid w:val="00CB3A77"/>
    <w:rsid w:val="00CB3D72"/>
    <w:rsid w:val="00CB499E"/>
    <w:rsid w:val="00CB4D93"/>
    <w:rsid w:val="00CB5B1A"/>
    <w:rsid w:val="00CB67A2"/>
    <w:rsid w:val="00CB68F0"/>
    <w:rsid w:val="00CB6B22"/>
    <w:rsid w:val="00CB75B7"/>
    <w:rsid w:val="00CB7A54"/>
    <w:rsid w:val="00CB7F5F"/>
    <w:rsid w:val="00CC06A3"/>
    <w:rsid w:val="00CC154B"/>
    <w:rsid w:val="00CC1B39"/>
    <w:rsid w:val="00CC1BFA"/>
    <w:rsid w:val="00CC2E9F"/>
    <w:rsid w:val="00CC33A9"/>
    <w:rsid w:val="00CC35EA"/>
    <w:rsid w:val="00CC3661"/>
    <w:rsid w:val="00CC3848"/>
    <w:rsid w:val="00CC480C"/>
    <w:rsid w:val="00CC4C29"/>
    <w:rsid w:val="00CC63CE"/>
    <w:rsid w:val="00CC6D5E"/>
    <w:rsid w:val="00CC7246"/>
    <w:rsid w:val="00CC783F"/>
    <w:rsid w:val="00CD0200"/>
    <w:rsid w:val="00CD0405"/>
    <w:rsid w:val="00CD0C02"/>
    <w:rsid w:val="00CD126E"/>
    <w:rsid w:val="00CD17AC"/>
    <w:rsid w:val="00CD1CD9"/>
    <w:rsid w:val="00CD1E30"/>
    <w:rsid w:val="00CD1EE7"/>
    <w:rsid w:val="00CD261D"/>
    <w:rsid w:val="00CD2880"/>
    <w:rsid w:val="00CD3A2C"/>
    <w:rsid w:val="00CD3E83"/>
    <w:rsid w:val="00CD3F6C"/>
    <w:rsid w:val="00CD3F77"/>
    <w:rsid w:val="00CD496C"/>
    <w:rsid w:val="00CD5370"/>
    <w:rsid w:val="00CD5B3A"/>
    <w:rsid w:val="00CD6ADC"/>
    <w:rsid w:val="00CD7193"/>
    <w:rsid w:val="00CD7717"/>
    <w:rsid w:val="00CD7A86"/>
    <w:rsid w:val="00CD7D6C"/>
    <w:rsid w:val="00CE0AAB"/>
    <w:rsid w:val="00CE0B15"/>
    <w:rsid w:val="00CE11C2"/>
    <w:rsid w:val="00CE1456"/>
    <w:rsid w:val="00CE1A7B"/>
    <w:rsid w:val="00CE1D16"/>
    <w:rsid w:val="00CE23A4"/>
    <w:rsid w:val="00CE3282"/>
    <w:rsid w:val="00CE3633"/>
    <w:rsid w:val="00CE38C8"/>
    <w:rsid w:val="00CE4E52"/>
    <w:rsid w:val="00CE507D"/>
    <w:rsid w:val="00CE510E"/>
    <w:rsid w:val="00CE5238"/>
    <w:rsid w:val="00CE524F"/>
    <w:rsid w:val="00CE5402"/>
    <w:rsid w:val="00CE58CC"/>
    <w:rsid w:val="00CE60EC"/>
    <w:rsid w:val="00CE6274"/>
    <w:rsid w:val="00CE64BE"/>
    <w:rsid w:val="00CE7325"/>
    <w:rsid w:val="00CE7381"/>
    <w:rsid w:val="00CE77B6"/>
    <w:rsid w:val="00CF1013"/>
    <w:rsid w:val="00CF133F"/>
    <w:rsid w:val="00CF23CC"/>
    <w:rsid w:val="00CF278A"/>
    <w:rsid w:val="00CF2B8D"/>
    <w:rsid w:val="00CF3A1B"/>
    <w:rsid w:val="00CF42FF"/>
    <w:rsid w:val="00CF456B"/>
    <w:rsid w:val="00CF486E"/>
    <w:rsid w:val="00CF4976"/>
    <w:rsid w:val="00CF50F8"/>
    <w:rsid w:val="00CF5A1C"/>
    <w:rsid w:val="00CF5A22"/>
    <w:rsid w:val="00CF5AC5"/>
    <w:rsid w:val="00CF65A6"/>
    <w:rsid w:val="00CF6A97"/>
    <w:rsid w:val="00CF700D"/>
    <w:rsid w:val="00CF7DC9"/>
    <w:rsid w:val="00D0194E"/>
    <w:rsid w:val="00D01CF5"/>
    <w:rsid w:val="00D02147"/>
    <w:rsid w:val="00D0262E"/>
    <w:rsid w:val="00D02B86"/>
    <w:rsid w:val="00D02C4F"/>
    <w:rsid w:val="00D02F1D"/>
    <w:rsid w:val="00D031D0"/>
    <w:rsid w:val="00D03679"/>
    <w:rsid w:val="00D0368D"/>
    <w:rsid w:val="00D03BD8"/>
    <w:rsid w:val="00D04373"/>
    <w:rsid w:val="00D04C07"/>
    <w:rsid w:val="00D05178"/>
    <w:rsid w:val="00D05770"/>
    <w:rsid w:val="00D057D0"/>
    <w:rsid w:val="00D05930"/>
    <w:rsid w:val="00D05E3D"/>
    <w:rsid w:val="00D06139"/>
    <w:rsid w:val="00D066AE"/>
    <w:rsid w:val="00D0691F"/>
    <w:rsid w:val="00D06A3F"/>
    <w:rsid w:val="00D0750B"/>
    <w:rsid w:val="00D07C19"/>
    <w:rsid w:val="00D07D3C"/>
    <w:rsid w:val="00D07F46"/>
    <w:rsid w:val="00D1000A"/>
    <w:rsid w:val="00D110BD"/>
    <w:rsid w:val="00D11640"/>
    <w:rsid w:val="00D119E0"/>
    <w:rsid w:val="00D11E88"/>
    <w:rsid w:val="00D11EBE"/>
    <w:rsid w:val="00D12AD5"/>
    <w:rsid w:val="00D1305A"/>
    <w:rsid w:val="00D13675"/>
    <w:rsid w:val="00D141E1"/>
    <w:rsid w:val="00D14735"/>
    <w:rsid w:val="00D14744"/>
    <w:rsid w:val="00D15314"/>
    <w:rsid w:val="00D15AC5"/>
    <w:rsid w:val="00D15B48"/>
    <w:rsid w:val="00D1689D"/>
    <w:rsid w:val="00D1730A"/>
    <w:rsid w:val="00D1794D"/>
    <w:rsid w:val="00D17D62"/>
    <w:rsid w:val="00D17D6C"/>
    <w:rsid w:val="00D20EF1"/>
    <w:rsid w:val="00D20F12"/>
    <w:rsid w:val="00D20F58"/>
    <w:rsid w:val="00D20FCD"/>
    <w:rsid w:val="00D2155B"/>
    <w:rsid w:val="00D225C0"/>
    <w:rsid w:val="00D22CF4"/>
    <w:rsid w:val="00D22FBE"/>
    <w:rsid w:val="00D238F2"/>
    <w:rsid w:val="00D23D11"/>
    <w:rsid w:val="00D244B6"/>
    <w:rsid w:val="00D2472B"/>
    <w:rsid w:val="00D24BA1"/>
    <w:rsid w:val="00D24F56"/>
    <w:rsid w:val="00D2595A"/>
    <w:rsid w:val="00D2657A"/>
    <w:rsid w:val="00D26AA4"/>
    <w:rsid w:val="00D273C9"/>
    <w:rsid w:val="00D2748F"/>
    <w:rsid w:val="00D2754D"/>
    <w:rsid w:val="00D27B27"/>
    <w:rsid w:val="00D30D5B"/>
    <w:rsid w:val="00D30EBC"/>
    <w:rsid w:val="00D32042"/>
    <w:rsid w:val="00D32990"/>
    <w:rsid w:val="00D3318C"/>
    <w:rsid w:val="00D33592"/>
    <w:rsid w:val="00D33BE9"/>
    <w:rsid w:val="00D33DF4"/>
    <w:rsid w:val="00D33F93"/>
    <w:rsid w:val="00D357FF"/>
    <w:rsid w:val="00D358EB"/>
    <w:rsid w:val="00D3618B"/>
    <w:rsid w:val="00D4013A"/>
    <w:rsid w:val="00D40256"/>
    <w:rsid w:val="00D40F90"/>
    <w:rsid w:val="00D424C7"/>
    <w:rsid w:val="00D42FC1"/>
    <w:rsid w:val="00D43B2A"/>
    <w:rsid w:val="00D43CF1"/>
    <w:rsid w:val="00D43D83"/>
    <w:rsid w:val="00D44764"/>
    <w:rsid w:val="00D44AE7"/>
    <w:rsid w:val="00D44B86"/>
    <w:rsid w:val="00D44E14"/>
    <w:rsid w:val="00D455B3"/>
    <w:rsid w:val="00D4584E"/>
    <w:rsid w:val="00D46191"/>
    <w:rsid w:val="00D46854"/>
    <w:rsid w:val="00D471F6"/>
    <w:rsid w:val="00D47575"/>
    <w:rsid w:val="00D479FB"/>
    <w:rsid w:val="00D50E49"/>
    <w:rsid w:val="00D513CB"/>
    <w:rsid w:val="00D5157F"/>
    <w:rsid w:val="00D518C2"/>
    <w:rsid w:val="00D5243B"/>
    <w:rsid w:val="00D533EC"/>
    <w:rsid w:val="00D53E42"/>
    <w:rsid w:val="00D53E7E"/>
    <w:rsid w:val="00D54154"/>
    <w:rsid w:val="00D5417D"/>
    <w:rsid w:val="00D546DC"/>
    <w:rsid w:val="00D54CDD"/>
    <w:rsid w:val="00D55402"/>
    <w:rsid w:val="00D55606"/>
    <w:rsid w:val="00D56A95"/>
    <w:rsid w:val="00D56AA4"/>
    <w:rsid w:val="00D605EA"/>
    <w:rsid w:val="00D6076E"/>
    <w:rsid w:val="00D607F7"/>
    <w:rsid w:val="00D6147F"/>
    <w:rsid w:val="00D62E99"/>
    <w:rsid w:val="00D639A1"/>
    <w:rsid w:val="00D63BAD"/>
    <w:rsid w:val="00D65F92"/>
    <w:rsid w:val="00D6631D"/>
    <w:rsid w:val="00D66BEB"/>
    <w:rsid w:val="00D6748C"/>
    <w:rsid w:val="00D67553"/>
    <w:rsid w:val="00D700BF"/>
    <w:rsid w:val="00D70BAF"/>
    <w:rsid w:val="00D70F16"/>
    <w:rsid w:val="00D71282"/>
    <w:rsid w:val="00D71B20"/>
    <w:rsid w:val="00D71B89"/>
    <w:rsid w:val="00D72617"/>
    <w:rsid w:val="00D72746"/>
    <w:rsid w:val="00D72F57"/>
    <w:rsid w:val="00D73EA6"/>
    <w:rsid w:val="00D7475D"/>
    <w:rsid w:val="00D75803"/>
    <w:rsid w:val="00D75AA3"/>
    <w:rsid w:val="00D75C77"/>
    <w:rsid w:val="00D765FB"/>
    <w:rsid w:val="00D76A44"/>
    <w:rsid w:val="00D76CEE"/>
    <w:rsid w:val="00D77A0A"/>
    <w:rsid w:val="00D804EA"/>
    <w:rsid w:val="00D815EF"/>
    <w:rsid w:val="00D818AB"/>
    <w:rsid w:val="00D81949"/>
    <w:rsid w:val="00D81BA7"/>
    <w:rsid w:val="00D81F26"/>
    <w:rsid w:val="00D822E2"/>
    <w:rsid w:val="00D827D5"/>
    <w:rsid w:val="00D828C0"/>
    <w:rsid w:val="00D828C6"/>
    <w:rsid w:val="00D83572"/>
    <w:rsid w:val="00D83648"/>
    <w:rsid w:val="00D843F2"/>
    <w:rsid w:val="00D86231"/>
    <w:rsid w:val="00D868FF"/>
    <w:rsid w:val="00D869B6"/>
    <w:rsid w:val="00D8745E"/>
    <w:rsid w:val="00D87506"/>
    <w:rsid w:val="00D87E99"/>
    <w:rsid w:val="00D90982"/>
    <w:rsid w:val="00D90FDE"/>
    <w:rsid w:val="00D912AB"/>
    <w:rsid w:val="00D91923"/>
    <w:rsid w:val="00D9349D"/>
    <w:rsid w:val="00D93595"/>
    <w:rsid w:val="00D93753"/>
    <w:rsid w:val="00D937AB"/>
    <w:rsid w:val="00D93E0C"/>
    <w:rsid w:val="00D93EC8"/>
    <w:rsid w:val="00D93EFE"/>
    <w:rsid w:val="00D94AD5"/>
    <w:rsid w:val="00D94ED8"/>
    <w:rsid w:val="00D955DA"/>
    <w:rsid w:val="00D95865"/>
    <w:rsid w:val="00D95C33"/>
    <w:rsid w:val="00D974CB"/>
    <w:rsid w:val="00DA01B2"/>
    <w:rsid w:val="00DA128C"/>
    <w:rsid w:val="00DA19D0"/>
    <w:rsid w:val="00DA3167"/>
    <w:rsid w:val="00DA339E"/>
    <w:rsid w:val="00DA33DF"/>
    <w:rsid w:val="00DA45F2"/>
    <w:rsid w:val="00DA4DC3"/>
    <w:rsid w:val="00DA5384"/>
    <w:rsid w:val="00DA5844"/>
    <w:rsid w:val="00DA620D"/>
    <w:rsid w:val="00DA6234"/>
    <w:rsid w:val="00DA63D4"/>
    <w:rsid w:val="00DA6403"/>
    <w:rsid w:val="00DA6952"/>
    <w:rsid w:val="00DA6BFC"/>
    <w:rsid w:val="00DA6F4C"/>
    <w:rsid w:val="00DA74BB"/>
    <w:rsid w:val="00DA77A5"/>
    <w:rsid w:val="00DA79C5"/>
    <w:rsid w:val="00DB0BBC"/>
    <w:rsid w:val="00DB0E36"/>
    <w:rsid w:val="00DB1415"/>
    <w:rsid w:val="00DB1822"/>
    <w:rsid w:val="00DB3DBF"/>
    <w:rsid w:val="00DB484F"/>
    <w:rsid w:val="00DB4F70"/>
    <w:rsid w:val="00DB5092"/>
    <w:rsid w:val="00DB6752"/>
    <w:rsid w:val="00DB6AC0"/>
    <w:rsid w:val="00DB6C10"/>
    <w:rsid w:val="00DB6ED9"/>
    <w:rsid w:val="00DB72A5"/>
    <w:rsid w:val="00DC022F"/>
    <w:rsid w:val="00DC04F6"/>
    <w:rsid w:val="00DC0690"/>
    <w:rsid w:val="00DC0BC3"/>
    <w:rsid w:val="00DC0C60"/>
    <w:rsid w:val="00DC1539"/>
    <w:rsid w:val="00DC1728"/>
    <w:rsid w:val="00DC1D65"/>
    <w:rsid w:val="00DC223F"/>
    <w:rsid w:val="00DC22C4"/>
    <w:rsid w:val="00DC2A41"/>
    <w:rsid w:val="00DC2C5C"/>
    <w:rsid w:val="00DC2D5A"/>
    <w:rsid w:val="00DC2E06"/>
    <w:rsid w:val="00DC2E72"/>
    <w:rsid w:val="00DC3C57"/>
    <w:rsid w:val="00DC4978"/>
    <w:rsid w:val="00DC5501"/>
    <w:rsid w:val="00DC5DE4"/>
    <w:rsid w:val="00DC5F25"/>
    <w:rsid w:val="00DC65D1"/>
    <w:rsid w:val="00DC6AEF"/>
    <w:rsid w:val="00DC7154"/>
    <w:rsid w:val="00DC74D5"/>
    <w:rsid w:val="00DC7BD3"/>
    <w:rsid w:val="00DC7E1C"/>
    <w:rsid w:val="00DC7E8A"/>
    <w:rsid w:val="00DD0F78"/>
    <w:rsid w:val="00DD22E1"/>
    <w:rsid w:val="00DD258D"/>
    <w:rsid w:val="00DD273C"/>
    <w:rsid w:val="00DD287E"/>
    <w:rsid w:val="00DD2CD5"/>
    <w:rsid w:val="00DD3F28"/>
    <w:rsid w:val="00DD4446"/>
    <w:rsid w:val="00DD4537"/>
    <w:rsid w:val="00DD4E15"/>
    <w:rsid w:val="00DD6270"/>
    <w:rsid w:val="00DD6B17"/>
    <w:rsid w:val="00DD6BC3"/>
    <w:rsid w:val="00DD7AFA"/>
    <w:rsid w:val="00DE0690"/>
    <w:rsid w:val="00DE1121"/>
    <w:rsid w:val="00DE1D7D"/>
    <w:rsid w:val="00DE2304"/>
    <w:rsid w:val="00DE2497"/>
    <w:rsid w:val="00DE3138"/>
    <w:rsid w:val="00DE37F8"/>
    <w:rsid w:val="00DE3AC7"/>
    <w:rsid w:val="00DE413E"/>
    <w:rsid w:val="00DE4273"/>
    <w:rsid w:val="00DE4BCE"/>
    <w:rsid w:val="00DE4D56"/>
    <w:rsid w:val="00DE4FCB"/>
    <w:rsid w:val="00DE5290"/>
    <w:rsid w:val="00DE54C3"/>
    <w:rsid w:val="00DE5D07"/>
    <w:rsid w:val="00DE6415"/>
    <w:rsid w:val="00DE6756"/>
    <w:rsid w:val="00DE6DAC"/>
    <w:rsid w:val="00DE71B0"/>
    <w:rsid w:val="00DE729A"/>
    <w:rsid w:val="00DE72A7"/>
    <w:rsid w:val="00DE7616"/>
    <w:rsid w:val="00DE766C"/>
    <w:rsid w:val="00DE7832"/>
    <w:rsid w:val="00DE7E79"/>
    <w:rsid w:val="00DF01C2"/>
    <w:rsid w:val="00DF1450"/>
    <w:rsid w:val="00DF18FC"/>
    <w:rsid w:val="00DF1A5F"/>
    <w:rsid w:val="00DF1C46"/>
    <w:rsid w:val="00DF1E1F"/>
    <w:rsid w:val="00DF21E0"/>
    <w:rsid w:val="00DF291A"/>
    <w:rsid w:val="00DF322F"/>
    <w:rsid w:val="00DF33FA"/>
    <w:rsid w:val="00DF36A7"/>
    <w:rsid w:val="00DF37A4"/>
    <w:rsid w:val="00DF53AF"/>
    <w:rsid w:val="00DF5D2B"/>
    <w:rsid w:val="00DF5F74"/>
    <w:rsid w:val="00DF61E3"/>
    <w:rsid w:val="00DF6341"/>
    <w:rsid w:val="00DF6551"/>
    <w:rsid w:val="00DF7032"/>
    <w:rsid w:val="00E00961"/>
    <w:rsid w:val="00E00B17"/>
    <w:rsid w:val="00E00E8E"/>
    <w:rsid w:val="00E00F48"/>
    <w:rsid w:val="00E01053"/>
    <w:rsid w:val="00E018CF"/>
    <w:rsid w:val="00E02029"/>
    <w:rsid w:val="00E026E8"/>
    <w:rsid w:val="00E03056"/>
    <w:rsid w:val="00E05630"/>
    <w:rsid w:val="00E061A8"/>
    <w:rsid w:val="00E06DBB"/>
    <w:rsid w:val="00E07245"/>
    <w:rsid w:val="00E0796F"/>
    <w:rsid w:val="00E10149"/>
    <w:rsid w:val="00E10200"/>
    <w:rsid w:val="00E1119A"/>
    <w:rsid w:val="00E112F1"/>
    <w:rsid w:val="00E11340"/>
    <w:rsid w:val="00E11B53"/>
    <w:rsid w:val="00E122A1"/>
    <w:rsid w:val="00E126BB"/>
    <w:rsid w:val="00E1295C"/>
    <w:rsid w:val="00E129C5"/>
    <w:rsid w:val="00E12BB2"/>
    <w:rsid w:val="00E1379C"/>
    <w:rsid w:val="00E14768"/>
    <w:rsid w:val="00E156AE"/>
    <w:rsid w:val="00E156F4"/>
    <w:rsid w:val="00E158FE"/>
    <w:rsid w:val="00E15B7A"/>
    <w:rsid w:val="00E15CD3"/>
    <w:rsid w:val="00E15CD5"/>
    <w:rsid w:val="00E161D6"/>
    <w:rsid w:val="00E16372"/>
    <w:rsid w:val="00E163C8"/>
    <w:rsid w:val="00E163D1"/>
    <w:rsid w:val="00E16557"/>
    <w:rsid w:val="00E16735"/>
    <w:rsid w:val="00E16AD8"/>
    <w:rsid w:val="00E17FFA"/>
    <w:rsid w:val="00E20085"/>
    <w:rsid w:val="00E20586"/>
    <w:rsid w:val="00E207F6"/>
    <w:rsid w:val="00E20A87"/>
    <w:rsid w:val="00E20E4D"/>
    <w:rsid w:val="00E20ED6"/>
    <w:rsid w:val="00E21358"/>
    <w:rsid w:val="00E21B6B"/>
    <w:rsid w:val="00E21D46"/>
    <w:rsid w:val="00E2249B"/>
    <w:rsid w:val="00E22504"/>
    <w:rsid w:val="00E22A0D"/>
    <w:rsid w:val="00E22B49"/>
    <w:rsid w:val="00E23B28"/>
    <w:rsid w:val="00E23F55"/>
    <w:rsid w:val="00E244F6"/>
    <w:rsid w:val="00E249AB"/>
    <w:rsid w:val="00E24C86"/>
    <w:rsid w:val="00E252BE"/>
    <w:rsid w:val="00E258DB"/>
    <w:rsid w:val="00E259DE"/>
    <w:rsid w:val="00E25A61"/>
    <w:rsid w:val="00E25EC3"/>
    <w:rsid w:val="00E27563"/>
    <w:rsid w:val="00E2771E"/>
    <w:rsid w:val="00E27982"/>
    <w:rsid w:val="00E27B6C"/>
    <w:rsid w:val="00E27BFC"/>
    <w:rsid w:val="00E27ED5"/>
    <w:rsid w:val="00E3050E"/>
    <w:rsid w:val="00E311EF"/>
    <w:rsid w:val="00E31485"/>
    <w:rsid w:val="00E32180"/>
    <w:rsid w:val="00E331A7"/>
    <w:rsid w:val="00E33769"/>
    <w:rsid w:val="00E34550"/>
    <w:rsid w:val="00E34948"/>
    <w:rsid w:val="00E35625"/>
    <w:rsid w:val="00E35947"/>
    <w:rsid w:val="00E35B98"/>
    <w:rsid w:val="00E35F6B"/>
    <w:rsid w:val="00E36007"/>
    <w:rsid w:val="00E3602C"/>
    <w:rsid w:val="00E36188"/>
    <w:rsid w:val="00E3618B"/>
    <w:rsid w:val="00E36278"/>
    <w:rsid w:val="00E36687"/>
    <w:rsid w:val="00E36807"/>
    <w:rsid w:val="00E368E8"/>
    <w:rsid w:val="00E37569"/>
    <w:rsid w:val="00E376EE"/>
    <w:rsid w:val="00E40058"/>
    <w:rsid w:val="00E4010D"/>
    <w:rsid w:val="00E401B2"/>
    <w:rsid w:val="00E40572"/>
    <w:rsid w:val="00E40903"/>
    <w:rsid w:val="00E40CB8"/>
    <w:rsid w:val="00E412B2"/>
    <w:rsid w:val="00E41E30"/>
    <w:rsid w:val="00E42097"/>
    <w:rsid w:val="00E42F73"/>
    <w:rsid w:val="00E43D70"/>
    <w:rsid w:val="00E4435C"/>
    <w:rsid w:val="00E44EF8"/>
    <w:rsid w:val="00E466F3"/>
    <w:rsid w:val="00E47297"/>
    <w:rsid w:val="00E4770C"/>
    <w:rsid w:val="00E477E6"/>
    <w:rsid w:val="00E47B2C"/>
    <w:rsid w:val="00E47EC2"/>
    <w:rsid w:val="00E47FAD"/>
    <w:rsid w:val="00E504E1"/>
    <w:rsid w:val="00E50518"/>
    <w:rsid w:val="00E50C14"/>
    <w:rsid w:val="00E51560"/>
    <w:rsid w:val="00E51716"/>
    <w:rsid w:val="00E51821"/>
    <w:rsid w:val="00E518E8"/>
    <w:rsid w:val="00E51D2A"/>
    <w:rsid w:val="00E5364C"/>
    <w:rsid w:val="00E53FC8"/>
    <w:rsid w:val="00E54347"/>
    <w:rsid w:val="00E54635"/>
    <w:rsid w:val="00E54A54"/>
    <w:rsid w:val="00E54F80"/>
    <w:rsid w:val="00E55424"/>
    <w:rsid w:val="00E5563F"/>
    <w:rsid w:val="00E55915"/>
    <w:rsid w:val="00E55BB5"/>
    <w:rsid w:val="00E55F5C"/>
    <w:rsid w:val="00E5655A"/>
    <w:rsid w:val="00E56802"/>
    <w:rsid w:val="00E56B0E"/>
    <w:rsid w:val="00E56BCB"/>
    <w:rsid w:val="00E5759D"/>
    <w:rsid w:val="00E602CD"/>
    <w:rsid w:val="00E60724"/>
    <w:rsid w:val="00E61153"/>
    <w:rsid w:val="00E611DF"/>
    <w:rsid w:val="00E61823"/>
    <w:rsid w:val="00E61B92"/>
    <w:rsid w:val="00E61CAA"/>
    <w:rsid w:val="00E61F40"/>
    <w:rsid w:val="00E61FB9"/>
    <w:rsid w:val="00E62510"/>
    <w:rsid w:val="00E6290E"/>
    <w:rsid w:val="00E6412C"/>
    <w:rsid w:val="00E65E79"/>
    <w:rsid w:val="00E6654B"/>
    <w:rsid w:val="00E66603"/>
    <w:rsid w:val="00E66907"/>
    <w:rsid w:val="00E669E8"/>
    <w:rsid w:val="00E66BA2"/>
    <w:rsid w:val="00E67416"/>
    <w:rsid w:val="00E67989"/>
    <w:rsid w:val="00E707F0"/>
    <w:rsid w:val="00E70845"/>
    <w:rsid w:val="00E70B33"/>
    <w:rsid w:val="00E718B6"/>
    <w:rsid w:val="00E71985"/>
    <w:rsid w:val="00E723BA"/>
    <w:rsid w:val="00E725DF"/>
    <w:rsid w:val="00E72771"/>
    <w:rsid w:val="00E73581"/>
    <w:rsid w:val="00E73904"/>
    <w:rsid w:val="00E73A72"/>
    <w:rsid w:val="00E747BF"/>
    <w:rsid w:val="00E74D4A"/>
    <w:rsid w:val="00E74F9B"/>
    <w:rsid w:val="00E7587F"/>
    <w:rsid w:val="00E767A8"/>
    <w:rsid w:val="00E77A69"/>
    <w:rsid w:val="00E804DC"/>
    <w:rsid w:val="00E813D9"/>
    <w:rsid w:val="00E81944"/>
    <w:rsid w:val="00E82D6D"/>
    <w:rsid w:val="00E833F7"/>
    <w:rsid w:val="00E8361A"/>
    <w:rsid w:val="00E83BDF"/>
    <w:rsid w:val="00E83EDC"/>
    <w:rsid w:val="00E8406F"/>
    <w:rsid w:val="00E84666"/>
    <w:rsid w:val="00E84EB4"/>
    <w:rsid w:val="00E8505D"/>
    <w:rsid w:val="00E859C8"/>
    <w:rsid w:val="00E85B39"/>
    <w:rsid w:val="00E85B64"/>
    <w:rsid w:val="00E85DE7"/>
    <w:rsid w:val="00E86932"/>
    <w:rsid w:val="00E86FCC"/>
    <w:rsid w:val="00E87A1D"/>
    <w:rsid w:val="00E87B3A"/>
    <w:rsid w:val="00E87C78"/>
    <w:rsid w:val="00E87D19"/>
    <w:rsid w:val="00E87E4C"/>
    <w:rsid w:val="00E90390"/>
    <w:rsid w:val="00E904FF"/>
    <w:rsid w:val="00E90535"/>
    <w:rsid w:val="00E9094A"/>
    <w:rsid w:val="00E91260"/>
    <w:rsid w:val="00E91D35"/>
    <w:rsid w:val="00E925F1"/>
    <w:rsid w:val="00E926A5"/>
    <w:rsid w:val="00E93885"/>
    <w:rsid w:val="00E94A8C"/>
    <w:rsid w:val="00E95E0A"/>
    <w:rsid w:val="00E962CC"/>
    <w:rsid w:val="00E966E1"/>
    <w:rsid w:val="00E96FC6"/>
    <w:rsid w:val="00EA00B7"/>
    <w:rsid w:val="00EA1083"/>
    <w:rsid w:val="00EA17C3"/>
    <w:rsid w:val="00EA20A4"/>
    <w:rsid w:val="00EA25FF"/>
    <w:rsid w:val="00EA2CAA"/>
    <w:rsid w:val="00EA3282"/>
    <w:rsid w:val="00EA32B4"/>
    <w:rsid w:val="00EA34A1"/>
    <w:rsid w:val="00EA3864"/>
    <w:rsid w:val="00EA3C03"/>
    <w:rsid w:val="00EA3E24"/>
    <w:rsid w:val="00EA4D5F"/>
    <w:rsid w:val="00EA4E76"/>
    <w:rsid w:val="00EA5D90"/>
    <w:rsid w:val="00EA653F"/>
    <w:rsid w:val="00EA6A13"/>
    <w:rsid w:val="00EA7643"/>
    <w:rsid w:val="00EA7BF6"/>
    <w:rsid w:val="00EA7DA9"/>
    <w:rsid w:val="00EA7F1C"/>
    <w:rsid w:val="00EB0CB4"/>
    <w:rsid w:val="00EB0CEA"/>
    <w:rsid w:val="00EB0EAE"/>
    <w:rsid w:val="00EB15B6"/>
    <w:rsid w:val="00EB2548"/>
    <w:rsid w:val="00EB2A1F"/>
    <w:rsid w:val="00EB2F30"/>
    <w:rsid w:val="00EB3772"/>
    <w:rsid w:val="00EB3814"/>
    <w:rsid w:val="00EB3A6F"/>
    <w:rsid w:val="00EB3D06"/>
    <w:rsid w:val="00EB4229"/>
    <w:rsid w:val="00EB4916"/>
    <w:rsid w:val="00EB6306"/>
    <w:rsid w:val="00EB646B"/>
    <w:rsid w:val="00EB67B2"/>
    <w:rsid w:val="00EB6D25"/>
    <w:rsid w:val="00EB7834"/>
    <w:rsid w:val="00EB7B91"/>
    <w:rsid w:val="00EB7C78"/>
    <w:rsid w:val="00EB7D7D"/>
    <w:rsid w:val="00EC00C9"/>
    <w:rsid w:val="00EC0DD9"/>
    <w:rsid w:val="00EC1314"/>
    <w:rsid w:val="00EC16DE"/>
    <w:rsid w:val="00EC1D95"/>
    <w:rsid w:val="00EC20D7"/>
    <w:rsid w:val="00EC2608"/>
    <w:rsid w:val="00EC2649"/>
    <w:rsid w:val="00EC31ED"/>
    <w:rsid w:val="00EC325A"/>
    <w:rsid w:val="00EC3F94"/>
    <w:rsid w:val="00EC4278"/>
    <w:rsid w:val="00EC4657"/>
    <w:rsid w:val="00EC4679"/>
    <w:rsid w:val="00EC535C"/>
    <w:rsid w:val="00EC5836"/>
    <w:rsid w:val="00EC688C"/>
    <w:rsid w:val="00EC75B4"/>
    <w:rsid w:val="00EC7BD7"/>
    <w:rsid w:val="00ED1178"/>
    <w:rsid w:val="00ED12E3"/>
    <w:rsid w:val="00ED16C3"/>
    <w:rsid w:val="00ED1757"/>
    <w:rsid w:val="00ED1B52"/>
    <w:rsid w:val="00ED3090"/>
    <w:rsid w:val="00ED317F"/>
    <w:rsid w:val="00ED37A3"/>
    <w:rsid w:val="00ED3A93"/>
    <w:rsid w:val="00ED43FB"/>
    <w:rsid w:val="00ED4B04"/>
    <w:rsid w:val="00ED4C9A"/>
    <w:rsid w:val="00ED57EA"/>
    <w:rsid w:val="00ED5BD4"/>
    <w:rsid w:val="00ED7395"/>
    <w:rsid w:val="00ED7418"/>
    <w:rsid w:val="00ED7928"/>
    <w:rsid w:val="00EE00DE"/>
    <w:rsid w:val="00EE04E0"/>
    <w:rsid w:val="00EE07D3"/>
    <w:rsid w:val="00EE155B"/>
    <w:rsid w:val="00EE1996"/>
    <w:rsid w:val="00EE1C01"/>
    <w:rsid w:val="00EE22AF"/>
    <w:rsid w:val="00EE327B"/>
    <w:rsid w:val="00EE3527"/>
    <w:rsid w:val="00EE3A01"/>
    <w:rsid w:val="00EE49B7"/>
    <w:rsid w:val="00EE5226"/>
    <w:rsid w:val="00EE5932"/>
    <w:rsid w:val="00EE5EFE"/>
    <w:rsid w:val="00EE6E25"/>
    <w:rsid w:val="00EE7AB7"/>
    <w:rsid w:val="00EE7DA8"/>
    <w:rsid w:val="00EF0157"/>
    <w:rsid w:val="00EF0171"/>
    <w:rsid w:val="00EF052A"/>
    <w:rsid w:val="00EF0776"/>
    <w:rsid w:val="00EF0FA3"/>
    <w:rsid w:val="00EF1B25"/>
    <w:rsid w:val="00EF1DA0"/>
    <w:rsid w:val="00EF1E37"/>
    <w:rsid w:val="00EF2250"/>
    <w:rsid w:val="00EF3409"/>
    <w:rsid w:val="00EF38FB"/>
    <w:rsid w:val="00EF3976"/>
    <w:rsid w:val="00EF3A90"/>
    <w:rsid w:val="00EF3BFF"/>
    <w:rsid w:val="00EF3CE5"/>
    <w:rsid w:val="00EF3E08"/>
    <w:rsid w:val="00EF4433"/>
    <w:rsid w:val="00EF44E4"/>
    <w:rsid w:val="00EF4747"/>
    <w:rsid w:val="00EF4BF8"/>
    <w:rsid w:val="00EF4FEB"/>
    <w:rsid w:val="00EF5192"/>
    <w:rsid w:val="00EF5766"/>
    <w:rsid w:val="00EF6777"/>
    <w:rsid w:val="00EF6B11"/>
    <w:rsid w:val="00EF74E9"/>
    <w:rsid w:val="00F000CF"/>
    <w:rsid w:val="00F00C5F"/>
    <w:rsid w:val="00F01987"/>
    <w:rsid w:val="00F02253"/>
    <w:rsid w:val="00F026DB"/>
    <w:rsid w:val="00F02CA2"/>
    <w:rsid w:val="00F02CE2"/>
    <w:rsid w:val="00F03624"/>
    <w:rsid w:val="00F03C2E"/>
    <w:rsid w:val="00F03CA5"/>
    <w:rsid w:val="00F04794"/>
    <w:rsid w:val="00F04A66"/>
    <w:rsid w:val="00F04B4B"/>
    <w:rsid w:val="00F0516C"/>
    <w:rsid w:val="00F05648"/>
    <w:rsid w:val="00F05D3E"/>
    <w:rsid w:val="00F0618F"/>
    <w:rsid w:val="00F0648F"/>
    <w:rsid w:val="00F067A2"/>
    <w:rsid w:val="00F07300"/>
    <w:rsid w:val="00F07500"/>
    <w:rsid w:val="00F07510"/>
    <w:rsid w:val="00F07ACA"/>
    <w:rsid w:val="00F07B9E"/>
    <w:rsid w:val="00F07C62"/>
    <w:rsid w:val="00F1035D"/>
    <w:rsid w:val="00F11151"/>
    <w:rsid w:val="00F1116F"/>
    <w:rsid w:val="00F11A7A"/>
    <w:rsid w:val="00F1263A"/>
    <w:rsid w:val="00F12AA9"/>
    <w:rsid w:val="00F12DDF"/>
    <w:rsid w:val="00F13378"/>
    <w:rsid w:val="00F139C5"/>
    <w:rsid w:val="00F13CAD"/>
    <w:rsid w:val="00F14D6F"/>
    <w:rsid w:val="00F15542"/>
    <w:rsid w:val="00F15B77"/>
    <w:rsid w:val="00F168F1"/>
    <w:rsid w:val="00F170A2"/>
    <w:rsid w:val="00F17455"/>
    <w:rsid w:val="00F178FE"/>
    <w:rsid w:val="00F204C9"/>
    <w:rsid w:val="00F20FE8"/>
    <w:rsid w:val="00F21236"/>
    <w:rsid w:val="00F21747"/>
    <w:rsid w:val="00F2277E"/>
    <w:rsid w:val="00F22914"/>
    <w:rsid w:val="00F22B2E"/>
    <w:rsid w:val="00F22B40"/>
    <w:rsid w:val="00F231C1"/>
    <w:rsid w:val="00F234F6"/>
    <w:rsid w:val="00F23B23"/>
    <w:rsid w:val="00F24837"/>
    <w:rsid w:val="00F250A4"/>
    <w:rsid w:val="00F2567A"/>
    <w:rsid w:val="00F2575F"/>
    <w:rsid w:val="00F25EBE"/>
    <w:rsid w:val="00F273BA"/>
    <w:rsid w:val="00F27565"/>
    <w:rsid w:val="00F300BF"/>
    <w:rsid w:val="00F310D4"/>
    <w:rsid w:val="00F31D5A"/>
    <w:rsid w:val="00F3208E"/>
    <w:rsid w:val="00F33975"/>
    <w:rsid w:val="00F33A78"/>
    <w:rsid w:val="00F33DE9"/>
    <w:rsid w:val="00F33F86"/>
    <w:rsid w:val="00F34EFF"/>
    <w:rsid w:val="00F35E6D"/>
    <w:rsid w:val="00F35EF4"/>
    <w:rsid w:val="00F3605A"/>
    <w:rsid w:val="00F3619A"/>
    <w:rsid w:val="00F368D6"/>
    <w:rsid w:val="00F371CB"/>
    <w:rsid w:val="00F407C0"/>
    <w:rsid w:val="00F40AAA"/>
    <w:rsid w:val="00F40BA7"/>
    <w:rsid w:val="00F40CB9"/>
    <w:rsid w:val="00F40F9D"/>
    <w:rsid w:val="00F41A59"/>
    <w:rsid w:val="00F41ACD"/>
    <w:rsid w:val="00F42818"/>
    <w:rsid w:val="00F42D0F"/>
    <w:rsid w:val="00F4413D"/>
    <w:rsid w:val="00F44142"/>
    <w:rsid w:val="00F44494"/>
    <w:rsid w:val="00F4488C"/>
    <w:rsid w:val="00F44C33"/>
    <w:rsid w:val="00F44FE3"/>
    <w:rsid w:val="00F457CB"/>
    <w:rsid w:val="00F45A6B"/>
    <w:rsid w:val="00F46210"/>
    <w:rsid w:val="00F46CB6"/>
    <w:rsid w:val="00F46CC6"/>
    <w:rsid w:val="00F472EC"/>
    <w:rsid w:val="00F47403"/>
    <w:rsid w:val="00F4756D"/>
    <w:rsid w:val="00F47AEA"/>
    <w:rsid w:val="00F47DE8"/>
    <w:rsid w:val="00F5098C"/>
    <w:rsid w:val="00F51EAE"/>
    <w:rsid w:val="00F53CC6"/>
    <w:rsid w:val="00F53D61"/>
    <w:rsid w:val="00F53EA7"/>
    <w:rsid w:val="00F5408B"/>
    <w:rsid w:val="00F542C1"/>
    <w:rsid w:val="00F545BD"/>
    <w:rsid w:val="00F5508F"/>
    <w:rsid w:val="00F550E3"/>
    <w:rsid w:val="00F55125"/>
    <w:rsid w:val="00F55673"/>
    <w:rsid w:val="00F55E73"/>
    <w:rsid w:val="00F55EDA"/>
    <w:rsid w:val="00F5675D"/>
    <w:rsid w:val="00F56C80"/>
    <w:rsid w:val="00F56DD9"/>
    <w:rsid w:val="00F576DD"/>
    <w:rsid w:val="00F57BCA"/>
    <w:rsid w:val="00F60092"/>
    <w:rsid w:val="00F606BC"/>
    <w:rsid w:val="00F607CD"/>
    <w:rsid w:val="00F61A0C"/>
    <w:rsid w:val="00F61A9D"/>
    <w:rsid w:val="00F61C18"/>
    <w:rsid w:val="00F61EA9"/>
    <w:rsid w:val="00F62E36"/>
    <w:rsid w:val="00F64DE2"/>
    <w:rsid w:val="00F6580E"/>
    <w:rsid w:val="00F65D15"/>
    <w:rsid w:val="00F65F4B"/>
    <w:rsid w:val="00F660B4"/>
    <w:rsid w:val="00F66394"/>
    <w:rsid w:val="00F67A69"/>
    <w:rsid w:val="00F67DF9"/>
    <w:rsid w:val="00F70BFF"/>
    <w:rsid w:val="00F70C8E"/>
    <w:rsid w:val="00F70C9D"/>
    <w:rsid w:val="00F71152"/>
    <w:rsid w:val="00F71586"/>
    <w:rsid w:val="00F71EC8"/>
    <w:rsid w:val="00F7289A"/>
    <w:rsid w:val="00F72E9C"/>
    <w:rsid w:val="00F73022"/>
    <w:rsid w:val="00F73505"/>
    <w:rsid w:val="00F73D27"/>
    <w:rsid w:val="00F73E08"/>
    <w:rsid w:val="00F74515"/>
    <w:rsid w:val="00F74672"/>
    <w:rsid w:val="00F7487D"/>
    <w:rsid w:val="00F74CD9"/>
    <w:rsid w:val="00F74DF0"/>
    <w:rsid w:val="00F75040"/>
    <w:rsid w:val="00F75B51"/>
    <w:rsid w:val="00F7655C"/>
    <w:rsid w:val="00F76D7F"/>
    <w:rsid w:val="00F779CA"/>
    <w:rsid w:val="00F80105"/>
    <w:rsid w:val="00F80A7B"/>
    <w:rsid w:val="00F80C91"/>
    <w:rsid w:val="00F80E5D"/>
    <w:rsid w:val="00F81175"/>
    <w:rsid w:val="00F81DD4"/>
    <w:rsid w:val="00F81E78"/>
    <w:rsid w:val="00F8214A"/>
    <w:rsid w:val="00F82EE9"/>
    <w:rsid w:val="00F83916"/>
    <w:rsid w:val="00F83CA7"/>
    <w:rsid w:val="00F83F9A"/>
    <w:rsid w:val="00F84BB2"/>
    <w:rsid w:val="00F851CE"/>
    <w:rsid w:val="00F85EFB"/>
    <w:rsid w:val="00F86233"/>
    <w:rsid w:val="00F86BBD"/>
    <w:rsid w:val="00F86D0F"/>
    <w:rsid w:val="00F86DB7"/>
    <w:rsid w:val="00F87115"/>
    <w:rsid w:val="00F9040D"/>
    <w:rsid w:val="00F90732"/>
    <w:rsid w:val="00F91219"/>
    <w:rsid w:val="00F91279"/>
    <w:rsid w:val="00F9204A"/>
    <w:rsid w:val="00F923F9"/>
    <w:rsid w:val="00F92444"/>
    <w:rsid w:val="00F925F8"/>
    <w:rsid w:val="00F92C24"/>
    <w:rsid w:val="00F9393E"/>
    <w:rsid w:val="00F9430A"/>
    <w:rsid w:val="00F94938"/>
    <w:rsid w:val="00F949E0"/>
    <w:rsid w:val="00F95485"/>
    <w:rsid w:val="00F956AC"/>
    <w:rsid w:val="00F958CB"/>
    <w:rsid w:val="00F96088"/>
    <w:rsid w:val="00F96628"/>
    <w:rsid w:val="00F96FD0"/>
    <w:rsid w:val="00F97A78"/>
    <w:rsid w:val="00F97BAD"/>
    <w:rsid w:val="00F97E12"/>
    <w:rsid w:val="00FA00F3"/>
    <w:rsid w:val="00FA0765"/>
    <w:rsid w:val="00FA0B20"/>
    <w:rsid w:val="00FA115F"/>
    <w:rsid w:val="00FA1A3C"/>
    <w:rsid w:val="00FA1D8F"/>
    <w:rsid w:val="00FA24E7"/>
    <w:rsid w:val="00FA298D"/>
    <w:rsid w:val="00FA2BFC"/>
    <w:rsid w:val="00FA3A62"/>
    <w:rsid w:val="00FA3B9A"/>
    <w:rsid w:val="00FA3F8A"/>
    <w:rsid w:val="00FA4420"/>
    <w:rsid w:val="00FA4488"/>
    <w:rsid w:val="00FA51C1"/>
    <w:rsid w:val="00FA55EB"/>
    <w:rsid w:val="00FA5EE6"/>
    <w:rsid w:val="00FA69CC"/>
    <w:rsid w:val="00FA6F96"/>
    <w:rsid w:val="00FA7956"/>
    <w:rsid w:val="00FB04C1"/>
    <w:rsid w:val="00FB0824"/>
    <w:rsid w:val="00FB1556"/>
    <w:rsid w:val="00FB1882"/>
    <w:rsid w:val="00FB2147"/>
    <w:rsid w:val="00FB23E7"/>
    <w:rsid w:val="00FB2821"/>
    <w:rsid w:val="00FB2FCB"/>
    <w:rsid w:val="00FB3216"/>
    <w:rsid w:val="00FB3272"/>
    <w:rsid w:val="00FB38C5"/>
    <w:rsid w:val="00FB3C30"/>
    <w:rsid w:val="00FB42D1"/>
    <w:rsid w:val="00FB4966"/>
    <w:rsid w:val="00FB4C9C"/>
    <w:rsid w:val="00FB674F"/>
    <w:rsid w:val="00FB6AF3"/>
    <w:rsid w:val="00FB71D3"/>
    <w:rsid w:val="00FB7206"/>
    <w:rsid w:val="00FB7C55"/>
    <w:rsid w:val="00FB7E7A"/>
    <w:rsid w:val="00FC05FB"/>
    <w:rsid w:val="00FC098E"/>
    <w:rsid w:val="00FC1074"/>
    <w:rsid w:val="00FC14AA"/>
    <w:rsid w:val="00FC1884"/>
    <w:rsid w:val="00FC21AD"/>
    <w:rsid w:val="00FC2656"/>
    <w:rsid w:val="00FC371D"/>
    <w:rsid w:val="00FC3D7C"/>
    <w:rsid w:val="00FC4187"/>
    <w:rsid w:val="00FC4242"/>
    <w:rsid w:val="00FC49FB"/>
    <w:rsid w:val="00FC5485"/>
    <w:rsid w:val="00FC5F0B"/>
    <w:rsid w:val="00FC6FB0"/>
    <w:rsid w:val="00FC7E25"/>
    <w:rsid w:val="00FC7F29"/>
    <w:rsid w:val="00FD01BB"/>
    <w:rsid w:val="00FD14AA"/>
    <w:rsid w:val="00FD161B"/>
    <w:rsid w:val="00FD1B4B"/>
    <w:rsid w:val="00FD1F88"/>
    <w:rsid w:val="00FD2100"/>
    <w:rsid w:val="00FD2598"/>
    <w:rsid w:val="00FD2981"/>
    <w:rsid w:val="00FD3191"/>
    <w:rsid w:val="00FD3C76"/>
    <w:rsid w:val="00FD404E"/>
    <w:rsid w:val="00FD436C"/>
    <w:rsid w:val="00FD446D"/>
    <w:rsid w:val="00FD4F2C"/>
    <w:rsid w:val="00FD5AAF"/>
    <w:rsid w:val="00FD5AC2"/>
    <w:rsid w:val="00FD6394"/>
    <w:rsid w:val="00FD6443"/>
    <w:rsid w:val="00FD64A0"/>
    <w:rsid w:val="00FD724D"/>
    <w:rsid w:val="00FD72B0"/>
    <w:rsid w:val="00FD7DCA"/>
    <w:rsid w:val="00FE0195"/>
    <w:rsid w:val="00FE068D"/>
    <w:rsid w:val="00FE0E6C"/>
    <w:rsid w:val="00FE181A"/>
    <w:rsid w:val="00FE198C"/>
    <w:rsid w:val="00FE1CDC"/>
    <w:rsid w:val="00FE204A"/>
    <w:rsid w:val="00FE2256"/>
    <w:rsid w:val="00FE262E"/>
    <w:rsid w:val="00FE2CD4"/>
    <w:rsid w:val="00FE3198"/>
    <w:rsid w:val="00FE3C18"/>
    <w:rsid w:val="00FE412F"/>
    <w:rsid w:val="00FE4229"/>
    <w:rsid w:val="00FE440A"/>
    <w:rsid w:val="00FE4A9E"/>
    <w:rsid w:val="00FE529A"/>
    <w:rsid w:val="00FE67C6"/>
    <w:rsid w:val="00FE6C83"/>
    <w:rsid w:val="00FE70C3"/>
    <w:rsid w:val="00FE7125"/>
    <w:rsid w:val="00FE7920"/>
    <w:rsid w:val="00FE7CF0"/>
    <w:rsid w:val="00FF0D59"/>
    <w:rsid w:val="00FF1A8B"/>
    <w:rsid w:val="00FF24AE"/>
    <w:rsid w:val="00FF2AD9"/>
    <w:rsid w:val="00FF2C11"/>
    <w:rsid w:val="00FF359F"/>
    <w:rsid w:val="00FF3DCF"/>
    <w:rsid w:val="00FF47A0"/>
    <w:rsid w:val="00FF492C"/>
    <w:rsid w:val="00FF4A21"/>
    <w:rsid w:val="00FF4B67"/>
    <w:rsid w:val="00FF4BC1"/>
    <w:rsid w:val="00FF4F2D"/>
    <w:rsid w:val="00FF5A47"/>
    <w:rsid w:val="00FF5AA3"/>
    <w:rsid w:val="00FF5AD8"/>
    <w:rsid w:val="00FF616C"/>
    <w:rsid w:val="00FF6286"/>
    <w:rsid w:val="00FF7F63"/>
    <w:rsid w:val="7688D4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Table Legend,Bullet1,Bullet List,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Lash Style Table,Header Table,Source table_,NICE instructions,HealthConsult,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FE67C6"/>
    <w:pPr>
      <w:numPr>
        <w:ilvl w:val="1"/>
        <w:numId w:val="1"/>
      </w:numPr>
      <w:spacing w:before="60" w:after="60"/>
    </w:pPr>
  </w:style>
  <w:style w:type="character" w:customStyle="1" w:styleId="3-BodyTextChar">
    <w:name w:val="3-Body Text Char"/>
    <w:basedOn w:val="ListParagraphChar"/>
    <w:link w:val="3-BodyText"/>
    <w:rsid w:val="00FE67C6"/>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table" w:customStyle="1" w:styleId="PBAClayout">
    <w:name w:val="PBAC_layout"/>
    <w:basedOn w:val="TableNormal"/>
    <w:uiPriority w:val="99"/>
    <w:rsid w:val="003E229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ASDTable1">
    <w:name w:val="ASD Table1"/>
    <w:basedOn w:val="TableNormal"/>
    <w:next w:val="TableGrid"/>
    <w:uiPriority w:val="39"/>
    <w:rsid w:val="003F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2535F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16298"/>
    <w:rPr>
      <w:sz w:val="20"/>
      <w:szCs w:val="20"/>
    </w:rPr>
  </w:style>
  <w:style w:type="character" w:customStyle="1" w:styleId="FootnoteTextChar">
    <w:name w:val="Footnote Text Char"/>
    <w:basedOn w:val="DefaultParagraphFont"/>
    <w:link w:val="FootnoteText"/>
    <w:rsid w:val="00716298"/>
    <w:rPr>
      <w:rFonts w:ascii="Calibri" w:hAnsi="Calibri" w:cs="Arial"/>
    </w:rPr>
  </w:style>
  <w:style w:type="character" w:styleId="FootnoteReference">
    <w:name w:val="footnote reference"/>
    <w:basedOn w:val="DefaultParagraphFont"/>
    <w:unhideWhenUsed/>
    <w:rsid w:val="00716298"/>
    <w:rPr>
      <w:vertAlign w:val="superscript"/>
    </w:rPr>
  </w:style>
  <w:style w:type="character" w:styleId="UnresolvedMention">
    <w:name w:val="Unresolved Mention"/>
    <w:basedOn w:val="DefaultParagraphFont"/>
    <w:uiPriority w:val="99"/>
    <w:semiHidden/>
    <w:unhideWhenUsed/>
    <w:rsid w:val="00716298"/>
    <w:rPr>
      <w:color w:val="605E5C"/>
      <w:shd w:val="clear" w:color="auto" w:fill="E1DFDD"/>
    </w:rPr>
  </w:style>
  <w:style w:type="table" w:customStyle="1" w:styleId="TableGridbeth5">
    <w:name w:val="Table Gridbeth5"/>
    <w:basedOn w:val="TableNormal"/>
    <w:next w:val="TableGrid"/>
    <w:uiPriority w:val="39"/>
    <w:rsid w:val="00F550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Footnote">
    <w:name w:val="Table &amp; Figure Footnote"/>
    <w:basedOn w:val="BodyText"/>
    <w:next w:val="BodyText"/>
    <w:qFormat/>
    <w:rsid w:val="002346BB"/>
    <w:pPr>
      <w:spacing w:before="20" w:after="20"/>
      <w:jc w:val="both"/>
    </w:pPr>
    <w:rPr>
      <w:rFonts w:ascii="Arial" w:hAnsi="Arial" w:cs="Times New Roman"/>
      <w:sz w:val="16"/>
      <w:lang w:eastAsia="en-US"/>
    </w:rPr>
  </w:style>
  <w:style w:type="table" w:customStyle="1" w:styleId="Summarybox2">
    <w:name w:val="Summary box2"/>
    <w:basedOn w:val="TableNormal"/>
    <w:uiPriority w:val="59"/>
    <w:rsid w:val="009865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C5E27"/>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basedOn w:val="DefaultParagraphFont"/>
    <w:link w:val="Heading1"/>
    <w:uiPriority w:val="9"/>
    <w:rsid w:val="009C5E27"/>
    <w:rPr>
      <w:rFonts w:ascii="Calibri" w:hAnsi="Calibri" w:cs="Arial"/>
      <w:b/>
      <w:caps/>
      <w:sz w:val="32"/>
      <w:szCs w:val="24"/>
    </w:rPr>
  </w:style>
  <w:style w:type="character" w:customStyle="1" w:styleId="text-widget">
    <w:name w:val="text-widget"/>
    <w:basedOn w:val="DefaultParagraphFont"/>
    <w:rsid w:val="009C5E27"/>
  </w:style>
  <w:style w:type="table" w:customStyle="1" w:styleId="TableGrid1">
    <w:name w:val="Table Grid1"/>
    <w:basedOn w:val="TableNormal"/>
    <w:next w:val="TableGrid"/>
    <w:uiPriority w:val="39"/>
    <w:rsid w:val="009C5E27"/>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5E27"/>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
    <w:name w:val="MSD Table Grid1"/>
    <w:basedOn w:val="TableNormal"/>
    <w:next w:val="TableGrid"/>
    <w:uiPriority w:val="59"/>
    <w:rsid w:val="009C5E27"/>
    <w:rPr>
      <w:rFonts w:ascii="Calibri" w:eastAsiaTheme="minorHAns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C5E27"/>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9C5E27"/>
    <w:rPr>
      <w:rFonts w:ascii="Segoe UI" w:hAnsi="Segoe UI" w:cs="Segoe UI" w:hint="default"/>
      <w:color w:val="FF0000"/>
      <w:sz w:val="18"/>
      <w:szCs w:val="18"/>
    </w:rPr>
  </w:style>
  <w:style w:type="character" w:customStyle="1" w:styleId="cf31">
    <w:name w:val="cf31"/>
    <w:basedOn w:val="DefaultParagraphFont"/>
    <w:rsid w:val="009C5E27"/>
    <w:rPr>
      <w:rFonts w:ascii="Segoe UI" w:hAnsi="Segoe UI" w:cs="Segoe UI" w:hint="default"/>
      <w:b/>
      <w:bCs/>
      <w:color w:val="FF0000"/>
      <w:sz w:val="18"/>
      <w:szCs w:val="18"/>
    </w:rPr>
  </w:style>
  <w:style w:type="character" w:customStyle="1" w:styleId="Heading3Char">
    <w:name w:val="Heading 3 Char"/>
    <w:basedOn w:val="DefaultParagraphFont"/>
    <w:link w:val="Heading3"/>
    <w:uiPriority w:val="9"/>
    <w:rsid w:val="009C5E27"/>
    <w:rPr>
      <w:rFonts w:ascii="Calibri" w:hAnsi="Calibri" w:cs="Arial"/>
      <w:sz w:val="24"/>
      <w:szCs w:val="24"/>
      <w:u w:val="single"/>
    </w:rPr>
  </w:style>
  <w:style w:type="character" w:customStyle="1" w:styleId="Heading4Char">
    <w:name w:val="Heading 4 Char"/>
    <w:basedOn w:val="DefaultParagraphFont"/>
    <w:link w:val="Heading4"/>
    <w:uiPriority w:val="9"/>
    <w:rsid w:val="009C5E27"/>
    <w:rPr>
      <w:rFonts w:ascii="Calibri" w:hAnsi="Calibri" w:cs="Arial"/>
      <w:b/>
      <w:bCs/>
      <w:i/>
      <w:sz w:val="26"/>
      <w:szCs w:val="28"/>
    </w:rPr>
  </w:style>
  <w:style w:type="character" w:customStyle="1" w:styleId="Heading5Char">
    <w:name w:val="Heading 5 Char"/>
    <w:basedOn w:val="DefaultParagraphFont"/>
    <w:link w:val="Heading5"/>
    <w:uiPriority w:val="9"/>
    <w:rsid w:val="009C5E27"/>
    <w:rPr>
      <w:rFonts w:ascii="Calibri" w:hAnsi="Calibri" w:cs="Arial"/>
      <w:b/>
      <w:bCs/>
      <w:iCs/>
      <w:sz w:val="26"/>
      <w:szCs w:val="26"/>
    </w:rPr>
  </w:style>
  <w:style w:type="character" w:customStyle="1" w:styleId="Heading6Char">
    <w:name w:val="Heading 6 Char"/>
    <w:basedOn w:val="DefaultParagraphFont"/>
    <w:link w:val="Heading6"/>
    <w:uiPriority w:val="9"/>
    <w:rsid w:val="009C5E27"/>
    <w:rPr>
      <w:rFonts w:ascii="Calibri" w:hAnsi="Calibri" w:cs="Arial"/>
      <w:b/>
      <w:bCs/>
      <w:i/>
      <w:sz w:val="24"/>
      <w:szCs w:val="24"/>
    </w:rPr>
  </w:style>
  <w:style w:type="paragraph" w:styleId="Quote">
    <w:name w:val="Quote"/>
    <w:basedOn w:val="Normal"/>
    <w:next w:val="Normal"/>
    <w:link w:val="QuoteChar"/>
    <w:uiPriority w:val="29"/>
    <w:qFormat/>
    <w:rsid w:val="009C5E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C5E27"/>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9C5E27"/>
    <w:rPr>
      <w:i/>
      <w:iCs/>
      <w:color w:val="365F91" w:themeColor="accent1" w:themeShade="BF"/>
    </w:rPr>
  </w:style>
  <w:style w:type="paragraph" w:styleId="IntenseQuote">
    <w:name w:val="Intense Quote"/>
    <w:basedOn w:val="Normal"/>
    <w:next w:val="Normal"/>
    <w:link w:val="IntenseQuoteChar"/>
    <w:uiPriority w:val="30"/>
    <w:qFormat/>
    <w:rsid w:val="009C5E2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C5E27"/>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9C5E27"/>
    <w:rPr>
      <w:b/>
      <w:bCs/>
      <w:smallCaps/>
      <w:color w:val="365F91" w:themeColor="accent1" w:themeShade="BF"/>
      <w:spacing w:val="5"/>
    </w:rPr>
  </w:style>
  <w:style w:type="character" w:styleId="Strong">
    <w:name w:val="Strong"/>
    <w:basedOn w:val="DefaultParagraphFont"/>
    <w:uiPriority w:val="22"/>
    <w:qFormat/>
    <w:rsid w:val="009C5E27"/>
    <w:rPr>
      <w:b/>
      <w:bCs/>
    </w:rPr>
  </w:style>
  <w:style w:type="character" w:styleId="Mention">
    <w:name w:val="Mention"/>
    <w:basedOn w:val="DefaultParagraphFont"/>
    <w:uiPriority w:val="99"/>
    <w:unhideWhenUsed/>
    <w:rsid w:val="009C5E27"/>
    <w:rPr>
      <w:color w:val="2B579A"/>
      <w:shd w:val="clear" w:color="auto" w:fill="E1DFDD"/>
    </w:rPr>
  </w:style>
  <w:style w:type="paragraph" w:customStyle="1" w:styleId="3-SubsectionHeading">
    <w:name w:val="3-Subsection Heading"/>
    <w:basedOn w:val="Heading2"/>
    <w:next w:val="Normal"/>
    <w:link w:val="3-SubsectionHeadingChar"/>
    <w:qFormat/>
    <w:rsid w:val="00EB7B91"/>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EB7B91"/>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pf1">
    <w:name w:val="pf1"/>
    <w:basedOn w:val="Normal"/>
    <w:rsid w:val="0035614D"/>
    <w:pPr>
      <w:spacing w:before="100" w:beforeAutospacing="1" w:after="100" w:afterAutospacing="1"/>
    </w:pPr>
  </w:style>
  <w:style w:type="character" w:customStyle="1" w:styleId="cf11">
    <w:name w:val="cf11"/>
    <w:basedOn w:val="DefaultParagraphFont"/>
    <w:rsid w:val="0035614D"/>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904">
      <w:bodyDiv w:val="1"/>
      <w:marLeft w:val="0"/>
      <w:marRight w:val="0"/>
      <w:marTop w:val="0"/>
      <w:marBottom w:val="0"/>
      <w:divBdr>
        <w:top w:val="none" w:sz="0" w:space="0" w:color="auto"/>
        <w:left w:val="none" w:sz="0" w:space="0" w:color="auto"/>
        <w:bottom w:val="none" w:sz="0" w:space="0" w:color="auto"/>
        <w:right w:val="none" w:sz="0" w:space="0" w:color="auto"/>
      </w:divBdr>
    </w:div>
    <w:div w:id="4295273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054585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1844123">
      <w:bodyDiv w:val="1"/>
      <w:marLeft w:val="0"/>
      <w:marRight w:val="0"/>
      <w:marTop w:val="0"/>
      <w:marBottom w:val="0"/>
      <w:divBdr>
        <w:top w:val="none" w:sz="0" w:space="0" w:color="auto"/>
        <w:left w:val="none" w:sz="0" w:space="0" w:color="auto"/>
        <w:bottom w:val="none" w:sz="0" w:space="0" w:color="auto"/>
        <w:right w:val="none" w:sz="0" w:space="0" w:color="auto"/>
      </w:divBdr>
      <w:divsChild>
        <w:div w:id="353269483">
          <w:marLeft w:val="1080"/>
          <w:marRight w:val="0"/>
          <w:marTop w:val="100"/>
          <w:marBottom w:val="0"/>
          <w:divBdr>
            <w:top w:val="none" w:sz="0" w:space="0" w:color="auto"/>
            <w:left w:val="none" w:sz="0" w:space="0" w:color="auto"/>
            <w:bottom w:val="none" w:sz="0" w:space="0" w:color="auto"/>
            <w:right w:val="none" w:sz="0" w:space="0" w:color="auto"/>
          </w:divBdr>
        </w:div>
      </w:divsChild>
    </w:div>
    <w:div w:id="907614384">
      <w:bodyDiv w:val="1"/>
      <w:marLeft w:val="0"/>
      <w:marRight w:val="0"/>
      <w:marTop w:val="0"/>
      <w:marBottom w:val="0"/>
      <w:divBdr>
        <w:top w:val="none" w:sz="0" w:space="0" w:color="auto"/>
        <w:left w:val="none" w:sz="0" w:space="0" w:color="auto"/>
        <w:bottom w:val="none" w:sz="0" w:space="0" w:color="auto"/>
        <w:right w:val="none" w:sz="0" w:space="0" w:color="auto"/>
      </w:divBdr>
    </w:div>
    <w:div w:id="108202037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5147394">
      <w:bodyDiv w:val="1"/>
      <w:marLeft w:val="0"/>
      <w:marRight w:val="0"/>
      <w:marTop w:val="0"/>
      <w:marBottom w:val="0"/>
      <w:divBdr>
        <w:top w:val="none" w:sz="0" w:space="0" w:color="auto"/>
        <w:left w:val="none" w:sz="0" w:space="0" w:color="auto"/>
        <w:bottom w:val="none" w:sz="0" w:space="0" w:color="auto"/>
        <w:right w:val="none" w:sz="0" w:space="0" w:color="auto"/>
      </w:divBdr>
    </w:div>
    <w:div w:id="170971698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3439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www.servicesaustralia.gov.au/hpo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servicesaustralia.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ervicesaustralia.gov.au/hpos"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rvicesaustralia.gov.a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raining.cochrane.org/handbook" TargetMode="External"/><Relationship Id="rId1" Type="http://schemas.openxmlformats.org/officeDocument/2006/relationships/hyperlink" Target="https://crohnsandcolitis.org.au/living-with-crohns-colitis/medical/re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A3134-380C-4736-8D1F-D486B0D23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9B56E-5E54-4C01-820D-689B196965EA}">
  <ds:schemaRefs>
    <ds:schemaRef ds:uri="http://schemas.microsoft.com/sharepoint/v3/contenttype/forms"/>
  </ds:schemaRefs>
</ds:datastoreItem>
</file>

<file path=customXml/itemProps3.xml><?xml version="1.0" encoding="utf-8"?>
<ds:datastoreItem xmlns:ds="http://schemas.openxmlformats.org/officeDocument/2006/customXml" ds:itemID="{76316086-1768-4B36-9644-F2794614A4AC}">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 ds:uri="7f856f8d-13b3-495a-9a4b-41f8182eda4c"/>
    <ds:schemaRef ds:uri="http://schemas.openxmlformats.org/package/2006/metadata/core-properties"/>
    <ds:schemaRef ds:uri="72f95629-adac-4ec1-8738-e1cec852b92b"/>
    <ds:schemaRef ds:uri="http://www.w3.org/XML/1998/namespace"/>
    <ds:schemaRef ds:uri="http://purl.org/dc/elements/1.1/"/>
  </ds:schemaRefs>
</ds:datastoreItem>
</file>

<file path=customXml/itemProps4.xml><?xml version="1.0" encoding="utf-8"?>
<ds:datastoreItem xmlns:ds="http://schemas.openxmlformats.org/officeDocument/2006/customXml" ds:itemID="{DCB5CCBB-0090-424A-96D3-D6C9EB8CB82F}">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69</Pages>
  <Words>29793</Words>
  <Characters>165226</Characters>
  <Application>Microsoft Office Word</Application>
  <DocSecurity>0</DocSecurity>
  <Lines>1376</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194630</CharactersWithSpaces>
  <SharedDoc>false</SharedDoc>
  <HLinks>
    <vt:vector size="36" baseType="variant">
      <vt:variant>
        <vt:i4>1507399</vt:i4>
      </vt:variant>
      <vt:variant>
        <vt:i4>216</vt:i4>
      </vt:variant>
      <vt:variant>
        <vt:i4>0</vt:i4>
      </vt:variant>
      <vt:variant>
        <vt:i4>5</vt:i4>
      </vt:variant>
      <vt:variant>
        <vt:lpwstr>http://www.servicesaustralia.gov.au/hpos</vt:lpwstr>
      </vt:variant>
      <vt:variant>
        <vt:lpwstr/>
      </vt:variant>
      <vt:variant>
        <vt:i4>1310784</vt:i4>
      </vt:variant>
      <vt:variant>
        <vt:i4>213</vt:i4>
      </vt:variant>
      <vt:variant>
        <vt:i4>0</vt:i4>
      </vt:variant>
      <vt:variant>
        <vt:i4>5</vt:i4>
      </vt:variant>
      <vt:variant>
        <vt:lpwstr>http://www.servicesaustralia.gov.au/</vt:lpwstr>
      </vt:variant>
      <vt:variant>
        <vt:lpwstr/>
      </vt:variant>
      <vt:variant>
        <vt:i4>1507399</vt:i4>
      </vt:variant>
      <vt:variant>
        <vt:i4>174</vt:i4>
      </vt:variant>
      <vt:variant>
        <vt:i4>0</vt:i4>
      </vt:variant>
      <vt:variant>
        <vt:i4>5</vt:i4>
      </vt:variant>
      <vt:variant>
        <vt:lpwstr>http://www.servicesaustralia.gov.au/hpos</vt:lpwstr>
      </vt:variant>
      <vt:variant>
        <vt:lpwstr/>
      </vt:variant>
      <vt:variant>
        <vt:i4>1310784</vt:i4>
      </vt:variant>
      <vt:variant>
        <vt:i4>171</vt:i4>
      </vt:variant>
      <vt:variant>
        <vt:i4>0</vt:i4>
      </vt:variant>
      <vt:variant>
        <vt:i4>5</vt:i4>
      </vt:variant>
      <vt:variant>
        <vt:lpwstr>http://www.servicesaustralia.gov.au/</vt:lpwstr>
      </vt:variant>
      <vt:variant>
        <vt:lpwstr/>
      </vt:variant>
      <vt:variant>
        <vt:i4>1048640</vt:i4>
      </vt:variant>
      <vt:variant>
        <vt:i4>3</vt:i4>
      </vt:variant>
      <vt:variant>
        <vt:i4>0</vt:i4>
      </vt:variant>
      <vt:variant>
        <vt:i4>5</vt:i4>
      </vt:variant>
      <vt:variant>
        <vt:lpwstr>http://www.training.cochrane.org/handbook</vt:lpwstr>
      </vt:variant>
      <vt:variant>
        <vt:lpwstr/>
      </vt:variant>
      <vt:variant>
        <vt:i4>3932287</vt:i4>
      </vt:variant>
      <vt:variant>
        <vt:i4>0</vt:i4>
      </vt:variant>
      <vt:variant>
        <vt:i4>0</vt:i4>
      </vt:variant>
      <vt:variant>
        <vt:i4>5</vt:i4>
      </vt:variant>
      <vt:variant>
        <vt:lpwstr>https://crohnsandcolitis.org.au/living-with-crohns-colitis/medical/remission/</vt:lpwstr>
      </vt:variant>
      <vt:variant>
        <vt:lpwstr>:~:text=How%20often%20you%20have%20an,your%20personal%20and%20family%20history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2025-10-27T05:36:00Z</dcterms:created>
  <dcterms:modified xsi:type="dcterms:W3CDTF">2025-10-30T02:37:00Z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207ab9f7,6f0b1bcf,62f24f54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446caed4,23badb63,26b7852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2025-10-27T05:35:42Z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728d05d5-8932-40f2-91ba-e18553acdafb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y fmtid="{D5CDD505-2E9C-101B-9397-08002B2CF9AE}" pid="17" name="docLang">
    <vt:lpwstr>en</vt:lpwstr>
  </property>
  <property fmtid="{D5CDD505-2E9C-101B-9397-08002B2CF9AE}" pid="18" name="MediaServiceImageTags">
    <vt:lpwstr/>
  </property>
</Properties>
</file>