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05A7" w14:textId="77777777" w:rsidR="0005607D" w:rsidRPr="009D6858" w:rsidRDefault="0005607D" w:rsidP="0005607D">
      <w:pPr>
        <w:rPr>
          <w:rFonts w:cs="Calibri"/>
          <w:color w:val="FF0000"/>
        </w:rPr>
      </w:pPr>
      <w:bookmarkStart w:id="0" w:name="_Toc198561134"/>
      <w:r w:rsidRPr="009D6858">
        <w:rPr>
          <w:rFonts w:cs="Calibri"/>
          <w:color w:val="FF0000"/>
        </w:rPr>
        <w:t xml:space="preserve">An addendum to these </w:t>
      </w:r>
      <w:r w:rsidRPr="00F47CD0">
        <w:rPr>
          <w:rFonts w:asciiTheme="minorHAnsi" w:hAnsiTheme="minorHAnsi"/>
          <w:iCs/>
          <w:color w:val="FF0000"/>
        </w:rPr>
        <w:t>Public Summary Document</w:t>
      </w:r>
      <w:r w:rsidRPr="00F47CD0">
        <w:rPr>
          <w:rFonts w:cs="Calibri"/>
          <w:color w:val="FF0000"/>
        </w:rPr>
        <w:t xml:space="preserve"> </w:t>
      </w:r>
      <w:r w:rsidRPr="009D6858">
        <w:rPr>
          <w:rFonts w:cs="Calibri"/>
          <w:color w:val="FF0000"/>
        </w:rPr>
        <w:t>has been included at the end of the document.</w:t>
      </w:r>
    </w:p>
    <w:p w14:paraId="51C6701A" w14:textId="7F60423E" w:rsidR="00B60939" w:rsidRPr="0098262F" w:rsidRDefault="002320CD" w:rsidP="004A6040">
      <w:pPr>
        <w:pStyle w:val="1-MainHeading"/>
      </w:pPr>
      <w:r>
        <w:t>5.11</w:t>
      </w:r>
      <w:r w:rsidR="00163F66" w:rsidRPr="0098262F">
        <w:tab/>
      </w:r>
      <w:r w:rsidR="00E80F53">
        <w:t>SELADELPAR</w:t>
      </w:r>
      <w:r w:rsidR="00163F66" w:rsidRPr="0098262F">
        <w:t>,</w:t>
      </w:r>
      <w:r w:rsidR="00163F66" w:rsidRPr="0098262F">
        <w:br/>
      </w:r>
      <w:r w:rsidR="00E80F53">
        <w:t>Capsule</w:t>
      </w:r>
      <w:r w:rsidR="00E92AEC">
        <w:t xml:space="preserve"> </w:t>
      </w:r>
      <w:r w:rsidR="00E80F53">
        <w:t>10 mg</w:t>
      </w:r>
      <w:r w:rsidR="00163F66" w:rsidRPr="0098262F">
        <w:t>,</w:t>
      </w:r>
      <w:r w:rsidR="00163F66" w:rsidRPr="0098262F">
        <w:br/>
      </w:r>
      <w:r w:rsidR="00E80F53">
        <w:t>Livdelzi</w:t>
      </w:r>
      <w:r w:rsidR="00B60939" w:rsidRPr="0098262F">
        <w:rPr>
          <w:vertAlign w:val="superscript"/>
        </w:rPr>
        <w:t>®</w:t>
      </w:r>
      <w:r w:rsidR="004A6040" w:rsidRPr="0098262F">
        <w:t>,</w:t>
      </w:r>
      <w:r w:rsidR="004A6040" w:rsidRPr="0098262F">
        <w:br/>
      </w:r>
      <w:r w:rsidR="00E80F53">
        <w:t>Gilead Sciences Pty Ltd</w:t>
      </w:r>
      <w:bookmarkEnd w:id="0"/>
    </w:p>
    <w:p w14:paraId="2981A5B8" w14:textId="77777777" w:rsidR="004A29D1" w:rsidRPr="00417DD5" w:rsidRDefault="004A29D1" w:rsidP="004A29D1">
      <w:pPr>
        <w:pStyle w:val="2-SectionHeading"/>
      </w:pPr>
      <w:bookmarkStart w:id="1" w:name="_Toc198561136"/>
      <w:r w:rsidRPr="00417DD5">
        <w:t>Purpose of submission</w:t>
      </w:r>
      <w:bookmarkEnd w:id="1"/>
    </w:p>
    <w:p w14:paraId="19414AA1" w14:textId="36138240" w:rsidR="002C2775" w:rsidRPr="0098262F" w:rsidRDefault="007170DA" w:rsidP="004E18E9">
      <w:pPr>
        <w:pStyle w:val="3-BodyText"/>
      </w:pPr>
      <w:r w:rsidRPr="00417DD5">
        <w:t xml:space="preserve">The </w:t>
      </w:r>
      <w:r w:rsidR="00F73E08" w:rsidRPr="00417DD5">
        <w:t xml:space="preserve">Category </w:t>
      </w:r>
      <w:r w:rsidR="00F1706C" w:rsidRPr="00417DD5">
        <w:t>2</w:t>
      </w:r>
      <w:r w:rsidR="00F73E08" w:rsidRPr="00417DD5">
        <w:t xml:space="preserve"> </w:t>
      </w:r>
      <w:r w:rsidRPr="00417DD5">
        <w:t xml:space="preserve">submission requested </w:t>
      </w:r>
      <w:r w:rsidR="008B1757" w:rsidRPr="00417DD5">
        <w:t>Authority Required</w:t>
      </w:r>
      <w:r w:rsidR="00F1706C" w:rsidRPr="00417DD5">
        <w:t xml:space="preserve"> (STREAMLINED)</w:t>
      </w:r>
      <w:r w:rsidR="008B1757" w:rsidRPr="00417DD5">
        <w:t xml:space="preserve"> listing for </w:t>
      </w:r>
      <w:r w:rsidR="00F1706C" w:rsidRPr="00417DD5">
        <w:t>seladelpar</w:t>
      </w:r>
      <w:r w:rsidR="008B1757" w:rsidRPr="0098262F">
        <w:t xml:space="preserve"> </w:t>
      </w:r>
      <w:r w:rsidR="00CD454C">
        <w:t>as</w:t>
      </w:r>
      <w:r w:rsidR="0050174E" w:rsidRPr="0098262F">
        <w:t xml:space="preserve"> </w:t>
      </w:r>
      <w:r w:rsidR="008B1757" w:rsidRPr="0098262F">
        <w:t>treatment</w:t>
      </w:r>
      <w:r w:rsidR="00CD454C">
        <w:t xml:space="preserve"> for</w:t>
      </w:r>
      <w:r w:rsidR="00F1706C">
        <w:t xml:space="preserve"> primary biliary cholangitis (PBC).</w:t>
      </w:r>
      <w:r w:rsidR="008B1757" w:rsidRPr="0098262F">
        <w:rPr>
          <w:color w:val="0066FF"/>
        </w:rPr>
        <w:t xml:space="preserve"> </w:t>
      </w:r>
    </w:p>
    <w:p w14:paraId="4E9FBCB5" w14:textId="3D6052B6" w:rsidR="00C2778B" w:rsidRPr="0098262F" w:rsidRDefault="005750C5" w:rsidP="004E18E9">
      <w:pPr>
        <w:pStyle w:val="3-BodyText"/>
      </w:pPr>
      <w:r w:rsidRPr="0098262F">
        <w:t xml:space="preserve">Listing was requested on the basis of </w:t>
      </w:r>
      <w:r w:rsidR="00F1706C">
        <w:t>a cost-effectiveness analysis v</w:t>
      </w:r>
      <w:r w:rsidR="0021284D">
        <w:t>ersu</w:t>
      </w:r>
      <w:r w:rsidR="00F1706C">
        <w:t xml:space="preserve">s best supportive care (BSC), </w:t>
      </w:r>
      <w:r w:rsidRPr="0098262F">
        <w:t xml:space="preserve">a </w:t>
      </w:r>
      <w:r w:rsidR="00F1706C">
        <w:t>cost-effectiveness analysis v</w:t>
      </w:r>
      <w:r w:rsidR="0021284D">
        <w:t>ersu</w:t>
      </w:r>
      <w:r w:rsidR="00F1706C">
        <w:t>s obeticholic acid (OCA), and a cost-minimisation approach v</w:t>
      </w:r>
      <w:r w:rsidR="0021284D">
        <w:t>ersu</w:t>
      </w:r>
      <w:r w:rsidR="00F1706C">
        <w:t>s elafibranor</w:t>
      </w:r>
      <w:r w:rsidRPr="0098262F">
        <w:t xml:space="preserve">. </w:t>
      </w:r>
      <w:r w:rsidR="00F642F5">
        <w:fldChar w:fldCharType="begin"/>
      </w:r>
      <w:r w:rsidR="00F642F5">
        <w:instrText xml:space="preserve"> REF _Ref196232369 \h </w:instrText>
      </w:r>
      <w:r w:rsidR="00F642F5">
        <w:fldChar w:fldCharType="separate"/>
      </w:r>
      <w:r w:rsidR="00333A5F">
        <w:t xml:space="preserve">Table </w:t>
      </w:r>
      <w:r w:rsidR="00333A5F">
        <w:rPr>
          <w:noProof/>
        </w:rPr>
        <w:t>1</w:t>
      </w:r>
      <w:r w:rsidR="00F642F5">
        <w:fldChar w:fldCharType="end"/>
      </w:r>
      <w:r w:rsidR="00F642F5">
        <w:t xml:space="preserve"> summarises the components of the clinical claim addressed by the submission.</w:t>
      </w:r>
    </w:p>
    <w:p w14:paraId="1C3AD643" w14:textId="22B50E48" w:rsidR="00392763" w:rsidRDefault="004A29D1" w:rsidP="00392763">
      <w:pPr>
        <w:pStyle w:val="TableFigureHeading"/>
      </w:pPr>
      <w:bookmarkStart w:id="2" w:name="_Ref196232369"/>
      <w:r>
        <w:t xml:space="preserve">Table </w:t>
      </w:r>
      <w:r w:rsidR="00A24BC2">
        <w:fldChar w:fldCharType="begin"/>
      </w:r>
      <w:r w:rsidR="00A24BC2">
        <w:instrText xml:space="preserve"> SEQ Table \* ARABIC </w:instrText>
      </w:r>
      <w:r w:rsidR="00A24BC2">
        <w:fldChar w:fldCharType="separate"/>
      </w:r>
      <w:r w:rsidR="00333A5F">
        <w:rPr>
          <w:noProof/>
        </w:rPr>
        <w:t>1</w:t>
      </w:r>
      <w:r w:rsidR="00A24BC2">
        <w:rPr>
          <w:noProof/>
        </w:rPr>
        <w:fldChar w:fldCharType="end"/>
      </w:r>
      <w:bookmarkEnd w:id="2"/>
      <w:r>
        <w:t>:</w:t>
      </w:r>
      <w:r w:rsidRPr="004A6040">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666"/>
        <w:gridCol w:w="7351"/>
      </w:tblGrid>
      <w:tr w:rsidR="008B1757" w:rsidRPr="0098262F" w14:paraId="569F5103" w14:textId="77777777" w:rsidTr="00DF3373">
        <w:trPr>
          <w:cantSplit/>
          <w:tblHeader/>
        </w:trPr>
        <w:tc>
          <w:tcPr>
            <w:tcW w:w="924" w:type="pct"/>
          </w:tcPr>
          <w:p w14:paraId="501803FB" w14:textId="77777777" w:rsidR="008B1757" w:rsidRPr="0098262F" w:rsidRDefault="008B1757" w:rsidP="00260755">
            <w:pPr>
              <w:pStyle w:val="In-tableHeading"/>
              <w:jc w:val="center"/>
              <w:rPr>
                <w:szCs w:val="20"/>
                <w:lang w:val="en-AU"/>
              </w:rPr>
            </w:pPr>
            <w:r w:rsidRPr="0098262F">
              <w:rPr>
                <w:lang w:val="en-AU"/>
              </w:rPr>
              <w:t>Component</w:t>
            </w:r>
          </w:p>
        </w:tc>
        <w:tc>
          <w:tcPr>
            <w:tcW w:w="4076" w:type="pct"/>
          </w:tcPr>
          <w:p w14:paraId="445D9EBB" w14:textId="77777777" w:rsidR="008B1757" w:rsidRPr="0098262F" w:rsidRDefault="008B1757" w:rsidP="00260755">
            <w:pPr>
              <w:pStyle w:val="In-tableHeading"/>
              <w:jc w:val="center"/>
              <w:rPr>
                <w:lang w:val="en-AU"/>
              </w:rPr>
            </w:pPr>
            <w:r w:rsidRPr="0098262F">
              <w:rPr>
                <w:lang w:val="en-AU"/>
              </w:rPr>
              <w:t>Description</w:t>
            </w:r>
          </w:p>
        </w:tc>
      </w:tr>
      <w:tr w:rsidR="008B1757" w:rsidRPr="0098262F" w14:paraId="2EB546E2" w14:textId="77777777" w:rsidTr="00DF3373">
        <w:trPr>
          <w:cantSplit/>
        </w:trPr>
        <w:tc>
          <w:tcPr>
            <w:tcW w:w="924" w:type="pct"/>
          </w:tcPr>
          <w:p w14:paraId="38F3BB34" w14:textId="77777777" w:rsidR="008B1757" w:rsidRPr="0098262F" w:rsidRDefault="008B1757" w:rsidP="004A6040">
            <w:pPr>
              <w:pStyle w:val="TableText0"/>
            </w:pPr>
            <w:r w:rsidRPr="0098262F">
              <w:t>Population</w:t>
            </w:r>
          </w:p>
        </w:tc>
        <w:tc>
          <w:tcPr>
            <w:tcW w:w="4076" w:type="pct"/>
          </w:tcPr>
          <w:p w14:paraId="79618EEE" w14:textId="1E70DD9C" w:rsidR="00233C01" w:rsidRPr="0098262F" w:rsidRDefault="00F1706C" w:rsidP="00233C01">
            <w:pPr>
              <w:pStyle w:val="TableText0"/>
              <w:rPr>
                <w:szCs w:val="20"/>
              </w:rPr>
            </w:pPr>
            <w:r w:rsidRPr="00F1706C">
              <w:t>Patients with primary biliary cholangitis, who have had an inadequate response to UDCA or are intolerant to UDCA.</w:t>
            </w:r>
          </w:p>
        </w:tc>
      </w:tr>
      <w:tr w:rsidR="008B1757" w:rsidRPr="0098262F" w14:paraId="0CA523AF" w14:textId="77777777" w:rsidTr="00DF3373">
        <w:trPr>
          <w:cantSplit/>
        </w:trPr>
        <w:tc>
          <w:tcPr>
            <w:tcW w:w="924" w:type="pct"/>
          </w:tcPr>
          <w:p w14:paraId="7B6D20D8" w14:textId="77777777" w:rsidR="008B1757" w:rsidRPr="0098262F" w:rsidRDefault="008B1757" w:rsidP="004A6040">
            <w:pPr>
              <w:pStyle w:val="TableText0"/>
            </w:pPr>
            <w:r w:rsidRPr="0098262F">
              <w:t>Intervention</w:t>
            </w:r>
          </w:p>
        </w:tc>
        <w:tc>
          <w:tcPr>
            <w:tcW w:w="4076" w:type="pct"/>
          </w:tcPr>
          <w:p w14:paraId="0028038F" w14:textId="77777777" w:rsidR="00F1706C" w:rsidRDefault="00F1706C" w:rsidP="00F1706C">
            <w:pPr>
              <w:pStyle w:val="TableText0"/>
            </w:pPr>
            <w:r>
              <w:t>Seladelpar at a dose of 10 mg/day in combination with UDCA (if UDCA is tolerated).</w:t>
            </w:r>
          </w:p>
          <w:p w14:paraId="2491E905" w14:textId="1A1D3521" w:rsidR="00233C01" w:rsidRPr="0098262F" w:rsidRDefault="00F1706C" w:rsidP="00F1706C">
            <w:pPr>
              <w:pStyle w:val="TableText0"/>
            </w:pPr>
            <w:r>
              <w:t>Seladelpar monotherapy at a dose of 10 mg/day (if UDCA is not tolerated).</w:t>
            </w:r>
          </w:p>
        </w:tc>
      </w:tr>
      <w:tr w:rsidR="008B1757" w:rsidRPr="0098262F" w14:paraId="0F81EBE4" w14:textId="77777777" w:rsidTr="00DF3373">
        <w:trPr>
          <w:cantSplit/>
        </w:trPr>
        <w:tc>
          <w:tcPr>
            <w:tcW w:w="924" w:type="pct"/>
          </w:tcPr>
          <w:p w14:paraId="3656B343" w14:textId="6D5076C9" w:rsidR="008B1757" w:rsidRPr="0098262F" w:rsidRDefault="008B1757" w:rsidP="004A6040">
            <w:pPr>
              <w:pStyle w:val="TableText0"/>
            </w:pPr>
            <w:r w:rsidRPr="0098262F">
              <w:t>Comparator</w:t>
            </w:r>
            <w:r w:rsidR="00F642F5" w:rsidRPr="00F642F5">
              <w:rPr>
                <w:vertAlign w:val="superscript"/>
              </w:rPr>
              <w:t>a</w:t>
            </w:r>
          </w:p>
        </w:tc>
        <w:tc>
          <w:tcPr>
            <w:tcW w:w="4076" w:type="pct"/>
          </w:tcPr>
          <w:p w14:paraId="0A1BF5FC" w14:textId="45937E39" w:rsidR="00F1706C" w:rsidRDefault="00F1706C" w:rsidP="00F6324B">
            <w:pPr>
              <w:pStyle w:val="TableText0"/>
              <w:numPr>
                <w:ilvl w:val="0"/>
                <w:numId w:val="6"/>
              </w:numPr>
            </w:pPr>
            <w:r>
              <w:t>BSC consisting of:</w:t>
            </w:r>
          </w:p>
          <w:p w14:paraId="6DB871A7" w14:textId="24179F9B" w:rsidR="00F1706C" w:rsidRPr="008E4F34" w:rsidRDefault="00F1706C" w:rsidP="00F6324B">
            <w:pPr>
              <w:pStyle w:val="TableText0"/>
              <w:numPr>
                <w:ilvl w:val="1"/>
                <w:numId w:val="6"/>
              </w:numPr>
            </w:pPr>
            <w:r w:rsidRPr="008E4F34">
              <w:t>Background therapy with UDCA (if UDCA is tolerated).</w:t>
            </w:r>
          </w:p>
          <w:p w14:paraId="57ECFAD8" w14:textId="354C1592" w:rsidR="00F1706C" w:rsidRPr="008E4F34" w:rsidRDefault="00F1706C" w:rsidP="00F6324B">
            <w:pPr>
              <w:pStyle w:val="TableText0"/>
              <w:numPr>
                <w:ilvl w:val="1"/>
                <w:numId w:val="6"/>
              </w:numPr>
            </w:pPr>
            <w:r w:rsidRPr="008E4F34">
              <w:t>Placebo (if UDCA is not tolerated).</w:t>
            </w:r>
          </w:p>
          <w:p w14:paraId="39600EF4" w14:textId="0745FAC8" w:rsidR="00F1706C" w:rsidRPr="008E4F34" w:rsidRDefault="00F1706C" w:rsidP="00F6324B">
            <w:pPr>
              <w:pStyle w:val="TableText0"/>
              <w:numPr>
                <w:ilvl w:val="0"/>
                <w:numId w:val="6"/>
              </w:numPr>
            </w:pPr>
            <w:r w:rsidRPr="008E4F34">
              <w:t>OCA 5-10 mg/day</w:t>
            </w:r>
            <w:r w:rsidR="00F642F5" w:rsidRPr="008E4F34">
              <w:t xml:space="preserve"> +UDCA (if UDCA is tolerated)</w:t>
            </w:r>
            <w:r w:rsidRPr="008E4F34">
              <w:t>.</w:t>
            </w:r>
          </w:p>
          <w:p w14:paraId="3727DE24" w14:textId="482D3FE2" w:rsidR="00233C01" w:rsidRPr="0098262F" w:rsidRDefault="00F1706C" w:rsidP="00F6324B">
            <w:pPr>
              <w:pStyle w:val="TableText0"/>
              <w:numPr>
                <w:ilvl w:val="0"/>
                <w:numId w:val="6"/>
              </w:numPr>
            </w:pPr>
            <w:r w:rsidRPr="008E4F34">
              <w:t>ELA 80 mg/day</w:t>
            </w:r>
            <w:r w:rsidR="00F642F5" w:rsidRPr="008E4F34">
              <w:t xml:space="preserve"> + UDCA (if UDCA is tolerated)</w:t>
            </w:r>
            <w:r w:rsidRPr="008E4F34">
              <w:t>.</w:t>
            </w:r>
          </w:p>
        </w:tc>
      </w:tr>
      <w:tr w:rsidR="008B1757" w:rsidRPr="0098262F" w14:paraId="02F86F0D" w14:textId="77777777" w:rsidTr="00DF3373">
        <w:trPr>
          <w:cantSplit/>
        </w:trPr>
        <w:tc>
          <w:tcPr>
            <w:tcW w:w="924" w:type="pct"/>
          </w:tcPr>
          <w:p w14:paraId="06433105" w14:textId="77777777" w:rsidR="008B1757" w:rsidRPr="0098262F" w:rsidRDefault="008B1757" w:rsidP="004A6040">
            <w:pPr>
              <w:pStyle w:val="TableText0"/>
            </w:pPr>
            <w:r w:rsidRPr="0098262F">
              <w:t>Outcomes</w:t>
            </w:r>
          </w:p>
        </w:tc>
        <w:tc>
          <w:tcPr>
            <w:tcW w:w="4076" w:type="pct"/>
          </w:tcPr>
          <w:p w14:paraId="321B2372" w14:textId="77777777" w:rsidR="00F1706C" w:rsidRPr="00F1706C" w:rsidRDefault="00F1706C" w:rsidP="00F1706C">
            <w:pPr>
              <w:pStyle w:val="TableText0"/>
              <w:rPr>
                <w:u w:val="single"/>
              </w:rPr>
            </w:pPr>
            <w:r w:rsidRPr="00F1706C">
              <w:rPr>
                <w:u w:val="single"/>
              </w:rPr>
              <w:t>Primary outcome</w:t>
            </w:r>
          </w:p>
          <w:p w14:paraId="562B9CD0" w14:textId="7488FF90" w:rsidR="00F1706C" w:rsidRDefault="00F1706C" w:rsidP="00F6324B">
            <w:pPr>
              <w:pStyle w:val="TableText0"/>
              <w:numPr>
                <w:ilvl w:val="0"/>
                <w:numId w:val="7"/>
              </w:numPr>
            </w:pPr>
            <w:r>
              <w:t>Biochemical response (ALP &lt; 1.67x ULN and total bilirubin within normal limits, and ALP decrease of ≥ 15%).</w:t>
            </w:r>
          </w:p>
          <w:p w14:paraId="622BC495" w14:textId="77777777" w:rsidR="00F1706C" w:rsidRPr="00F1706C" w:rsidRDefault="00F1706C" w:rsidP="00F1706C">
            <w:pPr>
              <w:pStyle w:val="TableText0"/>
              <w:rPr>
                <w:u w:val="single"/>
              </w:rPr>
            </w:pPr>
            <w:r w:rsidRPr="00F1706C">
              <w:rPr>
                <w:u w:val="single"/>
              </w:rPr>
              <w:t>Secondary/exploratory/safety outcomes</w:t>
            </w:r>
          </w:p>
          <w:p w14:paraId="44216CFC" w14:textId="7AAFD4F9" w:rsidR="00F1706C" w:rsidRDefault="00F1706C" w:rsidP="00F6324B">
            <w:pPr>
              <w:pStyle w:val="TableText0"/>
              <w:numPr>
                <w:ilvl w:val="0"/>
                <w:numId w:val="7"/>
              </w:numPr>
            </w:pPr>
            <w:r>
              <w:t>ALP normalisation (ALP ≤ 1.0 x ULN).</w:t>
            </w:r>
          </w:p>
          <w:p w14:paraId="515EC5C1" w14:textId="4471429F" w:rsidR="00F1706C" w:rsidRDefault="00F1706C" w:rsidP="00F6324B">
            <w:pPr>
              <w:pStyle w:val="TableText0"/>
              <w:numPr>
                <w:ilvl w:val="0"/>
                <w:numId w:val="7"/>
              </w:numPr>
            </w:pPr>
            <w:r>
              <w:t>Change from baseline in weekly average Pruritus NRS.</w:t>
            </w:r>
          </w:p>
          <w:p w14:paraId="3BD55E85" w14:textId="0110B907" w:rsidR="00F1706C" w:rsidRDefault="00F1706C" w:rsidP="00F6324B">
            <w:pPr>
              <w:pStyle w:val="TableText0"/>
              <w:numPr>
                <w:ilvl w:val="0"/>
                <w:numId w:val="7"/>
              </w:numPr>
            </w:pPr>
            <w:r>
              <w:t>Change from baseline in PBC-40 QoL.</w:t>
            </w:r>
          </w:p>
          <w:p w14:paraId="0397F341" w14:textId="2F17746E" w:rsidR="00F1706C" w:rsidRDefault="00F1706C" w:rsidP="00F6324B">
            <w:pPr>
              <w:pStyle w:val="TableText0"/>
              <w:numPr>
                <w:ilvl w:val="0"/>
                <w:numId w:val="7"/>
              </w:numPr>
            </w:pPr>
            <w:r>
              <w:t>Change from baseline in PBC-40 QoL itch domain.</w:t>
            </w:r>
          </w:p>
          <w:p w14:paraId="775BBD68" w14:textId="24EFC59D" w:rsidR="00F1706C" w:rsidRDefault="00F1706C" w:rsidP="00F6324B">
            <w:pPr>
              <w:pStyle w:val="TableText0"/>
              <w:numPr>
                <w:ilvl w:val="0"/>
                <w:numId w:val="7"/>
              </w:numPr>
            </w:pPr>
            <w:r>
              <w:t>Change from baseline in 5-D itch.</w:t>
            </w:r>
          </w:p>
          <w:p w14:paraId="157E32D9" w14:textId="59A91A77" w:rsidR="00F1706C" w:rsidRDefault="00F1706C" w:rsidP="00F6324B">
            <w:pPr>
              <w:pStyle w:val="TableText0"/>
              <w:numPr>
                <w:ilvl w:val="0"/>
                <w:numId w:val="7"/>
              </w:numPr>
            </w:pPr>
            <w:r>
              <w:t>Frequently reported AEs.</w:t>
            </w:r>
          </w:p>
          <w:p w14:paraId="5ABC4037" w14:textId="286E3278" w:rsidR="00233C01" w:rsidRPr="0098262F" w:rsidRDefault="00F1706C" w:rsidP="00F6324B">
            <w:pPr>
              <w:pStyle w:val="TableText0"/>
              <w:numPr>
                <w:ilvl w:val="0"/>
                <w:numId w:val="7"/>
              </w:numPr>
              <w:rPr>
                <w:rFonts w:eastAsia="Times New Roman" w:cs="Arial"/>
                <w:bCs w:val="0"/>
                <w:snapToGrid w:val="0"/>
                <w:color w:val="0066FF"/>
                <w:szCs w:val="20"/>
              </w:rPr>
            </w:pPr>
            <w:r>
              <w:t>Treatment-emergent serious AEs.</w:t>
            </w:r>
          </w:p>
        </w:tc>
      </w:tr>
      <w:tr w:rsidR="008B1757" w:rsidRPr="0098262F" w14:paraId="22223890" w14:textId="77777777" w:rsidTr="00DF3373">
        <w:trPr>
          <w:cantSplit/>
        </w:trPr>
        <w:tc>
          <w:tcPr>
            <w:tcW w:w="924" w:type="pct"/>
          </w:tcPr>
          <w:p w14:paraId="0FC8FCE0" w14:textId="77777777" w:rsidR="008B1757" w:rsidRPr="0098262F" w:rsidRDefault="008B1757" w:rsidP="004A6040">
            <w:pPr>
              <w:pStyle w:val="TableText0"/>
            </w:pPr>
            <w:r w:rsidRPr="0098262F">
              <w:t>Clinical claim</w:t>
            </w:r>
          </w:p>
        </w:tc>
        <w:tc>
          <w:tcPr>
            <w:tcW w:w="4076" w:type="pct"/>
          </w:tcPr>
          <w:p w14:paraId="28136430" w14:textId="77777777" w:rsidR="00F1706C" w:rsidRDefault="00F1706C" w:rsidP="00F1706C">
            <w:pPr>
              <w:pStyle w:val="TableText0"/>
            </w:pPr>
            <w:r>
              <w:t>Seladelpar is superior to BSC in terms of efficacy and non-inferior to BSC in terms of safety.</w:t>
            </w:r>
          </w:p>
          <w:p w14:paraId="0AF74E32" w14:textId="77777777" w:rsidR="00F1706C" w:rsidRDefault="00F1706C" w:rsidP="00F1706C">
            <w:pPr>
              <w:pStyle w:val="TableText0"/>
            </w:pPr>
            <w:r>
              <w:t>Seladelpar is superior to OCA in terms of efficacy and safety.</w:t>
            </w:r>
          </w:p>
          <w:p w14:paraId="2C99C4DE" w14:textId="4C7F95F3" w:rsidR="00233C01" w:rsidRPr="0098262F" w:rsidRDefault="00F1706C" w:rsidP="00F1706C">
            <w:pPr>
              <w:pStyle w:val="TableText0"/>
              <w:rPr>
                <w:rFonts w:eastAsia="Times New Roman" w:cs="Arial"/>
                <w:bCs w:val="0"/>
                <w:snapToGrid w:val="0"/>
                <w:color w:val="0066FF"/>
                <w:szCs w:val="20"/>
              </w:rPr>
            </w:pPr>
            <w:r>
              <w:t>Seladelpar is non-inferior to elafibranor in terms of efficacy and safety.</w:t>
            </w:r>
          </w:p>
        </w:tc>
      </w:tr>
    </w:tbl>
    <w:p w14:paraId="6FB5382F" w14:textId="77777777" w:rsidR="00F1706C" w:rsidRPr="00F1706C" w:rsidRDefault="00F1706C" w:rsidP="00F1706C">
      <w:pPr>
        <w:pStyle w:val="TableFigureFooter"/>
      </w:pPr>
      <w:r w:rsidRPr="00F1706C">
        <w:t>Source: Table 1, p8 of the submission.</w:t>
      </w:r>
    </w:p>
    <w:p w14:paraId="6C6A0372" w14:textId="77777777" w:rsidR="00F1706C" w:rsidRDefault="00F1706C" w:rsidP="00F1706C">
      <w:pPr>
        <w:pStyle w:val="TableFigureFooter"/>
      </w:pPr>
      <w:r w:rsidRPr="00F1706C">
        <w:t xml:space="preserve">5-D = 5 dimensions (degree, duration, direction, disability, distribution); AE = adverse event; ALP = alkaline phosphatase; BSC = best supportive care; ELA = elafibranor; NRS = numeric rating scale; OCA = obeticholic acid; PBC = primary biliary cholangitis; QoL = quality of life; UDCA = ursodeoxycholic acid; ULN = upper limit of normal. </w:t>
      </w:r>
    </w:p>
    <w:p w14:paraId="23AD3C03" w14:textId="5F34175E" w:rsidR="00F642F5" w:rsidRPr="000036CF" w:rsidRDefault="00F642F5" w:rsidP="00F642F5">
      <w:pPr>
        <w:pStyle w:val="TableFigureFooter"/>
        <w:rPr>
          <w:vertAlign w:val="superscript"/>
        </w:rPr>
      </w:pPr>
      <w:r w:rsidRPr="000036CF">
        <w:rPr>
          <w:vertAlign w:val="superscript"/>
        </w:rPr>
        <w:t xml:space="preserve">a </w:t>
      </w:r>
      <w:r w:rsidRPr="000036CF">
        <w:t>Table 1 of the submission did not specify whether OCA and ELA were provided with or without UDCA. However, the evidence presented in Section 2 was for OCA + UDCA (if UDCA is tolerated) and ELA + UDCA (if UDCA is tolerated).</w:t>
      </w:r>
    </w:p>
    <w:p w14:paraId="6B4AB6C2" w14:textId="09250629" w:rsidR="005C25FF" w:rsidRPr="0098262F" w:rsidRDefault="005C25FF" w:rsidP="00F1706C">
      <w:pPr>
        <w:pStyle w:val="2-SectionHeading"/>
      </w:pPr>
      <w:bookmarkStart w:id="3" w:name="_Toc198561137"/>
      <w:r w:rsidRPr="0098262F">
        <w:lastRenderedPageBreak/>
        <w:t>Background</w:t>
      </w:r>
      <w:bookmarkEnd w:id="3"/>
    </w:p>
    <w:p w14:paraId="58EF9125" w14:textId="77777777" w:rsidR="004A29D1" w:rsidRPr="004151CF" w:rsidRDefault="004A29D1" w:rsidP="004A29D1">
      <w:pPr>
        <w:pStyle w:val="4-SubsectionHeading"/>
        <w:rPr>
          <w:lang w:eastAsia="en-AU"/>
        </w:rPr>
      </w:pPr>
      <w:bookmarkStart w:id="4" w:name="_Toc22897638"/>
      <w:bookmarkStart w:id="5" w:name="_Toc198561138"/>
      <w:r w:rsidRPr="004151CF">
        <w:rPr>
          <w:lang w:eastAsia="en-AU"/>
        </w:rPr>
        <w:t>Registration status</w:t>
      </w:r>
      <w:bookmarkEnd w:id="4"/>
      <w:bookmarkEnd w:id="5"/>
    </w:p>
    <w:p w14:paraId="4B9FFDA5" w14:textId="3D8FB4F4" w:rsidR="00CF3A1B" w:rsidRDefault="005C25FF" w:rsidP="00DF46F0">
      <w:pPr>
        <w:pStyle w:val="3-BodyText"/>
        <w:rPr>
          <w:color w:val="0066FF"/>
        </w:rPr>
      </w:pPr>
      <w:r w:rsidRPr="0098262F">
        <w:t xml:space="preserve">The submission was made under </w:t>
      </w:r>
      <w:r w:rsidR="00E244F6" w:rsidRPr="0098262F">
        <w:t xml:space="preserve">the </w:t>
      </w:r>
      <w:r w:rsidRPr="0098262F">
        <w:t xml:space="preserve">TGA/PBAC Parallel Process. At the time of </w:t>
      </w:r>
      <w:r w:rsidR="0053214D">
        <w:t>ESC</w:t>
      </w:r>
      <w:r w:rsidRPr="0098262F">
        <w:t xml:space="preserve"> consideration, </w:t>
      </w:r>
      <w:r w:rsidR="00AA0B6F">
        <w:t>the TGA planning letter was available</w:t>
      </w:r>
      <w:r w:rsidRPr="0098262F">
        <w:t>.</w:t>
      </w:r>
      <w:r w:rsidR="00AA0B6F" w:rsidRPr="00AA0B6F">
        <w:t xml:space="preserve"> The TGA Clinical Evaluator’s Report (CER) </w:t>
      </w:r>
      <w:r w:rsidR="00AA0B6F">
        <w:t>was</w:t>
      </w:r>
      <w:r w:rsidR="00AA0B6F" w:rsidRPr="00AA0B6F">
        <w:t xml:space="preserve"> </w:t>
      </w:r>
      <w:r w:rsidR="00B343C3">
        <w:t>received</w:t>
      </w:r>
      <w:r w:rsidR="00B343C3" w:rsidRPr="00AA0B6F">
        <w:t xml:space="preserve"> </w:t>
      </w:r>
      <w:r w:rsidR="00AA0B6F">
        <w:t>on</w:t>
      </w:r>
      <w:r w:rsidR="00AA0B6F" w:rsidRPr="00AA0B6F">
        <w:t xml:space="preserve"> </w:t>
      </w:r>
      <w:r w:rsidR="00B343C3">
        <w:t>8</w:t>
      </w:r>
      <w:r w:rsidR="006C4F89">
        <w:t xml:space="preserve"> </w:t>
      </w:r>
      <w:r w:rsidR="00B343C3">
        <w:t>July</w:t>
      </w:r>
      <w:r w:rsidR="00AA0B6F" w:rsidRPr="00AA0B6F">
        <w:t xml:space="preserve"> 2025 and the Delegate’s overview </w:t>
      </w:r>
      <w:r w:rsidR="00AA0B6F">
        <w:t>was</w:t>
      </w:r>
      <w:r w:rsidR="00AA0B6F" w:rsidRPr="00AA0B6F">
        <w:t xml:space="preserve"> expected </w:t>
      </w:r>
      <w:r w:rsidR="00AA0B6F">
        <w:t xml:space="preserve">on </w:t>
      </w:r>
      <w:r w:rsidR="00AA0B6F" w:rsidRPr="00AA0B6F">
        <w:t>4</w:t>
      </w:r>
      <w:r w:rsidR="00AA0B6F">
        <w:t xml:space="preserve"> </w:t>
      </w:r>
      <w:r w:rsidR="00AA0B6F" w:rsidRPr="00AA0B6F">
        <w:t xml:space="preserve">November 2025. </w:t>
      </w:r>
    </w:p>
    <w:p w14:paraId="0B6C1E47" w14:textId="77777777" w:rsidR="00785588" w:rsidRDefault="00785588" w:rsidP="00785588">
      <w:pPr>
        <w:pStyle w:val="4-SubsectionHeading"/>
        <w:rPr>
          <w:lang w:eastAsia="en-AU"/>
        </w:rPr>
      </w:pPr>
      <w:bookmarkStart w:id="6" w:name="_Toc22897639"/>
      <w:bookmarkStart w:id="7" w:name="_Toc198561139"/>
      <w:bookmarkStart w:id="8" w:name="_Hlk112059474"/>
      <w:r w:rsidRPr="00621ADA">
        <w:rPr>
          <w:lang w:eastAsia="en-AU"/>
        </w:rPr>
        <w:t>Previous PBAC consideration</w:t>
      </w:r>
      <w:bookmarkEnd w:id="6"/>
      <w:bookmarkEnd w:id="7"/>
    </w:p>
    <w:p w14:paraId="5FC7E3B6" w14:textId="77777777" w:rsidR="00502EE1" w:rsidRDefault="006C4F89" w:rsidP="001B1083">
      <w:pPr>
        <w:pStyle w:val="3-BodyText"/>
      </w:pPr>
      <w:bookmarkStart w:id="9" w:name="_Ref201070403"/>
      <w:bookmarkEnd w:id="8"/>
      <w:r>
        <w:t>The PBAC has not previously considered se</w:t>
      </w:r>
      <w:r w:rsidR="006F16E7">
        <w:t>l</w:t>
      </w:r>
      <w:r>
        <w:t>adelpar</w:t>
      </w:r>
      <w:r w:rsidR="006F16E7">
        <w:t xml:space="preserve"> for any indication. </w:t>
      </w:r>
    </w:p>
    <w:p w14:paraId="31E3F4C3" w14:textId="4DE499B7" w:rsidR="00FE103C" w:rsidRPr="000036CF" w:rsidRDefault="00140FAF" w:rsidP="001B1083">
      <w:pPr>
        <w:pStyle w:val="3-BodyText"/>
      </w:pPr>
      <w:r w:rsidRPr="000036CF">
        <w:t xml:space="preserve">The PBAC </w:t>
      </w:r>
      <w:r w:rsidR="00FE103C" w:rsidRPr="000036CF">
        <w:t>recommended</w:t>
      </w:r>
      <w:r w:rsidR="00BA7CFA">
        <w:t xml:space="preserve"> the listing of</w:t>
      </w:r>
      <w:r w:rsidR="00FE103C" w:rsidRPr="000036CF">
        <w:t xml:space="preserve"> elafibranor for the treatment of PBC</w:t>
      </w:r>
      <w:r w:rsidR="00BA7CFA">
        <w:t xml:space="preserve"> at its March 2025 meeting</w:t>
      </w:r>
      <w:r w:rsidR="00FE103C" w:rsidRPr="000036CF">
        <w:rPr>
          <w:rStyle w:val="FootnoteReference"/>
        </w:rPr>
        <w:footnoteReference w:id="2"/>
      </w:r>
      <w:r w:rsidR="00BA7CFA" w:rsidRPr="000036CF">
        <w:t>.</w:t>
      </w:r>
      <w:r w:rsidR="00FE103C" w:rsidRPr="000036CF">
        <w:t xml:space="preserve"> The PBAC considered that elafibranor was non-inferior in terms of effectiveness and safety compared to obeticholic acid (OCA) and therefore considered that a cost-minimisation approach versus OCA to be appropriate. The PBAC considered that a price premium for elafibranor would be reasonable given the potential reduction in PBC-related pruritus compared to OCA. The PBAC considered that elafibranor should join the risk sharing arrangement for OCA.</w:t>
      </w:r>
      <w:bookmarkEnd w:id="9"/>
    </w:p>
    <w:p w14:paraId="5CFBE316" w14:textId="51DA961B" w:rsidR="001E42F0" w:rsidRPr="001E42F0" w:rsidRDefault="001E42F0" w:rsidP="001E42F0">
      <w:pPr>
        <w:pStyle w:val="3-BodyText"/>
        <w:numPr>
          <w:ilvl w:val="0"/>
          <w:numId w:val="0"/>
        </w:numPr>
        <w:ind w:left="720"/>
        <w:rPr>
          <w:i/>
          <w:iCs/>
        </w:rPr>
      </w:pPr>
      <w:bookmarkStart w:id="10" w:name="_Hlk76375324"/>
      <w:r w:rsidRPr="001E42F0">
        <w:rPr>
          <w:i/>
          <w:iCs/>
        </w:rPr>
        <w:t>For more detail on PBAC’s view, see section 7 PBAC outcome.</w:t>
      </w:r>
      <w:bookmarkEnd w:id="10"/>
    </w:p>
    <w:p w14:paraId="76E4EF3C" w14:textId="13040F70" w:rsidR="00B60939" w:rsidRDefault="00B50DB8" w:rsidP="004E18E9">
      <w:pPr>
        <w:pStyle w:val="2-SectionHeading"/>
      </w:pPr>
      <w:bookmarkStart w:id="11" w:name="_Toc107902078"/>
      <w:bookmarkStart w:id="12" w:name="_Toc198561140"/>
      <w:bookmarkEnd w:id="11"/>
      <w:r w:rsidRPr="0098262F">
        <w:t>Requested listing</w:t>
      </w:r>
      <w:bookmarkEnd w:id="12"/>
    </w:p>
    <w:p w14:paraId="01C0502D" w14:textId="6C6B6B92" w:rsidR="006543BE" w:rsidRDefault="006543BE" w:rsidP="006543BE">
      <w:pPr>
        <w:pStyle w:val="3-BodyText"/>
      </w:pPr>
      <w:r w:rsidRPr="006543BE">
        <w:t xml:space="preserve">The requested listing for </w:t>
      </w:r>
      <w:r>
        <w:t>seladelpar</w:t>
      </w:r>
      <w:r w:rsidRPr="006543BE">
        <w:t xml:space="preserve"> is provided below. Secretariat suggestions and additions proposed are shown in italics and deletions are in strikethrough.</w:t>
      </w:r>
    </w:p>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597"/>
        <w:gridCol w:w="2726"/>
        <w:gridCol w:w="1108"/>
        <w:gridCol w:w="846"/>
        <w:gridCol w:w="705"/>
        <w:gridCol w:w="705"/>
        <w:gridCol w:w="1853"/>
      </w:tblGrid>
      <w:tr w:rsidR="00922FC6" w:rsidRPr="00B83435" w14:paraId="2D93B7DE" w14:textId="77777777" w:rsidTr="00C057C9">
        <w:trPr>
          <w:cantSplit/>
          <w:trHeight w:val="471"/>
        </w:trPr>
        <w:tc>
          <w:tcPr>
            <w:tcW w:w="2114" w:type="pct"/>
            <w:gridSpan w:val="3"/>
          </w:tcPr>
          <w:p w14:paraId="10B50414" w14:textId="77777777" w:rsidR="00B40420" w:rsidRDefault="00922FC6" w:rsidP="00B40420">
            <w:pPr>
              <w:keepNext/>
              <w:ind w:left="-57"/>
              <w:rPr>
                <w:rFonts w:ascii="Arial Narrow" w:eastAsia="Aptos" w:hAnsi="Arial Narrow"/>
                <w:b/>
                <w:bCs/>
                <w:kern w:val="2"/>
                <w:sz w:val="20"/>
                <w:szCs w:val="20"/>
                <w14:ligatures w14:val="standardContextual"/>
              </w:rPr>
            </w:pPr>
            <w:r w:rsidRPr="00B40420">
              <w:rPr>
                <w:rFonts w:ascii="Arial Narrow" w:eastAsia="Aptos" w:hAnsi="Arial Narrow"/>
                <w:b/>
                <w:bCs/>
                <w:kern w:val="2"/>
                <w:sz w:val="20"/>
                <w:szCs w:val="20"/>
                <w14:ligatures w14:val="standardContextual"/>
              </w:rPr>
              <w:t>MEDICINAL PRODUCT</w:t>
            </w:r>
          </w:p>
          <w:p w14:paraId="462E69BD" w14:textId="1DBDAD7B" w:rsidR="00922FC6" w:rsidRPr="00B40420" w:rsidRDefault="00922FC6" w:rsidP="00B40420">
            <w:pPr>
              <w:keepNext/>
              <w:ind w:left="-57"/>
              <w:rPr>
                <w:rFonts w:ascii="Arial Narrow" w:eastAsia="Aptos" w:hAnsi="Arial Narrow"/>
                <w:b/>
                <w:bCs/>
                <w:kern w:val="2"/>
                <w:sz w:val="20"/>
                <w:szCs w:val="20"/>
                <w14:ligatures w14:val="standardContextual"/>
              </w:rPr>
            </w:pPr>
            <w:r w:rsidRPr="00B40420">
              <w:rPr>
                <w:rFonts w:ascii="Arial Narrow" w:eastAsia="Aptos" w:hAnsi="Arial Narrow"/>
                <w:b/>
                <w:bCs/>
                <w:kern w:val="2"/>
                <w:sz w:val="20"/>
                <w:szCs w:val="20"/>
                <w14:ligatures w14:val="standardContextual"/>
              </w:rPr>
              <w:t>medicinal product pack</w:t>
            </w:r>
          </w:p>
        </w:tc>
        <w:tc>
          <w:tcPr>
            <w:tcW w:w="613" w:type="pct"/>
          </w:tcPr>
          <w:p w14:paraId="7D9B625B" w14:textId="77777777" w:rsidR="00922FC6" w:rsidRPr="00B83435" w:rsidRDefault="00922FC6" w:rsidP="00C057C9">
            <w:pPr>
              <w:keepNext/>
              <w:ind w:left="-108"/>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PBS item code</w:t>
            </w:r>
          </w:p>
        </w:tc>
        <w:tc>
          <w:tcPr>
            <w:tcW w:w="468" w:type="pct"/>
          </w:tcPr>
          <w:p w14:paraId="4D193013" w14:textId="77777777" w:rsidR="00922FC6" w:rsidRPr="00B83435" w:rsidRDefault="00922FC6" w:rsidP="00C057C9">
            <w:pPr>
              <w:keepNext/>
              <w:ind w:left="-108"/>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Max. qty packs</w:t>
            </w:r>
          </w:p>
        </w:tc>
        <w:tc>
          <w:tcPr>
            <w:tcW w:w="390" w:type="pct"/>
          </w:tcPr>
          <w:p w14:paraId="5A561BD9" w14:textId="77777777" w:rsidR="00922FC6" w:rsidRPr="00B83435" w:rsidRDefault="00922FC6" w:rsidP="00C057C9">
            <w:pPr>
              <w:keepNext/>
              <w:ind w:left="-108"/>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Max. qty units</w:t>
            </w:r>
          </w:p>
        </w:tc>
        <w:tc>
          <w:tcPr>
            <w:tcW w:w="390" w:type="pct"/>
          </w:tcPr>
          <w:p w14:paraId="34773098" w14:textId="77777777" w:rsidR="00922FC6" w:rsidRPr="00B83435" w:rsidRDefault="00922FC6" w:rsidP="00C057C9">
            <w:pPr>
              <w:keepNext/>
              <w:ind w:left="-108"/>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№.of</w:t>
            </w:r>
          </w:p>
          <w:p w14:paraId="5B900C1C" w14:textId="77777777" w:rsidR="00922FC6" w:rsidRPr="00B83435" w:rsidRDefault="00922FC6" w:rsidP="00C057C9">
            <w:pPr>
              <w:keepNext/>
              <w:ind w:left="-108"/>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Rpts</w:t>
            </w:r>
          </w:p>
        </w:tc>
        <w:tc>
          <w:tcPr>
            <w:tcW w:w="1025" w:type="pct"/>
          </w:tcPr>
          <w:p w14:paraId="402D86A8" w14:textId="77777777" w:rsidR="00922FC6" w:rsidRPr="00B83435" w:rsidRDefault="00922FC6" w:rsidP="00C057C9">
            <w:pPr>
              <w:keepNext/>
              <w:rPr>
                <w:rFonts w:ascii="Arial Narrow" w:eastAsia="Aptos" w:hAnsi="Arial Narrow"/>
                <w:b/>
                <w:kern w:val="2"/>
                <w:sz w:val="20"/>
                <w:szCs w:val="20"/>
                <w:lang w:val="fr-FR"/>
                <w14:ligatures w14:val="standardContextual"/>
              </w:rPr>
            </w:pPr>
            <w:r w:rsidRPr="00B83435">
              <w:rPr>
                <w:rFonts w:ascii="Arial Narrow" w:eastAsia="Aptos" w:hAnsi="Arial Narrow"/>
                <w:b/>
                <w:kern w:val="2"/>
                <w:sz w:val="20"/>
                <w:szCs w:val="20"/>
                <w14:ligatures w14:val="standardContextual"/>
              </w:rPr>
              <w:t>Available brands</w:t>
            </w:r>
          </w:p>
        </w:tc>
      </w:tr>
      <w:tr w:rsidR="00922FC6" w:rsidRPr="00B83435" w14:paraId="33B7BE97" w14:textId="77777777" w:rsidTr="00C057C9">
        <w:trPr>
          <w:cantSplit/>
          <w:trHeight w:val="224"/>
        </w:trPr>
        <w:tc>
          <w:tcPr>
            <w:tcW w:w="5000" w:type="pct"/>
            <w:gridSpan w:val="8"/>
          </w:tcPr>
          <w:p w14:paraId="17019B83" w14:textId="77777777" w:rsidR="00922FC6" w:rsidRPr="00B83435" w:rsidRDefault="00922FC6" w:rsidP="00C057C9">
            <w:pPr>
              <w:keepNext/>
              <w:ind w:left="-57"/>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 xml:space="preserve"> SELADELPAR</w:t>
            </w:r>
          </w:p>
        </w:tc>
      </w:tr>
      <w:tr w:rsidR="00922FC6" w:rsidRPr="00B83435" w14:paraId="50CF0094" w14:textId="77777777" w:rsidTr="00C057C9">
        <w:trPr>
          <w:cantSplit/>
          <w:trHeight w:val="70"/>
        </w:trPr>
        <w:tc>
          <w:tcPr>
            <w:tcW w:w="2114" w:type="pct"/>
            <w:gridSpan w:val="3"/>
          </w:tcPr>
          <w:p w14:paraId="2B178411" w14:textId="77777777" w:rsidR="00922FC6" w:rsidRPr="00B83435" w:rsidRDefault="00922FC6" w:rsidP="00C057C9">
            <w:pPr>
              <w:keepNext/>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seladelpar 10 mg capsule, 30</w:t>
            </w:r>
          </w:p>
        </w:tc>
        <w:tc>
          <w:tcPr>
            <w:tcW w:w="613" w:type="pct"/>
          </w:tcPr>
          <w:p w14:paraId="40325884" w14:textId="77777777" w:rsidR="00922FC6" w:rsidRPr="00B83435" w:rsidRDefault="00922FC6" w:rsidP="00C057C9">
            <w:pPr>
              <w:keepNext/>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 xml:space="preserve">NEW </w:t>
            </w:r>
          </w:p>
        </w:tc>
        <w:tc>
          <w:tcPr>
            <w:tcW w:w="468" w:type="pct"/>
          </w:tcPr>
          <w:p w14:paraId="667A9FB6" w14:textId="77777777" w:rsidR="00922FC6" w:rsidRPr="00B83435" w:rsidRDefault="00922FC6" w:rsidP="00C057C9">
            <w:pPr>
              <w:keepNext/>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1</w:t>
            </w:r>
          </w:p>
        </w:tc>
        <w:tc>
          <w:tcPr>
            <w:tcW w:w="390" w:type="pct"/>
          </w:tcPr>
          <w:p w14:paraId="094DE834" w14:textId="77777777" w:rsidR="00922FC6" w:rsidRPr="00B83435" w:rsidRDefault="00922FC6" w:rsidP="00C057C9">
            <w:pPr>
              <w:keepNext/>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30</w:t>
            </w:r>
          </w:p>
        </w:tc>
        <w:tc>
          <w:tcPr>
            <w:tcW w:w="390" w:type="pct"/>
          </w:tcPr>
          <w:p w14:paraId="0CD1D9A0" w14:textId="77777777" w:rsidR="00922FC6" w:rsidRPr="00B83435" w:rsidRDefault="00922FC6" w:rsidP="00C057C9">
            <w:pPr>
              <w:keepNext/>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5</w:t>
            </w:r>
          </w:p>
        </w:tc>
        <w:tc>
          <w:tcPr>
            <w:tcW w:w="1025" w:type="pct"/>
            <w:vAlign w:val="center"/>
          </w:tcPr>
          <w:p w14:paraId="69969495" w14:textId="77777777" w:rsidR="00922FC6" w:rsidRPr="00B83435" w:rsidRDefault="00922FC6" w:rsidP="00C057C9">
            <w:pPr>
              <w:keepNext/>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Livdelzi</w:t>
            </w:r>
          </w:p>
        </w:tc>
      </w:tr>
      <w:tr w:rsidR="00922FC6" w:rsidRPr="00B83435" w14:paraId="709F4945" w14:textId="77777777" w:rsidTr="00C057C9">
        <w:trPr>
          <w:cantSplit/>
          <w:trHeight w:val="347"/>
        </w:trPr>
        <w:tc>
          <w:tcPr>
            <w:tcW w:w="5000" w:type="pct"/>
            <w:gridSpan w:val="8"/>
          </w:tcPr>
          <w:p w14:paraId="30560F8C" w14:textId="77777777" w:rsidR="00922FC6" w:rsidRPr="00B83435" w:rsidRDefault="00922FC6" w:rsidP="00C057C9">
            <w:pPr>
              <w:keepNext/>
              <w:rPr>
                <w:rFonts w:ascii="Arial Narrow" w:eastAsia="Aptos" w:hAnsi="Arial Narrow"/>
                <w:kern w:val="2"/>
                <w:sz w:val="20"/>
                <w:szCs w:val="20"/>
                <w14:ligatures w14:val="standardContextual"/>
              </w:rPr>
            </w:pPr>
          </w:p>
        </w:tc>
      </w:tr>
      <w:tr w:rsidR="00922FC6" w:rsidRPr="00B83435" w14:paraId="6426AF32" w14:textId="77777777" w:rsidTr="00C057C9">
        <w:trPr>
          <w:cantSplit/>
          <w:trHeight w:val="70"/>
        </w:trPr>
        <w:tc>
          <w:tcPr>
            <w:tcW w:w="5000" w:type="pct"/>
            <w:gridSpan w:val="8"/>
            <w:tcBorders>
              <w:top w:val="single" w:sz="4" w:space="0" w:color="auto"/>
              <w:left w:val="single" w:sz="4" w:space="0" w:color="auto"/>
              <w:bottom w:val="single" w:sz="4" w:space="0" w:color="auto"/>
              <w:right w:val="single" w:sz="4" w:space="0" w:color="auto"/>
            </w:tcBorders>
          </w:tcPr>
          <w:p w14:paraId="29CACCFC" w14:textId="77777777" w:rsidR="00922FC6" w:rsidRPr="00B83435" w:rsidRDefault="00922FC6" w:rsidP="00C057C9">
            <w:pPr>
              <w:keepNext/>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Restriction Summary [16121] / Treatment of Concept: [16132]</w:t>
            </w:r>
          </w:p>
        </w:tc>
      </w:tr>
      <w:tr w:rsidR="00922FC6" w:rsidRPr="00B83435" w14:paraId="18F61357" w14:textId="77777777" w:rsidTr="00C057C9">
        <w:tblPrEx>
          <w:tblCellMar>
            <w:top w:w="15" w:type="dxa"/>
            <w:left w:w="15" w:type="dxa"/>
            <w:bottom w:w="15" w:type="dxa"/>
            <w:right w:w="15" w:type="dxa"/>
          </w:tblCellMar>
        </w:tblPrEx>
        <w:trPr>
          <w:trHeight w:val="107"/>
        </w:trPr>
        <w:tc>
          <w:tcPr>
            <w:tcW w:w="606" w:type="pct"/>
            <w:gridSpan w:val="2"/>
            <w:vMerge w:val="restart"/>
            <w:tcBorders>
              <w:top w:val="single" w:sz="4" w:space="0" w:color="auto"/>
              <w:left w:val="single" w:sz="4" w:space="0" w:color="auto"/>
              <w:right w:val="single" w:sz="4" w:space="0" w:color="auto"/>
            </w:tcBorders>
          </w:tcPr>
          <w:p w14:paraId="3B1BEE3A" w14:textId="77777777" w:rsidR="00922FC6" w:rsidRPr="00B83435" w:rsidRDefault="00922FC6" w:rsidP="00C057C9">
            <w:pPr>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Concept ID</w:t>
            </w:r>
          </w:p>
          <w:p w14:paraId="398EF17A" w14:textId="77777777" w:rsidR="00922FC6" w:rsidRPr="00B83435" w:rsidRDefault="00922FC6" w:rsidP="00C057C9">
            <w:pPr>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(for internal Dept. use)</w:t>
            </w:r>
          </w:p>
        </w:tc>
        <w:tc>
          <w:tcPr>
            <w:tcW w:w="4394" w:type="pct"/>
            <w:gridSpan w:val="6"/>
            <w:tcBorders>
              <w:top w:val="single" w:sz="4" w:space="0" w:color="auto"/>
              <w:left w:val="single" w:sz="4" w:space="0" w:color="auto"/>
              <w:bottom w:val="single" w:sz="4" w:space="0" w:color="auto"/>
              <w:right w:val="single" w:sz="4" w:space="0" w:color="auto"/>
            </w:tcBorders>
          </w:tcPr>
          <w:p w14:paraId="3BD296F5" w14:textId="77777777" w:rsidR="00922FC6" w:rsidRPr="00B83435" w:rsidRDefault="00922FC6" w:rsidP="00C057C9">
            <w:pPr>
              <w:rPr>
                <w:rFonts w:ascii="Arial Narrow" w:eastAsia="Aptos" w:hAnsi="Arial Narrow"/>
                <w:kern w:val="2"/>
                <w:sz w:val="20"/>
                <w:szCs w:val="20"/>
                <w14:ligatures w14:val="standardContextual"/>
              </w:rPr>
            </w:pPr>
            <w:r w:rsidRPr="00B83435">
              <w:rPr>
                <w:rFonts w:ascii="Arial Narrow" w:eastAsia="Aptos" w:hAnsi="Arial Narrow"/>
                <w:b/>
                <w:kern w:val="2"/>
                <w:sz w:val="20"/>
                <w:szCs w:val="20"/>
                <w14:ligatures w14:val="standardContextual"/>
              </w:rPr>
              <w:t xml:space="preserve">Category / Program: </w:t>
            </w:r>
            <w:r w:rsidRPr="00B83435">
              <w:rPr>
                <w:rFonts w:ascii="Arial Narrow" w:eastAsia="Calibri" w:hAnsi="Arial Narrow"/>
                <w:sz w:val="20"/>
                <w:szCs w:val="20"/>
              </w:rPr>
              <w:fldChar w:fldCharType="begin">
                <w:ffData>
                  <w:name w:val="Check1"/>
                  <w:enabled/>
                  <w:calcOnExit w:val="0"/>
                  <w:checkBox>
                    <w:sizeAuto/>
                    <w:default w:val="1"/>
                  </w:checkBox>
                </w:ffData>
              </w:fldChar>
            </w:r>
            <w:r w:rsidRPr="00B83435">
              <w:rPr>
                <w:rFonts w:ascii="Arial Narrow" w:eastAsia="Calibri" w:hAnsi="Arial Narrow"/>
                <w:sz w:val="20"/>
                <w:szCs w:val="20"/>
              </w:rPr>
              <w:instrText xml:space="preserve"> FORMCHECKBOX </w:instrText>
            </w:r>
            <w:r w:rsidRPr="00B83435">
              <w:rPr>
                <w:rFonts w:ascii="Arial Narrow" w:eastAsia="Calibri" w:hAnsi="Arial Narrow"/>
                <w:sz w:val="20"/>
                <w:szCs w:val="20"/>
              </w:rPr>
            </w:r>
            <w:r w:rsidRPr="00B83435">
              <w:rPr>
                <w:rFonts w:ascii="Arial Narrow" w:eastAsia="Calibri" w:hAnsi="Arial Narrow"/>
                <w:sz w:val="20"/>
                <w:szCs w:val="20"/>
              </w:rPr>
              <w:fldChar w:fldCharType="separate"/>
            </w:r>
            <w:r w:rsidRPr="00B83435">
              <w:rPr>
                <w:rFonts w:ascii="Arial Narrow" w:eastAsia="Calibri" w:hAnsi="Arial Narrow"/>
                <w:sz w:val="20"/>
                <w:szCs w:val="20"/>
              </w:rPr>
              <w:fldChar w:fldCharType="end"/>
            </w:r>
            <w:r w:rsidRPr="00B83435">
              <w:rPr>
                <w:rFonts w:ascii="Arial Narrow" w:eastAsia="Calibri" w:hAnsi="Arial Narrow"/>
                <w:sz w:val="20"/>
                <w:szCs w:val="20"/>
              </w:rPr>
              <w:t xml:space="preserve"> GENERAL - General Schedule (Code GE)</w:t>
            </w:r>
          </w:p>
        </w:tc>
      </w:tr>
      <w:tr w:rsidR="00922FC6" w:rsidRPr="00B83435" w14:paraId="307F11FC" w14:textId="77777777" w:rsidTr="00C057C9">
        <w:tblPrEx>
          <w:tblCellMar>
            <w:top w:w="15" w:type="dxa"/>
            <w:left w:w="15" w:type="dxa"/>
            <w:bottom w:w="15" w:type="dxa"/>
            <w:right w:w="15" w:type="dxa"/>
          </w:tblCellMar>
        </w:tblPrEx>
        <w:trPr>
          <w:trHeight w:val="240"/>
        </w:trPr>
        <w:tc>
          <w:tcPr>
            <w:tcW w:w="606" w:type="pct"/>
            <w:gridSpan w:val="2"/>
            <w:vMerge/>
            <w:tcBorders>
              <w:left w:val="single" w:sz="4" w:space="0" w:color="auto"/>
              <w:right w:val="single" w:sz="4" w:space="0" w:color="auto"/>
            </w:tcBorders>
          </w:tcPr>
          <w:p w14:paraId="3350BE62" w14:textId="77777777" w:rsidR="00922FC6" w:rsidRPr="00B83435" w:rsidRDefault="00922FC6" w:rsidP="00C057C9">
            <w:pPr>
              <w:rPr>
                <w:rFonts w:ascii="Arial Narrow" w:eastAsia="Aptos" w:hAnsi="Arial Narrow"/>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BA47DE8" w14:textId="77777777" w:rsidR="00922FC6" w:rsidRPr="00B83435" w:rsidRDefault="00922FC6" w:rsidP="00C057C9">
            <w:pP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Prescriber type:</w:t>
            </w:r>
            <w:r w:rsidRPr="00B83435">
              <w:rPr>
                <w:rFonts w:ascii="Arial Narrow" w:eastAsia="Aptos" w:hAnsi="Arial Narrow"/>
                <w:kern w:val="2"/>
                <w:sz w:val="20"/>
                <w:szCs w:val="20"/>
                <w14:ligatures w14:val="standardContextual"/>
              </w:rPr>
              <w:t xml:space="preserve"> </w:t>
            </w:r>
            <w:r w:rsidRPr="00B83435">
              <w:rPr>
                <w:rFonts w:ascii="Arial Narrow" w:eastAsia="Aptos" w:hAnsi="Arial Narrow"/>
                <w:kern w:val="2"/>
                <w:sz w:val="20"/>
                <w:szCs w:val="20"/>
                <w14:ligatures w14:val="standardContextual"/>
              </w:rPr>
              <w:fldChar w:fldCharType="begin">
                <w:ffData>
                  <w:name w:val=""/>
                  <w:enabled/>
                  <w:calcOnExit w:val="0"/>
                  <w:checkBox>
                    <w:sizeAuto/>
                    <w:default w:val="1"/>
                  </w:checkBox>
                </w:ffData>
              </w:fldChar>
            </w:r>
            <w:r w:rsidRPr="00B83435">
              <w:rPr>
                <w:rFonts w:ascii="Arial Narrow" w:eastAsia="Aptos" w:hAnsi="Arial Narrow"/>
                <w:kern w:val="2"/>
                <w:sz w:val="20"/>
                <w:szCs w:val="20"/>
                <w14:ligatures w14:val="standardContextual"/>
              </w:rPr>
              <w:instrText xml:space="preserve"> FORMCHECKBOX </w:instrText>
            </w:r>
            <w:r w:rsidRPr="00B83435">
              <w:rPr>
                <w:rFonts w:ascii="Arial Narrow" w:eastAsia="Aptos" w:hAnsi="Arial Narrow"/>
                <w:kern w:val="2"/>
                <w:sz w:val="20"/>
                <w:szCs w:val="20"/>
                <w14:ligatures w14:val="standardContextual"/>
              </w:rPr>
            </w:r>
            <w:r w:rsidRPr="00B83435">
              <w:rPr>
                <w:rFonts w:ascii="Arial Narrow" w:eastAsia="Aptos" w:hAnsi="Arial Narrow"/>
                <w:kern w:val="2"/>
                <w:sz w:val="20"/>
                <w:szCs w:val="20"/>
                <w14:ligatures w14:val="standardContextual"/>
              </w:rPr>
              <w:fldChar w:fldCharType="separate"/>
            </w:r>
            <w:r w:rsidRPr="00B83435">
              <w:rPr>
                <w:rFonts w:ascii="Arial Narrow" w:eastAsia="Aptos" w:hAnsi="Arial Narrow"/>
                <w:kern w:val="2"/>
                <w:sz w:val="20"/>
                <w:szCs w:val="20"/>
                <w14:ligatures w14:val="standardContextual"/>
              </w:rPr>
              <w:fldChar w:fldCharType="end"/>
            </w:r>
            <w:r w:rsidRPr="00B83435">
              <w:rPr>
                <w:rFonts w:ascii="Arial Narrow" w:eastAsia="Aptos" w:hAnsi="Arial Narrow"/>
                <w:kern w:val="2"/>
                <w:sz w:val="20"/>
                <w:szCs w:val="20"/>
                <w14:ligatures w14:val="standardContextual"/>
              </w:rPr>
              <w:t xml:space="preserve"> Medical Practitioners</w:t>
            </w:r>
          </w:p>
        </w:tc>
      </w:tr>
      <w:tr w:rsidR="00922FC6" w:rsidRPr="00B83435" w14:paraId="36FF049C" w14:textId="77777777" w:rsidTr="00C057C9">
        <w:tblPrEx>
          <w:tblCellMar>
            <w:top w:w="15" w:type="dxa"/>
            <w:left w:w="15" w:type="dxa"/>
            <w:bottom w:w="15" w:type="dxa"/>
            <w:right w:w="15" w:type="dxa"/>
          </w:tblCellMar>
        </w:tblPrEx>
        <w:tc>
          <w:tcPr>
            <w:tcW w:w="606" w:type="pct"/>
            <w:gridSpan w:val="2"/>
            <w:vMerge/>
            <w:tcBorders>
              <w:left w:val="single" w:sz="4" w:space="0" w:color="auto"/>
              <w:right w:val="single" w:sz="4" w:space="0" w:color="auto"/>
            </w:tcBorders>
          </w:tcPr>
          <w:p w14:paraId="15E1CF2F" w14:textId="77777777" w:rsidR="00922FC6" w:rsidRPr="00B83435" w:rsidRDefault="00922FC6" w:rsidP="00C057C9">
            <w:pPr>
              <w:rPr>
                <w:rFonts w:ascii="Arial Narrow" w:eastAsia="Aptos" w:hAnsi="Arial Narrow"/>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12D6015D" w14:textId="77777777" w:rsidR="00922FC6" w:rsidRPr="00B83435" w:rsidRDefault="00922FC6" w:rsidP="00C057C9">
            <w:pPr>
              <w:rPr>
                <w:rFonts w:ascii="Arial Narrow" w:eastAsia="Calibri" w:hAnsi="Arial Narrow"/>
                <w:color w:val="FF00FF"/>
                <w:kern w:val="2"/>
                <w:sz w:val="20"/>
                <w:szCs w:val="20"/>
                <w14:ligatures w14:val="standardContextual"/>
              </w:rPr>
            </w:pPr>
            <w:r w:rsidRPr="00B83435">
              <w:rPr>
                <w:rFonts w:ascii="Arial Narrow" w:eastAsia="Aptos" w:hAnsi="Arial Narrow"/>
                <w:b/>
                <w:kern w:val="2"/>
                <w:sz w:val="20"/>
                <w:szCs w:val="20"/>
                <w14:ligatures w14:val="standardContextual"/>
              </w:rPr>
              <w:t xml:space="preserve">Restriction type: </w:t>
            </w:r>
            <w:r w:rsidRPr="00B83435">
              <w:rPr>
                <w:rFonts w:ascii="Arial Narrow" w:eastAsia="Calibri" w:hAnsi="Arial Narrow"/>
                <w:kern w:val="2"/>
                <w:sz w:val="20"/>
                <w:szCs w:val="20"/>
                <w14:ligatures w14:val="standardContextual"/>
              </w:rPr>
              <w:fldChar w:fldCharType="begin">
                <w:ffData>
                  <w:name w:val=""/>
                  <w:enabled/>
                  <w:calcOnExit w:val="0"/>
                  <w:checkBox>
                    <w:sizeAuto/>
                    <w:default w:val="1"/>
                  </w:checkBox>
                </w:ffData>
              </w:fldChar>
            </w:r>
            <w:r w:rsidRPr="00B83435">
              <w:rPr>
                <w:rFonts w:ascii="Arial Narrow" w:eastAsia="Calibri" w:hAnsi="Arial Narrow"/>
                <w:kern w:val="2"/>
                <w:sz w:val="20"/>
                <w:szCs w:val="20"/>
                <w14:ligatures w14:val="standardContextual"/>
              </w:rPr>
              <w:instrText xml:space="preserve"> FORMCHECKBOX </w:instrText>
            </w:r>
            <w:r w:rsidRPr="00B83435">
              <w:rPr>
                <w:rFonts w:ascii="Arial Narrow" w:eastAsia="Calibri" w:hAnsi="Arial Narrow"/>
                <w:kern w:val="2"/>
                <w:sz w:val="20"/>
                <w:szCs w:val="20"/>
                <w14:ligatures w14:val="standardContextual"/>
              </w:rPr>
            </w:r>
            <w:r w:rsidRPr="00B83435">
              <w:rPr>
                <w:rFonts w:ascii="Arial Narrow" w:eastAsia="Calibri" w:hAnsi="Arial Narrow"/>
                <w:kern w:val="2"/>
                <w:sz w:val="20"/>
                <w:szCs w:val="20"/>
                <w14:ligatures w14:val="standardContextual"/>
              </w:rPr>
              <w:fldChar w:fldCharType="separate"/>
            </w:r>
            <w:r w:rsidRPr="00B83435">
              <w:rPr>
                <w:rFonts w:ascii="Arial Narrow" w:eastAsia="Calibri" w:hAnsi="Arial Narrow"/>
                <w:kern w:val="2"/>
                <w:sz w:val="20"/>
                <w:szCs w:val="20"/>
                <w14:ligatures w14:val="standardContextual"/>
              </w:rPr>
              <w:fldChar w:fldCharType="end"/>
            </w:r>
            <w:r w:rsidRPr="00B83435">
              <w:rPr>
                <w:rFonts w:ascii="Arial Narrow" w:eastAsia="Calibri" w:hAnsi="Arial Narrow"/>
                <w:kern w:val="2"/>
                <w:sz w:val="20"/>
                <w:szCs w:val="20"/>
                <w14:ligatures w14:val="standardContextual"/>
              </w:rPr>
              <w:t xml:space="preserve"> Authority Required: </w:t>
            </w:r>
            <w:r w:rsidRPr="00B83435">
              <w:rPr>
                <w:rFonts w:ascii="Arial Narrow" w:eastAsia="Calibri" w:hAnsi="Arial Narrow"/>
                <w:strike/>
                <w:kern w:val="2"/>
                <w:sz w:val="20"/>
                <w:szCs w:val="20"/>
                <w14:ligatures w14:val="standardContextual"/>
              </w:rPr>
              <w:t>Streamlined</w:t>
            </w:r>
            <w:r w:rsidRPr="00B83435">
              <w:rPr>
                <w:rFonts w:ascii="Arial Narrow" w:eastAsia="Calibri" w:hAnsi="Arial Narrow"/>
                <w:kern w:val="2"/>
                <w:sz w:val="20"/>
                <w:szCs w:val="20"/>
                <w14:ligatures w14:val="standardContextual"/>
              </w:rPr>
              <w:t xml:space="preserve"> </w:t>
            </w:r>
            <w:r w:rsidRPr="00B83435">
              <w:rPr>
                <w:rFonts w:ascii="Arial Narrow" w:eastAsia="Calibri" w:hAnsi="Arial Narrow"/>
                <w:i/>
                <w:iCs/>
                <w:kern w:val="2"/>
                <w:sz w:val="20"/>
                <w:szCs w:val="20"/>
                <w14:ligatures w14:val="standardContextual"/>
              </w:rPr>
              <w:t>immediate assessment (telephone/online)</w:t>
            </w:r>
          </w:p>
        </w:tc>
      </w:tr>
      <w:tr w:rsidR="00922FC6" w:rsidRPr="00B83435" w14:paraId="119BF980" w14:textId="77777777" w:rsidTr="00C057C9">
        <w:tblPrEx>
          <w:tblCellMar>
            <w:top w:w="15" w:type="dxa"/>
            <w:left w:w="15" w:type="dxa"/>
            <w:bottom w:w="15" w:type="dxa"/>
            <w:right w:w="15" w:type="dxa"/>
          </w:tblCellMar>
        </w:tblPrEx>
        <w:tc>
          <w:tcPr>
            <w:tcW w:w="276" w:type="pct"/>
            <w:vMerge w:val="restart"/>
            <w:tcBorders>
              <w:left w:val="single" w:sz="4" w:space="0" w:color="auto"/>
              <w:right w:val="single" w:sz="4" w:space="0" w:color="auto"/>
            </w:tcBorders>
            <w:textDirection w:val="btLr"/>
          </w:tcPr>
          <w:p w14:paraId="70609482" w14:textId="77777777" w:rsidR="00922FC6" w:rsidRPr="00B83435" w:rsidRDefault="00922FC6" w:rsidP="00C057C9">
            <w:pPr>
              <w:ind w:left="113" w:right="113"/>
              <w:jc w:val="center"/>
              <w:rPr>
                <w:rFonts w:ascii="Arial Narrow" w:hAnsi="Arial Narrow"/>
                <w:sz w:val="20"/>
                <w:szCs w:val="20"/>
              </w:rPr>
            </w:pPr>
            <w:r w:rsidRPr="00B83435">
              <w:rPr>
                <w:rFonts w:ascii="Arial Narrow" w:hAnsi="Arial Narrow"/>
                <w:sz w:val="20"/>
                <w:szCs w:val="20"/>
              </w:rPr>
              <w:t>Prescribing rule level</w:t>
            </w:r>
          </w:p>
        </w:tc>
        <w:tc>
          <w:tcPr>
            <w:tcW w:w="330" w:type="pct"/>
            <w:tcBorders>
              <w:left w:val="single" w:sz="4" w:space="0" w:color="auto"/>
              <w:bottom w:val="single" w:sz="4" w:space="0" w:color="auto"/>
              <w:right w:val="single" w:sz="4" w:space="0" w:color="auto"/>
            </w:tcBorders>
          </w:tcPr>
          <w:p w14:paraId="442E3623" w14:textId="1813AFE3"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r w:rsidRPr="00B83435">
              <w:rPr>
                <w:rFonts w:ascii="Arial Narrow" w:eastAsia="Aptos" w:hAnsi="Arial Narrow" w:cs="Open Sans"/>
                <w:i/>
                <w:iCs/>
                <w:color w:val="333333"/>
                <w:kern w:val="2"/>
                <w:sz w:val="20"/>
                <w:szCs w:val="20"/>
                <w14:ligatures w14:val="standardContextual"/>
              </w:rPr>
              <w:t>2</w:t>
            </w:r>
          </w:p>
        </w:tc>
        <w:tc>
          <w:tcPr>
            <w:tcW w:w="4394" w:type="pct"/>
            <w:gridSpan w:val="6"/>
            <w:tcBorders>
              <w:top w:val="single" w:sz="4" w:space="0" w:color="auto"/>
              <w:left w:val="single" w:sz="4" w:space="0" w:color="auto"/>
              <w:bottom w:val="single" w:sz="4" w:space="0" w:color="auto"/>
              <w:right w:val="single" w:sz="4" w:space="0" w:color="auto"/>
            </w:tcBorders>
          </w:tcPr>
          <w:p w14:paraId="3BDFC0BF"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Caution:</w:t>
            </w:r>
          </w:p>
          <w:p w14:paraId="11F225AC" w14:textId="77777777" w:rsidR="00922FC6" w:rsidRPr="00B83435" w:rsidRDefault="00922FC6" w:rsidP="00C057C9">
            <w:pPr>
              <w:textAlignment w:val="baseline"/>
              <w:rPr>
                <w:rFonts w:ascii="Arial Narrow" w:hAnsi="Arial Narrow" w:cs="Open Sans"/>
                <w:b/>
                <w:bCs/>
                <w:i/>
                <w:iCs/>
                <w:color w:val="333333"/>
                <w:sz w:val="20"/>
                <w:szCs w:val="20"/>
                <w:bdr w:val="none" w:sz="0" w:space="0" w:color="auto" w:frame="1"/>
              </w:rPr>
            </w:pPr>
            <w:r w:rsidRPr="00B83435">
              <w:rPr>
                <w:rFonts w:ascii="Arial Narrow" w:hAnsi="Arial Narrow" w:cs="Open Sans"/>
                <w:i/>
                <w:iCs/>
                <w:color w:val="333333"/>
                <w:sz w:val="20"/>
                <w:szCs w:val="20"/>
              </w:rPr>
              <w:t>Hepatic decompensation and failure, in some cases fatal, have been reported in post-marketing reports in patients with moderate to severe hepatic impairment when dosed incorrectly.</w:t>
            </w:r>
          </w:p>
        </w:tc>
      </w:tr>
      <w:tr w:rsidR="00922FC6" w:rsidRPr="00B83435" w14:paraId="31F99657" w14:textId="77777777" w:rsidTr="00C057C9">
        <w:tblPrEx>
          <w:tblCellMar>
            <w:top w:w="15" w:type="dxa"/>
            <w:left w:w="15" w:type="dxa"/>
            <w:bottom w:w="15" w:type="dxa"/>
            <w:right w:w="15" w:type="dxa"/>
          </w:tblCellMar>
        </w:tblPrEx>
        <w:tc>
          <w:tcPr>
            <w:tcW w:w="276" w:type="pct"/>
            <w:vMerge/>
            <w:tcBorders>
              <w:left w:val="single" w:sz="4" w:space="0" w:color="auto"/>
              <w:right w:val="single" w:sz="4" w:space="0" w:color="auto"/>
            </w:tcBorders>
            <w:textDirection w:val="btLr"/>
          </w:tcPr>
          <w:p w14:paraId="27BF57F4" w14:textId="77777777" w:rsidR="00922FC6" w:rsidRPr="00B83435" w:rsidRDefault="00922FC6" w:rsidP="00C057C9">
            <w:pPr>
              <w:ind w:left="113" w:right="113"/>
              <w:jc w:val="center"/>
              <w:rPr>
                <w:rFonts w:ascii="Arial Narrow" w:eastAsia="Aptos" w:hAnsi="Arial Narrow"/>
                <w:i/>
                <w:iCs/>
                <w:kern w:val="2"/>
                <w:sz w:val="20"/>
                <w:szCs w:val="20"/>
                <w14:ligatures w14:val="standardContextual"/>
              </w:rPr>
            </w:pPr>
          </w:p>
        </w:tc>
        <w:tc>
          <w:tcPr>
            <w:tcW w:w="330" w:type="pct"/>
            <w:tcBorders>
              <w:left w:val="single" w:sz="4" w:space="0" w:color="auto"/>
              <w:bottom w:val="single" w:sz="4" w:space="0" w:color="auto"/>
              <w:right w:val="single" w:sz="4" w:space="0" w:color="auto"/>
            </w:tcBorders>
          </w:tcPr>
          <w:p w14:paraId="729DE4CF" w14:textId="464F5847" w:rsidR="00922FC6" w:rsidRPr="00B83435" w:rsidRDefault="00922FC6" w:rsidP="00C057C9">
            <w:pPr>
              <w:jc w:val="center"/>
              <w:rPr>
                <w:rFonts w:ascii="Arial Narrow" w:eastAsia="Aptos" w:hAnsi="Arial Narrow"/>
                <w:i/>
                <w:iCs/>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E5FC9BE" w14:textId="77777777" w:rsidR="00922FC6" w:rsidRPr="00B83435" w:rsidRDefault="00922FC6" w:rsidP="00C057C9">
            <w:pPr>
              <w:textAlignment w:val="baseline"/>
              <w:rPr>
                <w:rFonts w:ascii="Arial Narrow" w:hAnsi="Arial Narrow" w:cs="Open Sans"/>
                <w:i/>
                <w:iCs/>
                <w:color w:val="333333"/>
                <w:sz w:val="20"/>
                <w:szCs w:val="20"/>
              </w:rPr>
            </w:pPr>
            <w:r w:rsidRPr="00B83435">
              <w:rPr>
                <w:rFonts w:ascii="Arial Narrow" w:hAnsi="Arial Narrow" w:cs="Open Sans"/>
                <w:b/>
                <w:bCs/>
                <w:i/>
                <w:iCs/>
                <w:color w:val="333333"/>
                <w:sz w:val="20"/>
                <w:szCs w:val="20"/>
                <w:bdr w:val="none" w:sz="0" w:space="0" w:color="auto" w:frame="1"/>
              </w:rPr>
              <w:t>Administrative Advice:</w:t>
            </w:r>
          </w:p>
          <w:p w14:paraId="2BCB5145" w14:textId="77777777" w:rsidR="00922FC6" w:rsidRPr="00B83435" w:rsidRDefault="00922FC6" w:rsidP="00C057C9">
            <w:pPr>
              <w:rPr>
                <w:rFonts w:ascii="Arial Narrow" w:eastAsia="Aptos" w:hAnsi="Arial Narrow"/>
                <w:b/>
                <w:i/>
                <w:iCs/>
                <w:kern w:val="2"/>
                <w:sz w:val="20"/>
                <w:szCs w:val="20"/>
                <w14:ligatures w14:val="standardContextual"/>
              </w:rPr>
            </w:pPr>
            <w:r w:rsidRPr="00B83435">
              <w:rPr>
                <w:rFonts w:ascii="Arial Narrow" w:eastAsia="Aptos" w:hAnsi="Arial Narrow" w:cs="Open Sans"/>
                <w:i/>
                <w:iCs/>
                <w:color w:val="333333"/>
                <w:kern w:val="2"/>
                <w:sz w:val="20"/>
                <w:szCs w:val="20"/>
                <w14:ligatures w14:val="standardContextual"/>
              </w:rPr>
              <w:t xml:space="preserve">Not for use in the treatment of sclerosing cholangitis </w:t>
            </w:r>
            <w:r w:rsidRPr="00B83435">
              <w:rPr>
                <w:rFonts w:ascii="Arial Narrow" w:eastAsia="Aptos" w:hAnsi="Arial Narrow" w:cs="Open Sans"/>
                <w:i/>
                <w:iCs/>
                <w:strike/>
                <w:color w:val="333333"/>
                <w:kern w:val="2"/>
                <w:sz w:val="20"/>
                <w:szCs w:val="20"/>
                <w14:ligatures w14:val="standardContextual"/>
              </w:rPr>
              <w:t>or cholelithiasis.</w:t>
            </w:r>
          </w:p>
        </w:tc>
      </w:tr>
      <w:tr w:rsidR="00922FC6" w:rsidRPr="00B83435" w14:paraId="1CC11F3D" w14:textId="77777777" w:rsidTr="00C057C9">
        <w:tblPrEx>
          <w:tblCellMar>
            <w:top w:w="15" w:type="dxa"/>
            <w:left w:w="15" w:type="dxa"/>
            <w:bottom w:w="15" w:type="dxa"/>
            <w:right w:w="15" w:type="dxa"/>
          </w:tblCellMar>
        </w:tblPrEx>
        <w:tc>
          <w:tcPr>
            <w:tcW w:w="276" w:type="pct"/>
            <w:vMerge/>
            <w:tcBorders>
              <w:left w:val="single" w:sz="4" w:space="0" w:color="auto"/>
              <w:right w:val="single" w:sz="4" w:space="0" w:color="auto"/>
            </w:tcBorders>
          </w:tcPr>
          <w:p w14:paraId="4F094C04" w14:textId="77777777"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330" w:type="pct"/>
            <w:tcBorders>
              <w:left w:val="single" w:sz="4" w:space="0" w:color="auto"/>
              <w:right w:val="single" w:sz="4" w:space="0" w:color="auto"/>
            </w:tcBorders>
          </w:tcPr>
          <w:p w14:paraId="32B60913" w14:textId="6CFA7A33"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0C86ECA8" w14:textId="77777777" w:rsidR="00922FC6" w:rsidRPr="00B83435" w:rsidRDefault="00922FC6" w:rsidP="00C057C9">
            <w:pPr>
              <w:pStyle w:val="NormalWeb"/>
              <w:spacing w:after="0"/>
              <w:rPr>
                <w:rStyle w:val="Strong"/>
                <w:rFonts w:ascii="Arial Narrow" w:eastAsiaTheme="majorEastAsia" w:hAnsi="Arial Narrow" w:cs="Open Sans"/>
                <w:i/>
                <w:iCs/>
                <w:color w:val="333333"/>
                <w:sz w:val="20"/>
                <w:szCs w:val="20"/>
              </w:rPr>
            </w:pPr>
            <w:r w:rsidRPr="00B83435">
              <w:rPr>
                <w:rStyle w:val="Strong"/>
                <w:rFonts w:ascii="Arial Narrow" w:eastAsiaTheme="majorEastAsia" w:hAnsi="Arial Narrow" w:cs="Open Sans"/>
                <w:i/>
                <w:iCs/>
                <w:color w:val="333333"/>
                <w:sz w:val="20"/>
                <w:szCs w:val="20"/>
              </w:rPr>
              <w:t>Administrative Advice:</w:t>
            </w:r>
          </w:p>
          <w:p w14:paraId="2F3198D6" w14:textId="77777777" w:rsidR="00922FC6" w:rsidRPr="00EB01F2" w:rsidRDefault="00922FC6" w:rsidP="00C057C9">
            <w:pPr>
              <w:textAlignment w:val="baseline"/>
              <w:rPr>
                <w:rFonts w:ascii="Arial Narrow" w:hAnsi="Arial Narrow" w:cs="Open Sans"/>
                <w:b/>
                <w:bCs/>
                <w:i/>
                <w:iCs/>
                <w:color w:val="333333"/>
                <w:sz w:val="20"/>
                <w:szCs w:val="20"/>
                <w:bdr w:val="none" w:sz="0" w:space="0" w:color="auto" w:frame="1"/>
              </w:rPr>
            </w:pPr>
            <w:r w:rsidRPr="00EB01F2">
              <w:rPr>
                <w:rStyle w:val="Strong"/>
                <w:rFonts w:ascii="Arial Narrow" w:eastAsiaTheme="majorEastAsia" w:hAnsi="Arial Narrow" w:cs="Open Sans"/>
                <w:b w:val="0"/>
                <w:bCs w:val="0"/>
                <w:i/>
                <w:iCs/>
                <w:color w:val="333333"/>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r w:rsidR="00922FC6" w:rsidRPr="00B83435" w14:paraId="6F6BE91C" w14:textId="77777777" w:rsidTr="00C057C9">
        <w:tblPrEx>
          <w:tblCellMar>
            <w:top w:w="15" w:type="dxa"/>
            <w:left w:w="15" w:type="dxa"/>
            <w:bottom w:w="15" w:type="dxa"/>
            <w:right w:w="15" w:type="dxa"/>
          </w:tblCellMar>
        </w:tblPrEx>
        <w:tc>
          <w:tcPr>
            <w:tcW w:w="276" w:type="pct"/>
            <w:vMerge/>
            <w:tcBorders>
              <w:left w:val="single" w:sz="4" w:space="0" w:color="auto"/>
              <w:right w:val="single" w:sz="4" w:space="0" w:color="auto"/>
            </w:tcBorders>
          </w:tcPr>
          <w:p w14:paraId="37D8244D" w14:textId="77777777"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330" w:type="pct"/>
            <w:tcBorders>
              <w:left w:val="single" w:sz="4" w:space="0" w:color="auto"/>
              <w:right w:val="single" w:sz="4" w:space="0" w:color="auto"/>
            </w:tcBorders>
          </w:tcPr>
          <w:p w14:paraId="79F58033" w14:textId="602EF1A2"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5A4429C0" w14:textId="77777777" w:rsidR="00922FC6" w:rsidRPr="00B83435" w:rsidRDefault="00922FC6" w:rsidP="00C057C9">
            <w:pPr>
              <w:textAlignment w:val="baseline"/>
              <w:rPr>
                <w:rFonts w:ascii="Arial Narrow" w:hAnsi="Arial Narrow" w:cs="Open Sans"/>
                <w:i/>
                <w:iCs/>
                <w:color w:val="333333"/>
                <w:sz w:val="20"/>
                <w:szCs w:val="20"/>
              </w:rPr>
            </w:pPr>
            <w:r w:rsidRPr="00B83435">
              <w:rPr>
                <w:rFonts w:ascii="Arial Narrow" w:hAnsi="Arial Narrow" w:cs="Open Sans"/>
                <w:b/>
                <w:bCs/>
                <w:i/>
                <w:iCs/>
                <w:color w:val="333333"/>
                <w:sz w:val="20"/>
                <w:szCs w:val="20"/>
                <w:bdr w:val="none" w:sz="0" w:space="0" w:color="auto" w:frame="1"/>
              </w:rPr>
              <w:t>Administrative Advice:</w:t>
            </w:r>
          </w:p>
          <w:p w14:paraId="04028318" w14:textId="77777777" w:rsidR="00922FC6" w:rsidRPr="00B83435" w:rsidRDefault="00922FC6" w:rsidP="00C057C9">
            <w:pPr>
              <w:textAlignment w:val="baseline"/>
              <w:rPr>
                <w:rFonts w:ascii="Arial Narrow" w:hAnsi="Arial Narrow" w:cs="Open Sans"/>
                <w:b/>
                <w:bCs/>
                <w:i/>
                <w:iCs/>
                <w:color w:val="333333"/>
                <w:sz w:val="20"/>
                <w:szCs w:val="20"/>
                <w:bdr w:val="none" w:sz="0" w:space="0" w:color="auto" w:frame="1"/>
              </w:rPr>
            </w:pPr>
            <w:r w:rsidRPr="00B83435">
              <w:rPr>
                <w:rFonts w:ascii="Arial Narrow" w:hAnsi="Arial Narrow" w:cs="Open Sans"/>
                <w:i/>
                <w:iCs/>
                <w:color w:val="333333"/>
                <w:sz w:val="20"/>
                <w:szCs w:val="20"/>
              </w:rPr>
              <w:t>No increase in the maximum quantity or number of units may be authorised.</w:t>
            </w:r>
          </w:p>
        </w:tc>
      </w:tr>
      <w:tr w:rsidR="00922FC6" w:rsidRPr="00B83435" w14:paraId="37ECF82E" w14:textId="77777777" w:rsidTr="00C057C9">
        <w:tblPrEx>
          <w:tblCellMar>
            <w:top w:w="15" w:type="dxa"/>
            <w:left w:w="15" w:type="dxa"/>
            <w:bottom w:w="15" w:type="dxa"/>
            <w:right w:w="15" w:type="dxa"/>
          </w:tblCellMar>
        </w:tblPrEx>
        <w:tc>
          <w:tcPr>
            <w:tcW w:w="276" w:type="pct"/>
            <w:vMerge/>
            <w:tcBorders>
              <w:left w:val="single" w:sz="4" w:space="0" w:color="auto"/>
              <w:right w:val="single" w:sz="4" w:space="0" w:color="auto"/>
            </w:tcBorders>
          </w:tcPr>
          <w:p w14:paraId="19DADC9F" w14:textId="77777777"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330" w:type="pct"/>
            <w:tcBorders>
              <w:left w:val="single" w:sz="4" w:space="0" w:color="auto"/>
              <w:right w:val="single" w:sz="4" w:space="0" w:color="auto"/>
            </w:tcBorders>
          </w:tcPr>
          <w:p w14:paraId="7C4E8691" w14:textId="03F8BE7A"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6B8D5B77" w14:textId="77777777" w:rsidR="00922FC6" w:rsidRPr="00B83435" w:rsidRDefault="00922FC6" w:rsidP="00C057C9">
            <w:pPr>
              <w:textAlignment w:val="baseline"/>
              <w:rPr>
                <w:rFonts w:ascii="Arial Narrow" w:hAnsi="Arial Narrow" w:cs="Open Sans"/>
                <w:i/>
                <w:iCs/>
                <w:color w:val="333333"/>
                <w:sz w:val="20"/>
                <w:szCs w:val="20"/>
              </w:rPr>
            </w:pPr>
            <w:r w:rsidRPr="00B83435">
              <w:rPr>
                <w:rFonts w:ascii="Arial Narrow" w:hAnsi="Arial Narrow" w:cs="Open Sans"/>
                <w:b/>
                <w:bCs/>
                <w:i/>
                <w:iCs/>
                <w:color w:val="333333"/>
                <w:sz w:val="20"/>
                <w:szCs w:val="20"/>
                <w:bdr w:val="none" w:sz="0" w:space="0" w:color="auto" w:frame="1"/>
              </w:rPr>
              <w:t>Administrative Advice:</w:t>
            </w:r>
          </w:p>
          <w:p w14:paraId="28FAC890" w14:textId="77777777" w:rsidR="00922FC6" w:rsidRPr="00B83435" w:rsidRDefault="00922FC6" w:rsidP="00C057C9">
            <w:pPr>
              <w:textAlignment w:val="baseline"/>
              <w:rPr>
                <w:rFonts w:ascii="Arial Narrow" w:hAnsi="Arial Narrow" w:cs="Open Sans"/>
                <w:b/>
                <w:bCs/>
                <w:i/>
                <w:iCs/>
                <w:color w:val="333333"/>
                <w:sz w:val="20"/>
                <w:szCs w:val="20"/>
                <w:bdr w:val="none" w:sz="0" w:space="0" w:color="auto" w:frame="1"/>
              </w:rPr>
            </w:pPr>
            <w:r w:rsidRPr="00B83435">
              <w:rPr>
                <w:rFonts w:ascii="Arial Narrow" w:hAnsi="Arial Narrow" w:cs="Open Sans"/>
                <w:i/>
                <w:iCs/>
                <w:color w:val="333333"/>
                <w:sz w:val="20"/>
                <w:szCs w:val="20"/>
              </w:rPr>
              <w:t>No increase in the maximum number of repeats may be authorised.</w:t>
            </w:r>
          </w:p>
        </w:tc>
      </w:tr>
      <w:tr w:rsidR="00922FC6" w:rsidRPr="00B83435" w14:paraId="15D79089" w14:textId="77777777" w:rsidTr="00C057C9">
        <w:tblPrEx>
          <w:tblCellMar>
            <w:top w:w="15" w:type="dxa"/>
            <w:left w:w="15" w:type="dxa"/>
            <w:bottom w:w="15" w:type="dxa"/>
            <w:right w:w="15" w:type="dxa"/>
          </w:tblCellMar>
        </w:tblPrEx>
        <w:tc>
          <w:tcPr>
            <w:tcW w:w="276" w:type="pct"/>
            <w:tcBorders>
              <w:left w:val="single" w:sz="4" w:space="0" w:color="auto"/>
              <w:right w:val="single" w:sz="4" w:space="0" w:color="auto"/>
            </w:tcBorders>
          </w:tcPr>
          <w:p w14:paraId="18F9DB93" w14:textId="77777777"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330" w:type="pct"/>
            <w:tcBorders>
              <w:left w:val="single" w:sz="4" w:space="0" w:color="auto"/>
              <w:right w:val="single" w:sz="4" w:space="0" w:color="auto"/>
            </w:tcBorders>
          </w:tcPr>
          <w:p w14:paraId="4469483B" w14:textId="78B01400"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1604D142" w14:textId="77777777" w:rsidR="00922FC6" w:rsidRPr="00B83435" w:rsidRDefault="00922FC6" w:rsidP="00C057C9">
            <w:pPr>
              <w:textAlignment w:val="baseline"/>
              <w:rPr>
                <w:rFonts w:ascii="Arial Narrow" w:hAnsi="Arial Narrow" w:cs="Open Sans"/>
                <w:b/>
                <w:bCs/>
                <w:i/>
                <w:iCs/>
                <w:color w:val="333333"/>
                <w:sz w:val="20"/>
                <w:szCs w:val="20"/>
                <w:bdr w:val="none" w:sz="0" w:space="0" w:color="auto" w:frame="1"/>
              </w:rPr>
            </w:pPr>
            <w:r w:rsidRPr="00B83435">
              <w:rPr>
                <w:rFonts w:ascii="Arial Narrow" w:hAnsi="Arial Narrow" w:cs="Open Sans"/>
                <w:b/>
                <w:bCs/>
                <w:i/>
                <w:iCs/>
                <w:color w:val="333333"/>
                <w:sz w:val="20"/>
                <w:szCs w:val="20"/>
                <w:bdr w:val="none" w:sz="0" w:space="0" w:color="auto" w:frame="1"/>
              </w:rPr>
              <w:t>Administrative Advice:</w:t>
            </w:r>
          </w:p>
          <w:p w14:paraId="51DC91F0" w14:textId="77777777" w:rsidR="00922FC6" w:rsidRPr="00B83435" w:rsidRDefault="00922FC6" w:rsidP="00C057C9">
            <w:pPr>
              <w:textAlignment w:val="baseline"/>
              <w:rPr>
                <w:rFonts w:ascii="Arial Narrow" w:hAnsi="Arial Narrow" w:cs="Open Sans"/>
                <w:i/>
                <w:iCs/>
                <w:color w:val="333333"/>
                <w:sz w:val="20"/>
                <w:szCs w:val="20"/>
                <w:bdr w:val="none" w:sz="0" w:space="0" w:color="auto" w:frame="1"/>
              </w:rPr>
            </w:pPr>
            <w:r w:rsidRPr="00B83435">
              <w:rPr>
                <w:rFonts w:ascii="Arial Narrow" w:hAnsi="Arial Narrow" w:cs="Open Sans"/>
                <w:i/>
                <w:iCs/>
                <w:color w:val="333333"/>
                <w:sz w:val="20"/>
                <w:szCs w:val="20"/>
                <w:bdr w:val="none" w:sz="0" w:space="0" w:color="auto" w:frame="1"/>
              </w:rPr>
              <w:t>Special Pricing Arrangements apply.</w:t>
            </w:r>
          </w:p>
        </w:tc>
      </w:tr>
      <w:tr w:rsidR="00922FC6" w:rsidRPr="00B83435" w14:paraId="003E8BD3"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09D0A446" w14:textId="15FC415C"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43AD65E"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 xml:space="preserve">Indication: </w:t>
            </w:r>
            <w:r w:rsidRPr="00B83435">
              <w:rPr>
                <w:rFonts w:ascii="Arial Narrow" w:hAnsi="Arial Narrow" w:cs="Open Sans"/>
                <w:color w:val="333333"/>
                <w:sz w:val="20"/>
                <w:szCs w:val="20"/>
              </w:rPr>
              <w:t>Primary biliary cholangitis (previously known as Primary biliary cirrhosis)</w:t>
            </w:r>
          </w:p>
        </w:tc>
      </w:tr>
      <w:tr w:rsidR="00922FC6" w:rsidRPr="00B83435" w14:paraId="32EC7B8B"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7A86CF8D"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0D55361" w14:textId="77777777" w:rsidR="00922FC6" w:rsidRPr="00B83435" w:rsidRDefault="00922FC6" w:rsidP="00C057C9">
            <w:pPr>
              <w:textAlignment w:val="baseline"/>
              <w:rPr>
                <w:rFonts w:ascii="Arial Narrow" w:hAnsi="Arial Narrow" w:cs="Open Sans"/>
                <w:color w:val="333333"/>
                <w:sz w:val="20"/>
                <w:szCs w:val="20"/>
                <w:bdr w:val="none" w:sz="0" w:space="0" w:color="auto" w:frame="1"/>
              </w:rPr>
            </w:pPr>
            <w:r w:rsidRPr="00B83435">
              <w:rPr>
                <w:rFonts w:ascii="Arial Narrow" w:hAnsi="Arial Narrow" w:cs="Open Sans"/>
                <w:b/>
                <w:bCs/>
                <w:color w:val="333333"/>
                <w:sz w:val="20"/>
                <w:szCs w:val="20"/>
                <w:bdr w:val="none" w:sz="0" w:space="0" w:color="auto" w:frame="1"/>
              </w:rPr>
              <w:t>Treatment Phase:</w:t>
            </w:r>
            <w:r w:rsidRPr="00B83435">
              <w:rPr>
                <w:rFonts w:ascii="Arial Narrow" w:hAnsi="Arial Narrow" w:cs="Open Sans"/>
                <w:color w:val="333333"/>
                <w:sz w:val="20"/>
                <w:szCs w:val="20"/>
                <w:bdr w:val="none" w:sz="0" w:space="0" w:color="auto" w:frame="1"/>
              </w:rPr>
              <w:t xml:space="preserve"> Initial treatment</w:t>
            </w:r>
          </w:p>
        </w:tc>
      </w:tr>
      <w:tr w:rsidR="00922FC6" w:rsidRPr="00B83435" w14:paraId="5F52C6A7"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354C4C07" w14:textId="0964158E"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B0D7BCA"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b/>
                <w:bCs/>
                <w:color w:val="333333"/>
                <w:sz w:val="20"/>
                <w:szCs w:val="20"/>
                <w:bdr w:val="none" w:sz="0" w:space="0" w:color="auto" w:frame="1"/>
              </w:rPr>
              <w:t>Treatment criteria:</w:t>
            </w:r>
          </w:p>
        </w:tc>
      </w:tr>
      <w:tr w:rsidR="00922FC6" w:rsidRPr="00B83435" w14:paraId="3BC7263C"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059BDF72" w14:textId="5F9BA5BA"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7D7C5AC"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color w:val="333333"/>
                <w:sz w:val="20"/>
                <w:szCs w:val="20"/>
              </w:rPr>
              <w:t xml:space="preserve">Must be treated by a prescriber who is either: (i) a gastroenterologist, (ii) a hepatologist; </w:t>
            </w:r>
          </w:p>
        </w:tc>
      </w:tr>
      <w:tr w:rsidR="00922FC6" w:rsidRPr="00B83435" w14:paraId="42E4AC36"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6212A1F6"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7FDC5638" w14:textId="77777777" w:rsidR="00922FC6" w:rsidRPr="00B83435" w:rsidRDefault="00922FC6" w:rsidP="00C057C9">
            <w:pPr>
              <w:textAlignment w:val="baseline"/>
              <w:rPr>
                <w:rFonts w:ascii="Arial Narrow" w:hAnsi="Arial Narrow" w:cs="Open Sans"/>
                <w:b/>
                <w:bCs/>
                <w:color w:val="333333"/>
                <w:sz w:val="20"/>
                <w:szCs w:val="20"/>
              </w:rPr>
            </w:pPr>
            <w:r w:rsidRPr="00B83435">
              <w:rPr>
                <w:rFonts w:ascii="Arial Narrow" w:hAnsi="Arial Narrow" w:cs="Open Sans"/>
                <w:b/>
                <w:bCs/>
                <w:color w:val="333333"/>
                <w:sz w:val="20"/>
                <w:szCs w:val="20"/>
              </w:rPr>
              <w:t>OR</w:t>
            </w:r>
          </w:p>
        </w:tc>
      </w:tr>
      <w:tr w:rsidR="00922FC6" w:rsidRPr="00B83435" w14:paraId="767A327D"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59AF75D9" w14:textId="7131B2CC"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B48E4B1"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color w:val="333333"/>
                <w:sz w:val="20"/>
                <w:szCs w:val="20"/>
              </w:rPr>
              <w:t>Must be treated by a medical practitioner who has consulted at least one of the above mentioned specialist types</w:t>
            </w:r>
            <w:r w:rsidRPr="00B83435">
              <w:rPr>
                <w:rFonts w:ascii="Arial Narrow" w:hAnsi="Arial Narrow" w:cs="Open Sans"/>
                <w:strike/>
                <w:color w:val="333333"/>
                <w:sz w:val="20"/>
                <w:szCs w:val="20"/>
              </w:rPr>
              <w:t>, with agreement reached that the patient should be treated with this pharmaceutical benefit on this occasion</w:t>
            </w:r>
          </w:p>
        </w:tc>
      </w:tr>
      <w:tr w:rsidR="00922FC6" w:rsidRPr="00B83435" w14:paraId="00697BD9"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48EFDD98"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514F78C"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b/>
                <w:bCs/>
                <w:color w:val="333333"/>
                <w:sz w:val="20"/>
                <w:szCs w:val="20"/>
                <w:bdr w:val="none" w:sz="0" w:space="0" w:color="auto" w:frame="1"/>
              </w:rPr>
              <w:t>AND</w:t>
            </w:r>
          </w:p>
        </w:tc>
      </w:tr>
      <w:tr w:rsidR="00922FC6" w:rsidRPr="00B83435" w14:paraId="3B0AEAC0"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69C0D9F8" w14:textId="1AA54156"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676EA65"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b/>
                <w:bCs/>
                <w:color w:val="333333"/>
                <w:sz w:val="20"/>
                <w:szCs w:val="20"/>
                <w:bdr w:val="none" w:sz="0" w:space="0" w:color="auto" w:frame="1"/>
              </w:rPr>
              <w:t>Treatment criteria:</w:t>
            </w:r>
          </w:p>
        </w:tc>
      </w:tr>
      <w:tr w:rsidR="00922FC6" w:rsidRPr="00B83435" w14:paraId="57A3BEBA"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CDC9B39" w14:textId="50C83238"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63B9A86"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color w:val="333333"/>
                <w:sz w:val="20"/>
                <w:szCs w:val="20"/>
              </w:rPr>
              <w:t>Patient must be undergoing concurrent treatment with ursodeoxycholic acid</w:t>
            </w:r>
            <w:r w:rsidRPr="00B83435">
              <w:rPr>
                <w:rFonts w:ascii="Arial Narrow" w:hAnsi="Arial Narrow" w:cs="Open Sans"/>
                <w:strike/>
                <w:color w:val="333333"/>
                <w:sz w:val="20"/>
                <w:szCs w:val="20"/>
              </w:rPr>
              <w:t>, following this authority application</w:t>
            </w:r>
            <w:r w:rsidRPr="00B83435">
              <w:rPr>
                <w:rFonts w:ascii="Arial Narrow" w:hAnsi="Arial Narrow" w:cs="Open Sans"/>
                <w:color w:val="333333"/>
                <w:sz w:val="20"/>
                <w:szCs w:val="20"/>
              </w:rPr>
              <w:t xml:space="preserve">; </w:t>
            </w:r>
          </w:p>
        </w:tc>
      </w:tr>
      <w:tr w:rsidR="00922FC6" w:rsidRPr="00B83435" w14:paraId="0DF63AC1"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3FD8BA51" w14:textId="77777777" w:rsidR="00922FC6" w:rsidRPr="00B83435"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7870799B" w14:textId="77777777" w:rsidR="00922FC6" w:rsidRPr="00B83435" w:rsidRDefault="00922FC6" w:rsidP="00C057C9">
            <w:pPr>
              <w:textAlignment w:val="baseline"/>
              <w:rPr>
                <w:rFonts w:ascii="Arial Narrow" w:hAnsi="Arial Narrow" w:cs="Open Sans"/>
                <w:b/>
                <w:bCs/>
                <w:color w:val="333333"/>
                <w:sz w:val="20"/>
                <w:szCs w:val="20"/>
              </w:rPr>
            </w:pPr>
            <w:r w:rsidRPr="00B83435">
              <w:rPr>
                <w:rFonts w:ascii="Arial Narrow" w:hAnsi="Arial Narrow" w:cs="Open Sans"/>
                <w:b/>
                <w:bCs/>
                <w:color w:val="333333"/>
                <w:sz w:val="20"/>
                <w:szCs w:val="20"/>
              </w:rPr>
              <w:t>OR</w:t>
            </w:r>
          </w:p>
        </w:tc>
      </w:tr>
      <w:tr w:rsidR="00922FC6" w:rsidRPr="00B83435" w14:paraId="1B10E978"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3A38B2F0" w14:textId="2B3B6E1B"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C357D33"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color w:val="333333"/>
                <w:sz w:val="20"/>
                <w:szCs w:val="20"/>
              </w:rPr>
              <w:t xml:space="preserve">Patient must be undergoing treatment with this drug as monotherapy </w:t>
            </w:r>
            <w:r w:rsidRPr="00B83435">
              <w:rPr>
                <w:rFonts w:ascii="Arial Narrow" w:hAnsi="Arial Narrow" w:cs="Open Sans"/>
                <w:strike/>
                <w:color w:val="333333"/>
                <w:sz w:val="20"/>
                <w:szCs w:val="20"/>
              </w:rPr>
              <w:t>following this authority application,</w:t>
            </w:r>
            <w:r w:rsidRPr="00B83435">
              <w:rPr>
                <w:rFonts w:ascii="Arial Narrow" w:hAnsi="Arial Narrow" w:cs="Open Sans"/>
                <w:color w:val="333333"/>
                <w:sz w:val="20"/>
                <w:szCs w:val="20"/>
              </w:rPr>
              <w:t xml:space="preserve"> because </w:t>
            </w:r>
            <w:r w:rsidRPr="00B83435">
              <w:rPr>
                <w:rFonts w:ascii="Arial Narrow" w:hAnsi="Arial Narrow" w:cs="Open Sans"/>
                <w:strike/>
                <w:color w:val="333333"/>
                <w:sz w:val="20"/>
                <w:szCs w:val="20"/>
              </w:rPr>
              <w:t xml:space="preserve">combination </w:t>
            </w:r>
            <w:r w:rsidRPr="00B83435">
              <w:rPr>
                <w:rFonts w:ascii="Arial Narrow" w:hAnsi="Arial Narrow" w:cs="Open Sans"/>
                <w:color w:val="333333"/>
                <w:sz w:val="20"/>
                <w:szCs w:val="20"/>
              </w:rPr>
              <w:t>treatment with ursodeoxycholic acid is not tolerated</w:t>
            </w:r>
            <w:r w:rsidRPr="00B83435">
              <w:rPr>
                <w:rFonts w:ascii="Arial Narrow" w:hAnsi="Arial Narrow" w:cs="Open Sans"/>
                <w:i/>
                <w:iCs/>
                <w:color w:val="333333"/>
                <w:sz w:val="20"/>
                <w:szCs w:val="20"/>
              </w:rPr>
              <w:t>/contraindicated</w:t>
            </w:r>
          </w:p>
        </w:tc>
      </w:tr>
      <w:tr w:rsidR="00922FC6" w:rsidRPr="00B83435" w14:paraId="0915F631"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72D94F32"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15C0309F"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AND</w:t>
            </w:r>
          </w:p>
        </w:tc>
      </w:tr>
      <w:tr w:rsidR="00922FC6" w:rsidRPr="00B83435" w14:paraId="21DD54F4"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A9272A5" w14:textId="21FBBA88"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F44EA4C"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Treatment criteria:</w:t>
            </w:r>
          </w:p>
        </w:tc>
      </w:tr>
      <w:tr w:rsidR="00922FC6" w:rsidRPr="00B83435" w14:paraId="3B683B0A"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4310EB55" w14:textId="512FBA23"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7B20FBC9" w14:textId="51E636FE"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 xml:space="preserve">Patient must not be undergoing </w:t>
            </w:r>
            <w:r w:rsidRPr="00B83435">
              <w:rPr>
                <w:rFonts w:ascii="Arial Narrow" w:hAnsi="Arial Narrow" w:cs="Open Sans"/>
                <w:strike/>
                <w:color w:val="333333"/>
                <w:sz w:val="20"/>
                <w:szCs w:val="20"/>
              </w:rPr>
              <w:t>concomitant PBS-subsidised</w:t>
            </w:r>
            <w:r w:rsidRPr="00B83435">
              <w:rPr>
                <w:rFonts w:ascii="Arial Narrow" w:hAnsi="Arial Narrow" w:cs="Open Sans"/>
                <w:color w:val="333333"/>
                <w:sz w:val="20"/>
                <w:szCs w:val="20"/>
              </w:rPr>
              <w:t xml:space="preserve"> </w:t>
            </w:r>
            <w:r w:rsidRPr="00B83435">
              <w:rPr>
                <w:rFonts w:ascii="Arial Narrow" w:hAnsi="Arial Narrow" w:cs="Open Sans"/>
                <w:i/>
                <w:iCs/>
                <w:color w:val="333333"/>
                <w:sz w:val="20"/>
                <w:szCs w:val="20"/>
              </w:rPr>
              <w:t xml:space="preserve">concurrent </w:t>
            </w:r>
            <w:r w:rsidRPr="00B83435">
              <w:rPr>
                <w:rFonts w:ascii="Arial Narrow" w:hAnsi="Arial Narrow" w:cs="Open Sans"/>
                <w:color w:val="333333"/>
                <w:sz w:val="20"/>
                <w:szCs w:val="20"/>
              </w:rPr>
              <w:t xml:space="preserve">treatment with obeticholic acid </w:t>
            </w:r>
            <w:r w:rsidR="003F0E9E">
              <w:rPr>
                <w:rFonts w:ascii="Arial Narrow" w:hAnsi="Arial Narrow" w:cs="Open Sans"/>
                <w:color w:val="333333"/>
                <w:sz w:val="20"/>
                <w:szCs w:val="20"/>
              </w:rPr>
              <w:t>(</w:t>
            </w:r>
            <w:r w:rsidRPr="00B83435">
              <w:rPr>
                <w:rFonts w:ascii="Arial Narrow" w:hAnsi="Arial Narrow" w:cs="Open Sans"/>
                <w:color w:val="333333"/>
                <w:sz w:val="20"/>
                <w:szCs w:val="20"/>
              </w:rPr>
              <w:t>or elafibranor</w:t>
            </w:r>
            <w:r w:rsidR="003F0E9E">
              <w:rPr>
                <w:rFonts w:ascii="Arial Narrow" w:hAnsi="Arial Narrow" w:cs="Open Sans"/>
                <w:color w:val="333333"/>
                <w:sz w:val="20"/>
                <w:szCs w:val="20"/>
              </w:rPr>
              <w:t>)</w:t>
            </w:r>
          </w:p>
        </w:tc>
      </w:tr>
      <w:tr w:rsidR="00922FC6" w:rsidRPr="00B83435" w14:paraId="434480B2"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8ADD390" w14:textId="2F04BC8A"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F9A087D"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Clinical criteria:</w:t>
            </w:r>
          </w:p>
        </w:tc>
      </w:tr>
      <w:tr w:rsidR="00922FC6" w:rsidRPr="00B83435" w14:paraId="7BD4172D"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360A0BF9" w14:textId="63C1BC38"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A7A2B18"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922FC6" w:rsidRPr="00B83435" w14:paraId="1344AA79"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128A02ED" w14:textId="77777777" w:rsidR="00922FC6" w:rsidRPr="00B83435"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539EEF06" w14:textId="77777777" w:rsidR="00922FC6" w:rsidRPr="00B83435" w:rsidRDefault="00922FC6" w:rsidP="00C057C9">
            <w:pPr>
              <w:textAlignment w:val="baseline"/>
              <w:rPr>
                <w:rFonts w:ascii="Arial Narrow" w:hAnsi="Arial Narrow" w:cs="Open Sans"/>
                <w:b/>
                <w:bCs/>
                <w:color w:val="333333"/>
                <w:sz w:val="20"/>
                <w:szCs w:val="20"/>
              </w:rPr>
            </w:pPr>
            <w:r w:rsidRPr="00B83435">
              <w:rPr>
                <w:rFonts w:ascii="Arial Narrow" w:hAnsi="Arial Narrow" w:cs="Open Sans"/>
                <w:b/>
                <w:bCs/>
                <w:color w:val="333333"/>
                <w:sz w:val="20"/>
                <w:szCs w:val="20"/>
              </w:rPr>
              <w:t>OR</w:t>
            </w:r>
          </w:p>
        </w:tc>
      </w:tr>
      <w:tr w:rsidR="00922FC6" w:rsidRPr="00B83435" w14:paraId="3ACD122A"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4C4CB002" w14:textId="1A5E9221"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5092494"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Patient must have experienced an intolerance</w:t>
            </w:r>
            <w:r w:rsidRPr="00B83435">
              <w:rPr>
                <w:rFonts w:ascii="Arial Narrow" w:hAnsi="Arial Narrow" w:cs="Open Sans"/>
                <w:i/>
                <w:iCs/>
                <w:color w:val="333333"/>
                <w:sz w:val="20"/>
                <w:szCs w:val="20"/>
              </w:rPr>
              <w:t>/contraindication</w:t>
            </w:r>
            <w:r w:rsidRPr="00B83435">
              <w:rPr>
                <w:rFonts w:ascii="Arial Narrow" w:hAnsi="Arial Narrow" w:cs="Open Sans"/>
                <w:color w:val="333333"/>
                <w:sz w:val="20"/>
                <w:szCs w:val="20"/>
              </w:rPr>
              <w:t xml:space="preserve"> to ursodeoxycholic acid of a severity requiring permanent treatment discontinuation, prior to initiating treatment with this drug</w:t>
            </w:r>
          </w:p>
        </w:tc>
      </w:tr>
      <w:tr w:rsidR="00922FC6" w:rsidRPr="00B83435" w14:paraId="1EF16415"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683EAB46"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73D8A59"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AND</w:t>
            </w:r>
          </w:p>
        </w:tc>
      </w:tr>
      <w:tr w:rsidR="00922FC6" w:rsidRPr="00B83435" w14:paraId="579916EB"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D9934C0" w14:textId="3918B10A"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69896949"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b/>
                <w:bCs/>
                <w:color w:val="333333"/>
                <w:sz w:val="20"/>
                <w:szCs w:val="20"/>
                <w:bdr w:val="none" w:sz="0" w:space="0" w:color="auto" w:frame="1"/>
              </w:rPr>
              <w:t>Clinical criteria:</w:t>
            </w:r>
          </w:p>
        </w:tc>
      </w:tr>
      <w:tr w:rsidR="00922FC6" w:rsidRPr="00B83435" w14:paraId="6D633375"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71129D0" w14:textId="034C9731"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587DCE61"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r w:rsidRPr="00B83435">
              <w:rPr>
                <w:rFonts w:ascii="Arial Narrow" w:hAnsi="Arial Narrow" w:cs="Open Sans"/>
                <w:color w:val="333333"/>
                <w:sz w:val="20"/>
                <w:szCs w:val="20"/>
              </w:rPr>
              <w:t>Patient must not have</w:t>
            </w:r>
            <w:r w:rsidRPr="00B83435">
              <w:rPr>
                <w:rFonts w:ascii="Arial Narrow" w:hAnsi="Arial Narrow" w:cs="Open Sans"/>
                <w:i/>
                <w:iCs/>
                <w:color w:val="333333"/>
                <w:sz w:val="20"/>
                <w:szCs w:val="20"/>
              </w:rPr>
              <w:t>/be each of</w:t>
            </w:r>
            <w:r w:rsidRPr="00B83435">
              <w:rPr>
                <w:rFonts w:ascii="Arial Narrow" w:hAnsi="Arial Narrow" w:cs="Open Sans"/>
                <w:color w:val="333333"/>
                <w:sz w:val="20"/>
                <w:szCs w:val="20"/>
              </w:rPr>
              <w:t xml:space="preserve">: </w:t>
            </w:r>
            <w:r w:rsidRPr="00B83435">
              <w:rPr>
                <w:rFonts w:ascii="Arial Narrow" w:hAnsi="Arial Narrow" w:cs="Open Sans"/>
                <w:i/>
                <w:iCs/>
                <w:color w:val="333333"/>
                <w:sz w:val="20"/>
                <w:szCs w:val="20"/>
              </w:rPr>
              <w:t>(i)</w:t>
            </w:r>
            <w:r w:rsidRPr="00B83435">
              <w:rPr>
                <w:rFonts w:ascii="Arial Narrow" w:hAnsi="Arial Narrow" w:cs="Open Sans"/>
                <w:color w:val="333333"/>
                <w:sz w:val="20"/>
                <w:szCs w:val="20"/>
              </w:rPr>
              <w:t xml:space="preserve"> severe liver disease, </w:t>
            </w:r>
            <w:r w:rsidRPr="00B83435">
              <w:rPr>
                <w:rFonts w:ascii="Arial Narrow" w:hAnsi="Arial Narrow" w:cs="Open Sans"/>
                <w:i/>
                <w:iCs/>
                <w:color w:val="333333"/>
                <w:sz w:val="20"/>
                <w:szCs w:val="20"/>
              </w:rPr>
              <w:t>(ii) immunocompromised</w:t>
            </w:r>
          </w:p>
        </w:tc>
      </w:tr>
      <w:tr w:rsidR="00922FC6" w:rsidRPr="00B83435" w14:paraId="01D859A8"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11B9EFA4" w14:textId="77777777"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52B1BDB"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AND</w:t>
            </w:r>
          </w:p>
        </w:tc>
      </w:tr>
      <w:tr w:rsidR="00922FC6" w:rsidRPr="00B83435" w14:paraId="07D47DFD"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63F4453D" w14:textId="2C50DC03"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2D1132BE"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Clinical criteria:</w:t>
            </w:r>
          </w:p>
        </w:tc>
      </w:tr>
      <w:tr w:rsidR="00922FC6" w:rsidRPr="00B83435" w14:paraId="768006F4"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7DF21A03" w14:textId="35153530"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BDCF3C1"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 xml:space="preserve">Patient must have an alkaline phosphatase (ALP) level of at least 1.67 times the upper limit of normal (ULN) having accounted for each of: (i) age, (ii) gender, (iii) laboratory to laboratory variances in the definition of ‘normal’, despite treatment with ursodeoxycholic acid for at least 52 cumulative weeks; </w:t>
            </w:r>
          </w:p>
        </w:tc>
      </w:tr>
      <w:tr w:rsidR="00922FC6" w:rsidRPr="00B83435" w14:paraId="4614CBE3"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897C8A9" w14:textId="77777777" w:rsidR="00922FC6" w:rsidRPr="00B83435"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61F9C559" w14:textId="77777777" w:rsidR="00922FC6" w:rsidRPr="00B83435" w:rsidRDefault="00922FC6" w:rsidP="00C057C9">
            <w:pPr>
              <w:textAlignment w:val="baseline"/>
              <w:rPr>
                <w:rFonts w:ascii="Arial Narrow" w:hAnsi="Arial Narrow" w:cs="Open Sans"/>
                <w:b/>
                <w:bCs/>
                <w:color w:val="333333"/>
                <w:sz w:val="20"/>
                <w:szCs w:val="20"/>
              </w:rPr>
            </w:pPr>
            <w:r w:rsidRPr="00B83435">
              <w:rPr>
                <w:rFonts w:ascii="Arial Narrow" w:hAnsi="Arial Narrow" w:cs="Open Sans"/>
                <w:b/>
                <w:bCs/>
                <w:color w:val="333333"/>
                <w:sz w:val="20"/>
                <w:szCs w:val="20"/>
              </w:rPr>
              <w:t>OR</w:t>
            </w:r>
          </w:p>
        </w:tc>
      </w:tr>
      <w:tr w:rsidR="00922FC6" w:rsidRPr="00B83435" w14:paraId="0A642E75"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6DE942A" w14:textId="09A6319B"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3E6DAC9"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 xml:space="preserve">Patient must have a total bilirubin level between 1 to 2 times the ULN, despite treatment with ursodeoxycholic acid for at least 52 cumulative weeks; </w:t>
            </w:r>
          </w:p>
        </w:tc>
      </w:tr>
      <w:tr w:rsidR="00922FC6" w:rsidRPr="00B83435" w14:paraId="0D40FBA2"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40570563" w14:textId="77777777" w:rsidR="00922FC6" w:rsidRPr="00B83435"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65767A5C" w14:textId="77777777" w:rsidR="00922FC6" w:rsidRPr="00B83435" w:rsidRDefault="00922FC6" w:rsidP="00C057C9">
            <w:pPr>
              <w:textAlignment w:val="baseline"/>
              <w:rPr>
                <w:rFonts w:ascii="Arial Narrow" w:hAnsi="Arial Narrow" w:cs="Open Sans"/>
                <w:b/>
                <w:bCs/>
                <w:color w:val="333333"/>
                <w:sz w:val="20"/>
                <w:szCs w:val="20"/>
              </w:rPr>
            </w:pPr>
            <w:r w:rsidRPr="00B83435">
              <w:rPr>
                <w:rFonts w:ascii="Arial Narrow" w:hAnsi="Arial Narrow" w:cs="Open Sans"/>
                <w:b/>
                <w:bCs/>
                <w:color w:val="333333"/>
                <w:sz w:val="20"/>
                <w:szCs w:val="20"/>
              </w:rPr>
              <w:t>OR</w:t>
            </w:r>
          </w:p>
        </w:tc>
      </w:tr>
      <w:tr w:rsidR="00922FC6" w:rsidRPr="00B83435" w14:paraId="3A9DFF25"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11023206" w14:textId="47C9BF81"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1C45BE30"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Patient must have abnormal readings of at least one of: (i) alkaline phosphatase (ii) total bilirubin, in the presence of an intolerance of a severity requiring treatment discontinuation with ursodeoxycholic acid</w:t>
            </w:r>
          </w:p>
        </w:tc>
      </w:tr>
      <w:tr w:rsidR="00922FC6" w:rsidRPr="00B83435" w14:paraId="6C2438EA"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5A5201C3" w14:textId="21C49A8C"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171A6F15"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Population criteria:</w:t>
            </w:r>
          </w:p>
        </w:tc>
      </w:tr>
      <w:tr w:rsidR="00922FC6" w:rsidRPr="00B83435" w14:paraId="0794A2AD"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44A8635E" w14:textId="0E69A8CE"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0AF8D874"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 xml:space="preserve">Patient must be </w:t>
            </w:r>
            <w:r w:rsidRPr="00B83435">
              <w:rPr>
                <w:rFonts w:ascii="Arial Narrow" w:hAnsi="Arial Narrow" w:cs="Open Sans"/>
                <w:strike/>
                <w:color w:val="333333"/>
                <w:sz w:val="20"/>
                <w:szCs w:val="20"/>
              </w:rPr>
              <w:t>aged</w:t>
            </w:r>
            <w:r w:rsidRPr="00B83435">
              <w:rPr>
                <w:rFonts w:ascii="Arial Narrow" w:hAnsi="Arial Narrow" w:cs="Open Sans"/>
                <w:color w:val="333333"/>
                <w:sz w:val="20"/>
                <w:szCs w:val="20"/>
              </w:rPr>
              <w:t xml:space="preserve"> </w:t>
            </w:r>
            <w:r w:rsidRPr="00B83435">
              <w:rPr>
                <w:rFonts w:ascii="Arial Narrow" w:hAnsi="Arial Narrow" w:cs="Open Sans"/>
                <w:i/>
                <w:iCs/>
                <w:color w:val="333333"/>
                <w:sz w:val="20"/>
                <w:szCs w:val="20"/>
              </w:rPr>
              <w:t>at least</w:t>
            </w:r>
            <w:r w:rsidRPr="00B83435">
              <w:rPr>
                <w:rFonts w:ascii="Arial Narrow" w:hAnsi="Arial Narrow" w:cs="Open Sans"/>
                <w:color w:val="333333"/>
                <w:sz w:val="20"/>
                <w:szCs w:val="20"/>
              </w:rPr>
              <w:t xml:space="preserve"> 18 years of age</w:t>
            </w:r>
          </w:p>
        </w:tc>
      </w:tr>
      <w:tr w:rsidR="00922FC6" w:rsidRPr="00B83435" w14:paraId="2EE8A51F"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6C3173BA" w14:textId="067DA64E" w:rsidR="00922FC6" w:rsidRPr="00B83435" w:rsidRDefault="00922FC6" w:rsidP="00C057C9">
            <w:pPr>
              <w:jc w:val="center"/>
              <w:rPr>
                <w:rFonts w:ascii="Arial Narrow" w:eastAsia="Aptos" w:hAnsi="Arial Narrow" w:cs="Open San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40319F35"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b/>
                <w:bCs/>
                <w:color w:val="333333"/>
                <w:sz w:val="20"/>
                <w:szCs w:val="20"/>
                <w:bdr w:val="none" w:sz="0" w:space="0" w:color="auto" w:frame="1"/>
              </w:rPr>
              <w:t>Prescribing Instructions:</w:t>
            </w:r>
          </w:p>
          <w:p w14:paraId="4AB578D0" w14:textId="77777777" w:rsidR="00922FC6" w:rsidRPr="00B83435" w:rsidRDefault="00922FC6" w:rsidP="00C057C9">
            <w:pPr>
              <w:textAlignment w:val="baseline"/>
              <w:rPr>
                <w:rFonts w:ascii="Arial Narrow" w:hAnsi="Arial Narrow" w:cs="Open Sans"/>
                <w:color w:val="333333"/>
                <w:sz w:val="20"/>
                <w:szCs w:val="20"/>
              </w:rPr>
            </w:pPr>
            <w:r w:rsidRPr="00B83435">
              <w:rPr>
                <w:rFonts w:ascii="Arial Narrow" w:hAnsi="Arial Narrow" w:cs="Open Sans"/>
                <w:color w:val="333333"/>
                <w:sz w:val="20"/>
                <w:szCs w:val="20"/>
              </w:rPr>
              <w:t>Document and retain in the patient's medical records the qualifying baseline laboratory reading for the purpose of assessing response to treatment under the 'Continuing treatment' restriction.</w:t>
            </w:r>
          </w:p>
        </w:tc>
      </w:tr>
      <w:tr w:rsidR="00922FC6" w:rsidRPr="00B83435" w14:paraId="36A7E7CC" w14:textId="77777777" w:rsidTr="00C057C9">
        <w:tblPrEx>
          <w:tblCellMar>
            <w:top w:w="15" w:type="dxa"/>
            <w:left w:w="15" w:type="dxa"/>
            <w:bottom w:w="15" w:type="dxa"/>
            <w:right w:w="15" w:type="dxa"/>
          </w:tblCellMar>
        </w:tblPrEx>
        <w:tc>
          <w:tcPr>
            <w:tcW w:w="606" w:type="pct"/>
            <w:gridSpan w:val="2"/>
            <w:tcBorders>
              <w:left w:val="single" w:sz="4" w:space="0" w:color="auto"/>
              <w:right w:val="single" w:sz="4" w:space="0" w:color="auto"/>
            </w:tcBorders>
          </w:tcPr>
          <w:p w14:paraId="2E135CC5" w14:textId="1D61AC0B" w:rsidR="00922FC6" w:rsidRPr="00B83435"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7DAC87C" w14:textId="77777777" w:rsidR="00922FC6" w:rsidRPr="00B83435" w:rsidRDefault="00922FC6" w:rsidP="00C057C9">
            <w:pPr>
              <w:textAlignment w:val="baseline"/>
              <w:rPr>
                <w:rFonts w:ascii="Arial Narrow" w:hAnsi="Arial Narrow" w:cs="Open Sans"/>
                <w:i/>
                <w:iCs/>
                <w:color w:val="333333"/>
                <w:sz w:val="20"/>
                <w:szCs w:val="20"/>
              </w:rPr>
            </w:pPr>
            <w:r w:rsidRPr="00B83435">
              <w:rPr>
                <w:rFonts w:ascii="Arial Narrow" w:hAnsi="Arial Narrow" w:cs="Open Sans"/>
                <w:b/>
                <w:bCs/>
                <w:i/>
                <w:iCs/>
                <w:color w:val="333333"/>
                <w:sz w:val="20"/>
                <w:szCs w:val="20"/>
                <w:bdr w:val="none" w:sz="0" w:space="0" w:color="auto" w:frame="1"/>
              </w:rPr>
              <w:t>Administrative Advice:</w:t>
            </w:r>
          </w:p>
          <w:p w14:paraId="5F4A0B7F" w14:textId="77777777" w:rsidR="00922FC6" w:rsidRPr="00B83435" w:rsidRDefault="00922FC6" w:rsidP="00C057C9">
            <w:pPr>
              <w:textAlignment w:val="baseline"/>
              <w:rPr>
                <w:rFonts w:ascii="Arial Narrow" w:hAnsi="Arial Narrow" w:cs="Open Sans"/>
                <w:b/>
                <w:bCs/>
                <w:i/>
                <w:iCs/>
                <w:color w:val="333333"/>
                <w:sz w:val="20"/>
                <w:szCs w:val="20"/>
                <w:bdr w:val="none" w:sz="0" w:space="0" w:color="auto" w:frame="1"/>
              </w:rPr>
            </w:pPr>
            <w:r w:rsidRPr="00B83435">
              <w:rPr>
                <w:rFonts w:ascii="Arial Narrow" w:hAnsi="Arial Narrow" w:cs="Open Sans"/>
                <w:i/>
                <w:iCs/>
                <w:color w:val="333333"/>
                <w:sz w:val="20"/>
                <w:szCs w:val="20"/>
              </w:rPr>
              <w:t>Laboratory readings requested in this authority application must be no older than 52 weeks.</w:t>
            </w:r>
          </w:p>
        </w:tc>
      </w:tr>
      <w:tr w:rsidR="00922FC6" w:rsidRPr="00B83435" w14:paraId="204A6737" w14:textId="77777777" w:rsidTr="00C057C9">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right w:val="single" w:sz="4" w:space="0" w:color="auto"/>
            </w:tcBorders>
          </w:tcPr>
          <w:p w14:paraId="62743CB9"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p>
        </w:tc>
      </w:tr>
      <w:tr w:rsidR="00922FC6" w:rsidRPr="00B83435" w14:paraId="32541F61" w14:textId="77777777" w:rsidTr="00C057C9">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right w:val="single" w:sz="4" w:space="0" w:color="auto"/>
            </w:tcBorders>
          </w:tcPr>
          <w:p w14:paraId="616672EF" w14:textId="77777777" w:rsidR="00922FC6" w:rsidRPr="00B83435" w:rsidRDefault="00922FC6" w:rsidP="00C057C9">
            <w:pPr>
              <w:textAlignment w:val="baseline"/>
              <w:rPr>
                <w:rFonts w:ascii="Arial Narrow" w:hAnsi="Arial Narrow" w:cs="Open Sans"/>
                <w:b/>
                <w:bCs/>
                <w:color w:val="333333"/>
                <w:sz w:val="20"/>
                <w:szCs w:val="20"/>
                <w:bdr w:val="none" w:sz="0" w:space="0" w:color="auto" w:frame="1"/>
              </w:rPr>
            </w:pPr>
          </w:p>
        </w:tc>
      </w:tr>
      <w:tr w:rsidR="00922FC6" w:rsidRPr="00B83435" w14:paraId="43456EB7" w14:textId="77777777" w:rsidTr="00C057C9">
        <w:trPr>
          <w:cantSplit/>
          <w:trHeight w:val="347"/>
        </w:trPr>
        <w:tc>
          <w:tcPr>
            <w:tcW w:w="5000" w:type="pct"/>
            <w:gridSpan w:val="8"/>
            <w:tcBorders>
              <w:top w:val="single" w:sz="4" w:space="0" w:color="auto"/>
              <w:left w:val="single" w:sz="4" w:space="0" w:color="auto"/>
              <w:bottom w:val="single" w:sz="4" w:space="0" w:color="auto"/>
              <w:right w:val="single" w:sz="4" w:space="0" w:color="auto"/>
            </w:tcBorders>
          </w:tcPr>
          <w:p w14:paraId="60449CEF" w14:textId="77777777" w:rsidR="00922FC6" w:rsidRPr="00B83435" w:rsidRDefault="00922FC6" w:rsidP="00C057C9">
            <w:pPr>
              <w:keepNext/>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Restriction Summary [12138] / Treatment of Concept: [12138]</w:t>
            </w:r>
          </w:p>
        </w:tc>
      </w:tr>
      <w:tr w:rsidR="00922FC6" w:rsidRPr="00B83435" w14:paraId="5BBC82EF" w14:textId="77777777" w:rsidTr="00C057C9">
        <w:tblPrEx>
          <w:tblCellMar>
            <w:top w:w="15" w:type="dxa"/>
            <w:left w:w="15" w:type="dxa"/>
            <w:bottom w:w="15" w:type="dxa"/>
            <w:right w:w="15" w:type="dxa"/>
          </w:tblCellMar>
        </w:tblPrEx>
        <w:trPr>
          <w:trHeight w:val="119"/>
        </w:trPr>
        <w:tc>
          <w:tcPr>
            <w:tcW w:w="606" w:type="pct"/>
            <w:gridSpan w:val="2"/>
            <w:vMerge w:val="restart"/>
            <w:tcBorders>
              <w:top w:val="single" w:sz="4" w:space="0" w:color="auto"/>
              <w:left w:val="single" w:sz="4" w:space="0" w:color="auto"/>
              <w:right w:val="single" w:sz="4" w:space="0" w:color="auto"/>
            </w:tcBorders>
          </w:tcPr>
          <w:p w14:paraId="59B53FEA" w14:textId="77777777" w:rsidR="00922FC6" w:rsidRPr="00B83435" w:rsidRDefault="00922FC6" w:rsidP="00C057C9">
            <w:pPr>
              <w:jc w:val="cente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Concept ID</w:t>
            </w:r>
          </w:p>
          <w:p w14:paraId="1961E142" w14:textId="77777777" w:rsidR="00922FC6" w:rsidRPr="00B83435" w:rsidRDefault="00922FC6" w:rsidP="00C057C9">
            <w:pPr>
              <w:jc w:val="center"/>
              <w:rPr>
                <w:rFonts w:ascii="Arial Narrow" w:eastAsia="Aptos" w:hAnsi="Arial Narrow"/>
                <w:kern w:val="2"/>
                <w:sz w:val="20"/>
                <w:szCs w:val="20"/>
                <w14:ligatures w14:val="standardContextual"/>
              </w:rPr>
            </w:pPr>
            <w:r w:rsidRPr="00B83435">
              <w:rPr>
                <w:rFonts w:ascii="Arial Narrow" w:eastAsia="Aptos" w:hAnsi="Arial Narrow"/>
                <w:kern w:val="2"/>
                <w:sz w:val="20"/>
                <w:szCs w:val="20"/>
                <w14:ligatures w14:val="standardContextual"/>
              </w:rPr>
              <w:t>(for internal Dept. use)</w:t>
            </w:r>
          </w:p>
        </w:tc>
        <w:tc>
          <w:tcPr>
            <w:tcW w:w="4394" w:type="pct"/>
            <w:gridSpan w:val="6"/>
            <w:tcBorders>
              <w:top w:val="single" w:sz="4" w:space="0" w:color="auto"/>
              <w:left w:val="single" w:sz="4" w:space="0" w:color="auto"/>
              <w:bottom w:val="single" w:sz="4" w:space="0" w:color="auto"/>
              <w:right w:val="single" w:sz="4" w:space="0" w:color="auto"/>
            </w:tcBorders>
          </w:tcPr>
          <w:p w14:paraId="5B0B4E02" w14:textId="77777777" w:rsidR="00922FC6" w:rsidRPr="00B83435" w:rsidRDefault="00922FC6" w:rsidP="00C057C9">
            <w:pPr>
              <w:rPr>
                <w:rFonts w:ascii="Arial Narrow" w:eastAsia="Aptos" w:hAnsi="Arial Narrow"/>
                <w:kern w:val="2"/>
                <w:sz w:val="20"/>
                <w:szCs w:val="20"/>
                <w14:ligatures w14:val="standardContextual"/>
              </w:rPr>
            </w:pPr>
            <w:r w:rsidRPr="00B83435">
              <w:rPr>
                <w:rFonts w:ascii="Arial Narrow" w:eastAsia="Aptos" w:hAnsi="Arial Narrow"/>
                <w:b/>
                <w:kern w:val="2"/>
                <w:sz w:val="20"/>
                <w:szCs w:val="20"/>
                <w14:ligatures w14:val="standardContextual"/>
              </w:rPr>
              <w:t xml:space="preserve">Category / Program: </w:t>
            </w:r>
            <w:r w:rsidRPr="00B83435">
              <w:rPr>
                <w:rFonts w:ascii="Arial Narrow" w:eastAsia="Calibri" w:hAnsi="Arial Narrow"/>
                <w:sz w:val="20"/>
                <w:szCs w:val="20"/>
              </w:rPr>
              <w:fldChar w:fldCharType="begin">
                <w:ffData>
                  <w:name w:val="Check1"/>
                  <w:enabled/>
                  <w:calcOnExit w:val="0"/>
                  <w:checkBox>
                    <w:sizeAuto/>
                    <w:default w:val="1"/>
                  </w:checkBox>
                </w:ffData>
              </w:fldChar>
            </w:r>
            <w:r w:rsidRPr="00B83435">
              <w:rPr>
                <w:rFonts w:ascii="Arial Narrow" w:eastAsia="Calibri" w:hAnsi="Arial Narrow"/>
                <w:sz w:val="20"/>
                <w:szCs w:val="20"/>
              </w:rPr>
              <w:instrText xml:space="preserve"> FORMCHECKBOX </w:instrText>
            </w:r>
            <w:r w:rsidRPr="00B83435">
              <w:rPr>
                <w:rFonts w:ascii="Arial Narrow" w:eastAsia="Calibri" w:hAnsi="Arial Narrow"/>
                <w:sz w:val="20"/>
                <w:szCs w:val="20"/>
              </w:rPr>
            </w:r>
            <w:r w:rsidRPr="00B83435">
              <w:rPr>
                <w:rFonts w:ascii="Arial Narrow" w:eastAsia="Calibri" w:hAnsi="Arial Narrow"/>
                <w:sz w:val="20"/>
                <w:szCs w:val="20"/>
              </w:rPr>
              <w:fldChar w:fldCharType="separate"/>
            </w:r>
            <w:r w:rsidRPr="00B83435">
              <w:rPr>
                <w:rFonts w:ascii="Arial Narrow" w:eastAsia="Calibri" w:hAnsi="Arial Narrow"/>
                <w:sz w:val="20"/>
                <w:szCs w:val="20"/>
              </w:rPr>
              <w:fldChar w:fldCharType="end"/>
            </w:r>
            <w:r w:rsidRPr="00B83435">
              <w:rPr>
                <w:rFonts w:ascii="Arial Narrow" w:eastAsia="Calibri" w:hAnsi="Arial Narrow"/>
                <w:sz w:val="20"/>
                <w:szCs w:val="20"/>
              </w:rPr>
              <w:t xml:space="preserve"> GENERAL - General Schedule (Code GE)</w:t>
            </w:r>
          </w:p>
        </w:tc>
      </w:tr>
      <w:tr w:rsidR="00922FC6" w:rsidRPr="00B83435" w14:paraId="720693AA" w14:textId="77777777" w:rsidTr="00C057C9">
        <w:tblPrEx>
          <w:tblCellMar>
            <w:top w:w="15" w:type="dxa"/>
            <w:left w:w="15" w:type="dxa"/>
            <w:bottom w:w="15" w:type="dxa"/>
            <w:right w:w="15" w:type="dxa"/>
          </w:tblCellMar>
        </w:tblPrEx>
        <w:trPr>
          <w:trHeight w:val="240"/>
        </w:trPr>
        <w:tc>
          <w:tcPr>
            <w:tcW w:w="606" w:type="pct"/>
            <w:gridSpan w:val="2"/>
            <w:vMerge/>
            <w:tcBorders>
              <w:left w:val="single" w:sz="4" w:space="0" w:color="auto"/>
              <w:right w:val="single" w:sz="4" w:space="0" w:color="auto"/>
            </w:tcBorders>
          </w:tcPr>
          <w:p w14:paraId="69F7ED5A" w14:textId="77777777" w:rsidR="00922FC6" w:rsidRPr="00B83435" w:rsidRDefault="00922FC6" w:rsidP="00C057C9">
            <w:pPr>
              <w:rPr>
                <w:rFonts w:ascii="Arial Narrow" w:eastAsia="Aptos" w:hAnsi="Arial Narrow"/>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6759906D" w14:textId="77777777" w:rsidR="00922FC6" w:rsidRPr="00B83435" w:rsidRDefault="00922FC6" w:rsidP="00C057C9">
            <w:pPr>
              <w:rPr>
                <w:rFonts w:ascii="Arial Narrow" w:eastAsia="Aptos" w:hAnsi="Arial Narrow"/>
                <w:b/>
                <w:kern w:val="2"/>
                <w:sz w:val="20"/>
                <w:szCs w:val="20"/>
                <w14:ligatures w14:val="standardContextual"/>
              </w:rPr>
            </w:pPr>
            <w:r w:rsidRPr="00B83435">
              <w:rPr>
                <w:rFonts w:ascii="Arial Narrow" w:eastAsia="Aptos" w:hAnsi="Arial Narrow"/>
                <w:b/>
                <w:kern w:val="2"/>
                <w:sz w:val="20"/>
                <w:szCs w:val="20"/>
                <w14:ligatures w14:val="standardContextual"/>
              </w:rPr>
              <w:t>Prescriber type:</w:t>
            </w:r>
            <w:r w:rsidRPr="00B83435">
              <w:rPr>
                <w:rFonts w:ascii="Arial Narrow" w:eastAsia="Aptos" w:hAnsi="Arial Narrow"/>
                <w:kern w:val="2"/>
                <w:sz w:val="20"/>
                <w:szCs w:val="20"/>
                <w14:ligatures w14:val="standardContextual"/>
              </w:rPr>
              <w:t xml:space="preserve"> </w:t>
            </w:r>
            <w:r w:rsidRPr="00B83435">
              <w:rPr>
                <w:rFonts w:ascii="Arial Narrow" w:eastAsia="Aptos" w:hAnsi="Arial Narrow"/>
                <w:kern w:val="2"/>
                <w:sz w:val="20"/>
                <w:szCs w:val="20"/>
                <w14:ligatures w14:val="standardContextual"/>
              </w:rPr>
              <w:fldChar w:fldCharType="begin">
                <w:ffData>
                  <w:name w:val=""/>
                  <w:enabled/>
                  <w:calcOnExit w:val="0"/>
                  <w:checkBox>
                    <w:sizeAuto/>
                    <w:default w:val="1"/>
                  </w:checkBox>
                </w:ffData>
              </w:fldChar>
            </w:r>
            <w:r w:rsidRPr="00B83435">
              <w:rPr>
                <w:rFonts w:ascii="Arial Narrow" w:eastAsia="Aptos" w:hAnsi="Arial Narrow"/>
                <w:kern w:val="2"/>
                <w:sz w:val="20"/>
                <w:szCs w:val="20"/>
                <w14:ligatures w14:val="standardContextual"/>
              </w:rPr>
              <w:instrText xml:space="preserve"> FORMCHECKBOX </w:instrText>
            </w:r>
            <w:r w:rsidRPr="00B83435">
              <w:rPr>
                <w:rFonts w:ascii="Arial Narrow" w:eastAsia="Aptos" w:hAnsi="Arial Narrow"/>
                <w:kern w:val="2"/>
                <w:sz w:val="20"/>
                <w:szCs w:val="20"/>
                <w14:ligatures w14:val="standardContextual"/>
              </w:rPr>
            </w:r>
            <w:r w:rsidRPr="00B83435">
              <w:rPr>
                <w:rFonts w:ascii="Arial Narrow" w:eastAsia="Aptos" w:hAnsi="Arial Narrow"/>
                <w:kern w:val="2"/>
                <w:sz w:val="20"/>
                <w:szCs w:val="20"/>
                <w14:ligatures w14:val="standardContextual"/>
              </w:rPr>
              <w:fldChar w:fldCharType="separate"/>
            </w:r>
            <w:r w:rsidRPr="00B83435">
              <w:rPr>
                <w:rFonts w:ascii="Arial Narrow" w:eastAsia="Aptos" w:hAnsi="Arial Narrow"/>
                <w:kern w:val="2"/>
                <w:sz w:val="20"/>
                <w:szCs w:val="20"/>
                <w14:ligatures w14:val="standardContextual"/>
              </w:rPr>
              <w:fldChar w:fldCharType="end"/>
            </w:r>
            <w:r w:rsidRPr="00B83435">
              <w:rPr>
                <w:rFonts w:ascii="Arial Narrow" w:eastAsia="Aptos" w:hAnsi="Arial Narrow"/>
                <w:kern w:val="2"/>
                <w:sz w:val="20"/>
                <w:szCs w:val="20"/>
                <w14:ligatures w14:val="standardContextual"/>
              </w:rPr>
              <w:t xml:space="preserve"> Medical Practitioners </w:t>
            </w:r>
            <w:r w:rsidRPr="00B83435">
              <w:rPr>
                <w:rFonts w:ascii="Arial Narrow" w:hAnsi="Arial Narrow"/>
                <w:i/>
                <w:iCs/>
                <w:sz w:val="20"/>
                <w:szCs w:val="20"/>
              </w:rPr>
              <w:fldChar w:fldCharType="begin">
                <w:ffData>
                  <w:name w:val=""/>
                  <w:enabled/>
                  <w:calcOnExit w:val="0"/>
                  <w:checkBox>
                    <w:sizeAuto/>
                    <w:default w:val="1"/>
                  </w:checkBox>
                </w:ffData>
              </w:fldChar>
            </w:r>
            <w:r w:rsidRPr="00B83435">
              <w:rPr>
                <w:rFonts w:ascii="Arial Narrow" w:hAnsi="Arial Narrow"/>
                <w:i/>
                <w:iCs/>
                <w:sz w:val="20"/>
                <w:szCs w:val="20"/>
              </w:rPr>
              <w:instrText xml:space="preserve"> FORMCHECKBOX </w:instrText>
            </w:r>
            <w:r w:rsidRPr="00B83435">
              <w:rPr>
                <w:rFonts w:ascii="Arial Narrow" w:hAnsi="Arial Narrow"/>
                <w:i/>
                <w:iCs/>
                <w:sz w:val="20"/>
                <w:szCs w:val="20"/>
              </w:rPr>
            </w:r>
            <w:r w:rsidRPr="00B83435">
              <w:rPr>
                <w:rFonts w:ascii="Arial Narrow" w:hAnsi="Arial Narrow"/>
                <w:i/>
                <w:iCs/>
                <w:sz w:val="20"/>
                <w:szCs w:val="20"/>
              </w:rPr>
              <w:fldChar w:fldCharType="separate"/>
            </w:r>
            <w:r w:rsidRPr="00B83435">
              <w:rPr>
                <w:rFonts w:ascii="Arial Narrow" w:hAnsi="Arial Narrow"/>
                <w:i/>
                <w:iCs/>
                <w:sz w:val="20"/>
                <w:szCs w:val="20"/>
              </w:rPr>
              <w:fldChar w:fldCharType="end"/>
            </w:r>
            <w:r w:rsidRPr="00B83435">
              <w:rPr>
                <w:rFonts w:ascii="Arial Narrow" w:hAnsi="Arial Narrow"/>
                <w:i/>
                <w:iCs/>
                <w:sz w:val="20"/>
                <w:szCs w:val="20"/>
              </w:rPr>
              <w:t xml:space="preserve"> Nurse Practitioners</w:t>
            </w:r>
          </w:p>
        </w:tc>
      </w:tr>
      <w:tr w:rsidR="00922FC6" w:rsidRPr="00B83435" w14:paraId="67A9CF89" w14:textId="77777777" w:rsidTr="00C057C9">
        <w:tblPrEx>
          <w:tblCellMar>
            <w:top w:w="15" w:type="dxa"/>
            <w:left w:w="15" w:type="dxa"/>
            <w:bottom w:w="15" w:type="dxa"/>
            <w:right w:w="15" w:type="dxa"/>
          </w:tblCellMar>
        </w:tblPrEx>
        <w:tc>
          <w:tcPr>
            <w:tcW w:w="606" w:type="pct"/>
            <w:gridSpan w:val="2"/>
            <w:vMerge/>
            <w:tcBorders>
              <w:left w:val="single" w:sz="4" w:space="0" w:color="auto"/>
              <w:right w:val="single" w:sz="4" w:space="0" w:color="auto"/>
            </w:tcBorders>
          </w:tcPr>
          <w:p w14:paraId="015BDA72" w14:textId="77777777" w:rsidR="00922FC6" w:rsidRPr="00B83435" w:rsidRDefault="00922FC6" w:rsidP="00C057C9">
            <w:pPr>
              <w:rPr>
                <w:rFonts w:ascii="Arial Narrow" w:eastAsia="Aptos" w:hAnsi="Arial Narrow"/>
                <w:kern w:val="2"/>
                <w:sz w:val="20"/>
                <w:szCs w:val="20"/>
                <w14:ligatures w14:val="standardContextual"/>
              </w:rPr>
            </w:pPr>
          </w:p>
        </w:tc>
        <w:tc>
          <w:tcPr>
            <w:tcW w:w="4394" w:type="pct"/>
            <w:gridSpan w:val="6"/>
            <w:tcBorders>
              <w:top w:val="single" w:sz="4" w:space="0" w:color="auto"/>
              <w:left w:val="single" w:sz="4" w:space="0" w:color="auto"/>
              <w:bottom w:val="single" w:sz="4" w:space="0" w:color="auto"/>
              <w:right w:val="single" w:sz="4" w:space="0" w:color="auto"/>
            </w:tcBorders>
          </w:tcPr>
          <w:p w14:paraId="3BD7FA4A" w14:textId="77777777" w:rsidR="00922FC6" w:rsidRPr="00B83435" w:rsidRDefault="00922FC6" w:rsidP="00C057C9">
            <w:pPr>
              <w:rPr>
                <w:rFonts w:ascii="Arial Narrow" w:eastAsia="Calibri" w:hAnsi="Arial Narrow"/>
                <w:color w:val="FF00FF"/>
                <w:kern w:val="2"/>
                <w:sz w:val="20"/>
                <w:szCs w:val="20"/>
                <w14:ligatures w14:val="standardContextual"/>
              </w:rPr>
            </w:pPr>
            <w:r w:rsidRPr="00B83435">
              <w:rPr>
                <w:rFonts w:ascii="Arial Narrow" w:eastAsia="Aptos" w:hAnsi="Arial Narrow"/>
                <w:b/>
                <w:kern w:val="2"/>
                <w:sz w:val="20"/>
                <w:szCs w:val="20"/>
                <w14:ligatures w14:val="standardContextual"/>
              </w:rPr>
              <w:t xml:space="preserve">Restriction type: </w:t>
            </w:r>
            <w:r w:rsidRPr="00B83435">
              <w:rPr>
                <w:rFonts w:ascii="Arial Narrow" w:eastAsia="Calibri" w:hAnsi="Arial Narrow"/>
                <w:kern w:val="2"/>
                <w:sz w:val="20"/>
                <w:szCs w:val="20"/>
                <w14:ligatures w14:val="standardContextual"/>
              </w:rPr>
              <w:fldChar w:fldCharType="begin">
                <w:ffData>
                  <w:name w:val=""/>
                  <w:enabled/>
                  <w:calcOnExit w:val="0"/>
                  <w:checkBox>
                    <w:sizeAuto/>
                    <w:default w:val="1"/>
                  </w:checkBox>
                </w:ffData>
              </w:fldChar>
            </w:r>
            <w:r w:rsidRPr="00B83435">
              <w:rPr>
                <w:rFonts w:ascii="Arial Narrow" w:eastAsia="Calibri" w:hAnsi="Arial Narrow"/>
                <w:kern w:val="2"/>
                <w:sz w:val="20"/>
                <w:szCs w:val="20"/>
                <w14:ligatures w14:val="standardContextual"/>
              </w:rPr>
              <w:instrText xml:space="preserve"> FORMCHECKBOX </w:instrText>
            </w:r>
            <w:r w:rsidRPr="00B83435">
              <w:rPr>
                <w:rFonts w:ascii="Arial Narrow" w:eastAsia="Calibri" w:hAnsi="Arial Narrow"/>
                <w:kern w:val="2"/>
                <w:sz w:val="20"/>
                <w:szCs w:val="20"/>
                <w14:ligatures w14:val="standardContextual"/>
              </w:rPr>
            </w:r>
            <w:r w:rsidRPr="00B83435">
              <w:rPr>
                <w:rFonts w:ascii="Arial Narrow" w:eastAsia="Calibri" w:hAnsi="Arial Narrow"/>
                <w:kern w:val="2"/>
                <w:sz w:val="20"/>
                <w:szCs w:val="20"/>
                <w14:ligatures w14:val="standardContextual"/>
              </w:rPr>
              <w:fldChar w:fldCharType="separate"/>
            </w:r>
            <w:r w:rsidRPr="00B83435">
              <w:rPr>
                <w:rFonts w:ascii="Arial Narrow" w:eastAsia="Calibri" w:hAnsi="Arial Narrow"/>
                <w:kern w:val="2"/>
                <w:sz w:val="20"/>
                <w:szCs w:val="20"/>
                <w14:ligatures w14:val="standardContextual"/>
              </w:rPr>
              <w:fldChar w:fldCharType="end"/>
            </w:r>
            <w:r w:rsidRPr="00B83435">
              <w:rPr>
                <w:rFonts w:ascii="Arial Narrow" w:eastAsia="Calibri" w:hAnsi="Arial Narrow"/>
                <w:kern w:val="2"/>
                <w:sz w:val="20"/>
                <w:szCs w:val="20"/>
                <w14:ligatures w14:val="standardContextual"/>
              </w:rPr>
              <w:t xml:space="preserve"> Authority Required: Streamlined</w:t>
            </w:r>
          </w:p>
        </w:tc>
      </w:tr>
    </w:tbl>
    <w:tbl>
      <w:tblPr>
        <w:tblStyle w:val="TableGrid"/>
        <w:tblW w:w="4995" w:type="pct"/>
        <w:tblInd w:w="5" w:type="dxa"/>
        <w:tblLayout w:type="fixed"/>
        <w:tblLook w:val="0000" w:firstRow="0" w:lastRow="0" w:firstColumn="0" w:lastColumn="0" w:noHBand="0" w:noVBand="0"/>
      </w:tblPr>
      <w:tblGrid>
        <w:gridCol w:w="350"/>
        <w:gridCol w:w="720"/>
        <w:gridCol w:w="7938"/>
      </w:tblGrid>
      <w:tr w:rsidR="00922FC6" w:rsidRPr="00B83435" w14:paraId="13F8E8A0" w14:textId="77777777" w:rsidTr="00237ABE">
        <w:trPr>
          <w:trHeight w:val="386"/>
        </w:trPr>
        <w:tc>
          <w:tcPr>
            <w:tcW w:w="350" w:type="dxa"/>
            <w:vMerge w:val="restart"/>
            <w:textDirection w:val="btLr"/>
          </w:tcPr>
          <w:p w14:paraId="788B9A3A" w14:textId="77777777" w:rsidR="00922FC6" w:rsidRPr="00B83435" w:rsidRDefault="00922FC6" w:rsidP="00C057C9">
            <w:pPr>
              <w:jc w:val="center"/>
              <w:rPr>
                <w:rFonts w:ascii="Arial Narrow" w:hAnsi="Arial Narrow"/>
                <w:sz w:val="20"/>
                <w:szCs w:val="20"/>
              </w:rPr>
            </w:pPr>
            <w:r w:rsidRPr="00B83435">
              <w:rPr>
                <w:rFonts w:ascii="Arial Narrow" w:hAnsi="Arial Narrow"/>
                <w:sz w:val="20"/>
                <w:szCs w:val="20"/>
              </w:rPr>
              <w:t>Prescribing rule level</w:t>
            </w:r>
          </w:p>
        </w:tc>
        <w:tc>
          <w:tcPr>
            <w:tcW w:w="720" w:type="dxa"/>
          </w:tcPr>
          <w:p w14:paraId="1EA88CA6" w14:textId="4711F431" w:rsidR="00922FC6" w:rsidRPr="00B83435" w:rsidRDefault="00922FC6" w:rsidP="00C057C9">
            <w:pPr>
              <w:jc w:val="center"/>
              <w:rPr>
                <w:rFonts w:ascii="Arial Narrow" w:hAnsi="Arial Narrow" w:cs="Open Sans"/>
                <w:i/>
                <w:iCs/>
                <w:color w:val="333333"/>
                <w:sz w:val="20"/>
                <w:szCs w:val="20"/>
              </w:rPr>
            </w:pPr>
          </w:p>
        </w:tc>
        <w:tc>
          <w:tcPr>
            <w:tcW w:w="7937" w:type="dxa"/>
          </w:tcPr>
          <w:p w14:paraId="43286D3C" w14:textId="77777777" w:rsidR="00922FC6" w:rsidRPr="00B83435" w:rsidRDefault="00922FC6" w:rsidP="00237ABE">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Caution:</w:t>
            </w:r>
          </w:p>
          <w:p w14:paraId="00F361BB" w14:textId="77777777" w:rsidR="00922FC6" w:rsidRPr="00B83435" w:rsidRDefault="00922FC6" w:rsidP="00C057C9">
            <w:pPr>
              <w:pStyle w:val="NormalWeb"/>
              <w:spacing w:before="0" w:after="0"/>
              <w:textAlignment w:val="baseline"/>
              <w:rPr>
                <w:rStyle w:val="Strong"/>
                <w:rFonts w:ascii="Arial Narrow" w:eastAsiaTheme="majorEastAsia" w:hAnsi="Arial Narrow" w:cs="Open Sans"/>
                <w:i/>
                <w:iCs/>
                <w:color w:val="333333"/>
                <w:sz w:val="20"/>
                <w:szCs w:val="20"/>
                <w:bdr w:val="none" w:sz="0" w:space="0" w:color="auto" w:frame="1"/>
              </w:rPr>
            </w:pPr>
            <w:r w:rsidRPr="00B83435">
              <w:rPr>
                <w:rFonts w:ascii="Arial Narrow" w:hAnsi="Arial Narrow" w:cs="Open Sans"/>
                <w:i/>
                <w:iCs/>
                <w:color w:val="333333"/>
                <w:sz w:val="20"/>
                <w:szCs w:val="20"/>
              </w:rPr>
              <w:t>Hepatic decompensation and failure, in some cases fatal, have been reported in post-marketing reports in patients with moderate to severe hepatic impairment when dosed incorrectly.</w:t>
            </w:r>
          </w:p>
        </w:tc>
      </w:tr>
      <w:tr w:rsidR="00922FC6" w:rsidRPr="00B83435" w14:paraId="3C10657F" w14:textId="77777777" w:rsidTr="00C057C9">
        <w:trPr>
          <w:trHeight w:val="20"/>
        </w:trPr>
        <w:tc>
          <w:tcPr>
            <w:tcW w:w="350" w:type="dxa"/>
            <w:vMerge/>
            <w:textDirection w:val="btLr"/>
          </w:tcPr>
          <w:p w14:paraId="4F01039D" w14:textId="77777777" w:rsidR="00922FC6" w:rsidRPr="00B83435" w:rsidRDefault="00922FC6" w:rsidP="00C057C9">
            <w:pPr>
              <w:jc w:val="center"/>
              <w:rPr>
                <w:rFonts w:ascii="Arial Narrow" w:hAnsi="Arial Narrow"/>
                <w:sz w:val="20"/>
                <w:szCs w:val="20"/>
              </w:rPr>
            </w:pPr>
          </w:p>
        </w:tc>
        <w:tc>
          <w:tcPr>
            <w:tcW w:w="720" w:type="dxa"/>
          </w:tcPr>
          <w:p w14:paraId="74F479EF" w14:textId="16D1DF9C" w:rsidR="00922FC6" w:rsidRPr="00B83435" w:rsidRDefault="00922FC6" w:rsidP="00C057C9">
            <w:pPr>
              <w:jc w:val="center"/>
              <w:rPr>
                <w:rFonts w:ascii="Arial Narrow" w:hAnsi="Arial Narrow" w:cs="Open Sans"/>
                <w:i/>
                <w:iCs/>
                <w:strike/>
                <w:color w:val="333333"/>
                <w:sz w:val="20"/>
                <w:szCs w:val="20"/>
              </w:rPr>
            </w:pPr>
          </w:p>
        </w:tc>
        <w:tc>
          <w:tcPr>
            <w:tcW w:w="7937" w:type="dxa"/>
          </w:tcPr>
          <w:p w14:paraId="61F6AA87"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4EF8DBAD" w14:textId="77777777" w:rsidR="00922FC6" w:rsidRPr="00B83435" w:rsidRDefault="00922FC6" w:rsidP="00C057C9">
            <w:pPr>
              <w:pStyle w:val="NormalWeb"/>
              <w:spacing w:before="0" w:after="0"/>
              <w:textAlignment w:val="baseline"/>
              <w:rPr>
                <w:rStyle w:val="Strong"/>
                <w:rFonts w:ascii="Arial Narrow" w:eastAsiaTheme="majorEastAsia" w:hAnsi="Arial Narrow" w:cs="Open Sans"/>
                <w:i/>
                <w:iCs/>
                <w:color w:val="333333"/>
                <w:sz w:val="20"/>
                <w:szCs w:val="20"/>
                <w:bdr w:val="none" w:sz="0" w:space="0" w:color="auto" w:frame="1"/>
              </w:rPr>
            </w:pPr>
            <w:r w:rsidRPr="00B83435">
              <w:rPr>
                <w:rFonts w:ascii="Arial Narrow" w:hAnsi="Arial Narrow" w:cs="Open Sans"/>
                <w:i/>
                <w:iCs/>
                <w:color w:val="333333"/>
                <w:sz w:val="20"/>
                <w:szCs w:val="20"/>
              </w:rPr>
              <w:t>Not for use in the treatment of sclerosing cholangitis.</w:t>
            </w:r>
          </w:p>
        </w:tc>
      </w:tr>
      <w:tr w:rsidR="00922FC6" w:rsidRPr="00B83435" w14:paraId="0594C707" w14:textId="77777777" w:rsidTr="00C057C9">
        <w:trPr>
          <w:trHeight w:val="20"/>
        </w:trPr>
        <w:tc>
          <w:tcPr>
            <w:tcW w:w="350" w:type="dxa"/>
            <w:vMerge/>
            <w:textDirection w:val="btLr"/>
          </w:tcPr>
          <w:p w14:paraId="5C129752" w14:textId="77777777" w:rsidR="00922FC6" w:rsidRPr="00B83435" w:rsidRDefault="00922FC6" w:rsidP="00C057C9">
            <w:pPr>
              <w:jc w:val="center"/>
              <w:rPr>
                <w:rFonts w:ascii="Arial Narrow" w:hAnsi="Arial Narrow"/>
                <w:sz w:val="20"/>
                <w:szCs w:val="20"/>
              </w:rPr>
            </w:pPr>
          </w:p>
        </w:tc>
        <w:tc>
          <w:tcPr>
            <w:tcW w:w="720" w:type="dxa"/>
          </w:tcPr>
          <w:p w14:paraId="50440AFE" w14:textId="0C7C150E" w:rsidR="00922FC6" w:rsidRPr="00B83435" w:rsidRDefault="00922FC6" w:rsidP="00C057C9">
            <w:pPr>
              <w:jc w:val="center"/>
              <w:rPr>
                <w:rFonts w:ascii="Arial Narrow" w:hAnsi="Arial Narrow" w:cs="Open Sans"/>
                <w:i/>
                <w:iCs/>
                <w:color w:val="333333"/>
                <w:sz w:val="20"/>
                <w:szCs w:val="20"/>
              </w:rPr>
            </w:pPr>
          </w:p>
        </w:tc>
        <w:tc>
          <w:tcPr>
            <w:tcW w:w="7937" w:type="dxa"/>
          </w:tcPr>
          <w:p w14:paraId="5D6682D2" w14:textId="77777777" w:rsidR="00922FC6" w:rsidRPr="00B83435" w:rsidRDefault="00922FC6" w:rsidP="00C057C9">
            <w:pPr>
              <w:pStyle w:val="NormalWeb"/>
              <w:spacing w:before="0" w:after="0"/>
              <w:rPr>
                <w:rFonts w:ascii="Arial Narrow" w:eastAsiaTheme="majorEastAsia" w:hAnsi="Arial Narrow" w:cs="Open Sans"/>
                <w:b/>
                <w:i/>
                <w:iCs/>
                <w:color w:val="333333"/>
                <w:sz w:val="20"/>
                <w:szCs w:val="20"/>
                <w:bdr w:val="none" w:sz="0" w:space="0" w:color="auto" w:frame="1"/>
              </w:rPr>
            </w:pPr>
            <w:r w:rsidRPr="00B83435">
              <w:rPr>
                <w:rFonts w:ascii="Arial Narrow" w:eastAsiaTheme="majorEastAsia" w:hAnsi="Arial Narrow" w:cs="Open Sans"/>
                <w:b/>
                <w:i/>
                <w:iCs/>
                <w:color w:val="333333"/>
                <w:sz w:val="20"/>
                <w:szCs w:val="20"/>
                <w:bdr w:val="none" w:sz="0" w:space="0" w:color="auto" w:frame="1"/>
              </w:rPr>
              <w:t>Administrative Advice:</w:t>
            </w:r>
          </w:p>
          <w:p w14:paraId="40B5963E" w14:textId="77777777" w:rsidR="00922FC6" w:rsidRPr="00B83435" w:rsidRDefault="00922FC6" w:rsidP="00C057C9">
            <w:pPr>
              <w:pStyle w:val="NormalWeb"/>
              <w:spacing w:before="0" w:after="0"/>
              <w:rPr>
                <w:rFonts w:ascii="Arial Narrow" w:eastAsiaTheme="majorEastAsia" w:hAnsi="Arial Narrow" w:cs="Open Sans"/>
                <w:b/>
                <w:i/>
                <w:iCs/>
                <w:color w:val="333333"/>
                <w:sz w:val="20"/>
                <w:szCs w:val="20"/>
                <w:bdr w:val="none" w:sz="0" w:space="0" w:color="auto" w:frame="1"/>
              </w:rPr>
            </w:pPr>
            <w:r w:rsidRPr="00B83435">
              <w:rPr>
                <w:rFonts w:ascii="Arial Narrow" w:eastAsiaTheme="majorEastAsia" w:hAnsi="Arial Narrow" w:cs="Open Sans"/>
                <w:b/>
                <w:i/>
                <w:iCs/>
                <w:color w:val="333333"/>
                <w:sz w:val="20"/>
                <w:szCs w:val="20"/>
                <w:bdr w:val="none" w:sz="0" w:space="0" w:color="auto" w:frame="1"/>
              </w:rPr>
              <w:t>Continuing Therapy Only:</w:t>
            </w:r>
          </w:p>
          <w:p w14:paraId="1151AE34" w14:textId="77777777" w:rsidR="00922FC6" w:rsidRPr="00B83435" w:rsidRDefault="00922FC6" w:rsidP="00C057C9">
            <w:pPr>
              <w:pStyle w:val="NormalWeb"/>
              <w:spacing w:before="0" w:after="0"/>
              <w:rPr>
                <w:rStyle w:val="Strong"/>
                <w:rFonts w:ascii="Arial Narrow" w:eastAsiaTheme="majorEastAsia" w:hAnsi="Arial Narrow" w:cs="Open Sans"/>
                <w:i/>
                <w:iCs/>
                <w:color w:val="333333"/>
                <w:sz w:val="20"/>
                <w:szCs w:val="20"/>
                <w:bdr w:val="none" w:sz="0" w:space="0" w:color="auto" w:frame="1"/>
              </w:rPr>
            </w:pPr>
            <w:r w:rsidRPr="00B83435">
              <w:rPr>
                <w:rFonts w:ascii="Arial Narrow" w:eastAsiaTheme="majorEastAsia" w:hAnsi="Arial Narrow" w:cs="Open Sans"/>
                <w:i/>
                <w:iCs/>
                <w:color w:val="333333"/>
                <w:sz w:val="20"/>
                <w:szCs w:val="20"/>
                <w:bdr w:val="none" w:sz="0" w:space="0" w:color="auto" w:frame="1"/>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22FC6" w:rsidRPr="00B83435" w14:paraId="1DD70BBC" w14:textId="77777777" w:rsidTr="00C057C9">
        <w:trPr>
          <w:trHeight w:val="20"/>
        </w:trPr>
        <w:tc>
          <w:tcPr>
            <w:tcW w:w="350" w:type="dxa"/>
            <w:vMerge/>
            <w:textDirection w:val="btLr"/>
          </w:tcPr>
          <w:p w14:paraId="37A40B9E" w14:textId="77777777" w:rsidR="00922FC6" w:rsidRPr="00B83435" w:rsidRDefault="00922FC6" w:rsidP="00C057C9">
            <w:pPr>
              <w:jc w:val="center"/>
              <w:rPr>
                <w:rFonts w:ascii="Arial Narrow" w:hAnsi="Arial Narrow"/>
                <w:sz w:val="20"/>
                <w:szCs w:val="20"/>
              </w:rPr>
            </w:pPr>
          </w:p>
        </w:tc>
        <w:tc>
          <w:tcPr>
            <w:tcW w:w="720" w:type="dxa"/>
          </w:tcPr>
          <w:p w14:paraId="2B5E8F75" w14:textId="0F40621A" w:rsidR="00922FC6" w:rsidRPr="00B83435" w:rsidRDefault="00922FC6" w:rsidP="00C057C9">
            <w:pPr>
              <w:jc w:val="center"/>
              <w:rPr>
                <w:rFonts w:ascii="Arial Narrow" w:hAnsi="Arial Narrow"/>
                <w:i/>
                <w:iCs/>
                <w:color w:val="333333"/>
                <w:sz w:val="20"/>
                <w:szCs w:val="20"/>
              </w:rPr>
            </w:pPr>
          </w:p>
        </w:tc>
        <w:tc>
          <w:tcPr>
            <w:tcW w:w="7937" w:type="dxa"/>
          </w:tcPr>
          <w:p w14:paraId="65B233EC"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007EDC53" w14:textId="77777777" w:rsidR="00922FC6" w:rsidRPr="00B83435" w:rsidRDefault="00922FC6" w:rsidP="00C057C9">
            <w:pPr>
              <w:rPr>
                <w:rFonts w:ascii="Arial Narrow" w:hAnsi="Arial Narrow"/>
                <w:i/>
                <w:iCs/>
                <w:color w:val="333333"/>
                <w:sz w:val="20"/>
                <w:szCs w:val="20"/>
              </w:rPr>
            </w:pPr>
            <w:r w:rsidRPr="00B83435">
              <w:rPr>
                <w:rFonts w:ascii="Arial Narrow" w:hAnsi="Arial Narrow" w:cs="Open Sans"/>
                <w:i/>
                <w:iCs/>
                <w:color w:val="333333"/>
                <w:sz w:val="20"/>
                <w:szCs w:val="20"/>
              </w:rPr>
              <w:t>No increase in the maximum quantity or number of units may be authorised.</w:t>
            </w:r>
          </w:p>
        </w:tc>
      </w:tr>
      <w:tr w:rsidR="00922FC6" w:rsidRPr="00B83435" w14:paraId="29FD5DFE" w14:textId="77777777" w:rsidTr="00C057C9">
        <w:trPr>
          <w:trHeight w:val="20"/>
        </w:trPr>
        <w:tc>
          <w:tcPr>
            <w:tcW w:w="350" w:type="dxa"/>
            <w:vMerge/>
          </w:tcPr>
          <w:p w14:paraId="5DE9EBE2" w14:textId="77777777" w:rsidR="00922FC6" w:rsidRPr="00B83435" w:rsidRDefault="00922FC6" w:rsidP="00C057C9">
            <w:pPr>
              <w:rPr>
                <w:rFonts w:ascii="Arial Narrow" w:hAnsi="Arial Narrow"/>
                <w:sz w:val="20"/>
                <w:szCs w:val="20"/>
              </w:rPr>
            </w:pPr>
          </w:p>
        </w:tc>
        <w:tc>
          <w:tcPr>
            <w:tcW w:w="720" w:type="dxa"/>
          </w:tcPr>
          <w:p w14:paraId="720B3878" w14:textId="340032C6" w:rsidR="00922FC6" w:rsidRPr="00B83435" w:rsidRDefault="00922FC6" w:rsidP="00C057C9">
            <w:pPr>
              <w:jc w:val="center"/>
              <w:rPr>
                <w:rFonts w:ascii="Arial Narrow" w:hAnsi="Arial Narrow"/>
                <w:i/>
                <w:iCs/>
                <w:color w:val="333333"/>
                <w:sz w:val="20"/>
                <w:szCs w:val="20"/>
              </w:rPr>
            </w:pPr>
          </w:p>
        </w:tc>
        <w:tc>
          <w:tcPr>
            <w:tcW w:w="7937" w:type="dxa"/>
          </w:tcPr>
          <w:p w14:paraId="33824363"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2760071B" w14:textId="77777777" w:rsidR="00922FC6" w:rsidRPr="00B83435" w:rsidRDefault="00922FC6" w:rsidP="00C057C9">
            <w:pPr>
              <w:rPr>
                <w:rFonts w:ascii="Arial Narrow" w:hAnsi="Arial Narrow"/>
                <w:b/>
                <w:i/>
                <w:iCs/>
                <w:color w:val="333333"/>
                <w:sz w:val="20"/>
                <w:szCs w:val="20"/>
              </w:rPr>
            </w:pPr>
            <w:r w:rsidRPr="00B83435">
              <w:rPr>
                <w:rFonts w:ascii="Arial Narrow" w:hAnsi="Arial Narrow" w:cs="Open Sans"/>
                <w:i/>
                <w:iCs/>
                <w:color w:val="333333"/>
                <w:sz w:val="20"/>
                <w:szCs w:val="20"/>
              </w:rPr>
              <w:t>No increase in the maximum number of repeats may be authorised.</w:t>
            </w:r>
          </w:p>
        </w:tc>
      </w:tr>
    </w:tbl>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7943"/>
      </w:tblGrid>
      <w:tr w:rsidR="00922FC6" w:rsidRPr="001565DB" w14:paraId="13BA1C5B" w14:textId="77777777" w:rsidTr="00C057C9">
        <w:tc>
          <w:tcPr>
            <w:tcW w:w="606" w:type="pct"/>
            <w:tcBorders>
              <w:left w:val="single" w:sz="4" w:space="0" w:color="auto"/>
              <w:right w:val="single" w:sz="4" w:space="0" w:color="auto"/>
            </w:tcBorders>
          </w:tcPr>
          <w:p w14:paraId="780BA22D" w14:textId="06A899AB"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1598E6F"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Indication:</w:t>
            </w:r>
            <w:r>
              <w:rPr>
                <w:rFonts w:ascii="Arial Narrow" w:hAnsi="Arial Narrow" w:cs="Open Sans"/>
                <w:b/>
                <w:bCs/>
                <w:color w:val="333333"/>
                <w:sz w:val="20"/>
                <w:szCs w:val="20"/>
                <w:bdr w:val="none" w:sz="0" w:space="0" w:color="auto" w:frame="1"/>
              </w:rPr>
              <w:t xml:space="preserve"> </w:t>
            </w:r>
            <w:r w:rsidRPr="001565DB">
              <w:rPr>
                <w:rFonts w:ascii="Arial Narrow" w:hAnsi="Arial Narrow" w:cs="Open Sans"/>
                <w:color w:val="333333"/>
                <w:sz w:val="20"/>
                <w:szCs w:val="20"/>
              </w:rPr>
              <w:t>Primary biliary cholangitis (previously known as Primary biliary cirrhosis)</w:t>
            </w:r>
          </w:p>
        </w:tc>
      </w:tr>
      <w:tr w:rsidR="00922FC6" w:rsidRPr="001565DB" w14:paraId="366F6BE3" w14:textId="77777777" w:rsidTr="00C057C9">
        <w:tc>
          <w:tcPr>
            <w:tcW w:w="606" w:type="pct"/>
            <w:tcBorders>
              <w:left w:val="single" w:sz="4" w:space="0" w:color="auto"/>
              <w:right w:val="single" w:sz="4" w:space="0" w:color="auto"/>
            </w:tcBorders>
          </w:tcPr>
          <w:p w14:paraId="65DE956A"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2716F2DA" w14:textId="77777777" w:rsidR="00922FC6" w:rsidRPr="001565DB" w:rsidRDefault="00922FC6" w:rsidP="00C057C9">
            <w:pPr>
              <w:textAlignment w:val="baseline"/>
              <w:rPr>
                <w:rFonts w:ascii="Arial Narrow" w:hAnsi="Arial Narrow" w:cs="Open San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Treatment Phase:</w:t>
            </w:r>
            <w:r w:rsidRPr="001565DB">
              <w:rPr>
                <w:rFonts w:ascii="Arial Narrow" w:hAnsi="Arial Narrow" w:cs="Open Sans"/>
                <w:color w:val="333333"/>
                <w:sz w:val="20"/>
                <w:szCs w:val="20"/>
                <w:bdr w:val="none" w:sz="0" w:space="0" w:color="auto" w:frame="1"/>
              </w:rPr>
              <w:t xml:space="preserve"> Continuing treatment</w:t>
            </w:r>
          </w:p>
        </w:tc>
      </w:tr>
      <w:tr w:rsidR="00922FC6" w:rsidRPr="001565DB" w14:paraId="5AFF4655" w14:textId="77777777" w:rsidTr="00C057C9">
        <w:tc>
          <w:tcPr>
            <w:tcW w:w="606" w:type="pct"/>
            <w:tcBorders>
              <w:left w:val="single" w:sz="4" w:space="0" w:color="auto"/>
              <w:right w:val="single" w:sz="4" w:space="0" w:color="auto"/>
            </w:tcBorders>
          </w:tcPr>
          <w:p w14:paraId="6B8AC35F" w14:textId="0D1BF065"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5760088"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Treatment criteria:</w:t>
            </w:r>
          </w:p>
        </w:tc>
      </w:tr>
      <w:tr w:rsidR="00922FC6" w:rsidRPr="001565DB" w14:paraId="347DF9D7" w14:textId="77777777" w:rsidTr="00C057C9">
        <w:tc>
          <w:tcPr>
            <w:tcW w:w="606" w:type="pct"/>
            <w:tcBorders>
              <w:left w:val="single" w:sz="4" w:space="0" w:color="auto"/>
              <w:right w:val="single" w:sz="4" w:space="0" w:color="auto"/>
            </w:tcBorders>
          </w:tcPr>
          <w:p w14:paraId="0E3A1E6C" w14:textId="03E1F9CF"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6ADCC28"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 xml:space="preserve">Must be treated by a prescriber who is either: (i) a gastroenterologist, (ii) a hepatologist; </w:t>
            </w:r>
          </w:p>
        </w:tc>
      </w:tr>
      <w:tr w:rsidR="00922FC6" w:rsidRPr="001565DB" w14:paraId="129D1843" w14:textId="77777777" w:rsidTr="00C057C9">
        <w:tc>
          <w:tcPr>
            <w:tcW w:w="606" w:type="pct"/>
            <w:tcBorders>
              <w:left w:val="single" w:sz="4" w:space="0" w:color="auto"/>
              <w:right w:val="single" w:sz="4" w:space="0" w:color="auto"/>
            </w:tcBorders>
          </w:tcPr>
          <w:p w14:paraId="5FE688BE" w14:textId="77777777" w:rsidR="00922FC6" w:rsidRPr="007D6020"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2A18C07C"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64F2E0CC" w14:textId="77777777" w:rsidTr="00C057C9">
        <w:tc>
          <w:tcPr>
            <w:tcW w:w="606" w:type="pct"/>
            <w:tcBorders>
              <w:left w:val="single" w:sz="4" w:space="0" w:color="auto"/>
              <w:right w:val="single" w:sz="4" w:space="0" w:color="auto"/>
            </w:tcBorders>
          </w:tcPr>
          <w:p w14:paraId="2FB87332" w14:textId="0F3926A3"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2280920"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Must be treated by an eligible practitioner type who has consulted at least one of the above mentioned specialist types</w:t>
            </w:r>
            <w:r w:rsidRPr="00E8102F">
              <w:rPr>
                <w:rFonts w:ascii="Arial Narrow" w:hAnsi="Arial Narrow" w:cs="Open Sans"/>
                <w:strike/>
                <w:color w:val="333333"/>
                <w:sz w:val="20"/>
                <w:szCs w:val="20"/>
              </w:rPr>
              <w:t>, with agreement reached that the patient should be treated with this pharmaceutical benefit on this occasion</w:t>
            </w:r>
          </w:p>
        </w:tc>
      </w:tr>
      <w:tr w:rsidR="00922FC6" w:rsidRPr="001565DB" w14:paraId="40B95DC5" w14:textId="77777777" w:rsidTr="00C057C9">
        <w:tc>
          <w:tcPr>
            <w:tcW w:w="606" w:type="pct"/>
            <w:tcBorders>
              <w:left w:val="single" w:sz="4" w:space="0" w:color="auto"/>
              <w:right w:val="single" w:sz="4" w:space="0" w:color="auto"/>
            </w:tcBorders>
          </w:tcPr>
          <w:p w14:paraId="54A6D996"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FF6236A" w14:textId="77777777" w:rsidR="00922FC6" w:rsidRPr="001565DB" w:rsidRDefault="00922FC6" w:rsidP="00C057C9">
            <w:pPr>
              <w:textAlignment w:val="baseline"/>
              <w:rPr>
                <w:rFonts w:ascii="Arial Narrow" w:hAnsi="Arial Narrow" w:cs="Open Sans"/>
                <w:b/>
                <w:bCs/>
                <w:color w:val="333333"/>
                <w:sz w:val="20"/>
                <w:szCs w:val="20"/>
              </w:rPr>
            </w:pPr>
            <w:r w:rsidRPr="001565DB">
              <w:rPr>
                <w:rFonts w:ascii="Arial Narrow" w:hAnsi="Arial Narrow" w:cs="Open Sans"/>
                <w:b/>
                <w:bCs/>
                <w:color w:val="333333"/>
                <w:sz w:val="20"/>
                <w:szCs w:val="20"/>
              </w:rPr>
              <w:t>AND</w:t>
            </w:r>
          </w:p>
        </w:tc>
      </w:tr>
      <w:tr w:rsidR="00922FC6" w:rsidRPr="00C424C9" w14:paraId="046AC9F2" w14:textId="77777777" w:rsidTr="00C057C9">
        <w:tc>
          <w:tcPr>
            <w:tcW w:w="606" w:type="pct"/>
            <w:tcBorders>
              <w:left w:val="single" w:sz="4" w:space="0" w:color="auto"/>
              <w:right w:val="single" w:sz="4" w:space="0" w:color="auto"/>
            </w:tcBorders>
          </w:tcPr>
          <w:p w14:paraId="224F1440" w14:textId="1E8BE3AE" w:rsidR="00922FC6" w:rsidRPr="00E8102F"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EC8B23E" w14:textId="77777777" w:rsidR="00922FC6" w:rsidRPr="00E8102F" w:rsidRDefault="00922FC6" w:rsidP="00C057C9">
            <w:pPr>
              <w:textAlignment w:val="baseline"/>
              <w:rPr>
                <w:rFonts w:ascii="Arial Narrow" w:hAnsi="Arial Narrow" w:cs="Open Sans"/>
                <w:i/>
                <w:iCs/>
                <w:color w:val="333333"/>
                <w:sz w:val="20"/>
                <w:szCs w:val="20"/>
              </w:rPr>
            </w:pPr>
            <w:r w:rsidRPr="00E8102F">
              <w:rPr>
                <w:rFonts w:ascii="Arial Narrow" w:hAnsi="Arial Narrow" w:cs="Open Sans"/>
                <w:b/>
                <w:bCs/>
                <w:i/>
                <w:iCs/>
                <w:color w:val="333333"/>
                <w:sz w:val="20"/>
                <w:szCs w:val="20"/>
                <w:bdr w:val="none" w:sz="0" w:space="0" w:color="auto" w:frame="1"/>
              </w:rPr>
              <w:t>Treatment criteria:</w:t>
            </w:r>
          </w:p>
        </w:tc>
      </w:tr>
      <w:tr w:rsidR="00922FC6" w:rsidRPr="00C424C9" w14:paraId="0D8C6F75" w14:textId="77777777" w:rsidTr="00C057C9">
        <w:tc>
          <w:tcPr>
            <w:tcW w:w="606" w:type="pct"/>
            <w:tcBorders>
              <w:left w:val="single" w:sz="4" w:space="0" w:color="auto"/>
              <w:right w:val="single" w:sz="4" w:space="0" w:color="auto"/>
            </w:tcBorders>
          </w:tcPr>
          <w:p w14:paraId="0FD1FF17" w14:textId="77AA40FB" w:rsidR="00922FC6" w:rsidRPr="00E8102F"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0633D559" w14:textId="77777777" w:rsidR="00922FC6" w:rsidRPr="00E8102F" w:rsidRDefault="00922FC6" w:rsidP="00C057C9">
            <w:pPr>
              <w:textAlignment w:val="baseline"/>
              <w:rPr>
                <w:rFonts w:ascii="Arial Narrow" w:hAnsi="Arial Narrow" w:cs="Open Sans"/>
                <w:i/>
                <w:iCs/>
                <w:color w:val="333333"/>
                <w:sz w:val="20"/>
                <w:szCs w:val="20"/>
              </w:rPr>
            </w:pPr>
            <w:r w:rsidRPr="00E8102F">
              <w:rPr>
                <w:rFonts w:ascii="Arial Narrow" w:hAnsi="Arial Narrow" w:cs="Open Sans"/>
                <w:i/>
                <w:iCs/>
                <w:color w:val="333333"/>
                <w:sz w:val="20"/>
                <w:szCs w:val="20"/>
              </w:rPr>
              <w:t>Patient must be undergoing continuing PBS-subsidised treatment with this drug, with treatment having commenced through one of: (i) the ‘Initial treatment’ listing, (ii) ‘Grandfather’ arrangements, (iii) ‘Switching treatment’ listing</w:t>
            </w:r>
          </w:p>
        </w:tc>
      </w:tr>
      <w:tr w:rsidR="00922FC6" w:rsidRPr="001565DB" w14:paraId="56757637" w14:textId="77777777" w:rsidTr="00C057C9">
        <w:tc>
          <w:tcPr>
            <w:tcW w:w="606" w:type="pct"/>
            <w:tcBorders>
              <w:left w:val="single" w:sz="4" w:space="0" w:color="auto"/>
              <w:right w:val="single" w:sz="4" w:space="0" w:color="auto"/>
            </w:tcBorders>
          </w:tcPr>
          <w:p w14:paraId="5F9C90DA"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46DE1A0"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rPr>
              <w:t>AND</w:t>
            </w:r>
          </w:p>
        </w:tc>
      </w:tr>
      <w:tr w:rsidR="00922FC6" w:rsidRPr="001565DB" w14:paraId="55E33009" w14:textId="77777777" w:rsidTr="00C057C9">
        <w:tc>
          <w:tcPr>
            <w:tcW w:w="606" w:type="pct"/>
            <w:tcBorders>
              <w:left w:val="single" w:sz="4" w:space="0" w:color="auto"/>
              <w:right w:val="single" w:sz="4" w:space="0" w:color="auto"/>
            </w:tcBorders>
          </w:tcPr>
          <w:p w14:paraId="7344F392" w14:textId="598BD4EB"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7410ED7"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Treatment criteria:</w:t>
            </w:r>
          </w:p>
        </w:tc>
      </w:tr>
      <w:tr w:rsidR="00922FC6" w:rsidRPr="001565DB" w14:paraId="2379E93A" w14:textId="77777777" w:rsidTr="00C057C9">
        <w:tc>
          <w:tcPr>
            <w:tcW w:w="606" w:type="pct"/>
            <w:tcBorders>
              <w:left w:val="single" w:sz="4" w:space="0" w:color="auto"/>
              <w:right w:val="single" w:sz="4" w:space="0" w:color="auto"/>
            </w:tcBorders>
          </w:tcPr>
          <w:p w14:paraId="07B6B29F" w14:textId="64741F66"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06EF4014"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Patient must be undergoing concurrent treatment with ursodeoxycholic acid</w:t>
            </w:r>
            <w:r w:rsidRPr="00E8102F">
              <w:rPr>
                <w:rFonts w:ascii="Arial Narrow" w:hAnsi="Arial Narrow" w:cs="Open Sans"/>
                <w:strike/>
                <w:color w:val="333333"/>
                <w:sz w:val="20"/>
                <w:szCs w:val="20"/>
              </w:rPr>
              <w:t>, following this authority application;</w:t>
            </w:r>
            <w:r w:rsidRPr="001565DB">
              <w:rPr>
                <w:rFonts w:ascii="Arial Narrow" w:hAnsi="Arial Narrow" w:cs="Open Sans"/>
                <w:color w:val="333333"/>
                <w:sz w:val="20"/>
                <w:szCs w:val="20"/>
              </w:rPr>
              <w:t xml:space="preserve"> </w:t>
            </w:r>
          </w:p>
        </w:tc>
      </w:tr>
      <w:tr w:rsidR="00922FC6" w:rsidRPr="001565DB" w14:paraId="24F19F90" w14:textId="77777777" w:rsidTr="00C057C9">
        <w:tc>
          <w:tcPr>
            <w:tcW w:w="606" w:type="pct"/>
            <w:tcBorders>
              <w:left w:val="single" w:sz="4" w:space="0" w:color="auto"/>
              <w:right w:val="single" w:sz="4" w:space="0" w:color="auto"/>
            </w:tcBorders>
          </w:tcPr>
          <w:p w14:paraId="16F5251F"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59DE1F0" w14:textId="77777777" w:rsidR="00922FC6" w:rsidRPr="001249BC" w:rsidRDefault="00922FC6" w:rsidP="00C057C9">
            <w:pPr>
              <w:textAlignment w:val="baseline"/>
              <w:rPr>
                <w:rFonts w:ascii="Arial Narrow" w:hAnsi="Arial Narrow" w:cs="Open Sans"/>
                <w:b/>
                <w:bCs/>
                <w:color w:val="333333"/>
                <w:sz w:val="20"/>
                <w:szCs w:val="20"/>
              </w:rPr>
            </w:pPr>
            <w:r w:rsidRPr="001249BC">
              <w:rPr>
                <w:rFonts w:ascii="Arial Narrow" w:hAnsi="Arial Narrow" w:cs="Open Sans"/>
                <w:b/>
                <w:bCs/>
                <w:color w:val="333333"/>
                <w:sz w:val="20"/>
                <w:szCs w:val="20"/>
              </w:rPr>
              <w:t>OR</w:t>
            </w:r>
          </w:p>
        </w:tc>
      </w:tr>
      <w:tr w:rsidR="00922FC6" w:rsidRPr="001565DB" w14:paraId="2D60C930" w14:textId="77777777" w:rsidTr="00C057C9">
        <w:tc>
          <w:tcPr>
            <w:tcW w:w="606" w:type="pct"/>
            <w:tcBorders>
              <w:left w:val="single" w:sz="4" w:space="0" w:color="auto"/>
              <w:right w:val="single" w:sz="4" w:space="0" w:color="auto"/>
            </w:tcBorders>
          </w:tcPr>
          <w:p w14:paraId="648315F3" w14:textId="55E578B3"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3EE05CA"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 xml:space="preserve">Patient must be undergoing treatment with this drug as monotherapy </w:t>
            </w:r>
            <w:r w:rsidRPr="001249BC">
              <w:rPr>
                <w:rFonts w:ascii="Arial Narrow" w:hAnsi="Arial Narrow" w:cs="Open Sans"/>
                <w:strike/>
                <w:color w:val="333333"/>
                <w:sz w:val="20"/>
                <w:szCs w:val="20"/>
              </w:rPr>
              <w:t>following this authority application,</w:t>
            </w:r>
            <w:r w:rsidRPr="001565DB">
              <w:rPr>
                <w:rFonts w:ascii="Arial Narrow" w:hAnsi="Arial Narrow" w:cs="Open Sans"/>
                <w:color w:val="333333"/>
                <w:sz w:val="20"/>
                <w:szCs w:val="20"/>
              </w:rPr>
              <w:t xml:space="preserve"> because combination treatment with ursodeoxycholic acid is not tolerated</w:t>
            </w:r>
            <w:r w:rsidRPr="001249BC">
              <w:rPr>
                <w:rFonts w:ascii="Arial Narrow" w:hAnsi="Arial Narrow" w:cs="Open Sans"/>
                <w:i/>
                <w:iCs/>
                <w:color w:val="333333"/>
                <w:sz w:val="20"/>
                <w:szCs w:val="20"/>
              </w:rPr>
              <w:t>/contraindicated</w:t>
            </w:r>
          </w:p>
        </w:tc>
      </w:tr>
      <w:tr w:rsidR="00922FC6" w:rsidRPr="00441A29" w14:paraId="696A3B12" w14:textId="77777777" w:rsidTr="00C057C9">
        <w:tc>
          <w:tcPr>
            <w:tcW w:w="606" w:type="pct"/>
            <w:tcBorders>
              <w:left w:val="single" w:sz="4" w:space="0" w:color="auto"/>
              <w:right w:val="single" w:sz="4" w:space="0" w:color="auto"/>
            </w:tcBorders>
          </w:tcPr>
          <w:p w14:paraId="7512EFC1" w14:textId="77777777" w:rsidR="00922FC6" w:rsidRPr="001249BC"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284BD97" w14:textId="77777777" w:rsidR="00922FC6" w:rsidRPr="001249BC" w:rsidRDefault="00922FC6" w:rsidP="00C057C9">
            <w:pPr>
              <w:textAlignment w:val="baseline"/>
              <w:rPr>
                <w:rFonts w:ascii="Arial Narrow" w:hAnsi="Arial Narrow" w:cs="Open Sans"/>
                <w:b/>
                <w:bCs/>
                <w:i/>
                <w:iCs/>
                <w:color w:val="333333"/>
                <w:sz w:val="20"/>
                <w:szCs w:val="20"/>
              </w:rPr>
            </w:pPr>
            <w:r w:rsidRPr="001249BC">
              <w:rPr>
                <w:rFonts w:ascii="Arial Narrow" w:hAnsi="Arial Narrow" w:cs="Open Sans"/>
                <w:b/>
                <w:bCs/>
                <w:i/>
                <w:iCs/>
                <w:color w:val="333333"/>
                <w:sz w:val="20"/>
                <w:szCs w:val="20"/>
              </w:rPr>
              <w:t>AND</w:t>
            </w:r>
          </w:p>
        </w:tc>
      </w:tr>
      <w:tr w:rsidR="00922FC6" w:rsidRPr="00441A29" w14:paraId="0821273C" w14:textId="77777777" w:rsidTr="00C057C9">
        <w:tc>
          <w:tcPr>
            <w:tcW w:w="606" w:type="pct"/>
            <w:tcBorders>
              <w:left w:val="single" w:sz="4" w:space="0" w:color="auto"/>
              <w:right w:val="single" w:sz="4" w:space="0" w:color="auto"/>
            </w:tcBorders>
          </w:tcPr>
          <w:p w14:paraId="2B690D10" w14:textId="5F545367" w:rsidR="00922FC6" w:rsidRPr="001249BC"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826EB63" w14:textId="77777777" w:rsidR="00922FC6" w:rsidRPr="001249BC" w:rsidRDefault="00922FC6" w:rsidP="00C057C9">
            <w:pPr>
              <w:textAlignment w:val="baseline"/>
              <w:rPr>
                <w:rFonts w:ascii="Arial Narrow" w:hAnsi="Arial Narrow" w:cs="Open Sans"/>
                <w:b/>
                <w:bCs/>
                <w:i/>
                <w:iCs/>
                <w:color w:val="333333"/>
                <w:sz w:val="20"/>
                <w:szCs w:val="20"/>
              </w:rPr>
            </w:pPr>
            <w:r w:rsidRPr="001249BC">
              <w:rPr>
                <w:rFonts w:ascii="Arial Narrow" w:hAnsi="Arial Narrow" w:cs="Open Sans"/>
                <w:b/>
                <w:bCs/>
                <w:i/>
                <w:iCs/>
                <w:color w:val="333333"/>
                <w:sz w:val="20"/>
                <w:szCs w:val="20"/>
              </w:rPr>
              <w:t>Treatment criteria:</w:t>
            </w:r>
          </w:p>
        </w:tc>
      </w:tr>
      <w:tr w:rsidR="00922FC6" w:rsidRPr="00441A29" w14:paraId="4FA2019E" w14:textId="77777777" w:rsidTr="00C057C9">
        <w:tc>
          <w:tcPr>
            <w:tcW w:w="606" w:type="pct"/>
            <w:tcBorders>
              <w:left w:val="single" w:sz="4" w:space="0" w:color="auto"/>
              <w:right w:val="single" w:sz="4" w:space="0" w:color="auto"/>
            </w:tcBorders>
          </w:tcPr>
          <w:p w14:paraId="7AEADC6B" w14:textId="4110713B" w:rsidR="00922FC6" w:rsidRPr="001249BC"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F16FAD8" w14:textId="1D828F3D" w:rsidR="00922FC6" w:rsidRPr="001249BC" w:rsidRDefault="00922FC6" w:rsidP="00C057C9">
            <w:pPr>
              <w:textAlignment w:val="baseline"/>
              <w:rPr>
                <w:rFonts w:ascii="Arial Narrow" w:hAnsi="Arial Narrow" w:cs="Open Sans"/>
                <w:i/>
                <w:iCs/>
                <w:color w:val="333333"/>
                <w:sz w:val="20"/>
                <w:szCs w:val="20"/>
              </w:rPr>
            </w:pPr>
            <w:r w:rsidRPr="001249BC">
              <w:rPr>
                <w:rFonts w:ascii="Arial Narrow" w:hAnsi="Arial Narrow" w:cs="Open Sans"/>
                <w:i/>
                <w:iCs/>
                <w:color w:val="333333"/>
                <w:sz w:val="20"/>
                <w:szCs w:val="20"/>
              </w:rPr>
              <w:t>Patient must not be undergoing concurrent treatment with obeticholic acid</w:t>
            </w:r>
            <w:r>
              <w:rPr>
                <w:rFonts w:ascii="Arial Narrow" w:hAnsi="Arial Narrow" w:cs="Open Sans"/>
                <w:i/>
                <w:iCs/>
                <w:color w:val="333333"/>
                <w:sz w:val="20"/>
                <w:szCs w:val="20"/>
              </w:rPr>
              <w:t xml:space="preserve"> [or elafibranor]</w:t>
            </w:r>
          </w:p>
        </w:tc>
      </w:tr>
      <w:tr w:rsidR="00922FC6" w:rsidRPr="001565DB" w14:paraId="30EDCFA0" w14:textId="77777777" w:rsidTr="00C057C9">
        <w:tc>
          <w:tcPr>
            <w:tcW w:w="606" w:type="pct"/>
            <w:tcBorders>
              <w:left w:val="single" w:sz="4" w:space="0" w:color="auto"/>
              <w:right w:val="single" w:sz="4" w:space="0" w:color="auto"/>
            </w:tcBorders>
          </w:tcPr>
          <w:p w14:paraId="1524D960" w14:textId="2ED4C3F8"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1B3FC96"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Clinical criteria:</w:t>
            </w:r>
          </w:p>
        </w:tc>
      </w:tr>
      <w:tr w:rsidR="00922FC6" w:rsidRPr="001565DB" w14:paraId="24AA280C" w14:textId="77777777" w:rsidTr="00C057C9">
        <w:tc>
          <w:tcPr>
            <w:tcW w:w="606" w:type="pct"/>
            <w:tcBorders>
              <w:left w:val="single" w:sz="4" w:space="0" w:color="auto"/>
              <w:right w:val="single" w:sz="4" w:space="0" w:color="auto"/>
            </w:tcBorders>
          </w:tcPr>
          <w:p w14:paraId="2E42EB64" w14:textId="336ECB46"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84D32FE"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Patient must have achieved an adequate response to this drug, defined as having at least one of: (i) an alkaline phosphate (ALP) level less than 1.67 times the upper limit of normal (ULN), (ii) a reduction in the ALP reading of at least 15% compared to the baseline level provided with the initial authority application, (iii) a total bilirubin level within the normal reference range</w:t>
            </w:r>
          </w:p>
        </w:tc>
      </w:tr>
      <w:tr w:rsidR="00922FC6" w:rsidRPr="001565DB" w14:paraId="2A862D87" w14:textId="77777777" w:rsidTr="00C057C9">
        <w:tc>
          <w:tcPr>
            <w:tcW w:w="606" w:type="pct"/>
            <w:tcBorders>
              <w:left w:val="single" w:sz="4" w:space="0" w:color="auto"/>
              <w:right w:val="single" w:sz="4" w:space="0" w:color="auto"/>
            </w:tcBorders>
          </w:tcPr>
          <w:p w14:paraId="2ECF0BCF" w14:textId="3C790F8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804C78F"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Prescribing Instructions:</w:t>
            </w:r>
          </w:p>
          <w:p w14:paraId="4A689E1A"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The improvement in the qualifying laboratory reading(s) has/have been documented in the patient's medical records.</w:t>
            </w:r>
          </w:p>
        </w:tc>
      </w:tr>
      <w:tr w:rsidR="00922FC6" w:rsidRPr="001565DB" w14:paraId="4F9888C1" w14:textId="77777777" w:rsidTr="00C057C9">
        <w:tc>
          <w:tcPr>
            <w:tcW w:w="606" w:type="pct"/>
            <w:tcBorders>
              <w:left w:val="single" w:sz="4" w:space="0" w:color="auto"/>
              <w:right w:val="single" w:sz="4" w:space="0" w:color="auto"/>
            </w:tcBorders>
          </w:tcPr>
          <w:p w14:paraId="788D64F6" w14:textId="0B557262"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3673829"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Administrative Advice:</w:t>
            </w:r>
          </w:p>
          <w:p w14:paraId="09E27469"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Laboratory readings requested in this authority application must be no older than 52 weeks.</w:t>
            </w:r>
          </w:p>
        </w:tc>
      </w:tr>
      <w:tr w:rsidR="00922FC6" w:rsidRPr="001565DB" w14:paraId="425BDD91" w14:textId="77777777" w:rsidTr="00C057C9">
        <w:tc>
          <w:tcPr>
            <w:tcW w:w="5000" w:type="pct"/>
            <w:gridSpan w:val="2"/>
            <w:tcBorders>
              <w:left w:val="single" w:sz="4" w:space="0" w:color="auto"/>
              <w:right w:val="single" w:sz="4" w:space="0" w:color="auto"/>
            </w:tcBorders>
          </w:tcPr>
          <w:p w14:paraId="29C33F30"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p>
        </w:tc>
      </w:tr>
      <w:tr w:rsidR="00922FC6" w:rsidRPr="001565DB" w14:paraId="698FD000" w14:textId="77777777" w:rsidTr="00C057C9">
        <w:tc>
          <w:tcPr>
            <w:tcW w:w="5000" w:type="pct"/>
            <w:gridSpan w:val="2"/>
            <w:tcBorders>
              <w:left w:val="single" w:sz="4" w:space="0" w:color="auto"/>
              <w:right w:val="single" w:sz="4" w:space="0" w:color="auto"/>
            </w:tcBorders>
          </w:tcPr>
          <w:p w14:paraId="594FE84E"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p>
        </w:tc>
      </w:tr>
      <w:tr w:rsidR="00922FC6" w:rsidRPr="001565DB" w14:paraId="1884CC61" w14:textId="77777777" w:rsidTr="00C057C9">
        <w:tc>
          <w:tcPr>
            <w:tcW w:w="5000" w:type="pct"/>
            <w:gridSpan w:val="2"/>
            <w:tcBorders>
              <w:top w:val="single" w:sz="4" w:space="0" w:color="auto"/>
              <w:left w:val="single" w:sz="4" w:space="0" w:color="auto"/>
              <w:bottom w:val="single" w:sz="4" w:space="0" w:color="auto"/>
              <w:right w:val="single" w:sz="4" w:space="0" w:color="auto"/>
            </w:tcBorders>
          </w:tcPr>
          <w:p w14:paraId="4D2B7DC5" w14:textId="77777777" w:rsidR="00922FC6" w:rsidRPr="001565DB" w:rsidRDefault="00922FC6" w:rsidP="00C057C9">
            <w:pPr>
              <w:spacing w:before="100" w:beforeAutospacing="1" w:after="100" w:afterAutospacing="1"/>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Restriction Summary [NEW] / Treatment of Concept: [NEW]</w:t>
            </w:r>
          </w:p>
        </w:tc>
      </w:tr>
      <w:tr w:rsidR="00922FC6" w:rsidRPr="001565DB" w14:paraId="71AA5A29" w14:textId="77777777" w:rsidTr="00C057C9">
        <w:trPr>
          <w:trHeight w:val="167"/>
        </w:trPr>
        <w:tc>
          <w:tcPr>
            <w:tcW w:w="606" w:type="pct"/>
            <w:vMerge w:val="restart"/>
            <w:tcBorders>
              <w:top w:val="single" w:sz="4" w:space="0" w:color="auto"/>
              <w:left w:val="single" w:sz="4" w:space="0" w:color="auto"/>
              <w:right w:val="single" w:sz="4" w:space="0" w:color="auto"/>
            </w:tcBorders>
          </w:tcPr>
          <w:p w14:paraId="39A16899" w14:textId="77777777" w:rsidR="00922FC6" w:rsidRPr="001565DB" w:rsidRDefault="00922FC6" w:rsidP="00C057C9">
            <w:pPr>
              <w:jc w:val="center"/>
              <w:rPr>
                <w:rFonts w:ascii="Arial Narrow" w:eastAsia="Aptos" w:hAnsi="Arial Narrow"/>
                <w:b/>
                <w:kern w:val="2"/>
                <w:sz w:val="20"/>
                <w:szCs w:val="20"/>
                <w14:ligatures w14:val="standardContextual"/>
              </w:rPr>
            </w:pPr>
            <w:r w:rsidRPr="001565DB">
              <w:rPr>
                <w:rFonts w:ascii="Arial Narrow" w:eastAsia="Aptos" w:hAnsi="Arial Narrow"/>
                <w:b/>
                <w:kern w:val="2"/>
                <w:sz w:val="20"/>
                <w:szCs w:val="20"/>
                <w14:ligatures w14:val="standardContextual"/>
              </w:rPr>
              <w:t>Concept ID</w:t>
            </w:r>
          </w:p>
          <w:p w14:paraId="00369ABD" w14:textId="77777777" w:rsidR="00922FC6" w:rsidRPr="001565DB" w:rsidRDefault="00922FC6" w:rsidP="00C057C9">
            <w:pPr>
              <w:jc w:val="center"/>
              <w:rPr>
                <w:rFonts w:ascii="Arial Narrow" w:eastAsia="Aptos" w:hAnsi="Arial Narrow"/>
                <w:kern w:val="2"/>
                <w:sz w:val="20"/>
                <w:szCs w:val="20"/>
                <w14:ligatures w14:val="standardContextual"/>
              </w:rPr>
            </w:pPr>
            <w:r w:rsidRPr="001565DB">
              <w:rPr>
                <w:rFonts w:ascii="Arial Narrow" w:eastAsia="Aptos" w:hAnsi="Arial Narrow"/>
                <w:kern w:val="2"/>
                <w:sz w:val="20"/>
                <w:szCs w:val="20"/>
                <w14:ligatures w14:val="standardContextual"/>
              </w:rPr>
              <w:t>(for internal Dept. use)</w:t>
            </w:r>
          </w:p>
        </w:tc>
        <w:tc>
          <w:tcPr>
            <w:tcW w:w="4394" w:type="pct"/>
            <w:tcBorders>
              <w:top w:val="single" w:sz="4" w:space="0" w:color="auto"/>
              <w:left w:val="single" w:sz="4" w:space="0" w:color="auto"/>
              <w:bottom w:val="single" w:sz="4" w:space="0" w:color="auto"/>
              <w:right w:val="single" w:sz="4" w:space="0" w:color="auto"/>
            </w:tcBorders>
          </w:tcPr>
          <w:p w14:paraId="49DB0061" w14:textId="77777777" w:rsidR="00922FC6" w:rsidRPr="001565DB" w:rsidRDefault="00922FC6" w:rsidP="00C057C9">
            <w:pPr>
              <w:rPr>
                <w:rFonts w:ascii="Arial Narrow" w:eastAsia="Aptos" w:hAnsi="Arial Narrow"/>
                <w:kern w:val="2"/>
                <w:sz w:val="20"/>
                <w:szCs w:val="20"/>
                <w14:ligatures w14:val="standardContextual"/>
              </w:rPr>
            </w:pPr>
            <w:r w:rsidRPr="001565DB">
              <w:rPr>
                <w:rFonts w:ascii="Arial Narrow" w:eastAsia="Aptos" w:hAnsi="Arial Narrow"/>
                <w:b/>
                <w:kern w:val="2"/>
                <w:sz w:val="20"/>
                <w:szCs w:val="20"/>
                <w14:ligatures w14:val="standardContextual"/>
              </w:rPr>
              <w:t xml:space="preserve">Category / Program: </w:t>
            </w: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w:t>
            </w:r>
          </w:p>
        </w:tc>
      </w:tr>
      <w:tr w:rsidR="00922FC6" w:rsidRPr="001565DB" w14:paraId="71BDCDBD" w14:textId="77777777" w:rsidTr="00C057C9">
        <w:trPr>
          <w:trHeight w:val="240"/>
        </w:trPr>
        <w:tc>
          <w:tcPr>
            <w:tcW w:w="606" w:type="pct"/>
            <w:vMerge/>
            <w:tcBorders>
              <w:left w:val="single" w:sz="4" w:space="0" w:color="auto"/>
              <w:right w:val="single" w:sz="4" w:space="0" w:color="auto"/>
            </w:tcBorders>
          </w:tcPr>
          <w:p w14:paraId="2F51C5B7" w14:textId="77777777" w:rsidR="00922FC6" w:rsidRPr="001565DB" w:rsidRDefault="00922FC6" w:rsidP="00C057C9">
            <w:pPr>
              <w:rPr>
                <w:rFonts w:ascii="Arial Narrow" w:eastAsia="Aptos" w:hAnsi="Arial Narrow"/>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F1AC9D4" w14:textId="77777777" w:rsidR="00922FC6" w:rsidRPr="001565DB" w:rsidRDefault="00922FC6" w:rsidP="00C057C9">
            <w:pPr>
              <w:rPr>
                <w:rFonts w:ascii="Arial Narrow" w:eastAsia="Aptos" w:hAnsi="Arial Narrow"/>
                <w:b/>
                <w:kern w:val="2"/>
                <w:sz w:val="20"/>
                <w:szCs w:val="20"/>
                <w14:ligatures w14:val="standardContextual"/>
              </w:rPr>
            </w:pPr>
            <w:r w:rsidRPr="001565DB">
              <w:rPr>
                <w:rFonts w:ascii="Arial Narrow" w:eastAsia="Aptos" w:hAnsi="Arial Narrow"/>
                <w:b/>
                <w:kern w:val="2"/>
                <w:sz w:val="20"/>
                <w:szCs w:val="20"/>
                <w14:ligatures w14:val="standardContextual"/>
              </w:rPr>
              <w:t>Prescriber type:</w:t>
            </w:r>
            <w:r>
              <w:rPr>
                <w:rFonts w:ascii="Arial Narrow" w:eastAsia="Aptos" w:hAnsi="Arial Narrow"/>
                <w:b/>
                <w:kern w:val="2"/>
                <w:sz w:val="20"/>
                <w:szCs w:val="20"/>
                <w14:ligatures w14:val="standardContextual"/>
              </w:rPr>
              <w:t xml:space="preserve"> </w:t>
            </w:r>
            <w:r w:rsidRPr="001565DB">
              <w:rPr>
                <w:rFonts w:ascii="Arial Narrow" w:eastAsia="Aptos" w:hAnsi="Arial Narrow"/>
                <w:kern w:val="2"/>
                <w:sz w:val="20"/>
                <w:szCs w:val="20"/>
                <w14:ligatures w14:val="standardContextual"/>
              </w:rPr>
              <w:fldChar w:fldCharType="begin">
                <w:ffData>
                  <w:name w:val=""/>
                  <w:enabled/>
                  <w:calcOnExit w:val="0"/>
                  <w:checkBox>
                    <w:sizeAuto/>
                    <w:default w:val="1"/>
                  </w:checkBox>
                </w:ffData>
              </w:fldChar>
            </w:r>
            <w:r w:rsidRPr="001565DB">
              <w:rPr>
                <w:rFonts w:ascii="Arial Narrow" w:eastAsia="Aptos" w:hAnsi="Arial Narrow"/>
                <w:kern w:val="2"/>
                <w:sz w:val="20"/>
                <w:szCs w:val="20"/>
                <w14:ligatures w14:val="standardContextual"/>
              </w:rPr>
              <w:instrText xml:space="preserve"> FORMCHECKBOX </w:instrText>
            </w:r>
            <w:r w:rsidRPr="001565DB">
              <w:rPr>
                <w:rFonts w:ascii="Arial Narrow" w:eastAsia="Aptos" w:hAnsi="Arial Narrow"/>
                <w:kern w:val="2"/>
                <w:sz w:val="20"/>
                <w:szCs w:val="20"/>
                <w14:ligatures w14:val="standardContextual"/>
              </w:rPr>
            </w:r>
            <w:r w:rsidRPr="001565DB">
              <w:rPr>
                <w:rFonts w:ascii="Arial Narrow" w:eastAsia="Aptos" w:hAnsi="Arial Narrow"/>
                <w:kern w:val="2"/>
                <w:sz w:val="20"/>
                <w:szCs w:val="20"/>
                <w14:ligatures w14:val="standardContextual"/>
              </w:rPr>
              <w:fldChar w:fldCharType="separate"/>
            </w:r>
            <w:r w:rsidRPr="001565DB">
              <w:rPr>
                <w:rFonts w:ascii="Arial Narrow" w:eastAsia="Aptos" w:hAnsi="Arial Narrow"/>
                <w:kern w:val="2"/>
                <w:sz w:val="20"/>
                <w:szCs w:val="20"/>
                <w14:ligatures w14:val="standardContextual"/>
              </w:rPr>
              <w:fldChar w:fldCharType="end"/>
            </w:r>
            <w:r>
              <w:rPr>
                <w:rFonts w:ascii="Arial Narrow" w:eastAsia="Aptos" w:hAnsi="Arial Narrow"/>
                <w:kern w:val="2"/>
                <w:sz w:val="20"/>
                <w:szCs w:val="20"/>
                <w14:ligatures w14:val="standardContextual"/>
              </w:rPr>
              <w:t xml:space="preserve"> </w:t>
            </w:r>
            <w:r w:rsidRPr="001565DB">
              <w:rPr>
                <w:rFonts w:ascii="Arial Narrow" w:eastAsia="Aptos" w:hAnsi="Arial Narrow"/>
                <w:kern w:val="2"/>
                <w:sz w:val="20"/>
                <w:szCs w:val="20"/>
                <w14:ligatures w14:val="standardContextual"/>
              </w:rPr>
              <w:t>Medical Practitioners</w:t>
            </w:r>
            <w:r>
              <w:rPr>
                <w:rFonts w:ascii="Arial Narrow" w:eastAsia="Aptos" w:hAnsi="Arial Narrow"/>
                <w:kern w:val="2"/>
                <w:sz w:val="20"/>
                <w:szCs w:val="20"/>
                <w14:ligatures w14:val="standardContextual"/>
              </w:rPr>
              <w:t xml:space="preserve"> </w:t>
            </w:r>
            <w:r w:rsidRPr="006E2EFC">
              <w:rPr>
                <w:rFonts w:ascii="Arial Narrow" w:hAnsi="Arial Narrow"/>
                <w:i/>
                <w:iCs/>
                <w:sz w:val="20"/>
                <w:szCs w:val="20"/>
              </w:rPr>
              <w:fldChar w:fldCharType="begin">
                <w:ffData>
                  <w:name w:val=""/>
                  <w:enabled/>
                  <w:calcOnExit w:val="0"/>
                  <w:checkBox>
                    <w:sizeAuto/>
                    <w:default w:val="1"/>
                  </w:checkBox>
                </w:ffData>
              </w:fldChar>
            </w:r>
            <w:r w:rsidRPr="006E2EFC">
              <w:rPr>
                <w:rFonts w:ascii="Arial Narrow" w:hAnsi="Arial Narrow"/>
                <w:i/>
                <w:iCs/>
                <w:sz w:val="20"/>
                <w:szCs w:val="20"/>
              </w:rPr>
              <w:instrText xml:space="preserve"> FORMCHECKBOX </w:instrText>
            </w:r>
            <w:r w:rsidRPr="006E2EFC">
              <w:rPr>
                <w:rFonts w:ascii="Arial Narrow" w:hAnsi="Arial Narrow"/>
                <w:i/>
                <w:iCs/>
                <w:sz w:val="20"/>
                <w:szCs w:val="20"/>
              </w:rPr>
            </w:r>
            <w:r w:rsidRPr="006E2EFC">
              <w:rPr>
                <w:rFonts w:ascii="Arial Narrow" w:hAnsi="Arial Narrow"/>
                <w:i/>
                <w:iCs/>
                <w:sz w:val="20"/>
                <w:szCs w:val="20"/>
              </w:rPr>
              <w:fldChar w:fldCharType="separate"/>
            </w:r>
            <w:r w:rsidRPr="006E2EFC">
              <w:rPr>
                <w:rFonts w:ascii="Arial Narrow" w:hAnsi="Arial Narrow"/>
                <w:i/>
                <w:iCs/>
                <w:sz w:val="20"/>
                <w:szCs w:val="20"/>
              </w:rPr>
              <w:fldChar w:fldCharType="end"/>
            </w:r>
            <w:r w:rsidRPr="006E2EFC">
              <w:rPr>
                <w:rFonts w:ascii="Arial Narrow" w:hAnsi="Arial Narrow"/>
                <w:i/>
                <w:iCs/>
                <w:sz w:val="20"/>
                <w:szCs w:val="20"/>
              </w:rPr>
              <w:t xml:space="preserve"> Nurse Practitioners</w:t>
            </w:r>
          </w:p>
        </w:tc>
      </w:tr>
      <w:tr w:rsidR="00922FC6" w:rsidRPr="001565DB" w14:paraId="18985BE1" w14:textId="77777777" w:rsidTr="00C057C9">
        <w:tc>
          <w:tcPr>
            <w:tcW w:w="606" w:type="pct"/>
            <w:vMerge/>
            <w:tcBorders>
              <w:left w:val="single" w:sz="4" w:space="0" w:color="auto"/>
              <w:right w:val="single" w:sz="4" w:space="0" w:color="auto"/>
            </w:tcBorders>
          </w:tcPr>
          <w:p w14:paraId="198AB217" w14:textId="77777777" w:rsidR="00922FC6" w:rsidRPr="001565DB" w:rsidRDefault="00922FC6" w:rsidP="00C057C9">
            <w:pPr>
              <w:rPr>
                <w:rFonts w:ascii="Arial Narrow" w:eastAsia="Aptos" w:hAnsi="Arial Narrow"/>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8DEDB84" w14:textId="77777777" w:rsidR="00922FC6" w:rsidRPr="001565DB" w:rsidRDefault="00922FC6" w:rsidP="00C057C9">
            <w:pPr>
              <w:rPr>
                <w:rFonts w:ascii="Arial Narrow" w:eastAsia="Calibri" w:hAnsi="Arial Narrow"/>
                <w:color w:val="FF00FF"/>
                <w:kern w:val="2"/>
                <w:sz w:val="20"/>
                <w:szCs w:val="20"/>
                <w14:ligatures w14:val="standardContextual"/>
              </w:rPr>
            </w:pPr>
            <w:r w:rsidRPr="001565DB">
              <w:rPr>
                <w:rFonts w:ascii="Arial Narrow" w:eastAsia="Aptos" w:hAnsi="Arial Narrow"/>
                <w:b/>
                <w:kern w:val="2"/>
                <w:sz w:val="20"/>
                <w:szCs w:val="20"/>
                <w14:ligatures w14:val="standardContextual"/>
              </w:rPr>
              <w:t xml:space="preserve">Restriction type: </w:t>
            </w:r>
            <w:r w:rsidRPr="001565DB">
              <w:rPr>
                <w:rFonts w:ascii="Arial Narrow" w:eastAsia="Calibri" w:hAnsi="Arial Narrow"/>
                <w:kern w:val="2"/>
                <w:sz w:val="20"/>
                <w:szCs w:val="20"/>
                <w14:ligatures w14:val="standardContextual"/>
              </w:rPr>
              <w:fldChar w:fldCharType="begin">
                <w:ffData>
                  <w:name w:val=""/>
                  <w:enabled/>
                  <w:calcOnExit w:val="0"/>
                  <w:checkBox>
                    <w:sizeAuto/>
                    <w:default w:val="1"/>
                  </w:checkBox>
                </w:ffData>
              </w:fldChar>
            </w:r>
            <w:r w:rsidRPr="001565DB">
              <w:rPr>
                <w:rFonts w:ascii="Arial Narrow" w:eastAsia="Calibri" w:hAnsi="Arial Narrow"/>
                <w:kern w:val="2"/>
                <w:sz w:val="20"/>
                <w:szCs w:val="20"/>
                <w14:ligatures w14:val="standardContextual"/>
              </w:rPr>
              <w:instrText xml:space="preserve"> FORMCHECKBOX </w:instrText>
            </w:r>
            <w:r w:rsidRPr="001565DB">
              <w:rPr>
                <w:rFonts w:ascii="Arial Narrow" w:eastAsia="Calibri" w:hAnsi="Arial Narrow"/>
                <w:kern w:val="2"/>
                <w:sz w:val="20"/>
                <w:szCs w:val="20"/>
                <w14:ligatures w14:val="standardContextual"/>
              </w:rPr>
            </w:r>
            <w:r w:rsidRPr="001565DB">
              <w:rPr>
                <w:rFonts w:ascii="Arial Narrow" w:eastAsia="Calibri" w:hAnsi="Arial Narrow"/>
                <w:kern w:val="2"/>
                <w:sz w:val="20"/>
                <w:szCs w:val="20"/>
                <w14:ligatures w14:val="standardContextual"/>
              </w:rPr>
              <w:fldChar w:fldCharType="separate"/>
            </w:r>
            <w:r w:rsidRPr="001565DB">
              <w:rPr>
                <w:rFonts w:ascii="Arial Narrow" w:eastAsia="Calibri" w:hAnsi="Arial Narrow"/>
                <w:kern w:val="2"/>
                <w:sz w:val="20"/>
                <w:szCs w:val="20"/>
                <w14:ligatures w14:val="standardContextual"/>
              </w:rPr>
              <w:fldChar w:fldCharType="end"/>
            </w:r>
            <w:r w:rsidRPr="001565DB">
              <w:rPr>
                <w:rFonts w:ascii="Arial Narrow" w:eastAsia="Calibri" w:hAnsi="Arial Narrow"/>
                <w:kern w:val="2"/>
                <w:sz w:val="20"/>
                <w:szCs w:val="20"/>
                <w14:ligatures w14:val="standardContextual"/>
              </w:rPr>
              <w:t xml:space="preserve"> Authority Required: </w:t>
            </w:r>
            <w:r w:rsidRPr="001249BC">
              <w:rPr>
                <w:rFonts w:ascii="Arial Narrow" w:eastAsia="Calibri" w:hAnsi="Arial Narrow"/>
                <w:strike/>
                <w:kern w:val="2"/>
                <w:sz w:val="20"/>
                <w:szCs w:val="20"/>
                <w14:ligatures w14:val="standardContextual"/>
              </w:rPr>
              <w:t>Streamlined</w:t>
            </w:r>
            <w:r>
              <w:rPr>
                <w:rFonts w:ascii="Arial Narrow" w:eastAsia="Calibri" w:hAnsi="Arial Narrow"/>
                <w:kern w:val="2"/>
                <w:sz w:val="20"/>
                <w:szCs w:val="20"/>
                <w14:ligatures w14:val="standardContextual"/>
              </w:rPr>
              <w:t xml:space="preserve"> </w:t>
            </w:r>
            <w:r w:rsidRPr="001249BC">
              <w:rPr>
                <w:rFonts w:ascii="Arial Narrow" w:eastAsia="Calibri" w:hAnsi="Arial Narrow"/>
                <w:i/>
                <w:iCs/>
                <w:kern w:val="2"/>
                <w:sz w:val="20"/>
                <w:szCs w:val="20"/>
                <w14:ligatures w14:val="standardContextual"/>
              </w:rPr>
              <w:t>immediate assessment (telephone/online)</w:t>
            </w:r>
          </w:p>
        </w:tc>
      </w:tr>
    </w:tbl>
    <w:tbl>
      <w:tblPr>
        <w:tblStyle w:val="TableGrid"/>
        <w:tblW w:w="5000" w:type="pct"/>
        <w:tblInd w:w="-5" w:type="dxa"/>
        <w:tblLayout w:type="fixed"/>
        <w:tblLook w:val="0000" w:firstRow="0" w:lastRow="0" w:firstColumn="0" w:lastColumn="0" w:noHBand="0" w:noVBand="0"/>
      </w:tblPr>
      <w:tblGrid>
        <w:gridCol w:w="360"/>
        <w:gridCol w:w="720"/>
        <w:gridCol w:w="7937"/>
      </w:tblGrid>
      <w:tr w:rsidR="00922FC6" w:rsidRPr="00B83435" w14:paraId="46022AE1" w14:textId="77777777" w:rsidTr="00DE0F83">
        <w:trPr>
          <w:trHeight w:val="20"/>
        </w:trPr>
        <w:tc>
          <w:tcPr>
            <w:tcW w:w="360" w:type="dxa"/>
            <w:vMerge w:val="restart"/>
            <w:tcBorders>
              <w:bottom w:val="nil"/>
            </w:tcBorders>
            <w:textDirection w:val="btLr"/>
          </w:tcPr>
          <w:p w14:paraId="28098335" w14:textId="77777777" w:rsidR="00922FC6" w:rsidRPr="00B83435" w:rsidRDefault="00922FC6" w:rsidP="00C057C9">
            <w:pPr>
              <w:jc w:val="center"/>
              <w:rPr>
                <w:rFonts w:ascii="Arial Narrow" w:hAnsi="Arial Narrow"/>
                <w:i/>
                <w:iCs/>
                <w:sz w:val="20"/>
                <w:szCs w:val="20"/>
              </w:rPr>
            </w:pPr>
            <w:r w:rsidRPr="00B83435">
              <w:rPr>
                <w:rFonts w:ascii="Arial Narrow" w:hAnsi="Arial Narrow"/>
                <w:i/>
                <w:iCs/>
                <w:sz w:val="20"/>
                <w:szCs w:val="20"/>
              </w:rPr>
              <w:t>Prescribing rule level</w:t>
            </w:r>
          </w:p>
        </w:tc>
        <w:tc>
          <w:tcPr>
            <w:tcW w:w="720" w:type="dxa"/>
          </w:tcPr>
          <w:p w14:paraId="0FFB5223" w14:textId="6811BFE3" w:rsidR="00922FC6" w:rsidRPr="00B83435" w:rsidRDefault="00922FC6" w:rsidP="00C057C9">
            <w:pPr>
              <w:jc w:val="center"/>
              <w:rPr>
                <w:rFonts w:ascii="Arial Narrow" w:hAnsi="Arial Narrow" w:cs="Open Sans"/>
                <w:i/>
                <w:iCs/>
                <w:color w:val="333333"/>
                <w:sz w:val="20"/>
                <w:szCs w:val="20"/>
              </w:rPr>
            </w:pPr>
          </w:p>
        </w:tc>
        <w:tc>
          <w:tcPr>
            <w:tcW w:w="7938" w:type="dxa"/>
          </w:tcPr>
          <w:p w14:paraId="378ABFF0"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Caution:</w:t>
            </w:r>
          </w:p>
          <w:p w14:paraId="60F22F01" w14:textId="77777777" w:rsidR="00922FC6" w:rsidRPr="00B83435" w:rsidRDefault="00922FC6" w:rsidP="00C057C9">
            <w:pPr>
              <w:pStyle w:val="NormalWeb"/>
              <w:spacing w:before="0" w:after="0"/>
              <w:textAlignment w:val="baseline"/>
              <w:rPr>
                <w:rStyle w:val="Strong"/>
                <w:rFonts w:ascii="Arial Narrow" w:eastAsiaTheme="majorEastAsia" w:hAnsi="Arial Narrow" w:cs="Open Sans"/>
                <w:i/>
                <w:iCs/>
                <w:color w:val="333333"/>
                <w:sz w:val="20"/>
                <w:szCs w:val="20"/>
                <w:bdr w:val="none" w:sz="0" w:space="0" w:color="auto" w:frame="1"/>
              </w:rPr>
            </w:pPr>
            <w:r w:rsidRPr="00B83435">
              <w:rPr>
                <w:rFonts w:ascii="Arial Narrow" w:hAnsi="Arial Narrow" w:cs="Open Sans"/>
                <w:i/>
                <w:iCs/>
                <w:color w:val="333333"/>
                <w:sz w:val="20"/>
                <w:szCs w:val="20"/>
              </w:rPr>
              <w:t>Hepatic decompensation and failure, in some cases fatal, have been reported in post-marketing reports in patients with moderate to severe hepatic impairment when dosed incorrectly.</w:t>
            </w:r>
          </w:p>
        </w:tc>
      </w:tr>
      <w:tr w:rsidR="00922FC6" w:rsidRPr="00B83435" w14:paraId="52F48294" w14:textId="77777777" w:rsidTr="00DE0F83">
        <w:trPr>
          <w:trHeight w:val="20"/>
        </w:trPr>
        <w:tc>
          <w:tcPr>
            <w:tcW w:w="360" w:type="dxa"/>
            <w:vMerge/>
            <w:tcBorders>
              <w:bottom w:val="nil"/>
            </w:tcBorders>
            <w:textDirection w:val="btLr"/>
          </w:tcPr>
          <w:p w14:paraId="5C33DAB2" w14:textId="77777777" w:rsidR="00922FC6" w:rsidRPr="00B83435" w:rsidRDefault="00922FC6" w:rsidP="00C057C9">
            <w:pPr>
              <w:jc w:val="center"/>
              <w:rPr>
                <w:rFonts w:ascii="Arial Narrow" w:hAnsi="Arial Narrow"/>
                <w:i/>
                <w:iCs/>
                <w:sz w:val="20"/>
                <w:szCs w:val="20"/>
              </w:rPr>
            </w:pPr>
          </w:p>
        </w:tc>
        <w:tc>
          <w:tcPr>
            <w:tcW w:w="720" w:type="dxa"/>
          </w:tcPr>
          <w:p w14:paraId="4C59BA27" w14:textId="0BFB60B4" w:rsidR="00922FC6" w:rsidRPr="00B83435" w:rsidRDefault="00922FC6" w:rsidP="00C057C9">
            <w:pPr>
              <w:jc w:val="center"/>
              <w:rPr>
                <w:rFonts w:ascii="Arial Narrow" w:hAnsi="Arial Narrow" w:cs="Open Sans"/>
                <w:i/>
                <w:iCs/>
                <w:strike/>
                <w:color w:val="333333"/>
                <w:sz w:val="20"/>
                <w:szCs w:val="20"/>
              </w:rPr>
            </w:pPr>
          </w:p>
        </w:tc>
        <w:tc>
          <w:tcPr>
            <w:tcW w:w="7938" w:type="dxa"/>
          </w:tcPr>
          <w:p w14:paraId="29473BB1" w14:textId="77777777" w:rsidR="00922FC6" w:rsidRPr="00B83435" w:rsidRDefault="00922FC6" w:rsidP="00C057C9">
            <w:pPr>
              <w:pStyle w:val="NormalWeb"/>
              <w:shd w:val="clear" w:color="auto" w:fill="FFFFFF" w:themeFill="background1"/>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2CC9C0C1" w14:textId="77777777" w:rsidR="00922FC6" w:rsidRPr="00B83435" w:rsidRDefault="00922FC6" w:rsidP="00C057C9">
            <w:pPr>
              <w:pStyle w:val="NormalWeb"/>
              <w:spacing w:before="0" w:after="0"/>
              <w:textAlignment w:val="baseline"/>
              <w:rPr>
                <w:rStyle w:val="Strong"/>
                <w:rFonts w:ascii="Arial Narrow" w:hAnsi="Arial Narrow"/>
                <w:b w:val="0"/>
                <w:bCs w:val="0"/>
                <w:i/>
                <w:iCs/>
                <w:sz w:val="20"/>
                <w:szCs w:val="20"/>
              </w:rPr>
            </w:pPr>
            <w:r w:rsidRPr="00B83435">
              <w:rPr>
                <w:rFonts w:ascii="Arial Narrow" w:hAnsi="Arial Narrow"/>
                <w:i/>
                <w:iCs/>
                <w:sz w:val="20"/>
                <w:szCs w:val="20"/>
              </w:rPr>
              <w:t xml:space="preserve">Not for use in the treatment of sclerosing cholangitis </w:t>
            </w:r>
          </w:p>
        </w:tc>
      </w:tr>
      <w:tr w:rsidR="00922FC6" w:rsidRPr="00B83435" w14:paraId="57A8961F" w14:textId="77777777" w:rsidTr="00DE0F83">
        <w:trPr>
          <w:trHeight w:val="20"/>
        </w:trPr>
        <w:tc>
          <w:tcPr>
            <w:tcW w:w="360" w:type="dxa"/>
            <w:vMerge/>
            <w:tcBorders>
              <w:bottom w:val="nil"/>
            </w:tcBorders>
            <w:textDirection w:val="btLr"/>
          </w:tcPr>
          <w:p w14:paraId="09425923" w14:textId="77777777" w:rsidR="00922FC6" w:rsidRPr="00B83435" w:rsidRDefault="00922FC6" w:rsidP="00C057C9">
            <w:pPr>
              <w:jc w:val="center"/>
              <w:rPr>
                <w:rFonts w:ascii="Arial Narrow" w:hAnsi="Arial Narrow"/>
                <w:i/>
                <w:iCs/>
                <w:sz w:val="20"/>
                <w:szCs w:val="20"/>
              </w:rPr>
            </w:pPr>
          </w:p>
        </w:tc>
        <w:tc>
          <w:tcPr>
            <w:tcW w:w="720" w:type="dxa"/>
          </w:tcPr>
          <w:p w14:paraId="5162405F" w14:textId="45B988D2" w:rsidR="00922FC6" w:rsidRPr="00B83435" w:rsidRDefault="00922FC6" w:rsidP="00C057C9">
            <w:pPr>
              <w:jc w:val="center"/>
              <w:rPr>
                <w:rFonts w:ascii="Arial Narrow" w:hAnsi="Arial Narrow" w:cs="Open Sans"/>
                <w:i/>
                <w:iCs/>
                <w:color w:val="333333"/>
                <w:sz w:val="20"/>
                <w:szCs w:val="20"/>
              </w:rPr>
            </w:pPr>
          </w:p>
        </w:tc>
        <w:tc>
          <w:tcPr>
            <w:tcW w:w="7938" w:type="dxa"/>
          </w:tcPr>
          <w:p w14:paraId="414C603E"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2A14FB4C"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Fonts w:ascii="Arial Narrow" w:hAnsi="Arial Narrow" w:cs="Open Sans"/>
                <w:b/>
                <w:i/>
                <w:iCs/>
                <w:color w:val="333333"/>
                <w:sz w:val="20"/>
                <w:szCs w:val="20"/>
                <w:bdr w:val="none" w:sz="0" w:space="0" w:color="auto" w:frame="1"/>
              </w:rPr>
              <w:t>Continuing Therapy Only:</w:t>
            </w:r>
          </w:p>
          <w:p w14:paraId="01F9651C" w14:textId="77777777" w:rsidR="00922FC6" w:rsidRPr="00B83435" w:rsidRDefault="00922FC6" w:rsidP="00C057C9">
            <w:pPr>
              <w:pStyle w:val="NormalWeb"/>
              <w:shd w:val="clear" w:color="auto" w:fill="FFFFFF" w:themeFill="background1"/>
              <w:spacing w:before="0" w:after="0"/>
              <w:textAlignment w:val="baseline"/>
              <w:rPr>
                <w:rStyle w:val="Strong"/>
                <w:rFonts w:ascii="Arial Narrow" w:eastAsiaTheme="majorEastAsia" w:hAnsi="Arial Narrow" w:cs="Open Sans"/>
                <w:i/>
                <w:iCs/>
                <w:color w:val="333333"/>
                <w:sz w:val="20"/>
                <w:szCs w:val="20"/>
                <w:bdr w:val="none" w:sz="0" w:space="0" w:color="auto" w:frame="1"/>
              </w:rPr>
            </w:pPr>
            <w:r w:rsidRPr="00B83435">
              <w:rPr>
                <w:rFonts w:ascii="Arial Narrow" w:hAnsi="Arial Narrow" w:cs="Open Sans"/>
                <w:i/>
                <w:i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22FC6" w:rsidRPr="00B83435" w14:paraId="45E4187B" w14:textId="77777777" w:rsidTr="00DE0F83">
        <w:trPr>
          <w:trHeight w:val="20"/>
        </w:trPr>
        <w:tc>
          <w:tcPr>
            <w:tcW w:w="360" w:type="dxa"/>
            <w:vMerge/>
            <w:tcBorders>
              <w:bottom w:val="nil"/>
            </w:tcBorders>
            <w:textDirection w:val="btLr"/>
          </w:tcPr>
          <w:p w14:paraId="799410E2" w14:textId="77777777" w:rsidR="00922FC6" w:rsidRPr="00B83435" w:rsidRDefault="00922FC6" w:rsidP="00C057C9">
            <w:pPr>
              <w:rPr>
                <w:rFonts w:ascii="Arial Narrow" w:hAnsi="Arial Narrow"/>
                <w:i/>
                <w:iCs/>
                <w:sz w:val="20"/>
                <w:szCs w:val="20"/>
              </w:rPr>
            </w:pPr>
          </w:p>
        </w:tc>
        <w:tc>
          <w:tcPr>
            <w:tcW w:w="720" w:type="dxa"/>
          </w:tcPr>
          <w:p w14:paraId="405894FA" w14:textId="79C2B94D" w:rsidR="00922FC6" w:rsidRPr="00B83435" w:rsidRDefault="00922FC6" w:rsidP="00C057C9">
            <w:pPr>
              <w:jc w:val="center"/>
              <w:rPr>
                <w:rFonts w:ascii="Arial Narrow" w:hAnsi="Arial Narrow" w:cs="Open Sans"/>
                <w:i/>
                <w:iCs/>
                <w:color w:val="333333"/>
                <w:sz w:val="20"/>
                <w:szCs w:val="20"/>
              </w:rPr>
            </w:pPr>
          </w:p>
        </w:tc>
        <w:tc>
          <w:tcPr>
            <w:tcW w:w="7938" w:type="dxa"/>
          </w:tcPr>
          <w:p w14:paraId="215823CC" w14:textId="77777777" w:rsidR="00922FC6" w:rsidRPr="00B83435" w:rsidRDefault="00922FC6" w:rsidP="00C057C9">
            <w:pPr>
              <w:pStyle w:val="NormalWeb"/>
              <w:spacing w:before="0" w:after="0"/>
              <w:rPr>
                <w:rStyle w:val="Strong"/>
                <w:rFonts w:ascii="Arial Narrow" w:eastAsiaTheme="majorEastAsia" w:hAnsi="Arial Narrow" w:cs="Open Sans"/>
                <w:i/>
                <w:iCs/>
                <w:color w:val="333333"/>
                <w:sz w:val="20"/>
                <w:szCs w:val="20"/>
              </w:rPr>
            </w:pPr>
            <w:r w:rsidRPr="00B83435">
              <w:rPr>
                <w:rStyle w:val="Strong"/>
                <w:rFonts w:ascii="Arial Narrow" w:eastAsiaTheme="majorEastAsia" w:hAnsi="Arial Narrow" w:cs="Open Sans"/>
                <w:i/>
                <w:iCs/>
                <w:color w:val="333333"/>
                <w:sz w:val="20"/>
                <w:szCs w:val="20"/>
              </w:rPr>
              <w:t>Administrative Advice:</w:t>
            </w:r>
          </w:p>
          <w:p w14:paraId="4D620EF1" w14:textId="77777777" w:rsidR="00922FC6" w:rsidRPr="00EB01F2" w:rsidRDefault="00922FC6" w:rsidP="00C057C9">
            <w:pPr>
              <w:pStyle w:val="NormalWeb"/>
              <w:spacing w:before="0" w:after="0"/>
              <w:rPr>
                <w:rStyle w:val="Strong"/>
                <w:rFonts w:ascii="Arial Narrow" w:eastAsiaTheme="majorEastAsia" w:hAnsi="Arial Narrow" w:cs="Open Sans"/>
                <w:b w:val="0"/>
                <w:bCs w:val="0"/>
                <w:i/>
                <w:iCs/>
                <w:color w:val="333333"/>
                <w:sz w:val="20"/>
                <w:szCs w:val="20"/>
              </w:rPr>
            </w:pPr>
            <w:r w:rsidRPr="00EB01F2">
              <w:rPr>
                <w:rStyle w:val="Strong"/>
                <w:rFonts w:ascii="Arial Narrow" w:eastAsiaTheme="majorEastAsia" w:hAnsi="Arial Narrow" w:cs="Open Sans"/>
                <w:b w:val="0"/>
                <w:bCs w:val="0"/>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922FC6" w:rsidRPr="00B83435" w14:paraId="646878CF" w14:textId="77777777" w:rsidTr="00DE0F83">
        <w:trPr>
          <w:trHeight w:val="20"/>
        </w:trPr>
        <w:tc>
          <w:tcPr>
            <w:tcW w:w="360" w:type="dxa"/>
            <w:vMerge/>
            <w:tcBorders>
              <w:bottom w:val="nil"/>
            </w:tcBorders>
            <w:textDirection w:val="btLr"/>
          </w:tcPr>
          <w:p w14:paraId="5A8BF3DC" w14:textId="77777777" w:rsidR="00922FC6" w:rsidRPr="00B83435" w:rsidRDefault="00922FC6" w:rsidP="00C057C9">
            <w:pPr>
              <w:jc w:val="center"/>
              <w:rPr>
                <w:rFonts w:ascii="Arial Narrow" w:hAnsi="Arial Narrow"/>
                <w:i/>
                <w:iCs/>
                <w:sz w:val="20"/>
                <w:szCs w:val="20"/>
              </w:rPr>
            </w:pPr>
          </w:p>
        </w:tc>
        <w:tc>
          <w:tcPr>
            <w:tcW w:w="720" w:type="dxa"/>
          </w:tcPr>
          <w:p w14:paraId="46171C35" w14:textId="3E4BB715" w:rsidR="00922FC6" w:rsidRPr="00B83435" w:rsidRDefault="00922FC6" w:rsidP="00C057C9">
            <w:pPr>
              <w:jc w:val="center"/>
              <w:rPr>
                <w:rFonts w:ascii="Arial Narrow" w:hAnsi="Arial Narrow"/>
                <w:i/>
                <w:iCs/>
                <w:color w:val="333333"/>
                <w:sz w:val="20"/>
                <w:szCs w:val="20"/>
              </w:rPr>
            </w:pPr>
          </w:p>
        </w:tc>
        <w:tc>
          <w:tcPr>
            <w:tcW w:w="7938" w:type="dxa"/>
          </w:tcPr>
          <w:p w14:paraId="7FA1FC8F"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0462FBF4" w14:textId="77777777" w:rsidR="00922FC6" w:rsidRPr="00B83435" w:rsidRDefault="00922FC6" w:rsidP="00C057C9">
            <w:pPr>
              <w:rPr>
                <w:rFonts w:ascii="Arial Narrow" w:hAnsi="Arial Narrow"/>
                <w:i/>
                <w:iCs/>
                <w:color w:val="333333"/>
                <w:sz w:val="20"/>
                <w:szCs w:val="20"/>
              </w:rPr>
            </w:pPr>
            <w:r w:rsidRPr="00B83435">
              <w:rPr>
                <w:rFonts w:ascii="Arial Narrow" w:hAnsi="Arial Narrow" w:cs="Open Sans"/>
                <w:i/>
                <w:iCs/>
                <w:color w:val="333333"/>
                <w:sz w:val="20"/>
                <w:szCs w:val="20"/>
              </w:rPr>
              <w:t>No increase in the maximum quantity or number of units may be authorised.</w:t>
            </w:r>
          </w:p>
        </w:tc>
      </w:tr>
      <w:tr w:rsidR="00922FC6" w:rsidRPr="00B83435" w14:paraId="61586CAA" w14:textId="77777777" w:rsidTr="00DE0F83">
        <w:trPr>
          <w:trHeight w:val="20"/>
        </w:trPr>
        <w:tc>
          <w:tcPr>
            <w:tcW w:w="360" w:type="dxa"/>
            <w:vMerge/>
            <w:tcBorders>
              <w:bottom w:val="nil"/>
            </w:tcBorders>
          </w:tcPr>
          <w:p w14:paraId="16EF8DBF" w14:textId="77777777" w:rsidR="00922FC6" w:rsidRPr="00B83435" w:rsidRDefault="00922FC6" w:rsidP="00C057C9">
            <w:pPr>
              <w:rPr>
                <w:rFonts w:ascii="Arial Narrow" w:hAnsi="Arial Narrow"/>
                <w:i/>
                <w:iCs/>
                <w:sz w:val="20"/>
                <w:szCs w:val="20"/>
              </w:rPr>
            </w:pPr>
          </w:p>
        </w:tc>
        <w:tc>
          <w:tcPr>
            <w:tcW w:w="720" w:type="dxa"/>
            <w:tcBorders>
              <w:bottom w:val="single" w:sz="4" w:space="0" w:color="auto"/>
            </w:tcBorders>
          </w:tcPr>
          <w:p w14:paraId="7F1D851E" w14:textId="79BB810F" w:rsidR="00922FC6" w:rsidRPr="00B83435" w:rsidRDefault="00922FC6" w:rsidP="00C057C9">
            <w:pPr>
              <w:jc w:val="center"/>
              <w:rPr>
                <w:rFonts w:ascii="Arial Narrow" w:hAnsi="Arial Narrow"/>
                <w:i/>
                <w:iCs/>
                <w:color w:val="333333"/>
                <w:sz w:val="20"/>
                <w:szCs w:val="20"/>
              </w:rPr>
            </w:pPr>
          </w:p>
        </w:tc>
        <w:tc>
          <w:tcPr>
            <w:tcW w:w="7938" w:type="dxa"/>
            <w:tcBorders>
              <w:bottom w:val="single" w:sz="4" w:space="0" w:color="auto"/>
            </w:tcBorders>
          </w:tcPr>
          <w:p w14:paraId="2A88BA99"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5A6B4C3B" w14:textId="77777777" w:rsidR="00922FC6" w:rsidRPr="00B83435" w:rsidRDefault="00922FC6" w:rsidP="00C057C9">
            <w:pPr>
              <w:rPr>
                <w:rFonts w:ascii="Arial Narrow" w:hAnsi="Arial Narrow"/>
                <w:b/>
                <w:i/>
                <w:iCs/>
                <w:color w:val="333333"/>
                <w:sz w:val="20"/>
                <w:szCs w:val="20"/>
              </w:rPr>
            </w:pPr>
            <w:r w:rsidRPr="00B83435">
              <w:rPr>
                <w:rFonts w:ascii="Arial Narrow" w:hAnsi="Arial Narrow" w:cs="Open Sans"/>
                <w:i/>
                <w:iCs/>
                <w:color w:val="333333"/>
                <w:sz w:val="20"/>
                <w:szCs w:val="20"/>
              </w:rPr>
              <w:t>No increase in the maximum number of repeats may be authorised.</w:t>
            </w:r>
          </w:p>
        </w:tc>
      </w:tr>
      <w:tr w:rsidR="00922FC6" w:rsidRPr="00B83435" w14:paraId="1FD1487B" w14:textId="77777777" w:rsidTr="00DE0F83">
        <w:trPr>
          <w:trHeight w:val="20"/>
        </w:trPr>
        <w:tc>
          <w:tcPr>
            <w:tcW w:w="360" w:type="dxa"/>
            <w:vMerge/>
            <w:tcBorders>
              <w:bottom w:val="nil"/>
            </w:tcBorders>
          </w:tcPr>
          <w:p w14:paraId="184DB1EB" w14:textId="77777777" w:rsidR="00922FC6" w:rsidRPr="00B83435" w:rsidRDefault="00922FC6" w:rsidP="00C057C9">
            <w:pPr>
              <w:rPr>
                <w:rFonts w:ascii="Arial Narrow" w:hAnsi="Arial Narrow"/>
                <w:i/>
                <w:iCs/>
                <w:sz w:val="20"/>
                <w:szCs w:val="20"/>
              </w:rPr>
            </w:pPr>
          </w:p>
        </w:tc>
        <w:tc>
          <w:tcPr>
            <w:tcW w:w="720" w:type="dxa"/>
            <w:tcBorders>
              <w:bottom w:val="nil"/>
            </w:tcBorders>
          </w:tcPr>
          <w:p w14:paraId="77AF3705" w14:textId="295313E3" w:rsidR="00922FC6" w:rsidRPr="00B83435" w:rsidRDefault="00922FC6" w:rsidP="00C057C9">
            <w:pPr>
              <w:jc w:val="center"/>
              <w:rPr>
                <w:rFonts w:ascii="Arial Narrow" w:hAnsi="Arial Narrow"/>
                <w:i/>
                <w:iCs/>
                <w:color w:val="333333"/>
                <w:sz w:val="20"/>
                <w:szCs w:val="20"/>
              </w:rPr>
            </w:pPr>
          </w:p>
        </w:tc>
        <w:tc>
          <w:tcPr>
            <w:tcW w:w="7938" w:type="dxa"/>
            <w:tcBorders>
              <w:bottom w:val="nil"/>
            </w:tcBorders>
          </w:tcPr>
          <w:p w14:paraId="17DEB2EE" w14:textId="77777777" w:rsidR="00922FC6" w:rsidRPr="00B83435" w:rsidRDefault="00922FC6" w:rsidP="00C057C9">
            <w:pPr>
              <w:pStyle w:val="NormalWeb"/>
              <w:spacing w:before="0" w:after="0"/>
              <w:textAlignment w:val="baseline"/>
              <w:rPr>
                <w:rFonts w:ascii="Arial Narrow" w:hAnsi="Arial Narrow" w:cs="Open Sans"/>
                <w:i/>
                <w:iCs/>
                <w:color w:val="333333"/>
                <w:sz w:val="20"/>
                <w:szCs w:val="20"/>
              </w:rPr>
            </w:pPr>
            <w:r w:rsidRPr="00B83435">
              <w:rPr>
                <w:rStyle w:val="Strong"/>
                <w:rFonts w:ascii="Arial Narrow" w:eastAsiaTheme="majorEastAsia" w:hAnsi="Arial Narrow" w:cs="Open Sans"/>
                <w:i/>
                <w:iCs/>
                <w:color w:val="333333"/>
                <w:sz w:val="20"/>
                <w:szCs w:val="20"/>
                <w:bdr w:val="none" w:sz="0" w:space="0" w:color="auto" w:frame="1"/>
              </w:rPr>
              <w:t>Administrative Advice:</w:t>
            </w:r>
          </w:p>
          <w:p w14:paraId="55830E88" w14:textId="77777777" w:rsidR="00922FC6" w:rsidRPr="00B83435" w:rsidRDefault="00922FC6" w:rsidP="00C057C9">
            <w:pPr>
              <w:rPr>
                <w:rFonts w:ascii="Arial Narrow" w:hAnsi="Arial Narrow"/>
                <w:b/>
                <w:i/>
                <w:iCs/>
                <w:color w:val="333333"/>
                <w:sz w:val="20"/>
                <w:szCs w:val="20"/>
              </w:rPr>
            </w:pPr>
            <w:r w:rsidRPr="00B83435">
              <w:rPr>
                <w:rFonts w:ascii="Arial Narrow" w:hAnsi="Arial Narrow" w:cs="Open Sans"/>
                <w:i/>
                <w:iCs/>
                <w:color w:val="333333"/>
                <w:sz w:val="20"/>
                <w:szCs w:val="20"/>
              </w:rPr>
              <w:t>Special Pricing Arrangements apply.</w:t>
            </w:r>
          </w:p>
        </w:tc>
      </w:tr>
    </w:tbl>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7943"/>
      </w:tblGrid>
      <w:tr w:rsidR="00922FC6" w:rsidRPr="001565DB" w14:paraId="65C9621B" w14:textId="77777777" w:rsidTr="00C057C9">
        <w:tc>
          <w:tcPr>
            <w:tcW w:w="606" w:type="pct"/>
            <w:tcBorders>
              <w:left w:val="single" w:sz="4" w:space="0" w:color="auto"/>
              <w:right w:val="single" w:sz="4" w:space="0" w:color="auto"/>
            </w:tcBorders>
          </w:tcPr>
          <w:p w14:paraId="3AD65EB1" w14:textId="732EB39E"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CFB7521"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Indication:</w:t>
            </w:r>
            <w:r>
              <w:rPr>
                <w:rFonts w:ascii="Arial Narrow" w:hAnsi="Arial Narrow" w:cs="Open Sans"/>
                <w:b/>
                <w:bCs/>
                <w:color w:val="333333"/>
                <w:sz w:val="20"/>
                <w:szCs w:val="20"/>
                <w:bdr w:val="none" w:sz="0" w:space="0" w:color="auto" w:frame="1"/>
              </w:rPr>
              <w:t xml:space="preserve"> </w:t>
            </w:r>
            <w:r w:rsidRPr="001565DB">
              <w:rPr>
                <w:rFonts w:ascii="Arial Narrow" w:hAnsi="Arial Narrow" w:cs="Open Sans"/>
                <w:color w:val="333333"/>
                <w:sz w:val="20"/>
                <w:szCs w:val="20"/>
              </w:rPr>
              <w:t>Primary biliary cholangitis (previously known as Primary biliary cirrhosis)</w:t>
            </w:r>
          </w:p>
        </w:tc>
      </w:tr>
      <w:tr w:rsidR="00922FC6" w:rsidRPr="001565DB" w14:paraId="02865568" w14:textId="77777777" w:rsidTr="00C057C9">
        <w:tc>
          <w:tcPr>
            <w:tcW w:w="606" w:type="pct"/>
            <w:tcBorders>
              <w:left w:val="single" w:sz="4" w:space="0" w:color="auto"/>
              <w:right w:val="single" w:sz="4" w:space="0" w:color="auto"/>
            </w:tcBorders>
          </w:tcPr>
          <w:p w14:paraId="79C58DF5"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2AE3DC47" w14:textId="77777777" w:rsidR="00922FC6" w:rsidRPr="001565DB" w:rsidRDefault="00922FC6" w:rsidP="00C057C9">
            <w:pPr>
              <w:textAlignment w:val="baseline"/>
              <w:rPr>
                <w:rFonts w:ascii="Arial Narrow" w:hAnsi="Arial Narrow" w:cs="Open San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Treatment Phase:</w:t>
            </w:r>
            <w:r w:rsidRPr="001565DB">
              <w:rPr>
                <w:rFonts w:ascii="Arial Narrow" w:hAnsi="Arial Narrow" w:cs="Open Sans"/>
                <w:color w:val="333333"/>
                <w:sz w:val="20"/>
                <w:szCs w:val="20"/>
                <w:bdr w:val="none" w:sz="0" w:space="0" w:color="auto" w:frame="1"/>
              </w:rPr>
              <w:t xml:space="preserve"> Transitioning from non-PBS to PBS subsidised supply - Grandfather arrangements</w:t>
            </w:r>
          </w:p>
        </w:tc>
      </w:tr>
      <w:tr w:rsidR="00922FC6" w:rsidRPr="001565DB" w14:paraId="135D5C06" w14:textId="77777777" w:rsidTr="00C057C9">
        <w:tc>
          <w:tcPr>
            <w:tcW w:w="606" w:type="pct"/>
            <w:tcBorders>
              <w:left w:val="single" w:sz="4" w:space="0" w:color="auto"/>
              <w:right w:val="single" w:sz="4" w:space="0" w:color="auto"/>
            </w:tcBorders>
          </w:tcPr>
          <w:p w14:paraId="76872070" w14:textId="61ADB18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8F46898" w14:textId="77777777" w:rsidR="00922FC6" w:rsidRPr="00E8102F" w:rsidRDefault="00922FC6" w:rsidP="00C057C9">
            <w:pPr>
              <w:textAlignment w:val="baseline"/>
              <w:rPr>
                <w:rFonts w:ascii="Arial Narrow" w:hAnsi="Arial Narrow" w:cs="Open Sans"/>
                <w:b/>
                <w:bCs/>
                <w:i/>
                <w:iCs/>
                <w:color w:val="333333"/>
                <w:sz w:val="20"/>
                <w:szCs w:val="20"/>
                <w:bdr w:val="none" w:sz="0" w:space="0" w:color="auto" w:frame="1"/>
              </w:rPr>
            </w:pPr>
            <w:r w:rsidRPr="00E8102F">
              <w:rPr>
                <w:rFonts w:ascii="Arial Narrow" w:hAnsi="Arial Narrow" w:cs="Open Sans"/>
                <w:b/>
                <w:bCs/>
                <w:i/>
                <w:iCs/>
                <w:color w:val="333333"/>
                <w:sz w:val="20"/>
                <w:szCs w:val="20"/>
                <w:bdr w:val="none" w:sz="0" w:space="0" w:color="auto" w:frame="1"/>
              </w:rPr>
              <w:t>Clinical criteria:</w:t>
            </w:r>
          </w:p>
        </w:tc>
      </w:tr>
      <w:tr w:rsidR="00922FC6" w:rsidRPr="001565DB" w14:paraId="3E927DB0" w14:textId="77777777" w:rsidTr="00C057C9">
        <w:tc>
          <w:tcPr>
            <w:tcW w:w="606" w:type="pct"/>
            <w:tcBorders>
              <w:left w:val="single" w:sz="4" w:space="0" w:color="auto"/>
              <w:right w:val="single" w:sz="4" w:space="0" w:color="auto"/>
            </w:tcBorders>
          </w:tcPr>
          <w:p w14:paraId="7FA00C9F" w14:textId="5F806F11"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A1123AD" w14:textId="77777777" w:rsidR="00922FC6" w:rsidRPr="00E8102F" w:rsidRDefault="00922FC6" w:rsidP="00C057C9">
            <w:pPr>
              <w:textAlignment w:val="baseline"/>
              <w:rPr>
                <w:rFonts w:ascii="Arial Narrow" w:hAnsi="Arial Narrow" w:cs="Open Sans"/>
                <w:i/>
                <w:iCs/>
                <w:color w:val="333333"/>
                <w:sz w:val="20"/>
                <w:szCs w:val="20"/>
                <w:bdr w:val="none" w:sz="0" w:space="0" w:color="auto" w:frame="1"/>
              </w:rPr>
            </w:pPr>
            <w:r w:rsidRPr="00E8102F">
              <w:rPr>
                <w:rFonts w:ascii="Arial Narrow" w:hAnsi="Arial Narrow" w:cs="Open Sans"/>
                <w:i/>
                <w:iCs/>
                <w:color w:val="333333"/>
                <w:sz w:val="20"/>
                <w:szCs w:val="20"/>
                <w:bdr w:val="none" w:sz="0" w:space="0" w:color="auto" w:frame="1"/>
              </w:rPr>
              <w:t>Patient must have received treatment with this drug for this PBS indication prior to [Date]</w:t>
            </w:r>
          </w:p>
        </w:tc>
      </w:tr>
      <w:tr w:rsidR="00922FC6" w:rsidRPr="001565DB" w14:paraId="594B3009" w14:textId="77777777" w:rsidTr="00C057C9">
        <w:tc>
          <w:tcPr>
            <w:tcW w:w="606" w:type="pct"/>
            <w:tcBorders>
              <w:left w:val="single" w:sz="4" w:space="0" w:color="auto"/>
              <w:right w:val="single" w:sz="4" w:space="0" w:color="auto"/>
            </w:tcBorders>
          </w:tcPr>
          <w:p w14:paraId="14EC9A9D" w14:textId="5D31D603"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3F42C0F"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Treatment criteria:</w:t>
            </w:r>
          </w:p>
        </w:tc>
      </w:tr>
      <w:tr w:rsidR="00922FC6" w:rsidRPr="001565DB" w14:paraId="5AB04E6F" w14:textId="77777777" w:rsidTr="00C057C9">
        <w:tc>
          <w:tcPr>
            <w:tcW w:w="606" w:type="pct"/>
            <w:tcBorders>
              <w:left w:val="single" w:sz="4" w:space="0" w:color="auto"/>
              <w:right w:val="single" w:sz="4" w:space="0" w:color="auto"/>
            </w:tcBorders>
          </w:tcPr>
          <w:p w14:paraId="347EBB63" w14:textId="5BEC0E13"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CE790F0"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 xml:space="preserve">Must be treated by a prescriber who is either: (i) a gastroenterologist, (ii) a hepatologist; </w:t>
            </w:r>
          </w:p>
        </w:tc>
      </w:tr>
      <w:tr w:rsidR="00922FC6" w:rsidRPr="001565DB" w14:paraId="7F1C9D80" w14:textId="77777777" w:rsidTr="00C057C9">
        <w:tc>
          <w:tcPr>
            <w:tcW w:w="606" w:type="pct"/>
            <w:tcBorders>
              <w:left w:val="single" w:sz="4" w:space="0" w:color="auto"/>
              <w:right w:val="single" w:sz="4" w:space="0" w:color="auto"/>
            </w:tcBorders>
          </w:tcPr>
          <w:p w14:paraId="38BDCCEB" w14:textId="77777777" w:rsidR="00922FC6" w:rsidRPr="007D6020"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46B2FFB"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0209D22F" w14:textId="77777777" w:rsidTr="00C057C9">
        <w:tc>
          <w:tcPr>
            <w:tcW w:w="606" w:type="pct"/>
            <w:tcBorders>
              <w:left w:val="single" w:sz="4" w:space="0" w:color="auto"/>
              <w:right w:val="single" w:sz="4" w:space="0" w:color="auto"/>
            </w:tcBorders>
          </w:tcPr>
          <w:p w14:paraId="07D3383B" w14:textId="09E4D8B4"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D20E54E"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Must be treated by an eligible practitioner type who has consulted at least one of the above mentioned specialist types</w:t>
            </w:r>
            <w:r w:rsidRPr="00E8102F">
              <w:rPr>
                <w:rFonts w:ascii="Arial Narrow" w:hAnsi="Arial Narrow" w:cs="Open Sans"/>
                <w:strike/>
                <w:color w:val="333333"/>
                <w:sz w:val="20"/>
                <w:szCs w:val="20"/>
              </w:rPr>
              <w:t>, with agreement reached that the patient should be treated with this pharmaceutical benefit on this occasion</w:t>
            </w:r>
          </w:p>
        </w:tc>
      </w:tr>
      <w:tr w:rsidR="00922FC6" w:rsidRPr="001565DB" w14:paraId="513450BB" w14:textId="77777777" w:rsidTr="00C057C9">
        <w:tc>
          <w:tcPr>
            <w:tcW w:w="606" w:type="pct"/>
            <w:tcBorders>
              <w:left w:val="single" w:sz="4" w:space="0" w:color="auto"/>
              <w:right w:val="single" w:sz="4" w:space="0" w:color="auto"/>
            </w:tcBorders>
          </w:tcPr>
          <w:p w14:paraId="4DD0F751"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4ACB8A4" w14:textId="77777777" w:rsidR="00922FC6" w:rsidRPr="001565DB" w:rsidRDefault="00922FC6" w:rsidP="00C057C9">
            <w:pPr>
              <w:textAlignment w:val="baseline"/>
              <w:rPr>
                <w:rFonts w:ascii="Arial Narrow" w:hAnsi="Arial Narrow" w:cs="Open Sans"/>
                <w:b/>
                <w:bCs/>
                <w:color w:val="333333"/>
                <w:sz w:val="20"/>
                <w:szCs w:val="20"/>
              </w:rPr>
            </w:pPr>
            <w:r w:rsidRPr="001565DB">
              <w:rPr>
                <w:rFonts w:ascii="Arial Narrow" w:hAnsi="Arial Narrow" w:cs="Open Sans"/>
                <w:b/>
                <w:bCs/>
                <w:color w:val="333333"/>
                <w:sz w:val="20"/>
                <w:szCs w:val="20"/>
              </w:rPr>
              <w:t>AND</w:t>
            </w:r>
          </w:p>
        </w:tc>
      </w:tr>
      <w:tr w:rsidR="00922FC6" w:rsidRPr="001565DB" w14:paraId="6FA27D4E" w14:textId="77777777" w:rsidTr="00C057C9">
        <w:tc>
          <w:tcPr>
            <w:tcW w:w="606" w:type="pct"/>
            <w:tcBorders>
              <w:left w:val="single" w:sz="4" w:space="0" w:color="auto"/>
              <w:right w:val="single" w:sz="4" w:space="0" w:color="auto"/>
            </w:tcBorders>
          </w:tcPr>
          <w:p w14:paraId="5F09F803" w14:textId="2B5A372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C7C8261"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Treatment criteria:</w:t>
            </w:r>
          </w:p>
        </w:tc>
      </w:tr>
      <w:tr w:rsidR="00922FC6" w:rsidRPr="001565DB" w14:paraId="002ED6C3" w14:textId="77777777" w:rsidTr="00C057C9">
        <w:tc>
          <w:tcPr>
            <w:tcW w:w="606" w:type="pct"/>
            <w:tcBorders>
              <w:left w:val="single" w:sz="4" w:space="0" w:color="auto"/>
              <w:right w:val="single" w:sz="4" w:space="0" w:color="auto"/>
            </w:tcBorders>
          </w:tcPr>
          <w:p w14:paraId="47AE10C6" w14:textId="3F028AC4"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BC64415"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Patient must be undergoing concurrent treatment with ursodeoxycholic acid</w:t>
            </w:r>
            <w:r w:rsidRPr="00E8102F">
              <w:rPr>
                <w:rFonts w:ascii="Arial Narrow" w:hAnsi="Arial Narrow" w:cs="Open Sans"/>
                <w:strike/>
                <w:color w:val="333333"/>
                <w:sz w:val="20"/>
                <w:szCs w:val="20"/>
              </w:rPr>
              <w:t>, following this authority application</w:t>
            </w:r>
            <w:r w:rsidRPr="001565DB">
              <w:rPr>
                <w:rFonts w:ascii="Arial Narrow" w:hAnsi="Arial Narrow" w:cs="Open Sans"/>
                <w:color w:val="333333"/>
                <w:sz w:val="20"/>
                <w:szCs w:val="20"/>
              </w:rPr>
              <w:t xml:space="preserve">; </w:t>
            </w:r>
          </w:p>
        </w:tc>
      </w:tr>
      <w:tr w:rsidR="00922FC6" w:rsidRPr="001565DB" w14:paraId="4D28EE9D" w14:textId="77777777" w:rsidTr="00C057C9">
        <w:tc>
          <w:tcPr>
            <w:tcW w:w="606" w:type="pct"/>
            <w:tcBorders>
              <w:left w:val="single" w:sz="4" w:space="0" w:color="auto"/>
              <w:right w:val="single" w:sz="4" w:space="0" w:color="auto"/>
            </w:tcBorders>
          </w:tcPr>
          <w:p w14:paraId="1FF1B781"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719A057"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7CC24474" w14:textId="77777777" w:rsidTr="00C057C9">
        <w:tc>
          <w:tcPr>
            <w:tcW w:w="606" w:type="pct"/>
            <w:tcBorders>
              <w:left w:val="single" w:sz="4" w:space="0" w:color="auto"/>
              <w:right w:val="single" w:sz="4" w:space="0" w:color="auto"/>
            </w:tcBorders>
          </w:tcPr>
          <w:p w14:paraId="3656E20A" w14:textId="5F925280"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E2A6DC7"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 xml:space="preserve">Patient must be undergoing treatment with this drug as monotherapy </w:t>
            </w:r>
            <w:r w:rsidRPr="00D83365">
              <w:rPr>
                <w:rFonts w:ascii="Arial Narrow" w:hAnsi="Arial Narrow" w:cs="Open Sans"/>
                <w:strike/>
                <w:color w:val="333333"/>
                <w:sz w:val="20"/>
                <w:szCs w:val="20"/>
              </w:rPr>
              <w:t>following this authority application,</w:t>
            </w:r>
            <w:r w:rsidRPr="001565DB">
              <w:rPr>
                <w:rFonts w:ascii="Arial Narrow" w:hAnsi="Arial Narrow" w:cs="Open Sans"/>
                <w:color w:val="333333"/>
                <w:sz w:val="20"/>
                <w:szCs w:val="20"/>
              </w:rPr>
              <w:t xml:space="preserve"> because combination treatment with ursodeoxycholic acid is not tolerated</w:t>
            </w:r>
            <w:r w:rsidRPr="00D83365">
              <w:rPr>
                <w:rFonts w:ascii="Arial Narrow" w:hAnsi="Arial Narrow" w:cs="Open Sans"/>
                <w:i/>
                <w:iCs/>
                <w:color w:val="333333"/>
                <w:sz w:val="20"/>
                <w:szCs w:val="20"/>
              </w:rPr>
              <w:t>/contraindicated</w:t>
            </w:r>
          </w:p>
        </w:tc>
      </w:tr>
      <w:tr w:rsidR="00922FC6" w:rsidRPr="001565DB" w14:paraId="01553350" w14:textId="77777777" w:rsidTr="00C057C9">
        <w:tc>
          <w:tcPr>
            <w:tcW w:w="606" w:type="pct"/>
            <w:tcBorders>
              <w:left w:val="single" w:sz="4" w:space="0" w:color="auto"/>
              <w:right w:val="single" w:sz="4" w:space="0" w:color="auto"/>
            </w:tcBorders>
          </w:tcPr>
          <w:p w14:paraId="43C91C30"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54B35A2" w14:textId="77777777" w:rsidR="00922FC6" w:rsidRPr="00D83365" w:rsidRDefault="00922FC6" w:rsidP="00C057C9">
            <w:pPr>
              <w:textAlignment w:val="baseline"/>
              <w:rPr>
                <w:rFonts w:ascii="Arial Narrow" w:hAnsi="Arial Narrow" w:cs="Open Sans"/>
                <w:b/>
                <w:bCs/>
                <w:i/>
                <w:iCs/>
                <w:color w:val="333333"/>
                <w:sz w:val="20"/>
                <w:szCs w:val="20"/>
              </w:rPr>
            </w:pPr>
            <w:r w:rsidRPr="00D83365">
              <w:rPr>
                <w:rFonts w:ascii="Arial Narrow" w:hAnsi="Arial Narrow" w:cs="Open Sans"/>
                <w:b/>
                <w:bCs/>
                <w:i/>
                <w:iCs/>
                <w:color w:val="333333"/>
                <w:sz w:val="20"/>
                <w:szCs w:val="20"/>
              </w:rPr>
              <w:t>AND</w:t>
            </w:r>
          </w:p>
        </w:tc>
      </w:tr>
      <w:tr w:rsidR="00922FC6" w:rsidRPr="001565DB" w14:paraId="68878A02" w14:textId="77777777" w:rsidTr="00C057C9">
        <w:tc>
          <w:tcPr>
            <w:tcW w:w="606" w:type="pct"/>
            <w:tcBorders>
              <w:left w:val="single" w:sz="4" w:space="0" w:color="auto"/>
              <w:right w:val="single" w:sz="4" w:space="0" w:color="auto"/>
            </w:tcBorders>
          </w:tcPr>
          <w:p w14:paraId="3C9E4507" w14:textId="0B73D56A"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ECAE388" w14:textId="77777777" w:rsidR="00922FC6" w:rsidRPr="00D83365" w:rsidRDefault="00922FC6" w:rsidP="00C057C9">
            <w:pPr>
              <w:textAlignment w:val="baseline"/>
              <w:rPr>
                <w:rFonts w:ascii="Arial Narrow" w:hAnsi="Arial Narrow" w:cs="Open Sans"/>
                <w:b/>
                <w:bCs/>
                <w:i/>
                <w:iCs/>
                <w:color w:val="333333"/>
                <w:sz w:val="20"/>
                <w:szCs w:val="20"/>
              </w:rPr>
            </w:pPr>
            <w:r w:rsidRPr="00D83365">
              <w:rPr>
                <w:rFonts w:ascii="Arial Narrow" w:hAnsi="Arial Narrow" w:cs="Open Sans"/>
                <w:b/>
                <w:bCs/>
                <w:i/>
                <w:iCs/>
                <w:color w:val="333333"/>
                <w:sz w:val="20"/>
                <w:szCs w:val="20"/>
              </w:rPr>
              <w:t>Treatment criteria:</w:t>
            </w:r>
          </w:p>
        </w:tc>
      </w:tr>
      <w:tr w:rsidR="00922FC6" w:rsidRPr="001565DB" w14:paraId="56EDB1F2" w14:textId="77777777" w:rsidTr="00C057C9">
        <w:tc>
          <w:tcPr>
            <w:tcW w:w="606" w:type="pct"/>
            <w:tcBorders>
              <w:left w:val="single" w:sz="4" w:space="0" w:color="auto"/>
              <w:right w:val="single" w:sz="4" w:space="0" w:color="auto"/>
            </w:tcBorders>
          </w:tcPr>
          <w:p w14:paraId="32C65202" w14:textId="75CEFFF9"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D44E40D" w14:textId="479EC445" w:rsidR="00922FC6" w:rsidRPr="00D83365" w:rsidRDefault="00922FC6" w:rsidP="00C057C9">
            <w:pPr>
              <w:textAlignment w:val="baseline"/>
              <w:rPr>
                <w:rFonts w:ascii="Arial Narrow" w:hAnsi="Arial Narrow" w:cs="Open Sans"/>
                <w:i/>
                <w:iCs/>
                <w:color w:val="333333"/>
                <w:sz w:val="20"/>
                <w:szCs w:val="20"/>
              </w:rPr>
            </w:pPr>
            <w:r w:rsidRPr="00D83365">
              <w:rPr>
                <w:rFonts w:ascii="Arial Narrow" w:hAnsi="Arial Narrow" w:cs="Open Sans"/>
                <w:i/>
                <w:iCs/>
                <w:color w:val="333333"/>
                <w:sz w:val="20"/>
                <w:szCs w:val="20"/>
              </w:rPr>
              <w:t>Patient must not be undergoing concurrent treatment with obeticholic acid</w:t>
            </w:r>
            <w:r>
              <w:rPr>
                <w:rFonts w:ascii="Arial Narrow" w:hAnsi="Arial Narrow" w:cs="Open Sans"/>
                <w:i/>
                <w:iCs/>
                <w:color w:val="333333"/>
                <w:sz w:val="20"/>
                <w:szCs w:val="20"/>
              </w:rPr>
              <w:t xml:space="preserve"> </w:t>
            </w:r>
            <w:r w:rsidR="00D66744">
              <w:rPr>
                <w:rFonts w:ascii="Arial Narrow" w:hAnsi="Arial Narrow" w:cs="Open Sans"/>
                <w:i/>
                <w:iCs/>
                <w:color w:val="333333"/>
                <w:sz w:val="20"/>
                <w:szCs w:val="20"/>
              </w:rPr>
              <w:t>(</w:t>
            </w:r>
            <w:r>
              <w:rPr>
                <w:rFonts w:ascii="Arial Narrow" w:hAnsi="Arial Narrow" w:cs="Open Sans"/>
                <w:i/>
                <w:iCs/>
                <w:color w:val="333333"/>
                <w:sz w:val="20"/>
                <w:szCs w:val="20"/>
              </w:rPr>
              <w:t>or elafibranor</w:t>
            </w:r>
            <w:r w:rsidR="00D66744">
              <w:rPr>
                <w:rFonts w:ascii="Arial Narrow" w:hAnsi="Arial Narrow" w:cs="Open Sans"/>
                <w:i/>
                <w:iCs/>
                <w:color w:val="333333"/>
                <w:sz w:val="20"/>
                <w:szCs w:val="20"/>
              </w:rPr>
              <w:t>)</w:t>
            </w:r>
          </w:p>
        </w:tc>
      </w:tr>
      <w:tr w:rsidR="00922FC6" w:rsidRPr="001565DB" w14:paraId="3060F77F" w14:textId="77777777" w:rsidTr="00C057C9">
        <w:tc>
          <w:tcPr>
            <w:tcW w:w="606" w:type="pct"/>
            <w:tcBorders>
              <w:left w:val="single" w:sz="4" w:space="0" w:color="auto"/>
              <w:right w:val="single" w:sz="4" w:space="0" w:color="auto"/>
            </w:tcBorders>
          </w:tcPr>
          <w:p w14:paraId="77D0680D"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134C472"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AND</w:t>
            </w:r>
          </w:p>
        </w:tc>
      </w:tr>
      <w:tr w:rsidR="00922FC6" w:rsidRPr="001565DB" w14:paraId="4019BD74" w14:textId="77777777" w:rsidTr="00C057C9">
        <w:tc>
          <w:tcPr>
            <w:tcW w:w="606" w:type="pct"/>
            <w:tcBorders>
              <w:left w:val="single" w:sz="4" w:space="0" w:color="auto"/>
              <w:right w:val="single" w:sz="4" w:space="0" w:color="auto"/>
            </w:tcBorders>
          </w:tcPr>
          <w:p w14:paraId="130391D1" w14:textId="213EE3B4"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0AFDA7C4"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Clinical criteria:</w:t>
            </w:r>
          </w:p>
        </w:tc>
      </w:tr>
      <w:tr w:rsidR="00922FC6" w:rsidRPr="001565DB" w14:paraId="2762EF64" w14:textId="77777777" w:rsidTr="00C057C9">
        <w:tc>
          <w:tcPr>
            <w:tcW w:w="606" w:type="pct"/>
            <w:tcBorders>
              <w:left w:val="single" w:sz="4" w:space="0" w:color="auto"/>
              <w:right w:val="single" w:sz="4" w:space="0" w:color="auto"/>
            </w:tcBorders>
          </w:tcPr>
          <w:p w14:paraId="3685EE46" w14:textId="04B227C4"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B12B2D2"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922FC6" w:rsidRPr="001565DB" w14:paraId="1A9BADC7" w14:textId="77777777" w:rsidTr="00C057C9">
        <w:tc>
          <w:tcPr>
            <w:tcW w:w="606" w:type="pct"/>
            <w:tcBorders>
              <w:left w:val="single" w:sz="4" w:space="0" w:color="auto"/>
              <w:right w:val="single" w:sz="4" w:space="0" w:color="auto"/>
            </w:tcBorders>
          </w:tcPr>
          <w:p w14:paraId="1986A5A6" w14:textId="77777777" w:rsidR="00922FC6" w:rsidRPr="007D6020"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D8D8E5F"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7EB5DD35" w14:textId="77777777" w:rsidTr="00C057C9">
        <w:tc>
          <w:tcPr>
            <w:tcW w:w="606" w:type="pct"/>
            <w:tcBorders>
              <w:left w:val="single" w:sz="4" w:space="0" w:color="auto"/>
              <w:right w:val="single" w:sz="4" w:space="0" w:color="auto"/>
            </w:tcBorders>
          </w:tcPr>
          <w:p w14:paraId="616667E9" w14:textId="41AC4698"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0AD2D76"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Patient must have experienced an intolerance</w:t>
            </w:r>
            <w:r w:rsidRPr="00D83365">
              <w:rPr>
                <w:rFonts w:ascii="Arial Narrow" w:hAnsi="Arial Narrow" w:cs="Open Sans"/>
                <w:i/>
                <w:iCs/>
                <w:color w:val="333333"/>
                <w:sz w:val="20"/>
                <w:szCs w:val="20"/>
              </w:rPr>
              <w:t>/contraindication</w:t>
            </w:r>
            <w:r w:rsidRPr="001565DB">
              <w:rPr>
                <w:rFonts w:ascii="Arial Narrow" w:hAnsi="Arial Narrow" w:cs="Open Sans"/>
                <w:color w:val="333333"/>
                <w:sz w:val="20"/>
                <w:szCs w:val="20"/>
              </w:rPr>
              <w:t xml:space="preserve"> to ursodeoxycholic acid of a severity requiring permanent treatment discontinuation, prior to initiating treatment with this drug</w:t>
            </w:r>
          </w:p>
        </w:tc>
      </w:tr>
      <w:tr w:rsidR="00922FC6" w:rsidRPr="001565DB" w14:paraId="2661FFB6" w14:textId="77777777" w:rsidTr="00C057C9">
        <w:tc>
          <w:tcPr>
            <w:tcW w:w="606" w:type="pct"/>
            <w:tcBorders>
              <w:left w:val="single" w:sz="4" w:space="0" w:color="auto"/>
              <w:right w:val="single" w:sz="4" w:space="0" w:color="auto"/>
            </w:tcBorders>
          </w:tcPr>
          <w:p w14:paraId="21F43630" w14:textId="77777777"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0CF93B3"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AND</w:t>
            </w:r>
          </w:p>
        </w:tc>
      </w:tr>
      <w:tr w:rsidR="00922FC6" w:rsidRPr="001565DB" w14:paraId="0666C865" w14:textId="77777777" w:rsidTr="00C057C9">
        <w:tc>
          <w:tcPr>
            <w:tcW w:w="606" w:type="pct"/>
            <w:tcBorders>
              <w:left w:val="single" w:sz="4" w:space="0" w:color="auto"/>
              <w:right w:val="single" w:sz="4" w:space="0" w:color="auto"/>
            </w:tcBorders>
          </w:tcPr>
          <w:p w14:paraId="189BC01D" w14:textId="091D1E7F"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2A25C797"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b/>
                <w:bCs/>
                <w:color w:val="333333"/>
                <w:sz w:val="20"/>
                <w:szCs w:val="20"/>
                <w:bdr w:val="none" w:sz="0" w:space="0" w:color="auto" w:frame="1"/>
              </w:rPr>
              <w:t>Clinical criteria:</w:t>
            </w:r>
          </w:p>
        </w:tc>
      </w:tr>
      <w:tr w:rsidR="00922FC6" w:rsidRPr="001565DB" w14:paraId="01136F61" w14:textId="77777777" w:rsidTr="00C057C9">
        <w:tc>
          <w:tcPr>
            <w:tcW w:w="606" w:type="pct"/>
            <w:tcBorders>
              <w:left w:val="single" w:sz="4" w:space="0" w:color="auto"/>
              <w:right w:val="single" w:sz="4" w:space="0" w:color="auto"/>
            </w:tcBorders>
          </w:tcPr>
          <w:p w14:paraId="30228AAE" w14:textId="3D27A97B"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82F13B2" w14:textId="77777777" w:rsidR="00922FC6" w:rsidRPr="001565DB" w:rsidRDefault="00922FC6" w:rsidP="00C057C9">
            <w:pPr>
              <w:textAlignment w:val="baseline"/>
              <w:rPr>
                <w:rFonts w:ascii="Arial Narrow" w:hAnsi="Arial Narrow" w:cs="Open Sans"/>
                <w:b/>
                <w:bCs/>
                <w:color w:val="333333"/>
                <w:sz w:val="20"/>
                <w:szCs w:val="20"/>
                <w:bdr w:val="none" w:sz="0" w:space="0" w:color="auto" w:frame="1"/>
              </w:rPr>
            </w:pPr>
            <w:r w:rsidRPr="001565DB">
              <w:rPr>
                <w:rFonts w:ascii="Arial Narrow" w:hAnsi="Arial Narrow" w:cs="Open Sans"/>
                <w:color w:val="333333"/>
                <w:sz w:val="20"/>
                <w:szCs w:val="20"/>
              </w:rPr>
              <w:t>Patient must not have</w:t>
            </w:r>
            <w:r w:rsidRPr="00D83365">
              <w:rPr>
                <w:rFonts w:ascii="Arial Narrow" w:hAnsi="Arial Narrow" w:cs="Open Sans"/>
                <w:i/>
                <w:iCs/>
                <w:color w:val="333333"/>
                <w:sz w:val="20"/>
                <w:szCs w:val="20"/>
              </w:rPr>
              <w:t>/be each of (i)</w:t>
            </w:r>
            <w:r w:rsidRPr="001565DB">
              <w:rPr>
                <w:rFonts w:ascii="Arial Narrow" w:hAnsi="Arial Narrow" w:cs="Open Sans"/>
                <w:color w:val="333333"/>
                <w:sz w:val="20"/>
                <w:szCs w:val="20"/>
              </w:rPr>
              <w:t xml:space="preserve"> severe liver disease</w:t>
            </w:r>
            <w:r>
              <w:rPr>
                <w:rFonts w:ascii="Arial Narrow" w:hAnsi="Arial Narrow" w:cs="Open Sans"/>
                <w:color w:val="333333"/>
                <w:sz w:val="20"/>
                <w:szCs w:val="20"/>
              </w:rPr>
              <w:t xml:space="preserve"> </w:t>
            </w:r>
            <w:r w:rsidRPr="00D83365">
              <w:rPr>
                <w:rFonts w:ascii="Arial Narrow" w:hAnsi="Arial Narrow" w:cs="Open Sans"/>
                <w:i/>
                <w:iCs/>
                <w:color w:val="333333"/>
                <w:sz w:val="20"/>
                <w:szCs w:val="20"/>
              </w:rPr>
              <w:t>(ii) immunocompromised</w:t>
            </w:r>
          </w:p>
        </w:tc>
      </w:tr>
      <w:tr w:rsidR="00922FC6" w:rsidRPr="001565DB" w14:paraId="28E207A8" w14:textId="77777777" w:rsidTr="00C057C9">
        <w:tc>
          <w:tcPr>
            <w:tcW w:w="606" w:type="pct"/>
            <w:tcBorders>
              <w:left w:val="single" w:sz="4" w:space="0" w:color="auto"/>
              <w:right w:val="single" w:sz="4" w:space="0" w:color="auto"/>
            </w:tcBorders>
          </w:tcPr>
          <w:p w14:paraId="61A49C4D" w14:textId="77777777"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030D1B6E"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b/>
                <w:bCs/>
                <w:color w:val="333333"/>
                <w:sz w:val="20"/>
                <w:szCs w:val="20"/>
                <w:bdr w:val="none" w:sz="0" w:space="0" w:color="auto" w:frame="1"/>
              </w:rPr>
              <w:t>AND</w:t>
            </w:r>
          </w:p>
        </w:tc>
      </w:tr>
      <w:tr w:rsidR="00922FC6" w:rsidRPr="001565DB" w14:paraId="40CBB507" w14:textId="77777777" w:rsidTr="00C057C9">
        <w:tc>
          <w:tcPr>
            <w:tcW w:w="606" w:type="pct"/>
            <w:tcBorders>
              <w:left w:val="single" w:sz="4" w:space="0" w:color="auto"/>
              <w:right w:val="single" w:sz="4" w:space="0" w:color="auto"/>
            </w:tcBorders>
          </w:tcPr>
          <w:p w14:paraId="024C7075" w14:textId="359DA821"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982FA5E"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b/>
                <w:bCs/>
                <w:color w:val="333333"/>
                <w:sz w:val="20"/>
                <w:szCs w:val="20"/>
                <w:bdr w:val="none" w:sz="0" w:space="0" w:color="auto" w:frame="1"/>
              </w:rPr>
              <w:t>Clinical criteria:</w:t>
            </w:r>
          </w:p>
        </w:tc>
      </w:tr>
      <w:tr w:rsidR="00922FC6" w:rsidRPr="001565DB" w14:paraId="0D1B76E6" w14:textId="77777777" w:rsidTr="00C057C9">
        <w:tc>
          <w:tcPr>
            <w:tcW w:w="606" w:type="pct"/>
            <w:tcBorders>
              <w:left w:val="single" w:sz="4" w:space="0" w:color="auto"/>
              <w:right w:val="single" w:sz="4" w:space="0" w:color="auto"/>
            </w:tcBorders>
          </w:tcPr>
          <w:p w14:paraId="61ECA5F5" w14:textId="7C47C8A9"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EA78EBB"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color w:val="333333"/>
                <w:sz w:val="20"/>
                <w:szCs w:val="20"/>
              </w:rPr>
              <w:t xml:space="preserve">Patient must have had, prior to initiating treatment with this drug, an alkaline phosphatase (ALP) level of at least 1.67 times the upper limit of normal (ULN) having accounted for each of: (i) age, (ii) gender, (iii) laboratory to laboratory variances in the definition of ‘normal’, despite treatment with ursodeoxycholic acid for at least 52 cumulative weeks; </w:t>
            </w:r>
          </w:p>
        </w:tc>
      </w:tr>
      <w:tr w:rsidR="00922FC6" w:rsidRPr="001565DB" w14:paraId="1763EB83" w14:textId="77777777" w:rsidTr="00C057C9">
        <w:tc>
          <w:tcPr>
            <w:tcW w:w="606" w:type="pct"/>
            <w:tcBorders>
              <w:left w:val="single" w:sz="4" w:space="0" w:color="auto"/>
              <w:right w:val="single" w:sz="4" w:space="0" w:color="auto"/>
            </w:tcBorders>
          </w:tcPr>
          <w:p w14:paraId="71AD1CA9" w14:textId="77777777" w:rsidR="00922FC6" w:rsidRPr="007D6020"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93167B3"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7147AAF8" w14:textId="77777777" w:rsidTr="00C057C9">
        <w:tc>
          <w:tcPr>
            <w:tcW w:w="606" w:type="pct"/>
            <w:tcBorders>
              <w:left w:val="single" w:sz="4" w:space="0" w:color="auto"/>
              <w:right w:val="single" w:sz="4" w:space="0" w:color="auto"/>
            </w:tcBorders>
          </w:tcPr>
          <w:p w14:paraId="6F4EBDE1" w14:textId="68E9F0F4"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AD750E8"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color w:val="333333"/>
                <w:sz w:val="20"/>
                <w:szCs w:val="20"/>
              </w:rPr>
              <w:t xml:space="preserve">Patient must have had, prior to initiating treatment with this drug, a total bilirubin level between 1 to 2 times the ULN, despite treatment with ursodeoxycholic acid for at least 52 cumulative weeks; </w:t>
            </w:r>
          </w:p>
        </w:tc>
      </w:tr>
      <w:tr w:rsidR="00922FC6" w:rsidRPr="001565DB" w14:paraId="79A3B1B0" w14:textId="77777777" w:rsidTr="00C057C9">
        <w:tc>
          <w:tcPr>
            <w:tcW w:w="606" w:type="pct"/>
            <w:tcBorders>
              <w:left w:val="single" w:sz="4" w:space="0" w:color="auto"/>
              <w:right w:val="single" w:sz="4" w:space="0" w:color="auto"/>
            </w:tcBorders>
          </w:tcPr>
          <w:p w14:paraId="6576F25D" w14:textId="77777777" w:rsidR="00922FC6" w:rsidRPr="007D6020" w:rsidRDefault="00922FC6" w:rsidP="00C057C9">
            <w:pPr>
              <w:jc w:val="center"/>
              <w:rPr>
                <w:rFonts w:ascii="Arial Narrow" w:eastAsia="Aptos" w:hAnsi="Arial Narrow" w:cs="Open Sans"/>
                <w:b/>
                <w:b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1F3CC6CF" w14:textId="77777777" w:rsidR="00922FC6" w:rsidRPr="007D6020" w:rsidRDefault="00922FC6" w:rsidP="00C057C9">
            <w:pPr>
              <w:textAlignment w:val="baseline"/>
              <w:rPr>
                <w:rFonts w:ascii="Arial Narrow" w:hAnsi="Arial Narrow" w:cs="Open Sans"/>
                <w:b/>
                <w:bCs/>
                <w:color w:val="333333"/>
                <w:sz w:val="20"/>
                <w:szCs w:val="20"/>
              </w:rPr>
            </w:pPr>
            <w:r w:rsidRPr="007D6020">
              <w:rPr>
                <w:rFonts w:ascii="Arial Narrow" w:hAnsi="Arial Narrow" w:cs="Open Sans"/>
                <w:b/>
                <w:bCs/>
                <w:color w:val="333333"/>
                <w:sz w:val="20"/>
                <w:szCs w:val="20"/>
              </w:rPr>
              <w:t>OR</w:t>
            </w:r>
          </w:p>
        </w:tc>
      </w:tr>
      <w:tr w:rsidR="00922FC6" w:rsidRPr="001565DB" w14:paraId="720292A7" w14:textId="77777777" w:rsidTr="00C057C9">
        <w:tc>
          <w:tcPr>
            <w:tcW w:w="606" w:type="pct"/>
            <w:tcBorders>
              <w:left w:val="single" w:sz="4" w:space="0" w:color="auto"/>
              <w:right w:val="single" w:sz="4" w:space="0" w:color="auto"/>
            </w:tcBorders>
          </w:tcPr>
          <w:p w14:paraId="17E49983" w14:textId="71CDC0B1"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37E1F1B6"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color w:val="333333"/>
                <w:sz w:val="20"/>
                <w:szCs w:val="20"/>
              </w:rPr>
              <w:t>Patient must have had, prior to initiating treatment with this drug, abnormal readings of at least one of: (i) alkaline phosphatase (ii) total bilirubin, in the presence of an intolerance of a severity requiring treatment discontinuation with ursodeoxycholic acid</w:t>
            </w:r>
          </w:p>
        </w:tc>
      </w:tr>
      <w:tr w:rsidR="00922FC6" w:rsidRPr="001565DB" w14:paraId="2BA9ED16" w14:textId="77777777" w:rsidTr="00C057C9">
        <w:tc>
          <w:tcPr>
            <w:tcW w:w="606" w:type="pct"/>
            <w:tcBorders>
              <w:left w:val="single" w:sz="4" w:space="0" w:color="auto"/>
              <w:right w:val="single" w:sz="4" w:space="0" w:color="auto"/>
            </w:tcBorders>
          </w:tcPr>
          <w:p w14:paraId="67C11211" w14:textId="7D663065"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4DF0AB0"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Population criteria:</w:t>
            </w:r>
          </w:p>
        </w:tc>
      </w:tr>
      <w:tr w:rsidR="00922FC6" w:rsidRPr="001565DB" w14:paraId="33A0311C" w14:textId="77777777" w:rsidTr="00C057C9">
        <w:tc>
          <w:tcPr>
            <w:tcW w:w="606" w:type="pct"/>
            <w:tcBorders>
              <w:left w:val="single" w:sz="4" w:space="0" w:color="auto"/>
              <w:right w:val="single" w:sz="4" w:space="0" w:color="auto"/>
            </w:tcBorders>
          </w:tcPr>
          <w:p w14:paraId="30F9353E" w14:textId="545B9AAF"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637C539A"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Patient must be at least 18 years of age</w:t>
            </w:r>
          </w:p>
        </w:tc>
      </w:tr>
      <w:tr w:rsidR="00922FC6" w:rsidRPr="001565DB" w14:paraId="4D802746" w14:textId="77777777" w:rsidTr="00C057C9">
        <w:tc>
          <w:tcPr>
            <w:tcW w:w="606" w:type="pct"/>
            <w:tcBorders>
              <w:left w:val="single" w:sz="4" w:space="0" w:color="auto"/>
              <w:right w:val="single" w:sz="4" w:space="0" w:color="auto"/>
            </w:tcBorders>
          </w:tcPr>
          <w:p w14:paraId="2388C3CF" w14:textId="594A1F7D" w:rsidR="00922FC6" w:rsidRPr="001565DB" w:rsidRDefault="00922FC6" w:rsidP="00C057C9">
            <w:pPr>
              <w:jc w:val="center"/>
              <w:rPr>
                <w:rFonts w:ascii="Arial Narrow" w:eastAsia="Aptos" w:hAnsi="Arial Narrow" w:cs="Open San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50CC9E5C"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b/>
                <w:bCs/>
                <w:color w:val="333333"/>
                <w:sz w:val="20"/>
                <w:szCs w:val="20"/>
                <w:bdr w:val="none" w:sz="0" w:space="0" w:color="auto" w:frame="1"/>
              </w:rPr>
              <w:t>Prescribing Instructions:</w:t>
            </w:r>
          </w:p>
          <w:p w14:paraId="54E4182C" w14:textId="77777777" w:rsidR="00922FC6" w:rsidRPr="001565DB" w:rsidRDefault="00922FC6" w:rsidP="00C057C9">
            <w:pPr>
              <w:textAlignment w:val="baseline"/>
              <w:rPr>
                <w:rFonts w:ascii="Arial Narrow" w:hAnsi="Arial Narrow" w:cs="Open Sans"/>
                <w:color w:val="333333"/>
                <w:sz w:val="20"/>
                <w:szCs w:val="20"/>
              </w:rPr>
            </w:pPr>
            <w:r w:rsidRPr="001565DB">
              <w:rPr>
                <w:rFonts w:ascii="Arial Narrow" w:hAnsi="Arial Narrow" w:cs="Open Sans"/>
                <w:color w:val="333333"/>
                <w:sz w:val="20"/>
                <w:szCs w:val="20"/>
              </w:rPr>
              <w:t>Document and retain in the patient's medical records the qualifying baseline laboratory reading for the purpose of assessing response to treatment under the 'Continuing treatment' restriction.</w:t>
            </w:r>
          </w:p>
        </w:tc>
      </w:tr>
      <w:tr w:rsidR="00922FC6" w:rsidRPr="001565DB" w14:paraId="014DBE91" w14:textId="77777777" w:rsidTr="00C057C9">
        <w:tc>
          <w:tcPr>
            <w:tcW w:w="606" w:type="pct"/>
            <w:tcBorders>
              <w:left w:val="single" w:sz="4" w:space="0" w:color="auto"/>
              <w:right w:val="single" w:sz="4" w:space="0" w:color="auto"/>
            </w:tcBorders>
          </w:tcPr>
          <w:p w14:paraId="486F99B9" w14:textId="0BA6D82E"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7C691A42"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b/>
                <w:bCs/>
                <w:i/>
                <w:iCs/>
                <w:color w:val="333333"/>
                <w:sz w:val="20"/>
                <w:szCs w:val="20"/>
                <w:bdr w:val="none" w:sz="0" w:space="0" w:color="auto" w:frame="1"/>
              </w:rPr>
              <w:t>Administrative Advice:</w:t>
            </w:r>
          </w:p>
          <w:p w14:paraId="67213DD3"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i/>
                <w:iCs/>
                <w:color w:val="333333"/>
                <w:sz w:val="20"/>
                <w:szCs w:val="20"/>
              </w:rPr>
              <w:t>Patients may qualify for PBS-subsidised treatment under this restriction once only. For continuing PBS-subsidised treatment, a 'Grandfathered' patient must qualify under the 'Continuing treatment' criteria.</w:t>
            </w:r>
          </w:p>
        </w:tc>
      </w:tr>
      <w:tr w:rsidR="00922FC6" w:rsidRPr="001565DB" w14:paraId="38EE7FD9" w14:textId="77777777" w:rsidTr="00C057C9">
        <w:tc>
          <w:tcPr>
            <w:tcW w:w="606" w:type="pct"/>
            <w:tcBorders>
              <w:left w:val="single" w:sz="4" w:space="0" w:color="auto"/>
              <w:right w:val="single" w:sz="4" w:space="0" w:color="auto"/>
            </w:tcBorders>
          </w:tcPr>
          <w:p w14:paraId="1E947E45" w14:textId="1AC0010E" w:rsidR="00922FC6" w:rsidRPr="001565DB" w:rsidRDefault="00922FC6" w:rsidP="00C057C9">
            <w:pPr>
              <w:jc w:val="center"/>
              <w:rPr>
                <w:rFonts w:ascii="Arial Narrow" w:eastAsia="Aptos" w:hAnsi="Arial Narrow" w:cs="Open Sans"/>
                <w:i/>
                <w:iCs/>
                <w:color w:val="333333"/>
                <w:kern w:val="2"/>
                <w:sz w:val="20"/>
                <w:szCs w:val="20"/>
                <w14:ligatures w14:val="standardContextual"/>
              </w:rPr>
            </w:pPr>
          </w:p>
        </w:tc>
        <w:tc>
          <w:tcPr>
            <w:tcW w:w="4394" w:type="pct"/>
            <w:tcBorders>
              <w:top w:val="single" w:sz="4" w:space="0" w:color="auto"/>
              <w:left w:val="single" w:sz="4" w:space="0" w:color="auto"/>
              <w:bottom w:val="single" w:sz="4" w:space="0" w:color="auto"/>
              <w:right w:val="single" w:sz="4" w:space="0" w:color="auto"/>
            </w:tcBorders>
          </w:tcPr>
          <w:p w14:paraId="41BCDC62"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b/>
                <w:bCs/>
                <w:i/>
                <w:iCs/>
                <w:color w:val="333333"/>
                <w:sz w:val="20"/>
                <w:szCs w:val="20"/>
                <w:bdr w:val="none" w:sz="0" w:space="0" w:color="auto" w:frame="1"/>
              </w:rPr>
              <w:t>Administrative Advice:</w:t>
            </w:r>
          </w:p>
          <w:p w14:paraId="055F6D3D" w14:textId="77777777" w:rsidR="00922FC6" w:rsidRPr="001565DB" w:rsidRDefault="00922FC6" w:rsidP="00C057C9">
            <w:pPr>
              <w:textAlignment w:val="baseline"/>
              <w:rPr>
                <w:rFonts w:ascii="Arial Narrow" w:hAnsi="Arial Narrow" w:cs="Open Sans"/>
                <w:i/>
                <w:iCs/>
                <w:color w:val="333333"/>
                <w:sz w:val="20"/>
                <w:szCs w:val="20"/>
              </w:rPr>
            </w:pPr>
            <w:r w:rsidRPr="001565DB">
              <w:rPr>
                <w:rFonts w:ascii="Arial Narrow" w:hAnsi="Arial Narrow" w:cs="Open Sans"/>
                <w:i/>
                <w:iCs/>
                <w:color w:val="333333"/>
                <w:sz w:val="20"/>
                <w:szCs w:val="20"/>
              </w:rPr>
              <w:t>This grandfather restriction will cease to operate from 12 months after the date specified in the clinical criteria.</w:t>
            </w:r>
          </w:p>
        </w:tc>
      </w:tr>
    </w:tbl>
    <w:p w14:paraId="22BAEBD6" w14:textId="77777777" w:rsidR="00046D64" w:rsidRPr="006E50BE" w:rsidRDefault="00046D64" w:rsidP="004B1CB4"/>
    <w:p w14:paraId="713EA60A" w14:textId="2925B087" w:rsidR="007D5529" w:rsidRPr="008E4F34" w:rsidRDefault="007D5529" w:rsidP="00F9393E">
      <w:pPr>
        <w:pStyle w:val="3-BodyText"/>
      </w:pPr>
      <w:bookmarkStart w:id="13" w:name="_Ref205300042"/>
      <w:bookmarkStart w:id="14" w:name="_Ref198304531"/>
      <w:r w:rsidRPr="008E4F34">
        <w:t>The submission did not explicitly propose a published or effective price for seladelpar. Given that two approaches to the economic evaluation of seladelpar have been presented: i) a cost-effectiveness analysis to OCA which is subject to a confidential special pricing arrangement (SPA); and ii) a cost minimisation approach to elafibranor which, at present, has no established pricing, there is no anchor on which to base the prices for seladelpar. The submission proposed a placeholder DPMQ of $</w:t>
      </w:r>
      <w:r w:rsidR="006564A4" w:rsidRPr="003A412A">
        <w:rPr>
          <w:color w:val="000000"/>
          <w:w w:val="15"/>
          <w:shd w:val="solid" w:color="000000" w:fill="000000"/>
          <w:fitText w:val="-20" w:id="-629520896"/>
          <w14:textFill>
            <w14:solidFill>
              <w14:srgbClr w14:val="000000">
                <w14:alpha w14:val="100000"/>
              </w14:srgbClr>
            </w14:solidFill>
          </w14:textFill>
        </w:rPr>
        <w:t xml:space="preserve">|  </w:t>
      </w:r>
      <w:r w:rsidR="006564A4" w:rsidRPr="003A412A">
        <w:rPr>
          <w:color w:val="000000"/>
          <w:spacing w:val="-69"/>
          <w:w w:val="15"/>
          <w:shd w:val="solid" w:color="000000" w:fill="000000"/>
          <w:fitText w:val="-20" w:id="-629520896"/>
          <w14:textFill>
            <w14:solidFill>
              <w14:srgbClr w14:val="000000">
                <w14:alpha w14:val="100000"/>
              </w14:srgbClr>
            </w14:solidFill>
          </w14:textFill>
        </w:rPr>
        <w:t>|</w:t>
      </w:r>
      <w:r w:rsidRPr="008E4F34">
        <w:t xml:space="preserve"> per </w:t>
      </w:r>
      <w:r w:rsidR="00BA7D94">
        <w:t>pack</w:t>
      </w:r>
      <w:r w:rsidR="00BA7D94" w:rsidRPr="008E4F34">
        <w:t xml:space="preserve"> </w:t>
      </w:r>
      <w:r w:rsidRPr="008E4F34">
        <w:t>for the sole purpose of enabling the assessment of the economic evaluation and financial estimates.</w:t>
      </w:r>
      <w:r w:rsidR="00AD4CF2">
        <w:t xml:space="preserve"> It was noted that this was an unusual approach to take for a cost utility analysis when a comparator is subject to special pricing arrangements, as the </w:t>
      </w:r>
      <w:r w:rsidR="00AD4CF2">
        <w:lastRenderedPageBreak/>
        <w:t>incremental cost effectiveness ratio (ICER) was deliberately overestimated in the submission.</w:t>
      </w:r>
      <w:bookmarkEnd w:id="13"/>
    </w:p>
    <w:p w14:paraId="5E1CF367" w14:textId="248DCFEF" w:rsidR="00F2621B" w:rsidRPr="008E4F34" w:rsidRDefault="00EE3A58" w:rsidP="00F9393E">
      <w:pPr>
        <w:pStyle w:val="3-BodyText"/>
      </w:pPr>
      <w:r w:rsidRPr="008E4F34">
        <w:t>The submission proposed that while OCA has an ‘Authority Required</w:t>
      </w:r>
      <w:r w:rsidR="00AA7353">
        <w:t xml:space="preserve"> </w:t>
      </w:r>
      <w:r w:rsidR="00DE0F83">
        <w:t>– immediate assessment</w:t>
      </w:r>
      <w:r w:rsidRPr="008E4F34">
        <w:t>’</w:t>
      </w:r>
      <w:r w:rsidR="00127690" w:rsidRPr="008E4F34">
        <w:t xml:space="preserve"> initial</w:t>
      </w:r>
      <w:r w:rsidRPr="008E4F34">
        <w:t xml:space="preserve"> restriction, an ‘Authority Required (Streamlined)’ </w:t>
      </w:r>
      <w:r w:rsidR="00127690" w:rsidRPr="008E4F34">
        <w:t xml:space="preserve">initial </w:t>
      </w:r>
      <w:r w:rsidRPr="008E4F34">
        <w:t>restriction was sufficient</w:t>
      </w:r>
      <w:r w:rsidR="009B74C0" w:rsidRPr="008E4F34">
        <w:t xml:space="preserve"> for seladelpar</w:t>
      </w:r>
      <w:r w:rsidRPr="008E4F34">
        <w:t xml:space="preserve"> because the OCA restriction excluded patients who were immunocompromised whereas the proposed </w:t>
      </w:r>
      <w:r w:rsidR="00127690" w:rsidRPr="008E4F34">
        <w:t>seladelpar</w:t>
      </w:r>
      <w:r w:rsidRPr="008E4F34">
        <w:t xml:space="preserve"> restriction did not. Given there are multiple other clinical criteria in the </w:t>
      </w:r>
      <w:r w:rsidR="00127690" w:rsidRPr="008E4F34">
        <w:t>seladelpar</w:t>
      </w:r>
      <w:r w:rsidRPr="008E4F34">
        <w:t xml:space="preserve"> restriction (including qualifying baseline laboratory readings) </w:t>
      </w:r>
      <w:r w:rsidR="00BF6AD5" w:rsidRPr="008E4F34">
        <w:t xml:space="preserve">the evaluation suggested </w:t>
      </w:r>
      <w:r w:rsidRPr="008E4F34">
        <w:t>a</w:t>
      </w:r>
      <w:r w:rsidR="00DE0F83">
        <w:t xml:space="preserve"> </w:t>
      </w:r>
      <w:r w:rsidRPr="008E4F34">
        <w:t>restriction</w:t>
      </w:r>
      <w:r w:rsidR="00DE0F83">
        <w:t xml:space="preserve"> listing</w:t>
      </w:r>
      <w:r w:rsidRPr="008E4F34">
        <w:t xml:space="preserve">, consistent with the initial OCA restriction (PBS item 12623J), may be more appropriate. Furthermore, </w:t>
      </w:r>
      <w:r w:rsidR="00127690" w:rsidRPr="008E4F34">
        <w:t xml:space="preserve">the proposed restriction </w:t>
      </w:r>
      <w:r w:rsidR="00A73C76" w:rsidRPr="008E4F34">
        <w:t xml:space="preserve">which </w:t>
      </w:r>
      <w:r w:rsidR="00127690" w:rsidRPr="008E4F34">
        <w:t>does not exclude immunocompromised patients was inconsistent with the s</w:t>
      </w:r>
      <w:r w:rsidRPr="008E4F34">
        <w:t>eladelpar RESPONSE trial</w:t>
      </w:r>
      <w:r w:rsidR="00127690" w:rsidRPr="008E4F34">
        <w:t>, which excluded participants who were</w:t>
      </w:r>
      <w:r w:rsidRPr="008E4F34">
        <w:t xml:space="preserve"> immunocompromised.</w:t>
      </w:r>
      <w:bookmarkEnd w:id="14"/>
      <w:r w:rsidRPr="008E4F34">
        <w:t xml:space="preserve"> </w:t>
      </w:r>
    </w:p>
    <w:p w14:paraId="5A0B4425" w14:textId="3E407FD2" w:rsidR="001E42F0" w:rsidRDefault="00DE0F83" w:rsidP="001E42F0">
      <w:pPr>
        <w:pStyle w:val="3-BodyText"/>
      </w:pPr>
      <w:r>
        <w:t>To allow treatment switching, the</w:t>
      </w:r>
      <w:r w:rsidR="00127690" w:rsidRPr="008E4F34">
        <w:t xml:space="preserve"> proposed text regarding intolerance to OCA or elafibranor could be incorporated into the initial restriction text regarding intolerance to </w:t>
      </w:r>
      <w:r w:rsidR="00CD454C" w:rsidRPr="008E4F34">
        <w:t>ursodeoxycholic acid (</w:t>
      </w:r>
      <w:r w:rsidR="00127690" w:rsidRPr="008E4F34">
        <w:t>UDCA</w:t>
      </w:r>
      <w:r w:rsidR="00CD454C" w:rsidRPr="008E4F34">
        <w:t>)</w:t>
      </w:r>
      <w:r w:rsidR="00127690" w:rsidRPr="008E4F34">
        <w:t xml:space="preserve">. Regarding inadequate response, patients who are unable to meet the ALP or </w:t>
      </w:r>
      <w:r w:rsidR="00CD454C" w:rsidRPr="008E4F34">
        <w:t>total bilirubin (</w:t>
      </w:r>
      <w:r w:rsidR="00127690" w:rsidRPr="008E4F34">
        <w:t>TB</w:t>
      </w:r>
      <w:r w:rsidR="00CD454C" w:rsidRPr="008E4F34">
        <w:t>)</w:t>
      </w:r>
      <w:r w:rsidR="00127690" w:rsidRPr="008E4F34">
        <w:t xml:space="preserve"> response criteria for continuing treatment</w:t>
      </w:r>
      <w:r w:rsidR="00CD454C" w:rsidRPr="008E4F34">
        <w:t xml:space="preserve"> with OCA or elafibranor </w:t>
      </w:r>
      <w:r w:rsidR="00127690" w:rsidRPr="008E4F34">
        <w:t>would meet the initial criteria for seladelpar.</w:t>
      </w:r>
    </w:p>
    <w:p w14:paraId="5F54E67C" w14:textId="14CF97DF" w:rsidR="001E42F0" w:rsidRPr="001E42F0" w:rsidRDefault="001E42F0" w:rsidP="001E42F0">
      <w:pPr>
        <w:pStyle w:val="3-BodyText"/>
        <w:numPr>
          <w:ilvl w:val="0"/>
          <w:numId w:val="0"/>
        </w:numPr>
        <w:ind w:left="720"/>
        <w:rPr>
          <w:i/>
          <w:iCs/>
        </w:rPr>
      </w:pPr>
      <w:r w:rsidRPr="001E42F0">
        <w:rPr>
          <w:i/>
          <w:iCs/>
        </w:rPr>
        <w:t>For more detail on PBAC’s view, see section 7 PBAC outcome.</w:t>
      </w:r>
    </w:p>
    <w:p w14:paraId="7075B85C" w14:textId="62A47B7B" w:rsidR="00B50DB8" w:rsidRPr="0098262F" w:rsidDel="00195452" w:rsidRDefault="00203181" w:rsidP="004E18E9">
      <w:pPr>
        <w:pStyle w:val="2-SectionHeading"/>
      </w:pPr>
      <w:bookmarkStart w:id="15" w:name="_Toc198561141"/>
      <w:r w:rsidRPr="0098262F" w:rsidDel="00195452">
        <w:t xml:space="preserve">Population and </w:t>
      </w:r>
      <w:r w:rsidR="008E0D3C" w:rsidRPr="0098262F" w:rsidDel="00195452">
        <w:t>d</w:t>
      </w:r>
      <w:r w:rsidRPr="0098262F" w:rsidDel="00195452">
        <w:t>isease</w:t>
      </w:r>
      <w:bookmarkEnd w:id="15"/>
    </w:p>
    <w:p w14:paraId="54D6D43F" w14:textId="14857193" w:rsidR="002B47A0" w:rsidRDefault="002B47A0" w:rsidP="004E18E9">
      <w:pPr>
        <w:pStyle w:val="3-BodyText"/>
      </w:pPr>
      <w:r w:rsidRPr="002B47A0">
        <w:t xml:space="preserve">PBC is a rare but serious and potentially life-limiting autoimmune disease characterised by the destruction of intrahepatic bile ducts, leading to the build-up of bile acids. These bile acids accumulate, causing cholestasis-mediated tissue damage, inflammation and further blockage of remaining biliary ducts. The progressive worsening of liver function is reflected by increasing levels of ALP and TB. </w:t>
      </w:r>
      <w:r w:rsidR="00CD454C">
        <w:t>U</w:t>
      </w:r>
      <w:r w:rsidRPr="002B47A0">
        <w:t xml:space="preserve">ntreated PBC is characterised by progressive cholestasis, biliary fibrosis, and </w:t>
      </w:r>
      <w:r w:rsidR="00CD454C">
        <w:t>culminating</w:t>
      </w:r>
      <w:r w:rsidRPr="002B47A0">
        <w:t xml:space="preserve"> in end-stage biliary cirrhosis</w:t>
      </w:r>
      <w:r>
        <w:t>.</w:t>
      </w:r>
    </w:p>
    <w:p w14:paraId="314151DB" w14:textId="24A20EED" w:rsidR="002B47A0" w:rsidRDefault="002B47A0" w:rsidP="004E18E9">
      <w:pPr>
        <w:pStyle w:val="3-BodyText"/>
      </w:pPr>
      <w:r w:rsidRPr="002B47A0">
        <w:t>The submission stated that PBC has a global estimated prevalence of 14.6 per 100,000 and an incidence of 1.76 per 100,000 per year. The submission further noted that one Australian study estimated the 2013 prevalence of PBC in Victoria to be 18.9 per 100,000 (French 2020)</w:t>
      </w:r>
      <w:r w:rsidR="009B74C0">
        <w:t>.</w:t>
      </w:r>
      <w:r w:rsidR="00732CE9">
        <w:rPr>
          <w:rStyle w:val="FootnoteReference"/>
        </w:rPr>
        <w:footnoteReference w:id="3"/>
      </w:r>
      <w:r>
        <w:t xml:space="preserve"> </w:t>
      </w:r>
      <w:r w:rsidRPr="002B47A0">
        <w:t>PBC predominantly (95%) affects women aged over 40 years, with the most common age between 45 and 65 years. The female predominance of PBC remains unexplained but it is thought to involve poorly characterised epigenetic factors.</w:t>
      </w:r>
    </w:p>
    <w:p w14:paraId="157B0225" w14:textId="77239C02" w:rsidR="002B47A0" w:rsidRDefault="002B47A0" w:rsidP="004E18E9">
      <w:pPr>
        <w:pStyle w:val="3-BodyText"/>
      </w:pPr>
      <w:r w:rsidRPr="002B47A0">
        <w:t>The characteristic symptoms of PBC are significant fatigue and chronic cholestatic pruritus, both of which are debilitating conditions that can have marked effects on a patient’s quality of life</w:t>
      </w:r>
      <w:r>
        <w:t>.</w:t>
      </w:r>
    </w:p>
    <w:p w14:paraId="61028328" w14:textId="38E99A65" w:rsidR="002B47A0" w:rsidRDefault="002B47A0" w:rsidP="004E18E9">
      <w:pPr>
        <w:pStyle w:val="3-BodyText"/>
      </w:pPr>
      <w:r w:rsidRPr="002B47A0">
        <w:lastRenderedPageBreak/>
        <w:t xml:space="preserve">The goal of treatment and management of PBC is to prevent progressive liver disease and ameliorate associated symptoms that reduce patient </w:t>
      </w:r>
      <w:r w:rsidR="00CD454C">
        <w:t>quality of life</w:t>
      </w:r>
      <w:r>
        <w:t xml:space="preserve">. </w:t>
      </w:r>
      <w:r w:rsidRPr="002B47A0">
        <w:t>UDCA is the main disease-modifying treatment available in Australia and the established first-line treatment for PBC. The</w:t>
      </w:r>
      <w:r w:rsidR="00CD454C">
        <w:t xml:space="preserve"> European Association for the Study of the Liver (</w:t>
      </w:r>
      <w:r w:rsidRPr="002B47A0">
        <w:t>EASL</w:t>
      </w:r>
      <w:r w:rsidR="00CD454C">
        <w:t>)</w:t>
      </w:r>
      <w:r w:rsidRPr="002B47A0">
        <w:t xml:space="preserve"> guidelines (2017)</w:t>
      </w:r>
      <w:r w:rsidR="00447323">
        <w:rPr>
          <w:rStyle w:val="FootnoteReference"/>
        </w:rPr>
        <w:footnoteReference w:id="4"/>
      </w:r>
      <w:r w:rsidRPr="002B47A0">
        <w:t xml:space="preserve"> recommend that patients with PBC (including those with asymptomatic disease) should be treated with UDCA on a long-term basis. Approximately 30</w:t>
      </w:r>
      <w:r w:rsidR="00083977">
        <w:sym w:font="Symbol" w:char="F02D"/>
      </w:r>
      <w:r w:rsidRPr="002B47A0">
        <w:t>40% of patients fail to achieve an adequate biochemical response to UDCA</w:t>
      </w:r>
      <w:r>
        <w:t>.</w:t>
      </w:r>
      <w:r w:rsidR="0025690F" w:rsidRPr="0025690F">
        <w:t xml:space="preserve"> Intolerance to UDCA is seen in up to 5% of patients.</w:t>
      </w:r>
    </w:p>
    <w:p w14:paraId="2EC71A1E" w14:textId="4A03A3A0" w:rsidR="0025690F" w:rsidRDefault="0025690F" w:rsidP="001B1083">
      <w:pPr>
        <w:pStyle w:val="3-BodyText"/>
      </w:pPr>
      <w:r>
        <w:t xml:space="preserve">The submission stated that in Australia, clinical practice for assessing treatment response was influenced by access to </w:t>
      </w:r>
      <w:r w:rsidR="00CD454C">
        <w:t>Pharmaceutical Benefits Schem</w:t>
      </w:r>
      <w:r w:rsidR="000D30EA">
        <w:t>e</w:t>
      </w:r>
      <w:r w:rsidR="00CD454C">
        <w:t xml:space="preserve"> (</w:t>
      </w:r>
      <w:r>
        <w:t>PBS</w:t>
      </w:r>
      <w:r w:rsidR="00CD454C">
        <w:t>)</w:t>
      </w:r>
      <w:r>
        <w:t xml:space="preserve">-subsidised second-line treatment with OCA and incorporated measurements of both ALP and TB. To initiate PBS-subsidised treatment with OCA, patients must have had an inadequate response to treatment with UDCA, defined as meeting either of the following criteria despite 52 weeks of therapy: (i) ALP level ≥1.67 x </w:t>
      </w:r>
      <w:r w:rsidR="00CD454C">
        <w:t>upper limit of normal (</w:t>
      </w:r>
      <w:r>
        <w:t>ULN</w:t>
      </w:r>
      <w:r w:rsidR="00CD454C">
        <w:t>)</w:t>
      </w:r>
      <w:r>
        <w:t xml:space="preserve"> or (ii) TB level ≥1 x ULN.</w:t>
      </w:r>
    </w:p>
    <w:p w14:paraId="101452A3" w14:textId="77777777" w:rsidR="0025690F" w:rsidRDefault="0025690F" w:rsidP="001B1083">
      <w:pPr>
        <w:pStyle w:val="3-BodyText"/>
      </w:pPr>
      <w:r w:rsidRPr="0025690F">
        <w:t xml:space="preserve">The submission claimed that it was likely that </w:t>
      </w:r>
      <w:r>
        <w:t>seladelpar</w:t>
      </w:r>
      <w:r w:rsidRPr="0025690F">
        <w:t xml:space="preserve"> would replace the use of OCA as an add-on therapy in patients who have failed to achieve an adequate response to an optimised dose of UDCA after at least a year of treatment. In addition, </w:t>
      </w:r>
      <w:r>
        <w:t>seladelpar</w:t>
      </w:r>
      <w:r w:rsidRPr="0025690F">
        <w:t xml:space="preserve"> could be used as an alternative to OCA monotherapy in patients who are intolerant to UDCA. </w:t>
      </w:r>
    </w:p>
    <w:p w14:paraId="1A01A822" w14:textId="701E254A" w:rsidR="0025690F" w:rsidRDefault="0025690F" w:rsidP="001B1083">
      <w:pPr>
        <w:pStyle w:val="3-BodyText"/>
      </w:pPr>
      <w:bookmarkStart w:id="16" w:name="_Ref196772980"/>
      <w:r>
        <w:t>T</w:t>
      </w:r>
      <w:r w:rsidRPr="0025690F">
        <w:t xml:space="preserve">he submission claimed that </w:t>
      </w:r>
      <w:r>
        <w:t>seladelpar</w:t>
      </w:r>
      <w:r w:rsidRPr="0025690F">
        <w:t xml:space="preserve"> would replace BSC for patients contraindicated for OCA because of pre-existing pruritus or cirrhosis and patients eligible for but not taking OCA due to concerns around its benefit-to-risk profile.</w:t>
      </w:r>
      <w:r w:rsidR="00BD1BA2">
        <w:t xml:space="preserve"> The submission noted that in November 2024 the </w:t>
      </w:r>
      <w:r w:rsidR="00D75131" w:rsidRPr="00D75131">
        <w:t xml:space="preserve">European Medicines Agency </w:t>
      </w:r>
      <w:r w:rsidR="00D75131">
        <w:t>(</w:t>
      </w:r>
      <w:r w:rsidR="00BD1BA2">
        <w:t>EMA</w:t>
      </w:r>
      <w:r w:rsidR="00D75131">
        <w:t>)</w:t>
      </w:r>
      <w:r w:rsidR="00BD1BA2">
        <w:t xml:space="preserve"> </w:t>
      </w:r>
      <w:r w:rsidR="00BD1BA2" w:rsidRPr="00BD1BA2">
        <w:t>revoked the conditional marketing authorisation for OCA because its benefits no longer outweighed its risks as a treatment for PBC</w:t>
      </w:r>
      <w:r w:rsidR="00BD1BA2">
        <w:t xml:space="preserve">. </w:t>
      </w:r>
      <w:bookmarkEnd w:id="16"/>
    </w:p>
    <w:p w14:paraId="268A7A51" w14:textId="646029F8" w:rsidR="0025690F" w:rsidRDefault="0025690F" w:rsidP="001B1083">
      <w:pPr>
        <w:pStyle w:val="3-BodyText"/>
      </w:pPr>
      <w:r>
        <w:t xml:space="preserve">The </w:t>
      </w:r>
      <w:r w:rsidRPr="0025690F">
        <w:t xml:space="preserve">submission noted that if </w:t>
      </w:r>
      <w:r>
        <w:t>elafibranor</w:t>
      </w:r>
      <w:r w:rsidRPr="0025690F">
        <w:t xml:space="preserve"> was approved by the PBAC for the second-line treatment of PBC, it </w:t>
      </w:r>
      <w:r w:rsidR="00CD454C">
        <w:t>wa</w:t>
      </w:r>
      <w:r w:rsidRPr="0025690F">
        <w:t xml:space="preserve">s expected, given the comparable efficacy and safety profiles, that </w:t>
      </w:r>
      <w:r>
        <w:t>seladelpar</w:t>
      </w:r>
      <w:r w:rsidRPr="0025690F">
        <w:t xml:space="preserve"> and </w:t>
      </w:r>
      <w:r>
        <w:t>elafibranor</w:t>
      </w:r>
      <w:r w:rsidRPr="0025690F">
        <w:t xml:space="preserve"> w</w:t>
      </w:r>
      <w:r w:rsidR="00CD454C">
        <w:t>ould</w:t>
      </w:r>
      <w:r w:rsidRPr="0025690F">
        <w:t xml:space="preserve"> share the same position within the proposed treatment algorithm</w:t>
      </w:r>
      <w:r>
        <w:t>.</w:t>
      </w:r>
    </w:p>
    <w:p w14:paraId="6CEBB951" w14:textId="77777777" w:rsidR="001E42F0" w:rsidRDefault="0025690F" w:rsidP="001E42F0">
      <w:pPr>
        <w:pStyle w:val="3-BodyText"/>
      </w:pPr>
      <w:r w:rsidRPr="0025690F">
        <w:t>Seladelpar is a novel, potent and selective peroxisome proliferator-activated receptor delta (PPARδ) agonist that targets multiple cell types in the liver leading to anticholestatic, anti-inflammatory, anti-pruritic, and antifibrotic effects</w:t>
      </w:r>
      <w:r>
        <w:t>.</w:t>
      </w:r>
      <w:r w:rsidRPr="0025690F">
        <w:t xml:space="preserve"> Peroxisome proliferator-activated receptors (PPARs) are nuclear receptors with a key role in the regulation of genes involved in bile acid metabolism, inflammation, and metabolic pathways, including glycaemic control and lipid metabolism. There are 3 isoforms of </w:t>
      </w:r>
      <w:r w:rsidRPr="0025690F">
        <w:lastRenderedPageBreak/>
        <w:t>PPARs (PPARα, PPARγ, and PPARδ).</w:t>
      </w:r>
      <w:r>
        <w:t xml:space="preserve"> Elafibranor is </w:t>
      </w:r>
      <w:r w:rsidRPr="0025690F">
        <w:t>a mixed-PPAR agonist that was considered by the PBAC for the treatment of PBC at the March 2025 PBAC meeting</w:t>
      </w:r>
      <w:r>
        <w:t>.</w:t>
      </w:r>
    </w:p>
    <w:p w14:paraId="157C85B5" w14:textId="03212607" w:rsidR="001E42F0" w:rsidRPr="001E42F0" w:rsidRDefault="001E42F0" w:rsidP="001E42F0">
      <w:pPr>
        <w:pStyle w:val="3-BodyText"/>
        <w:numPr>
          <w:ilvl w:val="0"/>
          <w:numId w:val="0"/>
        </w:numPr>
        <w:ind w:left="720"/>
        <w:rPr>
          <w:i/>
          <w:iCs/>
        </w:rPr>
      </w:pPr>
      <w:r w:rsidRPr="001E42F0">
        <w:rPr>
          <w:i/>
          <w:iCs/>
        </w:rPr>
        <w:t>For more detail on PBAC’s view, see section 7 PBAC outcome.</w:t>
      </w:r>
    </w:p>
    <w:p w14:paraId="51E5AE96" w14:textId="136A63B1" w:rsidR="00B50DB8" w:rsidRPr="0098262F" w:rsidRDefault="00B50DB8" w:rsidP="004E18E9">
      <w:pPr>
        <w:pStyle w:val="2-SectionHeading"/>
      </w:pPr>
      <w:bookmarkStart w:id="17" w:name="_Toc198561142"/>
      <w:r w:rsidRPr="0098262F">
        <w:t>Comparator</w:t>
      </w:r>
      <w:bookmarkEnd w:id="17"/>
    </w:p>
    <w:p w14:paraId="2F8FB5B3" w14:textId="50C32676" w:rsidR="00FA6460" w:rsidRDefault="00FA6460" w:rsidP="00FA6460">
      <w:pPr>
        <w:pStyle w:val="3-BodyText"/>
      </w:pPr>
      <w:r>
        <w:t>The submission nominated OCA and BSC as the main comparators and elafibranor as a relevant near-market comparato</w:t>
      </w:r>
      <w:r w:rsidR="00CD454C">
        <w:t>r</w:t>
      </w:r>
      <w:r>
        <w:t xml:space="preserve">. The main arguments provided in support of </w:t>
      </w:r>
      <w:r w:rsidR="00DE0F83">
        <w:t xml:space="preserve">these </w:t>
      </w:r>
      <w:r>
        <w:t>nomination</w:t>
      </w:r>
      <w:r w:rsidR="00DE0F83">
        <w:t>s</w:t>
      </w:r>
      <w:r>
        <w:t xml:space="preserve"> were:</w:t>
      </w:r>
    </w:p>
    <w:p w14:paraId="373A5FA1" w14:textId="00592CE6" w:rsidR="00FA6460" w:rsidRDefault="00FA6460" w:rsidP="000F0786">
      <w:pPr>
        <w:pStyle w:val="ListParagraph"/>
      </w:pPr>
      <w:r>
        <w:t>OCA is the only second-line treatment for PBC that is currently reimbursed on the PBS.</w:t>
      </w:r>
    </w:p>
    <w:p w14:paraId="7AB5A24C" w14:textId="77777777" w:rsidR="005A0A9F" w:rsidRDefault="00FA6460" w:rsidP="000F0786">
      <w:pPr>
        <w:pStyle w:val="ListParagraph"/>
      </w:pPr>
      <w:r>
        <w:t>Given the recent decision by the EMA to revoke marketing approval for OCA and by the FDA to recommend against full approval of OCA for the treatment of PBC, BSC was nominated as a comparator in the instance that OCA is removed from the PBS</w:t>
      </w:r>
      <w:r w:rsidR="00AA0141">
        <w:t xml:space="preserve"> It was noted that BSC would </w:t>
      </w:r>
      <w:r w:rsidR="005A0A9F">
        <w:t>also be a comparator for patients who are intolerant to OCA.</w:t>
      </w:r>
    </w:p>
    <w:p w14:paraId="4C311EF4" w14:textId="078B0118" w:rsidR="00FA6460" w:rsidRDefault="00FA6460" w:rsidP="000F0786">
      <w:pPr>
        <w:pStyle w:val="ListParagraph"/>
      </w:pPr>
      <w:r>
        <w:t>Elafibranor was considered by the PBAC at the March 2025 meeting for the same indication as seladelpar.</w:t>
      </w:r>
    </w:p>
    <w:p w14:paraId="268D09A7" w14:textId="781C2E25" w:rsidR="00FA6460" w:rsidRPr="00E8442C" w:rsidRDefault="00FA6460" w:rsidP="00882E3C">
      <w:pPr>
        <w:pStyle w:val="3-BodyText"/>
      </w:pPr>
      <w:r w:rsidRPr="00E8442C">
        <w:t>The submission stated that BSC would consist of therapies to treat symptoms (such as pruritus and fatigue) and lifestyle changes (including diet and exercise) only.</w:t>
      </w:r>
    </w:p>
    <w:p w14:paraId="2EB076FF" w14:textId="55AB3014" w:rsidR="00FA6460" w:rsidRPr="00E8442C" w:rsidRDefault="00FA6460" w:rsidP="00882E3C">
      <w:pPr>
        <w:pStyle w:val="3-BodyText"/>
      </w:pPr>
      <w:r w:rsidRPr="00E8442C">
        <w:t xml:space="preserve">The </w:t>
      </w:r>
      <w:r w:rsidR="00AE30CD" w:rsidRPr="00E8442C">
        <w:t xml:space="preserve">ESC considered that the </w:t>
      </w:r>
      <w:r w:rsidRPr="00E8442C">
        <w:t>nominated comparators were reasonable.</w:t>
      </w:r>
    </w:p>
    <w:p w14:paraId="084BA89C" w14:textId="2C37DD65" w:rsidR="00FA6460" w:rsidRPr="00E8442C" w:rsidRDefault="00FA6460" w:rsidP="00882E3C">
      <w:pPr>
        <w:pStyle w:val="3-BodyText"/>
      </w:pPr>
      <w:r w:rsidRPr="00E8442C">
        <w:t xml:space="preserve">The submission proposed </w:t>
      </w:r>
      <w:r w:rsidR="00DE0F83">
        <w:t>that</w:t>
      </w:r>
      <w:r w:rsidRPr="00E8442C">
        <w:t xml:space="preserve"> sequential treatment with OCA, elafibranor, and seladelpar</w:t>
      </w:r>
      <w:r w:rsidR="00DE0F83">
        <w:t xml:space="preserve"> </w:t>
      </w:r>
      <w:r w:rsidR="00A803D6">
        <w:t>sh</w:t>
      </w:r>
      <w:r w:rsidR="00DE0F83">
        <w:t>ould be permitted</w:t>
      </w:r>
      <w:r w:rsidRPr="00E8442C">
        <w:t xml:space="preserve">. No </w:t>
      </w:r>
      <w:r w:rsidR="00D75131" w:rsidRPr="00E8442C">
        <w:t xml:space="preserve">clinical </w:t>
      </w:r>
      <w:r w:rsidRPr="00E8442C">
        <w:t>evidence regarding sequential treatment with elafibranor and seladelpar was presented in the submission.</w:t>
      </w:r>
      <w:r w:rsidR="005A7079" w:rsidRPr="00E8442C">
        <w:t xml:space="preserve"> Sequential treatment was not considered in the economic analysis or financial estimates.</w:t>
      </w:r>
    </w:p>
    <w:p w14:paraId="1E5CA968" w14:textId="089A1A52" w:rsidR="002E1071" w:rsidRPr="00E8442C" w:rsidRDefault="00AA6BD8" w:rsidP="002E1071">
      <w:pPr>
        <w:pStyle w:val="3-BodyText"/>
        <w:rPr>
          <w:color w:val="0066FF"/>
        </w:rPr>
      </w:pPr>
      <w:bookmarkStart w:id="18" w:name="_Ref107305379"/>
      <w:r w:rsidRPr="00E8442C">
        <w:t xml:space="preserve">In the context of the cost-minimisation approach taken by the submission, a further consideration for PBAC is that, under Section 101(3B) of the </w:t>
      </w:r>
      <w:r w:rsidRPr="00525F7F">
        <w:rPr>
          <w:i/>
          <w:iCs/>
        </w:rPr>
        <w:t>National Health Act 1953</w:t>
      </w:r>
      <w:r w:rsidRPr="00E8442C">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8"/>
      <w:r w:rsidR="004859E1" w:rsidRPr="00E8442C">
        <w:t xml:space="preserve"> </w:t>
      </w:r>
    </w:p>
    <w:p w14:paraId="3F8A7F8C" w14:textId="770DAD2C" w:rsidR="001E42F0" w:rsidRPr="001E42F0" w:rsidRDefault="001E42F0" w:rsidP="001E42F0">
      <w:pPr>
        <w:pStyle w:val="3-BodyText"/>
        <w:numPr>
          <w:ilvl w:val="0"/>
          <w:numId w:val="0"/>
        </w:numPr>
        <w:ind w:left="720"/>
        <w:rPr>
          <w:i/>
          <w:iCs/>
          <w:color w:val="0066FF"/>
        </w:rPr>
      </w:pPr>
      <w:r w:rsidRPr="001E42F0">
        <w:rPr>
          <w:i/>
          <w:iCs/>
        </w:rPr>
        <w:t>For more detail on PBAC’s view, see section 7 PBAC outcome.</w:t>
      </w:r>
    </w:p>
    <w:p w14:paraId="4C01C92B" w14:textId="77777777" w:rsidR="004A29D1" w:rsidRPr="00407F2D" w:rsidRDefault="004A29D1" w:rsidP="004A29D1">
      <w:pPr>
        <w:pStyle w:val="2-SectionHeading"/>
      </w:pPr>
      <w:bookmarkStart w:id="19" w:name="_Toc198561143"/>
      <w:r>
        <w:t>C</w:t>
      </w:r>
      <w:r w:rsidRPr="00407F2D">
        <w:t>onsideration of the evidence</w:t>
      </w:r>
      <w:bookmarkEnd w:id="19"/>
    </w:p>
    <w:p w14:paraId="152A2805" w14:textId="77777777" w:rsidR="00BD4401" w:rsidRPr="006E1229" w:rsidRDefault="00BD4401" w:rsidP="00BD4401">
      <w:pPr>
        <w:pStyle w:val="4-SubsectionHeading"/>
      </w:pPr>
      <w:bookmarkStart w:id="20" w:name="_Hlk76375935"/>
      <w:bookmarkStart w:id="21" w:name="_Toc198561144"/>
      <w:r w:rsidRPr="006E1229">
        <w:t>Sponsor hearing</w:t>
      </w:r>
    </w:p>
    <w:p w14:paraId="59666A7E" w14:textId="1F535EB1" w:rsidR="00FE651E" w:rsidRDefault="00BD4401" w:rsidP="00BD4401">
      <w:pPr>
        <w:widowControl w:val="0"/>
        <w:numPr>
          <w:ilvl w:val="1"/>
          <w:numId w:val="1"/>
        </w:numPr>
        <w:spacing w:after="120"/>
        <w:rPr>
          <w:rFonts w:asciiTheme="minorHAnsi" w:hAnsiTheme="minorHAnsi"/>
          <w:bCs/>
          <w:snapToGrid w:val="0"/>
        </w:rPr>
      </w:pPr>
      <w:bookmarkStart w:id="22" w:name="_Ref204004091"/>
      <w:bookmarkStart w:id="23" w:name="_Hlk76382586"/>
      <w:r w:rsidRPr="00836F75">
        <w:rPr>
          <w:rFonts w:asciiTheme="minorHAnsi" w:hAnsiTheme="minorHAnsi"/>
          <w:bCs/>
          <w:snapToGrid w:val="0"/>
        </w:rPr>
        <w:t>The sponsor requested a hearing for this item. The clinician presented</w:t>
      </w:r>
      <w:r w:rsidR="00FE651E">
        <w:rPr>
          <w:rFonts w:asciiTheme="minorHAnsi" w:hAnsiTheme="minorHAnsi"/>
          <w:bCs/>
          <w:snapToGrid w:val="0"/>
        </w:rPr>
        <w:t xml:space="preserve"> a clinical perspective on</w:t>
      </w:r>
      <w:r w:rsidR="006416B6">
        <w:rPr>
          <w:rFonts w:asciiTheme="minorHAnsi" w:hAnsiTheme="minorHAnsi"/>
          <w:bCs/>
          <w:snapToGrid w:val="0"/>
        </w:rPr>
        <w:t xml:space="preserve"> the need for </w:t>
      </w:r>
      <w:r w:rsidR="00A37388">
        <w:rPr>
          <w:rFonts w:asciiTheme="minorHAnsi" w:hAnsiTheme="minorHAnsi"/>
          <w:bCs/>
          <w:snapToGrid w:val="0"/>
        </w:rPr>
        <w:t xml:space="preserve">multiple agents </w:t>
      </w:r>
      <w:r w:rsidR="007233AC">
        <w:rPr>
          <w:rFonts w:asciiTheme="minorHAnsi" w:hAnsiTheme="minorHAnsi"/>
          <w:bCs/>
          <w:snapToGrid w:val="0"/>
        </w:rPr>
        <w:t xml:space="preserve">for treatment of PBC </w:t>
      </w:r>
      <w:r w:rsidR="00A37388">
        <w:rPr>
          <w:rFonts w:asciiTheme="minorHAnsi" w:hAnsiTheme="minorHAnsi"/>
          <w:bCs/>
          <w:snapToGrid w:val="0"/>
        </w:rPr>
        <w:t>in a second-line setting</w:t>
      </w:r>
      <w:r w:rsidR="004A6E4B">
        <w:rPr>
          <w:rFonts w:asciiTheme="minorHAnsi" w:hAnsiTheme="minorHAnsi"/>
          <w:bCs/>
          <w:snapToGrid w:val="0"/>
        </w:rPr>
        <w:t xml:space="preserve">, following </w:t>
      </w:r>
      <w:r w:rsidR="003F7F00">
        <w:rPr>
          <w:rFonts w:asciiTheme="minorHAnsi" w:hAnsiTheme="minorHAnsi"/>
          <w:bCs/>
          <w:snapToGrid w:val="0"/>
        </w:rPr>
        <w:t>UDCA</w:t>
      </w:r>
      <w:r w:rsidR="00A37388">
        <w:rPr>
          <w:rFonts w:asciiTheme="minorHAnsi" w:hAnsiTheme="minorHAnsi"/>
          <w:bCs/>
          <w:snapToGrid w:val="0"/>
        </w:rPr>
        <w:t>.</w:t>
      </w:r>
      <w:r w:rsidR="003F7F00">
        <w:rPr>
          <w:rFonts w:asciiTheme="minorHAnsi" w:hAnsiTheme="minorHAnsi"/>
          <w:bCs/>
          <w:snapToGrid w:val="0"/>
        </w:rPr>
        <w:t xml:space="preserve"> It was raised that </w:t>
      </w:r>
      <w:r w:rsidR="00162B97">
        <w:rPr>
          <w:rFonts w:asciiTheme="minorHAnsi" w:hAnsiTheme="minorHAnsi"/>
          <w:bCs/>
          <w:snapToGrid w:val="0"/>
        </w:rPr>
        <w:t xml:space="preserve">a proportion of </w:t>
      </w:r>
      <w:r w:rsidR="0024284D">
        <w:rPr>
          <w:rFonts w:asciiTheme="minorHAnsi" w:hAnsiTheme="minorHAnsi"/>
          <w:bCs/>
          <w:snapToGrid w:val="0"/>
        </w:rPr>
        <w:t>patients</w:t>
      </w:r>
      <w:r w:rsidR="00A37388">
        <w:rPr>
          <w:rFonts w:asciiTheme="minorHAnsi" w:hAnsiTheme="minorHAnsi"/>
          <w:bCs/>
          <w:snapToGrid w:val="0"/>
        </w:rPr>
        <w:t xml:space="preserve"> </w:t>
      </w:r>
      <w:r w:rsidR="00005744">
        <w:rPr>
          <w:rFonts w:asciiTheme="minorHAnsi" w:hAnsiTheme="minorHAnsi"/>
          <w:bCs/>
          <w:snapToGrid w:val="0"/>
        </w:rPr>
        <w:t xml:space="preserve">either </w:t>
      </w:r>
      <w:r w:rsidR="007233AC">
        <w:rPr>
          <w:rFonts w:asciiTheme="minorHAnsi" w:hAnsiTheme="minorHAnsi"/>
          <w:bCs/>
          <w:snapToGrid w:val="0"/>
        </w:rPr>
        <w:t xml:space="preserve">don’t </w:t>
      </w:r>
      <w:r w:rsidR="009E0623">
        <w:rPr>
          <w:rFonts w:asciiTheme="minorHAnsi" w:hAnsiTheme="minorHAnsi"/>
          <w:bCs/>
          <w:snapToGrid w:val="0"/>
        </w:rPr>
        <w:t xml:space="preserve">respond </w:t>
      </w:r>
      <w:r w:rsidR="00005744">
        <w:rPr>
          <w:rFonts w:asciiTheme="minorHAnsi" w:hAnsiTheme="minorHAnsi"/>
          <w:bCs/>
          <w:snapToGrid w:val="0"/>
        </w:rPr>
        <w:t xml:space="preserve">to or tolerate </w:t>
      </w:r>
      <w:r w:rsidR="0024284D">
        <w:rPr>
          <w:rFonts w:asciiTheme="minorHAnsi" w:hAnsiTheme="minorHAnsi"/>
          <w:bCs/>
          <w:snapToGrid w:val="0"/>
        </w:rPr>
        <w:t>UDCA</w:t>
      </w:r>
      <w:r w:rsidR="00773B58">
        <w:rPr>
          <w:rFonts w:asciiTheme="minorHAnsi" w:hAnsiTheme="minorHAnsi"/>
          <w:bCs/>
          <w:snapToGrid w:val="0"/>
        </w:rPr>
        <w:t>,</w:t>
      </w:r>
      <w:r w:rsidR="004520B2">
        <w:rPr>
          <w:rFonts w:asciiTheme="minorHAnsi" w:hAnsiTheme="minorHAnsi"/>
          <w:bCs/>
          <w:snapToGrid w:val="0"/>
        </w:rPr>
        <w:t xml:space="preserve"> </w:t>
      </w:r>
      <w:r w:rsidR="00773B58">
        <w:rPr>
          <w:rFonts w:asciiTheme="minorHAnsi" w:hAnsiTheme="minorHAnsi"/>
          <w:bCs/>
          <w:snapToGrid w:val="0"/>
        </w:rPr>
        <w:t xml:space="preserve">and it was important to have </w:t>
      </w:r>
      <w:r w:rsidR="00E553EC">
        <w:rPr>
          <w:rFonts w:asciiTheme="minorHAnsi" w:hAnsiTheme="minorHAnsi"/>
          <w:bCs/>
          <w:snapToGrid w:val="0"/>
        </w:rPr>
        <w:t xml:space="preserve">treatment options </w:t>
      </w:r>
      <w:r w:rsidR="00A675FC">
        <w:rPr>
          <w:rFonts w:asciiTheme="minorHAnsi" w:hAnsiTheme="minorHAnsi"/>
          <w:bCs/>
          <w:snapToGrid w:val="0"/>
        </w:rPr>
        <w:t xml:space="preserve">to </w:t>
      </w:r>
      <w:r w:rsidR="00B03473">
        <w:rPr>
          <w:rFonts w:asciiTheme="minorHAnsi" w:hAnsiTheme="minorHAnsi"/>
          <w:bCs/>
          <w:snapToGrid w:val="0"/>
        </w:rPr>
        <w:t>target</w:t>
      </w:r>
      <w:r w:rsidR="004520B2">
        <w:rPr>
          <w:rFonts w:asciiTheme="minorHAnsi" w:hAnsiTheme="minorHAnsi"/>
          <w:bCs/>
          <w:snapToGrid w:val="0"/>
        </w:rPr>
        <w:t xml:space="preserve"> </w:t>
      </w:r>
      <w:r w:rsidR="004520B2">
        <w:rPr>
          <w:rFonts w:asciiTheme="minorHAnsi" w:hAnsiTheme="minorHAnsi"/>
          <w:bCs/>
          <w:snapToGrid w:val="0"/>
        </w:rPr>
        <w:lastRenderedPageBreak/>
        <w:t>less pruritis</w:t>
      </w:r>
      <w:r w:rsidR="009E0623">
        <w:rPr>
          <w:rFonts w:asciiTheme="minorHAnsi" w:hAnsiTheme="minorHAnsi"/>
          <w:bCs/>
          <w:snapToGrid w:val="0"/>
        </w:rPr>
        <w:t xml:space="preserve">. </w:t>
      </w:r>
      <w:r w:rsidR="00FE6B2C">
        <w:rPr>
          <w:rFonts w:asciiTheme="minorHAnsi" w:hAnsiTheme="minorHAnsi"/>
          <w:bCs/>
          <w:snapToGrid w:val="0"/>
        </w:rPr>
        <w:t xml:space="preserve">The clinician described the </w:t>
      </w:r>
      <w:r w:rsidR="00CB2EFE">
        <w:rPr>
          <w:rFonts w:asciiTheme="minorHAnsi" w:hAnsiTheme="minorHAnsi"/>
          <w:bCs/>
          <w:snapToGrid w:val="0"/>
        </w:rPr>
        <w:t xml:space="preserve">debilitating symptoms </w:t>
      </w:r>
      <w:r w:rsidR="00A675FC">
        <w:rPr>
          <w:rFonts w:asciiTheme="minorHAnsi" w:hAnsiTheme="minorHAnsi"/>
          <w:bCs/>
          <w:snapToGrid w:val="0"/>
        </w:rPr>
        <w:t xml:space="preserve">PBC </w:t>
      </w:r>
      <w:r w:rsidR="00CB2EFE">
        <w:rPr>
          <w:rFonts w:asciiTheme="minorHAnsi" w:hAnsiTheme="minorHAnsi"/>
          <w:bCs/>
          <w:snapToGrid w:val="0"/>
        </w:rPr>
        <w:t>and</w:t>
      </w:r>
      <w:r w:rsidR="00A675FC">
        <w:rPr>
          <w:rFonts w:asciiTheme="minorHAnsi" w:hAnsiTheme="minorHAnsi"/>
          <w:bCs/>
          <w:snapToGrid w:val="0"/>
        </w:rPr>
        <w:t xml:space="preserve"> the</w:t>
      </w:r>
      <w:r w:rsidR="00CB2EFE">
        <w:rPr>
          <w:rFonts w:asciiTheme="minorHAnsi" w:hAnsiTheme="minorHAnsi"/>
          <w:bCs/>
          <w:snapToGrid w:val="0"/>
        </w:rPr>
        <w:t xml:space="preserve"> </w:t>
      </w:r>
      <w:r w:rsidR="00FE6B2C">
        <w:rPr>
          <w:rFonts w:asciiTheme="minorHAnsi" w:hAnsiTheme="minorHAnsi"/>
          <w:bCs/>
          <w:snapToGrid w:val="0"/>
        </w:rPr>
        <w:t>impact on pat</w:t>
      </w:r>
      <w:r w:rsidR="007233AC">
        <w:rPr>
          <w:rFonts w:asciiTheme="minorHAnsi" w:hAnsiTheme="minorHAnsi"/>
          <w:bCs/>
          <w:snapToGrid w:val="0"/>
        </w:rPr>
        <w:t>i</w:t>
      </w:r>
      <w:r w:rsidR="00FE6B2C">
        <w:rPr>
          <w:rFonts w:asciiTheme="minorHAnsi" w:hAnsiTheme="minorHAnsi"/>
          <w:bCs/>
          <w:snapToGrid w:val="0"/>
        </w:rPr>
        <w:t>en</w:t>
      </w:r>
      <w:r w:rsidR="007233AC">
        <w:rPr>
          <w:rFonts w:asciiTheme="minorHAnsi" w:hAnsiTheme="minorHAnsi"/>
          <w:bCs/>
          <w:snapToGrid w:val="0"/>
        </w:rPr>
        <w:t>t</w:t>
      </w:r>
      <w:r w:rsidR="00FE6B2C">
        <w:rPr>
          <w:rFonts w:asciiTheme="minorHAnsi" w:hAnsiTheme="minorHAnsi"/>
          <w:bCs/>
          <w:snapToGrid w:val="0"/>
        </w:rPr>
        <w:t>s</w:t>
      </w:r>
      <w:r w:rsidR="007233AC">
        <w:rPr>
          <w:rFonts w:asciiTheme="minorHAnsi" w:hAnsiTheme="minorHAnsi"/>
          <w:bCs/>
          <w:snapToGrid w:val="0"/>
        </w:rPr>
        <w:t>’</w:t>
      </w:r>
      <w:r w:rsidR="00FE6B2C">
        <w:rPr>
          <w:rFonts w:asciiTheme="minorHAnsi" w:hAnsiTheme="minorHAnsi"/>
          <w:bCs/>
          <w:snapToGrid w:val="0"/>
        </w:rPr>
        <w:t xml:space="preserve"> quality of life, including lack of sleep and depression</w:t>
      </w:r>
      <w:r w:rsidR="008F23FF">
        <w:rPr>
          <w:rFonts w:asciiTheme="minorHAnsi" w:hAnsiTheme="minorHAnsi"/>
          <w:bCs/>
          <w:snapToGrid w:val="0"/>
        </w:rPr>
        <w:t xml:space="preserve">. </w:t>
      </w:r>
      <w:r w:rsidR="00B03473">
        <w:rPr>
          <w:rFonts w:asciiTheme="minorHAnsi" w:hAnsiTheme="minorHAnsi"/>
          <w:bCs/>
          <w:snapToGrid w:val="0"/>
        </w:rPr>
        <w:t xml:space="preserve">A patient perspective was also presented. The </w:t>
      </w:r>
      <w:r w:rsidR="00654438">
        <w:rPr>
          <w:rFonts w:asciiTheme="minorHAnsi" w:hAnsiTheme="minorHAnsi"/>
          <w:bCs/>
          <w:snapToGrid w:val="0"/>
        </w:rPr>
        <w:t>patient</w:t>
      </w:r>
      <w:r w:rsidR="00B03473">
        <w:rPr>
          <w:rFonts w:asciiTheme="minorHAnsi" w:hAnsiTheme="minorHAnsi"/>
          <w:bCs/>
          <w:snapToGrid w:val="0"/>
        </w:rPr>
        <w:t xml:space="preserve"> describ</w:t>
      </w:r>
      <w:r w:rsidR="00654438">
        <w:rPr>
          <w:rFonts w:asciiTheme="minorHAnsi" w:hAnsiTheme="minorHAnsi"/>
          <w:bCs/>
          <w:snapToGrid w:val="0"/>
        </w:rPr>
        <w:t>ed the</w:t>
      </w:r>
      <w:r w:rsidR="009E0623">
        <w:rPr>
          <w:rFonts w:asciiTheme="minorHAnsi" w:hAnsiTheme="minorHAnsi"/>
          <w:bCs/>
          <w:snapToGrid w:val="0"/>
        </w:rPr>
        <w:t xml:space="preserve"> experience </w:t>
      </w:r>
      <w:r w:rsidR="00654438">
        <w:rPr>
          <w:rFonts w:asciiTheme="minorHAnsi" w:hAnsiTheme="minorHAnsi"/>
          <w:bCs/>
          <w:snapToGrid w:val="0"/>
        </w:rPr>
        <w:t xml:space="preserve">of living with </w:t>
      </w:r>
      <w:r w:rsidR="00CB2EFE">
        <w:rPr>
          <w:rFonts w:asciiTheme="minorHAnsi" w:hAnsiTheme="minorHAnsi"/>
          <w:bCs/>
          <w:snapToGrid w:val="0"/>
        </w:rPr>
        <w:t>the PBC</w:t>
      </w:r>
      <w:r w:rsidR="008B4C22">
        <w:rPr>
          <w:rFonts w:asciiTheme="minorHAnsi" w:hAnsiTheme="minorHAnsi"/>
          <w:bCs/>
          <w:snapToGrid w:val="0"/>
        </w:rPr>
        <w:t xml:space="preserve">, </w:t>
      </w:r>
      <w:r w:rsidR="00A675FC">
        <w:rPr>
          <w:rFonts w:asciiTheme="minorHAnsi" w:hAnsiTheme="minorHAnsi"/>
          <w:bCs/>
          <w:snapToGrid w:val="0"/>
        </w:rPr>
        <w:t>including</w:t>
      </w:r>
      <w:r w:rsidR="00654438">
        <w:rPr>
          <w:rFonts w:asciiTheme="minorHAnsi" w:hAnsiTheme="minorHAnsi"/>
          <w:bCs/>
          <w:snapToGrid w:val="0"/>
        </w:rPr>
        <w:t xml:space="preserve"> the </w:t>
      </w:r>
      <w:r w:rsidR="00887C52">
        <w:rPr>
          <w:rFonts w:asciiTheme="minorHAnsi" w:hAnsiTheme="minorHAnsi"/>
          <w:bCs/>
          <w:snapToGrid w:val="0"/>
        </w:rPr>
        <w:t xml:space="preserve">fatigue and loss of livelihood </w:t>
      </w:r>
      <w:r w:rsidR="00D800E0">
        <w:rPr>
          <w:rFonts w:asciiTheme="minorHAnsi" w:hAnsiTheme="minorHAnsi"/>
          <w:bCs/>
          <w:snapToGrid w:val="0"/>
        </w:rPr>
        <w:t xml:space="preserve">associated with the symptoms, </w:t>
      </w:r>
      <w:r w:rsidR="009D31B6">
        <w:rPr>
          <w:rFonts w:asciiTheme="minorHAnsi" w:hAnsiTheme="minorHAnsi"/>
          <w:bCs/>
          <w:snapToGrid w:val="0"/>
        </w:rPr>
        <w:t xml:space="preserve">particularly </w:t>
      </w:r>
      <w:r w:rsidR="002045B2">
        <w:rPr>
          <w:rFonts w:asciiTheme="minorHAnsi" w:hAnsiTheme="minorHAnsi"/>
          <w:bCs/>
          <w:snapToGrid w:val="0"/>
        </w:rPr>
        <w:t>severe itching</w:t>
      </w:r>
      <w:r w:rsidR="009D31B6">
        <w:rPr>
          <w:rFonts w:asciiTheme="minorHAnsi" w:hAnsiTheme="minorHAnsi"/>
          <w:bCs/>
          <w:snapToGrid w:val="0"/>
        </w:rPr>
        <w:t>. After a trial period on sel</w:t>
      </w:r>
      <w:r w:rsidR="005A0A9F">
        <w:rPr>
          <w:rFonts w:asciiTheme="minorHAnsi" w:hAnsiTheme="minorHAnsi"/>
          <w:bCs/>
          <w:snapToGrid w:val="0"/>
        </w:rPr>
        <w:t>a</w:t>
      </w:r>
      <w:r w:rsidR="009D31B6">
        <w:rPr>
          <w:rFonts w:asciiTheme="minorHAnsi" w:hAnsiTheme="minorHAnsi"/>
          <w:bCs/>
          <w:snapToGrid w:val="0"/>
        </w:rPr>
        <w:t>delp</w:t>
      </w:r>
      <w:r w:rsidR="00A675FC">
        <w:rPr>
          <w:rFonts w:asciiTheme="minorHAnsi" w:hAnsiTheme="minorHAnsi"/>
          <w:bCs/>
          <w:snapToGrid w:val="0"/>
        </w:rPr>
        <w:t>a</w:t>
      </w:r>
      <w:r w:rsidR="009D31B6">
        <w:rPr>
          <w:rFonts w:asciiTheme="minorHAnsi" w:hAnsiTheme="minorHAnsi"/>
          <w:bCs/>
          <w:snapToGrid w:val="0"/>
        </w:rPr>
        <w:t xml:space="preserve">r the patient experienced </w:t>
      </w:r>
      <w:r w:rsidR="00927B4C">
        <w:rPr>
          <w:rFonts w:asciiTheme="minorHAnsi" w:hAnsiTheme="minorHAnsi"/>
          <w:bCs/>
          <w:snapToGrid w:val="0"/>
        </w:rPr>
        <w:t xml:space="preserve">life changing benefits and was able to return to </w:t>
      </w:r>
      <w:r w:rsidR="00A675FC">
        <w:rPr>
          <w:rFonts w:asciiTheme="minorHAnsi" w:hAnsiTheme="minorHAnsi"/>
          <w:bCs/>
          <w:snapToGrid w:val="0"/>
        </w:rPr>
        <w:t xml:space="preserve">her </w:t>
      </w:r>
      <w:r w:rsidR="00927B4C">
        <w:rPr>
          <w:rFonts w:asciiTheme="minorHAnsi" w:hAnsiTheme="minorHAnsi"/>
          <w:bCs/>
          <w:snapToGrid w:val="0"/>
        </w:rPr>
        <w:t xml:space="preserve">normal life. Her </w:t>
      </w:r>
      <w:r w:rsidR="001E7C99">
        <w:rPr>
          <w:rFonts w:asciiTheme="minorHAnsi" w:hAnsiTheme="minorHAnsi"/>
          <w:bCs/>
          <w:snapToGrid w:val="0"/>
        </w:rPr>
        <w:t>S</w:t>
      </w:r>
      <w:r w:rsidR="00927B4C">
        <w:rPr>
          <w:rFonts w:asciiTheme="minorHAnsi" w:hAnsiTheme="minorHAnsi"/>
          <w:bCs/>
          <w:snapToGrid w:val="0"/>
        </w:rPr>
        <w:t xml:space="preserve">tage 3 fibrosis was also </w:t>
      </w:r>
      <w:r w:rsidR="007A4EB7">
        <w:rPr>
          <w:rFonts w:asciiTheme="minorHAnsi" w:hAnsiTheme="minorHAnsi"/>
          <w:bCs/>
          <w:snapToGrid w:val="0"/>
        </w:rPr>
        <w:t>r</w:t>
      </w:r>
      <w:r w:rsidR="00927B4C">
        <w:rPr>
          <w:rFonts w:asciiTheme="minorHAnsi" w:hAnsiTheme="minorHAnsi"/>
          <w:bCs/>
          <w:snapToGrid w:val="0"/>
        </w:rPr>
        <w:t>e</w:t>
      </w:r>
      <w:r w:rsidR="007A4EB7">
        <w:rPr>
          <w:rFonts w:asciiTheme="minorHAnsi" w:hAnsiTheme="minorHAnsi"/>
          <w:bCs/>
          <w:snapToGrid w:val="0"/>
        </w:rPr>
        <w:t>v</w:t>
      </w:r>
      <w:r w:rsidR="00927B4C">
        <w:rPr>
          <w:rFonts w:asciiTheme="minorHAnsi" w:hAnsiTheme="minorHAnsi"/>
          <w:bCs/>
          <w:snapToGrid w:val="0"/>
        </w:rPr>
        <w:t xml:space="preserve">ersed </w:t>
      </w:r>
      <w:r w:rsidR="007A4EB7">
        <w:rPr>
          <w:rFonts w:asciiTheme="minorHAnsi" w:hAnsiTheme="minorHAnsi"/>
          <w:bCs/>
          <w:snapToGrid w:val="0"/>
        </w:rPr>
        <w:t>a</w:t>
      </w:r>
      <w:r w:rsidR="00927B4C">
        <w:rPr>
          <w:rFonts w:asciiTheme="minorHAnsi" w:hAnsiTheme="minorHAnsi"/>
          <w:bCs/>
          <w:snapToGrid w:val="0"/>
        </w:rPr>
        <w:t xml:space="preserve">nd now classed as </w:t>
      </w:r>
      <w:r w:rsidR="001E7C99">
        <w:rPr>
          <w:rFonts w:asciiTheme="minorHAnsi" w:hAnsiTheme="minorHAnsi"/>
          <w:bCs/>
          <w:snapToGrid w:val="0"/>
        </w:rPr>
        <w:t>S</w:t>
      </w:r>
      <w:r w:rsidR="00927B4C">
        <w:rPr>
          <w:rFonts w:asciiTheme="minorHAnsi" w:hAnsiTheme="minorHAnsi"/>
          <w:bCs/>
          <w:snapToGrid w:val="0"/>
        </w:rPr>
        <w:t>tage 1.</w:t>
      </w:r>
      <w:bookmarkEnd w:id="22"/>
      <w:r w:rsidR="00D869EF">
        <w:rPr>
          <w:rFonts w:asciiTheme="minorHAnsi" w:hAnsiTheme="minorHAnsi"/>
          <w:bCs/>
          <w:snapToGrid w:val="0"/>
        </w:rPr>
        <w:t xml:space="preserve"> </w:t>
      </w:r>
    </w:p>
    <w:p w14:paraId="0D4E1406" w14:textId="4BED7D8E" w:rsidR="00BD4401" w:rsidRPr="00836F75" w:rsidRDefault="00BD4401" w:rsidP="00BD4401">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considered that the hearing was informative as it provided a clinical perspective </w:t>
      </w:r>
      <w:r w:rsidR="00111F9C">
        <w:rPr>
          <w:rFonts w:asciiTheme="minorHAnsi" w:hAnsiTheme="minorHAnsi"/>
          <w:bCs/>
          <w:snapToGrid w:val="0"/>
        </w:rPr>
        <w:t xml:space="preserve">on </w:t>
      </w:r>
      <w:r w:rsidR="00113BED">
        <w:rPr>
          <w:rFonts w:asciiTheme="minorHAnsi" w:hAnsiTheme="minorHAnsi"/>
          <w:bCs/>
          <w:snapToGrid w:val="0"/>
        </w:rPr>
        <w:t xml:space="preserve">the </w:t>
      </w:r>
      <w:r w:rsidR="00AA32DE">
        <w:rPr>
          <w:rFonts w:asciiTheme="minorHAnsi" w:hAnsiTheme="minorHAnsi"/>
          <w:bCs/>
          <w:snapToGrid w:val="0"/>
        </w:rPr>
        <w:t>clinical</w:t>
      </w:r>
      <w:r w:rsidR="00113BED">
        <w:rPr>
          <w:rFonts w:asciiTheme="minorHAnsi" w:hAnsiTheme="minorHAnsi"/>
          <w:bCs/>
          <w:snapToGrid w:val="0"/>
        </w:rPr>
        <w:t xml:space="preserve"> </w:t>
      </w:r>
      <w:r w:rsidR="00AA32DE">
        <w:rPr>
          <w:rFonts w:asciiTheme="minorHAnsi" w:hAnsiTheme="minorHAnsi"/>
          <w:bCs/>
          <w:snapToGrid w:val="0"/>
        </w:rPr>
        <w:t>pl</w:t>
      </w:r>
      <w:r w:rsidR="00113BED">
        <w:rPr>
          <w:rFonts w:asciiTheme="minorHAnsi" w:hAnsiTheme="minorHAnsi"/>
          <w:bCs/>
          <w:snapToGrid w:val="0"/>
        </w:rPr>
        <w:t xml:space="preserve">ace </w:t>
      </w:r>
      <w:r w:rsidR="008D4172">
        <w:rPr>
          <w:rFonts w:asciiTheme="minorHAnsi" w:hAnsiTheme="minorHAnsi"/>
          <w:bCs/>
          <w:snapToGrid w:val="0"/>
        </w:rPr>
        <w:t xml:space="preserve">of </w:t>
      </w:r>
      <w:r w:rsidR="00E95031">
        <w:rPr>
          <w:rFonts w:asciiTheme="minorHAnsi" w:hAnsiTheme="minorHAnsi"/>
          <w:bCs/>
          <w:snapToGrid w:val="0"/>
        </w:rPr>
        <w:t xml:space="preserve">seladelpar </w:t>
      </w:r>
      <w:r w:rsidR="00113BED">
        <w:rPr>
          <w:rFonts w:asciiTheme="minorHAnsi" w:hAnsiTheme="minorHAnsi"/>
          <w:bCs/>
          <w:snapToGrid w:val="0"/>
        </w:rPr>
        <w:t>and the patient</w:t>
      </w:r>
      <w:r w:rsidR="00877A1B">
        <w:rPr>
          <w:rFonts w:asciiTheme="minorHAnsi" w:hAnsiTheme="minorHAnsi"/>
          <w:bCs/>
          <w:snapToGrid w:val="0"/>
        </w:rPr>
        <w:t xml:space="preserve"> perspective was </w:t>
      </w:r>
      <w:r w:rsidR="00AA32DE">
        <w:rPr>
          <w:rFonts w:asciiTheme="minorHAnsi" w:hAnsiTheme="minorHAnsi"/>
          <w:bCs/>
          <w:snapToGrid w:val="0"/>
        </w:rPr>
        <w:t>very clear on the severity of the symptoms and the benefit of reducing pruritis</w:t>
      </w:r>
      <w:r w:rsidRPr="00836F75">
        <w:rPr>
          <w:rFonts w:asciiTheme="minorHAnsi" w:hAnsiTheme="minorHAnsi"/>
          <w:bCs/>
          <w:snapToGrid w:val="0"/>
        </w:rPr>
        <w:t>.</w:t>
      </w:r>
    </w:p>
    <w:bookmarkEnd w:id="23"/>
    <w:p w14:paraId="68361EFA" w14:textId="77777777" w:rsidR="00BD4401" w:rsidRPr="00BD4401" w:rsidRDefault="00BD4401" w:rsidP="00BD4401">
      <w:pPr>
        <w:pStyle w:val="4-SubsectionHeading"/>
      </w:pPr>
      <w:r w:rsidRPr="00BD4401">
        <w:t>Consumer comments</w:t>
      </w:r>
    </w:p>
    <w:p w14:paraId="6D5E8B0B" w14:textId="653073B7" w:rsidR="00B27268" w:rsidRDefault="00B27268" w:rsidP="00BD4401">
      <w:pPr>
        <w:widowControl w:val="0"/>
        <w:numPr>
          <w:ilvl w:val="1"/>
          <w:numId w:val="1"/>
        </w:numPr>
        <w:spacing w:after="120"/>
        <w:rPr>
          <w:rFonts w:asciiTheme="minorHAnsi" w:hAnsiTheme="minorHAnsi"/>
          <w:bCs/>
          <w:snapToGrid w:val="0"/>
        </w:rPr>
      </w:pPr>
      <w:bookmarkStart w:id="24" w:name="_Hlk76382618"/>
      <w:r w:rsidRPr="00836F75">
        <w:rPr>
          <w:rFonts w:asciiTheme="minorHAnsi" w:hAnsiTheme="minorHAnsi"/>
          <w:bCs/>
          <w:snapToGrid w:val="0"/>
        </w:rPr>
        <w:t xml:space="preserve">The PBAC noted and welcomed the input from </w:t>
      </w:r>
      <w:r w:rsidR="004319D4">
        <w:rPr>
          <w:rFonts w:asciiTheme="minorHAnsi" w:hAnsiTheme="minorHAnsi"/>
          <w:bCs/>
          <w:snapToGrid w:val="0"/>
        </w:rPr>
        <w:t>one</w:t>
      </w:r>
      <w:r>
        <w:rPr>
          <w:rFonts w:asciiTheme="minorHAnsi" w:hAnsiTheme="minorHAnsi"/>
          <w:bCs/>
          <w:snapToGrid w:val="0"/>
        </w:rPr>
        <w:t xml:space="preserve"> </w:t>
      </w:r>
      <w:r w:rsidRPr="00836F75">
        <w:rPr>
          <w:rFonts w:asciiTheme="minorHAnsi" w:hAnsiTheme="minorHAnsi"/>
          <w:bCs/>
          <w:snapToGrid w:val="0"/>
        </w:rPr>
        <w:t>organisation</w:t>
      </w:r>
      <w:r w:rsidR="000C2F72">
        <w:rPr>
          <w:rFonts w:asciiTheme="minorHAnsi" w:hAnsiTheme="minorHAnsi"/>
          <w:bCs/>
          <w:snapToGrid w:val="0"/>
        </w:rPr>
        <w:t>, the Liver Foundation</w:t>
      </w:r>
      <w:r w:rsidRPr="00836F75">
        <w:rPr>
          <w:rFonts w:asciiTheme="minorHAnsi" w:hAnsiTheme="minorHAnsi"/>
          <w:bCs/>
          <w:snapToGrid w:val="0"/>
        </w:rPr>
        <w:t xml:space="preserve"> via the Consumer Comments facility on the PBS website.</w:t>
      </w:r>
      <w:r>
        <w:rPr>
          <w:rFonts w:asciiTheme="minorHAnsi" w:hAnsiTheme="minorHAnsi"/>
          <w:bCs/>
          <w:snapToGrid w:val="0"/>
        </w:rPr>
        <w:t xml:space="preserve"> </w:t>
      </w:r>
      <w:r w:rsidRPr="00836F75">
        <w:rPr>
          <w:rFonts w:asciiTheme="minorHAnsi" w:hAnsiTheme="minorHAnsi"/>
          <w:bCs/>
          <w:snapToGrid w:val="0"/>
        </w:rPr>
        <w:t>The comment</w:t>
      </w:r>
      <w:r>
        <w:rPr>
          <w:rFonts w:asciiTheme="minorHAnsi" w:hAnsiTheme="minorHAnsi"/>
          <w:bCs/>
          <w:snapToGrid w:val="0"/>
        </w:rPr>
        <w:t xml:space="preserve"> supported the listing of </w:t>
      </w:r>
      <w:r w:rsidR="001B43FF">
        <w:rPr>
          <w:rFonts w:asciiTheme="minorHAnsi" w:hAnsiTheme="minorHAnsi"/>
          <w:bCs/>
          <w:snapToGrid w:val="0"/>
        </w:rPr>
        <w:t>seladelpar</w:t>
      </w:r>
      <w:r>
        <w:rPr>
          <w:rFonts w:asciiTheme="minorHAnsi" w:hAnsiTheme="minorHAnsi"/>
          <w:bCs/>
          <w:snapToGrid w:val="0"/>
        </w:rPr>
        <w:t xml:space="preserve"> on the PBS. </w:t>
      </w:r>
    </w:p>
    <w:p w14:paraId="2BE10979" w14:textId="1D977E02" w:rsidR="00BD4401" w:rsidRPr="00836F75" w:rsidRDefault="00BD4401" w:rsidP="00BD4401">
      <w:pPr>
        <w:widowControl w:val="0"/>
        <w:numPr>
          <w:ilvl w:val="1"/>
          <w:numId w:val="1"/>
        </w:numPr>
        <w:spacing w:after="120"/>
        <w:rPr>
          <w:rFonts w:asciiTheme="minorHAnsi" w:hAnsiTheme="minorHAnsi"/>
          <w:bCs/>
          <w:snapToGrid w:val="0"/>
        </w:rPr>
      </w:pPr>
      <w:r w:rsidRPr="00277214">
        <w:rPr>
          <w:snapToGrid w:val="0"/>
        </w:rPr>
        <w:t xml:space="preserve">The comments described </w:t>
      </w:r>
      <w:r w:rsidR="00E640E3" w:rsidRPr="00277214">
        <w:rPr>
          <w:snapToGrid w:val="0"/>
        </w:rPr>
        <w:t xml:space="preserve">the </w:t>
      </w:r>
      <w:r w:rsidR="009F34BC" w:rsidRPr="00277214">
        <w:rPr>
          <w:snapToGrid w:val="0"/>
        </w:rPr>
        <w:t xml:space="preserve">significant impact of PBC on quality of life, particularly </w:t>
      </w:r>
      <w:r w:rsidR="00E640E3" w:rsidRPr="00277214">
        <w:rPr>
          <w:bCs/>
          <w:snapToGrid w:val="0"/>
        </w:rPr>
        <w:t>chronic fatigue and severe itching, which can be debilitating</w:t>
      </w:r>
      <w:r w:rsidR="009F34BC" w:rsidRPr="00277214">
        <w:rPr>
          <w:bCs/>
          <w:snapToGrid w:val="0"/>
        </w:rPr>
        <w:t xml:space="preserve">, </w:t>
      </w:r>
      <w:r w:rsidR="00277214" w:rsidRPr="00277214">
        <w:rPr>
          <w:bCs/>
          <w:snapToGrid w:val="0"/>
        </w:rPr>
        <w:t xml:space="preserve">relentless and </w:t>
      </w:r>
      <w:r w:rsidR="009F34BC" w:rsidRPr="00277214">
        <w:rPr>
          <w:bCs/>
          <w:snapToGrid w:val="0"/>
        </w:rPr>
        <w:t>indescribable</w:t>
      </w:r>
      <w:r w:rsidR="00277214" w:rsidRPr="00277214">
        <w:rPr>
          <w:bCs/>
          <w:snapToGrid w:val="0"/>
        </w:rPr>
        <w:t>, with no effective relief</w:t>
      </w:r>
      <w:r w:rsidRPr="00836F75">
        <w:rPr>
          <w:rFonts w:asciiTheme="minorHAnsi" w:hAnsiTheme="minorHAnsi"/>
          <w:bCs/>
          <w:snapToGrid w:val="0"/>
        </w:rPr>
        <w:t>.</w:t>
      </w:r>
    </w:p>
    <w:bookmarkEnd w:id="20"/>
    <w:bookmarkEnd w:id="24"/>
    <w:p w14:paraId="24778EA6" w14:textId="31F61138" w:rsidR="00785588" w:rsidRPr="00C9624D" w:rsidRDefault="00785588" w:rsidP="00785588">
      <w:pPr>
        <w:pStyle w:val="4-SubsectionHeading"/>
        <w:rPr>
          <w:lang w:eastAsia="en-AU"/>
        </w:rPr>
      </w:pPr>
      <w:r w:rsidRPr="00C9624D">
        <w:rPr>
          <w:lang w:eastAsia="en-AU"/>
        </w:rPr>
        <w:t>Clinical trials</w:t>
      </w:r>
      <w:bookmarkEnd w:id="21"/>
    </w:p>
    <w:p w14:paraId="56B393E9" w14:textId="0D4E6AE8" w:rsidR="00D22DDA" w:rsidRDefault="00D22DDA" w:rsidP="00D22DDA">
      <w:pPr>
        <w:pStyle w:val="3-BodyText"/>
      </w:pPr>
      <w:r>
        <w:t>The submission was based on one RCT</w:t>
      </w:r>
      <w:r w:rsidR="00FA37AB">
        <w:t>, the RESPONSE trial,</w:t>
      </w:r>
      <w:r>
        <w:t xml:space="preserve"> comparing seladelpar to BSC </w:t>
      </w:r>
      <w:r w:rsidR="00547F66">
        <w:t xml:space="preserve"> to inform the comparison to BSC</w:t>
      </w:r>
      <w:r w:rsidR="00542ED2">
        <w:t xml:space="preserve">. Additional </w:t>
      </w:r>
      <w:r w:rsidR="009B6F97">
        <w:t>evidence</w:t>
      </w:r>
      <w:r w:rsidR="004C55AC">
        <w:t xml:space="preserve"> </w:t>
      </w:r>
      <w:r w:rsidR="00DE0F83">
        <w:t xml:space="preserve">from the POISE and ELAIVE trials </w:t>
      </w:r>
      <w:r w:rsidR="004C55AC">
        <w:t xml:space="preserve">was provided to </w:t>
      </w:r>
      <w:r w:rsidR="009B6F97">
        <w:t xml:space="preserve">inform indirect treatment comparisons (ITCs) with </w:t>
      </w:r>
      <w:r w:rsidR="004C55AC">
        <w:t>OCA and elafibranor</w:t>
      </w:r>
      <w:r w:rsidR="00DE0F83">
        <w:t>:</w:t>
      </w:r>
      <w:r w:rsidR="004C55AC">
        <w:t xml:space="preserve"> </w:t>
      </w:r>
    </w:p>
    <w:p w14:paraId="423E4064" w14:textId="77777777" w:rsidR="00D22DDA" w:rsidRDefault="00D22DDA" w:rsidP="000F0786">
      <w:pPr>
        <w:pStyle w:val="ListParagraph"/>
      </w:pPr>
      <w:r>
        <w:t>The RESPONSE trial (N=193) compared:</w:t>
      </w:r>
    </w:p>
    <w:p w14:paraId="693901A2" w14:textId="49081EC7" w:rsidR="00D22DDA" w:rsidRDefault="00D22DDA" w:rsidP="000F0786">
      <w:pPr>
        <w:pStyle w:val="ListParagraph"/>
      </w:pPr>
      <w:r>
        <w:t xml:space="preserve">Seladelpar </w:t>
      </w:r>
      <w:r w:rsidR="00C40DD5">
        <w:rPr>
          <w:rFonts w:cstheme="minorHAnsi"/>
        </w:rPr>
        <w:t>±</w:t>
      </w:r>
      <w:r>
        <w:t xml:space="preserve"> UDCA (n=12</w:t>
      </w:r>
      <w:r w:rsidR="00C40DD5">
        <w:t>8</w:t>
      </w:r>
      <w:r>
        <w:t>) v</w:t>
      </w:r>
      <w:r w:rsidR="00DE0F83">
        <w:t>ersu</w:t>
      </w:r>
      <w:r>
        <w:t xml:space="preserve">s placebo </w:t>
      </w:r>
      <w:r w:rsidR="00C40DD5">
        <w:rPr>
          <w:rFonts w:cstheme="minorHAnsi"/>
        </w:rPr>
        <w:t>±</w:t>
      </w:r>
      <w:r>
        <w:t xml:space="preserve"> UDCA (n=6</w:t>
      </w:r>
      <w:r w:rsidR="00C40DD5">
        <w:t>5</w:t>
      </w:r>
      <w:r>
        <w:t>) in participants with PBC an</w:t>
      </w:r>
      <w:r w:rsidR="009B6363">
        <w:t>d</w:t>
      </w:r>
      <w:r>
        <w:t xml:space="preserve"> inadequate response</w:t>
      </w:r>
      <w:r w:rsidR="00C40DD5">
        <w:t xml:space="preserve"> or intoleran</w:t>
      </w:r>
      <w:r w:rsidR="000D30EA">
        <w:t>ce</w:t>
      </w:r>
      <w:r>
        <w:t xml:space="preserve"> to UDCA.</w:t>
      </w:r>
    </w:p>
    <w:p w14:paraId="72BC5D97" w14:textId="2F21105F" w:rsidR="00D22DDA" w:rsidRDefault="00D22DDA" w:rsidP="000F0786">
      <w:pPr>
        <w:pStyle w:val="ListParagraph"/>
      </w:pPr>
      <w:r>
        <w:t>The POISE trial (N=</w:t>
      </w:r>
      <w:r w:rsidR="00C34949">
        <w:t>144</w:t>
      </w:r>
      <w:r>
        <w:t>) compared:</w:t>
      </w:r>
    </w:p>
    <w:p w14:paraId="32493231" w14:textId="4192554F" w:rsidR="00D22DDA" w:rsidRPr="003570D2" w:rsidRDefault="00D22DDA" w:rsidP="00F6324B">
      <w:pPr>
        <w:pStyle w:val="ListParagraph"/>
        <w:numPr>
          <w:ilvl w:val="0"/>
          <w:numId w:val="8"/>
        </w:numPr>
      </w:pPr>
      <w:r>
        <w:t xml:space="preserve">OCA 5-10 mg </w:t>
      </w:r>
      <w:r w:rsidR="00C40DD5">
        <w:rPr>
          <w:rFonts w:cstheme="minorHAnsi"/>
        </w:rPr>
        <w:t>±</w:t>
      </w:r>
      <w:r>
        <w:t xml:space="preserve"> UDCA (n=</w:t>
      </w:r>
      <w:r w:rsidR="00C40DD5">
        <w:t>71</w:t>
      </w:r>
      <w:r>
        <w:t>) v</w:t>
      </w:r>
      <w:r w:rsidR="00DE0F83">
        <w:t>ersu</w:t>
      </w:r>
      <w:r>
        <w:t xml:space="preserve">s placebo </w:t>
      </w:r>
      <w:r w:rsidR="00C40DD5">
        <w:rPr>
          <w:rFonts w:cstheme="minorHAnsi"/>
        </w:rPr>
        <w:t>±</w:t>
      </w:r>
      <w:r>
        <w:t xml:space="preserve"> UDCA (n=</w:t>
      </w:r>
      <w:r w:rsidR="00C40DD5">
        <w:t>73</w:t>
      </w:r>
      <w:r>
        <w:t>) in participants with PBC an</w:t>
      </w:r>
      <w:r w:rsidR="009B6363">
        <w:t>d</w:t>
      </w:r>
      <w:r>
        <w:t xml:space="preserve"> inadequate response </w:t>
      </w:r>
      <w:r w:rsidR="00C40DD5">
        <w:t xml:space="preserve">or intolerance </w:t>
      </w:r>
      <w:r>
        <w:t>to UDCA.</w:t>
      </w:r>
    </w:p>
    <w:p w14:paraId="3D174BE8" w14:textId="77777777" w:rsidR="00D22DDA" w:rsidRDefault="00D22DDA" w:rsidP="000F0786">
      <w:pPr>
        <w:pStyle w:val="ListParagraph"/>
      </w:pPr>
      <w:r>
        <w:t>The ELATIVE trial (N=161) compared:</w:t>
      </w:r>
    </w:p>
    <w:p w14:paraId="41C7CF69" w14:textId="60AAD09C" w:rsidR="00D22DDA" w:rsidRDefault="00D22DDA" w:rsidP="00F6324B">
      <w:pPr>
        <w:pStyle w:val="ListParagraph"/>
        <w:numPr>
          <w:ilvl w:val="0"/>
          <w:numId w:val="9"/>
        </w:numPr>
      </w:pPr>
      <w:r>
        <w:t xml:space="preserve">Elafibranor 80 mg </w:t>
      </w:r>
      <w:r w:rsidR="00C40DD5">
        <w:rPr>
          <w:rFonts w:cstheme="minorHAnsi"/>
        </w:rPr>
        <w:t>±</w:t>
      </w:r>
      <w:r>
        <w:t xml:space="preserve"> UDCA (n=102) v</w:t>
      </w:r>
      <w:r w:rsidR="00DE0F83">
        <w:t>ersu</w:t>
      </w:r>
      <w:r>
        <w:t xml:space="preserve">s placebo </w:t>
      </w:r>
      <w:r w:rsidR="00C40DD5">
        <w:rPr>
          <w:rFonts w:cstheme="minorHAnsi"/>
        </w:rPr>
        <w:t>±</w:t>
      </w:r>
      <w:r>
        <w:t xml:space="preserve"> UDCA (n=51) in participants with PBC an</w:t>
      </w:r>
      <w:r w:rsidR="00EA0150">
        <w:t>d</w:t>
      </w:r>
      <w:r>
        <w:t xml:space="preserve"> inadequate response </w:t>
      </w:r>
      <w:r w:rsidR="00C40DD5">
        <w:t xml:space="preserve">or intolerance </w:t>
      </w:r>
      <w:r>
        <w:t>to UDCA.</w:t>
      </w:r>
    </w:p>
    <w:p w14:paraId="4E8FA7AB" w14:textId="6AD08999" w:rsidR="00C40DD5" w:rsidRPr="00B35EEA" w:rsidRDefault="00C40DD5" w:rsidP="002E4F02">
      <w:pPr>
        <w:pStyle w:val="3-BodyText"/>
      </w:pPr>
      <w:r w:rsidRPr="00B35EEA">
        <w:t>The proportion of pa</w:t>
      </w:r>
      <w:r w:rsidR="00732CE9" w:rsidRPr="00B35EEA">
        <w:t>rticipan</w:t>
      </w:r>
      <w:r w:rsidRPr="00B35EEA">
        <w:t>ts in each trial receiving treatment or placebo without concomitant UDCA was small (RESPONSE n=12, POISE n=10, ELATIVE n=10).</w:t>
      </w:r>
    </w:p>
    <w:p w14:paraId="76298CB3" w14:textId="287C95E8" w:rsidR="00FD3060" w:rsidRPr="00B35EEA" w:rsidRDefault="00FD3060" w:rsidP="002E4F02">
      <w:pPr>
        <w:pStyle w:val="3-BodyText"/>
      </w:pPr>
      <w:r w:rsidRPr="00B35EEA">
        <w:t>The submission also identified one systematic review of second-line treatments for PBC (Giannini 2024).</w:t>
      </w:r>
    </w:p>
    <w:p w14:paraId="2B59ABAC" w14:textId="6A3D9A9D" w:rsidR="00862502" w:rsidRPr="00B35EEA" w:rsidRDefault="00A73134" w:rsidP="002E4F02">
      <w:pPr>
        <w:pStyle w:val="3-BodyText"/>
      </w:pPr>
      <w:r w:rsidRPr="00B35EEA">
        <w:t>Details of the trials</w:t>
      </w:r>
      <w:r w:rsidR="00FD3060" w:rsidRPr="00B35EEA">
        <w:t xml:space="preserve"> </w:t>
      </w:r>
      <w:r w:rsidRPr="00B35EEA">
        <w:t xml:space="preserve">presented in the submission are provided in </w:t>
      </w:r>
      <w:r w:rsidR="00696EF9" w:rsidRPr="00B35EEA">
        <w:fldChar w:fldCharType="begin"/>
      </w:r>
      <w:r w:rsidR="00696EF9" w:rsidRPr="00B35EEA">
        <w:instrText xml:space="preserve"> REF _Ref104803956 \h </w:instrText>
      </w:r>
      <w:r w:rsidR="00B35EEA">
        <w:instrText xml:space="preserve"> \* MERGEFORMAT </w:instrText>
      </w:r>
      <w:r w:rsidR="00696EF9" w:rsidRPr="00B35EEA">
        <w:fldChar w:fldCharType="separate"/>
      </w:r>
      <w:r w:rsidR="00333A5F" w:rsidRPr="0098262F">
        <w:t xml:space="preserve">Table </w:t>
      </w:r>
      <w:r w:rsidR="00333A5F">
        <w:rPr>
          <w:noProof/>
        </w:rPr>
        <w:t>2</w:t>
      </w:r>
      <w:r w:rsidR="00696EF9" w:rsidRPr="00B35EEA">
        <w:fldChar w:fldCharType="end"/>
      </w:r>
      <w:r w:rsidRPr="00B35EEA">
        <w:t>.</w:t>
      </w:r>
      <w:r w:rsidR="00FD3513" w:rsidRPr="00B35EEA">
        <w:t xml:space="preserve"> The submission identified multiple conference abstracts</w:t>
      </w:r>
      <w:r w:rsidR="000D30EA" w:rsidRPr="00B35EEA">
        <w:t>,</w:t>
      </w:r>
      <w:r w:rsidR="00FD3513" w:rsidRPr="00B35EEA">
        <w:t xml:space="preserve"> </w:t>
      </w:r>
      <w:r w:rsidR="00FD3513" w:rsidRPr="00C34949">
        <w:rPr>
          <w:i/>
          <w:iCs/>
        </w:rPr>
        <w:t>post hoc</w:t>
      </w:r>
      <w:r w:rsidR="00FD3513" w:rsidRPr="00B35EEA">
        <w:t xml:space="preserve"> analyses, and subgroup </w:t>
      </w:r>
      <w:r w:rsidR="00FD3513" w:rsidRPr="00B35EEA">
        <w:lastRenderedPageBreak/>
        <w:t>analyses for the included trials (5 for the RESPONSE trial, 35 for the POISE trial, and 4 for the ELATIVE trial). These abstracts and analyses were not relied upon for the clinical claim</w:t>
      </w:r>
      <w:r w:rsidR="00DE0F83">
        <w:t>,</w:t>
      </w:r>
      <w:r w:rsidR="00FD3513" w:rsidRPr="00B35EEA">
        <w:t xml:space="preserve"> so are not presented </w:t>
      </w:r>
      <w:r w:rsidR="00F62376">
        <w:t>below</w:t>
      </w:r>
      <w:r w:rsidR="00FD3513" w:rsidRPr="00B35EEA">
        <w:t xml:space="preserve">. </w:t>
      </w:r>
      <w:r w:rsidR="00BC591F" w:rsidRPr="00B35EEA">
        <w:t xml:space="preserve"> </w:t>
      </w:r>
    </w:p>
    <w:p w14:paraId="7DE3A286" w14:textId="0FAAADE7" w:rsidR="008E0D3C" w:rsidRPr="0098262F" w:rsidRDefault="00696EF9" w:rsidP="004C55AC">
      <w:pPr>
        <w:pStyle w:val="TableFigureHeading"/>
        <w:keepLines/>
        <w:rPr>
          <w:rStyle w:val="CommentReference"/>
          <w:b/>
          <w:szCs w:val="24"/>
        </w:rPr>
      </w:pPr>
      <w:bookmarkStart w:id="25" w:name="_Ref104803956"/>
      <w:r w:rsidRPr="0098262F">
        <w:t xml:space="preserve">Table </w:t>
      </w:r>
      <w:r w:rsidR="00A24BC2">
        <w:fldChar w:fldCharType="begin"/>
      </w:r>
      <w:r w:rsidR="00A24BC2">
        <w:instrText xml:space="preserve"> SEQ Table \* ARABIC </w:instrText>
      </w:r>
      <w:r w:rsidR="00A24BC2">
        <w:fldChar w:fldCharType="separate"/>
      </w:r>
      <w:r w:rsidR="00333A5F">
        <w:rPr>
          <w:noProof/>
        </w:rPr>
        <w:t>2</w:t>
      </w:r>
      <w:r w:rsidR="00A24BC2">
        <w:rPr>
          <w:noProof/>
        </w:rPr>
        <w:fldChar w:fldCharType="end"/>
      </w:r>
      <w:bookmarkEnd w:id="25"/>
      <w:r w:rsidRPr="0098262F">
        <w:t>:</w:t>
      </w:r>
      <w:r w:rsidR="00BC591F" w:rsidRPr="0098262F">
        <w:rPr>
          <w:rStyle w:val="CommentReference"/>
          <w:b/>
          <w:szCs w:val="24"/>
        </w:rPr>
        <w:t xml:space="preserve"> </w:t>
      </w:r>
      <w:r w:rsidR="008E0D3C" w:rsidRPr="0098262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FD3060" w:rsidRPr="0098262F" w14:paraId="1D9EFCE3" w14:textId="77777777" w:rsidTr="00260755">
        <w:trPr>
          <w:tblHeader/>
        </w:trPr>
        <w:tc>
          <w:tcPr>
            <w:tcW w:w="796" w:type="pct"/>
            <w:vAlign w:val="center"/>
          </w:tcPr>
          <w:p w14:paraId="29EE3E0C" w14:textId="77777777" w:rsidR="00FD3060" w:rsidRPr="0098262F" w:rsidRDefault="00FD3060" w:rsidP="004C55AC">
            <w:pPr>
              <w:pStyle w:val="In-tableHeading"/>
              <w:jc w:val="center"/>
            </w:pPr>
            <w:r w:rsidRPr="0098262F">
              <w:t>Trial ID</w:t>
            </w:r>
          </w:p>
        </w:tc>
        <w:tc>
          <w:tcPr>
            <w:tcW w:w="3027" w:type="pct"/>
            <w:vAlign w:val="center"/>
          </w:tcPr>
          <w:p w14:paraId="33CF260E" w14:textId="77777777" w:rsidR="00FD3060" w:rsidRPr="0098262F" w:rsidRDefault="00FD3060" w:rsidP="004C55AC">
            <w:pPr>
              <w:pStyle w:val="In-tableHeading"/>
              <w:jc w:val="center"/>
            </w:pPr>
            <w:r w:rsidRPr="0098262F">
              <w:t>Protocol title/ Publication title</w:t>
            </w:r>
          </w:p>
        </w:tc>
        <w:tc>
          <w:tcPr>
            <w:tcW w:w="1177" w:type="pct"/>
            <w:vAlign w:val="center"/>
          </w:tcPr>
          <w:p w14:paraId="2CF3BCCE" w14:textId="77777777" w:rsidR="00FD3060" w:rsidRPr="0098262F" w:rsidRDefault="00FD3060" w:rsidP="004C55AC">
            <w:pPr>
              <w:pStyle w:val="In-tableHeading"/>
              <w:jc w:val="center"/>
            </w:pPr>
            <w:r w:rsidRPr="0098262F">
              <w:t>Publication citation</w:t>
            </w:r>
          </w:p>
        </w:tc>
      </w:tr>
      <w:tr w:rsidR="00FD3060" w:rsidRPr="0098262F" w14:paraId="0F9AED15" w14:textId="77777777" w:rsidTr="00260755">
        <w:tc>
          <w:tcPr>
            <w:tcW w:w="5000" w:type="pct"/>
            <w:gridSpan w:val="3"/>
            <w:tcBorders>
              <w:top w:val="nil"/>
              <w:bottom w:val="single" w:sz="4" w:space="0" w:color="auto"/>
            </w:tcBorders>
            <w:vAlign w:val="center"/>
          </w:tcPr>
          <w:p w14:paraId="77583FF7" w14:textId="2DDFFA82" w:rsidR="00FD3060" w:rsidRPr="0098262F" w:rsidRDefault="00FD3060" w:rsidP="004C55AC">
            <w:pPr>
              <w:pStyle w:val="In-tableHeading"/>
            </w:pPr>
            <w:r>
              <w:t>Seladelpar</w:t>
            </w:r>
          </w:p>
        </w:tc>
      </w:tr>
      <w:tr w:rsidR="00FD3060" w:rsidRPr="0098262F" w14:paraId="10E64D48" w14:textId="77777777" w:rsidTr="00260755">
        <w:tc>
          <w:tcPr>
            <w:tcW w:w="796" w:type="pct"/>
            <w:tcBorders>
              <w:bottom w:val="nil"/>
            </w:tcBorders>
            <w:vAlign w:val="center"/>
          </w:tcPr>
          <w:p w14:paraId="4585E5F7" w14:textId="77777777" w:rsidR="00FD3060" w:rsidRPr="0098262F" w:rsidRDefault="00FD3060" w:rsidP="004C55AC">
            <w:pPr>
              <w:pStyle w:val="TableText0"/>
            </w:pPr>
            <w:r>
              <w:t>RESPONSE</w:t>
            </w:r>
            <w:r>
              <w:br/>
            </w:r>
            <w:r w:rsidRPr="002922D0">
              <w:t>NCT04620733</w:t>
            </w:r>
          </w:p>
        </w:tc>
        <w:tc>
          <w:tcPr>
            <w:tcW w:w="3027" w:type="pct"/>
            <w:tcBorders>
              <w:bottom w:val="nil"/>
            </w:tcBorders>
            <w:vAlign w:val="center"/>
          </w:tcPr>
          <w:p w14:paraId="3CD41C6F" w14:textId="77777777" w:rsidR="00FD3060" w:rsidRPr="0098262F" w:rsidRDefault="00FD3060" w:rsidP="004C55AC">
            <w:pPr>
              <w:pStyle w:val="TableText0"/>
            </w:pPr>
            <w:r w:rsidRPr="002922D0">
              <w:t>RESPONSE: A Placebo-controlled, Randomized, Phase 3 Study to Evaluate the Efficacy and Safety of Seladelpar in Patients with Primary Biliary Cholangitis (PBC) and an Inadequate Response to or an Intolerance to Ursodeoxycholic Acid (UDCA)</w:t>
            </w:r>
          </w:p>
        </w:tc>
        <w:tc>
          <w:tcPr>
            <w:tcW w:w="1177" w:type="pct"/>
            <w:tcBorders>
              <w:bottom w:val="nil"/>
            </w:tcBorders>
            <w:vAlign w:val="center"/>
          </w:tcPr>
          <w:p w14:paraId="305390C9" w14:textId="4F3A2048" w:rsidR="00FD3060" w:rsidRPr="0098262F" w:rsidRDefault="00C40DD5" w:rsidP="004C55AC">
            <w:pPr>
              <w:pStyle w:val="TableText0"/>
            </w:pPr>
            <w:r>
              <w:t>30 November 2023</w:t>
            </w:r>
          </w:p>
        </w:tc>
      </w:tr>
      <w:tr w:rsidR="00FD3060" w:rsidRPr="0098262F" w14:paraId="4437F114" w14:textId="77777777" w:rsidTr="00260755">
        <w:tc>
          <w:tcPr>
            <w:tcW w:w="796" w:type="pct"/>
            <w:tcBorders>
              <w:top w:val="nil"/>
              <w:bottom w:val="nil"/>
            </w:tcBorders>
            <w:vAlign w:val="center"/>
          </w:tcPr>
          <w:p w14:paraId="6E2F89F6" w14:textId="77777777" w:rsidR="00FD3060" w:rsidRPr="0098262F" w:rsidRDefault="00FD3060" w:rsidP="004C55AC">
            <w:pPr>
              <w:pStyle w:val="TableText0"/>
            </w:pPr>
          </w:p>
        </w:tc>
        <w:tc>
          <w:tcPr>
            <w:tcW w:w="3027" w:type="pct"/>
            <w:tcBorders>
              <w:top w:val="nil"/>
              <w:bottom w:val="nil"/>
            </w:tcBorders>
            <w:vAlign w:val="center"/>
          </w:tcPr>
          <w:p w14:paraId="30CC9529" w14:textId="77777777" w:rsidR="00FD3060" w:rsidRPr="0098262F" w:rsidRDefault="00FD3060" w:rsidP="004C55AC">
            <w:pPr>
              <w:pStyle w:val="TableText0"/>
              <w:rPr>
                <w:szCs w:val="18"/>
              </w:rPr>
            </w:pPr>
            <w:r w:rsidRPr="002922D0">
              <w:rPr>
                <w:szCs w:val="18"/>
              </w:rPr>
              <w:t>Hirschfield GM, Bowlus CL, Mayo MJ, et al. A Phase 3 Trial of Seladelpar in Primary Biliary Cholangitis</w:t>
            </w:r>
          </w:p>
        </w:tc>
        <w:tc>
          <w:tcPr>
            <w:tcW w:w="1177" w:type="pct"/>
            <w:tcBorders>
              <w:top w:val="nil"/>
              <w:bottom w:val="nil"/>
            </w:tcBorders>
            <w:vAlign w:val="center"/>
          </w:tcPr>
          <w:p w14:paraId="338303DC" w14:textId="77777777" w:rsidR="00FD3060" w:rsidRPr="0098262F" w:rsidRDefault="00FD3060" w:rsidP="004C55AC">
            <w:pPr>
              <w:pStyle w:val="TableText0"/>
              <w:rPr>
                <w:i/>
              </w:rPr>
            </w:pPr>
            <w:r>
              <w:rPr>
                <w:i/>
              </w:rPr>
              <w:t>NEJM</w:t>
            </w:r>
            <w:r w:rsidRPr="002922D0">
              <w:rPr>
                <w:i/>
              </w:rPr>
              <w:t xml:space="preserve">. </w:t>
            </w:r>
            <w:r w:rsidRPr="002922D0">
              <w:rPr>
                <w:iCs/>
              </w:rPr>
              <w:t>2024;</w:t>
            </w:r>
            <w:r>
              <w:rPr>
                <w:iCs/>
              </w:rPr>
              <w:t xml:space="preserve"> </w:t>
            </w:r>
            <w:r w:rsidRPr="002922D0">
              <w:rPr>
                <w:iCs/>
              </w:rPr>
              <w:t>390(9):783-94</w:t>
            </w:r>
          </w:p>
        </w:tc>
      </w:tr>
      <w:tr w:rsidR="00FD3060" w:rsidRPr="0098262F" w14:paraId="75972ED7" w14:textId="77777777" w:rsidTr="00260755">
        <w:tc>
          <w:tcPr>
            <w:tcW w:w="5000" w:type="pct"/>
            <w:gridSpan w:val="3"/>
            <w:tcBorders>
              <w:bottom w:val="single" w:sz="4" w:space="0" w:color="auto"/>
            </w:tcBorders>
            <w:vAlign w:val="center"/>
          </w:tcPr>
          <w:p w14:paraId="31286428" w14:textId="28412FB4" w:rsidR="00FD3060" w:rsidRPr="002922D0" w:rsidRDefault="00FD3060" w:rsidP="001B1083">
            <w:pPr>
              <w:pStyle w:val="In-tableHeading"/>
              <w:keepNext w:val="0"/>
            </w:pPr>
            <w:r>
              <w:t>OCA</w:t>
            </w:r>
          </w:p>
        </w:tc>
      </w:tr>
      <w:tr w:rsidR="00FD3060" w:rsidRPr="0098262F" w14:paraId="7DD8FDC4" w14:textId="77777777" w:rsidTr="00260755">
        <w:tc>
          <w:tcPr>
            <w:tcW w:w="796" w:type="pct"/>
            <w:tcBorders>
              <w:bottom w:val="nil"/>
            </w:tcBorders>
            <w:vAlign w:val="center"/>
          </w:tcPr>
          <w:p w14:paraId="43ECE5EA" w14:textId="77777777" w:rsidR="00FD3060" w:rsidRDefault="00FD3060" w:rsidP="001B1083">
            <w:pPr>
              <w:pStyle w:val="TableText0"/>
              <w:keepNext w:val="0"/>
            </w:pPr>
            <w:r>
              <w:t>POISE</w:t>
            </w:r>
          </w:p>
          <w:p w14:paraId="723D2CEE" w14:textId="77777777" w:rsidR="00FD3060" w:rsidRDefault="00FD3060" w:rsidP="001B1083">
            <w:pPr>
              <w:pStyle w:val="TableText0"/>
              <w:keepNext w:val="0"/>
            </w:pPr>
            <w:r w:rsidRPr="002922D0">
              <w:t>NCT01473524</w:t>
            </w:r>
          </w:p>
          <w:p w14:paraId="2FF18805" w14:textId="77777777" w:rsidR="00FD3060" w:rsidRPr="0098262F" w:rsidRDefault="00FD3060" w:rsidP="001B1083">
            <w:pPr>
              <w:pStyle w:val="TableText0"/>
              <w:keepNext w:val="0"/>
            </w:pPr>
            <w:r w:rsidRPr="002922D0">
              <w:t>EUCTR2011-004728-36-BE</w:t>
            </w:r>
          </w:p>
        </w:tc>
        <w:tc>
          <w:tcPr>
            <w:tcW w:w="3027" w:type="pct"/>
            <w:tcBorders>
              <w:bottom w:val="nil"/>
            </w:tcBorders>
            <w:vAlign w:val="center"/>
          </w:tcPr>
          <w:p w14:paraId="5FFBEE79" w14:textId="77777777" w:rsidR="00FD3060" w:rsidRPr="002922D0" w:rsidRDefault="00FD3060" w:rsidP="001B1083">
            <w:pPr>
              <w:pStyle w:val="TableText0"/>
              <w:keepNext w:val="0"/>
            </w:pPr>
            <w:r w:rsidRPr="002922D0">
              <w:t>Nevens F, Andreone P, Mazzella G, et al. A Placebo-controlled trial of obeticholic acid in primary biliary cholangitis.</w:t>
            </w:r>
          </w:p>
        </w:tc>
        <w:tc>
          <w:tcPr>
            <w:tcW w:w="1177" w:type="pct"/>
            <w:tcBorders>
              <w:bottom w:val="nil"/>
            </w:tcBorders>
            <w:vAlign w:val="center"/>
          </w:tcPr>
          <w:p w14:paraId="5EF87CCF" w14:textId="77777777" w:rsidR="00FD3060" w:rsidRPr="002922D0" w:rsidRDefault="00FD3060" w:rsidP="001B1083">
            <w:pPr>
              <w:pStyle w:val="TableText0"/>
              <w:keepNext w:val="0"/>
              <w:rPr>
                <w:i/>
                <w:iCs/>
              </w:rPr>
            </w:pPr>
            <w:r>
              <w:rPr>
                <w:i/>
                <w:iCs/>
              </w:rPr>
              <w:t>NEJM</w:t>
            </w:r>
            <w:r w:rsidRPr="002922D0">
              <w:rPr>
                <w:i/>
                <w:iCs/>
              </w:rPr>
              <w:t xml:space="preserve">. </w:t>
            </w:r>
            <w:r w:rsidRPr="002922D0">
              <w:t>2016; 375(7):631-43.</w:t>
            </w:r>
          </w:p>
        </w:tc>
      </w:tr>
      <w:tr w:rsidR="00FD3060" w:rsidRPr="0098262F" w14:paraId="09E4E265" w14:textId="77777777" w:rsidTr="00260755">
        <w:tc>
          <w:tcPr>
            <w:tcW w:w="5000" w:type="pct"/>
            <w:gridSpan w:val="3"/>
            <w:tcBorders>
              <w:bottom w:val="single" w:sz="4" w:space="0" w:color="auto"/>
            </w:tcBorders>
            <w:vAlign w:val="center"/>
          </w:tcPr>
          <w:p w14:paraId="088C4FFA" w14:textId="0B397406" w:rsidR="00FD3060" w:rsidRDefault="00FD3060" w:rsidP="001B1083">
            <w:pPr>
              <w:pStyle w:val="In-tableHeading"/>
            </w:pPr>
            <w:r>
              <w:t>Elafibranor</w:t>
            </w:r>
          </w:p>
        </w:tc>
      </w:tr>
      <w:tr w:rsidR="00FD3060" w:rsidRPr="0098262F" w14:paraId="50F96F52" w14:textId="77777777" w:rsidTr="00260755">
        <w:tc>
          <w:tcPr>
            <w:tcW w:w="796" w:type="pct"/>
            <w:tcBorders>
              <w:bottom w:val="nil"/>
            </w:tcBorders>
            <w:vAlign w:val="center"/>
          </w:tcPr>
          <w:p w14:paraId="2CCDF57D" w14:textId="77777777" w:rsidR="00FD3060" w:rsidRDefault="00FD3060" w:rsidP="001B1083">
            <w:pPr>
              <w:pStyle w:val="TableText0"/>
              <w:keepNext w:val="0"/>
            </w:pPr>
            <w:r>
              <w:t>ELATIVE</w:t>
            </w:r>
          </w:p>
          <w:p w14:paraId="744F8A1C" w14:textId="77777777" w:rsidR="00FD3060" w:rsidRDefault="00FD3060" w:rsidP="001B1083">
            <w:pPr>
              <w:pStyle w:val="TableText0"/>
              <w:keepNext w:val="0"/>
            </w:pPr>
            <w:r w:rsidRPr="002922D0">
              <w:t>NCT04526665</w:t>
            </w:r>
          </w:p>
          <w:p w14:paraId="2A723BE0" w14:textId="77777777" w:rsidR="00FD3060" w:rsidRPr="0098262F" w:rsidRDefault="00FD3060" w:rsidP="001B1083">
            <w:pPr>
              <w:pStyle w:val="TableText0"/>
              <w:keepNext w:val="0"/>
            </w:pPr>
            <w:r w:rsidRPr="002922D0">
              <w:t>EUCTR2019-004941-34-BE</w:t>
            </w:r>
          </w:p>
        </w:tc>
        <w:tc>
          <w:tcPr>
            <w:tcW w:w="3027" w:type="pct"/>
            <w:tcBorders>
              <w:bottom w:val="nil"/>
            </w:tcBorders>
            <w:vAlign w:val="center"/>
          </w:tcPr>
          <w:p w14:paraId="7B6FC2D5" w14:textId="77777777" w:rsidR="00FD3060" w:rsidRPr="002922D0" w:rsidRDefault="00FD3060" w:rsidP="001B1083">
            <w:pPr>
              <w:pStyle w:val="TableText0"/>
              <w:keepNext w:val="0"/>
            </w:pPr>
            <w:r w:rsidRPr="002922D0">
              <w:t>Kowdley KV, Bowlus CL, Levy C, et al. Efficacy and Safety of Elafibranor in Primary Biliary Cholangitis.</w:t>
            </w:r>
          </w:p>
        </w:tc>
        <w:tc>
          <w:tcPr>
            <w:tcW w:w="1177" w:type="pct"/>
            <w:tcBorders>
              <w:bottom w:val="nil"/>
            </w:tcBorders>
            <w:vAlign w:val="center"/>
          </w:tcPr>
          <w:p w14:paraId="09926A01" w14:textId="77777777" w:rsidR="00FD3060" w:rsidRDefault="00FD3060" w:rsidP="001B1083">
            <w:pPr>
              <w:pStyle w:val="TableText0"/>
              <w:keepNext w:val="0"/>
              <w:rPr>
                <w:i/>
                <w:iCs/>
              </w:rPr>
            </w:pPr>
            <w:r w:rsidRPr="002922D0">
              <w:rPr>
                <w:i/>
                <w:iCs/>
              </w:rPr>
              <w:t>NEJM.</w:t>
            </w:r>
            <w:r w:rsidRPr="002922D0">
              <w:t xml:space="preserve"> 2024a;</w:t>
            </w:r>
            <w:r>
              <w:t xml:space="preserve"> </w:t>
            </w:r>
            <w:r w:rsidRPr="002922D0">
              <w:t>390(9):795-805</w:t>
            </w:r>
          </w:p>
        </w:tc>
      </w:tr>
      <w:tr w:rsidR="00FD3060" w:rsidRPr="0098262F" w14:paraId="3A57EF41" w14:textId="77777777" w:rsidTr="00260755">
        <w:tc>
          <w:tcPr>
            <w:tcW w:w="5000" w:type="pct"/>
            <w:gridSpan w:val="3"/>
            <w:tcBorders>
              <w:top w:val="single" w:sz="4" w:space="0" w:color="auto"/>
              <w:bottom w:val="single" w:sz="4" w:space="0" w:color="auto"/>
            </w:tcBorders>
            <w:vAlign w:val="center"/>
          </w:tcPr>
          <w:p w14:paraId="0C307728" w14:textId="77777777" w:rsidR="00FD3060" w:rsidRPr="00726704" w:rsidRDefault="00FD3060" w:rsidP="001B1083">
            <w:pPr>
              <w:pStyle w:val="In-tableHeading"/>
            </w:pPr>
            <w:r>
              <w:t>Systematic reviews</w:t>
            </w:r>
          </w:p>
        </w:tc>
      </w:tr>
      <w:tr w:rsidR="00FD3060" w:rsidRPr="0098262F" w14:paraId="3A91D867" w14:textId="77777777" w:rsidTr="00260755">
        <w:tc>
          <w:tcPr>
            <w:tcW w:w="796" w:type="pct"/>
            <w:tcBorders>
              <w:top w:val="single" w:sz="4" w:space="0" w:color="auto"/>
              <w:bottom w:val="single" w:sz="4" w:space="0" w:color="auto"/>
            </w:tcBorders>
            <w:vAlign w:val="center"/>
          </w:tcPr>
          <w:p w14:paraId="5A827384" w14:textId="77777777" w:rsidR="00FD3060" w:rsidRPr="0098262F" w:rsidRDefault="00FD3060" w:rsidP="001B1083">
            <w:pPr>
              <w:pStyle w:val="TableText0"/>
              <w:keepNext w:val="0"/>
            </w:pPr>
            <w:r>
              <w:t>Giannini 2024</w:t>
            </w:r>
          </w:p>
        </w:tc>
        <w:tc>
          <w:tcPr>
            <w:tcW w:w="3027" w:type="pct"/>
            <w:tcBorders>
              <w:top w:val="single" w:sz="4" w:space="0" w:color="auto"/>
            </w:tcBorders>
            <w:shd w:val="clear" w:color="auto" w:fill="FFFFFF" w:themeFill="background1"/>
          </w:tcPr>
          <w:p w14:paraId="5996862A" w14:textId="77777777" w:rsidR="00FD3060" w:rsidRPr="00726704" w:rsidRDefault="00FD3060" w:rsidP="001B1083">
            <w:pPr>
              <w:pStyle w:val="TableText0"/>
              <w:keepNext w:val="0"/>
              <w:rPr>
                <w:rFonts w:eastAsiaTheme="minorHAnsi"/>
              </w:rPr>
            </w:pPr>
            <w:r w:rsidRPr="00726704">
              <w:rPr>
                <w:rFonts w:eastAsiaTheme="minorHAnsi"/>
              </w:rPr>
              <w:t xml:space="preserve">Giannini, E. G., Pasta, A., Calabrese, F., Labanca, S., Marenco, S., Pieri, G., Plaz Torres, M. C., &amp; Strazzabosco, M. (2024). Second-Line Treatment for Patients With Primary Biliary Cholangitis: A Systematic Review With Network Meta-Analysis. </w:t>
            </w:r>
          </w:p>
        </w:tc>
        <w:tc>
          <w:tcPr>
            <w:tcW w:w="1177" w:type="pct"/>
            <w:tcBorders>
              <w:top w:val="single" w:sz="4" w:space="0" w:color="auto"/>
              <w:bottom w:val="single" w:sz="4" w:space="0" w:color="auto"/>
            </w:tcBorders>
            <w:vAlign w:val="center"/>
          </w:tcPr>
          <w:p w14:paraId="7EA5D2B8" w14:textId="5399440D" w:rsidR="00FD3060" w:rsidRPr="00726704" w:rsidRDefault="00FD3060" w:rsidP="001B1083">
            <w:pPr>
              <w:pStyle w:val="TableText0"/>
              <w:keepNext w:val="0"/>
              <w:rPr>
                <w:rFonts w:eastAsiaTheme="minorHAnsi"/>
                <w:i/>
                <w:iCs/>
              </w:rPr>
            </w:pPr>
            <w:r w:rsidRPr="00726704">
              <w:rPr>
                <w:rFonts w:eastAsiaTheme="minorHAnsi"/>
                <w:i/>
                <w:iCs/>
              </w:rPr>
              <w:t xml:space="preserve">Liver </w:t>
            </w:r>
            <w:r w:rsidR="000D30EA">
              <w:rPr>
                <w:rFonts w:eastAsiaTheme="minorHAnsi"/>
                <w:i/>
                <w:iCs/>
              </w:rPr>
              <w:t>I</w:t>
            </w:r>
            <w:r w:rsidRPr="00726704">
              <w:rPr>
                <w:rFonts w:eastAsiaTheme="minorHAnsi"/>
                <w:i/>
                <w:iCs/>
              </w:rPr>
              <w:t>nternational: official journal of the International Association for the Study of the Liver.</w:t>
            </w:r>
            <w:r w:rsidRPr="00726704">
              <w:rPr>
                <w:rFonts w:eastAsiaTheme="minorHAnsi"/>
              </w:rPr>
              <w:t xml:space="preserve"> 45(1), e16222. </w:t>
            </w:r>
          </w:p>
        </w:tc>
      </w:tr>
    </w:tbl>
    <w:p w14:paraId="0827AF21" w14:textId="77777777" w:rsidR="00FD3060" w:rsidRDefault="00FD3060" w:rsidP="00FD3060">
      <w:pPr>
        <w:pStyle w:val="FooterTableFigure"/>
      </w:pPr>
      <w:r w:rsidRPr="0098262F">
        <w:t>Source: Table</w:t>
      </w:r>
      <w:r>
        <w:t>s 16 &amp; 17, pp48-53</w:t>
      </w:r>
      <w:r w:rsidRPr="0098262F">
        <w:t xml:space="preserve"> of the submission</w:t>
      </w:r>
      <w:r>
        <w:t>.</w:t>
      </w:r>
    </w:p>
    <w:p w14:paraId="1D1DA07F" w14:textId="2261E4E9" w:rsidR="00EA0150" w:rsidRPr="0098262F" w:rsidRDefault="00EA0150" w:rsidP="00FD3060">
      <w:pPr>
        <w:pStyle w:val="FooterTableFigure"/>
        <w:rPr>
          <w:sz w:val="20"/>
        </w:rPr>
      </w:pPr>
      <w:r>
        <w:t xml:space="preserve">OCA = obeticholic acid, </w:t>
      </w:r>
      <w:r w:rsidR="00443565">
        <w:t xml:space="preserve">PBC = </w:t>
      </w:r>
      <w:r w:rsidR="00443565" w:rsidRPr="00443565">
        <w:t>Primary Biliary Cholangitis</w:t>
      </w:r>
      <w:r w:rsidR="00443565">
        <w:t xml:space="preserve">, </w:t>
      </w:r>
      <w:r w:rsidRPr="00EA0150">
        <w:t>UDCA</w:t>
      </w:r>
      <w:r>
        <w:t xml:space="preserve"> = u</w:t>
      </w:r>
      <w:r w:rsidRPr="00EA0150">
        <w:t xml:space="preserve">rsodeoxycholic </w:t>
      </w:r>
      <w:r>
        <w:t>a</w:t>
      </w:r>
      <w:r w:rsidRPr="00EA0150">
        <w:t>cid</w:t>
      </w:r>
      <w:r>
        <w:t>.</w:t>
      </w:r>
    </w:p>
    <w:p w14:paraId="23FAA35C" w14:textId="12FDC59E" w:rsidR="00095E52" w:rsidRPr="00B35EEA" w:rsidRDefault="00095E52" w:rsidP="00EC5836">
      <w:pPr>
        <w:pStyle w:val="3-BodyText"/>
      </w:pPr>
      <w:r w:rsidRPr="00B35EEA">
        <w:t>The submission also noted 3 long</w:t>
      </w:r>
      <w:r w:rsidR="000D30EA" w:rsidRPr="00B35EEA">
        <w:t>-</w:t>
      </w:r>
      <w:r w:rsidRPr="00B35EEA">
        <w:t xml:space="preserve">term safety extension studies as studies of interest: the seladelpar ASSURE study, the OCA POISE LTSE study, and the elafibranor ELATIVE OLE study. The POISE and ELATIVE trials and the POISE LTSE and ELATIVE OLE studies </w:t>
      </w:r>
      <w:r w:rsidR="00CF0355">
        <w:t>were</w:t>
      </w:r>
      <w:r w:rsidR="00CF0355" w:rsidRPr="00B35EEA">
        <w:t xml:space="preserve"> </w:t>
      </w:r>
      <w:r w:rsidRPr="00B35EEA">
        <w:t>previously considered by the PBAC, most recently as part of the elafibranor submission at the March 2025 PBAC meeting.</w:t>
      </w:r>
    </w:p>
    <w:p w14:paraId="1DD06D7D" w14:textId="3399D602" w:rsidR="007F1017" w:rsidRPr="0098262F" w:rsidRDefault="008F120A" w:rsidP="00EC5836">
      <w:pPr>
        <w:pStyle w:val="3-BodyText"/>
        <w:rPr>
          <w:color w:val="0066FF"/>
        </w:rPr>
      </w:pPr>
      <w:r w:rsidRPr="0098262F">
        <w:t>The key features of the direct randomised trials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333A5F" w:rsidRPr="00333A5F">
        <w:t>Table 3</w:t>
      </w:r>
      <w:r w:rsidR="00D6076E" w:rsidRPr="0098262F">
        <w:fldChar w:fldCharType="end"/>
      </w:r>
      <w:r w:rsidRPr="0098262F">
        <w:t>.</w:t>
      </w:r>
      <w:r w:rsidR="00BC591F" w:rsidRPr="0098262F">
        <w:t xml:space="preserve"> </w:t>
      </w:r>
    </w:p>
    <w:p w14:paraId="355E2F15" w14:textId="3D46DB37" w:rsidR="007F1017" w:rsidRPr="0098262F" w:rsidRDefault="00696EF9" w:rsidP="00D6076E">
      <w:pPr>
        <w:pStyle w:val="Caption"/>
        <w:rPr>
          <w:rStyle w:val="CommentReference"/>
          <w:rFonts w:eastAsiaTheme="majorEastAsia" w:cstheme="majorBidi"/>
          <w:b/>
          <w:szCs w:val="24"/>
        </w:rPr>
      </w:pPr>
      <w:bookmarkStart w:id="26" w:name="_Ref104804098"/>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333A5F">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6"/>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r w:rsidR="009250C6">
        <w:rPr>
          <w:rStyle w:val="CommentReference"/>
          <w:rFonts w:eastAsiaTheme="majorEastAsia" w:cstheme="majorBidi"/>
          <w:b/>
          <w:szCs w:val="24"/>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968"/>
        <w:gridCol w:w="472"/>
        <w:gridCol w:w="795"/>
        <w:gridCol w:w="810"/>
        <w:gridCol w:w="2763"/>
        <w:gridCol w:w="1931"/>
        <w:gridCol w:w="1278"/>
      </w:tblGrid>
      <w:tr w:rsidR="00B41614" w:rsidRPr="0098262F" w14:paraId="53DD7CC6" w14:textId="77777777" w:rsidTr="00DF3373">
        <w:trPr>
          <w:cantSplit/>
          <w:tblHeader/>
        </w:trPr>
        <w:tc>
          <w:tcPr>
            <w:tcW w:w="537" w:type="pct"/>
            <w:vAlign w:val="center"/>
          </w:tcPr>
          <w:p w14:paraId="794116BC" w14:textId="77777777" w:rsidR="007F1017" w:rsidRPr="0098262F" w:rsidRDefault="007F1017" w:rsidP="00260755">
            <w:pPr>
              <w:pStyle w:val="In-tableHeading"/>
              <w:jc w:val="center"/>
              <w:rPr>
                <w:lang w:val="en-AU"/>
              </w:rPr>
            </w:pPr>
            <w:r w:rsidRPr="0098262F">
              <w:rPr>
                <w:lang w:val="en-AU"/>
              </w:rPr>
              <w:t>Trial</w:t>
            </w:r>
          </w:p>
        </w:tc>
        <w:tc>
          <w:tcPr>
            <w:tcW w:w="262" w:type="pct"/>
            <w:vAlign w:val="center"/>
          </w:tcPr>
          <w:p w14:paraId="51122FE5" w14:textId="77777777" w:rsidR="007F1017" w:rsidRPr="0098262F" w:rsidRDefault="007F1017" w:rsidP="00260755">
            <w:pPr>
              <w:pStyle w:val="In-tableHeading"/>
              <w:jc w:val="center"/>
              <w:rPr>
                <w:lang w:val="en-AU"/>
              </w:rPr>
            </w:pPr>
            <w:r w:rsidRPr="0098262F">
              <w:rPr>
                <w:lang w:val="en-AU"/>
              </w:rPr>
              <w:t>N</w:t>
            </w:r>
          </w:p>
        </w:tc>
        <w:tc>
          <w:tcPr>
            <w:tcW w:w="441" w:type="pct"/>
            <w:vAlign w:val="center"/>
          </w:tcPr>
          <w:p w14:paraId="41C438EF" w14:textId="77777777" w:rsidR="007F1017" w:rsidRPr="0098262F" w:rsidRDefault="007F1017" w:rsidP="00260755">
            <w:pPr>
              <w:pStyle w:val="In-tableHeading"/>
              <w:jc w:val="center"/>
              <w:rPr>
                <w:lang w:val="en-AU"/>
              </w:rPr>
            </w:pPr>
            <w:r w:rsidRPr="0098262F">
              <w:rPr>
                <w:lang w:val="en-AU"/>
              </w:rPr>
              <w:t>Design/ duration</w:t>
            </w:r>
          </w:p>
        </w:tc>
        <w:tc>
          <w:tcPr>
            <w:tcW w:w="449" w:type="pct"/>
            <w:vAlign w:val="center"/>
          </w:tcPr>
          <w:p w14:paraId="1FC91360" w14:textId="77777777" w:rsidR="007F1017" w:rsidRPr="0098262F" w:rsidRDefault="007F1017" w:rsidP="00260755">
            <w:pPr>
              <w:pStyle w:val="In-tableHeading"/>
              <w:jc w:val="center"/>
              <w:rPr>
                <w:lang w:val="en-AU"/>
              </w:rPr>
            </w:pPr>
            <w:r w:rsidRPr="0098262F">
              <w:rPr>
                <w:lang w:val="en-AU"/>
              </w:rPr>
              <w:t>Risk of bias</w:t>
            </w:r>
          </w:p>
        </w:tc>
        <w:tc>
          <w:tcPr>
            <w:tcW w:w="1532" w:type="pct"/>
            <w:vAlign w:val="center"/>
          </w:tcPr>
          <w:p w14:paraId="7FF90896" w14:textId="722562B7" w:rsidR="007F1017" w:rsidRPr="0098262F" w:rsidRDefault="007F1017" w:rsidP="00260755">
            <w:pPr>
              <w:pStyle w:val="In-tableHeading"/>
              <w:jc w:val="center"/>
              <w:rPr>
                <w:lang w:val="en-AU"/>
              </w:rPr>
            </w:pPr>
            <w:r w:rsidRPr="0098262F">
              <w:rPr>
                <w:lang w:val="en-AU"/>
              </w:rPr>
              <w:t>Pa</w:t>
            </w:r>
            <w:r w:rsidR="00732CE9">
              <w:rPr>
                <w:lang w:val="en-AU"/>
              </w:rPr>
              <w:t>rticipant</w:t>
            </w:r>
            <w:r w:rsidRPr="0098262F">
              <w:rPr>
                <w:lang w:val="en-AU"/>
              </w:rPr>
              <w:t xml:space="preserve"> population</w:t>
            </w:r>
          </w:p>
        </w:tc>
        <w:tc>
          <w:tcPr>
            <w:tcW w:w="1071" w:type="pct"/>
            <w:vAlign w:val="center"/>
          </w:tcPr>
          <w:p w14:paraId="0FCB63F9" w14:textId="77777777" w:rsidR="007F1017" w:rsidRPr="0098262F" w:rsidRDefault="007F1017" w:rsidP="00260755">
            <w:pPr>
              <w:pStyle w:val="In-tableHeading"/>
              <w:jc w:val="center"/>
              <w:rPr>
                <w:lang w:val="en-AU"/>
              </w:rPr>
            </w:pPr>
            <w:r w:rsidRPr="0098262F">
              <w:rPr>
                <w:lang w:val="en-AU"/>
              </w:rPr>
              <w:t>Outcome(s)</w:t>
            </w:r>
          </w:p>
        </w:tc>
        <w:tc>
          <w:tcPr>
            <w:tcW w:w="709" w:type="pct"/>
            <w:vAlign w:val="center"/>
          </w:tcPr>
          <w:p w14:paraId="08C6F624" w14:textId="77777777" w:rsidR="007F1017" w:rsidRPr="0098262F" w:rsidRDefault="007F1017" w:rsidP="00260755">
            <w:pPr>
              <w:pStyle w:val="In-tableHeading"/>
              <w:jc w:val="center"/>
              <w:rPr>
                <w:lang w:val="en-AU"/>
              </w:rPr>
            </w:pPr>
            <w:r w:rsidRPr="0098262F">
              <w:rPr>
                <w:lang w:val="en-AU"/>
              </w:rPr>
              <w:t>Use in modelled evaluation</w:t>
            </w:r>
          </w:p>
        </w:tc>
      </w:tr>
      <w:tr w:rsidR="007F1017" w:rsidRPr="0098262F" w14:paraId="2A03CD4B" w14:textId="77777777" w:rsidTr="00260755">
        <w:trPr>
          <w:cantSplit/>
        </w:trPr>
        <w:tc>
          <w:tcPr>
            <w:tcW w:w="5000" w:type="pct"/>
            <w:gridSpan w:val="7"/>
            <w:vAlign w:val="center"/>
          </w:tcPr>
          <w:p w14:paraId="73088C85" w14:textId="728FBD37" w:rsidR="007F1017" w:rsidRPr="0098262F" w:rsidRDefault="00095E52" w:rsidP="00EC5836">
            <w:pPr>
              <w:pStyle w:val="In-tableHeading"/>
              <w:rPr>
                <w:lang w:val="en-AU"/>
              </w:rPr>
            </w:pPr>
            <w:r>
              <w:rPr>
                <w:lang w:val="en-AU"/>
              </w:rPr>
              <w:t>Seladelpar</w:t>
            </w:r>
            <w:r w:rsidR="007F1017" w:rsidRPr="0098262F">
              <w:rPr>
                <w:lang w:val="en-AU"/>
              </w:rPr>
              <w:t xml:space="preserve"> vs </w:t>
            </w:r>
            <w:r>
              <w:rPr>
                <w:lang w:val="en-AU"/>
              </w:rPr>
              <w:t>placebo</w:t>
            </w:r>
          </w:p>
        </w:tc>
      </w:tr>
      <w:tr w:rsidR="00B41614" w:rsidRPr="0098262F" w14:paraId="4EE88DCB" w14:textId="77777777" w:rsidTr="00DF3373">
        <w:trPr>
          <w:cantSplit/>
        </w:trPr>
        <w:tc>
          <w:tcPr>
            <w:tcW w:w="537" w:type="pct"/>
            <w:vAlign w:val="center"/>
          </w:tcPr>
          <w:p w14:paraId="6EE77D33" w14:textId="2C257F41" w:rsidR="007F1017" w:rsidRPr="0098262F" w:rsidRDefault="00095E52" w:rsidP="00EC5836">
            <w:pPr>
              <w:pStyle w:val="TableText0"/>
            </w:pPr>
            <w:r>
              <w:t>RESPONSE</w:t>
            </w:r>
          </w:p>
        </w:tc>
        <w:tc>
          <w:tcPr>
            <w:tcW w:w="262" w:type="pct"/>
            <w:vAlign w:val="center"/>
          </w:tcPr>
          <w:p w14:paraId="41BB0E41" w14:textId="4E4682F9" w:rsidR="007F1017" w:rsidRPr="0098262F" w:rsidRDefault="00A226CB" w:rsidP="00EC5836">
            <w:pPr>
              <w:pStyle w:val="TableText0"/>
              <w:jc w:val="center"/>
            </w:pPr>
            <w:r>
              <w:t>193</w:t>
            </w:r>
          </w:p>
        </w:tc>
        <w:tc>
          <w:tcPr>
            <w:tcW w:w="441" w:type="pct"/>
            <w:vAlign w:val="center"/>
          </w:tcPr>
          <w:p w14:paraId="401EAFDA" w14:textId="7F95075C" w:rsidR="007F1017" w:rsidRPr="00A226CB" w:rsidRDefault="007F1017" w:rsidP="00A226CB">
            <w:pPr>
              <w:pStyle w:val="TableText0"/>
            </w:pPr>
            <w:r w:rsidRPr="00A226CB">
              <w:t>R, DB</w:t>
            </w:r>
            <w:r w:rsidR="00A226CB" w:rsidRPr="00A226CB">
              <w:t>, MC</w:t>
            </w:r>
          </w:p>
          <w:p w14:paraId="744D08AC" w14:textId="5A47AB57" w:rsidR="007F1017" w:rsidRPr="00A226CB" w:rsidRDefault="00A226CB" w:rsidP="00A226CB">
            <w:pPr>
              <w:pStyle w:val="TableText0"/>
            </w:pPr>
            <w:r w:rsidRPr="00A226CB">
              <w:t>12</w:t>
            </w:r>
            <w:r w:rsidR="007F1017" w:rsidRPr="00A226CB">
              <w:t xml:space="preserve"> m</w:t>
            </w:r>
            <w:r w:rsidRPr="00A226CB">
              <w:t>on</w:t>
            </w:r>
            <w:r w:rsidR="007F1017" w:rsidRPr="00A226CB">
              <w:t>ths</w:t>
            </w:r>
          </w:p>
        </w:tc>
        <w:tc>
          <w:tcPr>
            <w:tcW w:w="449" w:type="pct"/>
            <w:vAlign w:val="center"/>
          </w:tcPr>
          <w:p w14:paraId="4A529D74" w14:textId="77777777" w:rsidR="007F1017" w:rsidRPr="00A226CB" w:rsidRDefault="007F1017" w:rsidP="00A226CB">
            <w:pPr>
              <w:pStyle w:val="TableText0"/>
            </w:pPr>
            <w:r w:rsidRPr="00A226CB">
              <w:t>Low</w:t>
            </w:r>
          </w:p>
        </w:tc>
        <w:tc>
          <w:tcPr>
            <w:tcW w:w="1532" w:type="pct"/>
            <w:vAlign w:val="center"/>
          </w:tcPr>
          <w:p w14:paraId="6523520A" w14:textId="7F42B2D0" w:rsidR="00846809" w:rsidRDefault="00A226CB" w:rsidP="00846809">
            <w:pPr>
              <w:pStyle w:val="TableText0"/>
            </w:pPr>
            <w:r w:rsidRPr="00A226CB">
              <w:t>Adults 18-75</w:t>
            </w:r>
            <w:r w:rsidR="00846809">
              <w:t xml:space="preserve"> with PBC</w:t>
            </w:r>
            <w:r w:rsidR="00504DC4">
              <w:t>.</w:t>
            </w:r>
          </w:p>
          <w:p w14:paraId="1AB7E7C6" w14:textId="5CC2F29E" w:rsidR="00846809" w:rsidRDefault="00846809" w:rsidP="00846809">
            <w:pPr>
              <w:pStyle w:val="TableText0"/>
            </w:pPr>
            <w:r>
              <w:t xml:space="preserve">Liver </w:t>
            </w:r>
            <w:r w:rsidR="00504DC4">
              <w:t>f</w:t>
            </w:r>
            <w:r>
              <w:t xml:space="preserve">unction </w:t>
            </w:r>
            <w:r w:rsidR="00504DC4">
              <w:t>t</w:t>
            </w:r>
            <w:r>
              <w:t>ests:</w:t>
            </w:r>
          </w:p>
          <w:p w14:paraId="1C43489C" w14:textId="605D4237" w:rsidR="00846809" w:rsidRDefault="00846809" w:rsidP="00F6324B">
            <w:pPr>
              <w:pStyle w:val="TableText0"/>
              <w:numPr>
                <w:ilvl w:val="0"/>
                <w:numId w:val="10"/>
              </w:numPr>
            </w:pPr>
            <w:r>
              <w:t>ALP: ≥ 1.67 x ULN;</w:t>
            </w:r>
          </w:p>
          <w:p w14:paraId="5C454C8E" w14:textId="74C21CD5" w:rsidR="00846809" w:rsidRDefault="00846809" w:rsidP="00F6324B">
            <w:pPr>
              <w:pStyle w:val="TableText0"/>
              <w:numPr>
                <w:ilvl w:val="0"/>
                <w:numId w:val="10"/>
              </w:numPr>
            </w:pPr>
            <w:r>
              <w:t>AST: ≤ 3 x ULN;</w:t>
            </w:r>
          </w:p>
          <w:p w14:paraId="6996D327" w14:textId="7EDD735E" w:rsidR="00846809" w:rsidRDefault="00846809" w:rsidP="00F6324B">
            <w:pPr>
              <w:pStyle w:val="TableText0"/>
              <w:numPr>
                <w:ilvl w:val="0"/>
                <w:numId w:val="10"/>
              </w:numPr>
            </w:pPr>
            <w:r>
              <w:t>ALT: ≤ 3 x ULN; and</w:t>
            </w:r>
          </w:p>
          <w:p w14:paraId="5A2F6AC4" w14:textId="2F1C01D1" w:rsidR="00846809" w:rsidRDefault="00846809" w:rsidP="00F6324B">
            <w:pPr>
              <w:pStyle w:val="TableText0"/>
              <w:numPr>
                <w:ilvl w:val="0"/>
                <w:numId w:val="10"/>
              </w:numPr>
            </w:pPr>
            <w:r>
              <w:t>T</w:t>
            </w:r>
            <w:r w:rsidR="00504DC4">
              <w:t>B</w:t>
            </w:r>
            <w:r>
              <w:t>: ≤ 2 x ULN</w:t>
            </w:r>
          </w:p>
          <w:p w14:paraId="2896C4AF" w14:textId="4473F4F3" w:rsidR="00846809" w:rsidRDefault="00846809" w:rsidP="00846809">
            <w:pPr>
              <w:pStyle w:val="TableText0"/>
            </w:pPr>
            <w:r>
              <w:t xml:space="preserve">Additional requirements for renal function, coagulation status, and platelet </w:t>
            </w:r>
            <w:r w:rsidR="00504DC4">
              <w:t>c</w:t>
            </w:r>
            <w:r>
              <w:t>ount</w:t>
            </w:r>
            <w:r w:rsidR="00504DC4">
              <w:t>.</w:t>
            </w:r>
          </w:p>
          <w:p w14:paraId="5E6F456D" w14:textId="2F88D9BB" w:rsidR="007F1017" w:rsidRPr="00A226CB" w:rsidRDefault="00A226CB" w:rsidP="00A226CB">
            <w:pPr>
              <w:pStyle w:val="TableText0"/>
            </w:pPr>
            <w:r w:rsidRPr="00A226CB">
              <w:t>Inadequate response to or unacceptable side effects with UDCA</w:t>
            </w:r>
            <w:r w:rsidR="00504DC4">
              <w:t>.</w:t>
            </w:r>
          </w:p>
        </w:tc>
        <w:tc>
          <w:tcPr>
            <w:tcW w:w="1071" w:type="pct"/>
            <w:vAlign w:val="center"/>
          </w:tcPr>
          <w:p w14:paraId="60FA3E10" w14:textId="460E4886" w:rsidR="00A226CB" w:rsidRPr="00A226CB" w:rsidRDefault="00A226CB" w:rsidP="00A226CB">
            <w:pPr>
              <w:pStyle w:val="TableText0"/>
            </w:pPr>
            <w:r w:rsidRPr="00A226CB">
              <w:t>Primary: Biochemical response (ALP &lt;1.67 x ULN and TB ≤ULN and ALP decrease of ≥15%)</w:t>
            </w:r>
            <w:r w:rsidR="00504DC4">
              <w:t>.</w:t>
            </w:r>
          </w:p>
          <w:p w14:paraId="106535E1" w14:textId="774D444E" w:rsidR="007F1017" w:rsidRDefault="00A226CB" w:rsidP="00A226CB">
            <w:pPr>
              <w:pStyle w:val="TableText0"/>
            </w:pPr>
            <w:r w:rsidRPr="00A226CB">
              <w:t>Secondary: ALP normalisation; Prurit</w:t>
            </w:r>
            <w:r w:rsidR="000D30EA">
              <w:t>u</w:t>
            </w:r>
            <w:r w:rsidRPr="00A226CB">
              <w:t>s NRS, PBC-40 total; PBC-40 itch domain, 5-D itch</w:t>
            </w:r>
            <w:r w:rsidR="00504DC4">
              <w:t>.</w:t>
            </w:r>
          </w:p>
          <w:p w14:paraId="6DC76214" w14:textId="5DA63CC8" w:rsidR="00EE085C" w:rsidRPr="00A226CB" w:rsidRDefault="00EE085C" w:rsidP="00A226CB">
            <w:pPr>
              <w:pStyle w:val="TableText0"/>
            </w:pPr>
            <w:r>
              <w:t>Safety: TEAEs, Pruritus events</w:t>
            </w:r>
          </w:p>
        </w:tc>
        <w:tc>
          <w:tcPr>
            <w:tcW w:w="709" w:type="pct"/>
            <w:vAlign w:val="center"/>
          </w:tcPr>
          <w:p w14:paraId="150A804C" w14:textId="55ECB3AC" w:rsidR="007F1017" w:rsidRPr="00A226CB" w:rsidRDefault="00A226CB" w:rsidP="00A226CB">
            <w:pPr>
              <w:pStyle w:val="TableText0"/>
            </w:pPr>
            <w:r w:rsidRPr="00A226CB">
              <w:t>ALP normalisation, discontinuations, pruritus, utilities</w:t>
            </w:r>
          </w:p>
        </w:tc>
      </w:tr>
      <w:tr w:rsidR="00095E52" w:rsidRPr="0098262F" w14:paraId="6042B4FF" w14:textId="77777777" w:rsidTr="00260755">
        <w:trPr>
          <w:cantSplit/>
        </w:trPr>
        <w:tc>
          <w:tcPr>
            <w:tcW w:w="5000" w:type="pct"/>
            <w:gridSpan w:val="7"/>
            <w:vAlign w:val="center"/>
          </w:tcPr>
          <w:p w14:paraId="35C4F6F4" w14:textId="351D142F" w:rsidR="00095E52" w:rsidRPr="0098262F" w:rsidRDefault="00095E52" w:rsidP="00095E52">
            <w:pPr>
              <w:pStyle w:val="In-tableHeading"/>
            </w:pPr>
            <w:r>
              <w:t>OCA vs placebo</w:t>
            </w:r>
          </w:p>
        </w:tc>
      </w:tr>
      <w:tr w:rsidR="00B41614" w:rsidRPr="0098262F" w14:paraId="13A6895C" w14:textId="77777777" w:rsidTr="00DF3373">
        <w:trPr>
          <w:cantSplit/>
        </w:trPr>
        <w:tc>
          <w:tcPr>
            <w:tcW w:w="537" w:type="pct"/>
            <w:vAlign w:val="center"/>
          </w:tcPr>
          <w:p w14:paraId="4A9488B3" w14:textId="7392DC7E" w:rsidR="007F1017" w:rsidRPr="0098262F" w:rsidRDefault="00095E52" w:rsidP="00EC5836">
            <w:pPr>
              <w:pStyle w:val="TableText0"/>
            </w:pPr>
            <w:r>
              <w:t>POISE</w:t>
            </w:r>
          </w:p>
        </w:tc>
        <w:tc>
          <w:tcPr>
            <w:tcW w:w="262" w:type="pct"/>
            <w:vAlign w:val="center"/>
          </w:tcPr>
          <w:p w14:paraId="3F4D20B5" w14:textId="38027BE4" w:rsidR="007F1017" w:rsidRPr="0098262F" w:rsidRDefault="00A226CB" w:rsidP="00EC5836">
            <w:pPr>
              <w:pStyle w:val="TableText0"/>
              <w:jc w:val="center"/>
            </w:pPr>
            <w:r>
              <w:t>143</w:t>
            </w:r>
            <w:r w:rsidRPr="00A226CB">
              <w:rPr>
                <w:vertAlign w:val="superscript"/>
              </w:rPr>
              <w:t>a</w:t>
            </w:r>
          </w:p>
        </w:tc>
        <w:tc>
          <w:tcPr>
            <w:tcW w:w="441" w:type="pct"/>
            <w:vAlign w:val="center"/>
          </w:tcPr>
          <w:p w14:paraId="0CEC85E4" w14:textId="6037E761" w:rsidR="007F1017" w:rsidRPr="00A226CB" w:rsidRDefault="007F1017" w:rsidP="00A226CB">
            <w:pPr>
              <w:pStyle w:val="TableText0"/>
            </w:pPr>
            <w:r w:rsidRPr="00A226CB">
              <w:t xml:space="preserve">R, </w:t>
            </w:r>
            <w:r w:rsidR="00A226CB" w:rsidRPr="00A226CB">
              <w:t>DB, MC</w:t>
            </w:r>
          </w:p>
          <w:p w14:paraId="68D92FE7" w14:textId="2242BC8A" w:rsidR="007F1017" w:rsidRPr="00A226CB" w:rsidRDefault="00A226CB" w:rsidP="00A226CB">
            <w:pPr>
              <w:pStyle w:val="TableText0"/>
            </w:pPr>
            <w:r w:rsidRPr="00A226CB">
              <w:t>12</w:t>
            </w:r>
            <w:r w:rsidR="007F1017" w:rsidRPr="00A226CB">
              <w:t xml:space="preserve"> m</w:t>
            </w:r>
            <w:r w:rsidRPr="00A226CB">
              <w:t>on</w:t>
            </w:r>
            <w:r w:rsidR="007F1017" w:rsidRPr="00A226CB">
              <w:t>ths</w:t>
            </w:r>
          </w:p>
        </w:tc>
        <w:tc>
          <w:tcPr>
            <w:tcW w:w="449" w:type="pct"/>
            <w:vAlign w:val="center"/>
          </w:tcPr>
          <w:p w14:paraId="6F0F93F8" w14:textId="08995F39" w:rsidR="007F1017" w:rsidRPr="00A226CB" w:rsidRDefault="00A226CB" w:rsidP="00A226CB">
            <w:pPr>
              <w:pStyle w:val="TableText0"/>
            </w:pPr>
            <w:r w:rsidRPr="00A226CB">
              <w:t>Moderate</w:t>
            </w:r>
            <w:r w:rsidRPr="00A226CB">
              <w:rPr>
                <w:vertAlign w:val="superscript"/>
              </w:rPr>
              <w:t>b</w:t>
            </w:r>
          </w:p>
        </w:tc>
        <w:tc>
          <w:tcPr>
            <w:tcW w:w="1532" w:type="pct"/>
            <w:vAlign w:val="center"/>
          </w:tcPr>
          <w:p w14:paraId="7DDBC40E" w14:textId="3CD2D577" w:rsidR="007F1017" w:rsidRDefault="00A226CB" w:rsidP="00A226CB">
            <w:pPr>
              <w:pStyle w:val="TableText0"/>
            </w:pPr>
            <w:r w:rsidRPr="00A226CB">
              <w:t>Adults 18+</w:t>
            </w:r>
            <w:r w:rsidR="00846809">
              <w:t xml:space="preserve"> with PBC</w:t>
            </w:r>
            <w:r w:rsidR="00504DC4">
              <w:t>.</w:t>
            </w:r>
          </w:p>
          <w:p w14:paraId="2BF786EA" w14:textId="51FF87FD" w:rsidR="00846809" w:rsidRDefault="00846809" w:rsidP="00A226CB">
            <w:pPr>
              <w:pStyle w:val="TableText0"/>
            </w:pPr>
            <w:r>
              <w:t>Liver function tests: at least one of</w:t>
            </w:r>
          </w:p>
          <w:p w14:paraId="371B23EB" w14:textId="1E32B02E" w:rsidR="00846809" w:rsidRDefault="00846809" w:rsidP="00F6324B">
            <w:pPr>
              <w:pStyle w:val="TableText0"/>
              <w:numPr>
                <w:ilvl w:val="0"/>
                <w:numId w:val="11"/>
              </w:numPr>
            </w:pPr>
            <w:r>
              <w:t>ALP ≥ 1.67 x ULN</w:t>
            </w:r>
          </w:p>
          <w:p w14:paraId="465FB2DA" w14:textId="719F3561" w:rsidR="00846809" w:rsidRDefault="00846809" w:rsidP="00F6324B">
            <w:pPr>
              <w:pStyle w:val="TableText0"/>
              <w:numPr>
                <w:ilvl w:val="0"/>
                <w:numId w:val="11"/>
              </w:numPr>
            </w:pPr>
            <w:r>
              <w:t>T</w:t>
            </w:r>
            <w:r w:rsidR="00504DC4">
              <w:t>B</w:t>
            </w:r>
            <w:r>
              <w:t xml:space="preserve"> &gt; ULN but &lt; 2 x ULN</w:t>
            </w:r>
          </w:p>
          <w:p w14:paraId="43AC963E" w14:textId="6E9C5A57" w:rsidR="00A226CB" w:rsidRPr="00A226CB" w:rsidRDefault="00A226CB" w:rsidP="00A226CB">
            <w:pPr>
              <w:pStyle w:val="TableText0"/>
            </w:pPr>
            <w:r w:rsidRPr="00A226CB">
              <w:t>Inadequate response to or unacceptable side effects with UDCA</w:t>
            </w:r>
            <w:r w:rsidR="00504DC4">
              <w:t>.</w:t>
            </w:r>
          </w:p>
        </w:tc>
        <w:tc>
          <w:tcPr>
            <w:tcW w:w="1071" w:type="pct"/>
            <w:vAlign w:val="center"/>
          </w:tcPr>
          <w:p w14:paraId="3EE8659D" w14:textId="65DAA156" w:rsidR="00A226CB" w:rsidRPr="00A226CB" w:rsidRDefault="00A226CB" w:rsidP="00A226CB">
            <w:pPr>
              <w:pStyle w:val="TableText0"/>
            </w:pPr>
            <w:r w:rsidRPr="00A226CB">
              <w:t>Primary: Biochemical response (ALP &lt;1.67 x ULN and TB ≤ULN and ALP decrease of ≥15%)</w:t>
            </w:r>
            <w:r w:rsidR="00504DC4">
              <w:t>.</w:t>
            </w:r>
          </w:p>
          <w:p w14:paraId="6EC2DA03" w14:textId="77777777" w:rsidR="007F1017" w:rsidRDefault="00A226CB" w:rsidP="00A226CB">
            <w:pPr>
              <w:pStyle w:val="TableText0"/>
            </w:pPr>
            <w:r w:rsidRPr="00A226CB">
              <w:t>Secondary: ALP normalisation; PBC-</w:t>
            </w:r>
            <w:r w:rsidR="009250C6">
              <w:t>4</w:t>
            </w:r>
            <w:r w:rsidRPr="00A226CB">
              <w:t>0 total; PBC-40 itch; 5-D itch</w:t>
            </w:r>
            <w:r w:rsidR="00504DC4">
              <w:t>.</w:t>
            </w:r>
          </w:p>
          <w:p w14:paraId="4F0C99D2" w14:textId="4432866C" w:rsidR="00EE085C" w:rsidRPr="00A226CB" w:rsidRDefault="00EE085C" w:rsidP="00A226CB">
            <w:pPr>
              <w:pStyle w:val="TableText0"/>
            </w:pPr>
            <w:r>
              <w:t>Safety: TEAEs, Pruritus events</w:t>
            </w:r>
          </w:p>
        </w:tc>
        <w:tc>
          <w:tcPr>
            <w:tcW w:w="709" w:type="pct"/>
            <w:vAlign w:val="center"/>
          </w:tcPr>
          <w:p w14:paraId="3175EA34" w14:textId="357BE28E" w:rsidR="007F1017" w:rsidRPr="00A226CB" w:rsidRDefault="00A226CB" w:rsidP="00A226CB">
            <w:pPr>
              <w:pStyle w:val="TableText0"/>
            </w:pPr>
            <w:r w:rsidRPr="00A226CB">
              <w:t>ALP normalisation (calibrated HR vs seladelpar based on ITC), discontinuations, pruritus</w:t>
            </w:r>
          </w:p>
        </w:tc>
      </w:tr>
      <w:tr w:rsidR="00095E52" w:rsidRPr="0098262F" w14:paraId="1EDA1AD4" w14:textId="77777777" w:rsidTr="00260755">
        <w:trPr>
          <w:cantSplit/>
        </w:trPr>
        <w:tc>
          <w:tcPr>
            <w:tcW w:w="5000" w:type="pct"/>
            <w:gridSpan w:val="7"/>
            <w:vAlign w:val="center"/>
          </w:tcPr>
          <w:p w14:paraId="4603E7A2" w14:textId="06447D01" w:rsidR="00095E52" w:rsidRPr="0098262F" w:rsidRDefault="00095E52" w:rsidP="00095E52">
            <w:pPr>
              <w:pStyle w:val="In-tableHeading"/>
            </w:pPr>
            <w:r>
              <w:t>Elafibranor vs placebo</w:t>
            </w:r>
          </w:p>
        </w:tc>
      </w:tr>
      <w:tr w:rsidR="00B41614" w:rsidRPr="0098262F" w14:paraId="6DAFAEAF" w14:textId="77777777" w:rsidTr="00DF3373">
        <w:trPr>
          <w:cantSplit/>
        </w:trPr>
        <w:tc>
          <w:tcPr>
            <w:tcW w:w="537" w:type="pct"/>
            <w:vAlign w:val="center"/>
          </w:tcPr>
          <w:p w14:paraId="76F0584C" w14:textId="643F0A5D" w:rsidR="007F1017" w:rsidRPr="0098262F" w:rsidRDefault="00095E52" w:rsidP="00EC5836">
            <w:pPr>
              <w:pStyle w:val="TableText0"/>
            </w:pPr>
            <w:r>
              <w:t>ELATIVE</w:t>
            </w:r>
          </w:p>
        </w:tc>
        <w:tc>
          <w:tcPr>
            <w:tcW w:w="262" w:type="pct"/>
            <w:vAlign w:val="center"/>
          </w:tcPr>
          <w:p w14:paraId="7D785F8E" w14:textId="2C870F13" w:rsidR="007F1017" w:rsidRPr="0098262F" w:rsidRDefault="00A226CB" w:rsidP="00EC5836">
            <w:pPr>
              <w:pStyle w:val="TableText0"/>
              <w:jc w:val="center"/>
            </w:pPr>
            <w:r>
              <w:t>161</w:t>
            </w:r>
          </w:p>
        </w:tc>
        <w:tc>
          <w:tcPr>
            <w:tcW w:w="441" w:type="pct"/>
            <w:vAlign w:val="center"/>
          </w:tcPr>
          <w:p w14:paraId="0DF6C5D9" w14:textId="6A956CCE" w:rsidR="007F1017" w:rsidRPr="00A226CB" w:rsidRDefault="007F1017" w:rsidP="00A226CB">
            <w:pPr>
              <w:pStyle w:val="TableText0"/>
            </w:pPr>
            <w:r w:rsidRPr="00A226CB">
              <w:t>R, DB</w:t>
            </w:r>
            <w:r w:rsidR="00A226CB" w:rsidRPr="00A226CB">
              <w:t>, MC</w:t>
            </w:r>
          </w:p>
          <w:p w14:paraId="4F10C1AA" w14:textId="330262B5" w:rsidR="007F1017" w:rsidRPr="00A226CB" w:rsidRDefault="00A226CB" w:rsidP="00A226CB">
            <w:pPr>
              <w:pStyle w:val="TableText0"/>
            </w:pPr>
            <w:r w:rsidRPr="00A226CB">
              <w:t>12</w:t>
            </w:r>
            <w:r w:rsidR="007F1017" w:rsidRPr="00A226CB">
              <w:t xml:space="preserve"> m</w:t>
            </w:r>
            <w:r w:rsidRPr="00A226CB">
              <w:t>on</w:t>
            </w:r>
            <w:r w:rsidR="007F1017" w:rsidRPr="00A226CB">
              <w:t>ths</w:t>
            </w:r>
          </w:p>
        </w:tc>
        <w:tc>
          <w:tcPr>
            <w:tcW w:w="449" w:type="pct"/>
            <w:vAlign w:val="center"/>
          </w:tcPr>
          <w:p w14:paraId="50E27A90" w14:textId="77777777" w:rsidR="007F1017" w:rsidRPr="00A226CB" w:rsidRDefault="007F1017" w:rsidP="00A226CB">
            <w:pPr>
              <w:pStyle w:val="TableText0"/>
            </w:pPr>
            <w:r w:rsidRPr="00A226CB">
              <w:t>Low</w:t>
            </w:r>
          </w:p>
        </w:tc>
        <w:tc>
          <w:tcPr>
            <w:tcW w:w="1532" w:type="pct"/>
            <w:vAlign w:val="center"/>
          </w:tcPr>
          <w:p w14:paraId="2B365A91" w14:textId="7F541277" w:rsidR="007F1017" w:rsidRDefault="00A226CB" w:rsidP="00A226CB">
            <w:pPr>
              <w:pStyle w:val="TableText0"/>
            </w:pPr>
            <w:r w:rsidRPr="00A226CB">
              <w:t>Adults 18-75</w:t>
            </w:r>
            <w:r w:rsidR="00846809">
              <w:t xml:space="preserve"> with PBC</w:t>
            </w:r>
            <w:r w:rsidR="00504DC4">
              <w:t>.</w:t>
            </w:r>
          </w:p>
          <w:p w14:paraId="7475E26D" w14:textId="35B51166" w:rsidR="00504DC4" w:rsidRDefault="00504DC4" w:rsidP="00A226CB">
            <w:pPr>
              <w:pStyle w:val="TableText0"/>
            </w:pPr>
            <w:r>
              <w:t>Liver function tests:</w:t>
            </w:r>
          </w:p>
          <w:p w14:paraId="20D503F8" w14:textId="09EF995A" w:rsidR="00504DC4" w:rsidRDefault="00504DC4" w:rsidP="00F6324B">
            <w:pPr>
              <w:pStyle w:val="TableText0"/>
              <w:numPr>
                <w:ilvl w:val="0"/>
                <w:numId w:val="12"/>
              </w:numPr>
            </w:pPr>
            <w:r w:rsidRPr="00504DC4">
              <w:t>ALP ≥ 1.67 x ULN</w:t>
            </w:r>
            <w:r>
              <w:t>;</w:t>
            </w:r>
            <w:r w:rsidRPr="00504DC4">
              <w:t xml:space="preserve"> and </w:t>
            </w:r>
          </w:p>
          <w:p w14:paraId="29645347" w14:textId="5E1F89AD" w:rsidR="00504DC4" w:rsidRDefault="00504DC4" w:rsidP="00F6324B">
            <w:pPr>
              <w:pStyle w:val="TableText0"/>
              <w:numPr>
                <w:ilvl w:val="0"/>
                <w:numId w:val="12"/>
              </w:numPr>
            </w:pPr>
            <w:r>
              <w:t>TB</w:t>
            </w:r>
            <w:r w:rsidRPr="00504DC4">
              <w:t xml:space="preserve"> ≤ 2 x ULN</w:t>
            </w:r>
          </w:p>
          <w:p w14:paraId="2E7D5E26" w14:textId="30DD5D45" w:rsidR="00504DC4" w:rsidRDefault="00504DC4" w:rsidP="00A226CB">
            <w:pPr>
              <w:pStyle w:val="TableText0"/>
            </w:pPr>
            <w:r>
              <w:t xml:space="preserve">&gt;8 available values for WI-NRS in the 14 days </w:t>
            </w:r>
            <w:r w:rsidR="000D30EA">
              <w:t>before</w:t>
            </w:r>
            <w:r>
              <w:t xml:space="preserve"> randomisation.</w:t>
            </w:r>
          </w:p>
          <w:p w14:paraId="1B84BE0E" w14:textId="7EEDB1A7" w:rsidR="00A226CB" w:rsidRPr="00A226CB" w:rsidRDefault="00A226CB" w:rsidP="00A226CB">
            <w:pPr>
              <w:pStyle w:val="TableText0"/>
            </w:pPr>
            <w:r w:rsidRPr="00A226CB">
              <w:t>Inadequate response to or unacceptable side effects with UDCA</w:t>
            </w:r>
            <w:r w:rsidR="00504DC4">
              <w:t>.</w:t>
            </w:r>
          </w:p>
        </w:tc>
        <w:tc>
          <w:tcPr>
            <w:tcW w:w="1071" w:type="pct"/>
            <w:vAlign w:val="center"/>
          </w:tcPr>
          <w:p w14:paraId="2C66208E" w14:textId="52546B22" w:rsidR="00A226CB" w:rsidRPr="00A226CB" w:rsidRDefault="00A226CB" w:rsidP="00A226CB">
            <w:pPr>
              <w:pStyle w:val="TableText0"/>
            </w:pPr>
            <w:r w:rsidRPr="00A226CB">
              <w:t>Primary: Biochemical response (ALP &lt;1.67 x ULN and TB ≤ULN and ALP decrease of ≥15%)</w:t>
            </w:r>
            <w:r w:rsidR="00504DC4">
              <w:t>.</w:t>
            </w:r>
          </w:p>
          <w:p w14:paraId="164628AE" w14:textId="520A1FD7" w:rsidR="007F1017" w:rsidRDefault="00A226CB" w:rsidP="00A226CB">
            <w:pPr>
              <w:pStyle w:val="TableText0"/>
            </w:pPr>
            <w:r w:rsidRPr="00A226CB">
              <w:t>Secondary: ALP normalisation; Prurit</w:t>
            </w:r>
            <w:r>
              <w:t>u</w:t>
            </w:r>
            <w:r w:rsidRPr="00A226CB">
              <w:t>s NRS; PBC-40, PBC-40 itch; 5-D itch</w:t>
            </w:r>
            <w:r w:rsidR="00504DC4">
              <w:t>.</w:t>
            </w:r>
          </w:p>
          <w:p w14:paraId="4E7BED76" w14:textId="1C93646B" w:rsidR="00EE085C" w:rsidRPr="00A226CB" w:rsidRDefault="00EE085C" w:rsidP="00A226CB">
            <w:pPr>
              <w:pStyle w:val="TableText0"/>
            </w:pPr>
            <w:r>
              <w:t>Safety: TEAEs, Pruritus events</w:t>
            </w:r>
          </w:p>
        </w:tc>
        <w:tc>
          <w:tcPr>
            <w:tcW w:w="709" w:type="pct"/>
            <w:vAlign w:val="center"/>
          </w:tcPr>
          <w:p w14:paraId="0351A18F" w14:textId="77777777" w:rsidR="007F1017" w:rsidRPr="00A226CB" w:rsidRDefault="007F1017" w:rsidP="00A226CB">
            <w:pPr>
              <w:pStyle w:val="TableText0"/>
            </w:pPr>
            <w:r w:rsidRPr="00A226CB">
              <w:t>Not used</w:t>
            </w:r>
          </w:p>
        </w:tc>
      </w:tr>
    </w:tbl>
    <w:p w14:paraId="560080D2" w14:textId="149B772D" w:rsidR="00045017" w:rsidRPr="0098262F" w:rsidRDefault="00045017" w:rsidP="00EC5836">
      <w:pPr>
        <w:pStyle w:val="FooterTableFigure"/>
      </w:pPr>
      <w:r w:rsidRPr="00CB2B73">
        <w:t>Source: Table</w:t>
      </w:r>
      <w:r w:rsidR="00CB2B73" w:rsidRPr="00CB2B73">
        <w:t>s 21</w:t>
      </w:r>
      <w:r w:rsidR="00CB2B73">
        <w:t>, 22, 27</w:t>
      </w:r>
      <w:r w:rsidR="00846809">
        <w:t>,</w:t>
      </w:r>
      <w:r w:rsidR="00CB2B73">
        <w:t xml:space="preserve"> 28</w:t>
      </w:r>
      <w:r w:rsidR="00846809">
        <w:t>, 81</w:t>
      </w:r>
      <w:r w:rsidRPr="00CB2B73">
        <w:t xml:space="preserve">, </w:t>
      </w:r>
      <w:r w:rsidR="00846809">
        <w:t xml:space="preserve">86, 87 &amp; 99 </w:t>
      </w:r>
      <w:r w:rsidRPr="00CB2B73">
        <w:t>pp</w:t>
      </w:r>
      <w:r w:rsidR="00CB2B73" w:rsidRPr="00CB2B73">
        <w:t>67</w:t>
      </w:r>
      <w:r w:rsidRPr="00CB2B73">
        <w:t xml:space="preserve"> </w:t>
      </w:r>
      <w:r w:rsidR="00CB2B73">
        <w:t>&amp; 71-73, 85-86, 89-90</w:t>
      </w:r>
      <w:r w:rsidR="00846809">
        <w:t>, 180, 185, 187 &amp; 201</w:t>
      </w:r>
      <w:r w:rsidR="00CB2B73">
        <w:t xml:space="preserve"> </w:t>
      </w:r>
      <w:r w:rsidRPr="00CB2B73">
        <w:t>of the submission</w:t>
      </w:r>
      <w:r w:rsidR="00CB2B73">
        <w:t>, pp53</w:t>
      </w:r>
      <w:r w:rsidR="00846809">
        <w:t>,</w:t>
      </w:r>
      <w:r w:rsidR="00CB2B73">
        <w:t xml:space="preserve"> 62</w:t>
      </w:r>
      <w:r w:rsidR="00846809">
        <w:t xml:space="preserve"> &amp; 181</w:t>
      </w:r>
      <w:r w:rsidR="00CB2B73">
        <w:t xml:space="preserve"> of the submission</w:t>
      </w:r>
      <w:r w:rsidRPr="00CB2B73">
        <w:t>.</w:t>
      </w:r>
    </w:p>
    <w:p w14:paraId="1095487C" w14:textId="1335BF51" w:rsidR="00620C25" w:rsidRDefault="00A226CB" w:rsidP="00EC5836">
      <w:pPr>
        <w:pStyle w:val="FooterTableFigure"/>
      </w:pPr>
      <w:r w:rsidRPr="00A226CB">
        <w:t xml:space="preserve">5-D = 5 dimensions (degree, duration, direction, disability, distribution); </w:t>
      </w:r>
      <w:r>
        <w:t xml:space="preserve">ALP = alkaline phosphatase; </w:t>
      </w:r>
      <w:r w:rsidR="00504DC4">
        <w:t xml:space="preserve">ALT = alanine transferase; AST = aspartate aminotransferase; </w:t>
      </w:r>
      <w:r w:rsidR="00620C25" w:rsidRPr="0098262F">
        <w:t>DB = double</w:t>
      </w:r>
      <w:r w:rsidR="000D30EA">
        <w:t>-</w:t>
      </w:r>
      <w:r w:rsidR="00620C25" w:rsidRPr="0098262F">
        <w:t xml:space="preserve">blind; </w:t>
      </w:r>
      <w:r w:rsidR="009250C6">
        <w:t xml:space="preserve">HR = hazard ratio; ITC = indirect treatment comparison; </w:t>
      </w:r>
      <w:r w:rsidR="00620C25" w:rsidRPr="0098262F">
        <w:t>MC = multi-centre;</w:t>
      </w:r>
      <w:r>
        <w:t xml:space="preserve"> </w:t>
      </w:r>
      <w:r w:rsidR="009250C6">
        <w:t xml:space="preserve">NRS = numeric rating scale; OCA = obeticholic acid; </w:t>
      </w:r>
      <w:r>
        <w:t>PBC = primary biliary cholangitis;</w:t>
      </w:r>
      <w:r w:rsidR="00620C25" w:rsidRPr="0098262F">
        <w:t xml:space="preserve"> R = randomised</w:t>
      </w:r>
      <w:r>
        <w:t>; TB = total bilirubin; UDCA = ursodeoxycholic acid; ULN = upper limit of normal</w:t>
      </w:r>
      <w:r w:rsidR="00504DC4">
        <w:t>; WI-NRS = worst itch numeric rating scale</w:t>
      </w:r>
      <w:r w:rsidR="00620C25" w:rsidRPr="0098262F">
        <w:t>.</w:t>
      </w:r>
    </w:p>
    <w:p w14:paraId="0B0A27FC" w14:textId="4CB8A136" w:rsidR="00A226CB" w:rsidRDefault="00A226CB" w:rsidP="00EC5836">
      <w:pPr>
        <w:pStyle w:val="FooterTableFigure"/>
      </w:pPr>
      <w:r w:rsidRPr="00A226CB">
        <w:rPr>
          <w:vertAlign w:val="superscript"/>
        </w:rPr>
        <w:t>a</w:t>
      </w:r>
      <w:r>
        <w:t xml:space="preserve"> The POISE trial included 217 participants; however, the OCA 10 mg arm (73 participants) was excluded from this submission because the OCA dose used in the trial arm is not recommended for use in Australia.</w:t>
      </w:r>
    </w:p>
    <w:p w14:paraId="76DB6ABE" w14:textId="389CE755" w:rsidR="00A226CB" w:rsidRPr="0098262F" w:rsidRDefault="00A226CB" w:rsidP="00EC5836">
      <w:pPr>
        <w:pStyle w:val="FooterTableFigure"/>
        <w:rPr>
          <w:sz w:val="20"/>
        </w:rPr>
      </w:pPr>
      <w:r w:rsidRPr="00A226CB">
        <w:rPr>
          <w:vertAlign w:val="superscript"/>
        </w:rPr>
        <w:t>b</w:t>
      </w:r>
      <w:r>
        <w:t xml:space="preserve"> T</w:t>
      </w:r>
      <w:r w:rsidRPr="00A226CB">
        <w:t>he ESC and PBAC previously considered that unblinding due to the occurrence of pruritus introduced a moderate potential for bias in the POISE trial (para</w:t>
      </w:r>
      <w:r w:rsidR="001C588C">
        <w:t>graph</w:t>
      </w:r>
      <w:r w:rsidRPr="00A226CB">
        <w:t xml:space="preserve"> 6.9, obeticholic acid,</w:t>
      </w:r>
      <w:r w:rsidR="00FE0D60" w:rsidRPr="00FE0D60">
        <w:rPr>
          <w:rFonts w:ascii="Calibri" w:hAnsi="Calibri"/>
          <w:snapToGrid/>
          <w:sz w:val="24"/>
          <w:szCs w:val="24"/>
        </w:rPr>
        <w:t xml:space="preserve"> </w:t>
      </w:r>
      <w:r w:rsidR="00FE0D60" w:rsidRPr="00FE0D60">
        <w:t>Public Summary Document</w:t>
      </w:r>
      <w:r w:rsidRPr="00A226CB">
        <w:t xml:space="preserve"> </w:t>
      </w:r>
      <w:r w:rsidR="00FE0D60">
        <w:t>(</w:t>
      </w:r>
      <w:r w:rsidRPr="00A226CB">
        <w:t>PSD</w:t>
      </w:r>
      <w:r w:rsidR="00FE0D60">
        <w:t>)</w:t>
      </w:r>
      <w:r w:rsidRPr="00A226CB">
        <w:t>, November 2018 PBAC meeting)</w:t>
      </w:r>
      <w:r>
        <w:t>.</w:t>
      </w:r>
    </w:p>
    <w:p w14:paraId="420B35D2" w14:textId="604E1828" w:rsidR="00460E8B" w:rsidRPr="00B35EEA" w:rsidRDefault="00460E8B" w:rsidP="001B1083">
      <w:pPr>
        <w:pStyle w:val="3-BodyText"/>
      </w:pPr>
      <w:bookmarkStart w:id="27" w:name="_Ref204774064"/>
      <w:r>
        <w:t>The submission noted that the RESPONSE trial required participants to meet the following additional laboratory values for inclusion</w:t>
      </w:r>
      <w:r w:rsidR="00CF0355">
        <w:t>,</w:t>
      </w:r>
      <w:r w:rsidR="006D6F3A">
        <w:t xml:space="preserve"> compared to the </w:t>
      </w:r>
      <w:r w:rsidR="00BB21F2">
        <w:t>POISE and ELATIVE trials</w:t>
      </w:r>
      <w:r>
        <w:t xml:space="preserve">: </w:t>
      </w:r>
      <w:r w:rsidR="00C40DD5">
        <w:t>a</w:t>
      </w:r>
      <w:r>
        <w:t xml:space="preserve">spartate aminotransferase (AST) levels ≤ 3 x ULN; </w:t>
      </w:r>
      <w:r w:rsidR="00C40DD5">
        <w:t>a</w:t>
      </w:r>
      <w:r>
        <w:t xml:space="preserve">lanine </w:t>
      </w:r>
      <w:r w:rsidRPr="00B35EEA">
        <w:t xml:space="preserve">aminotransferase (ALT) levels ≤ 3 x ULN; </w:t>
      </w:r>
      <w:r w:rsidR="00C40DD5" w:rsidRPr="00B35EEA">
        <w:t>e</w:t>
      </w:r>
      <w:r w:rsidRPr="00B35EEA">
        <w:t xml:space="preserve">stimated glomerular filtration rate (eGFR) </w:t>
      </w:r>
      <w:r w:rsidR="007B05BF">
        <w:br/>
      </w:r>
      <w:r w:rsidRPr="00B35EEA">
        <w:t>&gt; 45 mL/min/1.73 m</w:t>
      </w:r>
      <w:r w:rsidRPr="00B35EEA">
        <w:rPr>
          <w:vertAlign w:val="superscript"/>
        </w:rPr>
        <w:t>2</w:t>
      </w:r>
      <w:r w:rsidRPr="00B35EEA">
        <w:t xml:space="preserve">; </w:t>
      </w:r>
      <w:r w:rsidR="00C40DD5" w:rsidRPr="00B35EEA">
        <w:t>i</w:t>
      </w:r>
      <w:r w:rsidRPr="00B35EEA">
        <w:t xml:space="preserve">nternational normalised ratio (INR) below 1.1 x ULN; and a </w:t>
      </w:r>
      <w:r w:rsidR="00C40DD5" w:rsidRPr="00B35EEA">
        <w:lastRenderedPageBreak/>
        <w:t>p</w:t>
      </w:r>
      <w:r w:rsidRPr="00B35EEA">
        <w:t>latelet count of ≥</w:t>
      </w:r>
      <w:r w:rsidR="007B05BF">
        <w:t xml:space="preserve"> </w:t>
      </w:r>
      <w:r w:rsidRPr="00B35EEA">
        <w:t xml:space="preserve">100 x 103/µL. The submission concluded that the additional criteria meant that the RESPONSE trial excluded participants with severe liver disease, significant renal disease, or who were immunocompromised, which was in line with the existing PBS restriction for OCA and the proposed restriction for seladelpar. </w:t>
      </w:r>
      <w:r w:rsidR="00753F7D">
        <w:t>However, t</w:t>
      </w:r>
      <w:r w:rsidRPr="00B35EEA">
        <w:t xml:space="preserve">he proposed seladelpar restriction did not exclude patients who were </w:t>
      </w:r>
      <w:r w:rsidR="00E343F9" w:rsidRPr="00B35EEA">
        <w:t>immunocompromised</w:t>
      </w:r>
      <w:r w:rsidR="00D01144" w:rsidRPr="00B35EEA">
        <w:t xml:space="preserve"> (see paragraph </w:t>
      </w:r>
      <w:r w:rsidR="00270E16" w:rsidRPr="00B35EEA">
        <w:fldChar w:fldCharType="begin"/>
      </w:r>
      <w:r w:rsidR="00270E16" w:rsidRPr="00B35EEA">
        <w:instrText xml:space="preserve"> REF _Ref198304531 \r \h </w:instrText>
      </w:r>
      <w:r w:rsidR="00B35EEA" w:rsidRPr="00B35EEA">
        <w:instrText xml:space="preserve"> \* MERGEFORMAT </w:instrText>
      </w:r>
      <w:r w:rsidR="00270E16" w:rsidRPr="00B35EEA">
        <w:fldChar w:fldCharType="separate"/>
      </w:r>
      <w:r w:rsidR="00333A5F">
        <w:t>3.2</w:t>
      </w:r>
      <w:r w:rsidR="00270E16" w:rsidRPr="00B35EEA">
        <w:fldChar w:fldCharType="end"/>
      </w:r>
      <w:r w:rsidR="00D01144" w:rsidRPr="00B35EEA">
        <w:t>)</w:t>
      </w:r>
      <w:r w:rsidRPr="00B35EEA">
        <w:t>.</w:t>
      </w:r>
      <w:bookmarkEnd w:id="27"/>
      <w:r w:rsidRPr="00B35EEA">
        <w:t xml:space="preserve"> </w:t>
      </w:r>
    </w:p>
    <w:p w14:paraId="6D1B9685" w14:textId="50FB7D76" w:rsidR="00504DC4" w:rsidRPr="00B35EEA" w:rsidRDefault="00504DC4" w:rsidP="00EC5836">
      <w:pPr>
        <w:pStyle w:val="3-BodyText"/>
      </w:pPr>
      <w:r w:rsidRPr="00B35EEA">
        <w:t xml:space="preserve">There were also differences between the trials in terms of how ULN was defined </w:t>
      </w:r>
      <w:r w:rsidR="000D30EA" w:rsidRPr="00B35EEA">
        <w:t>for</w:t>
      </w:r>
      <w:r w:rsidRPr="00B35EEA">
        <w:t xml:space="preserve"> ALP and TB. The different ULN thresholds for each trial are presented in </w:t>
      </w:r>
      <w:r w:rsidRPr="00B35EEA">
        <w:fldChar w:fldCharType="begin"/>
      </w:r>
      <w:r w:rsidRPr="00B35EEA">
        <w:instrText xml:space="preserve"> REF _Ref196394238 \h </w:instrText>
      </w:r>
      <w:r w:rsidR="00B35EEA" w:rsidRPr="00B35EEA">
        <w:instrText xml:space="preserve"> \* MERGEFORMAT </w:instrText>
      </w:r>
      <w:r w:rsidRPr="00B35EEA">
        <w:fldChar w:fldCharType="separate"/>
      </w:r>
      <w:r w:rsidR="00333A5F">
        <w:t xml:space="preserve">Table </w:t>
      </w:r>
      <w:r w:rsidR="00333A5F">
        <w:rPr>
          <w:noProof/>
        </w:rPr>
        <w:t>4</w:t>
      </w:r>
      <w:r w:rsidRPr="00B35EEA">
        <w:fldChar w:fldCharType="end"/>
      </w:r>
      <w:r w:rsidRPr="00B35EEA">
        <w:t>. The submission stated that to prevent confounding resulting from these differences, key effectiveness results and the indirect comparisons were based on recalculated response rates using individual patient data from the RESPONSE trial and the thresholds defined in the POISE and ELATIVE trials.</w:t>
      </w:r>
    </w:p>
    <w:p w14:paraId="12BE2678" w14:textId="73C2326C" w:rsidR="00504DC4" w:rsidRDefault="00504DC4" w:rsidP="00504DC4">
      <w:pPr>
        <w:pStyle w:val="Caption"/>
      </w:pPr>
      <w:bookmarkStart w:id="28" w:name="_Ref196394238"/>
      <w:r>
        <w:t xml:space="preserve">Table </w:t>
      </w:r>
      <w:r w:rsidR="00A24BC2">
        <w:fldChar w:fldCharType="begin"/>
      </w:r>
      <w:r w:rsidR="00A24BC2">
        <w:instrText xml:space="preserve"> SEQ Table \* ARABIC </w:instrText>
      </w:r>
      <w:r w:rsidR="00A24BC2">
        <w:fldChar w:fldCharType="separate"/>
      </w:r>
      <w:r w:rsidR="00333A5F">
        <w:rPr>
          <w:noProof/>
        </w:rPr>
        <w:t>4</w:t>
      </w:r>
      <w:r w:rsidR="00A24BC2">
        <w:rPr>
          <w:noProof/>
        </w:rPr>
        <w:fldChar w:fldCharType="end"/>
      </w:r>
      <w:bookmarkEnd w:id="28"/>
      <w:r>
        <w:t>: Thresholds of normal ALP and TB across the included trials.</w:t>
      </w:r>
    </w:p>
    <w:tbl>
      <w:tblPr>
        <w:tblStyle w:val="TableGrid"/>
        <w:tblW w:w="5000" w:type="pct"/>
        <w:tblLook w:val="04A0" w:firstRow="1" w:lastRow="0" w:firstColumn="1" w:lastColumn="0" w:noHBand="0" w:noVBand="1"/>
        <w:tblCaption w:val="Table 4: Thresholds of normal ALP and TB across the included trials."/>
      </w:tblPr>
      <w:tblGrid>
        <w:gridCol w:w="1981"/>
        <w:gridCol w:w="2125"/>
        <w:gridCol w:w="2565"/>
        <w:gridCol w:w="2346"/>
      </w:tblGrid>
      <w:tr w:rsidR="00504DC4" w14:paraId="7279A17C" w14:textId="77777777" w:rsidTr="00260755">
        <w:tc>
          <w:tcPr>
            <w:tcW w:w="1098" w:type="pct"/>
          </w:tcPr>
          <w:p w14:paraId="35CAE806" w14:textId="77777777" w:rsidR="00504DC4" w:rsidRDefault="00504DC4" w:rsidP="00260755">
            <w:pPr>
              <w:pStyle w:val="In-tableHeading"/>
              <w:jc w:val="center"/>
            </w:pPr>
            <w:r>
              <w:t>Threshold</w:t>
            </w:r>
          </w:p>
        </w:tc>
        <w:tc>
          <w:tcPr>
            <w:tcW w:w="1178" w:type="pct"/>
          </w:tcPr>
          <w:p w14:paraId="4433EC98" w14:textId="77777777" w:rsidR="00504DC4" w:rsidRDefault="00504DC4" w:rsidP="00260755">
            <w:pPr>
              <w:pStyle w:val="In-tableHeading"/>
              <w:jc w:val="center"/>
            </w:pPr>
            <w:r>
              <w:t>RESPONSE</w:t>
            </w:r>
          </w:p>
        </w:tc>
        <w:tc>
          <w:tcPr>
            <w:tcW w:w="1422" w:type="pct"/>
          </w:tcPr>
          <w:p w14:paraId="170868D3" w14:textId="77777777" w:rsidR="00504DC4" w:rsidRDefault="00504DC4" w:rsidP="00260755">
            <w:pPr>
              <w:pStyle w:val="In-tableHeading"/>
              <w:jc w:val="center"/>
            </w:pPr>
            <w:r>
              <w:t>POISE</w:t>
            </w:r>
          </w:p>
        </w:tc>
        <w:tc>
          <w:tcPr>
            <w:tcW w:w="1301" w:type="pct"/>
          </w:tcPr>
          <w:p w14:paraId="38AA25D1" w14:textId="77777777" w:rsidR="00504DC4" w:rsidRDefault="00504DC4" w:rsidP="00260755">
            <w:pPr>
              <w:pStyle w:val="In-tableHeading"/>
              <w:jc w:val="center"/>
            </w:pPr>
            <w:r>
              <w:t>ELATIVE</w:t>
            </w:r>
          </w:p>
        </w:tc>
      </w:tr>
      <w:tr w:rsidR="00504DC4" w14:paraId="4C921649" w14:textId="77777777" w:rsidTr="00260755">
        <w:tc>
          <w:tcPr>
            <w:tcW w:w="1098" w:type="pct"/>
            <w:vAlign w:val="center"/>
          </w:tcPr>
          <w:p w14:paraId="3F34F4BA" w14:textId="77777777" w:rsidR="00504DC4" w:rsidRDefault="00504DC4" w:rsidP="001B1083">
            <w:pPr>
              <w:pStyle w:val="TableText0"/>
            </w:pPr>
            <w:r>
              <w:t>ALP, IU/L</w:t>
            </w:r>
          </w:p>
        </w:tc>
        <w:tc>
          <w:tcPr>
            <w:tcW w:w="1178" w:type="pct"/>
            <w:vAlign w:val="center"/>
          </w:tcPr>
          <w:p w14:paraId="6D9D65F3" w14:textId="77777777" w:rsidR="00504DC4" w:rsidRDefault="00504DC4" w:rsidP="001B1083">
            <w:pPr>
              <w:pStyle w:val="TableText0"/>
              <w:jc w:val="center"/>
            </w:pPr>
            <w:r>
              <w:t>116</w:t>
            </w:r>
          </w:p>
        </w:tc>
        <w:tc>
          <w:tcPr>
            <w:tcW w:w="1422" w:type="pct"/>
            <w:vAlign w:val="center"/>
          </w:tcPr>
          <w:p w14:paraId="6E0B90D9" w14:textId="390B3775" w:rsidR="00504DC4" w:rsidRDefault="00504DC4" w:rsidP="00460E8B">
            <w:pPr>
              <w:pStyle w:val="TableText0"/>
            </w:pPr>
            <w:r>
              <w:t>Females: 118</w:t>
            </w:r>
            <w:r w:rsidR="00460E8B">
              <w:t xml:space="preserve">; </w:t>
            </w:r>
            <w:r>
              <w:t>Males: 124</w:t>
            </w:r>
          </w:p>
        </w:tc>
        <w:tc>
          <w:tcPr>
            <w:tcW w:w="1301" w:type="pct"/>
            <w:vAlign w:val="center"/>
          </w:tcPr>
          <w:p w14:paraId="1BA2B8A3" w14:textId="71C94A4F" w:rsidR="00504DC4" w:rsidRDefault="00504DC4" w:rsidP="00460E8B">
            <w:pPr>
              <w:pStyle w:val="TableText0"/>
            </w:pPr>
            <w:r>
              <w:t>Females: 104</w:t>
            </w:r>
            <w:r w:rsidR="00460E8B">
              <w:t xml:space="preserve">; </w:t>
            </w:r>
            <w:r>
              <w:t>Males: 129</w:t>
            </w:r>
          </w:p>
        </w:tc>
      </w:tr>
      <w:tr w:rsidR="00504DC4" w14:paraId="691D9E8A" w14:textId="77777777" w:rsidTr="00260755">
        <w:tc>
          <w:tcPr>
            <w:tcW w:w="1098" w:type="pct"/>
            <w:vAlign w:val="center"/>
          </w:tcPr>
          <w:p w14:paraId="1B6DDCE4" w14:textId="77777777" w:rsidR="00504DC4" w:rsidRDefault="00504DC4" w:rsidP="001B1083">
            <w:pPr>
              <w:pStyle w:val="TableText0"/>
            </w:pPr>
            <w:r>
              <w:t>TB, μmol/L</w:t>
            </w:r>
          </w:p>
        </w:tc>
        <w:tc>
          <w:tcPr>
            <w:tcW w:w="1178" w:type="pct"/>
            <w:vAlign w:val="center"/>
          </w:tcPr>
          <w:p w14:paraId="60BFDFA8" w14:textId="77777777" w:rsidR="00504DC4" w:rsidRDefault="00504DC4" w:rsidP="001B1083">
            <w:pPr>
              <w:pStyle w:val="TableText0"/>
              <w:jc w:val="center"/>
            </w:pPr>
            <w:r>
              <w:t>18.8</w:t>
            </w:r>
          </w:p>
        </w:tc>
        <w:tc>
          <w:tcPr>
            <w:tcW w:w="1422" w:type="pct"/>
            <w:vAlign w:val="center"/>
          </w:tcPr>
          <w:p w14:paraId="1F5BDCF5" w14:textId="6CB950A7" w:rsidR="00504DC4" w:rsidRPr="00462773" w:rsidRDefault="00504DC4" w:rsidP="00460E8B">
            <w:pPr>
              <w:pStyle w:val="TableText0"/>
            </w:pPr>
            <w:r>
              <w:t>Females: 19.32</w:t>
            </w:r>
            <w:r w:rsidR="00460E8B">
              <w:t xml:space="preserve">; </w:t>
            </w:r>
            <w:r>
              <w:t>Males: 25.48</w:t>
            </w:r>
          </w:p>
        </w:tc>
        <w:tc>
          <w:tcPr>
            <w:tcW w:w="1301" w:type="pct"/>
            <w:vAlign w:val="center"/>
          </w:tcPr>
          <w:p w14:paraId="223868EA" w14:textId="77777777" w:rsidR="00504DC4" w:rsidRDefault="00504DC4" w:rsidP="001B1083">
            <w:pPr>
              <w:pStyle w:val="TableText0"/>
              <w:jc w:val="center"/>
            </w:pPr>
            <w:r>
              <w:t>20.5</w:t>
            </w:r>
          </w:p>
        </w:tc>
      </w:tr>
    </w:tbl>
    <w:p w14:paraId="3058038D" w14:textId="77777777" w:rsidR="00504DC4" w:rsidRDefault="00504DC4" w:rsidP="00504DC4">
      <w:pPr>
        <w:pStyle w:val="TableFigureFooter"/>
      </w:pPr>
      <w:r>
        <w:t>Source: Table 19, p61 of the submission.</w:t>
      </w:r>
    </w:p>
    <w:p w14:paraId="3B8D15E2" w14:textId="77777777" w:rsidR="00504DC4" w:rsidRPr="00B3572D" w:rsidRDefault="00504DC4" w:rsidP="00504DC4">
      <w:pPr>
        <w:pStyle w:val="TableFigureFooter"/>
      </w:pPr>
      <w:r>
        <w:t>ALP = alkaline phosphatase; TB = total bilirubin; ULN = upper limit of normal.</w:t>
      </w:r>
    </w:p>
    <w:p w14:paraId="239DC4C0" w14:textId="2C68ADBE" w:rsidR="00460E8B" w:rsidRPr="00E8442C" w:rsidRDefault="00460E8B" w:rsidP="004D6A9C">
      <w:pPr>
        <w:pStyle w:val="3-BodyText"/>
      </w:pPr>
      <w:bookmarkStart w:id="29" w:name="_Ref196751342"/>
      <w:r w:rsidRPr="00E8442C">
        <w:t>Participants were similar across the trials in terms of age, sex, race, and prior UDCA use. Participants were different across the trials in terms of pruritus history, cirrhosis, and baseline laboratory values for ALP, TB, AST, and gamma-</w:t>
      </w:r>
      <w:r w:rsidR="000D30EA" w:rsidRPr="00E8442C">
        <w:t>glutamyl transferase</w:t>
      </w:r>
      <w:r w:rsidRPr="00E8442C">
        <w:t xml:space="preserve"> (GGT)</w:t>
      </w:r>
      <w:r w:rsidR="00C2327A" w:rsidRPr="00E8442C">
        <w:t xml:space="preserve">; </w:t>
      </w:r>
      <w:r w:rsidR="00BA3435" w:rsidRPr="00E8442C">
        <w:t>however</w:t>
      </w:r>
      <w:r w:rsidR="00C2327A" w:rsidRPr="00E8442C">
        <w:t>,</w:t>
      </w:r>
      <w:r w:rsidR="00BA3435" w:rsidRPr="00E8442C">
        <w:t xml:space="preserve"> the ESC </w:t>
      </w:r>
      <w:r w:rsidR="00F83528" w:rsidRPr="00E8442C">
        <w:t>considered</w:t>
      </w:r>
      <w:r w:rsidR="00BA3435" w:rsidRPr="00E8442C">
        <w:t xml:space="preserve"> that using </w:t>
      </w:r>
      <w:r w:rsidR="0092322B" w:rsidRPr="00E8442C">
        <w:t xml:space="preserve">matching-adjusted indirect </w:t>
      </w:r>
      <w:r w:rsidR="00685892" w:rsidRPr="00E8442C">
        <w:t>comparisons</w:t>
      </w:r>
      <w:r w:rsidR="0092322B" w:rsidRPr="00E8442C">
        <w:t xml:space="preserve"> (</w:t>
      </w:r>
      <w:r w:rsidR="00BA3435" w:rsidRPr="00E8442C">
        <w:t>MAICs</w:t>
      </w:r>
      <w:r w:rsidR="0092322B" w:rsidRPr="00E8442C">
        <w:t>)</w:t>
      </w:r>
      <w:r w:rsidR="00BA3435" w:rsidRPr="00E8442C">
        <w:t xml:space="preserve"> </w:t>
      </w:r>
      <w:r w:rsidR="004D6A9C" w:rsidRPr="00E8442C">
        <w:t>could potentially resolve most of these issues. It was noted that</w:t>
      </w:r>
      <w:bookmarkEnd w:id="29"/>
      <w:r w:rsidR="00C2327A" w:rsidRPr="00E8442C">
        <w:t xml:space="preserve"> </w:t>
      </w:r>
      <w:r w:rsidR="00F83528" w:rsidRPr="00E8442C">
        <w:t>m</w:t>
      </w:r>
      <w:r w:rsidRPr="00E8442C">
        <w:t>ore participants in the RESPONSE trial had a history of pruritus (72%), compared to between 53% and 64% in relevant arms of the POISE trial. The ELATIVE trial did not report the percentage of participants with a history of pruritus. However, the mean baseline pruritus numeric rating scale score in the ELATIVE trial (3.3) was similar to the RESPONSE trial (3.0)</w:t>
      </w:r>
      <w:r w:rsidR="00DE0F83">
        <w:t xml:space="preserve"> meaning that p</w:t>
      </w:r>
      <w:r w:rsidRPr="00E8442C">
        <w:t xml:space="preserve">articipants in the RESPONSE and ELATIVE trials may be similar in terms of pruritus severity. </w:t>
      </w:r>
    </w:p>
    <w:p w14:paraId="28A849EC" w14:textId="150BD923" w:rsidR="00460E8B" w:rsidRPr="00E8442C" w:rsidRDefault="00460E8B" w:rsidP="00EC5836">
      <w:pPr>
        <w:pStyle w:val="3-BodyText"/>
      </w:pPr>
      <w:bookmarkStart w:id="30" w:name="_Ref204774089"/>
      <w:r w:rsidRPr="00E8442C">
        <w:t>The submission concluded that there were small differences in baseline characteristics across the trials, particularly relating to cirrhosis and laboratory values, which may indicate differences in baseline severity between the trials. The submission noted that baseline ALP was found to be a key effect modifier in the</w:t>
      </w:r>
      <w:r w:rsidR="00724188" w:rsidRPr="00E8442C">
        <w:t xml:space="preserve"> National Institute for Health and Care Excellence</w:t>
      </w:r>
      <w:r w:rsidRPr="00E8442C">
        <w:t xml:space="preserve"> </w:t>
      </w:r>
      <w:r w:rsidR="00724188" w:rsidRPr="00E8442C">
        <w:t>(</w:t>
      </w:r>
      <w:r w:rsidRPr="00E8442C">
        <w:t>NICE</w:t>
      </w:r>
      <w:r w:rsidR="00724188" w:rsidRPr="00E8442C">
        <w:t>)</w:t>
      </w:r>
      <w:r w:rsidRPr="00E8442C">
        <w:t xml:space="preserve"> evaluation of elafibranor (TA1016)</w:t>
      </w:r>
      <w:r w:rsidR="00085D49" w:rsidRPr="00E8442C">
        <w:t>.</w:t>
      </w:r>
      <w:r w:rsidR="00447323" w:rsidRPr="00E8442C">
        <w:rPr>
          <w:rStyle w:val="FootnoteReference"/>
        </w:rPr>
        <w:footnoteReference w:id="5"/>
      </w:r>
      <w:bookmarkEnd w:id="30"/>
      <w:r w:rsidRPr="00E8442C">
        <w:t xml:space="preserve"> </w:t>
      </w:r>
    </w:p>
    <w:p w14:paraId="3EA0A6E2" w14:textId="5CC291A9" w:rsidR="00907294" w:rsidRPr="00B35EEA" w:rsidRDefault="00907294" w:rsidP="00EC5836">
      <w:pPr>
        <w:pStyle w:val="3-BodyText"/>
      </w:pPr>
      <w:r w:rsidRPr="00B35EEA">
        <w:t>The patient</w:t>
      </w:r>
      <w:r w:rsidR="000D30EA" w:rsidRPr="00B35EEA">
        <w:t>-</w:t>
      </w:r>
      <w:r w:rsidRPr="00B35EEA">
        <w:t xml:space="preserve">reported outcomes of Pruritus </w:t>
      </w:r>
      <w:r w:rsidR="00AB39F4" w:rsidRPr="00B35EEA">
        <w:t>N</w:t>
      </w:r>
      <w:r w:rsidRPr="00B35EEA">
        <w:t xml:space="preserve">umeric </w:t>
      </w:r>
      <w:r w:rsidR="00AB39F4" w:rsidRPr="00B35EEA">
        <w:t>R</w:t>
      </w:r>
      <w:r w:rsidRPr="00B35EEA">
        <w:t xml:space="preserve">ating </w:t>
      </w:r>
      <w:r w:rsidR="00AB39F4" w:rsidRPr="00B35EEA">
        <w:t>S</w:t>
      </w:r>
      <w:r w:rsidRPr="00B35EEA">
        <w:t>cale (NRS)</w:t>
      </w:r>
      <w:r w:rsidR="00AB39F4" w:rsidRPr="00B35EEA">
        <w:t>, Primary Biliary Cholangitis-40 (PBC-40) and 5-Dimension itch (5-D itch) were presented for a subgroup of participants with moderate to severe pruritus at baseline (defined as a baseline NRS score ≥</w:t>
      </w:r>
      <w:r w:rsidR="00CB554D">
        <w:t xml:space="preserve"> </w:t>
      </w:r>
      <w:r w:rsidR="00AB39F4" w:rsidRPr="00B35EEA">
        <w:t xml:space="preserve">4), described as the </w:t>
      </w:r>
      <w:r w:rsidR="001F7990">
        <w:t>moderate to severe pruritus (</w:t>
      </w:r>
      <w:r w:rsidR="00AB39F4" w:rsidRPr="00B35EEA">
        <w:t>MSPN</w:t>
      </w:r>
      <w:r w:rsidR="001F7990">
        <w:t>)</w:t>
      </w:r>
      <w:r w:rsidR="00AB39F4" w:rsidRPr="00B35EEA">
        <w:t xml:space="preserve"> </w:t>
      </w:r>
      <w:r w:rsidR="00AB39F4" w:rsidRPr="00B35EEA">
        <w:lastRenderedPageBreak/>
        <w:t>population. Baseline characteristics for the MSPN population</w:t>
      </w:r>
      <w:r w:rsidR="004C2A64" w:rsidRPr="00B35EEA">
        <w:t xml:space="preserve"> </w:t>
      </w:r>
      <w:r w:rsidR="00AB39F4" w:rsidRPr="00B35EEA">
        <w:t xml:space="preserve">were not presented for the </w:t>
      </w:r>
      <w:r w:rsidR="004C2A64" w:rsidRPr="00B35EEA">
        <w:t>RESPONSE and ELATIVE trials</w:t>
      </w:r>
      <w:r w:rsidR="00AB39F4" w:rsidRPr="00B35EEA">
        <w:t>.</w:t>
      </w:r>
    </w:p>
    <w:p w14:paraId="1FE98B50" w14:textId="1F7D74C0" w:rsidR="00AF64B2" w:rsidRPr="003845A2" w:rsidRDefault="00AF64B2" w:rsidP="001B1083">
      <w:pPr>
        <w:pStyle w:val="3-BodyText"/>
      </w:pPr>
      <w:r w:rsidRPr="00B35EEA">
        <w:t>The submission noted that OCA 5</w:t>
      </w:r>
      <w:r w:rsidR="0092322B">
        <w:sym w:font="Symbol" w:char="F02D"/>
      </w:r>
      <w:r w:rsidRPr="00B35EEA">
        <w:t xml:space="preserve">10 mg was recommended based on an absolute difference of 36% compared to placebo </w:t>
      </w:r>
      <w:r w:rsidR="001F7990">
        <w:t>in</w:t>
      </w:r>
      <w:r w:rsidRPr="00B35EEA">
        <w:t xml:space="preserve"> the proportion of participants achieving a biochemical response. The submission stated that given no non-inferiority margin was identified from the available </w:t>
      </w:r>
      <w:r w:rsidR="00DD7008" w:rsidRPr="00B35EEA">
        <w:t>Public Summary Document</w:t>
      </w:r>
      <w:r w:rsidRPr="00B35EEA">
        <w:t xml:space="preserve">s, non-inferiority </w:t>
      </w:r>
      <w:r w:rsidR="001F7990">
        <w:t xml:space="preserve">in this submission </w:t>
      </w:r>
      <w:r w:rsidRPr="00B35EEA">
        <w:t>was claimed based on p-values &gt;</w:t>
      </w:r>
      <w:r w:rsidR="001F7990">
        <w:t xml:space="preserve"> </w:t>
      </w:r>
      <w:r w:rsidRPr="00B35EEA">
        <w:t>0.05 indicating no significant differences between treatments. No MCID was nominated for the superiority claims v</w:t>
      </w:r>
      <w:r w:rsidR="001F7990">
        <w:t>ersu</w:t>
      </w:r>
      <w:r w:rsidRPr="00B35EEA">
        <w:t>s BSC and OCA or the non-inferiority claim v</w:t>
      </w:r>
      <w:r w:rsidR="001F7990">
        <w:t>ersu</w:t>
      </w:r>
      <w:r w:rsidRPr="00B35EEA">
        <w:t>s elafibranor. No non-inferiority margin was nominated for the non-inferiority claim v</w:t>
      </w:r>
      <w:r w:rsidR="001F7990">
        <w:t>ersu</w:t>
      </w:r>
      <w:r w:rsidRPr="00B35EEA">
        <w:t xml:space="preserve">s elafibranor. </w:t>
      </w:r>
    </w:p>
    <w:p w14:paraId="4AC40236" w14:textId="4513217C" w:rsidR="002B20F2" w:rsidRPr="00B35EEA" w:rsidRDefault="002B20F2" w:rsidP="001B1083">
      <w:pPr>
        <w:pStyle w:val="3-BodyText"/>
      </w:pPr>
      <w:r w:rsidRPr="00B35EEA">
        <w:t>The primary outcome (biochemical response) and one key secondary outcome (ALP normalisation) were surrogate outcomes. The submission claimed that standard serum liver tests such as ALP and TB have been extensively validated as simple and robust prognostic tools in PBC. The submission conducted a systematic review of endpoints in PBC</w:t>
      </w:r>
      <w:r w:rsidR="0078044B" w:rsidRPr="00B35EEA">
        <w:t xml:space="preserve"> that </w:t>
      </w:r>
      <w:r w:rsidRPr="00B35EEA">
        <w:t xml:space="preserve">identified 80 studies </w:t>
      </w:r>
      <w:r w:rsidR="0078044B" w:rsidRPr="00B35EEA">
        <w:t>reporting</w:t>
      </w:r>
      <w:r w:rsidRPr="00B35EEA">
        <w:t xml:space="preserve"> an association between ALP response, composite responses, and other surrogate endpoints with hard clinical outcomes, including liver transplantation, death, and </w:t>
      </w:r>
      <w:r w:rsidR="00BC57A3" w:rsidRPr="00B35EEA">
        <w:t>hepatocellular carcinoma (</w:t>
      </w:r>
      <w:r w:rsidRPr="00B35EEA">
        <w:t>HCC</w:t>
      </w:r>
      <w:r w:rsidR="00BC57A3" w:rsidRPr="00B35EEA">
        <w:t>)</w:t>
      </w:r>
      <w:r w:rsidRPr="00B35EEA">
        <w:t xml:space="preserve"> development. Of these, 2 studies </w:t>
      </w:r>
      <w:r w:rsidR="000D30EA" w:rsidRPr="00B35EEA">
        <w:t>considered</w:t>
      </w:r>
      <w:r w:rsidRPr="00B35EEA">
        <w:t xml:space="preserve"> biochemical response as defined in the RESPONSE, POISE, and ELATIVE trials and 7 studies looked at ALP normalisation.</w:t>
      </w:r>
    </w:p>
    <w:p w14:paraId="17D7F4E0" w14:textId="77777777" w:rsidR="004A29D1" w:rsidRDefault="004A29D1" w:rsidP="004A29D1">
      <w:pPr>
        <w:pStyle w:val="4-SubsectionHeading"/>
        <w:rPr>
          <w:lang w:eastAsia="en-AU"/>
        </w:rPr>
      </w:pPr>
      <w:bookmarkStart w:id="31" w:name="_Toc22897641"/>
      <w:bookmarkStart w:id="32" w:name="_Toc198561145"/>
      <w:r w:rsidRPr="00C9624D">
        <w:rPr>
          <w:lang w:eastAsia="en-AU"/>
        </w:rPr>
        <w:t>Comparative effectiveness</w:t>
      </w:r>
      <w:bookmarkEnd w:id="31"/>
      <w:bookmarkEnd w:id="32"/>
    </w:p>
    <w:p w14:paraId="20B0C337" w14:textId="7064CAB7" w:rsidR="008E1613" w:rsidRPr="008E1613" w:rsidRDefault="008E1613" w:rsidP="008E1613">
      <w:pPr>
        <w:pStyle w:val="5-SubsectionSubheading"/>
      </w:pPr>
      <w:bookmarkStart w:id="33" w:name="_Toc198561146"/>
      <w:r>
        <w:t>Whole trial analyses and indirect comparisons</w:t>
      </w:r>
      <w:bookmarkEnd w:id="33"/>
    </w:p>
    <w:p w14:paraId="4F67373A" w14:textId="2579DFDC" w:rsidR="00907294" w:rsidRPr="00B35EEA" w:rsidRDefault="00EE085C" w:rsidP="001B1083">
      <w:pPr>
        <w:pStyle w:val="3-BodyText"/>
        <w:rPr>
          <w:color w:val="0066FF"/>
        </w:rPr>
      </w:pPr>
      <w:r w:rsidRPr="00B35EEA">
        <w:t xml:space="preserve">The submission presented whole trial results for the RESPONSE, POISE, and ELATIVE trials and Bucher indirect comparisons for the outcomes described in </w:t>
      </w:r>
      <w:r w:rsidRPr="00B35EEA">
        <w:fldChar w:fldCharType="begin"/>
      </w:r>
      <w:r w:rsidRPr="00B35EEA">
        <w:instrText xml:space="preserve"> REF _Ref104804098 \h  \* MERGEFORMAT </w:instrText>
      </w:r>
      <w:r w:rsidRPr="00B35EEA">
        <w:fldChar w:fldCharType="separate"/>
      </w:r>
      <w:r w:rsidR="00333A5F" w:rsidRPr="00333A5F">
        <w:rPr>
          <w:rStyle w:val="CommentReference"/>
          <w:rFonts w:asciiTheme="minorHAnsi" w:hAnsiTheme="minorHAnsi"/>
          <w:b w:val="0"/>
          <w:sz w:val="24"/>
          <w:szCs w:val="22"/>
        </w:rPr>
        <w:t>Table 3</w:t>
      </w:r>
      <w:r w:rsidRPr="00B35EEA">
        <w:fldChar w:fldCharType="end"/>
      </w:r>
      <w:r w:rsidRPr="00B35EEA">
        <w:t xml:space="preserve">. </w:t>
      </w:r>
      <w:r w:rsidR="00907294" w:rsidRPr="00B35EEA">
        <w:t>The submission also presented</w:t>
      </w:r>
      <w:r w:rsidR="00AB39F4" w:rsidRPr="00B35EEA">
        <w:t>:</w:t>
      </w:r>
    </w:p>
    <w:p w14:paraId="5D027EB1" w14:textId="438FBE13" w:rsidR="00907294" w:rsidRPr="00B35EEA" w:rsidRDefault="00907294" w:rsidP="000F0786">
      <w:pPr>
        <w:pStyle w:val="ListParagraph"/>
        <w:rPr>
          <w:color w:val="0066FF"/>
        </w:rPr>
      </w:pPr>
      <w:r w:rsidRPr="00B35EEA">
        <w:t xml:space="preserve">For the comparison between seladelpar and OCA: A Bayesian network meta-analysis </w:t>
      </w:r>
      <w:r w:rsidR="00EB2E74" w:rsidRPr="00B35EEA">
        <w:t xml:space="preserve">(NMA) </w:t>
      </w:r>
      <w:r w:rsidRPr="00B35EEA">
        <w:t>based on the RESPONSE and POISE trials</w:t>
      </w:r>
      <w:r w:rsidR="00AB39F4" w:rsidRPr="00B35EEA">
        <w:t>.</w:t>
      </w:r>
    </w:p>
    <w:p w14:paraId="7C556BFF" w14:textId="2D54AAEC" w:rsidR="00907294" w:rsidRPr="00B35EEA" w:rsidRDefault="00907294" w:rsidP="000F0786">
      <w:pPr>
        <w:pStyle w:val="ListParagraph"/>
        <w:rPr>
          <w:color w:val="0066FF"/>
        </w:rPr>
      </w:pPr>
      <w:r w:rsidRPr="00B35EEA">
        <w:t xml:space="preserve">For the comparison between seladelpar and elafibranor: </w:t>
      </w:r>
      <w:r w:rsidR="007C526D" w:rsidRPr="00B35EEA">
        <w:t>an anchored</w:t>
      </w:r>
      <w:r w:rsidRPr="00B35EEA">
        <w:t xml:space="preserve"> matched adjusted indirect comparison (MAIC) for</w:t>
      </w:r>
      <w:r w:rsidR="007C526D" w:rsidRPr="00B35EEA">
        <w:t xml:space="preserve"> the outcomes</w:t>
      </w:r>
      <w:r w:rsidRPr="00B35EEA">
        <w:t xml:space="preserve"> </w:t>
      </w:r>
      <w:r w:rsidR="00C5378B" w:rsidRPr="00B35EEA">
        <w:t xml:space="preserve">of </w:t>
      </w:r>
      <w:r w:rsidRPr="00B35EEA">
        <w:t xml:space="preserve">biochemical response, ALP normalisation, adverse events, and pruritus events based on the RESPONSE and ELATIVE trials. The submission presented a Bayesian network meta-analysis for the </w:t>
      </w:r>
      <w:r w:rsidR="00AB39F4" w:rsidRPr="00B35EEA">
        <w:t>patient</w:t>
      </w:r>
      <w:r w:rsidR="000D30EA" w:rsidRPr="00B35EEA">
        <w:t>-</w:t>
      </w:r>
      <w:r w:rsidR="00AB39F4" w:rsidRPr="00B35EEA">
        <w:t xml:space="preserve">reported </w:t>
      </w:r>
      <w:r w:rsidRPr="00B35EEA">
        <w:t>outcomes of Pruritus NRS, PBC-40 itch domain, and 5-D itch based on the RESPONSE and ELATIVE trials</w:t>
      </w:r>
      <w:r w:rsidR="00AB39F4" w:rsidRPr="00B35EEA">
        <w:t>. This was because baseline characteristics for the MSPN population were not available, making a MAIC unfeasible.</w:t>
      </w:r>
    </w:p>
    <w:p w14:paraId="2E8F74D7" w14:textId="3754508F" w:rsidR="00EE085C" w:rsidRPr="00E8442C" w:rsidRDefault="00AB39F4" w:rsidP="001B1083">
      <w:pPr>
        <w:pStyle w:val="3-BodyText"/>
        <w:rPr>
          <w:color w:val="0066FF"/>
        </w:rPr>
      </w:pPr>
      <w:r w:rsidRPr="00E8442C">
        <w:t>The submission justified using a</w:t>
      </w:r>
      <w:r w:rsidR="007C526D" w:rsidRPr="00E8442C">
        <w:t>n anchored</w:t>
      </w:r>
      <w:r w:rsidRPr="00E8442C">
        <w:t xml:space="preserve"> MAIC to compare seladelpar and elafibranor based on</w:t>
      </w:r>
      <w:r w:rsidR="00EE085C" w:rsidRPr="00E8442C">
        <w:t xml:space="preserve"> the difference in baseline ALP observed between the RESPONSE and ELATIVE trials. The MAIC adjusted for 4 key effect modifiers (age at screening, baseline ALP, baseline TB, and the proportion of participants with cirrhosis at baseline). </w:t>
      </w:r>
    </w:p>
    <w:p w14:paraId="22F70DB3" w14:textId="7F6268CC" w:rsidR="00AB39F4" w:rsidRPr="00E8442C" w:rsidRDefault="00AB39F4" w:rsidP="00AB39F4">
      <w:pPr>
        <w:pStyle w:val="3-BodyText"/>
      </w:pPr>
      <w:r w:rsidRPr="00E8442C">
        <w:lastRenderedPageBreak/>
        <w:fldChar w:fldCharType="begin"/>
      </w:r>
      <w:r w:rsidRPr="00E8442C">
        <w:instrText xml:space="preserve"> REF _Ref196401962 \h </w:instrText>
      </w:r>
      <w:r w:rsidR="00B35EEA" w:rsidRPr="00E8442C">
        <w:instrText xml:space="preserve"> \* MERGEFORMAT </w:instrText>
      </w:r>
      <w:r w:rsidRPr="00E8442C">
        <w:fldChar w:fldCharType="separate"/>
      </w:r>
      <w:r w:rsidR="00333A5F">
        <w:t xml:space="preserve">Table </w:t>
      </w:r>
      <w:r w:rsidR="00333A5F">
        <w:rPr>
          <w:noProof/>
        </w:rPr>
        <w:t>5</w:t>
      </w:r>
      <w:r w:rsidRPr="00E8442C">
        <w:fldChar w:fldCharType="end"/>
      </w:r>
      <w:r w:rsidRPr="00E8442C">
        <w:t xml:space="preserve"> summarises the RESPONSE, POISE and ELATIVE whole trial results and indirect comparisons for the primary outcome of biochemical response.</w:t>
      </w:r>
    </w:p>
    <w:p w14:paraId="37B1748F" w14:textId="208582AC" w:rsidR="00AB39F4" w:rsidRDefault="00AB39F4" w:rsidP="00AB39F4">
      <w:pPr>
        <w:pStyle w:val="TableFigureHeading"/>
      </w:pPr>
      <w:bookmarkStart w:id="34" w:name="_Ref196401962"/>
      <w:r>
        <w:t xml:space="preserve">Table </w:t>
      </w:r>
      <w:r w:rsidR="00A24BC2">
        <w:fldChar w:fldCharType="begin"/>
      </w:r>
      <w:r w:rsidR="00A24BC2">
        <w:instrText xml:space="preserve"> SEQ Table \* ARABIC </w:instrText>
      </w:r>
      <w:r w:rsidR="00A24BC2">
        <w:fldChar w:fldCharType="separate"/>
      </w:r>
      <w:r w:rsidR="00333A5F">
        <w:rPr>
          <w:noProof/>
        </w:rPr>
        <w:t>5</w:t>
      </w:r>
      <w:r w:rsidR="00A24BC2">
        <w:rPr>
          <w:noProof/>
        </w:rPr>
        <w:fldChar w:fldCharType="end"/>
      </w:r>
      <w:bookmarkEnd w:id="34"/>
      <w:r>
        <w:t xml:space="preserve">: </w:t>
      </w:r>
      <w:r w:rsidRPr="0098262F">
        <w:rPr>
          <w:rStyle w:val="CommentReference"/>
          <w:b/>
          <w:szCs w:val="24"/>
        </w:rPr>
        <w:t xml:space="preserve">Summary of </w:t>
      </w:r>
      <w:r>
        <w:rPr>
          <w:rStyle w:val="CommentReference"/>
          <w:b/>
          <w:szCs w:val="24"/>
        </w:rPr>
        <w:t xml:space="preserve">the RESPONSE, POISE and ELATIVE whole trial results and </w:t>
      </w:r>
      <w:r w:rsidRPr="0098262F">
        <w:rPr>
          <w:rStyle w:val="CommentReference"/>
          <w:b/>
          <w:szCs w:val="24"/>
        </w:rPr>
        <w:t>indirect comparison</w:t>
      </w:r>
      <w:r>
        <w:rPr>
          <w:rStyle w:val="CommentReference"/>
          <w:b/>
          <w:szCs w:val="24"/>
        </w:rPr>
        <w:t>s</w:t>
      </w:r>
      <w:r w:rsidRPr="0098262F">
        <w:rPr>
          <w:rStyle w:val="CommentReference"/>
          <w:b/>
          <w:szCs w:val="24"/>
        </w:rPr>
        <w:t xml:space="preserve"> for </w:t>
      </w:r>
      <w:r>
        <w:rPr>
          <w:rStyle w:val="CommentReference"/>
          <w:b/>
          <w:szCs w:val="24"/>
        </w:rPr>
        <w:t>biochemical response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the RESPONSE, POISE and ELATIVE whole trial results and indirect comparisons for biochemical response (ITT population)."/>
      </w:tblPr>
      <w:tblGrid>
        <w:gridCol w:w="1129"/>
        <w:gridCol w:w="1277"/>
        <w:gridCol w:w="1134"/>
        <w:gridCol w:w="1827"/>
        <w:gridCol w:w="1827"/>
        <w:gridCol w:w="1823"/>
      </w:tblGrid>
      <w:tr w:rsidR="00AB39F4" w:rsidRPr="0098262F" w14:paraId="71DAC985" w14:textId="77777777" w:rsidTr="00260755">
        <w:trPr>
          <w:tblHeader/>
        </w:trPr>
        <w:tc>
          <w:tcPr>
            <w:tcW w:w="626" w:type="pct"/>
            <w:vMerge w:val="restart"/>
            <w:vAlign w:val="center"/>
          </w:tcPr>
          <w:p w14:paraId="7D101837" w14:textId="77777777" w:rsidR="00AB39F4" w:rsidRPr="00282ED7" w:rsidRDefault="00AB39F4" w:rsidP="00260755">
            <w:pPr>
              <w:pStyle w:val="In-tableHeading"/>
              <w:jc w:val="center"/>
            </w:pPr>
            <w:r w:rsidRPr="00282ED7">
              <w:t>Trial ID</w:t>
            </w:r>
          </w:p>
        </w:tc>
        <w:tc>
          <w:tcPr>
            <w:tcW w:w="708" w:type="pct"/>
            <w:vMerge w:val="restart"/>
            <w:vAlign w:val="center"/>
          </w:tcPr>
          <w:p w14:paraId="6D7DF4D5" w14:textId="77777777" w:rsidR="00AB39F4" w:rsidRPr="00282ED7" w:rsidRDefault="00AB39F4" w:rsidP="00260755">
            <w:pPr>
              <w:pStyle w:val="In-tableHeading"/>
              <w:jc w:val="center"/>
            </w:pPr>
            <w:r w:rsidRPr="00282ED7">
              <w:t>Intervention</w:t>
            </w:r>
          </w:p>
          <w:p w14:paraId="14267D27" w14:textId="77777777" w:rsidR="00AB39F4" w:rsidRPr="00282ED7" w:rsidRDefault="00AB39F4" w:rsidP="00260755">
            <w:pPr>
              <w:pStyle w:val="In-tableHeading"/>
              <w:jc w:val="center"/>
            </w:pPr>
            <w:r w:rsidRPr="00282ED7">
              <w:t>n /N (%)</w:t>
            </w:r>
          </w:p>
        </w:tc>
        <w:tc>
          <w:tcPr>
            <w:tcW w:w="629" w:type="pct"/>
            <w:vMerge w:val="restart"/>
            <w:vAlign w:val="center"/>
          </w:tcPr>
          <w:p w14:paraId="239BF8B1" w14:textId="77777777" w:rsidR="00AB39F4" w:rsidRPr="00282ED7" w:rsidRDefault="00AB39F4" w:rsidP="00260755">
            <w:pPr>
              <w:pStyle w:val="In-tableHeading"/>
              <w:jc w:val="center"/>
            </w:pPr>
            <w:r w:rsidRPr="00282ED7">
              <w:t>Placebo n/N (%)</w:t>
            </w:r>
          </w:p>
        </w:tc>
        <w:tc>
          <w:tcPr>
            <w:tcW w:w="3037" w:type="pct"/>
            <w:gridSpan w:val="3"/>
            <w:vAlign w:val="center"/>
          </w:tcPr>
          <w:p w14:paraId="31A068A1" w14:textId="77777777" w:rsidR="00AB39F4" w:rsidRPr="00282ED7" w:rsidRDefault="00AB39F4" w:rsidP="00260755">
            <w:pPr>
              <w:pStyle w:val="In-tableHeading"/>
              <w:jc w:val="center"/>
            </w:pPr>
            <w:r w:rsidRPr="00282ED7">
              <w:t>Treatment effect</w:t>
            </w:r>
          </w:p>
        </w:tc>
      </w:tr>
      <w:tr w:rsidR="00AB39F4" w:rsidRPr="0098262F" w14:paraId="52BD9466" w14:textId="77777777" w:rsidTr="00260755">
        <w:trPr>
          <w:tblHeader/>
        </w:trPr>
        <w:tc>
          <w:tcPr>
            <w:tcW w:w="626" w:type="pct"/>
            <w:vMerge/>
            <w:vAlign w:val="center"/>
          </w:tcPr>
          <w:p w14:paraId="7171D5C5" w14:textId="77777777" w:rsidR="00AB39F4" w:rsidRPr="00282ED7" w:rsidRDefault="00AB39F4" w:rsidP="00260755">
            <w:pPr>
              <w:pStyle w:val="In-tableHeading"/>
              <w:jc w:val="center"/>
            </w:pPr>
          </w:p>
        </w:tc>
        <w:tc>
          <w:tcPr>
            <w:tcW w:w="708" w:type="pct"/>
            <w:vMerge/>
            <w:vAlign w:val="center"/>
          </w:tcPr>
          <w:p w14:paraId="3722DA7B" w14:textId="77777777" w:rsidR="00AB39F4" w:rsidRPr="00282ED7" w:rsidRDefault="00AB39F4" w:rsidP="00260755">
            <w:pPr>
              <w:pStyle w:val="In-tableHeading"/>
              <w:jc w:val="center"/>
            </w:pPr>
          </w:p>
        </w:tc>
        <w:tc>
          <w:tcPr>
            <w:tcW w:w="629" w:type="pct"/>
            <w:vMerge/>
            <w:vAlign w:val="center"/>
          </w:tcPr>
          <w:p w14:paraId="4F247A86" w14:textId="77777777" w:rsidR="00AB39F4" w:rsidRPr="00282ED7" w:rsidRDefault="00AB39F4" w:rsidP="00260755">
            <w:pPr>
              <w:pStyle w:val="In-tableHeading"/>
              <w:jc w:val="center"/>
            </w:pPr>
          </w:p>
        </w:tc>
        <w:tc>
          <w:tcPr>
            <w:tcW w:w="1013" w:type="pct"/>
            <w:vAlign w:val="center"/>
          </w:tcPr>
          <w:p w14:paraId="6FE7AE15" w14:textId="480A0B02" w:rsidR="00AB39F4" w:rsidRPr="00282ED7" w:rsidRDefault="00AB39F4" w:rsidP="009B2BFE">
            <w:pPr>
              <w:pStyle w:val="In-tableHeading"/>
              <w:jc w:val="center"/>
            </w:pPr>
            <w:r w:rsidRPr="00282ED7">
              <w:t>OR [95% CI];</w:t>
            </w:r>
            <w:r w:rsidR="000D30EA">
              <w:t xml:space="preserve"> </w:t>
            </w:r>
            <w:r w:rsidR="000D30EA">
              <w:br/>
            </w:r>
            <w:r w:rsidRPr="00282ED7">
              <w:t>p-value</w:t>
            </w:r>
          </w:p>
        </w:tc>
        <w:tc>
          <w:tcPr>
            <w:tcW w:w="1013" w:type="pct"/>
            <w:vAlign w:val="center"/>
          </w:tcPr>
          <w:p w14:paraId="260E5038" w14:textId="39B68865" w:rsidR="00AB39F4" w:rsidRPr="00282ED7" w:rsidRDefault="00AB39F4" w:rsidP="00260755">
            <w:pPr>
              <w:pStyle w:val="In-tableHeading"/>
              <w:jc w:val="center"/>
            </w:pPr>
            <w:r w:rsidRPr="00282ED7">
              <w:t>RR [95% CI];</w:t>
            </w:r>
          </w:p>
          <w:p w14:paraId="0E28401A" w14:textId="77777777" w:rsidR="00AB39F4" w:rsidRPr="00282ED7" w:rsidRDefault="00AB39F4" w:rsidP="00260755">
            <w:pPr>
              <w:pStyle w:val="In-tableHeading"/>
              <w:jc w:val="center"/>
            </w:pPr>
            <w:r w:rsidRPr="00282ED7">
              <w:t>p-value</w:t>
            </w:r>
          </w:p>
        </w:tc>
        <w:tc>
          <w:tcPr>
            <w:tcW w:w="1011" w:type="pct"/>
            <w:vAlign w:val="center"/>
          </w:tcPr>
          <w:p w14:paraId="392FCB0F" w14:textId="2A9B50FA" w:rsidR="00AB39F4" w:rsidRPr="00282ED7" w:rsidRDefault="00AB39F4" w:rsidP="00260755">
            <w:pPr>
              <w:pStyle w:val="In-tableHeading"/>
              <w:jc w:val="center"/>
            </w:pPr>
            <w:r w:rsidRPr="00282ED7">
              <w:t>RD [95% CI];</w:t>
            </w:r>
          </w:p>
          <w:p w14:paraId="798DDF54" w14:textId="77777777" w:rsidR="00AB39F4" w:rsidRPr="00282ED7" w:rsidRDefault="00AB39F4" w:rsidP="00260755">
            <w:pPr>
              <w:pStyle w:val="In-tableHeading"/>
              <w:jc w:val="center"/>
            </w:pPr>
            <w:r w:rsidRPr="00282ED7">
              <w:t>p-value</w:t>
            </w:r>
          </w:p>
        </w:tc>
      </w:tr>
      <w:tr w:rsidR="00AB39F4" w:rsidRPr="0098262F" w14:paraId="79EFB81A" w14:textId="77777777" w:rsidTr="00260755">
        <w:trPr>
          <w:tblHeader/>
        </w:trPr>
        <w:tc>
          <w:tcPr>
            <w:tcW w:w="5000" w:type="pct"/>
            <w:gridSpan w:val="6"/>
            <w:vAlign w:val="center"/>
          </w:tcPr>
          <w:p w14:paraId="4DF2E2B2" w14:textId="77777777" w:rsidR="00AB39F4" w:rsidRDefault="00AB39F4" w:rsidP="001B1083">
            <w:pPr>
              <w:pStyle w:val="In-tableHeading"/>
              <w:rPr>
                <w:lang w:val="en-AU"/>
              </w:rPr>
            </w:pPr>
            <w:r>
              <w:rPr>
                <w:lang w:val="en-AU"/>
              </w:rPr>
              <w:t>Seladelpar vs OCA 5-10 mg</w:t>
            </w:r>
          </w:p>
        </w:tc>
      </w:tr>
      <w:tr w:rsidR="00AB39F4" w:rsidRPr="0098262F" w14:paraId="725C1ACA" w14:textId="77777777" w:rsidTr="00260755">
        <w:trPr>
          <w:tblHeader/>
        </w:trPr>
        <w:tc>
          <w:tcPr>
            <w:tcW w:w="5000" w:type="pct"/>
            <w:gridSpan w:val="6"/>
            <w:vAlign w:val="center"/>
          </w:tcPr>
          <w:p w14:paraId="7C76BDCB" w14:textId="77777777" w:rsidR="00AB39F4" w:rsidRDefault="00AB39F4" w:rsidP="001B1083">
            <w:pPr>
              <w:pStyle w:val="In-tableHeading"/>
              <w:rPr>
                <w:lang w:val="en-AU"/>
              </w:rPr>
            </w:pPr>
            <w:r>
              <w:rPr>
                <w:lang w:val="en-AU"/>
              </w:rPr>
              <w:t>Bucher ITC per individual trial thresholds</w:t>
            </w:r>
          </w:p>
        </w:tc>
      </w:tr>
      <w:tr w:rsidR="008078BB" w:rsidRPr="0098262F" w14:paraId="2CB69567" w14:textId="77777777" w:rsidTr="00260755">
        <w:tc>
          <w:tcPr>
            <w:tcW w:w="626" w:type="pct"/>
            <w:vAlign w:val="center"/>
          </w:tcPr>
          <w:p w14:paraId="527CB5F0" w14:textId="77777777" w:rsidR="008078BB" w:rsidRPr="0098262F" w:rsidRDefault="008078BB" w:rsidP="008078BB">
            <w:pPr>
              <w:pStyle w:val="TableText0"/>
            </w:pPr>
            <w:r>
              <w:t>RESPONSE</w:t>
            </w:r>
          </w:p>
        </w:tc>
        <w:tc>
          <w:tcPr>
            <w:tcW w:w="708" w:type="pct"/>
            <w:vAlign w:val="center"/>
          </w:tcPr>
          <w:p w14:paraId="155C8A16" w14:textId="77777777" w:rsidR="008078BB" w:rsidRPr="0098262F" w:rsidRDefault="008078BB" w:rsidP="008078BB">
            <w:pPr>
              <w:pStyle w:val="TableText0"/>
              <w:jc w:val="center"/>
            </w:pPr>
            <w:r w:rsidRPr="003A6667">
              <w:t>79/128 (61.7)</w:t>
            </w:r>
          </w:p>
        </w:tc>
        <w:tc>
          <w:tcPr>
            <w:tcW w:w="629" w:type="pct"/>
            <w:vAlign w:val="center"/>
          </w:tcPr>
          <w:p w14:paraId="1A2A35ED" w14:textId="77777777" w:rsidR="008078BB" w:rsidRPr="0098262F" w:rsidRDefault="008078BB" w:rsidP="008078BB">
            <w:pPr>
              <w:pStyle w:val="TableText0"/>
              <w:jc w:val="center"/>
            </w:pPr>
            <w:r w:rsidRPr="003A6667">
              <w:t>13/65 (20.0)</w:t>
            </w:r>
          </w:p>
        </w:tc>
        <w:tc>
          <w:tcPr>
            <w:tcW w:w="1013" w:type="pct"/>
            <w:vAlign w:val="center"/>
          </w:tcPr>
          <w:p w14:paraId="606386F5" w14:textId="77777777" w:rsidR="008078BB" w:rsidRPr="00FE103C" w:rsidRDefault="008078BB" w:rsidP="008078BB">
            <w:pPr>
              <w:pStyle w:val="TableText0"/>
              <w:jc w:val="center"/>
              <w:rPr>
                <w:b/>
                <w:bCs w:val="0"/>
              </w:rPr>
            </w:pPr>
            <w:r w:rsidRPr="00FE103C">
              <w:rPr>
                <w:b/>
                <w:bCs w:val="0"/>
              </w:rPr>
              <w:t>6.45 [3.19, 13.05]</w:t>
            </w:r>
          </w:p>
        </w:tc>
        <w:tc>
          <w:tcPr>
            <w:tcW w:w="1013" w:type="pct"/>
            <w:tcBorders>
              <w:top w:val="single" w:sz="4" w:space="0" w:color="auto"/>
              <w:left w:val="nil"/>
              <w:bottom w:val="single" w:sz="4" w:space="0" w:color="auto"/>
              <w:right w:val="nil"/>
            </w:tcBorders>
          </w:tcPr>
          <w:p w14:paraId="653D583E" w14:textId="617BA1A8" w:rsidR="008078BB" w:rsidRPr="00FE103C" w:rsidRDefault="008078BB" w:rsidP="008078BB">
            <w:pPr>
              <w:pStyle w:val="TableText0"/>
              <w:jc w:val="center"/>
              <w:rPr>
                <w:b/>
                <w:bCs w:val="0"/>
              </w:rPr>
            </w:pPr>
            <w:r w:rsidRPr="00FE103C">
              <w:rPr>
                <w:b/>
                <w:bCs w:val="0"/>
              </w:rPr>
              <w:t>3.09 [1.86, 5.11]</w:t>
            </w:r>
          </w:p>
        </w:tc>
        <w:tc>
          <w:tcPr>
            <w:tcW w:w="1011" w:type="pct"/>
          </w:tcPr>
          <w:p w14:paraId="7D6F2A4C" w14:textId="77777777" w:rsidR="008078BB" w:rsidRPr="00FE103C" w:rsidRDefault="008078BB" w:rsidP="008078BB">
            <w:pPr>
              <w:pStyle w:val="TableText0"/>
              <w:jc w:val="center"/>
              <w:rPr>
                <w:b/>
                <w:bCs w:val="0"/>
              </w:rPr>
            </w:pPr>
            <w:r w:rsidRPr="00FE103C">
              <w:rPr>
                <w:b/>
                <w:bCs w:val="0"/>
              </w:rPr>
              <w:t>0.42 [0.29, 0.55]</w:t>
            </w:r>
          </w:p>
        </w:tc>
      </w:tr>
      <w:tr w:rsidR="008078BB" w:rsidRPr="0098262F" w14:paraId="4D7C8BD4" w14:textId="77777777" w:rsidTr="00260755">
        <w:tc>
          <w:tcPr>
            <w:tcW w:w="626" w:type="pct"/>
            <w:vAlign w:val="center"/>
          </w:tcPr>
          <w:p w14:paraId="738E6A8E" w14:textId="77777777" w:rsidR="008078BB" w:rsidRPr="0098262F" w:rsidRDefault="008078BB" w:rsidP="008078BB">
            <w:pPr>
              <w:pStyle w:val="TableText0"/>
            </w:pPr>
            <w:r>
              <w:t>POISE</w:t>
            </w:r>
          </w:p>
        </w:tc>
        <w:tc>
          <w:tcPr>
            <w:tcW w:w="708" w:type="pct"/>
            <w:vAlign w:val="center"/>
          </w:tcPr>
          <w:p w14:paraId="399AB722" w14:textId="77777777" w:rsidR="008078BB" w:rsidRPr="0098262F" w:rsidRDefault="008078BB" w:rsidP="008078BB">
            <w:pPr>
              <w:pStyle w:val="TableText0"/>
              <w:jc w:val="center"/>
            </w:pPr>
            <w:r w:rsidRPr="003A6667">
              <w:t>32/70 (45.7)</w:t>
            </w:r>
          </w:p>
        </w:tc>
        <w:tc>
          <w:tcPr>
            <w:tcW w:w="629" w:type="pct"/>
            <w:vAlign w:val="center"/>
          </w:tcPr>
          <w:p w14:paraId="7F705C67" w14:textId="77777777" w:rsidR="008078BB" w:rsidRPr="0098262F" w:rsidRDefault="008078BB" w:rsidP="008078BB">
            <w:pPr>
              <w:pStyle w:val="TableText0"/>
              <w:jc w:val="center"/>
            </w:pPr>
            <w:r w:rsidRPr="003A6667">
              <w:t>7/73 (9.6)</w:t>
            </w:r>
          </w:p>
        </w:tc>
        <w:tc>
          <w:tcPr>
            <w:tcW w:w="1013" w:type="pct"/>
            <w:vAlign w:val="center"/>
          </w:tcPr>
          <w:p w14:paraId="1495DF72" w14:textId="732626D3" w:rsidR="008078BB" w:rsidRPr="00FE103C" w:rsidRDefault="008078BB" w:rsidP="008078BB">
            <w:pPr>
              <w:pStyle w:val="TableText0"/>
              <w:jc w:val="center"/>
              <w:rPr>
                <w:b/>
                <w:bCs w:val="0"/>
              </w:rPr>
            </w:pPr>
            <w:r w:rsidRPr="00FE103C">
              <w:rPr>
                <w:b/>
                <w:bCs w:val="0"/>
              </w:rPr>
              <w:t>7.94 [3.2</w:t>
            </w:r>
            <w:r w:rsidR="00447323">
              <w:rPr>
                <w:b/>
                <w:bCs w:val="0"/>
              </w:rPr>
              <w:t>0</w:t>
            </w:r>
            <w:r w:rsidRPr="00FE103C">
              <w:rPr>
                <w:b/>
                <w:bCs w:val="0"/>
              </w:rPr>
              <w:t>, 19.73]</w:t>
            </w:r>
          </w:p>
        </w:tc>
        <w:tc>
          <w:tcPr>
            <w:tcW w:w="1013" w:type="pct"/>
            <w:tcBorders>
              <w:top w:val="single" w:sz="4" w:space="0" w:color="auto"/>
              <w:left w:val="nil"/>
              <w:bottom w:val="single" w:sz="4" w:space="0" w:color="auto"/>
              <w:right w:val="nil"/>
            </w:tcBorders>
          </w:tcPr>
          <w:p w14:paraId="54A9CDFD" w14:textId="10810B1A" w:rsidR="008078BB" w:rsidRPr="00FE103C" w:rsidRDefault="008078BB" w:rsidP="008078BB">
            <w:pPr>
              <w:pStyle w:val="TableText0"/>
              <w:jc w:val="center"/>
              <w:rPr>
                <w:b/>
                <w:bCs w:val="0"/>
              </w:rPr>
            </w:pPr>
            <w:r w:rsidRPr="00FE103C">
              <w:rPr>
                <w:b/>
                <w:bCs w:val="0"/>
              </w:rPr>
              <w:t>4.77 [2.25, 10.08]</w:t>
            </w:r>
          </w:p>
        </w:tc>
        <w:tc>
          <w:tcPr>
            <w:tcW w:w="1011" w:type="pct"/>
          </w:tcPr>
          <w:p w14:paraId="115037E2" w14:textId="77777777" w:rsidR="008078BB" w:rsidRPr="00FE103C" w:rsidRDefault="008078BB" w:rsidP="008078BB">
            <w:pPr>
              <w:pStyle w:val="TableText0"/>
              <w:jc w:val="center"/>
              <w:rPr>
                <w:b/>
                <w:bCs w:val="0"/>
              </w:rPr>
            </w:pPr>
            <w:r w:rsidRPr="00FE103C">
              <w:rPr>
                <w:b/>
                <w:bCs w:val="0"/>
              </w:rPr>
              <w:t>0.36 [0.23, 0.5]</w:t>
            </w:r>
          </w:p>
        </w:tc>
      </w:tr>
      <w:tr w:rsidR="008078BB" w:rsidRPr="0098262F" w14:paraId="5D802CF4" w14:textId="77777777" w:rsidTr="00260755">
        <w:tc>
          <w:tcPr>
            <w:tcW w:w="1963" w:type="pct"/>
            <w:gridSpan w:val="3"/>
            <w:vAlign w:val="center"/>
          </w:tcPr>
          <w:p w14:paraId="3E0D1CBB" w14:textId="77777777" w:rsidR="008078BB" w:rsidRPr="0098262F" w:rsidRDefault="008078BB" w:rsidP="008078BB">
            <w:pPr>
              <w:pStyle w:val="TableText0"/>
            </w:pPr>
            <w:r w:rsidRPr="0098262F">
              <w:t>Indirect estimate of effect adjusted for the common reference</w:t>
            </w:r>
          </w:p>
        </w:tc>
        <w:tc>
          <w:tcPr>
            <w:tcW w:w="1013" w:type="pct"/>
            <w:vAlign w:val="center"/>
          </w:tcPr>
          <w:p w14:paraId="18140E2C" w14:textId="70965CE0" w:rsidR="008078BB" w:rsidRPr="0098262F" w:rsidRDefault="008078BB" w:rsidP="008078BB">
            <w:pPr>
              <w:pStyle w:val="TableText0"/>
              <w:jc w:val="center"/>
            </w:pPr>
            <w:r w:rsidRPr="0079198B">
              <w:t>0.812 [0.2</w:t>
            </w:r>
            <w:r w:rsidR="00447323">
              <w:t>6</w:t>
            </w:r>
            <w:r w:rsidRPr="0079198B">
              <w:t>, 2.5</w:t>
            </w:r>
            <w:r w:rsidR="00447323">
              <w:t>7</w:t>
            </w:r>
            <w:r w:rsidRPr="0079198B">
              <w:t>]</w:t>
            </w:r>
            <w:r>
              <w:t xml:space="preserve">; </w:t>
            </w:r>
            <w:r w:rsidRPr="0079198B">
              <w:t>0.723</w:t>
            </w:r>
          </w:p>
        </w:tc>
        <w:tc>
          <w:tcPr>
            <w:tcW w:w="1013" w:type="pct"/>
            <w:tcBorders>
              <w:top w:val="single" w:sz="4" w:space="0" w:color="auto"/>
              <w:left w:val="nil"/>
              <w:bottom w:val="single" w:sz="4" w:space="0" w:color="auto"/>
              <w:right w:val="nil"/>
            </w:tcBorders>
          </w:tcPr>
          <w:p w14:paraId="54707876" w14:textId="62948F4E" w:rsidR="008078BB" w:rsidRPr="0098262F" w:rsidRDefault="008078BB" w:rsidP="008078BB">
            <w:pPr>
              <w:pStyle w:val="TableText0"/>
              <w:jc w:val="center"/>
            </w:pPr>
            <w:r w:rsidRPr="008078BB">
              <w:t>0.6</w:t>
            </w:r>
            <w:r w:rsidR="00447323">
              <w:t>5</w:t>
            </w:r>
            <w:r w:rsidRPr="008078BB">
              <w:t xml:space="preserve"> [0.26, 1.6</w:t>
            </w:r>
            <w:r w:rsidR="00447323">
              <w:t>0</w:t>
            </w:r>
            <w:r w:rsidRPr="008078BB">
              <w:t>]</w:t>
            </w:r>
            <w:r>
              <w:t xml:space="preserve">; </w:t>
            </w:r>
            <w:r w:rsidRPr="008078BB">
              <w:t>0.34</w:t>
            </w:r>
            <w:r w:rsidR="00447323">
              <w:t>7</w:t>
            </w:r>
          </w:p>
        </w:tc>
        <w:tc>
          <w:tcPr>
            <w:tcW w:w="1011" w:type="pct"/>
            <w:vAlign w:val="center"/>
          </w:tcPr>
          <w:p w14:paraId="79CA35D5" w14:textId="1C670A90" w:rsidR="008078BB" w:rsidRPr="00F97E26" w:rsidRDefault="008078BB" w:rsidP="008078BB">
            <w:pPr>
              <w:pStyle w:val="TableText0"/>
              <w:jc w:val="center"/>
              <w:rPr>
                <w:b/>
                <w:bCs w:val="0"/>
              </w:rPr>
            </w:pPr>
            <w:r w:rsidRPr="0079198B">
              <w:t>0.06 [-0.1</w:t>
            </w:r>
            <w:r w:rsidR="00447323">
              <w:t>3</w:t>
            </w:r>
            <w:r w:rsidRPr="0079198B">
              <w:t>, 0.2</w:t>
            </w:r>
            <w:r w:rsidR="00447323">
              <w:t>5</w:t>
            </w:r>
            <w:r w:rsidRPr="0079198B">
              <w:t>]</w:t>
            </w:r>
            <w:r>
              <w:t>;</w:t>
            </w:r>
            <w:r w:rsidRPr="0079198B">
              <w:t xml:space="preserve"> 0.530</w:t>
            </w:r>
          </w:p>
        </w:tc>
      </w:tr>
      <w:tr w:rsidR="008078BB" w:rsidRPr="0098262F" w14:paraId="33ECA051" w14:textId="77777777" w:rsidTr="00260755">
        <w:tc>
          <w:tcPr>
            <w:tcW w:w="5000" w:type="pct"/>
            <w:gridSpan w:val="6"/>
            <w:vAlign w:val="center"/>
          </w:tcPr>
          <w:p w14:paraId="19498128" w14:textId="77777777" w:rsidR="008078BB" w:rsidRDefault="008078BB" w:rsidP="008078BB">
            <w:pPr>
              <w:pStyle w:val="In-tableHeading"/>
            </w:pPr>
            <w:r>
              <w:t>Bucher ITC per POISE threshold</w:t>
            </w:r>
          </w:p>
        </w:tc>
      </w:tr>
      <w:tr w:rsidR="008078BB" w:rsidRPr="0098262F" w14:paraId="2DEAE003" w14:textId="77777777" w:rsidTr="00260755">
        <w:tc>
          <w:tcPr>
            <w:tcW w:w="626" w:type="pct"/>
            <w:vAlign w:val="center"/>
          </w:tcPr>
          <w:p w14:paraId="17CF1387" w14:textId="77777777" w:rsidR="008078BB" w:rsidRPr="0098262F" w:rsidRDefault="008078BB" w:rsidP="008078BB">
            <w:pPr>
              <w:pStyle w:val="TableText0"/>
            </w:pPr>
            <w:r>
              <w:t>RESPONSE</w:t>
            </w:r>
          </w:p>
        </w:tc>
        <w:tc>
          <w:tcPr>
            <w:tcW w:w="708" w:type="pct"/>
            <w:vAlign w:val="center"/>
          </w:tcPr>
          <w:p w14:paraId="7E2CDC2F" w14:textId="77777777" w:rsidR="008078BB" w:rsidRPr="0098262F" w:rsidRDefault="008078BB" w:rsidP="008078BB">
            <w:pPr>
              <w:pStyle w:val="TableText0"/>
              <w:jc w:val="center"/>
            </w:pPr>
            <w:r w:rsidRPr="003A6667">
              <w:t>81/128 (63.3)</w:t>
            </w:r>
          </w:p>
        </w:tc>
        <w:tc>
          <w:tcPr>
            <w:tcW w:w="629" w:type="pct"/>
            <w:vAlign w:val="center"/>
          </w:tcPr>
          <w:p w14:paraId="1A07F57B" w14:textId="77777777" w:rsidR="008078BB" w:rsidRPr="0098262F" w:rsidRDefault="008078BB" w:rsidP="008078BB">
            <w:pPr>
              <w:pStyle w:val="TableText0"/>
              <w:jc w:val="center"/>
            </w:pPr>
            <w:r w:rsidRPr="003A6667">
              <w:t>13/65 (20.0)</w:t>
            </w:r>
          </w:p>
        </w:tc>
        <w:tc>
          <w:tcPr>
            <w:tcW w:w="1013" w:type="pct"/>
            <w:vAlign w:val="center"/>
          </w:tcPr>
          <w:p w14:paraId="3E6133A5" w14:textId="380CFC39" w:rsidR="008078BB" w:rsidRPr="00681EE0" w:rsidRDefault="008078BB" w:rsidP="008078BB">
            <w:pPr>
              <w:pStyle w:val="TableText0"/>
              <w:jc w:val="center"/>
              <w:rPr>
                <w:b/>
                <w:bCs w:val="0"/>
              </w:rPr>
            </w:pPr>
            <w:r w:rsidRPr="00681EE0">
              <w:rPr>
                <w:b/>
                <w:bCs w:val="0"/>
              </w:rPr>
              <w:t>6.89 [3.4</w:t>
            </w:r>
            <w:r w:rsidR="00447323" w:rsidRPr="00681EE0">
              <w:rPr>
                <w:b/>
                <w:bCs w:val="0"/>
              </w:rPr>
              <w:t>0</w:t>
            </w:r>
            <w:r w:rsidRPr="00681EE0">
              <w:rPr>
                <w:b/>
                <w:bCs w:val="0"/>
              </w:rPr>
              <w:t>, 13.97]</w:t>
            </w:r>
          </w:p>
        </w:tc>
        <w:tc>
          <w:tcPr>
            <w:tcW w:w="1013" w:type="pct"/>
            <w:tcBorders>
              <w:top w:val="single" w:sz="4" w:space="0" w:color="auto"/>
              <w:left w:val="nil"/>
              <w:bottom w:val="single" w:sz="4" w:space="0" w:color="auto"/>
              <w:right w:val="nil"/>
            </w:tcBorders>
          </w:tcPr>
          <w:p w14:paraId="3207111E" w14:textId="4F62E14C" w:rsidR="008078BB" w:rsidRPr="00681EE0" w:rsidRDefault="008078BB" w:rsidP="008078BB">
            <w:pPr>
              <w:pStyle w:val="TableText0"/>
              <w:jc w:val="center"/>
              <w:rPr>
                <w:b/>
                <w:bCs w:val="0"/>
              </w:rPr>
            </w:pPr>
            <w:r w:rsidRPr="00681EE0">
              <w:rPr>
                <w:b/>
                <w:bCs w:val="0"/>
              </w:rPr>
              <w:t>3.16 [1.91, 5.24]</w:t>
            </w:r>
          </w:p>
        </w:tc>
        <w:tc>
          <w:tcPr>
            <w:tcW w:w="1011" w:type="pct"/>
          </w:tcPr>
          <w:p w14:paraId="54286D03" w14:textId="77777777" w:rsidR="008078BB" w:rsidRPr="00681EE0" w:rsidRDefault="008078BB" w:rsidP="008078BB">
            <w:pPr>
              <w:pStyle w:val="TableText0"/>
              <w:jc w:val="center"/>
              <w:rPr>
                <w:b/>
                <w:bCs w:val="0"/>
              </w:rPr>
            </w:pPr>
            <w:r w:rsidRPr="00681EE0">
              <w:rPr>
                <w:b/>
                <w:bCs w:val="0"/>
              </w:rPr>
              <w:t>0.43 [0.3, 0.56]</w:t>
            </w:r>
          </w:p>
        </w:tc>
      </w:tr>
      <w:tr w:rsidR="008078BB" w:rsidRPr="0098262F" w14:paraId="099F6F36" w14:textId="77777777" w:rsidTr="00260755">
        <w:tc>
          <w:tcPr>
            <w:tcW w:w="626" w:type="pct"/>
            <w:vAlign w:val="center"/>
          </w:tcPr>
          <w:p w14:paraId="26A0975A" w14:textId="77777777" w:rsidR="008078BB" w:rsidRPr="0098262F" w:rsidRDefault="008078BB" w:rsidP="008078BB">
            <w:pPr>
              <w:pStyle w:val="TableText0"/>
            </w:pPr>
            <w:r>
              <w:t>POISE</w:t>
            </w:r>
          </w:p>
        </w:tc>
        <w:tc>
          <w:tcPr>
            <w:tcW w:w="708" w:type="pct"/>
            <w:vAlign w:val="center"/>
          </w:tcPr>
          <w:p w14:paraId="79DB1D60" w14:textId="77777777" w:rsidR="008078BB" w:rsidRPr="0098262F" w:rsidRDefault="008078BB" w:rsidP="008078BB">
            <w:pPr>
              <w:pStyle w:val="TableText0"/>
              <w:jc w:val="center"/>
            </w:pPr>
            <w:r w:rsidRPr="003A6667">
              <w:t>32/70 (45.7)</w:t>
            </w:r>
          </w:p>
        </w:tc>
        <w:tc>
          <w:tcPr>
            <w:tcW w:w="629" w:type="pct"/>
            <w:vAlign w:val="center"/>
          </w:tcPr>
          <w:p w14:paraId="6602E93A" w14:textId="77777777" w:rsidR="008078BB" w:rsidRPr="0098262F" w:rsidRDefault="008078BB" w:rsidP="008078BB">
            <w:pPr>
              <w:pStyle w:val="TableText0"/>
              <w:jc w:val="center"/>
            </w:pPr>
            <w:r w:rsidRPr="003A6667">
              <w:t>7/73 (9.6)</w:t>
            </w:r>
          </w:p>
        </w:tc>
        <w:tc>
          <w:tcPr>
            <w:tcW w:w="1013" w:type="pct"/>
            <w:vAlign w:val="center"/>
          </w:tcPr>
          <w:p w14:paraId="18BA51EE" w14:textId="6534DC3D" w:rsidR="008078BB" w:rsidRPr="00FE103C" w:rsidRDefault="008078BB" w:rsidP="008078BB">
            <w:pPr>
              <w:pStyle w:val="TableText0"/>
              <w:jc w:val="center"/>
              <w:rPr>
                <w:b/>
                <w:bCs w:val="0"/>
              </w:rPr>
            </w:pPr>
            <w:r w:rsidRPr="00FE103C">
              <w:rPr>
                <w:b/>
                <w:bCs w:val="0"/>
              </w:rPr>
              <w:t>7.94 [3.2</w:t>
            </w:r>
            <w:r w:rsidR="00447323">
              <w:rPr>
                <w:b/>
                <w:bCs w:val="0"/>
              </w:rPr>
              <w:t>0</w:t>
            </w:r>
            <w:r w:rsidRPr="00FE103C">
              <w:rPr>
                <w:b/>
                <w:bCs w:val="0"/>
              </w:rPr>
              <w:t>, 19.73]</w:t>
            </w:r>
          </w:p>
        </w:tc>
        <w:tc>
          <w:tcPr>
            <w:tcW w:w="1013" w:type="pct"/>
            <w:tcBorders>
              <w:top w:val="single" w:sz="4" w:space="0" w:color="auto"/>
              <w:left w:val="nil"/>
              <w:bottom w:val="single" w:sz="4" w:space="0" w:color="auto"/>
              <w:right w:val="nil"/>
            </w:tcBorders>
          </w:tcPr>
          <w:p w14:paraId="3EE5D49A" w14:textId="3ECD2684" w:rsidR="008078BB" w:rsidRPr="00FE103C" w:rsidRDefault="008078BB" w:rsidP="008078BB">
            <w:pPr>
              <w:pStyle w:val="TableText0"/>
              <w:jc w:val="center"/>
              <w:rPr>
                <w:b/>
                <w:bCs w:val="0"/>
              </w:rPr>
            </w:pPr>
            <w:r w:rsidRPr="00FE103C">
              <w:rPr>
                <w:b/>
                <w:bCs w:val="0"/>
              </w:rPr>
              <w:t>4.77 [2.25, 10.08]</w:t>
            </w:r>
          </w:p>
        </w:tc>
        <w:tc>
          <w:tcPr>
            <w:tcW w:w="1011" w:type="pct"/>
          </w:tcPr>
          <w:p w14:paraId="1219FA2E" w14:textId="77777777" w:rsidR="008078BB" w:rsidRPr="00FE103C" w:rsidRDefault="008078BB" w:rsidP="008078BB">
            <w:pPr>
              <w:pStyle w:val="TableText0"/>
              <w:jc w:val="center"/>
              <w:rPr>
                <w:b/>
                <w:bCs w:val="0"/>
              </w:rPr>
            </w:pPr>
            <w:r w:rsidRPr="00FE103C">
              <w:rPr>
                <w:b/>
                <w:bCs w:val="0"/>
              </w:rPr>
              <w:t>0.36 [0.23, 0.5]</w:t>
            </w:r>
          </w:p>
        </w:tc>
      </w:tr>
      <w:tr w:rsidR="008078BB" w:rsidRPr="0098262F" w14:paraId="2750062D" w14:textId="77777777" w:rsidTr="00260755">
        <w:tc>
          <w:tcPr>
            <w:tcW w:w="1963" w:type="pct"/>
            <w:gridSpan w:val="3"/>
            <w:vAlign w:val="center"/>
          </w:tcPr>
          <w:p w14:paraId="447A1C72" w14:textId="77777777" w:rsidR="008078BB" w:rsidRPr="0098262F" w:rsidRDefault="008078BB" w:rsidP="008078BB">
            <w:pPr>
              <w:pStyle w:val="TableText0"/>
            </w:pPr>
            <w:r w:rsidRPr="0098262F">
              <w:t>Indirect estimate of effect adjusted for the common reference</w:t>
            </w:r>
          </w:p>
        </w:tc>
        <w:tc>
          <w:tcPr>
            <w:tcW w:w="1013" w:type="pct"/>
            <w:vAlign w:val="center"/>
          </w:tcPr>
          <w:p w14:paraId="1BA2133D" w14:textId="4F34F30E" w:rsidR="008078BB" w:rsidRPr="0098262F" w:rsidRDefault="008078BB" w:rsidP="008078BB">
            <w:pPr>
              <w:pStyle w:val="TableText0"/>
              <w:jc w:val="center"/>
            </w:pPr>
            <w:r w:rsidRPr="005D3EBC">
              <w:t>0.8</w:t>
            </w:r>
            <w:r w:rsidR="00447323">
              <w:t>7</w:t>
            </w:r>
            <w:r w:rsidRPr="005D3EBC">
              <w:t xml:space="preserve"> [0.27, 2.75]</w:t>
            </w:r>
            <w:r>
              <w:t xml:space="preserve">; </w:t>
            </w:r>
            <w:r w:rsidRPr="005D3EBC">
              <w:t>0.809</w:t>
            </w:r>
          </w:p>
        </w:tc>
        <w:tc>
          <w:tcPr>
            <w:tcW w:w="1013" w:type="pct"/>
            <w:tcBorders>
              <w:top w:val="single" w:sz="4" w:space="0" w:color="auto"/>
            </w:tcBorders>
            <w:vAlign w:val="center"/>
          </w:tcPr>
          <w:p w14:paraId="33C8CC20" w14:textId="65EA99F4" w:rsidR="008078BB" w:rsidRPr="0098262F" w:rsidRDefault="008078BB" w:rsidP="008078BB">
            <w:pPr>
              <w:pStyle w:val="TableText0"/>
              <w:jc w:val="center"/>
            </w:pPr>
            <w:r w:rsidRPr="008078BB">
              <w:t>0.66 [0.2</w:t>
            </w:r>
            <w:r w:rsidR="00447323">
              <w:t>7</w:t>
            </w:r>
            <w:r w:rsidRPr="008078BB">
              <w:t>, 1.6</w:t>
            </w:r>
            <w:r w:rsidR="00447323">
              <w:t>4</w:t>
            </w:r>
            <w:r w:rsidRPr="008078BB">
              <w:t>]</w:t>
            </w:r>
            <w:r>
              <w:t>;</w:t>
            </w:r>
            <w:r w:rsidRPr="008078BB">
              <w:t xml:space="preserve"> 0.37</w:t>
            </w:r>
            <w:r w:rsidR="00447323">
              <w:t>2</w:t>
            </w:r>
          </w:p>
        </w:tc>
        <w:tc>
          <w:tcPr>
            <w:tcW w:w="1011" w:type="pct"/>
            <w:vAlign w:val="center"/>
          </w:tcPr>
          <w:p w14:paraId="394BAD9C" w14:textId="6542D412" w:rsidR="008078BB" w:rsidRPr="00F073CA" w:rsidRDefault="008078BB" w:rsidP="008078BB">
            <w:pPr>
              <w:pStyle w:val="TableText0"/>
              <w:jc w:val="center"/>
              <w:rPr>
                <w:b/>
                <w:bCs w:val="0"/>
              </w:rPr>
            </w:pPr>
            <w:r w:rsidRPr="005D3EBC">
              <w:t>0.07 [-0.1</w:t>
            </w:r>
            <w:r w:rsidR="00447323">
              <w:t>2</w:t>
            </w:r>
            <w:r w:rsidRPr="005D3EBC">
              <w:t>, 0.2</w:t>
            </w:r>
            <w:r w:rsidR="00447323">
              <w:t>6</w:t>
            </w:r>
            <w:r w:rsidRPr="005D3EBC">
              <w:t>]</w:t>
            </w:r>
            <w:r>
              <w:t xml:space="preserve">; </w:t>
            </w:r>
            <w:r w:rsidRPr="005D3EBC">
              <w:t>0.464</w:t>
            </w:r>
          </w:p>
        </w:tc>
      </w:tr>
      <w:tr w:rsidR="008078BB" w:rsidRPr="0098262F" w14:paraId="42E2F531" w14:textId="77777777" w:rsidTr="00260755">
        <w:tc>
          <w:tcPr>
            <w:tcW w:w="5000" w:type="pct"/>
            <w:gridSpan w:val="6"/>
            <w:vAlign w:val="center"/>
          </w:tcPr>
          <w:p w14:paraId="4409B148" w14:textId="77777777" w:rsidR="008078BB" w:rsidRDefault="008078BB" w:rsidP="008078BB">
            <w:pPr>
              <w:pStyle w:val="In-tableHeading"/>
            </w:pPr>
            <w:r>
              <w:t>Bayesian NMA per POISE threshold</w:t>
            </w:r>
          </w:p>
        </w:tc>
      </w:tr>
      <w:tr w:rsidR="008078BB" w:rsidRPr="0098262F" w14:paraId="5520F7D7" w14:textId="77777777" w:rsidTr="00260755">
        <w:tc>
          <w:tcPr>
            <w:tcW w:w="1963" w:type="pct"/>
            <w:gridSpan w:val="3"/>
            <w:tcBorders>
              <w:bottom w:val="double" w:sz="4" w:space="0" w:color="auto"/>
            </w:tcBorders>
            <w:vAlign w:val="center"/>
          </w:tcPr>
          <w:p w14:paraId="17E53112" w14:textId="77777777" w:rsidR="008078BB" w:rsidRPr="0098262F" w:rsidRDefault="008078BB" w:rsidP="008078BB">
            <w:pPr>
              <w:pStyle w:val="TableText0"/>
            </w:pPr>
            <w:r w:rsidRPr="0098262F">
              <w:t>Indirect estimate of effect adjusted for the common reference</w:t>
            </w:r>
          </w:p>
        </w:tc>
        <w:tc>
          <w:tcPr>
            <w:tcW w:w="1013" w:type="pct"/>
            <w:tcBorders>
              <w:bottom w:val="double" w:sz="4" w:space="0" w:color="auto"/>
            </w:tcBorders>
            <w:vAlign w:val="center"/>
          </w:tcPr>
          <w:p w14:paraId="4E9831F7" w14:textId="77777777" w:rsidR="008078BB" w:rsidRPr="0098262F" w:rsidRDefault="008078BB" w:rsidP="008078BB">
            <w:pPr>
              <w:pStyle w:val="TableText0"/>
              <w:jc w:val="center"/>
            </w:pPr>
            <w:r>
              <w:t>NR</w:t>
            </w:r>
          </w:p>
        </w:tc>
        <w:tc>
          <w:tcPr>
            <w:tcW w:w="1013" w:type="pct"/>
            <w:tcBorders>
              <w:bottom w:val="double" w:sz="4" w:space="0" w:color="auto"/>
            </w:tcBorders>
            <w:vAlign w:val="center"/>
          </w:tcPr>
          <w:p w14:paraId="3FC1B3F0" w14:textId="3299F694" w:rsidR="008078BB" w:rsidRPr="0098262F" w:rsidRDefault="008078BB" w:rsidP="008078BB">
            <w:pPr>
              <w:pStyle w:val="TableText0"/>
              <w:jc w:val="center"/>
            </w:pPr>
            <w:r w:rsidRPr="0079198B">
              <w:t xml:space="preserve">0.93 </w:t>
            </w:r>
            <w:r w:rsidR="00C45A88">
              <w:br/>
            </w:r>
            <w:r w:rsidRPr="0079198B">
              <w:t>[95% Crl: 0.53, 1.62]</w:t>
            </w:r>
          </w:p>
        </w:tc>
        <w:tc>
          <w:tcPr>
            <w:tcW w:w="1011" w:type="pct"/>
            <w:tcBorders>
              <w:bottom w:val="double" w:sz="4" w:space="0" w:color="auto"/>
            </w:tcBorders>
            <w:vAlign w:val="center"/>
          </w:tcPr>
          <w:p w14:paraId="0520C48D" w14:textId="77777777" w:rsidR="008078BB" w:rsidRPr="0098262F" w:rsidRDefault="008078BB" w:rsidP="008078BB">
            <w:pPr>
              <w:pStyle w:val="TableText0"/>
              <w:jc w:val="center"/>
            </w:pPr>
            <w:r>
              <w:t>NR</w:t>
            </w:r>
          </w:p>
        </w:tc>
      </w:tr>
      <w:tr w:rsidR="008078BB" w:rsidRPr="0098262F" w14:paraId="20DA7705" w14:textId="77777777" w:rsidTr="00260755">
        <w:tc>
          <w:tcPr>
            <w:tcW w:w="5000" w:type="pct"/>
            <w:gridSpan w:val="6"/>
            <w:tcBorders>
              <w:top w:val="double" w:sz="4" w:space="0" w:color="auto"/>
            </w:tcBorders>
            <w:vAlign w:val="center"/>
          </w:tcPr>
          <w:p w14:paraId="6CD0C9CC" w14:textId="77777777" w:rsidR="008078BB" w:rsidRPr="0098262F" w:rsidRDefault="008078BB" w:rsidP="008078BB">
            <w:pPr>
              <w:pStyle w:val="In-tableHeading"/>
            </w:pPr>
            <w:r>
              <w:t>Seladelpar vs elafibranor</w:t>
            </w:r>
          </w:p>
        </w:tc>
      </w:tr>
      <w:tr w:rsidR="008078BB" w:rsidRPr="0098262F" w14:paraId="4F4F23CF" w14:textId="77777777" w:rsidTr="00260755">
        <w:tc>
          <w:tcPr>
            <w:tcW w:w="5000" w:type="pct"/>
            <w:gridSpan w:val="6"/>
            <w:vAlign w:val="center"/>
          </w:tcPr>
          <w:p w14:paraId="7814C178" w14:textId="77777777" w:rsidR="008078BB" w:rsidRPr="0098262F" w:rsidRDefault="008078BB" w:rsidP="008078BB">
            <w:pPr>
              <w:pStyle w:val="In-tableHeading"/>
            </w:pPr>
            <w:r w:rsidRPr="005D3EBC">
              <w:t>Bucher ITC per individual trial thresholds</w:t>
            </w:r>
          </w:p>
        </w:tc>
      </w:tr>
      <w:tr w:rsidR="008078BB" w:rsidRPr="0098262F" w14:paraId="663DF625" w14:textId="77777777" w:rsidTr="00260755">
        <w:tc>
          <w:tcPr>
            <w:tcW w:w="626" w:type="pct"/>
            <w:vAlign w:val="center"/>
          </w:tcPr>
          <w:p w14:paraId="2A1DA8EC" w14:textId="77777777" w:rsidR="008078BB" w:rsidRPr="0098262F" w:rsidRDefault="008078BB" w:rsidP="008078BB">
            <w:pPr>
              <w:pStyle w:val="TableText0"/>
            </w:pPr>
            <w:r>
              <w:t>RESPONSE</w:t>
            </w:r>
          </w:p>
        </w:tc>
        <w:tc>
          <w:tcPr>
            <w:tcW w:w="708" w:type="pct"/>
            <w:vAlign w:val="center"/>
          </w:tcPr>
          <w:p w14:paraId="4EE62EB7" w14:textId="77777777" w:rsidR="008078BB" w:rsidRPr="0098262F" w:rsidRDefault="008078BB" w:rsidP="008078BB">
            <w:pPr>
              <w:pStyle w:val="TableText0"/>
            </w:pPr>
            <w:r w:rsidRPr="003A6667">
              <w:t>79/128 (61.7)</w:t>
            </w:r>
          </w:p>
        </w:tc>
        <w:tc>
          <w:tcPr>
            <w:tcW w:w="629" w:type="pct"/>
            <w:vAlign w:val="center"/>
          </w:tcPr>
          <w:p w14:paraId="6F9AF92C" w14:textId="77777777" w:rsidR="008078BB" w:rsidRPr="0098262F" w:rsidRDefault="008078BB" w:rsidP="008078BB">
            <w:pPr>
              <w:pStyle w:val="TableText0"/>
            </w:pPr>
            <w:r w:rsidRPr="003A6667">
              <w:t>13/65 (20.0)</w:t>
            </w:r>
          </w:p>
        </w:tc>
        <w:tc>
          <w:tcPr>
            <w:tcW w:w="1013" w:type="pct"/>
            <w:vAlign w:val="center"/>
          </w:tcPr>
          <w:p w14:paraId="2755ECE5" w14:textId="77777777" w:rsidR="008078BB" w:rsidRPr="00FE103C" w:rsidRDefault="008078BB" w:rsidP="008078BB">
            <w:pPr>
              <w:pStyle w:val="TableText0"/>
              <w:jc w:val="center"/>
              <w:rPr>
                <w:b/>
                <w:bCs w:val="0"/>
              </w:rPr>
            </w:pPr>
            <w:r w:rsidRPr="00FE103C">
              <w:rPr>
                <w:b/>
                <w:bCs w:val="0"/>
              </w:rPr>
              <w:t>6.45 [3.19, 13.05]</w:t>
            </w:r>
          </w:p>
        </w:tc>
        <w:tc>
          <w:tcPr>
            <w:tcW w:w="1013" w:type="pct"/>
            <w:vAlign w:val="center"/>
          </w:tcPr>
          <w:p w14:paraId="266DD3DA" w14:textId="186D8D37" w:rsidR="008078BB" w:rsidRPr="00FE103C" w:rsidRDefault="008078BB" w:rsidP="008078BB">
            <w:pPr>
              <w:pStyle w:val="TableText0"/>
              <w:jc w:val="center"/>
              <w:rPr>
                <w:b/>
                <w:bCs w:val="0"/>
              </w:rPr>
            </w:pPr>
            <w:r w:rsidRPr="00FE103C">
              <w:rPr>
                <w:b/>
                <w:bCs w:val="0"/>
              </w:rPr>
              <w:t>3.09 [1.86, 5.11]</w:t>
            </w:r>
          </w:p>
        </w:tc>
        <w:tc>
          <w:tcPr>
            <w:tcW w:w="1011" w:type="pct"/>
          </w:tcPr>
          <w:p w14:paraId="5E6510AF" w14:textId="77777777" w:rsidR="008078BB" w:rsidRPr="00FE103C" w:rsidRDefault="008078BB" w:rsidP="008078BB">
            <w:pPr>
              <w:pStyle w:val="TableText0"/>
              <w:jc w:val="center"/>
              <w:rPr>
                <w:b/>
                <w:bCs w:val="0"/>
              </w:rPr>
            </w:pPr>
            <w:r w:rsidRPr="00FE103C">
              <w:rPr>
                <w:b/>
                <w:bCs w:val="0"/>
              </w:rPr>
              <w:t>0.42 [0.29, 0.55]</w:t>
            </w:r>
          </w:p>
        </w:tc>
      </w:tr>
      <w:tr w:rsidR="008078BB" w:rsidRPr="0098262F" w14:paraId="5921413F" w14:textId="77777777" w:rsidTr="00260755">
        <w:tc>
          <w:tcPr>
            <w:tcW w:w="626" w:type="pct"/>
            <w:vAlign w:val="center"/>
          </w:tcPr>
          <w:p w14:paraId="7218CAD8" w14:textId="77777777" w:rsidR="008078BB" w:rsidRPr="0098262F" w:rsidRDefault="008078BB" w:rsidP="008078BB">
            <w:pPr>
              <w:pStyle w:val="TableText0"/>
            </w:pPr>
            <w:r>
              <w:t>ELATIVE</w:t>
            </w:r>
          </w:p>
        </w:tc>
        <w:tc>
          <w:tcPr>
            <w:tcW w:w="708" w:type="pct"/>
            <w:vAlign w:val="center"/>
          </w:tcPr>
          <w:p w14:paraId="3C2AC5C4" w14:textId="77777777" w:rsidR="008078BB" w:rsidRPr="0098262F" w:rsidRDefault="008078BB" w:rsidP="008078BB">
            <w:pPr>
              <w:pStyle w:val="TableText0"/>
            </w:pPr>
            <w:r w:rsidRPr="00C33EF3">
              <w:t>55/108 (50.9)</w:t>
            </w:r>
          </w:p>
        </w:tc>
        <w:tc>
          <w:tcPr>
            <w:tcW w:w="629" w:type="pct"/>
            <w:vAlign w:val="center"/>
          </w:tcPr>
          <w:p w14:paraId="4FF1CF70" w14:textId="77777777" w:rsidR="008078BB" w:rsidRPr="0098262F" w:rsidRDefault="008078BB" w:rsidP="008078BB">
            <w:pPr>
              <w:pStyle w:val="TableText0"/>
            </w:pPr>
            <w:r w:rsidRPr="00C33EF3">
              <w:t>2/53 (3.8)</w:t>
            </w:r>
          </w:p>
        </w:tc>
        <w:tc>
          <w:tcPr>
            <w:tcW w:w="1013" w:type="pct"/>
            <w:vAlign w:val="center"/>
          </w:tcPr>
          <w:p w14:paraId="0AAFD05C" w14:textId="77777777" w:rsidR="008078BB" w:rsidRPr="00FE103C" w:rsidRDefault="008078BB" w:rsidP="008078BB">
            <w:pPr>
              <w:pStyle w:val="TableText0"/>
              <w:jc w:val="center"/>
              <w:rPr>
                <w:b/>
                <w:bCs w:val="0"/>
              </w:rPr>
            </w:pPr>
            <w:r w:rsidRPr="00FE103C">
              <w:rPr>
                <w:b/>
                <w:bCs w:val="0"/>
              </w:rPr>
              <w:t>26.46 [6.13, 114.21]</w:t>
            </w:r>
          </w:p>
        </w:tc>
        <w:tc>
          <w:tcPr>
            <w:tcW w:w="1013" w:type="pct"/>
            <w:vAlign w:val="center"/>
          </w:tcPr>
          <w:p w14:paraId="15D916A4" w14:textId="6B769CE9" w:rsidR="008078BB" w:rsidRPr="00D45CC9" w:rsidRDefault="008078BB" w:rsidP="008078BB">
            <w:pPr>
              <w:pStyle w:val="TableText0"/>
              <w:jc w:val="center"/>
              <w:rPr>
                <w:b/>
                <w:bCs w:val="0"/>
              </w:rPr>
            </w:pPr>
            <w:r w:rsidRPr="00D45CC9">
              <w:rPr>
                <w:b/>
                <w:bCs w:val="0"/>
              </w:rPr>
              <w:t>13.5 [3.42, 53.22]</w:t>
            </w:r>
          </w:p>
        </w:tc>
        <w:tc>
          <w:tcPr>
            <w:tcW w:w="1011" w:type="pct"/>
          </w:tcPr>
          <w:p w14:paraId="4446546A" w14:textId="77777777" w:rsidR="008078BB" w:rsidRPr="00FE103C" w:rsidRDefault="008078BB" w:rsidP="008078BB">
            <w:pPr>
              <w:pStyle w:val="TableText0"/>
              <w:jc w:val="center"/>
              <w:rPr>
                <w:b/>
                <w:bCs w:val="0"/>
              </w:rPr>
            </w:pPr>
            <w:r w:rsidRPr="00FE103C">
              <w:rPr>
                <w:b/>
                <w:bCs w:val="0"/>
              </w:rPr>
              <w:t>0.47 [0.36, 0.58]</w:t>
            </w:r>
          </w:p>
        </w:tc>
      </w:tr>
      <w:tr w:rsidR="008078BB" w:rsidRPr="0098262F" w14:paraId="74F5702A" w14:textId="77777777" w:rsidTr="00260755">
        <w:tc>
          <w:tcPr>
            <w:tcW w:w="1963" w:type="pct"/>
            <w:gridSpan w:val="3"/>
            <w:vAlign w:val="center"/>
          </w:tcPr>
          <w:p w14:paraId="6BD0E673" w14:textId="77777777" w:rsidR="008078BB" w:rsidRPr="0098262F" w:rsidRDefault="008078BB" w:rsidP="008078BB">
            <w:pPr>
              <w:pStyle w:val="TableText0"/>
            </w:pPr>
            <w:r w:rsidRPr="0098262F">
              <w:t>Indirect estimate of effect adjusted for the common reference</w:t>
            </w:r>
          </w:p>
        </w:tc>
        <w:tc>
          <w:tcPr>
            <w:tcW w:w="1013" w:type="pct"/>
            <w:vAlign w:val="center"/>
          </w:tcPr>
          <w:p w14:paraId="4825BE71" w14:textId="3D801B15" w:rsidR="008078BB" w:rsidRPr="0098262F" w:rsidRDefault="008078BB" w:rsidP="008078BB">
            <w:pPr>
              <w:pStyle w:val="TableText0"/>
              <w:jc w:val="center"/>
            </w:pPr>
            <w:r w:rsidRPr="005D3EBC">
              <w:t>0.24 [0.0</w:t>
            </w:r>
            <w:r w:rsidR="00447323">
              <w:t>5</w:t>
            </w:r>
            <w:r w:rsidRPr="005D3EBC">
              <w:t>, 1.2</w:t>
            </w:r>
            <w:r w:rsidR="00447323">
              <w:t>4</w:t>
            </w:r>
            <w:r w:rsidRPr="005D3EBC">
              <w:t>]</w:t>
            </w:r>
            <w:r>
              <w:t>;</w:t>
            </w:r>
            <w:r w:rsidRPr="005D3EBC">
              <w:t xml:space="preserve"> 0.088</w:t>
            </w:r>
          </w:p>
        </w:tc>
        <w:tc>
          <w:tcPr>
            <w:tcW w:w="1013" w:type="pct"/>
            <w:vAlign w:val="center"/>
          </w:tcPr>
          <w:p w14:paraId="6B07C7D8" w14:textId="0CA5FC76" w:rsidR="008078BB" w:rsidRPr="004511F3" w:rsidRDefault="008078BB" w:rsidP="008078BB">
            <w:pPr>
              <w:pStyle w:val="TableText0"/>
              <w:jc w:val="center"/>
              <w:rPr>
                <w:b/>
                <w:bCs w:val="0"/>
              </w:rPr>
            </w:pPr>
            <w:r w:rsidRPr="004511F3">
              <w:rPr>
                <w:b/>
                <w:bCs w:val="0"/>
              </w:rPr>
              <w:t>0.2</w:t>
            </w:r>
            <w:r w:rsidR="00447323" w:rsidRPr="004511F3">
              <w:rPr>
                <w:b/>
                <w:bCs w:val="0"/>
              </w:rPr>
              <w:t>3</w:t>
            </w:r>
            <w:r w:rsidRPr="004511F3">
              <w:rPr>
                <w:b/>
                <w:bCs w:val="0"/>
              </w:rPr>
              <w:t xml:space="preserve"> [0.05, 0.9</w:t>
            </w:r>
            <w:r w:rsidR="00447323" w:rsidRPr="004511F3">
              <w:rPr>
                <w:b/>
                <w:bCs w:val="0"/>
              </w:rPr>
              <w:t>9</w:t>
            </w:r>
            <w:r w:rsidRPr="004511F3">
              <w:rPr>
                <w:b/>
                <w:bCs w:val="0"/>
              </w:rPr>
              <w:t>]; 0.048</w:t>
            </w:r>
          </w:p>
        </w:tc>
        <w:tc>
          <w:tcPr>
            <w:tcW w:w="1011" w:type="pct"/>
            <w:vAlign w:val="center"/>
          </w:tcPr>
          <w:p w14:paraId="248A9EA9" w14:textId="77777777" w:rsidR="008078BB" w:rsidRPr="0098262F" w:rsidRDefault="008078BB" w:rsidP="008078BB">
            <w:pPr>
              <w:pStyle w:val="TableText0"/>
              <w:jc w:val="center"/>
            </w:pPr>
            <w:r w:rsidRPr="005D3EBC">
              <w:t>-0.05 [-0.22, 0.12]</w:t>
            </w:r>
            <w:r>
              <w:t>;</w:t>
            </w:r>
            <w:r w:rsidRPr="005D3EBC">
              <w:t xml:space="preserve"> 0.565</w:t>
            </w:r>
          </w:p>
        </w:tc>
      </w:tr>
      <w:tr w:rsidR="008078BB" w:rsidRPr="0098262F" w14:paraId="6562DE4D" w14:textId="77777777" w:rsidTr="00260755">
        <w:tc>
          <w:tcPr>
            <w:tcW w:w="5000" w:type="pct"/>
            <w:gridSpan w:val="6"/>
            <w:vAlign w:val="center"/>
          </w:tcPr>
          <w:p w14:paraId="06DCF2FF" w14:textId="77777777" w:rsidR="008078BB" w:rsidRPr="0098262F" w:rsidRDefault="008078BB" w:rsidP="008078BB">
            <w:pPr>
              <w:pStyle w:val="In-tableHeading"/>
            </w:pPr>
            <w:r>
              <w:t>Bucher ITC per ELATIVE threshold</w:t>
            </w:r>
          </w:p>
        </w:tc>
      </w:tr>
      <w:tr w:rsidR="008078BB" w:rsidRPr="0098262F" w14:paraId="2C9DAE17" w14:textId="77777777" w:rsidTr="00260755">
        <w:tc>
          <w:tcPr>
            <w:tcW w:w="626" w:type="pct"/>
            <w:vAlign w:val="center"/>
          </w:tcPr>
          <w:p w14:paraId="1CF71C9F" w14:textId="77777777" w:rsidR="008078BB" w:rsidRPr="0098262F" w:rsidRDefault="008078BB" w:rsidP="008078BB">
            <w:pPr>
              <w:pStyle w:val="TableText0"/>
            </w:pPr>
            <w:r>
              <w:t>RESPONSE</w:t>
            </w:r>
          </w:p>
        </w:tc>
        <w:tc>
          <w:tcPr>
            <w:tcW w:w="708" w:type="pct"/>
            <w:vAlign w:val="center"/>
          </w:tcPr>
          <w:p w14:paraId="4F11C1C6" w14:textId="77777777" w:rsidR="008078BB" w:rsidRPr="0098262F" w:rsidRDefault="008078BB" w:rsidP="008078BB">
            <w:pPr>
              <w:pStyle w:val="TableText0"/>
            </w:pPr>
            <w:r w:rsidRPr="00646DAF">
              <w:t>73/128 (57.0)</w:t>
            </w:r>
          </w:p>
        </w:tc>
        <w:tc>
          <w:tcPr>
            <w:tcW w:w="629" w:type="pct"/>
            <w:vAlign w:val="center"/>
          </w:tcPr>
          <w:p w14:paraId="7743A3BD" w14:textId="77777777" w:rsidR="008078BB" w:rsidRPr="0098262F" w:rsidRDefault="008078BB" w:rsidP="008078BB">
            <w:pPr>
              <w:pStyle w:val="TableText0"/>
            </w:pPr>
            <w:r w:rsidRPr="00646DAF">
              <w:t>6/65 (9.2)</w:t>
            </w:r>
          </w:p>
        </w:tc>
        <w:tc>
          <w:tcPr>
            <w:tcW w:w="1013" w:type="pct"/>
            <w:vAlign w:val="center"/>
          </w:tcPr>
          <w:p w14:paraId="78ED8F8E" w14:textId="77777777" w:rsidR="008078BB" w:rsidRPr="00681EE0" w:rsidRDefault="008078BB" w:rsidP="008078BB">
            <w:pPr>
              <w:pStyle w:val="TableText0"/>
              <w:jc w:val="center"/>
              <w:rPr>
                <w:b/>
                <w:bCs w:val="0"/>
              </w:rPr>
            </w:pPr>
            <w:r w:rsidRPr="00681EE0">
              <w:rPr>
                <w:b/>
                <w:bCs w:val="0"/>
              </w:rPr>
              <w:t>13.05 [5.25, 32.42]</w:t>
            </w:r>
          </w:p>
        </w:tc>
        <w:tc>
          <w:tcPr>
            <w:tcW w:w="1013" w:type="pct"/>
            <w:vAlign w:val="center"/>
          </w:tcPr>
          <w:p w14:paraId="4CA92B34" w14:textId="3C645ED2" w:rsidR="008078BB" w:rsidRPr="00681EE0" w:rsidRDefault="0097644F" w:rsidP="008078BB">
            <w:pPr>
              <w:pStyle w:val="TableText0"/>
              <w:jc w:val="center"/>
              <w:rPr>
                <w:b/>
                <w:bCs w:val="0"/>
              </w:rPr>
            </w:pPr>
            <w:r w:rsidRPr="00681EE0">
              <w:rPr>
                <w:b/>
                <w:bCs w:val="0"/>
              </w:rPr>
              <w:t>6.18 [2.84, 13.44]</w:t>
            </w:r>
          </w:p>
        </w:tc>
        <w:tc>
          <w:tcPr>
            <w:tcW w:w="1011" w:type="pct"/>
          </w:tcPr>
          <w:p w14:paraId="10EB4408" w14:textId="77777777" w:rsidR="008078BB" w:rsidRPr="00681EE0" w:rsidRDefault="008078BB" w:rsidP="008078BB">
            <w:pPr>
              <w:pStyle w:val="TableText0"/>
              <w:jc w:val="center"/>
              <w:rPr>
                <w:b/>
                <w:bCs w:val="0"/>
              </w:rPr>
            </w:pPr>
            <w:r w:rsidRPr="00681EE0">
              <w:rPr>
                <w:b/>
                <w:bCs w:val="0"/>
              </w:rPr>
              <w:t>0.48 [0.37, 0.59]</w:t>
            </w:r>
          </w:p>
        </w:tc>
      </w:tr>
      <w:tr w:rsidR="008078BB" w:rsidRPr="0098262F" w14:paraId="259F9C18" w14:textId="77777777" w:rsidTr="00260755">
        <w:tc>
          <w:tcPr>
            <w:tcW w:w="626" w:type="pct"/>
            <w:vAlign w:val="center"/>
          </w:tcPr>
          <w:p w14:paraId="382C7143" w14:textId="77777777" w:rsidR="008078BB" w:rsidRPr="0098262F" w:rsidRDefault="008078BB" w:rsidP="008078BB">
            <w:pPr>
              <w:pStyle w:val="TableText0"/>
            </w:pPr>
            <w:r>
              <w:t>ELATIVE</w:t>
            </w:r>
          </w:p>
        </w:tc>
        <w:tc>
          <w:tcPr>
            <w:tcW w:w="708" w:type="pct"/>
            <w:vAlign w:val="center"/>
          </w:tcPr>
          <w:p w14:paraId="1C01E711" w14:textId="77777777" w:rsidR="008078BB" w:rsidRPr="0098262F" w:rsidRDefault="008078BB" w:rsidP="008078BB">
            <w:pPr>
              <w:pStyle w:val="TableText0"/>
            </w:pPr>
            <w:r w:rsidRPr="00D31F68">
              <w:t>55/108 (50.9)</w:t>
            </w:r>
          </w:p>
        </w:tc>
        <w:tc>
          <w:tcPr>
            <w:tcW w:w="629" w:type="pct"/>
            <w:vAlign w:val="center"/>
          </w:tcPr>
          <w:p w14:paraId="100A34D8" w14:textId="77777777" w:rsidR="008078BB" w:rsidRPr="0098262F" w:rsidRDefault="008078BB" w:rsidP="008078BB">
            <w:pPr>
              <w:pStyle w:val="TableText0"/>
            </w:pPr>
            <w:r w:rsidRPr="00D31F68">
              <w:t>2/53 (3.8)</w:t>
            </w:r>
          </w:p>
        </w:tc>
        <w:tc>
          <w:tcPr>
            <w:tcW w:w="1013" w:type="pct"/>
            <w:vAlign w:val="center"/>
          </w:tcPr>
          <w:p w14:paraId="729A08C0" w14:textId="77777777" w:rsidR="008078BB" w:rsidRPr="00FE103C" w:rsidRDefault="008078BB" w:rsidP="008078BB">
            <w:pPr>
              <w:pStyle w:val="TableText0"/>
              <w:jc w:val="center"/>
              <w:rPr>
                <w:b/>
                <w:bCs w:val="0"/>
              </w:rPr>
            </w:pPr>
            <w:r w:rsidRPr="00FE103C">
              <w:rPr>
                <w:b/>
                <w:bCs w:val="0"/>
              </w:rPr>
              <w:t>26.46 [6.13, 114.21]</w:t>
            </w:r>
          </w:p>
        </w:tc>
        <w:tc>
          <w:tcPr>
            <w:tcW w:w="1013" w:type="pct"/>
            <w:vAlign w:val="center"/>
          </w:tcPr>
          <w:p w14:paraId="1A4E9621" w14:textId="26BB5189" w:rsidR="008078BB" w:rsidRPr="00FE103C" w:rsidRDefault="0097644F" w:rsidP="008078BB">
            <w:pPr>
              <w:pStyle w:val="TableText0"/>
              <w:jc w:val="center"/>
              <w:rPr>
                <w:b/>
                <w:bCs w:val="0"/>
              </w:rPr>
            </w:pPr>
            <w:r w:rsidRPr="00FE103C">
              <w:rPr>
                <w:b/>
                <w:bCs w:val="0"/>
              </w:rPr>
              <w:t>13.5 [3.42, 53.22]</w:t>
            </w:r>
          </w:p>
        </w:tc>
        <w:tc>
          <w:tcPr>
            <w:tcW w:w="1011" w:type="pct"/>
          </w:tcPr>
          <w:p w14:paraId="53E22483" w14:textId="77777777" w:rsidR="008078BB" w:rsidRPr="00FE103C" w:rsidRDefault="008078BB" w:rsidP="008078BB">
            <w:pPr>
              <w:pStyle w:val="TableText0"/>
              <w:jc w:val="center"/>
              <w:rPr>
                <w:b/>
                <w:bCs w:val="0"/>
              </w:rPr>
            </w:pPr>
            <w:r w:rsidRPr="00FE103C">
              <w:rPr>
                <w:b/>
                <w:bCs w:val="0"/>
              </w:rPr>
              <w:t>0.47 [0.36, 0.58]</w:t>
            </w:r>
          </w:p>
        </w:tc>
      </w:tr>
      <w:tr w:rsidR="008078BB" w:rsidRPr="0098262F" w14:paraId="723B84CF" w14:textId="77777777" w:rsidTr="00260755">
        <w:tc>
          <w:tcPr>
            <w:tcW w:w="1963" w:type="pct"/>
            <w:gridSpan w:val="3"/>
            <w:vAlign w:val="center"/>
          </w:tcPr>
          <w:p w14:paraId="77340AC6" w14:textId="77777777" w:rsidR="008078BB" w:rsidRPr="0098262F" w:rsidRDefault="008078BB" w:rsidP="008078BB">
            <w:pPr>
              <w:pStyle w:val="TableText0"/>
            </w:pPr>
            <w:r w:rsidRPr="0098262F">
              <w:t>Indirect estimate of effect adjusted for the common reference</w:t>
            </w:r>
          </w:p>
        </w:tc>
        <w:tc>
          <w:tcPr>
            <w:tcW w:w="1013" w:type="pct"/>
            <w:vAlign w:val="center"/>
          </w:tcPr>
          <w:p w14:paraId="228E47C4" w14:textId="060E42F7" w:rsidR="008078BB" w:rsidRPr="0098262F" w:rsidRDefault="008078BB" w:rsidP="008078BB">
            <w:pPr>
              <w:pStyle w:val="TableText0"/>
              <w:jc w:val="center"/>
            </w:pPr>
            <w:r w:rsidRPr="009C414E">
              <w:t>0.49 [0.0</w:t>
            </w:r>
            <w:r w:rsidR="00447323">
              <w:t>9</w:t>
            </w:r>
            <w:r w:rsidRPr="009C414E">
              <w:t>, 2.76]</w:t>
            </w:r>
            <w:r>
              <w:t xml:space="preserve">; </w:t>
            </w:r>
            <w:r w:rsidRPr="009C414E">
              <w:t>0.421</w:t>
            </w:r>
          </w:p>
        </w:tc>
        <w:tc>
          <w:tcPr>
            <w:tcW w:w="1013" w:type="pct"/>
            <w:vAlign w:val="center"/>
          </w:tcPr>
          <w:p w14:paraId="4763EB2A" w14:textId="57E05C1B" w:rsidR="008078BB" w:rsidRPr="0098262F" w:rsidRDefault="0097644F" w:rsidP="008078BB">
            <w:pPr>
              <w:pStyle w:val="TableText0"/>
              <w:jc w:val="center"/>
            </w:pPr>
            <w:r w:rsidRPr="0097644F">
              <w:t>0.4</w:t>
            </w:r>
            <w:r w:rsidR="00447323">
              <w:t>6</w:t>
            </w:r>
            <w:r w:rsidRPr="0097644F">
              <w:t xml:space="preserve"> [0.</w:t>
            </w:r>
            <w:r w:rsidR="00447323">
              <w:t>10</w:t>
            </w:r>
            <w:r w:rsidRPr="0097644F">
              <w:t>, 2.2</w:t>
            </w:r>
            <w:r w:rsidR="00447323">
              <w:t>2</w:t>
            </w:r>
            <w:r w:rsidRPr="0097644F">
              <w:t>]</w:t>
            </w:r>
            <w:r>
              <w:t xml:space="preserve">; </w:t>
            </w:r>
            <w:r w:rsidRPr="0097644F">
              <w:t>0.33</w:t>
            </w:r>
            <w:r w:rsidR="00447323">
              <w:t>2</w:t>
            </w:r>
          </w:p>
        </w:tc>
        <w:tc>
          <w:tcPr>
            <w:tcW w:w="1011" w:type="pct"/>
            <w:vAlign w:val="center"/>
          </w:tcPr>
          <w:p w14:paraId="5F41969A" w14:textId="671BAECB" w:rsidR="008078BB" w:rsidRPr="0098262F" w:rsidRDefault="008078BB" w:rsidP="008078BB">
            <w:pPr>
              <w:pStyle w:val="TableText0"/>
              <w:jc w:val="center"/>
            </w:pPr>
            <w:r w:rsidRPr="009C414E">
              <w:t>0.01 [-0.1</w:t>
            </w:r>
            <w:r w:rsidR="00447323">
              <w:t>5</w:t>
            </w:r>
            <w:r w:rsidRPr="009C414E">
              <w:t>, 0.1</w:t>
            </w:r>
            <w:r w:rsidR="00447323">
              <w:t>7</w:t>
            </w:r>
            <w:r w:rsidRPr="009C414E">
              <w:t>]</w:t>
            </w:r>
            <w:r>
              <w:t xml:space="preserve">; </w:t>
            </w:r>
            <w:r w:rsidRPr="009C414E">
              <w:t>0.</w:t>
            </w:r>
            <w:r w:rsidR="00447323">
              <w:t>900</w:t>
            </w:r>
          </w:p>
        </w:tc>
      </w:tr>
      <w:tr w:rsidR="008078BB" w:rsidRPr="0098262F" w14:paraId="1CE4BA2D" w14:textId="77777777" w:rsidTr="00260755">
        <w:tc>
          <w:tcPr>
            <w:tcW w:w="5000" w:type="pct"/>
            <w:gridSpan w:val="6"/>
            <w:vAlign w:val="center"/>
          </w:tcPr>
          <w:p w14:paraId="7062E47E" w14:textId="77777777" w:rsidR="008078BB" w:rsidRPr="0098262F" w:rsidRDefault="008078BB" w:rsidP="008078BB">
            <w:pPr>
              <w:pStyle w:val="In-tableHeading"/>
            </w:pPr>
            <w:r>
              <w:t>Anchored MAIC (4 effect modifiers) per ELATIVE threshold (ESS=70)</w:t>
            </w:r>
          </w:p>
        </w:tc>
      </w:tr>
      <w:tr w:rsidR="008078BB" w:rsidRPr="0098262F" w14:paraId="19A77F95" w14:textId="77777777" w:rsidTr="00260755">
        <w:tc>
          <w:tcPr>
            <w:tcW w:w="1963" w:type="pct"/>
            <w:gridSpan w:val="3"/>
            <w:vAlign w:val="center"/>
          </w:tcPr>
          <w:p w14:paraId="0DC70254" w14:textId="77777777" w:rsidR="008078BB" w:rsidRPr="0098262F" w:rsidRDefault="008078BB" w:rsidP="008078BB">
            <w:pPr>
              <w:pStyle w:val="TableText0"/>
            </w:pPr>
            <w:r w:rsidRPr="0098262F">
              <w:t>Indirect estimate of effect adjusted for the common reference</w:t>
            </w:r>
          </w:p>
        </w:tc>
        <w:tc>
          <w:tcPr>
            <w:tcW w:w="1013" w:type="pct"/>
            <w:vAlign w:val="center"/>
          </w:tcPr>
          <w:p w14:paraId="26B109EA" w14:textId="77777777" w:rsidR="008078BB" w:rsidRPr="0098262F" w:rsidRDefault="008078BB" w:rsidP="008078BB">
            <w:pPr>
              <w:pStyle w:val="TableText0"/>
              <w:jc w:val="center"/>
            </w:pPr>
            <w:r w:rsidRPr="009C414E">
              <w:t>0.73 [0.11, 4.72]</w:t>
            </w:r>
          </w:p>
        </w:tc>
        <w:tc>
          <w:tcPr>
            <w:tcW w:w="1013" w:type="pct"/>
            <w:vAlign w:val="center"/>
          </w:tcPr>
          <w:p w14:paraId="70D60EBA" w14:textId="77777777" w:rsidR="008078BB" w:rsidRPr="0098262F" w:rsidRDefault="008078BB" w:rsidP="008078BB">
            <w:pPr>
              <w:pStyle w:val="TableText0"/>
              <w:jc w:val="center"/>
            </w:pPr>
            <w:r w:rsidRPr="009C414E">
              <w:t xml:space="preserve">0.70 </w:t>
            </w:r>
            <w:r>
              <w:t>[</w:t>
            </w:r>
            <w:r w:rsidRPr="009C414E">
              <w:t>0.13, 3.78</w:t>
            </w:r>
            <w:r>
              <w:t>]</w:t>
            </w:r>
          </w:p>
        </w:tc>
        <w:tc>
          <w:tcPr>
            <w:tcW w:w="1011" w:type="pct"/>
            <w:vAlign w:val="center"/>
          </w:tcPr>
          <w:p w14:paraId="5EFFE2AA" w14:textId="77777777" w:rsidR="008078BB" w:rsidRPr="0098262F" w:rsidRDefault="008078BB" w:rsidP="008078BB">
            <w:pPr>
              <w:pStyle w:val="TableText0"/>
              <w:jc w:val="center"/>
            </w:pPr>
            <w:r w:rsidRPr="009C414E">
              <w:t>-0.01 [-0.19, 0.17]</w:t>
            </w:r>
          </w:p>
        </w:tc>
      </w:tr>
    </w:tbl>
    <w:p w14:paraId="49D63937" w14:textId="77777777" w:rsidR="00AB39F4" w:rsidRDefault="00AB39F4" w:rsidP="00AB39F4">
      <w:pPr>
        <w:pStyle w:val="FooterTableFigure"/>
      </w:pPr>
      <w:r w:rsidRPr="0098262F">
        <w:t>Source:</w:t>
      </w:r>
      <w:r>
        <w:t xml:space="preserve"> </w:t>
      </w:r>
      <w:r w:rsidRPr="0098262F">
        <w:t>Table</w:t>
      </w:r>
      <w:r>
        <w:t>s 55 &amp; 60</w:t>
      </w:r>
      <w:r w:rsidRPr="0098262F">
        <w:t>, pp</w:t>
      </w:r>
      <w:r>
        <w:t>132 &amp; 135</w:t>
      </w:r>
      <w:r w:rsidRPr="0098262F">
        <w:t xml:space="preserve"> of the submission</w:t>
      </w:r>
      <w:r>
        <w:t>; Table 17, p29, Attachment 7 of the submission</w:t>
      </w:r>
      <w:r w:rsidRPr="0098262F">
        <w:t>.</w:t>
      </w:r>
    </w:p>
    <w:p w14:paraId="3A5DD4C3" w14:textId="448AE0D8" w:rsidR="00AB39F4" w:rsidRDefault="00AB39F4" w:rsidP="00AB39F4">
      <w:pPr>
        <w:pStyle w:val="FooterTableFigure"/>
      </w:pPr>
      <w:r w:rsidRPr="005D3EBC">
        <w:t>CI</w:t>
      </w:r>
      <w:r>
        <w:t xml:space="preserve"> = </w:t>
      </w:r>
      <w:r w:rsidRPr="005D3EBC">
        <w:t xml:space="preserve">confidence interval; </w:t>
      </w:r>
      <w:r>
        <w:t xml:space="preserve">CrI = credible interval; ESS = effective sample size; </w:t>
      </w:r>
      <w:r w:rsidRPr="005D3EBC">
        <w:t>ITC</w:t>
      </w:r>
      <w:r>
        <w:t xml:space="preserve"> =</w:t>
      </w:r>
      <w:r w:rsidRPr="005D3EBC">
        <w:t xml:space="preserve"> indirect treatment comparison; </w:t>
      </w:r>
      <w:r>
        <w:t>ITT = intention to treat; n = number of participants with event; N = number of participants in arm;</w:t>
      </w:r>
      <w:r w:rsidRPr="005D3EBC">
        <w:t xml:space="preserve"> NMA</w:t>
      </w:r>
      <w:r>
        <w:t xml:space="preserve"> =</w:t>
      </w:r>
      <w:r w:rsidRPr="005D3EBC">
        <w:t xml:space="preserve"> network meta-analysis; </w:t>
      </w:r>
      <w:r w:rsidR="00ED5EB5">
        <w:t xml:space="preserve">NR = not reported; </w:t>
      </w:r>
      <w:r w:rsidRPr="005D3EBC">
        <w:t>OCA</w:t>
      </w:r>
      <w:r>
        <w:t xml:space="preserve"> =</w:t>
      </w:r>
      <w:r w:rsidRPr="005D3EBC">
        <w:t xml:space="preserve"> obeticholic acid; PBO</w:t>
      </w:r>
      <w:r>
        <w:t xml:space="preserve"> =</w:t>
      </w:r>
      <w:r w:rsidRPr="005D3EBC">
        <w:t xml:space="preserve"> placebo; OR</w:t>
      </w:r>
      <w:r>
        <w:t xml:space="preserve"> =</w:t>
      </w:r>
      <w:r w:rsidRPr="005D3EBC">
        <w:t xml:space="preserve"> odds ratio; RD</w:t>
      </w:r>
      <w:r>
        <w:t xml:space="preserve"> =</w:t>
      </w:r>
      <w:r w:rsidRPr="005D3EBC">
        <w:t xml:space="preserve"> risk difference; RR</w:t>
      </w:r>
      <w:r>
        <w:t xml:space="preserve"> =</w:t>
      </w:r>
      <w:r w:rsidRPr="005D3EBC">
        <w:t xml:space="preserve"> relative risk.</w:t>
      </w:r>
    </w:p>
    <w:p w14:paraId="0649ADE1" w14:textId="48C73476" w:rsidR="00DE2A89" w:rsidRPr="0098262F" w:rsidRDefault="00DE2A89" w:rsidP="00DE2A89">
      <w:pPr>
        <w:pStyle w:val="FooterTableFigure"/>
        <w:rPr>
          <w:sz w:val="20"/>
        </w:rPr>
      </w:pPr>
      <w:r w:rsidRPr="007548E0">
        <w:rPr>
          <w:b/>
          <w:bCs/>
        </w:rPr>
        <w:t xml:space="preserve">Bold </w:t>
      </w:r>
      <w:r>
        <w:t xml:space="preserve">indicates </w:t>
      </w:r>
      <w:r w:rsidR="00CD5857">
        <w:t>statistically significant results.</w:t>
      </w:r>
      <w:r w:rsidR="00681EE0">
        <w:t xml:space="preserve"> </w:t>
      </w:r>
      <w:bookmarkStart w:id="35" w:name="_Hlk197982971"/>
      <w:r w:rsidR="00681EE0" w:rsidRPr="00B35EEA">
        <w:rPr>
          <w:rFonts w:eastAsia="Calibri"/>
        </w:rPr>
        <w:t>Results of the IPD analyses could not be verified during the evaluation.</w:t>
      </w:r>
      <w:bookmarkEnd w:id="35"/>
    </w:p>
    <w:p w14:paraId="1A287BFF" w14:textId="5F0C857C" w:rsidR="00FE103C" w:rsidRPr="00B35EEA" w:rsidRDefault="00FE103C" w:rsidP="00EC5836">
      <w:pPr>
        <w:pStyle w:val="3-BodyText"/>
      </w:pPr>
      <w:r w:rsidRPr="00B35EEA">
        <w:t>The RESPONSE trial met its primary efficacy endpoint, with a clinically meaningful and statistically significant difference in the percentage of pa</w:t>
      </w:r>
      <w:r w:rsidR="00732CE9" w:rsidRPr="00B35EEA">
        <w:t>rticipa</w:t>
      </w:r>
      <w:r w:rsidRPr="00B35EEA">
        <w:t xml:space="preserve">nts in the </w:t>
      </w:r>
      <w:r w:rsidR="00EB2E74" w:rsidRPr="00B35EEA">
        <w:t>seladelpar</w:t>
      </w:r>
      <w:r w:rsidRPr="00B35EEA">
        <w:t xml:space="preserve"> arm (61.7%) achieving the composite biochemical response compared with those in the </w:t>
      </w:r>
      <w:r w:rsidR="00424AD4" w:rsidRPr="00B35EEA">
        <w:t>placebo</w:t>
      </w:r>
      <w:r w:rsidRPr="00B35EEA">
        <w:t xml:space="preserve"> arm (20.0%); p&lt;0.0001 </w:t>
      </w:r>
      <w:r w:rsidR="007548E0" w:rsidRPr="00B35EEA">
        <w:t>based on percentage difference</w:t>
      </w:r>
      <w:r w:rsidR="002174A4" w:rsidRPr="00B35EEA">
        <w:t xml:space="preserve"> </w:t>
      </w:r>
      <w:r w:rsidRPr="00B35EEA">
        <w:t>(</w:t>
      </w:r>
      <w:r w:rsidRPr="00B35EEA">
        <w:fldChar w:fldCharType="begin"/>
      </w:r>
      <w:r w:rsidRPr="00B35EEA">
        <w:instrText xml:space="preserve"> REF _Ref196401962 \h </w:instrText>
      </w:r>
      <w:r w:rsidR="00B35EEA" w:rsidRPr="00B35EEA">
        <w:instrText xml:space="preserve"> \* MERGEFORMAT </w:instrText>
      </w:r>
      <w:r w:rsidRPr="00B35EEA">
        <w:fldChar w:fldCharType="separate"/>
      </w:r>
      <w:r w:rsidR="00333A5F">
        <w:t xml:space="preserve">Table </w:t>
      </w:r>
      <w:r w:rsidR="00333A5F">
        <w:rPr>
          <w:noProof/>
        </w:rPr>
        <w:t>5</w:t>
      </w:r>
      <w:r w:rsidRPr="00B35EEA">
        <w:fldChar w:fldCharType="end"/>
      </w:r>
      <w:r w:rsidRPr="00B35EEA">
        <w:t>). Regardless of whether biochemical response was defined per the RESPONSE, POISE or ELATIVE thresholds, there was a greater proportion of pa</w:t>
      </w:r>
      <w:r w:rsidR="00732CE9" w:rsidRPr="00B35EEA">
        <w:t>rticipant</w:t>
      </w:r>
      <w:r w:rsidRPr="00B35EEA">
        <w:t xml:space="preserve">s treated with </w:t>
      </w:r>
      <w:r w:rsidR="00EB2E74" w:rsidRPr="00B35EEA">
        <w:t>seladelpar</w:t>
      </w:r>
      <w:r w:rsidRPr="00B35EEA">
        <w:t xml:space="preserve"> relative to </w:t>
      </w:r>
      <w:r w:rsidR="00424AD4" w:rsidRPr="00B35EEA">
        <w:t>placebo</w:t>
      </w:r>
      <w:r w:rsidRPr="00B35EEA">
        <w:t xml:space="preserve"> achieving a biochemical response at 12 months.</w:t>
      </w:r>
    </w:p>
    <w:p w14:paraId="1D08A28E" w14:textId="660C9B94" w:rsidR="00BA3792" w:rsidRPr="00B35EEA" w:rsidRDefault="00BA3792" w:rsidP="001B1083">
      <w:pPr>
        <w:pStyle w:val="3-BodyText"/>
      </w:pPr>
      <w:r w:rsidRPr="00B35EEA">
        <w:t>The Bucher indirect comparison showed comparable results for patients treated with seladelpar v</w:t>
      </w:r>
      <w:r w:rsidR="00DE0F83">
        <w:t>ersu</w:t>
      </w:r>
      <w:r w:rsidRPr="00B35EEA">
        <w:t xml:space="preserve">s OCA. There were no statistically significant differences based on odds ratios (OR), relative risk (RR), or risk difference (RD). The results were similar </w:t>
      </w:r>
      <w:r w:rsidRPr="00B35EEA">
        <w:lastRenderedPageBreak/>
        <w:t xml:space="preserve">when the RESPONSE results were recalculated to fit the POISE trial </w:t>
      </w:r>
      <w:r w:rsidR="00E75BDB" w:rsidRPr="00B35EEA">
        <w:t>threshold for</w:t>
      </w:r>
      <w:r w:rsidRPr="00B35EEA">
        <w:t xml:space="preserve"> biochemical response. The results were again similar when a Bayesian NMA was used for the comparison of seladelpar v</w:t>
      </w:r>
      <w:r w:rsidR="00DE0F83">
        <w:t>ersu</w:t>
      </w:r>
      <w:r w:rsidRPr="00B35EEA">
        <w:t>s OCA</w:t>
      </w:r>
      <w:r w:rsidR="00D45CC9" w:rsidRPr="00B35EEA">
        <w:t>.</w:t>
      </w:r>
    </w:p>
    <w:p w14:paraId="418E1979" w14:textId="40A32BCA" w:rsidR="00FE103C" w:rsidRPr="00B35EEA" w:rsidRDefault="00EB2E74" w:rsidP="001B1083">
      <w:pPr>
        <w:pStyle w:val="3-BodyText"/>
      </w:pPr>
      <w:r w:rsidRPr="00B35EEA">
        <w:t>The Bucher indirect comparison</w:t>
      </w:r>
      <w:r w:rsidR="00BA3792" w:rsidRPr="00B35EEA">
        <w:t xml:space="preserve"> comparing seladelpar v</w:t>
      </w:r>
      <w:r w:rsidR="00DE0F83">
        <w:t>ersu</w:t>
      </w:r>
      <w:r w:rsidR="00BA3792" w:rsidRPr="00B35EEA">
        <w:t>s elafibranor achieved a statistically significant result using RR as the measure of association (RR</w:t>
      </w:r>
      <w:r w:rsidR="00096646">
        <w:t xml:space="preserve"> =</w:t>
      </w:r>
      <w:r w:rsidR="00BA3792" w:rsidRPr="00B35EEA">
        <w:t xml:space="preserve"> 0.23; 95% CI: 0.05, 0.99; p=0.048), but not OR (0.24; 95% CI: 0.05, 1.24; p=0.088) or RD (-0.05; 95% CI: -0.22, 0.12; p=0.565). When the RESPONSE results were recalculated to fit the ELATIVE trial </w:t>
      </w:r>
      <w:r w:rsidR="001932AC" w:rsidRPr="00B35EEA">
        <w:t>threshold for</w:t>
      </w:r>
      <w:r w:rsidR="00BA3792" w:rsidRPr="00B35EEA">
        <w:t xml:space="preserve"> biochemical response, t</w:t>
      </w:r>
      <w:r w:rsidRPr="00B35EEA">
        <w:t>here were no statistically significant differences based on OR, RR,</w:t>
      </w:r>
      <w:r w:rsidR="00BA3792" w:rsidRPr="00B35EEA">
        <w:t xml:space="preserve"> </w:t>
      </w:r>
      <w:r w:rsidRPr="00B35EEA">
        <w:t xml:space="preserve">or RD. The results </w:t>
      </w:r>
      <w:r w:rsidR="00D45CC9" w:rsidRPr="00B35EEA">
        <w:t>of the</w:t>
      </w:r>
      <w:r w:rsidRPr="00B35EEA">
        <w:t xml:space="preserve"> anchored MAIC w</w:t>
      </w:r>
      <w:r w:rsidR="00D45CC9" w:rsidRPr="00B35EEA">
        <w:t>ere consistent with the Bucher indirect comparison using the ELATIVE trial threshold for biochemical response</w:t>
      </w:r>
      <w:r w:rsidRPr="00B35EEA">
        <w:t>.</w:t>
      </w:r>
    </w:p>
    <w:p w14:paraId="61555F48" w14:textId="1D97998B" w:rsidR="00AB39F4" w:rsidRPr="00B35EEA" w:rsidRDefault="00AB39F4" w:rsidP="00EC5836">
      <w:pPr>
        <w:pStyle w:val="3-BodyText"/>
      </w:pPr>
      <w:r w:rsidRPr="00B35EEA">
        <w:fldChar w:fldCharType="begin"/>
      </w:r>
      <w:r w:rsidRPr="00B35EEA">
        <w:instrText xml:space="preserve"> REF _Ref196402067 \h </w:instrText>
      </w:r>
      <w:r w:rsidR="00B35EEA" w:rsidRPr="00B35EEA">
        <w:instrText xml:space="preserve"> \* MERGEFORMAT </w:instrText>
      </w:r>
      <w:r w:rsidRPr="00B35EEA">
        <w:fldChar w:fldCharType="separate"/>
      </w:r>
      <w:r w:rsidR="00333A5F">
        <w:t xml:space="preserve">Table </w:t>
      </w:r>
      <w:r w:rsidR="00333A5F">
        <w:rPr>
          <w:noProof/>
        </w:rPr>
        <w:t>6</w:t>
      </w:r>
      <w:r w:rsidRPr="00B35EEA">
        <w:fldChar w:fldCharType="end"/>
      </w:r>
      <w:r w:rsidRPr="00B35EEA">
        <w:t xml:space="preserve"> summarises the RESPONSE, POISE and ELATIVE whole trial results and indirect comparisons for the key secondary outcome of ALP normalisation.</w:t>
      </w:r>
    </w:p>
    <w:p w14:paraId="21420A08" w14:textId="636FEBFE" w:rsidR="00AB39F4" w:rsidRDefault="00AB39F4" w:rsidP="00AB39F4">
      <w:pPr>
        <w:pStyle w:val="Caption"/>
      </w:pPr>
      <w:bookmarkStart w:id="36" w:name="_Ref196402067"/>
      <w:r>
        <w:lastRenderedPageBreak/>
        <w:t xml:space="preserve">Table </w:t>
      </w:r>
      <w:r w:rsidR="00A24BC2">
        <w:fldChar w:fldCharType="begin"/>
      </w:r>
      <w:r w:rsidR="00A24BC2">
        <w:instrText xml:space="preserve"> SEQ Table \* ARABIC </w:instrText>
      </w:r>
      <w:r w:rsidR="00A24BC2">
        <w:fldChar w:fldCharType="separate"/>
      </w:r>
      <w:r w:rsidR="00333A5F">
        <w:rPr>
          <w:noProof/>
        </w:rPr>
        <w:t>6</w:t>
      </w:r>
      <w:r w:rsidR="00A24BC2">
        <w:rPr>
          <w:noProof/>
        </w:rPr>
        <w:fldChar w:fldCharType="end"/>
      </w:r>
      <w:bookmarkEnd w:id="36"/>
      <w:r>
        <w:t xml:space="preserve">: </w:t>
      </w:r>
      <w:r w:rsidRPr="0098262F">
        <w:rPr>
          <w:rStyle w:val="CommentReference"/>
          <w:b/>
          <w:szCs w:val="24"/>
        </w:rPr>
        <w:t xml:space="preserve">Summary of </w:t>
      </w:r>
      <w:r>
        <w:rPr>
          <w:rStyle w:val="CommentReference"/>
          <w:b/>
          <w:szCs w:val="24"/>
        </w:rPr>
        <w:t xml:space="preserve">the RESPONSE, POISE and ELATIVE whole trial results and </w:t>
      </w:r>
      <w:r w:rsidRPr="0098262F">
        <w:rPr>
          <w:rStyle w:val="CommentReference"/>
          <w:b/>
          <w:szCs w:val="24"/>
        </w:rPr>
        <w:t>indirect comparison</w:t>
      </w:r>
      <w:r>
        <w:rPr>
          <w:rStyle w:val="CommentReference"/>
          <w:b/>
          <w:szCs w:val="24"/>
        </w:rPr>
        <w:t>s</w:t>
      </w:r>
      <w:r w:rsidRPr="0098262F">
        <w:rPr>
          <w:rStyle w:val="CommentReference"/>
          <w:b/>
          <w:szCs w:val="24"/>
        </w:rPr>
        <w:t xml:space="preserve"> for </w:t>
      </w:r>
      <w:r>
        <w:rPr>
          <w:rStyle w:val="CommentReference"/>
          <w:b/>
          <w:szCs w:val="24"/>
        </w:rPr>
        <w:t>ALP normalisation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the RESPONSE, POISE and ELATIVE whole trial results and indirect comparisons for ALP normalisation (ITT population)."/>
      </w:tblPr>
      <w:tblGrid>
        <w:gridCol w:w="1129"/>
        <w:gridCol w:w="1277"/>
        <w:gridCol w:w="1134"/>
        <w:gridCol w:w="1827"/>
        <w:gridCol w:w="1827"/>
        <w:gridCol w:w="1823"/>
      </w:tblGrid>
      <w:tr w:rsidR="00AB39F4" w:rsidRPr="0098262F" w14:paraId="437C72F2" w14:textId="77777777" w:rsidTr="00260755">
        <w:trPr>
          <w:tblHeader/>
        </w:trPr>
        <w:tc>
          <w:tcPr>
            <w:tcW w:w="626" w:type="pct"/>
            <w:vMerge w:val="restart"/>
            <w:vAlign w:val="center"/>
          </w:tcPr>
          <w:p w14:paraId="0882DDC8" w14:textId="77777777" w:rsidR="00AB39F4" w:rsidRPr="00282ED7" w:rsidRDefault="00AB39F4" w:rsidP="00260755">
            <w:pPr>
              <w:pStyle w:val="In-tableHeading"/>
              <w:jc w:val="center"/>
            </w:pPr>
            <w:r w:rsidRPr="00282ED7">
              <w:t>Trial ID</w:t>
            </w:r>
          </w:p>
        </w:tc>
        <w:tc>
          <w:tcPr>
            <w:tcW w:w="708" w:type="pct"/>
            <w:vMerge w:val="restart"/>
            <w:vAlign w:val="center"/>
          </w:tcPr>
          <w:p w14:paraId="1F8305FE" w14:textId="77777777" w:rsidR="00AB39F4" w:rsidRPr="00282ED7" w:rsidRDefault="00AB39F4" w:rsidP="00260755">
            <w:pPr>
              <w:pStyle w:val="In-tableHeading"/>
              <w:jc w:val="center"/>
            </w:pPr>
            <w:r w:rsidRPr="00282ED7">
              <w:t>Intervention</w:t>
            </w:r>
          </w:p>
          <w:p w14:paraId="0089ADEE" w14:textId="77777777" w:rsidR="00AB39F4" w:rsidRPr="00282ED7" w:rsidRDefault="00AB39F4" w:rsidP="00260755">
            <w:pPr>
              <w:pStyle w:val="In-tableHeading"/>
              <w:jc w:val="center"/>
            </w:pPr>
            <w:r w:rsidRPr="00282ED7">
              <w:t>n /N (%)</w:t>
            </w:r>
          </w:p>
        </w:tc>
        <w:tc>
          <w:tcPr>
            <w:tcW w:w="629" w:type="pct"/>
            <w:vMerge w:val="restart"/>
            <w:vAlign w:val="center"/>
          </w:tcPr>
          <w:p w14:paraId="3CE22FF8" w14:textId="77777777" w:rsidR="00AB39F4" w:rsidRPr="00282ED7" w:rsidRDefault="00AB39F4" w:rsidP="00260755">
            <w:pPr>
              <w:pStyle w:val="In-tableHeading"/>
              <w:jc w:val="center"/>
            </w:pPr>
            <w:r w:rsidRPr="00282ED7">
              <w:t>Placebo n/N (%)</w:t>
            </w:r>
          </w:p>
        </w:tc>
        <w:tc>
          <w:tcPr>
            <w:tcW w:w="3037" w:type="pct"/>
            <w:gridSpan w:val="3"/>
            <w:vAlign w:val="center"/>
          </w:tcPr>
          <w:p w14:paraId="4C5712E3" w14:textId="77777777" w:rsidR="00AB39F4" w:rsidRPr="00282ED7" w:rsidRDefault="00AB39F4" w:rsidP="00260755">
            <w:pPr>
              <w:pStyle w:val="In-tableHeading"/>
              <w:jc w:val="center"/>
            </w:pPr>
            <w:r w:rsidRPr="00282ED7">
              <w:t>Treatment effect</w:t>
            </w:r>
          </w:p>
        </w:tc>
      </w:tr>
      <w:tr w:rsidR="00AB39F4" w:rsidRPr="0098262F" w14:paraId="6D044F7B" w14:textId="77777777" w:rsidTr="00260755">
        <w:trPr>
          <w:tblHeader/>
        </w:trPr>
        <w:tc>
          <w:tcPr>
            <w:tcW w:w="626" w:type="pct"/>
            <w:vMerge/>
            <w:vAlign w:val="center"/>
          </w:tcPr>
          <w:p w14:paraId="185277A5" w14:textId="77777777" w:rsidR="00AB39F4" w:rsidRPr="00282ED7" w:rsidRDefault="00AB39F4" w:rsidP="00260755">
            <w:pPr>
              <w:pStyle w:val="In-tableHeading"/>
              <w:jc w:val="center"/>
            </w:pPr>
          </w:p>
        </w:tc>
        <w:tc>
          <w:tcPr>
            <w:tcW w:w="708" w:type="pct"/>
            <w:vMerge/>
            <w:vAlign w:val="center"/>
          </w:tcPr>
          <w:p w14:paraId="2EC4C497" w14:textId="77777777" w:rsidR="00AB39F4" w:rsidRPr="00282ED7" w:rsidRDefault="00AB39F4" w:rsidP="00260755">
            <w:pPr>
              <w:pStyle w:val="In-tableHeading"/>
              <w:jc w:val="center"/>
            </w:pPr>
          </w:p>
        </w:tc>
        <w:tc>
          <w:tcPr>
            <w:tcW w:w="629" w:type="pct"/>
            <w:vMerge/>
            <w:vAlign w:val="center"/>
          </w:tcPr>
          <w:p w14:paraId="4DB6B1EA" w14:textId="77777777" w:rsidR="00AB39F4" w:rsidRPr="00282ED7" w:rsidRDefault="00AB39F4" w:rsidP="00260755">
            <w:pPr>
              <w:pStyle w:val="In-tableHeading"/>
              <w:jc w:val="center"/>
            </w:pPr>
          </w:p>
        </w:tc>
        <w:tc>
          <w:tcPr>
            <w:tcW w:w="1013" w:type="pct"/>
            <w:vAlign w:val="center"/>
          </w:tcPr>
          <w:p w14:paraId="74D44EC6" w14:textId="237E48D6" w:rsidR="00AB39F4" w:rsidRPr="00282ED7" w:rsidRDefault="00AB39F4" w:rsidP="00260755">
            <w:pPr>
              <w:pStyle w:val="In-tableHeading"/>
              <w:jc w:val="center"/>
            </w:pPr>
            <w:r w:rsidRPr="00282ED7">
              <w:t>OR [95% CI];</w:t>
            </w:r>
          </w:p>
          <w:p w14:paraId="0FDEE9EF" w14:textId="77777777" w:rsidR="00AB39F4" w:rsidRPr="00282ED7" w:rsidRDefault="00AB39F4" w:rsidP="00260755">
            <w:pPr>
              <w:pStyle w:val="In-tableHeading"/>
              <w:jc w:val="center"/>
            </w:pPr>
            <w:r w:rsidRPr="00282ED7">
              <w:t>p-value</w:t>
            </w:r>
          </w:p>
        </w:tc>
        <w:tc>
          <w:tcPr>
            <w:tcW w:w="1013" w:type="pct"/>
            <w:vAlign w:val="center"/>
          </w:tcPr>
          <w:p w14:paraId="75C12DCB" w14:textId="3EBCEE31" w:rsidR="00AB39F4" w:rsidRPr="00282ED7" w:rsidRDefault="00AB39F4" w:rsidP="00260755">
            <w:pPr>
              <w:pStyle w:val="In-tableHeading"/>
              <w:jc w:val="center"/>
            </w:pPr>
            <w:r w:rsidRPr="00282ED7">
              <w:t>RR [95% CI];</w:t>
            </w:r>
          </w:p>
          <w:p w14:paraId="0F06B8E3" w14:textId="77777777" w:rsidR="00AB39F4" w:rsidRPr="00282ED7" w:rsidRDefault="00AB39F4" w:rsidP="00260755">
            <w:pPr>
              <w:pStyle w:val="In-tableHeading"/>
              <w:jc w:val="center"/>
            </w:pPr>
            <w:r w:rsidRPr="00282ED7">
              <w:t>p-value</w:t>
            </w:r>
          </w:p>
        </w:tc>
        <w:tc>
          <w:tcPr>
            <w:tcW w:w="1011" w:type="pct"/>
            <w:vAlign w:val="center"/>
          </w:tcPr>
          <w:p w14:paraId="0FEFA4EC" w14:textId="710AAD55" w:rsidR="00AB39F4" w:rsidRPr="00282ED7" w:rsidRDefault="00AB39F4" w:rsidP="00260755">
            <w:pPr>
              <w:pStyle w:val="In-tableHeading"/>
              <w:jc w:val="center"/>
            </w:pPr>
            <w:r w:rsidRPr="00282ED7">
              <w:t>RD [95% CI];</w:t>
            </w:r>
          </w:p>
          <w:p w14:paraId="7796BE02" w14:textId="77777777" w:rsidR="00AB39F4" w:rsidRPr="00282ED7" w:rsidRDefault="00AB39F4" w:rsidP="00260755">
            <w:pPr>
              <w:pStyle w:val="In-tableHeading"/>
              <w:jc w:val="center"/>
            </w:pPr>
            <w:r w:rsidRPr="00282ED7">
              <w:t>p-value</w:t>
            </w:r>
          </w:p>
        </w:tc>
      </w:tr>
      <w:tr w:rsidR="00AB39F4" w:rsidRPr="0098262F" w14:paraId="546138B7" w14:textId="77777777" w:rsidTr="00260755">
        <w:trPr>
          <w:tblHeader/>
        </w:trPr>
        <w:tc>
          <w:tcPr>
            <w:tcW w:w="5000" w:type="pct"/>
            <w:gridSpan w:val="6"/>
            <w:vAlign w:val="center"/>
          </w:tcPr>
          <w:p w14:paraId="596A0C28" w14:textId="77777777" w:rsidR="00AB39F4" w:rsidRDefault="00AB39F4" w:rsidP="001B1083">
            <w:pPr>
              <w:pStyle w:val="In-tableHeading"/>
              <w:rPr>
                <w:lang w:val="en-AU"/>
              </w:rPr>
            </w:pPr>
            <w:r>
              <w:rPr>
                <w:lang w:val="en-AU"/>
              </w:rPr>
              <w:t>Seladelpar vs OCA 5-10 mg</w:t>
            </w:r>
          </w:p>
        </w:tc>
      </w:tr>
      <w:tr w:rsidR="00AB39F4" w:rsidRPr="0098262F" w14:paraId="43A5CC1F" w14:textId="77777777" w:rsidTr="00260755">
        <w:trPr>
          <w:tblHeader/>
        </w:trPr>
        <w:tc>
          <w:tcPr>
            <w:tcW w:w="5000" w:type="pct"/>
            <w:gridSpan w:val="6"/>
            <w:vAlign w:val="center"/>
          </w:tcPr>
          <w:p w14:paraId="30C9AAAF" w14:textId="77777777" w:rsidR="00AB39F4" w:rsidRDefault="00AB39F4" w:rsidP="001B1083">
            <w:pPr>
              <w:pStyle w:val="In-tableHeading"/>
              <w:rPr>
                <w:lang w:val="en-AU"/>
              </w:rPr>
            </w:pPr>
            <w:r>
              <w:rPr>
                <w:lang w:val="en-AU"/>
              </w:rPr>
              <w:t>Bucher ITC per individual trial thresholds</w:t>
            </w:r>
          </w:p>
        </w:tc>
      </w:tr>
      <w:tr w:rsidR="00AB39F4" w:rsidRPr="0098262F" w14:paraId="55150C87" w14:textId="77777777" w:rsidTr="00260755">
        <w:tc>
          <w:tcPr>
            <w:tcW w:w="626" w:type="pct"/>
            <w:vAlign w:val="center"/>
          </w:tcPr>
          <w:p w14:paraId="4A94A537" w14:textId="77777777" w:rsidR="00AB39F4" w:rsidRPr="0098262F" w:rsidRDefault="00AB39F4" w:rsidP="001B1083">
            <w:pPr>
              <w:pStyle w:val="TableText0"/>
            </w:pPr>
            <w:r>
              <w:t>RESPONSE</w:t>
            </w:r>
          </w:p>
        </w:tc>
        <w:tc>
          <w:tcPr>
            <w:tcW w:w="708" w:type="pct"/>
            <w:vAlign w:val="center"/>
          </w:tcPr>
          <w:p w14:paraId="439314A9" w14:textId="77777777" w:rsidR="00AB39F4" w:rsidRPr="0098262F" w:rsidRDefault="00AB39F4" w:rsidP="001B1083">
            <w:pPr>
              <w:pStyle w:val="TableText0"/>
              <w:jc w:val="center"/>
            </w:pPr>
            <w:r w:rsidRPr="00EE0113">
              <w:t>32/128 (25.0)</w:t>
            </w:r>
          </w:p>
        </w:tc>
        <w:tc>
          <w:tcPr>
            <w:tcW w:w="629" w:type="pct"/>
            <w:vAlign w:val="center"/>
          </w:tcPr>
          <w:p w14:paraId="7C8C5D86" w14:textId="7A45A025" w:rsidR="00AB39F4" w:rsidRPr="0098262F" w:rsidRDefault="00AB39F4" w:rsidP="001B1083">
            <w:pPr>
              <w:pStyle w:val="TableText0"/>
              <w:jc w:val="center"/>
            </w:pPr>
            <w:r w:rsidRPr="00EE0113">
              <w:t>0</w:t>
            </w:r>
          </w:p>
        </w:tc>
        <w:tc>
          <w:tcPr>
            <w:tcW w:w="1013" w:type="pct"/>
            <w:vAlign w:val="center"/>
          </w:tcPr>
          <w:p w14:paraId="2FECDE7C" w14:textId="77777777" w:rsidR="00AB39F4" w:rsidRPr="00D25F66" w:rsidRDefault="00AB39F4" w:rsidP="001B1083">
            <w:pPr>
              <w:pStyle w:val="TableText0"/>
              <w:jc w:val="center"/>
              <w:rPr>
                <w:b/>
                <w:bCs w:val="0"/>
              </w:rPr>
            </w:pPr>
            <w:r w:rsidRPr="00D25F66">
              <w:rPr>
                <w:b/>
                <w:bCs w:val="0"/>
              </w:rPr>
              <w:t>44.12 [2.65, 733.27]</w:t>
            </w:r>
          </w:p>
        </w:tc>
        <w:tc>
          <w:tcPr>
            <w:tcW w:w="1013" w:type="pct"/>
            <w:vAlign w:val="center"/>
          </w:tcPr>
          <w:p w14:paraId="2D1FF7D1" w14:textId="44DCF701" w:rsidR="00AB39F4" w:rsidRPr="00D25F66" w:rsidRDefault="0097644F" w:rsidP="001B1083">
            <w:pPr>
              <w:pStyle w:val="TableText0"/>
              <w:jc w:val="center"/>
              <w:rPr>
                <w:b/>
                <w:bCs w:val="0"/>
              </w:rPr>
            </w:pPr>
            <w:r w:rsidRPr="00D25F66">
              <w:rPr>
                <w:b/>
                <w:bCs w:val="0"/>
              </w:rPr>
              <w:t>33.26 [2.07, 534.58]</w:t>
            </w:r>
          </w:p>
        </w:tc>
        <w:tc>
          <w:tcPr>
            <w:tcW w:w="1011" w:type="pct"/>
          </w:tcPr>
          <w:p w14:paraId="3E72CC51" w14:textId="77777777" w:rsidR="00AB39F4" w:rsidRPr="00D25F66" w:rsidRDefault="00AB39F4" w:rsidP="001B1083">
            <w:pPr>
              <w:pStyle w:val="TableText0"/>
              <w:jc w:val="center"/>
              <w:rPr>
                <w:b/>
                <w:bCs w:val="0"/>
              </w:rPr>
            </w:pPr>
            <w:r w:rsidRPr="00D25F66">
              <w:rPr>
                <w:b/>
                <w:bCs w:val="0"/>
              </w:rPr>
              <w:t>0.25 [0.17, 0.33]</w:t>
            </w:r>
          </w:p>
        </w:tc>
      </w:tr>
      <w:tr w:rsidR="00AB39F4" w:rsidRPr="0098262F" w14:paraId="050E6723" w14:textId="77777777" w:rsidTr="00260755">
        <w:tc>
          <w:tcPr>
            <w:tcW w:w="626" w:type="pct"/>
            <w:vAlign w:val="center"/>
          </w:tcPr>
          <w:p w14:paraId="238E6D5D" w14:textId="77777777" w:rsidR="00AB39F4" w:rsidRPr="0098262F" w:rsidRDefault="00AB39F4" w:rsidP="001B1083">
            <w:pPr>
              <w:pStyle w:val="TableText0"/>
            </w:pPr>
            <w:r>
              <w:t>POISE</w:t>
            </w:r>
          </w:p>
        </w:tc>
        <w:tc>
          <w:tcPr>
            <w:tcW w:w="708" w:type="pct"/>
            <w:vAlign w:val="center"/>
          </w:tcPr>
          <w:p w14:paraId="2A0645DA" w14:textId="77777777" w:rsidR="00AB39F4" w:rsidRPr="0098262F" w:rsidRDefault="00AB39F4" w:rsidP="001B1083">
            <w:pPr>
              <w:pStyle w:val="TableText0"/>
              <w:jc w:val="center"/>
            </w:pPr>
            <w:r w:rsidRPr="00D2153A">
              <w:t>1/70 (1.4)</w:t>
            </w:r>
          </w:p>
        </w:tc>
        <w:tc>
          <w:tcPr>
            <w:tcW w:w="629" w:type="pct"/>
            <w:vAlign w:val="center"/>
          </w:tcPr>
          <w:p w14:paraId="4DB29775" w14:textId="15FC5904" w:rsidR="00AB39F4" w:rsidRPr="0098262F" w:rsidRDefault="00AB39F4" w:rsidP="001B1083">
            <w:pPr>
              <w:pStyle w:val="TableText0"/>
              <w:jc w:val="center"/>
            </w:pPr>
            <w:r w:rsidRPr="00D2153A">
              <w:t>0</w:t>
            </w:r>
          </w:p>
        </w:tc>
        <w:tc>
          <w:tcPr>
            <w:tcW w:w="1013" w:type="pct"/>
            <w:vAlign w:val="center"/>
          </w:tcPr>
          <w:p w14:paraId="5769467C" w14:textId="77777777" w:rsidR="00AB39F4" w:rsidRPr="0098262F" w:rsidRDefault="00AB39F4" w:rsidP="001B1083">
            <w:pPr>
              <w:pStyle w:val="TableText0"/>
              <w:jc w:val="center"/>
            </w:pPr>
            <w:r w:rsidRPr="00F97E26">
              <w:t>3.17 [0.13, 79.2]</w:t>
            </w:r>
          </w:p>
        </w:tc>
        <w:tc>
          <w:tcPr>
            <w:tcW w:w="1013" w:type="pct"/>
            <w:vAlign w:val="center"/>
          </w:tcPr>
          <w:p w14:paraId="7CC1DADC" w14:textId="27533C31" w:rsidR="00AB39F4" w:rsidRPr="0098262F" w:rsidRDefault="0097644F" w:rsidP="001B1083">
            <w:pPr>
              <w:pStyle w:val="TableText0"/>
              <w:jc w:val="center"/>
            </w:pPr>
            <w:r w:rsidRPr="0097644F">
              <w:t>3.13 [0.13, 75.49]</w:t>
            </w:r>
          </w:p>
        </w:tc>
        <w:tc>
          <w:tcPr>
            <w:tcW w:w="1011" w:type="pct"/>
          </w:tcPr>
          <w:p w14:paraId="33F625A1" w14:textId="77777777" w:rsidR="00AB39F4" w:rsidRPr="0098262F" w:rsidRDefault="00AB39F4" w:rsidP="001B1083">
            <w:pPr>
              <w:pStyle w:val="TableText0"/>
              <w:jc w:val="center"/>
            </w:pPr>
            <w:r w:rsidRPr="00F97E26">
              <w:t>0.01 [-0.02, 0.33]</w:t>
            </w:r>
          </w:p>
        </w:tc>
      </w:tr>
      <w:tr w:rsidR="00AB39F4" w:rsidRPr="0098262F" w14:paraId="13405F03" w14:textId="77777777" w:rsidTr="00260755">
        <w:tc>
          <w:tcPr>
            <w:tcW w:w="1963" w:type="pct"/>
            <w:gridSpan w:val="3"/>
            <w:vAlign w:val="center"/>
          </w:tcPr>
          <w:p w14:paraId="14974E6F" w14:textId="77777777" w:rsidR="00AB39F4" w:rsidRPr="0098262F" w:rsidRDefault="00AB39F4" w:rsidP="001B1083">
            <w:pPr>
              <w:pStyle w:val="TableText0"/>
            </w:pPr>
            <w:r w:rsidRPr="0098262F">
              <w:t>Indirect estimate of effect adjusted for the common reference</w:t>
            </w:r>
          </w:p>
        </w:tc>
        <w:tc>
          <w:tcPr>
            <w:tcW w:w="1013" w:type="pct"/>
            <w:vAlign w:val="center"/>
          </w:tcPr>
          <w:p w14:paraId="0BA8ABF4" w14:textId="2C0D7F8F" w:rsidR="00AB39F4" w:rsidRPr="0098262F" w:rsidRDefault="00AB39F4" w:rsidP="001B1083">
            <w:pPr>
              <w:pStyle w:val="TableText0"/>
              <w:jc w:val="center"/>
            </w:pPr>
            <w:r w:rsidRPr="00F97E26">
              <w:t>13.9</w:t>
            </w:r>
            <w:r>
              <w:t>2</w:t>
            </w:r>
            <w:r w:rsidRPr="00F97E26">
              <w:t xml:space="preserve"> [0.</w:t>
            </w:r>
            <w:r>
              <w:t>20</w:t>
            </w:r>
            <w:r w:rsidRPr="00F97E26">
              <w:t>, 989.68]</w:t>
            </w:r>
            <w:r>
              <w:t xml:space="preserve">; </w:t>
            </w:r>
            <w:r w:rsidRPr="00F97E26">
              <w:t>0.226</w:t>
            </w:r>
          </w:p>
        </w:tc>
        <w:tc>
          <w:tcPr>
            <w:tcW w:w="1013" w:type="pct"/>
            <w:vAlign w:val="center"/>
          </w:tcPr>
          <w:p w14:paraId="60D968E2" w14:textId="4E6C7047" w:rsidR="00AB39F4" w:rsidRPr="0098262F" w:rsidRDefault="0097644F" w:rsidP="001B1083">
            <w:pPr>
              <w:pStyle w:val="TableText0"/>
              <w:jc w:val="center"/>
            </w:pPr>
            <w:r w:rsidRPr="0097644F">
              <w:t>10.626 [0.16, 725.4</w:t>
            </w:r>
            <w:r>
              <w:t>2</w:t>
            </w:r>
            <w:r w:rsidRPr="0097644F">
              <w:t>]</w:t>
            </w:r>
            <w:r>
              <w:t xml:space="preserve">; </w:t>
            </w:r>
            <w:r w:rsidRPr="0097644F">
              <w:t>0.27</w:t>
            </w:r>
            <w:r w:rsidR="00447323">
              <w:t>3</w:t>
            </w:r>
          </w:p>
        </w:tc>
        <w:tc>
          <w:tcPr>
            <w:tcW w:w="1011" w:type="pct"/>
            <w:vAlign w:val="center"/>
          </w:tcPr>
          <w:p w14:paraId="0F999D9E" w14:textId="311C24B7" w:rsidR="00AB39F4" w:rsidRPr="00F97E26" w:rsidRDefault="00AB39F4" w:rsidP="001B1083">
            <w:pPr>
              <w:pStyle w:val="TableText0"/>
              <w:jc w:val="center"/>
              <w:rPr>
                <w:b/>
                <w:bCs w:val="0"/>
              </w:rPr>
            </w:pPr>
            <w:r w:rsidRPr="00F97E26">
              <w:rPr>
                <w:b/>
                <w:bCs w:val="0"/>
              </w:rPr>
              <w:t>0.24 [0.0</w:t>
            </w:r>
            <w:r>
              <w:rPr>
                <w:b/>
                <w:bCs w:val="0"/>
              </w:rPr>
              <w:t>5</w:t>
            </w:r>
            <w:r w:rsidRPr="00F97E26">
              <w:rPr>
                <w:b/>
                <w:bCs w:val="0"/>
              </w:rPr>
              <w:t>, 0.43]; 0.015</w:t>
            </w:r>
          </w:p>
        </w:tc>
      </w:tr>
      <w:tr w:rsidR="00AB39F4" w:rsidRPr="0098262F" w14:paraId="69D0139A" w14:textId="77777777" w:rsidTr="00260755">
        <w:tc>
          <w:tcPr>
            <w:tcW w:w="5000" w:type="pct"/>
            <w:gridSpan w:val="6"/>
            <w:vAlign w:val="center"/>
          </w:tcPr>
          <w:p w14:paraId="2789BACD" w14:textId="77777777" w:rsidR="00AB39F4" w:rsidRDefault="00AB39F4" w:rsidP="001B1083">
            <w:pPr>
              <w:pStyle w:val="In-tableHeading"/>
            </w:pPr>
            <w:r>
              <w:t>Bucher ITC per POISE threshold</w:t>
            </w:r>
          </w:p>
        </w:tc>
      </w:tr>
      <w:tr w:rsidR="00AB39F4" w:rsidRPr="0098262F" w14:paraId="65D1E4DA" w14:textId="77777777" w:rsidTr="00260755">
        <w:tc>
          <w:tcPr>
            <w:tcW w:w="626" w:type="pct"/>
            <w:vAlign w:val="center"/>
          </w:tcPr>
          <w:p w14:paraId="6E8CDF92" w14:textId="77777777" w:rsidR="00AB39F4" w:rsidRPr="0098262F" w:rsidRDefault="00AB39F4" w:rsidP="001B1083">
            <w:pPr>
              <w:pStyle w:val="TableText0"/>
            </w:pPr>
            <w:r>
              <w:t>RESPONSE</w:t>
            </w:r>
          </w:p>
        </w:tc>
        <w:tc>
          <w:tcPr>
            <w:tcW w:w="708" w:type="pct"/>
            <w:vAlign w:val="center"/>
          </w:tcPr>
          <w:p w14:paraId="2D69E212" w14:textId="77777777" w:rsidR="00AB39F4" w:rsidRPr="0098262F" w:rsidRDefault="00AB39F4" w:rsidP="001B1083">
            <w:pPr>
              <w:pStyle w:val="TableText0"/>
              <w:jc w:val="center"/>
            </w:pPr>
            <w:r w:rsidRPr="00A13DEA">
              <w:t>33/128 (25.8)</w:t>
            </w:r>
          </w:p>
        </w:tc>
        <w:tc>
          <w:tcPr>
            <w:tcW w:w="629" w:type="pct"/>
            <w:vAlign w:val="center"/>
          </w:tcPr>
          <w:p w14:paraId="52129418" w14:textId="11DB1503" w:rsidR="00AB39F4" w:rsidRPr="0098262F" w:rsidRDefault="00AB39F4" w:rsidP="001B1083">
            <w:pPr>
              <w:pStyle w:val="TableText0"/>
              <w:jc w:val="center"/>
            </w:pPr>
            <w:r w:rsidRPr="00A13DEA">
              <w:t>0</w:t>
            </w:r>
          </w:p>
        </w:tc>
        <w:tc>
          <w:tcPr>
            <w:tcW w:w="1013" w:type="pct"/>
            <w:vAlign w:val="center"/>
          </w:tcPr>
          <w:p w14:paraId="2DC84878" w14:textId="77777777" w:rsidR="00AB39F4" w:rsidRPr="00681EE0" w:rsidRDefault="00AB39F4" w:rsidP="001B1083">
            <w:pPr>
              <w:pStyle w:val="TableText0"/>
              <w:jc w:val="center"/>
              <w:rPr>
                <w:b/>
                <w:bCs w:val="0"/>
              </w:rPr>
            </w:pPr>
            <w:r w:rsidRPr="00681EE0">
              <w:rPr>
                <w:b/>
                <w:bCs w:val="0"/>
              </w:rPr>
              <w:t>45.95 [2.77, 763.32]</w:t>
            </w:r>
          </w:p>
        </w:tc>
        <w:tc>
          <w:tcPr>
            <w:tcW w:w="1013" w:type="pct"/>
            <w:vAlign w:val="center"/>
          </w:tcPr>
          <w:p w14:paraId="7790DEB6" w14:textId="74FF504B" w:rsidR="00AB39F4" w:rsidRPr="00681EE0" w:rsidRDefault="0097644F" w:rsidP="001B1083">
            <w:pPr>
              <w:pStyle w:val="TableText0"/>
              <w:jc w:val="center"/>
              <w:rPr>
                <w:b/>
                <w:bCs w:val="0"/>
              </w:rPr>
            </w:pPr>
            <w:r w:rsidRPr="00681EE0">
              <w:rPr>
                <w:b/>
                <w:bCs w:val="0"/>
              </w:rPr>
              <w:t>34.28 [2.13, 550.68]</w:t>
            </w:r>
          </w:p>
        </w:tc>
        <w:tc>
          <w:tcPr>
            <w:tcW w:w="1011" w:type="pct"/>
          </w:tcPr>
          <w:p w14:paraId="0BBCD206" w14:textId="77777777" w:rsidR="00AB39F4" w:rsidRPr="00681EE0" w:rsidRDefault="00AB39F4" w:rsidP="001B1083">
            <w:pPr>
              <w:pStyle w:val="TableText0"/>
              <w:jc w:val="center"/>
              <w:rPr>
                <w:b/>
                <w:bCs w:val="0"/>
              </w:rPr>
            </w:pPr>
            <w:r w:rsidRPr="00681EE0">
              <w:rPr>
                <w:b/>
                <w:bCs w:val="0"/>
              </w:rPr>
              <w:t>0.26 [0.18, 0.34]</w:t>
            </w:r>
          </w:p>
        </w:tc>
      </w:tr>
      <w:tr w:rsidR="00AB39F4" w:rsidRPr="0098262F" w14:paraId="666380F4" w14:textId="77777777" w:rsidTr="00260755">
        <w:tc>
          <w:tcPr>
            <w:tcW w:w="626" w:type="pct"/>
            <w:vAlign w:val="center"/>
          </w:tcPr>
          <w:p w14:paraId="404573A2" w14:textId="77777777" w:rsidR="00AB39F4" w:rsidRPr="0098262F" w:rsidRDefault="00AB39F4" w:rsidP="001B1083">
            <w:pPr>
              <w:pStyle w:val="TableText0"/>
            </w:pPr>
            <w:r>
              <w:t>POISE</w:t>
            </w:r>
          </w:p>
        </w:tc>
        <w:tc>
          <w:tcPr>
            <w:tcW w:w="708" w:type="pct"/>
            <w:vAlign w:val="center"/>
          </w:tcPr>
          <w:p w14:paraId="4371F208" w14:textId="77777777" w:rsidR="00AB39F4" w:rsidRPr="0098262F" w:rsidRDefault="00AB39F4" w:rsidP="001B1083">
            <w:pPr>
              <w:pStyle w:val="TableText0"/>
              <w:jc w:val="center"/>
            </w:pPr>
            <w:r w:rsidRPr="00244AE4">
              <w:t>1/70 (1.4)</w:t>
            </w:r>
          </w:p>
        </w:tc>
        <w:tc>
          <w:tcPr>
            <w:tcW w:w="629" w:type="pct"/>
            <w:vAlign w:val="center"/>
          </w:tcPr>
          <w:p w14:paraId="055EF121" w14:textId="1098FBB5" w:rsidR="00AB39F4" w:rsidRPr="0098262F" w:rsidRDefault="00AB39F4" w:rsidP="001B1083">
            <w:pPr>
              <w:pStyle w:val="TableText0"/>
              <w:jc w:val="center"/>
            </w:pPr>
            <w:r w:rsidRPr="00244AE4">
              <w:t>0</w:t>
            </w:r>
          </w:p>
        </w:tc>
        <w:tc>
          <w:tcPr>
            <w:tcW w:w="1013" w:type="pct"/>
            <w:vAlign w:val="center"/>
          </w:tcPr>
          <w:p w14:paraId="265538C3" w14:textId="77777777" w:rsidR="00AB39F4" w:rsidRPr="0098262F" w:rsidRDefault="00AB39F4" w:rsidP="001B1083">
            <w:pPr>
              <w:pStyle w:val="TableText0"/>
              <w:jc w:val="center"/>
            </w:pPr>
            <w:r w:rsidRPr="00F97E26">
              <w:t>3.17 [0.13, 79.2]</w:t>
            </w:r>
          </w:p>
        </w:tc>
        <w:tc>
          <w:tcPr>
            <w:tcW w:w="1013" w:type="pct"/>
            <w:vAlign w:val="center"/>
          </w:tcPr>
          <w:p w14:paraId="2E6F460A" w14:textId="7C1BEF45" w:rsidR="00AB39F4" w:rsidRPr="0098262F" w:rsidRDefault="0097644F" w:rsidP="001B1083">
            <w:pPr>
              <w:pStyle w:val="TableText0"/>
              <w:jc w:val="center"/>
            </w:pPr>
            <w:r w:rsidRPr="0097644F">
              <w:t>3.13 [0.13, 75.49]</w:t>
            </w:r>
          </w:p>
        </w:tc>
        <w:tc>
          <w:tcPr>
            <w:tcW w:w="1011" w:type="pct"/>
          </w:tcPr>
          <w:p w14:paraId="7DDEC61F" w14:textId="77777777" w:rsidR="00AB39F4" w:rsidRPr="0098262F" w:rsidRDefault="00AB39F4" w:rsidP="001B1083">
            <w:pPr>
              <w:pStyle w:val="TableText0"/>
              <w:jc w:val="center"/>
            </w:pPr>
            <w:r w:rsidRPr="00F97E26">
              <w:t>0.01 [-0.02, 0.05]</w:t>
            </w:r>
          </w:p>
        </w:tc>
      </w:tr>
      <w:tr w:rsidR="00AB39F4" w:rsidRPr="0098262F" w14:paraId="5F0E5048" w14:textId="77777777" w:rsidTr="00260755">
        <w:tc>
          <w:tcPr>
            <w:tcW w:w="1963" w:type="pct"/>
            <w:gridSpan w:val="3"/>
            <w:vAlign w:val="center"/>
          </w:tcPr>
          <w:p w14:paraId="12570DD9" w14:textId="77777777" w:rsidR="00AB39F4" w:rsidRPr="0098262F" w:rsidRDefault="00AB39F4" w:rsidP="001B1083">
            <w:pPr>
              <w:pStyle w:val="TableText0"/>
            </w:pPr>
            <w:r w:rsidRPr="0098262F">
              <w:t>Indirect estimate of effect adjusted for the common reference</w:t>
            </w:r>
          </w:p>
        </w:tc>
        <w:tc>
          <w:tcPr>
            <w:tcW w:w="1013" w:type="pct"/>
            <w:vAlign w:val="center"/>
          </w:tcPr>
          <w:p w14:paraId="30BB0551" w14:textId="0BFB702E" w:rsidR="00AB39F4" w:rsidRPr="0098262F" w:rsidRDefault="00AB39F4" w:rsidP="001B1083">
            <w:pPr>
              <w:pStyle w:val="TableText0"/>
              <w:jc w:val="center"/>
            </w:pPr>
            <w:r w:rsidRPr="00F97E26">
              <w:t>14.</w:t>
            </w:r>
            <w:r w:rsidR="00447323">
              <w:t>50</w:t>
            </w:r>
            <w:r w:rsidRPr="00F97E26">
              <w:t xml:space="preserve"> [0.20, 1029.3</w:t>
            </w:r>
            <w:r>
              <w:t>3</w:t>
            </w:r>
            <w:r w:rsidRPr="00F97E26">
              <w:t>]</w:t>
            </w:r>
            <w:r>
              <w:t>;</w:t>
            </w:r>
            <w:r w:rsidRPr="00F97E26">
              <w:t xml:space="preserve"> 0.219</w:t>
            </w:r>
          </w:p>
        </w:tc>
        <w:tc>
          <w:tcPr>
            <w:tcW w:w="1013" w:type="pct"/>
            <w:vAlign w:val="center"/>
          </w:tcPr>
          <w:p w14:paraId="11C7B2D8" w14:textId="76894C54" w:rsidR="00AB39F4" w:rsidRPr="0098262F" w:rsidRDefault="0097644F" w:rsidP="001B1083">
            <w:pPr>
              <w:pStyle w:val="TableText0"/>
              <w:jc w:val="center"/>
            </w:pPr>
            <w:r w:rsidRPr="0097644F">
              <w:t>10.95 [0.16, 747.93]</w:t>
            </w:r>
            <w:r>
              <w:t xml:space="preserve">; </w:t>
            </w:r>
            <w:r w:rsidRPr="0097644F">
              <w:t>0.267</w:t>
            </w:r>
          </w:p>
        </w:tc>
        <w:tc>
          <w:tcPr>
            <w:tcW w:w="1011" w:type="pct"/>
            <w:vAlign w:val="center"/>
          </w:tcPr>
          <w:p w14:paraId="3524C7B6" w14:textId="6F52F130" w:rsidR="00AB39F4" w:rsidRPr="00F073CA" w:rsidRDefault="00AB39F4" w:rsidP="001B1083">
            <w:pPr>
              <w:pStyle w:val="TableText0"/>
              <w:jc w:val="center"/>
              <w:rPr>
                <w:b/>
                <w:bCs w:val="0"/>
              </w:rPr>
            </w:pPr>
            <w:r w:rsidRPr="00F073CA">
              <w:rPr>
                <w:b/>
                <w:bCs w:val="0"/>
              </w:rPr>
              <w:t xml:space="preserve">0.25 [0.16, 0.34]; </w:t>
            </w:r>
            <w:r w:rsidR="007C526D">
              <w:rPr>
                <w:b/>
                <w:bCs w:val="0"/>
              </w:rPr>
              <w:br/>
            </w:r>
            <w:r w:rsidRPr="00F073CA">
              <w:rPr>
                <w:b/>
                <w:bCs w:val="0"/>
              </w:rPr>
              <w:t>&lt; 0.001</w:t>
            </w:r>
          </w:p>
        </w:tc>
      </w:tr>
      <w:tr w:rsidR="00AB39F4" w:rsidRPr="0098262F" w14:paraId="58FD2729" w14:textId="77777777" w:rsidTr="00260755">
        <w:tc>
          <w:tcPr>
            <w:tcW w:w="5000" w:type="pct"/>
            <w:gridSpan w:val="6"/>
            <w:vAlign w:val="center"/>
          </w:tcPr>
          <w:p w14:paraId="432AB8B7" w14:textId="77777777" w:rsidR="00AB39F4" w:rsidRDefault="00AB39F4" w:rsidP="001B1083">
            <w:pPr>
              <w:pStyle w:val="In-tableHeading"/>
            </w:pPr>
            <w:r>
              <w:t>Bayesian NMA per POISE threshold</w:t>
            </w:r>
          </w:p>
        </w:tc>
      </w:tr>
      <w:tr w:rsidR="00AB39F4" w:rsidRPr="0098262F" w14:paraId="72468E2C" w14:textId="77777777" w:rsidTr="00260755">
        <w:tc>
          <w:tcPr>
            <w:tcW w:w="1963" w:type="pct"/>
            <w:gridSpan w:val="3"/>
            <w:tcBorders>
              <w:bottom w:val="double" w:sz="4" w:space="0" w:color="auto"/>
            </w:tcBorders>
            <w:vAlign w:val="center"/>
          </w:tcPr>
          <w:p w14:paraId="02D43234" w14:textId="77777777" w:rsidR="00AB39F4" w:rsidRPr="0098262F" w:rsidRDefault="00AB39F4" w:rsidP="001B1083">
            <w:pPr>
              <w:pStyle w:val="TableText0"/>
            </w:pPr>
            <w:r w:rsidRPr="0098262F">
              <w:t>Indirect estimate of effect adjusted for the common reference</w:t>
            </w:r>
          </w:p>
        </w:tc>
        <w:tc>
          <w:tcPr>
            <w:tcW w:w="1013" w:type="pct"/>
            <w:tcBorders>
              <w:bottom w:val="double" w:sz="4" w:space="0" w:color="auto"/>
            </w:tcBorders>
            <w:vAlign w:val="center"/>
          </w:tcPr>
          <w:p w14:paraId="2196B45B" w14:textId="51D6643A" w:rsidR="00AB39F4" w:rsidRPr="0098262F" w:rsidRDefault="005B38DB" w:rsidP="001B1083">
            <w:pPr>
              <w:pStyle w:val="TableText0"/>
              <w:jc w:val="center"/>
            </w:pPr>
            <w:r>
              <w:t>NR</w:t>
            </w:r>
          </w:p>
        </w:tc>
        <w:tc>
          <w:tcPr>
            <w:tcW w:w="1013" w:type="pct"/>
            <w:tcBorders>
              <w:bottom w:val="double" w:sz="4" w:space="0" w:color="auto"/>
            </w:tcBorders>
            <w:vAlign w:val="center"/>
          </w:tcPr>
          <w:p w14:paraId="2D91DB22" w14:textId="6A8542EB" w:rsidR="00AB39F4" w:rsidRPr="0098262F" w:rsidRDefault="00AB39F4" w:rsidP="001B1083">
            <w:pPr>
              <w:pStyle w:val="TableText0"/>
              <w:jc w:val="center"/>
            </w:pPr>
            <w:r w:rsidRPr="00F073CA">
              <w:t xml:space="preserve">16.62 </w:t>
            </w:r>
            <w:r w:rsidR="00161A5D">
              <w:br/>
            </w:r>
            <w:r w:rsidRPr="00F073CA">
              <w:t>[95% Crl: 0.04, 2512]</w:t>
            </w:r>
          </w:p>
        </w:tc>
        <w:tc>
          <w:tcPr>
            <w:tcW w:w="1011" w:type="pct"/>
            <w:tcBorders>
              <w:bottom w:val="double" w:sz="4" w:space="0" w:color="auto"/>
            </w:tcBorders>
            <w:vAlign w:val="center"/>
          </w:tcPr>
          <w:p w14:paraId="4F906A30" w14:textId="4B762D7F" w:rsidR="00AB39F4" w:rsidRPr="0098262F" w:rsidRDefault="005B38DB" w:rsidP="001B1083">
            <w:pPr>
              <w:pStyle w:val="TableText0"/>
              <w:jc w:val="center"/>
            </w:pPr>
            <w:r>
              <w:t>NR</w:t>
            </w:r>
          </w:p>
        </w:tc>
      </w:tr>
      <w:tr w:rsidR="00AB39F4" w:rsidRPr="0098262F" w14:paraId="1BCCDB76" w14:textId="77777777" w:rsidTr="00260755">
        <w:tc>
          <w:tcPr>
            <w:tcW w:w="5000" w:type="pct"/>
            <w:gridSpan w:val="6"/>
            <w:tcBorders>
              <w:top w:val="double" w:sz="4" w:space="0" w:color="auto"/>
            </w:tcBorders>
            <w:vAlign w:val="center"/>
          </w:tcPr>
          <w:p w14:paraId="17C92CEA" w14:textId="77777777" w:rsidR="00AB39F4" w:rsidRPr="0098262F" w:rsidRDefault="00AB39F4" w:rsidP="001B1083">
            <w:pPr>
              <w:pStyle w:val="In-tableHeading"/>
            </w:pPr>
            <w:r>
              <w:t>Seladelpar vs elafibranor</w:t>
            </w:r>
          </w:p>
        </w:tc>
      </w:tr>
      <w:tr w:rsidR="00AB39F4" w:rsidRPr="0098262F" w14:paraId="6F3C22DF" w14:textId="77777777" w:rsidTr="00260755">
        <w:tc>
          <w:tcPr>
            <w:tcW w:w="5000" w:type="pct"/>
            <w:gridSpan w:val="6"/>
            <w:vAlign w:val="center"/>
          </w:tcPr>
          <w:p w14:paraId="1D0BF82A" w14:textId="77777777" w:rsidR="00AB39F4" w:rsidRPr="0098262F" w:rsidRDefault="00AB39F4" w:rsidP="001B1083">
            <w:pPr>
              <w:pStyle w:val="In-tableHeading"/>
            </w:pPr>
            <w:r w:rsidRPr="005D3EBC">
              <w:t>Bucher ITC per individual trial thresholds</w:t>
            </w:r>
          </w:p>
        </w:tc>
      </w:tr>
      <w:tr w:rsidR="00AB39F4" w:rsidRPr="0098262F" w14:paraId="08BAA3F2" w14:textId="77777777" w:rsidTr="00260755">
        <w:tc>
          <w:tcPr>
            <w:tcW w:w="626" w:type="pct"/>
            <w:vAlign w:val="center"/>
          </w:tcPr>
          <w:p w14:paraId="7112A704" w14:textId="77777777" w:rsidR="00AB39F4" w:rsidRPr="0098262F" w:rsidRDefault="00AB39F4" w:rsidP="001B1083">
            <w:pPr>
              <w:pStyle w:val="TableText0"/>
            </w:pPr>
            <w:r>
              <w:t>RESPONSE</w:t>
            </w:r>
          </w:p>
        </w:tc>
        <w:tc>
          <w:tcPr>
            <w:tcW w:w="708" w:type="pct"/>
            <w:vAlign w:val="center"/>
          </w:tcPr>
          <w:p w14:paraId="739E34C5" w14:textId="77777777" w:rsidR="00AB39F4" w:rsidRPr="0098262F" w:rsidRDefault="00AB39F4" w:rsidP="001B1083">
            <w:pPr>
              <w:pStyle w:val="TableText0"/>
            </w:pPr>
            <w:r w:rsidRPr="00EE0113">
              <w:t>32/128 (25.0)</w:t>
            </w:r>
          </w:p>
        </w:tc>
        <w:tc>
          <w:tcPr>
            <w:tcW w:w="629" w:type="pct"/>
            <w:vAlign w:val="center"/>
          </w:tcPr>
          <w:p w14:paraId="175B4E33" w14:textId="0815E2EA" w:rsidR="00AB39F4" w:rsidRPr="0098262F" w:rsidRDefault="00AB39F4" w:rsidP="00447323">
            <w:pPr>
              <w:pStyle w:val="TableText0"/>
              <w:jc w:val="center"/>
            </w:pPr>
            <w:r w:rsidRPr="00EE0113">
              <w:t>0</w:t>
            </w:r>
          </w:p>
        </w:tc>
        <w:tc>
          <w:tcPr>
            <w:tcW w:w="1013" w:type="pct"/>
            <w:vAlign w:val="center"/>
          </w:tcPr>
          <w:p w14:paraId="24D3ABE8" w14:textId="77777777" w:rsidR="00AB39F4" w:rsidRPr="00D25F66" w:rsidRDefault="00AB39F4" w:rsidP="001B1083">
            <w:pPr>
              <w:pStyle w:val="TableText0"/>
              <w:jc w:val="center"/>
              <w:rPr>
                <w:b/>
                <w:bCs w:val="0"/>
              </w:rPr>
            </w:pPr>
            <w:r w:rsidRPr="00D25F66">
              <w:rPr>
                <w:b/>
                <w:bCs w:val="0"/>
              </w:rPr>
              <w:t>44.12 [2.65, 733.27]</w:t>
            </w:r>
          </w:p>
        </w:tc>
        <w:tc>
          <w:tcPr>
            <w:tcW w:w="1013" w:type="pct"/>
            <w:vAlign w:val="center"/>
          </w:tcPr>
          <w:p w14:paraId="6776B1A7" w14:textId="6668F1BA" w:rsidR="00AB39F4" w:rsidRPr="00D25F66" w:rsidRDefault="003F0676" w:rsidP="001B1083">
            <w:pPr>
              <w:pStyle w:val="TableText0"/>
              <w:jc w:val="center"/>
              <w:rPr>
                <w:b/>
                <w:bCs w:val="0"/>
              </w:rPr>
            </w:pPr>
            <w:r w:rsidRPr="00D25F66">
              <w:rPr>
                <w:b/>
                <w:bCs w:val="0"/>
              </w:rPr>
              <w:t>33.26 [2.07, 534.58]</w:t>
            </w:r>
          </w:p>
        </w:tc>
        <w:tc>
          <w:tcPr>
            <w:tcW w:w="1011" w:type="pct"/>
          </w:tcPr>
          <w:p w14:paraId="4F8A53B8" w14:textId="77777777" w:rsidR="00AB39F4" w:rsidRPr="00D25F66" w:rsidRDefault="00AB39F4" w:rsidP="001B1083">
            <w:pPr>
              <w:pStyle w:val="TableText0"/>
              <w:jc w:val="center"/>
              <w:rPr>
                <w:b/>
                <w:bCs w:val="0"/>
              </w:rPr>
            </w:pPr>
            <w:r w:rsidRPr="00D25F66">
              <w:rPr>
                <w:b/>
                <w:bCs w:val="0"/>
              </w:rPr>
              <w:t>0.25 [0.17, 0.33]</w:t>
            </w:r>
          </w:p>
        </w:tc>
      </w:tr>
      <w:tr w:rsidR="00AB39F4" w:rsidRPr="0098262F" w14:paraId="0D69629A" w14:textId="77777777" w:rsidTr="00260755">
        <w:tc>
          <w:tcPr>
            <w:tcW w:w="626" w:type="pct"/>
            <w:vAlign w:val="center"/>
          </w:tcPr>
          <w:p w14:paraId="7B30362E" w14:textId="77777777" w:rsidR="00AB39F4" w:rsidRPr="0098262F" w:rsidRDefault="00AB39F4" w:rsidP="001B1083">
            <w:pPr>
              <w:pStyle w:val="TableText0"/>
            </w:pPr>
            <w:r>
              <w:t>ELATIVE</w:t>
            </w:r>
          </w:p>
        </w:tc>
        <w:tc>
          <w:tcPr>
            <w:tcW w:w="708" w:type="pct"/>
            <w:vAlign w:val="center"/>
          </w:tcPr>
          <w:p w14:paraId="039B768E" w14:textId="77777777" w:rsidR="00AB39F4" w:rsidRPr="0098262F" w:rsidRDefault="00AB39F4" w:rsidP="001B1083">
            <w:pPr>
              <w:pStyle w:val="TableText0"/>
            </w:pPr>
            <w:r w:rsidRPr="00AC2949">
              <w:t>16/108 (14.8)</w:t>
            </w:r>
          </w:p>
        </w:tc>
        <w:tc>
          <w:tcPr>
            <w:tcW w:w="629" w:type="pct"/>
            <w:vAlign w:val="center"/>
          </w:tcPr>
          <w:p w14:paraId="7E1FD22A" w14:textId="7071CB0D" w:rsidR="00AB39F4" w:rsidRPr="0098262F" w:rsidRDefault="00AB39F4" w:rsidP="00447323">
            <w:pPr>
              <w:pStyle w:val="TableText0"/>
              <w:jc w:val="center"/>
            </w:pPr>
            <w:r w:rsidRPr="00AC2949">
              <w:t>0</w:t>
            </w:r>
          </w:p>
        </w:tc>
        <w:tc>
          <w:tcPr>
            <w:tcW w:w="1013" w:type="pct"/>
            <w:tcBorders>
              <w:bottom w:val="single" w:sz="4" w:space="0" w:color="auto"/>
            </w:tcBorders>
            <w:vAlign w:val="center"/>
          </w:tcPr>
          <w:p w14:paraId="25CE9862" w14:textId="77777777" w:rsidR="00AB39F4" w:rsidRPr="00D25F66" w:rsidRDefault="00AB39F4" w:rsidP="001B1083">
            <w:pPr>
              <w:pStyle w:val="TableText0"/>
              <w:jc w:val="center"/>
              <w:rPr>
                <w:b/>
                <w:bCs w:val="0"/>
              </w:rPr>
            </w:pPr>
            <w:r w:rsidRPr="00D25F66">
              <w:rPr>
                <w:b/>
                <w:bCs w:val="0"/>
              </w:rPr>
              <w:t>19.09 [1.12, 324.58]</w:t>
            </w:r>
          </w:p>
        </w:tc>
        <w:tc>
          <w:tcPr>
            <w:tcW w:w="1013" w:type="pct"/>
            <w:tcBorders>
              <w:bottom w:val="single" w:sz="4" w:space="0" w:color="auto"/>
            </w:tcBorders>
            <w:vAlign w:val="center"/>
          </w:tcPr>
          <w:p w14:paraId="01B8BCA6" w14:textId="535E77D5" w:rsidR="00AB39F4" w:rsidRPr="00D25F66" w:rsidRDefault="003F0676" w:rsidP="001B1083">
            <w:pPr>
              <w:pStyle w:val="TableText0"/>
              <w:jc w:val="center"/>
              <w:rPr>
                <w:b/>
                <w:bCs w:val="0"/>
              </w:rPr>
            </w:pPr>
            <w:r w:rsidRPr="00D25F66">
              <w:rPr>
                <w:b/>
                <w:bCs w:val="0"/>
              </w:rPr>
              <w:t>16.35 [1, 267.38]</w:t>
            </w:r>
          </w:p>
        </w:tc>
        <w:tc>
          <w:tcPr>
            <w:tcW w:w="1011" w:type="pct"/>
            <w:tcBorders>
              <w:bottom w:val="single" w:sz="4" w:space="0" w:color="auto"/>
            </w:tcBorders>
          </w:tcPr>
          <w:p w14:paraId="2729E600" w14:textId="77777777" w:rsidR="00AB39F4" w:rsidRPr="00D25F66" w:rsidRDefault="00AB39F4" w:rsidP="001B1083">
            <w:pPr>
              <w:pStyle w:val="TableText0"/>
              <w:jc w:val="center"/>
              <w:rPr>
                <w:b/>
                <w:bCs w:val="0"/>
              </w:rPr>
            </w:pPr>
            <w:r w:rsidRPr="00D25F66">
              <w:rPr>
                <w:b/>
                <w:bCs w:val="0"/>
              </w:rPr>
              <w:t>0.15 [0.08, 0.22]</w:t>
            </w:r>
          </w:p>
        </w:tc>
      </w:tr>
      <w:tr w:rsidR="0097644F" w:rsidRPr="0098262F" w14:paraId="0240F5E2" w14:textId="77777777" w:rsidTr="00260755">
        <w:tc>
          <w:tcPr>
            <w:tcW w:w="1963" w:type="pct"/>
            <w:gridSpan w:val="3"/>
            <w:vMerge w:val="restart"/>
            <w:vAlign w:val="center"/>
          </w:tcPr>
          <w:p w14:paraId="1EF854D6" w14:textId="77777777" w:rsidR="0097644F" w:rsidRPr="0098262F" w:rsidRDefault="0097644F" w:rsidP="001B1083">
            <w:pPr>
              <w:pStyle w:val="TableText0"/>
            </w:pPr>
            <w:r w:rsidRPr="0098262F">
              <w:t>Indirect estimate of effect adjusted for the common reference</w:t>
            </w:r>
          </w:p>
        </w:tc>
        <w:tc>
          <w:tcPr>
            <w:tcW w:w="1013" w:type="pct"/>
            <w:tcBorders>
              <w:bottom w:val="nil"/>
            </w:tcBorders>
            <w:vAlign w:val="center"/>
          </w:tcPr>
          <w:p w14:paraId="37DB53A2" w14:textId="58879F57" w:rsidR="0097644F" w:rsidRPr="0097644F" w:rsidRDefault="0097644F" w:rsidP="0097644F">
            <w:pPr>
              <w:pStyle w:val="TableText0"/>
              <w:jc w:val="center"/>
              <w:rPr>
                <w:i/>
                <w:iCs/>
              </w:rPr>
            </w:pPr>
            <w:r w:rsidRPr="0097644F">
              <w:rPr>
                <w:bCs w:val="0"/>
              </w:rPr>
              <w:t>0.</w:t>
            </w:r>
            <w:r>
              <w:t xml:space="preserve">1 </w:t>
            </w:r>
            <w:r w:rsidRPr="00F073CA">
              <w:t>[-0.0</w:t>
            </w:r>
            <w:r>
              <w:t>1</w:t>
            </w:r>
            <w:r w:rsidRPr="00F073CA">
              <w:t>, 0.2</w:t>
            </w:r>
            <w:r>
              <w:t>1</w:t>
            </w:r>
            <w:r w:rsidRPr="00F073CA">
              <w:t>]</w:t>
            </w:r>
            <w:r>
              <w:t>;</w:t>
            </w:r>
            <w:r w:rsidRPr="00F073CA">
              <w:t xml:space="preserve"> 0.065</w:t>
            </w:r>
          </w:p>
        </w:tc>
        <w:tc>
          <w:tcPr>
            <w:tcW w:w="1013" w:type="pct"/>
            <w:tcBorders>
              <w:bottom w:val="nil"/>
            </w:tcBorders>
            <w:vAlign w:val="center"/>
          </w:tcPr>
          <w:p w14:paraId="74244909" w14:textId="5E1A239E" w:rsidR="0097644F" w:rsidRPr="0098262F" w:rsidRDefault="003F0676" w:rsidP="001B1083">
            <w:pPr>
              <w:pStyle w:val="TableText0"/>
              <w:jc w:val="center"/>
            </w:pPr>
            <w:r w:rsidRPr="003F0676">
              <w:t>2.03 [0.04, 104.5</w:t>
            </w:r>
            <w:r>
              <w:t>5</w:t>
            </w:r>
            <w:r w:rsidRPr="003F0676">
              <w:t>]</w:t>
            </w:r>
            <w:r>
              <w:t xml:space="preserve">; </w:t>
            </w:r>
            <w:r w:rsidRPr="003F0676">
              <w:t>0.72</w:t>
            </w:r>
            <w:r w:rsidR="00447323">
              <w:t>4</w:t>
            </w:r>
          </w:p>
        </w:tc>
        <w:tc>
          <w:tcPr>
            <w:tcW w:w="1011" w:type="pct"/>
            <w:tcBorders>
              <w:bottom w:val="nil"/>
            </w:tcBorders>
            <w:vAlign w:val="center"/>
          </w:tcPr>
          <w:p w14:paraId="2F12E0A5" w14:textId="0FC1B3F5" w:rsidR="0097644F" w:rsidRPr="0098262F" w:rsidRDefault="0097644F" w:rsidP="001B1083">
            <w:pPr>
              <w:pStyle w:val="TableText0"/>
              <w:jc w:val="center"/>
            </w:pPr>
            <w:r w:rsidRPr="00F073CA">
              <w:t>2.31 [0.04, 125.23]</w:t>
            </w:r>
            <w:r>
              <w:t>;</w:t>
            </w:r>
            <w:r w:rsidRPr="00F073CA">
              <w:t xml:space="preserve"> 0.68</w:t>
            </w:r>
            <w:r w:rsidR="00447323">
              <w:t>1</w:t>
            </w:r>
          </w:p>
        </w:tc>
      </w:tr>
      <w:tr w:rsidR="0097644F" w:rsidRPr="0098262F" w14:paraId="7103B5FE" w14:textId="77777777" w:rsidTr="00260755">
        <w:tc>
          <w:tcPr>
            <w:tcW w:w="1963" w:type="pct"/>
            <w:gridSpan w:val="3"/>
            <w:vMerge/>
            <w:vAlign w:val="center"/>
          </w:tcPr>
          <w:p w14:paraId="3F85E90E" w14:textId="77777777" w:rsidR="0097644F" w:rsidRPr="0098262F" w:rsidRDefault="0097644F" w:rsidP="001B1083">
            <w:pPr>
              <w:pStyle w:val="TableText0"/>
            </w:pPr>
          </w:p>
        </w:tc>
        <w:tc>
          <w:tcPr>
            <w:tcW w:w="1013" w:type="pct"/>
            <w:tcBorders>
              <w:top w:val="nil"/>
            </w:tcBorders>
            <w:vAlign w:val="center"/>
          </w:tcPr>
          <w:p w14:paraId="0F4AA1D2" w14:textId="794BBFFC" w:rsidR="0097644F" w:rsidRPr="0097644F" w:rsidRDefault="0097644F" w:rsidP="0097644F">
            <w:pPr>
              <w:pStyle w:val="TableText0"/>
              <w:jc w:val="center"/>
              <w:rPr>
                <w:bCs w:val="0"/>
              </w:rPr>
            </w:pPr>
            <w:r w:rsidRPr="0097644F">
              <w:rPr>
                <w:i/>
                <w:iCs/>
              </w:rPr>
              <w:t>2.31 [0.04, 125.23]</w:t>
            </w:r>
            <w:r>
              <w:rPr>
                <w:i/>
                <w:iCs/>
              </w:rPr>
              <w:t>;</w:t>
            </w:r>
            <w:r w:rsidRPr="0097644F">
              <w:rPr>
                <w:i/>
                <w:iCs/>
              </w:rPr>
              <w:t xml:space="preserve"> 0.68</w:t>
            </w:r>
            <w:r w:rsidR="00447323">
              <w:rPr>
                <w:i/>
                <w:iCs/>
              </w:rPr>
              <w:t>1</w:t>
            </w:r>
          </w:p>
        </w:tc>
        <w:tc>
          <w:tcPr>
            <w:tcW w:w="1013" w:type="pct"/>
            <w:tcBorders>
              <w:top w:val="nil"/>
            </w:tcBorders>
            <w:vAlign w:val="center"/>
          </w:tcPr>
          <w:p w14:paraId="3D2E9FB3" w14:textId="77777777" w:rsidR="0097644F" w:rsidRPr="0098262F" w:rsidRDefault="0097644F" w:rsidP="001B1083">
            <w:pPr>
              <w:pStyle w:val="TableText0"/>
              <w:jc w:val="center"/>
            </w:pPr>
          </w:p>
        </w:tc>
        <w:tc>
          <w:tcPr>
            <w:tcW w:w="1011" w:type="pct"/>
            <w:tcBorders>
              <w:top w:val="nil"/>
            </w:tcBorders>
            <w:vAlign w:val="center"/>
          </w:tcPr>
          <w:p w14:paraId="40B16886" w14:textId="15217168" w:rsidR="0097644F" w:rsidRPr="0097644F" w:rsidRDefault="0097644F" w:rsidP="001B1083">
            <w:pPr>
              <w:pStyle w:val="TableText0"/>
              <w:jc w:val="center"/>
              <w:rPr>
                <w:i/>
                <w:iCs/>
              </w:rPr>
            </w:pPr>
            <w:r w:rsidRPr="0097644F">
              <w:rPr>
                <w:i/>
                <w:iCs/>
              </w:rPr>
              <w:t>0.1 [-0.01, 0.21]; 0.065</w:t>
            </w:r>
          </w:p>
        </w:tc>
      </w:tr>
      <w:tr w:rsidR="00AB39F4" w:rsidRPr="0098262F" w14:paraId="68BA31D8" w14:textId="77777777" w:rsidTr="00260755">
        <w:tc>
          <w:tcPr>
            <w:tcW w:w="5000" w:type="pct"/>
            <w:gridSpan w:val="6"/>
            <w:vAlign w:val="center"/>
          </w:tcPr>
          <w:p w14:paraId="11258DB6" w14:textId="77777777" w:rsidR="00AB39F4" w:rsidRPr="0098262F" w:rsidRDefault="00AB39F4" w:rsidP="001B1083">
            <w:pPr>
              <w:pStyle w:val="In-tableHeading"/>
            </w:pPr>
            <w:r>
              <w:t>Bucher ITC per ELATIVE threshold</w:t>
            </w:r>
          </w:p>
        </w:tc>
      </w:tr>
      <w:tr w:rsidR="00AB39F4" w:rsidRPr="0098262F" w14:paraId="39653A44" w14:textId="77777777" w:rsidTr="00260755">
        <w:tc>
          <w:tcPr>
            <w:tcW w:w="626" w:type="pct"/>
            <w:vAlign w:val="center"/>
          </w:tcPr>
          <w:p w14:paraId="4A171B30" w14:textId="77777777" w:rsidR="00AB39F4" w:rsidRPr="0098262F" w:rsidRDefault="00AB39F4" w:rsidP="001B1083">
            <w:pPr>
              <w:pStyle w:val="TableText0"/>
            </w:pPr>
            <w:r>
              <w:t>RESPONSE</w:t>
            </w:r>
          </w:p>
        </w:tc>
        <w:tc>
          <w:tcPr>
            <w:tcW w:w="708" w:type="pct"/>
            <w:vAlign w:val="center"/>
          </w:tcPr>
          <w:p w14:paraId="737AD39B" w14:textId="77777777" w:rsidR="00AB39F4" w:rsidRPr="0098262F" w:rsidRDefault="00AB39F4" w:rsidP="001B1083">
            <w:pPr>
              <w:pStyle w:val="TableText0"/>
            </w:pPr>
            <w:r w:rsidRPr="00A6421E">
              <w:t>23/128 (18.0)</w:t>
            </w:r>
          </w:p>
        </w:tc>
        <w:tc>
          <w:tcPr>
            <w:tcW w:w="629" w:type="pct"/>
            <w:vAlign w:val="center"/>
          </w:tcPr>
          <w:p w14:paraId="4A14D2F9" w14:textId="1680F943" w:rsidR="00AB39F4" w:rsidRPr="0098262F" w:rsidRDefault="00AB39F4" w:rsidP="00447323">
            <w:pPr>
              <w:pStyle w:val="TableText0"/>
              <w:jc w:val="center"/>
            </w:pPr>
            <w:r w:rsidRPr="00A6421E">
              <w:t>0</w:t>
            </w:r>
          </w:p>
        </w:tc>
        <w:tc>
          <w:tcPr>
            <w:tcW w:w="1013" w:type="pct"/>
            <w:vAlign w:val="center"/>
          </w:tcPr>
          <w:p w14:paraId="1BEE896E" w14:textId="72D12172" w:rsidR="00AB39F4" w:rsidRPr="00681EE0" w:rsidRDefault="00AB39F4" w:rsidP="001B1083">
            <w:pPr>
              <w:pStyle w:val="TableText0"/>
              <w:jc w:val="center"/>
              <w:rPr>
                <w:b/>
                <w:bCs w:val="0"/>
              </w:rPr>
            </w:pPr>
            <w:r w:rsidRPr="00681EE0">
              <w:rPr>
                <w:b/>
                <w:bCs w:val="0"/>
              </w:rPr>
              <w:t>29.18 [1.74, 488.6</w:t>
            </w:r>
            <w:r w:rsidR="00447323" w:rsidRPr="00681EE0">
              <w:rPr>
                <w:b/>
                <w:bCs w:val="0"/>
              </w:rPr>
              <w:t>0</w:t>
            </w:r>
            <w:r w:rsidRPr="00681EE0">
              <w:rPr>
                <w:b/>
                <w:bCs w:val="0"/>
              </w:rPr>
              <w:t>]</w:t>
            </w:r>
          </w:p>
        </w:tc>
        <w:tc>
          <w:tcPr>
            <w:tcW w:w="1013" w:type="pct"/>
            <w:vAlign w:val="center"/>
          </w:tcPr>
          <w:p w14:paraId="291AF4D0" w14:textId="4D25495C" w:rsidR="00AB39F4" w:rsidRPr="00681EE0" w:rsidRDefault="00B71742" w:rsidP="001B1083">
            <w:pPr>
              <w:pStyle w:val="TableText0"/>
              <w:jc w:val="center"/>
              <w:rPr>
                <w:b/>
                <w:bCs w:val="0"/>
              </w:rPr>
            </w:pPr>
            <w:r w:rsidRPr="00681EE0">
              <w:rPr>
                <w:b/>
                <w:bCs w:val="0"/>
              </w:rPr>
              <w:t>24.05 [1.48, 389.70]</w:t>
            </w:r>
          </w:p>
        </w:tc>
        <w:tc>
          <w:tcPr>
            <w:tcW w:w="1011" w:type="pct"/>
          </w:tcPr>
          <w:p w14:paraId="0A2E9DB7" w14:textId="77777777" w:rsidR="00AB39F4" w:rsidRPr="00681EE0" w:rsidRDefault="00AB39F4" w:rsidP="001B1083">
            <w:pPr>
              <w:pStyle w:val="TableText0"/>
              <w:jc w:val="center"/>
              <w:rPr>
                <w:b/>
                <w:bCs w:val="0"/>
              </w:rPr>
            </w:pPr>
            <w:r w:rsidRPr="00681EE0">
              <w:rPr>
                <w:b/>
                <w:bCs w:val="0"/>
              </w:rPr>
              <w:t>0.18 [0.11, 0.25]</w:t>
            </w:r>
          </w:p>
        </w:tc>
      </w:tr>
      <w:tr w:rsidR="00AB39F4" w:rsidRPr="0098262F" w14:paraId="3CD17DF2" w14:textId="77777777" w:rsidTr="00260755">
        <w:tc>
          <w:tcPr>
            <w:tcW w:w="626" w:type="pct"/>
            <w:vAlign w:val="center"/>
          </w:tcPr>
          <w:p w14:paraId="7B7912CC" w14:textId="77777777" w:rsidR="00AB39F4" w:rsidRPr="0098262F" w:rsidRDefault="00AB39F4" w:rsidP="001B1083">
            <w:pPr>
              <w:pStyle w:val="TableText0"/>
            </w:pPr>
            <w:r>
              <w:t>ELATIVE</w:t>
            </w:r>
          </w:p>
        </w:tc>
        <w:tc>
          <w:tcPr>
            <w:tcW w:w="708" w:type="pct"/>
            <w:vAlign w:val="center"/>
          </w:tcPr>
          <w:p w14:paraId="6ED322FA" w14:textId="77777777" w:rsidR="00AB39F4" w:rsidRPr="0098262F" w:rsidRDefault="00AB39F4" w:rsidP="001B1083">
            <w:pPr>
              <w:pStyle w:val="TableText0"/>
            </w:pPr>
            <w:r w:rsidRPr="00AC2949">
              <w:t>16/108 (14.8)</w:t>
            </w:r>
          </w:p>
        </w:tc>
        <w:tc>
          <w:tcPr>
            <w:tcW w:w="629" w:type="pct"/>
            <w:vAlign w:val="center"/>
          </w:tcPr>
          <w:p w14:paraId="34F1CF3A" w14:textId="519C435D" w:rsidR="00AB39F4" w:rsidRPr="0098262F" w:rsidRDefault="00AB39F4" w:rsidP="00447323">
            <w:pPr>
              <w:pStyle w:val="TableText0"/>
              <w:jc w:val="center"/>
            </w:pPr>
            <w:r w:rsidRPr="00AC2949">
              <w:t>0</w:t>
            </w:r>
          </w:p>
        </w:tc>
        <w:tc>
          <w:tcPr>
            <w:tcW w:w="1013" w:type="pct"/>
            <w:vAlign w:val="center"/>
          </w:tcPr>
          <w:p w14:paraId="3BA7A808" w14:textId="77777777" w:rsidR="00AB39F4" w:rsidRPr="00D25F66" w:rsidRDefault="00AB39F4" w:rsidP="001B1083">
            <w:pPr>
              <w:pStyle w:val="TableText0"/>
              <w:jc w:val="center"/>
              <w:rPr>
                <w:b/>
                <w:bCs w:val="0"/>
              </w:rPr>
            </w:pPr>
            <w:r w:rsidRPr="00D25F66">
              <w:rPr>
                <w:b/>
                <w:bCs w:val="0"/>
              </w:rPr>
              <w:t>19.09 [1.12, 324.58]</w:t>
            </w:r>
          </w:p>
        </w:tc>
        <w:tc>
          <w:tcPr>
            <w:tcW w:w="1013" w:type="pct"/>
            <w:vAlign w:val="center"/>
          </w:tcPr>
          <w:p w14:paraId="29E60B15" w14:textId="5916392E" w:rsidR="00AB39F4" w:rsidRPr="00D25F66" w:rsidRDefault="003F0676" w:rsidP="001B1083">
            <w:pPr>
              <w:pStyle w:val="TableText0"/>
              <w:jc w:val="center"/>
              <w:rPr>
                <w:b/>
                <w:bCs w:val="0"/>
              </w:rPr>
            </w:pPr>
            <w:r w:rsidRPr="00D25F66">
              <w:rPr>
                <w:b/>
                <w:bCs w:val="0"/>
              </w:rPr>
              <w:t>16.35 [1</w:t>
            </w:r>
            <w:r w:rsidR="00447323">
              <w:rPr>
                <w:b/>
                <w:bCs w:val="0"/>
              </w:rPr>
              <w:t>.00</w:t>
            </w:r>
            <w:r w:rsidRPr="00D25F66">
              <w:rPr>
                <w:b/>
                <w:bCs w:val="0"/>
              </w:rPr>
              <w:t>, 267.38]</w:t>
            </w:r>
          </w:p>
        </w:tc>
        <w:tc>
          <w:tcPr>
            <w:tcW w:w="1011" w:type="pct"/>
          </w:tcPr>
          <w:p w14:paraId="7943E5BD" w14:textId="77777777" w:rsidR="00AB39F4" w:rsidRPr="00D25F66" w:rsidRDefault="00AB39F4" w:rsidP="001B1083">
            <w:pPr>
              <w:pStyle w:val="TableText0"/>
              <w:jc w:val="center"/>
              <w:rPr>
                <w:b/>
                <w:bCs w:val="0"/>
              </w:rPr>
            </w:pPr>
            <w:r w:rsidRPr="00D25F66">
              <w:rPr>
                <w:b/>
                <w:bCs w:val="0"/>
              </w:rPr>
              <w:t>0.15 [0.08, 0.22]</w:t>
            </w:r>
          </w:p>
        </w:tc>
      </w:tr>
      <w:tr w:rsidR="00AB39F4" w:rsidRPr="0098262F" w14:paraId="6DD38EDD" w14:textId="77777777" w:rsidTr="00260755">
        <w:tc>
          <w:tcPr>
            <w:tcW w:w="1963" w:type="pct"/>
            <w:gridSpan w:val="3"/>
            <w:vAlign w:val="center"/>
          </w:tcPr>
          <w:p w14:paraId="4BD9712C" w14:textId="77777777" w:rsidR="00AB39F4" w:rsidRPr="0098262F" w:rsidRDefault="00AB39F4" w:rsidP="001B1083">
            <w:pPr>
              <w:pStyle w:val="TableText0"/>
            </w:pPr>
            <w:r w:rsidRPr="0098262F">
              <w:t>Indirect estimate of effect adjusted for the common reference</w:t>
            </w:r>
          </w:p>
        </w:tc>
        <w:tc>
          <w:tcPr>
            <w:tcW w:w="1013" w:type="pct"/>
            <w:vAlign w:val="center"/>
          </w:tcPr>
          <w:p w14:paraId="6FD79107" w14:textId="1C5FFC46" w:rsidR="00AB39F4" w:rsidRPr="0098262F" w:rsidRDefault="00AB39F4" w:rsidP="001B1083">
            <w:pPr>
              <w:pStyle w:val="TableText0"/>
              <w:jc w:val="center"/>
            </w:pPr>
            <w:r w:rsidRPr="00F073CA">
              <w:t>1.5</w:t>
            </w:r>
            <w:r w:rsidR="00447323">
              <w:t>3</w:t>
            </w:r>
            <w:r w:rsidRPr="00F073CA">
              <w:t xml:space="preserve"> [0.0</w:t>
            </w:r>
            <w:r>
              <w:t>3</w:t>
            </w:r>
            <w:r w:rsidRPr="00F073CA">
              <w:t>, 83.2</w:t>
            </w:r>
            <w:r>
              <w:t>6</w:t>
            </w:r>
            <w:r w:rsidRPr="00F073CA">
              <w:t>]</w:t>
            </w:r>
            <w:r>
              <w:t>;</w:t>
            </w:r>
            <w:r w:rsidRPr="00F073CA">
              <w:t xml:space="preserve"> 0.835</w:t>
            </w:r>
          </w:p>
        </w:tc>
        <w:tc>
          <w:tcPr>
            <w:tcW w:w="1013" w:type="pct"/>
            <w:vAlign w:val="center"/>
          </w:tcPr>
          <w:p w14:paraId="3BE3B6E6" w14:textId="16CC3599" w:rsidR="00AB39F4" w:rsidRPr="0098262F" w:rsidRDefault="003F0676" w:rsidP="001B1083">
            <w:pPr>
              <w:pStyle w:val="TableText0"/>
              <w:jc w:val="center"/>
            </w:pPr>
            <w:r w:rsidRPr="003F0676">
              <w:t>1.21 [0.04, 37.11]</w:t>
            </w:r>
            <w:r>
              <w:t xml:space="preserve">; </w:t>
            </w:r>
            <w:r w:rsidRPr="003F0676">
              <w:t>0.91</w:t>
            </w:r>
            <w:r w:rsidR="00447323">
              <w:t>2</w:t>
            </w:r>
          </w:p>
        </w:tc>
        <w:tc>
          <w:tcPr>
            <w:tcW w:w="1011" w:type="pct"/>
            <w:vAlign w:val="center"/>
          </w:tcPr>
          <w:p w14:paraId="29EC6B0D" w14:textId="3748D69D" w:rsidR="00AB39F4" w:rsidRPr="0098262F" w:rsidRDefault="00AB39F4" w:rsidP="001B1083">
            <w:pPr>
              <w:pStyle w:val="TableText0"/>
              <w:jc w:val="center"/>
            </w:pPr>
            <w:r w:rsidRPr="00F073CA">
              <w:t>0.03 [-0.0</w:t>
            </w:r>
            <w:r>
              <w:t>7</w:t>
            </w:r>
            <w:r w:rsidRPr="00F073CA">
              <w:t>, 0.1</w:t>
            </w:r>
            <w:r>
              <w:t>3</w:t>
            </w:r>
            <w:r w:rsidRPr="00F073CA">
              <w:t>]</w:t>
            </w:r>
            <w:r>
              <w:t>;</w:t>
            </w:r>
            <w:r w:rsidRPr="00F073CA">
              <w:t xml:space="preserve"> 0.55</w:t>
            </w:r>
            <w:r w:rsidR="00447323">
              <w:t>3</w:t>
            </w:r>
          </w:p>
        </w:tc>
      </w:tr>
      <w:tr w:rsidR="00AB39F4" w:rsidRPr="0098262F" w14:paraId="2BC724E4" w14:textId="77777777" w:rsidTr="00260755">
        <w:tc>
          <w:tcPr>
            <w:tcW w:w="5000" w:type="pct"/>
            <w:gridSpan w:val="6"/>
            <w:vAlign w:val="center"/>
          </w:tcPr>
          <w:p w14:paraId="681C9684" w14:textId="77777777" w:rsidR="00AB39F4" w:rsidRPr="0098262F" w:rsidRDefault="00AB39F4" w:rsidP="001B1083">
            <w:pPr>
              <w:pStyle w:val="In-tableHeading"/>
            </w:pPr>
            <w:r>
              <w:t>Anchored MAIC (4 effect modifiers) per ELATIVE threshold (ESS=70)</w:t>
            </w:r>
          </w:p>
        </w:tc>
      </w:tr>
      <w:tr w:rsidR="00AB39F4" w:rsidRPr="0098262F" w14:paraId="02313D95" w14:textId="77777777" w:rsidTr="00260755">
        <w:tc>
          <w:tcPr>
            <w:tcW w:w="1963" w:type="pct"/>
            <w:gridSpan w:val="3"/>
            <w:vAlign w:val="center"/>
          </w:tcPr>
          <w:p w14:paraId="11DEF7A0" w14:textId="77777777" w:rsidR="00AB39F4" w:rsidRPr="0098262F" w:rsidRDefault="00AB39F4" w:rsidP="001B1083">
            <w:pPr>
              <w:pStyle w:val="TableText0"/>
            </w:pPr>
            <w:r w:rsidRPr="0098262F">
              <w:t>Indirect estimate of effect adjusted for the common reference</w:t>
            </w:r>
          </w:p>
        </w:tc>
        <w:tc>
          <w:tcPr>
            <w:tcW w:w="1013" w:type="pct"/>
            <w:vAlign w:val="center"/>
          </w:tcPr>
          <w:p w14:paraId="31CE82D4" w14:textId="77777777" w:rsidR="00AB39F4" w:rsidRPr="0098262F" w:rsidRDefault="00AB39F4" w:rsidP="001B1083">
            <w:pPr>
              <w:pStyle w:val="TableText0"/>
              <w:jc w:val="center"/>
            </w:pPr>
            <w:r w:rsidRPr="00F073CA">
              <w:t>1.77 [0.03, 96.33]</w:t>
            </w:r>
          </w:p>
        </w:tc>
        <w:tc>
          <w:tcPr>
            <w:tcW w:w="1013" w:type="pct"/>
            <w:vAlign w:val="center"/>
          </w:tcPr>
          <w:p w14:paraId="5A7DC05A" w14:textId="77777777" w:rsidR="00AB39F4" w:rsidRPr="0098262F" w:rsidRDefault="00AB39F4" w:rsidP="001B1083">
            <w:pPr>
              <w:pStyle w:val="TableText0"/>
              <w:jc w:val="center"/>
            </w:pPr>
            <w:r w:rsidRPr="00F073CA">
              <w:t xml:space="preserve">1.66 </w:t>
            </w:r>
            <w:r>
              <w:t>[</w:t>
            </w:r>
            <w:r w:rsidRPr="00F073CA">
              <w:t>0.03, 85.54</w:t>
            </w:r>
            <w:r>
              <w:t>]</w:t>
            </w:r>
          </w:p>
        </w:tc>
        <w:tc>
          <w:tcPr>
            <w:tcW w:w="1011" w:type="pct"/>
            <w:vAlign w:val="center"/>
          </w:tcPr>
          <w:p w14:paraId="25492586" w14:textId="77777777" w:rsidR="00AB39F4" w:rsidRPr="0098262F" w:rsidRDefault="00AB39F4" w:rsidP="001B1083">
            <w:pPr>
              <w:pStyle w:val="TableText0"/>
              <w:jc w:val="center"/>
            </w:pPr>
            <w:r w:rsidRPr="00F073CA">
              <w:t>0.05 [-0.04, 0.15]</w:t>
            </w:r>
          </w:p>
        </w:tc>
      </w:tr>
    </w:tbl>
    <w:p w14:paraId="36141D93" w14:textId="4DD49707" w:rsidR="00AB39F4" w:rsidRPr="00B35EEA" w:rsidRDefault="00AB39F4" w:rsidP="00AB39F4">
      <w:pPr>
        <w:pStyle w:val="FooterTableFigure"/>
      </w:pPr>
      <w:r w:rsidRPr="0098262F">
        <w:t>Source:</w:t>
      </w:r>
      <w:r>
        <w:t xml:space="preserve"> </w:t>
      </w:r>
      <w:r w:rsidRPr="0098262F">
        <w:t>Table</w:t>
      </w:r>
      <w:r>
        <w:t>s 56 &amp; 61</w:t>
      </w:r>
      <w:r w:rsidRPr="0098262F">
        <w:t>, pp</w:t>
      </w:r>
      <w:r>
        <w:t>133 &amp; 136</w:t>
      </w:r>
      <w:r w:rsidRPr="0098262F">
        <w:t xml:space="preserve"> of the submission</w:t>
      </w:r>
      <w:r>
        <w:t>; Table 14, p26, Attachment 7 of the submission</w:t>
      </w:r>
      <w:r w:rsidR="008078BB">
        <w:t xml:space="preserve">; </w:t>
      </w:r>
      <w:bookmarkStart w:id="37" w:name="_Hlk197983056"/>
      <w:r w:rsidR="008078BB">
        <w:t xml:space="preserve">Bucher indirect analysis </w:t>
      </w:r>
      <w:r w:rsidR="008078BB" w:rsidRPr="00B35EEA">
        <w:t>spreadsheet_Seladepar</w:t>
      </w:r>
      <w:r w:rsidR="00461A44" w:rsidRPr="00B35EEA">
        <w:t xml:space="preserve"> and Seladelpar for PBC RevMan file</w:t>
      </w:r>
      <w:r w:rsidR="008078BB" w:rsidRPr="00B35EEA">
        <w:t>, Attachment 7 of the submission</w:t>
      </w:r>
      <w:r w:rsidRPr="00B35EEA">
        <w:t>.</w:t>
      </w:r>
      <w:r w:rsidR="007548E0" w:rsidRPr="00B35EEA">
        <w:t xml:space="preserve"> </w:t>
      </w:r>
      <w:bookmarkStart w:id="38" w:name="_Hlk197975960"/>
      <w:bookmarkEnd w:id="37"/>
      <w:r w:rsidR="007548E0" w:rsidRPr="00B35EEA">
        <w:t>Italicised text (corrections to submission based on values from Bucher indirect analysis spreadsheet, Attachment 7 of the submission)added during the evaluation.</w:t>
      </w:r>
      <w:bookmarkEnd w:id="38"/>
    </w:p>
    <w:p w14:paraId="3CBF5CD5" w14:textId="47605366" w:rsidR="00AB39F4" w:rsidRDefault="00AB39F4" w:rsidP="00AB39F4">
      <w:pPr>
        <w:pStyle w:val="FooterTableFigure"/>
      </w:pPr>
      <w:r w:rsidRPr="00B35EEA">
        <w:t>CI = confidence interval; CrI = credible interval; ESS = effective sample size; ITC = indirect treatment comparison; ITT = intention to treat;</w:t>
      </w:r>
      <w:r>
        <w:t xml:space="preserve"> n = number of participants with event; N = number of participants in arm;</w:t>
      </w:r>
      <w:r w:rsidRPr="005D3EBC">
        <w:t xml:space="preserve"> NMA</w:t>
      </w:r>
      <w:r>
        <w:t xml:space="preserve"> =</w:t>
      </w:r>
      <w:r w:rsidRPr="005D3EBC">
        <w:t xml:space="preserve"> network meta-analysis; </w:t>
      </w:r>
      <w:r w:rsidR="00ED5EB5">
        <w:t xml:space="preserve">NR = not reported; </w:t>
      </w:r>
      <w:r w:rsidRPr="005D3EBC">
        <w:t>OCA</w:t>
      </w:r>
      <w:r>
        <w:t xml:space="preserve"> =</w:t>
      </w:r>
      <w:r w:rsidRPr="005D3EBC">
        <w:t xml:space="preserve"> obeticholic acid; PBO</w:t>
      </w:r>
      <w:r>
        <w:t xml:space="preserve"> =</w:t>
      </w:r>
      <w:r w:rsidRPr="005D3EBC">
        <w:t xml:space="preserve"> placebo; OR</w:t>
      </w:r>
      <w:r>
        <w:t xml:space="preserve"> =</w:t>
      </w:r>
      <w:r w:rsidRPr="005D3EBC">
        <w:t xml:space="preserve"> odds ratio; RD</w:t>
      </w:r>
      <w:r>
        <w:t xml:space="preserve"> =</w:t>
      </w:r>
      <w:r w:rsidRPr="005D3EBC">
        <w:t xml:space="preserve"> risk difference; RR</w:t>
      </w:r>
      <w:r>
        <w:t xml:space="preserve"> =</w:t>
      </w:r>
      <w:r w:rsidRPr="005D3EBC">
        <w:t xml:space="preserve"> relative risk.</w:t>
      </w:r>
    </w:p>
    <w:p w14:paraId="030A488B" w14:textId="77890ADD" w:rsidR="00DE2A89" w:rsidRPr="0098262F" w:rsidRDefault="00DE2A89" w:rsidP="00AB39F4">
      <w:pPr>
        <w:pStyle w:val="FooterTableFigure"/>
        <w:rPr>
          <w:sz w:val="20"/>
        </w:rPr>
      </w:pPr>
      <w:r w:rsidRPr="007548E0">
        <w:rPr>
          <w:b/>
          <w:bCs/>
        </w:rPr>
        <w:t xml:space="preserve">Bold </w:t>
      </w:r>
      <w:r>
        <w:t xml:space="preserve">indicates </w:t>
      </w:r>
      <w:r w:rsidR="007548E0">
        <w:t>statistically significant results.</w:t>
      </w:r>
      <w:r w:rsidR="00681EE0">
        <w:t xml:space="preserve"> </w:t>
      </w:r>
      <w:bookmarkStart w:id="39" w:name="_Hlk197983129"/>
      <w:r w:rsidR="00681EE0" w:rsidRPr="003D4E78">
        <w:rPr>
          <w:rFonts w:eastAsia="Calibri"/>
          <w:i/>
          <w:iCs/>
        </w:rPr>
        <w:t>Results of the IPD analyses could not be verified during the evaluation.</w:t>
      </w:r>
    </w:p>
    <w:bookmarkEnd w:id="39"/>
    <w:p w14:paraId="5BBD46CA" w14:textId="295B10B2" w:rsidR="00D25F66" w:rsidRPr="00B35EEA" w:rsidRDefault="00D25F66" w:rsidP="00EC5836">
      <w:pPr>
        <w:pStyle w:val="3-BodyText"/>
      </w:pPr>
      <w:r w:rsidRPr="00B35EEA">
        <w:t xml:space="preserve">The RESPONSE trial met the key secondary endpoint of ALP normalisation, with a statistically significant absolute difference </w:t>
      </w:r>
      <w:r w:rsidR="00424AD4" w:rsidRPr="00B35EEA">
        <w:t xml:space="preserve">between seladelpar and placebo </w:t>
      </w:r>
      <w:r w:rsidRPr="00B35EEA">
        <w:t>of 25% (95% CI: 18.3, 33.2; p &lt;0.0001)</w:t>
      </w:r>
      <w:r w:rsidR="005B38DB" w:rsidRPr="00B35EEA">
        <w:t xml:space="preserve"> (</w:t>
      </w:r>
      <w:r w:rsidR="005B38DB" w:rsidRPr="00B35EEA">
        <w:fldChar w:fldCharType="begin"/>
      </w:r>
      <w:r w:rsidR="005B38DB" w:rsidRPr="00B35EEA">
        <w:instrText xml:space="preserve"> REF _Ref196402067 \h </w:instrText>
      </w:r>
      <w:r w:rsidR="00B35EEA" w:rsidRPr="00B35EEA">
        <w:instrText xml:space="preserve"> \* MERGEFORMAT </w:instrText>
      </w:r>
      <w:r w:rsidR="005B38DB" w:rsidRPr="00B35EEA">
        <w:fldChar w:fldCharType="separate"/>
      </w:r>
      <w:r w:rsidR="00333A5F">
        <w:t xml:space="preserve">Table </w:t>
      </w:r>
      <w:r w:rsidR="00333A5F">
        <w:rPr>
          <w:noProof/>
        </w:rPr>
        <w:t>6</w:t>
      </w:r>
      <w:r w:rsidR="005B38DB" w:rsidRPr="00B35EEA">
        <w:fldChar w:fldCharType="end"/>
      </w:r>
      <w:r w:rsidR="005B38DB" w:rsidRPr="00B35EEA">
        <w:t>)</w:t>
      </w:r>
      <w:r w:rsidRPr="00B35EEA">
        <w:t xml:space="preserve">. </w:t>
      </w:r>
      <w:r w:rsidR="005B38DB" w:rsidRPr="00B35EEA">
        <w:t>Regardless of whether ALP normalisation was defined per the RESPONSE, POISE, or ELATIVE thresholds, there was a greater proportion of pa</w:t>
      </w:r>
      <w:r w:rsidR="00732CE9" w:rsidRPr="00B35EEA">
        <w:t>rticipa</w:t>
      </w:r>
      <w:r w:rsidR="005B38DB" w:rsidRPr="00B35EEA">
        <w:t xml:space="preserve">nts treated with seladelpar relative to </w:t>
      </w:r>
      <w:r w:rsidR="00424AD4" w:rsidRPr="00B35EEA">
        <w:t>placebo</w:t>
      </w:r>
      <w:r w:rsidR="005B38DB" w:rsidRPr="00B35EEA">
        <w:t xml:space="preserve"> achieving ALP normalisation at 12 months.</w:t>
      </w:r>
    </w:p>
    <w:p w14:paraId="2D91C129" w14:textId="330BAD2D" w:rsidR="00D25F66" w:rsidRPr="00B35EEA" w:rsidRDefault="005B38DB" w:rsidP="00EC5836">
      <w:pPr>
        <w:pStyle w:val="3-BodyText"/>
      </w:pPr>
      <w:r w:rsidRPr="00B35EEA">
        <w:t>The Bucher indirect comparison comparing seladelpar v</w:t>
      </w:r>
      <w:r w:rsidR="00DE0F83">
        <w:t>ersu</w:t>
      </w:r>
      <w:r w:rsidRPr="00B35EEA">
        <w:t xml:space="preserve">s OCA achieved a statistically significant result using RD as </w:t>
      </w:r>
      <w:r w:rsidR="007C526D" w:rsidRPr="00B35EEA">
        <w:t>the measure of association</w:t>
      </w:r>
      <w:r w:rsidRPr="00B35EEA">
        <w:t xml:space="preserve"> </w:t>
      </w:r>
      <w:r w:rsidR="007C526D" w:rsidRPr="00B35EEA">
        <w:t>(RD</w:t>
      </w:r>
      <w:r w:rsidR="00993DA1">
        <w:t xml:space="preserve"> =</w:t>
      </w:r>
      <w:r w:rsidR="007C526D" w:rsidRPr="00B35EEA">
        <w:t xml:space="preserve"> 0.24; 95% CI: 0.05, 0.43; p=0.01</w:t>
      </w:r>
      <w:r w:rsidR="004511F3" w:rsidRPr="00B35EEA">
        <w:t>5</w:t>
      </w:r>
      <w:r w:rsidR="007C526D" w:rsidRPr="00B35EEA">
        <w:t xml:space="preserve">), but not OR (13.92; 95% CI: 0.20, 989.68; p=0.226) or RR </w:t>
      </w:r>
      <w:r w:rsidR="007C526D" w:rsidRPr="00B35EEA">
        <w:lastRenderedPageBreak/>
        <w:t xml:space="preserve">(10.63; 95% CI: 0.16, 725.42) p=0.273). </w:t>
      </w:r>
      <w:r w:rsidRPr="00B35EEA">
        <w:t xml:space="preserve">Similar results were observed when the indirect comparison was conducted after the RESPONSE results were recalculated to fit the POISE trial </w:t>
      </w:r>
      <w:r w:rsidR="001932AC" w:rsidRPr="00B35EEA">
        <w:t>threshold for</w:t>
      </w:r>
      <w:r w:rsidRPr="00B35EEA">
        <w:t xml:space="preserve"> ALP normalisation. The Bayesian NMA </w:t>
      </w:r>
      <w:r w:rsidR="0044174C" w:rsidRPr="00B35EEA">
        <w:t xml:space="preserve">based on RR </w:t>
      </w:r>
      <w:r w:rsidRPr="00B35EEA">
        <w:t>found no significant difference in ALP normalisation.</w:t>
      </w:r>
    </w:p>
    <w:p w14:paraId="6EB46AF3" w14:textId="1C13594C" w:rsidR="005B38DB" w:rsidRPr="00B35EEA" w:rsidRDefault="005B38DB" w:rsidP="00EC5836">
      <w:pPr>
        <w:pStyle w:val="3-BodyText"/>
      </w:pPr>
      <w:r w:rsidRPr="00B35EEA">
        <w:t xml:space="preserve">The Bucher ITC assessing </w:t>
      </w:r>
      <w:r w:rsidR="0044174C" w:rsidRPr="00B35EEA">
        <w:t>ALP normalisation</w:t>
      </w:r>
      <w:r w:rsidRPr="00B35EEA">
        <w:t xml:space="preserve"> (as per the individual trial thresholds) showed comparable results for pa</w:t>
      </w:r>
      <w:r w:rsidR="00732CE9" w:rsidRPr="00B35EEA">
        <w:t>rticipan</w:t>
      </w:r>
      <w:r w:rsidRPr="00B35EEA">
        <w:t>ts treated with seladelpar v</w:t>
      </w:r>
      <w:r w:rsidR="00DE0F83">
        <w:t>ersu</w:t>
      </w:r>
      <w:r w:rsidRPr="00B35EEA">
        <w:t>s elafibranor (RD</w:t>
      </w:r>
      <w:r w:rsidR="00B0389A">
        <w:t xml:space="preserve"> </w:t>
      </w:r>
      <w:r w:rsidRPr="00B35EEA">
        <w:t>=</w:t>
      </w:r>
      <w:r w:rsidR="00732CE9" w:rsidRPr="00B35EEA">
        <w:t xml:space="preserve"> </w:t>
      </w:r>
      <w:r w:rsidR="007548E0" w:rsidRPr="00B35EEA">
        <w:t>0.1</w:t>
      </w:r>
      <w:r w:rsidR="00B0389A">
        <w:t>;</w:t>
      </w:r>
      <w:r w:rsidRPr="00B35EEA">
        <w:t xml:space="preserve"> 95% CI: -0.</w:t>
      </w:r>
      <w:r w:rsidR="007548E0" w:rsidRPr="00B35EEA">
        <w:t>01</w:t>
      </w:r>
      <w:r w:rsidRPr="00B35EEA">
        <w:t>, 0.</w:t>
      </w:r>
      <w:r w:rsidR="007548E0" w:rsidRPr="00B35EEA">
        <w:t>21</w:t>
      </w:r>
      <w:r w:rsidRPr="00B35EEA">
        <w:t>; p=0.</w:t>
      </w:r>
      <w:r w:rsidR="007548E0" w:rsidRPr="00B35EEA">
        <w:t>0065</w:t>
      </w:r>
      <w:r w:rsidRPr="00B35EEA">
        <w:t xml:space="preserve">). Similar results were observed when the RESPONSE trial results were recalculated to fit the ELATIVE trial </w:t>
      </w:r>
      <w:r w:rsidR="001932AC" w:rsidRPr="00B35EEA">
        <w:t>threshold for</w:t>
      </w:r>
      <w:r w:rsidRPr="00B35EEA">
        <w:t xml:space="preserve"> ALP normalisation, and when an a</w:t>
      </w:r>
      <w:r w:rsidR="0044174C" w:rsidRPr="00B35EEA">
        <w:t>nchored MAIC was used.</w:t>
      </w:r>
    </w:p>
    <w:p w14:paraId="2DBAA2F6" w14:textId="1315863C" w:rsidR="00AB39F4" w:rsidRPr="00B35EEA" w:rsidRDefault="004C2A64" w:rsidP="007C526D">
      <w:pPr>
        <w:pStyle w:val="3-BodyText"/>
      </w:pPr>
      <w:r w:rsidRPr="00B35EEA">
        <w:fldChar w:fldCharType="begin"/>
      </w:r>
      <w:r w:rsidRPr="00B35EEA">
        <w:instrText xml:space="preserve"> REF _Ref196402236 \h </w:instrText>
      </w:r>
      <w:r w:rsidR="00B35EEA" w:rsidRPr="00B35EEA">
        <w:instrText xml:space="preserve"> \* MERGEFORMAT </w:instrText>
      </w:r>
      <w:r w:rsidRPr="00B35EEA">
        <w:fldChar w:fldCharType="separate"/>
      </w:r>
      <w:r w:rsidR="00333A5F">
        <w:t xml:space="preserve">Table </w:t>
      </w:r>
      <w:r w:rsidR="00333A5F">
        <w:rPr>
          <w:noProof/>
        </w:rPr>
        <w:t>7</w:t>
      </w:r>
      <w:r w:rsidRPr="00B35EEA">
        <w:fldChar w:fldCharType="end"/>
      </w:r>
      <w:r w:rsidRPr="00B35EEA">
        <w:t xml:space="preserve"> summarises the RESPONSE, POISE and ELATIVE whole trial results and indirect comparisons for Pruritus NRS, PBC-40 itch, and 5-D Itch.</w:t>
      </w:r>
      <w:r w:rsidR="00424AD4" w:rsidRPr="00B35EEA">
        <w:t xml:space="preserve"> </w:t>
      </w:r>
      <w:r w:rsidR="00616646" w:rsidRPr="00B35EEA">
        <w:t xml:space="preserve">Reductions in these measures indicate symptom improvement. </w:t>
      </w:r>
      <w:r w:rsidR="00424AD4" w:rsidRPr="00B35EEA">
        <w:t>The POISE trial did not assess Pruritus NRS.</w:t>
      </w:r>
      <w:r w:rsidR="007C526D" w:rsidRPr="00B35EEA">
        <w:t xml:space="preserve"> The submission did not present Bucher indirect comparisons for the patient</w:t>
      </w:r>
      <w:r w:rsidR="000D30EA" w:rsidRPr="00B35EEA">
        <w:t>-</w:t>
      </w:r>
      <w:r w:rsidR="007C526D" w:rsidRPr="00B35EEA">
        <w:t xml:space="preserve">reported outcomes of PBC-40 itch domain, 5-D Itch, and Pruritus NRS. P-values were not presented for the Bayesian NMA results. </w:t>
      </w:r>
    </w:p>
    <w:p w14:paraId="0D918161" w14:textId="716A8B9A" w:rsidR="00AB39F4" w:rsidRDefault="00AB39F4" w:rsidP="00260755">
      <w:pPr>
        <w:pStyle w:val="Caption"/>
      </w:pPr>
      <w:bookmarkStart w:id="40" w:name="_Ref196402236"/>
      <w:r>
        <w:t xml:space="preserve">Table </w:t>
      </w:r>
      <w:r w:rsidR="00A24BC2">
        <w:fldChar w:fldCharType="begin"/>
      </w:r>
      <w:r w:rsidR="00A24BC2">
        <w:instrText xml:space="preserve"> SEQ Table \* ARABIC </w:instrText>
      </w:r>
      <w:r w:rsidR="00A24BC2">
        <w:fldChar w:fldCharType="separate"/>
      </w:r>
      <w:r w:rsidR="00333A5F">
        <w:rPr>
          <w:noProof/>
        </w:rPr>
        <w:t>7</w:t>
      </w:r>
      <w:r w:rsidR="00A24BC2">
        <w:rPr>
          <w:noProof/>
        </w:rPr>
        <w:fldChar w:fldCharType="end"/>
      </w:r>
      <w:bookmarkEnd w:id="40"/>
      <w:r>
        <w:t xml:space="preserve">: </w:t>
      </w:r>
      <w:r w:rsidRPr="00AB39F4">
        <w:t xml:space="preserve">Summary of the RESPONSE, POISE and ELATIVE whole trial results and indirect comparisons for </w:t>
      </w:r>
      <w:r w:rsidR="004C2A64" w:rsidRPr="004C2A64">
        <w:t>Pruritus NRS, PBC-40 itch, and 5-D Itch</w:t>
      </w:r>
      <w:r w:rsidRPr="00AB39F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the RESPONSE, POISE and ELATIVE whole trial results and indirect comparisons for Pruritus NRS, PBC-40 itch, and 5-D Itch."/>
      </w:tblPr>
      <w:tblGrid>
        <w:gridCol w:w="6516"/>
        <w:gridCol w:w="2501"/>
      </w:tblGrid>
      <w:tr w:rsidR="00AB39F4" w:rsidRPr="0098262F" w14:paraId="77F355C3" w14:textId="77777777" w:rsidTr="00260755">
        <w:trPr>
          <w:trHeight w:val="469"/>
          <w:tblHeader/>
        </w:trPr>
        <w:tc>
          <w:tcPr>
            <w:tcW w:w="3613" w:type="pct"/>
            <w:vAlign w:val="center"/>
          </w:tcPr>
          <w:p w14:paraId="1A74B560" w14:textId="77777777" w:rsidR="00AB39F4" w:rsidRPr="00282ED7" w:rsidRDefault="00AB39F4" w:rsidP="00260755">
            <w:pPr>
              <w:pStyle w:val="In-tableHeading"/>
              <w:jc w:val="center"/>
            </w:pPr>
            <w:r w:rsidRPr="00282ED7">
              <w:t>Trial ID</w:t>
            </w:r>
          </w:p>
        </w:tc>
        <w:tc>
          <w:tcPr>
            <w:tcW w:w="1387" w:type="pct"/>
            <w:vAlign w:val="center"/>
          </w:tcPr>
          <w:p w14:paraId="0A5EF540" w14:textId="204555F0" w:rsidR="00AB39F4" w:rsidRPr="00282ED7" w:rsidRDefault="00AB39F4" w:rsidP="00260755">
            <w:pPr>
              <w:pStyle w:val="In-tableHeading"/>
              <w:jc w:val="center"/>
            </w:pPr>
            <w:r w:rsidRPr="00282ED7">
              <w:t xml:space="preserve">Treatment effect, </w:t>
            </w:r>
            <w:r w:rsidR="005E4407">
              <w:br/>
            </w:r>
            <w:r w:rsidRPr="00282ED7">
              <w:t>Mean Difference (95% CI)</w:t>
            </w:r>
            <w:r w:rsidR="00984488">
              <w:t xml:space="preserve">; </w:t>
            </w:r>
            <w:r w:rsidR="005E4407">
              <w:br/>
            </w:r>
            <w:r w:rsidR="00984488">
              <w:t>p-value</w:t>
            </w:r>
          </w:p>
        </w:tc>
      </w:tr>
      <w:tr w:rsidR="00AB39F4" w:rsidRPr="0098262F" w14:paraId="7D64C142" w14:textId="77777777" w:rsidTr="00260755">
        <w:trPr>
          <w:tblHeader/>
        </w:trPr>
        <w:tc>
          <w:tcPr>
            <w:tcW w:w="5000" w:type="pct"/>
            <w:gridSpan w:val="2"/>
            <w:vAlign w:val="center"/>
          </w:tcPr>
          <w:p w14:paraId="4D2E1EE9" w14:textId="1DD1012D" w:rsidR="00AB39F4" w:rsidRDefault="00AB39F4" w:rsidP="00260755">
            <w:pPr>
              <w:pStyle w:val="In-tableHeading"/>
              <w:rPr>
                <w:lang w:val="en-AU"/>
              </w:rPr>
            </w:pPr>
            <w:r>
              <w:rPr>
                <w:lang w:val="en-AU"/>
              </w:rPr>
              <w:t xml:space="preserve">Seladelpar vs OCA 5-10 mg (ITT population) </w:t>
            </w:r>
          </w:p>
        </w:tc>
      </w:tr>
      <w:tr w:rsidR="00AB39F4" w:rsidRPr="0098262F" w14:paraId="2DDDB325" w14:textId="77777777" w:rsidTr="00260755">
        <w:trPr>
          <w:tblHeader/>
        </w:trPr>
        <w:tc>
          <w:tcPr>
            <w:tcW w:w="5000" w:type="pct"/>
            <w:gridSpan w:val="2"/>
            <w:vAlign w:val="center"/>
          </w:tcPr>
          <w:p w14:paraId="1D570168" w14:textId="77777777" w:rsidR="00AB39F4" w:rsidRDefault="00AB39F4" w:rsidP="00260755">
            <w:pPr>
              <w:pStyle w:val="In-tableHeading"/>
              <w:rPr>
                <w:lang w:val="en-AU"/>
              </w:rPr>
            </w:pPr>
            <w:r>
              <w:rPr>
                <w:lang w:val="en-AU"/>
              </w:rPr>
              <w:t>PBC-40 itch</w:t>
            </w:r>
          </w:p>
        </w:tc>
      </w:tr>
      <w:tr w:rsidR="00AB39F4" w:rsidRPr="0098262F" w14:paraId="3D10EDC4" w14:textId="77777777" w:rsidTr="00260755">
        <w:tc>
          <w:tcPr>
            <w:tcW w:w="3613" w:type="pct"/>
            <w:vAlign w:val="center"/>
          </w:tcPr>
          <w:p w14:paraId="2D2E6D68" w14:textId="77777777" w:rsidR="00AB39F4" w:rsidRPr="0098262F" w:rsidRDefault="00AB39F4" w:rsidP="00260755">
            <w:pPr>
              <w:pStyle w:val="TableText0"/>
            </w:pPr>
            <w:r>
              <w:t>RESPONSE (vs PBO)</w:t>
            </w:r>
          </w:p>
        </w:tc>
        <w:tc>
          <w:tcPr>
            <w:tcW w:w="1387" w:type="pct"/>
            <w:vAlign w:val="center"/>
          </w:tcPr>
          <w:p w14:paraId="6927F5E3" w14:textId="57721861" w:rsidR="00AB39F4" w:rsidRPr="0098262F" w:rsidRDefault="00AB39F4" w:rsidP="00260755">
            <w:pPr>
              <w:pStyle w:val="TableText0"/>
              <w:jc w:val="center"/>
            </w:pPr>
            <w:r>
              <w:t>-0.83 (-1.</w:t>
            </w:r>
            <w:r w:rsidR="0044174C">
              <w:t>68</w:t>
            </w:r>
            <w:r>
              <w:t>, 0.</w:t>
            </w:r>
            <w:r w:rsidR="0044174C">
              <w:t>02</w:t>
            </w:r>
            <w:r>
              <w:t>)</w:t>
            </w:r>
            <w:r w:rsidR="00984488">
              <w:t>; 0.054</w:t>
            </w:r>
          </w:p>
        </w:tc>
      </w:tr>
      <w:tr w:rsidR="00AB39F4" w:rsidRPr="0098262F" w14:paraId="67C8FF41" w14:textId="77777777" w:rsidTr="00260755">
        <w:tc>
          <w:tcPr>
            <w:tcW w:w="3613" w:type="pct"/>
            <w:vAlign w:val="center"/>
          </w:tcPr>
          <w:p w14:paraId="4D7E4C0C" w14:textId="060AA85B" w:rsidR="00AB39F4" w:rsidRPr="0098262F" w:rsidRDefault="00AB39F4" w:rsidP="00260755">
            <w:pPr>
              <w:pStyle w:val="TableText0"/>
            </w:pPr>
            <w:r w:rsidRPr="0098262F">
              <w:t>Indirect estimate of effect</w:t>
            </w:r>
            <w:r>
              <w:t xml:space="preserve"> vs OCA</w:t>
            </w:r>
            <w:r w:rsidRPr="0098262F">
              <w:t xml:space="preserve"> adjusted for the common reference</w:t>
            </w:r>
            <w:r w:rsidR="0044174C">
              <w:t xml:space="preserve"> – Bayesian NMA</w:t>
            </w:r>
          </w:p>
        </w:tc>
        <w:tc>
          <w:tcPr>
            <w:tcW w:w="1387" w:type="pct"/>
            <w:vAlign w:val="center"/>
          </w:tcPr>
          <w:p w14:paraId="01384C05" w14:textId="6BE16E26" w:rsidR="00AB39F4" w:rsidRPr="005A1906" w:rsidRDefault="00AB39F4" w:rsidP="00260755">
            <w:pPr>
              <w:pStyle w:val="TableText0"/>
              <w:jc w:val="center"/>
            </w:pPr>
            <w:r w:rsidRPr="005A1906">
              <w:t>-1.47 (-3.12, 0.17)</w:t>
            </w:r>
            <w:r w:rsidR="00984488">
              <w:t>; NR</w:t>
            </w:r>
          </w:p>
        </w:tc>
      </w:tr>
      <w:tr w:rsidR="00AB39F4" w:rsidRPr="0098262F" w14:paraId="7414749F" w14:textId="77777777" w:rsidTr="00260755">
        <w:tc>
          <w:tcPr>
            <w:tcW w:w="5000" w:type="pct"/>
            <w:gridSpan w:val="2"/>
            <w:vAlign w:val="center"/>
          </w:tcPr>
          <w:p w14:paraId="24F55D99" w14:textId="77777777" w:rsidR="00AB39F4" w:rsidRDefault="00AB39F4" w:rsidP="00260755">
            <w:pPr>
              <w:pStyle w:val="In-tableHeading"/>
            </w:pPr>
            <w:r>
              <w:t>5-D itch</w:t>
            </w:r>
          </w:p>
        </w:tc>
      </w:tr>
      <w:tr w:rsidR="00AB39F4" w:rsidRPr="0098262F" w14:paraId="7CD7125A" w14:textId="77777777" w:rsidTr="00260755">
        <w:tc>
          <w:tcPr>
            <w:tcW w:w="3613" w:type="pct"/>
            <w:vAlign w:val="center"/>
          </w:tcPr>
          <w:p w14:paraId="4FCAE0E3" w14:textId="77777777" w:rsidR="00AB39F4" w:rsidRPr="0098262F" w:rsidRDefault="00AB39F4" w:rsidP="00260755">
            <w:pPr>
              <w:pStyle w:val="TableText0"/>
            </w:pPr>
            <w:r>
              <w:t>RESPONSE (vs PBO)</w:t>
            </w:r>
          </w:p>
        </w:tc>
        <w:tc>
          <w:tcPr>
            <w:tcW w:w="1387" w:type="pct"/>
            <w:vAlign w:val="center"/>
          </w:tcPr>
          <w:p w14:paraId="35223850" w14:textId="44FDF647" w:rsidR="00AB39F4" w:rsidRPr="0098262F" w:rsidRDefault="00AB39F4" w:rsidP="00260755">
            <w:pPr>
              <w:pStyle w:val="TableText0"/>
              <w:jc w:val="center"/>
            </w:pPr>
            <w:r w:rsidRPr="005A1906">
              <w:rPr>
                <w:b/>
                <w:bCs w:val="0"/>
              </w:rPr>
              <w:t>-2.</w:t>
            </w:r>
            <w:r w:rsidR="00984488">
              <w:rPr>
                <w:b/>
                <w:bCs w:val="0"/>
              </w:rPr>
              <w:t>3</w:t>
            </w:r>
            <w:r w:rsidRPr="005A1906">
              <w:rPr>
                <w:b/>
                <w:bCs w:val="0"/>
              </w:rPr>
              <w:t xml:space="preserve"> (-3.</w:t>
            </w:r>
            <w:r w:rsidR="00984488">
              <w:rPr>
                <w:b/>
                <w:bCs w:val="0"/>
              </w:rPr>
              <w:t>4</w:t>
            </w:r>
            <w:r w:rsidRPr="005A1906">
              <w:rPr>
                <w:b/>
                <w:bCs w:val="0"/>
              </w:rPr>
              <w:t>, -1.2)</w:t>
            </w:r>
            <w:r w:rsidR="00984488">
              <w:rPr>
                <w:b/>
                <w:bCs w:val="0"/>
              </w:rPr>
              <w:t>; &lt;0.0001</w:t>
            </w:r>
          </w:p>
        </w:tc>
      </w:tr>
      <w:tr w:rsidR="00AB39F4" w:rsidRPr="0098262F" w14:paraId="76DA20BA" w14:textId="77777777" w:rsidTr="00260755">
        <w:tc>
          <w:tcPr>
            <w:tcW w:w="3613" w:type="pct"/>
            <w:vAlign w:val="center"/>
          </w:tcPr>
          <w:p w14:paraId="61E7F6DC" w14:textId="1785CEAC" w:rsidR="00AB39F4" w:rsidRPr="0098262F" w:rsidRDefault="00AB39F4" w:rsidP="00260755">
            <w:pPr>
              <w:pStyle w:val="TableText0"/>
            </w:pPr>
            <w:r w:rsidRPr="0098262F">
              <w:t>Indirect estimate of effect</w:t>
            </w:r>
            <w:r>
              <w:t xml:space="preserve"> vs OCA</w:t>
            </w:r>
            <w:r w:rsidRPr="0098262F">
              <w:t xml:space="preserve"> adjusted for the common reference</w:t>
            </w:r>
            <w:r w:rsidR="0044174C">
              <w:t xml:space="preserve"> – Bayesian NMA</w:t>
            </w:r>
          </w:p>
        </w:tc>
        <w:tc>
          <w:tcPr>
            <w:tcW w:w="1387" w:type="pct"/>
            <w:vAlign w:val="center"/>
          </w:tcPr>
          <w:p w14:paraId="1AF652FB" w14:textId="1DDABE79" w:rsidR="00AB39F4" w:rsidRPr="00F073CA" w:rsidRDefault="00AB39F4" w:rsidP="00260755">
            <w:pPr>
              <w:pStyle w:val="TableText0"/>
              <w:jc w:val="center"/>
              <w:rPr>
                <w:b/>
                <w:bCs w:val="0"/>
              </w:rPr>
            </w:pPr>
            <w:r>
              <w:rPr>
                <w:b/>
                <w:bCs w:val="0"/>
              </w:rPr>
              <w:t>-3.51 (-5.80, -1.23)</w:t>
            </w:r>
            <w:r w:rsidR="00424AD4">
              <w:rPr>
                <w:b/>
                <w:bCs w:val="0"/>
              </w:rPr>
              <w:t>; NR</w:t>
            </w:r>
          </w:p>
        </w:tc>
      </w:tr>
      <w:tr w:rsidR="00AB39F4" w:rsidRPr="0098262F" w14:paraId="4220C1C9" w14:textId="77777777" w:rsidTr="00260755">
        <w:tc>
          <w:tcPr>
            <w:tcW w:w="5000" w:type="pct"/>
            <w:gridSpan w:val="2"/>
            <w:tcBorders>
              <w:top w:val="double" w:sz="4" w:space="0" w:color="auto"/>
            </w:tcBorders>
            <w:vAlign w:val="center"/>
          </w:tcPr>
          <w:p w14:paraId="29266C98" w14:textId="7626DD22" w:rsidR="00AB39F4" w:rsidRPr="0098262F" w:rsidRDefault="00AB39F4" w:rsidP="00260755">
            <w:pPr>
              <w:pStyle w:val="In-tableHeading"/>
            </w:pPr>
            <w:r>
              <w:t xml:space="preserve">Seladelpar vs elafibranor (MSPN population) </w:t>
            </w:r>
          </w:p>
        </w:tc>
      </w:tr>
      <w:tr w:rsidR="00AB39F4" w:rsidRPr="0098262F" w14:paraId="71E8A072" w14:textId="77777777" w:rsidTr="00260755">
        <w:tc>
          <w:tcPr>
            <w:tcW w:w="5000" w:type="pct"/>
            <w:gridSpan w:val="2"/>
            <w:vAlign w:val="center"/>
          </w:tcPr>
          <w:p w14:paraId="7DB70931" w14:textId="77777777" w:rsidR="00AB39F4" w:rsidRPr="0098262F" w:rsidRDefault="00AB39F4" w:rsidP="00260755">
            <w:pPr>
              <w:pStyle w:val="In-tableHeading"/>
            </w:pPr>
            <w:r>
              <w:t>Pruritus NRS</w:t>
            </w:r>
            <w:r w:rsidRPr="00BA56E5">
              <w:rPr>
                <w:vertAlign w:val="superscript"/>
              </w:rPr>
              <w:t>a</w:t>
            </w:r>
          </w:p>
        </w:tc>
      </w:tr>
      <w:tr w:rsidR="00AB39F4" w:rsidRPr="0098262F" w14:paraId="4433C7B5" w14:textId="77777777" w:rsidTr="00260755">
        <w:tc>
          <w:tcPr>
            <w:tcW w:w="3613" w:type="pct"/>
            <w:vAlign w:val="center"/>
          </w:tcPr>
          <w:p w14:paraId="04603B2A" w14:textId="77777777" w:rsidR="00AB39F4" w:rsidRPr="0098262F" w:rsidRDefault="00AB39F4" w:rsidP="00260755">
            <w:pPr>
              <w:pStyle w:val="TableText0"/>
            </w:pPr>
            <w:r>
              <w:t>RESPONSE (vs PBO)</w:t>
            </w:r>
          </w:p>
        </w:tc>
        <w:tc>
          <w:tcPr>
            <w:tcW w:w="1387" w:type="pct"/>
            <w:vAlign w:val="center"/>
          </w:tcPr>
          <w:p w14:paraId="7ACA7692" w14:textId="303EA3CF" w:rsidR="00AB39F4" w:rsidRPr="00BA56E5" w:rsidRDefault="00AB39F4" w:rsidP="00260755">
            <w:pPr>
              <w:pStyle w:val="TableText0"/>
              <w:jc w:val="center"/>
              <w:rPr>
                <w:b/>
                <w:bCs w:val="0"/>
              </w:rPr>
            </w:pPr>
            <w:r w:rsidRPr="00BA56E5">
              <w:rPr>
                <w:b/>
                <w:bCs w:val="0"/>
              </w:rPr>
              <w:t>-1.8 (-3.0, -0.</w:t>
            </w:r>
            <w:r w:rsidR="00424AD4">
              <w:rPr>
                <w:b/>
                <w:bCs w:val="0"/>
              </w:rPr>
              <w:t>6</w:t>
            </w:r>
            <w:r w:rsidRPr="00BA56E5">
              <w:rPr>
                <w:b/>
                <w:bCs w:val="0"/>
              </w:rPr>
              <w:t>)</w:t>
            </w:r>
            <w:r w:rsidR="00424AD4">
              <w:rPr>
                <w:b/>
                <w:bCs w:val="0"/>
              </w:rPr>
              <w:t>; 0.00</w:t>
            </w:r>
            <w:r w:rsidR="003845A4">
              <w:rPr>
                <w:b/>
                <w:bCs w:val="0"/>
              </w:rPr>
              <w:t>4</w:t>
            </w:r>
          </w:p>
        </w:tc>
      </w:tr>
      <w:tr w:rsidR="00AB39F4" w:rsidRPr="0098262F" w14:paraId="1561CEBA" w14:textId="77777777" w:rsidTr="00260755">
        <w:tc>
          <w:tcPr>
            <w:tcW w:w="3613" w:type="pct"/>
            <w:vAlign w:val="center"/>
          </w:tcPr>
          <w:p w14:paraId="11815096" w14:textId="64C3EAB2" w:rsidR="00AB39F4" w:rsidRPr="0098262F" w:rsidRDefault="00AB39F4" w:rsidP="00260755">
            <w:pPr>
              <w:pStyle w:val="TableText0"/>
            </w:pPr>
            <w:r w:rsidRPr="0098262F">
              <w:t>Indirect estimate of effect</w:t>
            </w:r>
            <w:r>
              <w:t xml:space="preserve"> vs ELA</w:t>
            </w:r>
            <w:r w:rsidRPr="0098262F">
              <w:t xml:space="preserve"> adjusted for the common reference</w:t>
            </w:r>
            <w:r w:rsidR="00424AD4">
              <w:t xml:space="preserve"> </w:t>
            </w:r>
            <w:r w:rsidR="0044174C">
              <w:t>– Bayesian NMA</w:t>
            </w:r>
          </w:p>
        </w:tc>
        <w:tc>
          <w:tcPr>
            <w:tcW w:w="1387" w:type="pct"/>
            <w:vAlign w:val="center"/>
          </w:tcPr>
          <w:p w14:paraId="28FD3833" w14:textId="352D1CEF" w:rsidR="00AB39F4" w:rsidRPr="0098262F" w:rsidRDefault="00AB39F4" w:rsidP="00260755">
            <w:pPr>
              <w:pStyle w:val="TableText0"/>
              <w:jc w:val="center"/>
            </w:pPr>
            <w:r w:rsidRPr="0066581B">
              <w:t>-1.01 (-2.76, 0.75)</w:t>
            </w:r>
            <w:r w:rsidR="00424AD4">
              <w:t>; NR</w:t>
            </w:r>
          </w:p>
        </w:tc>
      </w:tr>
      <w:tr w:rsidR="00AB39F4" w:rsidRPr="0098262F" w14:paraId="30FD11D5" w14:textId="77777777" w:rsidTr="00260755">
        <w:tc>
          <w:tcPr>
            <w:tcW w:w="5000" w:type="pct"/>
            <w:gridSpan w:val="2"/>
            <w:vAlign w:val="center"/>
          </w:tcPr>
          <w:p w14:paraId="64447302" w14:textId="77777777" w:rsidR="00AB39F4" w:rsidRPr="0098262F" w:rsidRDefault="00AB39F4" w:rsidP="00260755">
            <w:pPr>
              <w:pStyle w:val="In-tableHeading"/>
            </w:pPr>
            <w:r>
              <w:t>PBC-40 itch domain</w:t>
            </w:r>
            <w:r w:rsidRPr="00BA56E5">
              <w:rPr>
                <w:vertAlign w:val="superscript"/>
              </w:rPr>
              <w:t>b</w:t>
            </w:r>
          </w:p>
        </w:tc>
      </w:tr>
      <w:tr w:rsidR="00AB39F4" w:rsidRPr="0098262F" w14:paraId="3B81C9A6" w14:textId="77777777" w:rsidTr="00260755">
        <w:tc>
          <w:tcPr>
            <w:tcW w:w="3613" w:type="pct"/>
            <w:vAlign w:val="center"/>
          </w:tcPr>
          <w:p w14:paraId="77A1E6C0" w14:textId="77777777" w:rsidR="00AB39F4" w:rsidRPr="0098262F" w:rsidRDefault="00AB39F4" w:rsidP="00260755">
            <w:pPr>
              <w:pStyle w:val="TableText0"/>
            </w:pPr>
            <w:r>
              <w:t>RESPONSE (vs PBO)</w:t>
            </w:r>
          </w:p>
        </w:tc>
        <w:tc>
          <w:tcPr>
            <w:tcW w:w="1387" w:type="pct"/>
            <w:vAlign w:val="center"/>
          </w:tcPr>
          <w:p w14:paraId="191E53CE" w14:textId="6E1EF67E" w:rsidR="00AB39F4" w:rsidRPr="0098262F" w:rsidRDefault="00AB39F4" w:rsidP="00260755">
            <w:pPr>
              <w:pStyle w:val="TableText0"/>
              <w:jc w:val="center"/>
            </w:pPr>
            <w:r w:rsidRPr="005F4DD8">
              <w:t>-1.5</w:t>
            </w:r>
            <w:r w:rsidR="0044174C">
              <w:t>1</w:t>
            </w:r>
            <w:r w:rsidRPr="005F4DD8">
              <w:t xml:space="preserve"> (-3.2</w:t>
            </w:r>
            <w:r w:rsidR="0044174C">
              <w:t>5</w:t>
            </w:r>
            <w:r w:rsidRPr="005F4DD8">
              <w:t>, 0.2</w:t>
            </w:r>
            <w:r w:rsidR="0044174C">
              <w:t>2</w:t>
            </w:r>
            <w:r w:rsidRPr="005F4DD8">
              <w:t>)</w:t>
            </w:r>
            <w:r w:rsidR="00984488">
              <w:t>; 0.085</w:t>
            </w:r>
          </w:p>
        </w:tc>
      </w:tr>
      <w:tr w:rsidR="00AB39F4" w:rsidRPr="0098262F" w14:paraId="2468A671" w14:textId="77777777" w:rsidTr="00260755">
        <w:tc>
          <w:tcPr>
            <w:tcW w:w="3613" w:type="pct"/>
            <w:vAlign w:val="center"/>
          </w:tcPr>
          <w:p w14:paraId="7D21A78A" w14:textId="51CC988A" w:rsidR="00AB39F4" w:rsidRPr="0098262F" w:rsidRDefault="00AB39F4" w:rsidP="00260755">
            <w:pPr>
              <w:pStyle w:val="TableText0"/>
            </w:pPr>
            <w:r w:rsidRPr="0098262F">
              <w:t>Indirect estimate of effect</w:t>
            </w:r>
            <w:r>
              <w:t xml:space="preserve"> vs ELA</w:t>
            </w:r>
            <w:r w:rsidRPr="0098262F">
              <w:t xml:space="preserve"> adjusted for the common reference</w:t>
            </w:r>
            <w:r w:rsidR="00424AD4">
              <w:t xml:space="preserve"> – Bayesian NMA</w:t>
            </w:r>
          </w:p>
        </w:tc>
        <w:tc>
          <w:tcPr>
            <w:tcW w:w="1387" w:type="pct"/>
            <w:vAlign w:val="center"/>
          </w:tcPr>
          <w:p w14:paraId="0F2548DB" w14:textId="3A50332E" w:rsidR="00AB39F4" w:rsidRPr="0098262F" w:rsidRDefault="00AB39F4" w:rsidP="00260755">
            <w:pPr>
              <w:pStyle w:val="TableText0"/>
              <w:jc w:val="center"/>
            </w:pPr>
            <w:r w:rsidRPr="0066581B">
              <w:t>0.87 (-1.64, 3.35)</w:t>
            </w:r>
            <w:r w:rsidR="00984488">
              <w:t>; NR</w:t>
            </w:r>
          </w:p>
        </w:tc>
      </w:tr>
      <w:tr w:rsidR="00AB39F4" w:rsidRPr="0098262F" w14:paraId="1246A791" w14:textId="77777777" w:rsidTr="00260755">
        <w:tc>
          <w:tcPr>
            <w:tcW w:w="5000" w:type="pct"/>
            <w:gridSpan w:val="2"/>
            <w:vAlign w:val="center"/>
          </w:tcPr>
          <w:p w14:paraId="5DC60F52" w14:textId="77777777" w:rsidR="00AB39F4" w:rsidRPr="0098262F" w:rsidRDefault="00AB39F4" w:rsidP="00260755">
            <w:pPr>
              <w:pStyle w:val="In-tableHeading"/>
            </w:pPr>
            <w:r>
              <w:t>5-D itch</w:t>
            </w:r>
            <w:r w:rsidRPr="00BA56E5">
              <w:rPr>
                <w:vertAlign w:val="superscript"/>
              </w:rPr>
              <w:t>c</w:t>
            </w:r>
          </w:p>
        </w:tc>
      </w:tr>
      <w:tr w:rsidR="00AB39F4" w:rsidRPr="0098262F" w14:paraId="734DC291" w14:textId="77777777" w:rsidTr="00260755">
        <w:tc>
          <w:tcPr>
            <w:tcW w:w="3613" w:type="pct"/>
            <w:vAlign w:val="center"/>
          </w:tcPr>
          <w:p w14:paraId="3B9712EF" w14:textId="77777777" w:rsidR="00AB39F4" w:rsidRPr="0098262F" w:rsidRDefault="00AB39F4" w:rsidP="00260755">
            <w:pPr>
              <w:pStyle w:val="TableText0"/>
            </w:pPr>
            <w:r>
              <w:t>RESPONSE (vs PBO)</w:t>
            </w:r>
          </w:p>
        </w:tc>
        <w:tc>
          <w:tcPr>
            <w:tcW w:w="1387" w:type="pct"/>
            <w:vAlign w:val="center"/>
          </w:tcPr>
          <w:p w14:paraId="2DBE2993" w14:textId="3ADFA804" w:rsidR="00AB39F4" w:rsidRPr="0066581B" w:rsidRDefault="00AB39F4" w:rsidP="00260755">
            <w:pPr>
              <w:pStyle w:val="TableText0"/>
              <w:jc w:val="center"/>
              <w:rPr>
                <w:b/>
                <w:bCs w:val="0"/>
              </w:rPr>
            </w:pPr>
            <w:r w:rsidRPr="0066581B">
              <w:rPr>
                <w:b/>
                <w:bCs w:val="0"/>
              </w:rPr>
              <w:t>-3.5 (-</w:t>
            </w:r>
            <w:r w:rsidR="00984488">
              <w:rPr>
                <w:b/>
                <w:bCs w:val="0"/>
              </w:rPr>
              <w:t>5.5</w:t>
            </w:r>
            <w:r w:rsidRPr="0066581B">
              <w:rPr>
                <w:b/>
                <w:bCs w:val="0"/>
              </w:rPr>
              <w:t>, -</w:t>
            </w:r>
            <w:r w:rsidR="00984488">
              <w:rPr>
                <w:b/>
                <w:bCs w:val="0"/>
              </w:rPr>
              <w:t>1.6</w:t>
            </w:r>
            <w:r w:rsidRPr="0066581B">
              <w:rPr>
                <w:b/>
                <w:bCs w:val="0"/>
              </w:rPr>
              <w:t>)</w:t>
            </w:r>
            <w:r w:rsidR="00984488">
              <w:rPr>
                <w:b/>
                <w:bCs w:val="0"/>
              </w:rPr>
              <w:t>; 0.0005</w:t>
            </w:r>
          </w:p>
        </w:tc>
      </w:tr>
      <w:tr w:rsidR="00AB39F4" w:rsidRPr="0098262F" w14:paraId="051410C0" w14:textId="77777777" w:rsidTr="00260755">
        <w:tc>
          <w:tcPr>
            <w:tcW w:w="3613" w:type="pct"/>
            <w:vAlign w:val="center"/>
          </w:tcPr>
          <w:p w14:paraId="092E3089" w14:textId="4B0FAA85" w:rsidR="00AB39F4" w:rsidRPr="0098262F" w:rsidRDefault="00AB39F4" w:rsidP="00260755">
            <w:pPr>
              <w:pStyle w:val="TableText0"/>
            </w:pPr>
            <w:r w:rsidRPr="0098262F">
              <w:t>Indirect estimate of effect</w:t>
            </w:r>
            <w:r>
              <w:t xml:space="preserve"> vs ELA</w:t>
            </w:r>
            <w:r w:rsidRPr="0098262F">
              <w:t xml:space="preserve"> adjusted for the common reference</w:t>
            </w:r>
            <w:r w:rsidR="00424AD4">
              <w:t xml:space="preserve"> </w:t>
            </w:r>
            <w:r w:rsidR="0044174C">
              <w:t>– Bayesian NMA</w:t>
            </w:r>
          </w:p>
        </w:tc>
        <w:tc>
          <w:tcPr>
            <w:tcW w:w="1387" w:type="pct"/>
            <w:vAlign w:val="center"/>
          </w:tcPr>
          <w:p w14:paraId="4C08B4FC" w14:textId="16C0F2C8" w:rsidR="00AB39F4" w:rsidRPr="0098262F" w:rsidRDefault="00AB39F4" w:rsidP="00260755">
            <w:pPr>
              <w:pStyle w:val="TableText0"/>
              <w:jc w:val="center"/>
            </w:pPr>
            <w:r w:rsidRPr="0066581B">
              <w:t>-0.50 (-4.77, 3.63)</w:t>
            </w:r>
            <w:r w:rsidR="00424AD4">
              <w:t>; NR</w:t>
            </w:r>
          </w:p>
        </w:tc>
      </w:tr>
    </w:tbl>
    <w:p w14:paraId="6DD34A1F" w14:textId="54847D0F" w:rsidR="00AB39F4" w:rsidRDefault="00AB39F4" w:rsidP="00AA6453">
      <w:pPr>
        <w:pStyle w:val="TableFigureFooter"/>
      </w:pPr>
      <w:r w:rsidRPr="0098262F">
        <w:t>Source:</w:t>
      </w:r>
      <w:r>
        <w:t xml:space="preserve"> </w:t>
      </w:r>
      <w:r w:rsidRPr="0098262F">
        <w:t>Table</w:t>
      </w:r>
      <w:r>
        <w:t xml:space="preserve">s </w:t>
      </w:r>
      <w:r w:rsidR="00424AD4">
        <w:t xml:space="preserve">31, </w:t>
      </w:r>
      <w:r w:rsidR="0044174C">
        <w:t>33,</w:t>
      </w:r>
      <w:r w:rsidR="00984488">
        <w:t xml:space="preserve"> 34, </w:t>
      </w:r>
      <w:r w:rsidR="0044174C">
        <w:t xml:space="preserve"> </w:t>
      </w:r>
      <w:r>
        <w:t>57 &amp; 62</w:t>
      </w:r>
      <w:r w:rsidRPr="0098262F">
        <w:t>, pp</w:t>
      </w:r>
      <w:r w:rsidR="00424AD4">
        <w:t xml:space="preserve">97, </w:t>
      </w:r>
      <w:r w:rsidR="0044174C">
        <w:t xml:space="preserve">100, </w:t>
      </w:r>
      <w:r w:rsidR="00984488">
        <w:t xml:space="preserve">102, </w:t>
      </w:r>
      <w:r>
        <w:t>133 &amp; 137</w:t>
      </w:r>
      <w:r w:rsidRPr="0098262F">
        <w:t xml:space="preserve"> of the submission.</w:t>
      </w:r>
    </w:p>
    <w:p w14:paraId="5DCF8630" w14:textId="58730652" w:rsidR="00AB39F4" w:rsidRDefault="00AB39F4" w:rsidP="00AA6453">
      <w:pPr>
        <w:pStyle w:val="TableFigureFooter"/>
      </w:pPr>
      <w:r>
        <w:t>5-D = 5-dimension; CrI = credible interval; ELA = elafibranor; ITT = intention to treat; MSPN = moderate to severe pruritus; n = number of participants with event; N = number of participants in arm;</w:t>
      </w:r>
      <w:r w:rsidRPr="005D3EBC">
        <w:t xml:space="preserve"> NMA</w:t>
      </w:r>
      <w:r>
        <w:t xml:space="preserve"> =</w:t>
      </w:r>
      <w:r w:rsidRPr="005D3EBC">
        <w:t xml:space="preserve"> network meta-analysis; </w:t>
      </w:r>
      <w:r w:rsidR="00DE2A89">
        <w:t xml:space="preserve">NR = not reported; </w:t>
      </w:r>
      <w:r>
        <w:t xml:space="preserve">NRS = numeric rating scale; </w:t>
      </w:r>
      <w:r w:rsidRPr="005D3EBC">
        <w:t>OCA</w:t>
      </w:r>
      <w:r>
        <w:t xml:space="preserve"> =</w:t>
      </w:r>
      <w:r w:rsidRPr="005D3EBC">
        <w:t xml:space="preserve"> obeticholic acid; </w:t>
      </w:r>
      <w:r>
        <w:t xml:space="preserve">PBC = primary biliary cholangitis; </w:t>
      </w:r>
      <w:r w:rsidRPr="005D3EBC">
        <w:t>PBO</w:t>
      </w:r>
      <w:r>
        <w:t xml:space="preserve"> =</w:t>
      </w:r>
      <w:r w:rsidRPr="005D3EBC">
        <w:t xml:space="preserve"> placebo; OR</w:t>
      </w:r>
      <w:r>
        <w:t xml:space="preserve"> =</w:t>
      </w:r>
      <w:r w:rsidRPr="005D3EBC">
        <w:t xml:space="preserve"> odds ratio; RD</w:t>
      </w:r>
      <w:r>
        <w:t xml:space="preserve"> =</w:t>
      </w:r>
      <w:r w:rsidRPr="005D3EBC">
        <w:t xml:space="preserve"> risk difference; RR</w:t>
      </w:r>
      <w:r>
        <w:t xml:space="preserve"> =</w:t>
      </w:r>
      <w:r w:rsidRPr="005D3EBC">
        <w:t xml:space="preserve"> relative risk.</w:t>
      </w:r>
    </w:p>
    <w:p w14:paraId="7D5BD43F" w14:textId="77777777" w:rsidR="00AB39F4" w:rsidRDefault="00AB39F4" w:rsidP="00AA6453">
      <w:pPr>
        <w:pStyle w:val="TableFigureFooter"/>
      </w:pPr>
      <w:r w:rsidRPr="00BA56E5">
        <w:rPr>
          <w:vertAlign w:val="superscript"/>
        </w:rPr>
        <w:t>a</w:t>
      </w:r>
      <w:r>
        <w:t xml:space="preserve"> ELATIVE (Elafibranor: N=42, PBO: N=16); RESPONSE (Seladelpar: N=36, PBO: N=16)</w:t>
      </w:r>
    </w:p>
    <w:p w14:paraId="46EA7BE8" w14:textId="77777777" w:rsidR="00AB39F4" w:rsidRDefault="00AB39F4" w:rsidP="00AA6453">
      <w:pPr>
        <w:pStyle w:val="TableFigureFooter"/>
      </w:pPr>
      <w:r w:rsidRPr="00BA56E5">
        <w:rPr>
          <w:vertAlign w:val="superscript"/>
        </w:rPr>
        <w:t>b</w:t>
      </w:r>
      <w:r>
        <w:t xml:space="preserve"> ELATIVE (Elafibranor: N=42, PBO: N=16); RESPONSE (Seladelpar: N=33, PBO: N=15)</w:t>
      </w:r>
    </w:p>
    <w:p w14:paraId="2CA05969" w14:textId="77777777" w:rsidR="00AB39F4" w:rsidRDefault="00AB39F4" w:rsidP="00AA6453">
      <w:pPr>
        <w:pStyle w:val="TableFigureFooter"/>
      </w:pPr>
      <w:r w:rsidRPr="00BA56E5">
        <w:rPr>
          <w:vertAlign w:val="superscript"/>
        </w:rPr>
        <w:t>c</w:t>
      </w:r>
      <w:r>
        <w:t xml:space="preserve"> ELATIVE (Elafibranor: N=44, PBO: N=22); RESPONSE (Seladelpar: N=39, PBO: N=16)</w:t>
      </w:r>
    </w:p>
    <w:p w14:paraId="10247D25" w14:textId="5E046275" w:rsidR="00AA6453" w:rsidRPr="00A86698" w:rsidRDefault="00DE2A89" w:rsidP="00AA6453">
      <w:pPr>
        <w:pStyle w:val="TableFigureFooter"/>
      </w:pPr>
      <w:r w:rsidRPr="007548E0">
        <w:rPr>
          <w:b/>
          <w:bCs/>
        </w:rPr>
        <w:t>Bold</w:t>
      </w:r>
      <w:r>
        <w:t xml:space="preserve"> indicates </w:t>
      </w:r>
      <w:r w:rsidR="00AA6453">
        <w:t xml:space="preserve">statistically significant results. </w:t>
      </w:r>
      <w:bookmarkStart w:id="41" w:name="_Hlk197976014"/>
      <w:r w:rsidR="00AA6453" w:rsidRPr="00A86698">
        <w:t>However, Pruritus NRS and 5-D itch score at 12 months were not adjusted for multiplicity in the RESPONSE trial</w:t>
      </w:r>
      <w:bookmarkEnd w:id="41"/>
    </w:p>
    <w:p w14:paraId="6D2A106C" w14:textId="62E19F86" w:rsidR="00DE2A89" w:rsidRPr="0098262F" w:rsidRDefault="00DE2A89" w:rsidP="00AA6453">
      <w:pPr>
        <w:pStyle w:val="TableFigureFooter"/>
        <w:rPr>
          <w:sz w:val="20"/>
        </w:rPr>
      </w:pPr>
    </w:p>
    <w:p w14:paraId="26211D8F" w14:textId="0122572B" w:rsidR="0044174C" w:rsidRPr="00984488" w:rsidRDefault="0044174C" w:rsidP="001B1083">
      <w:pPr>
        <w:pStyle w:val="3-BodyText"/>
      </w:pPr>
      <w:r>
        <w:t>In the RESPONSE trial</w:t>
      </w:r>
      <w:r w:rsidR="000D30EA">
        <w:t>,</w:t>
      </w:r>
      <w:r>
        <w:t xml:space="preserve"> there was a larger reduction in PBC-40 itch domain at 12 months for the seladelpar </w:t>
      </w:r>
      <w:r w:rsidR="00424AD4">
        <w:t xml:space="preserve">arm </w:t>
      </w:r>
      <w:r>
        <w:t>v</w:t>
      </w:r>
      <w:r w:rsidR="001F772F">
        <w:t>ersu</w:t>
      </w:r>
      <w:r>
        <w:t xml:space="preserve">s </w:t>
      </w:r>
      <w:r w:rsidR="00424AD4">
        <w:t>placebo</w:t>
      </w:r>
      <w:r>
        <w:t xml:space="preserve"> in the ITT population and in the MSPN </w:t>
      </w:r>
      <w:r>
        <w:lastRenderedPageBreak/>
        <w:t xml:space="preserve">population; however, the differences were not significant. The results of the Bayesian NMA </w:t>
      </w:r>
      <w:r w:rsidR="00984488">
        <w:t>found comparable results for seladelpar v</w:t>
      </w:r>
      <w:r w:rsidR="001F772F">
        <w:t>ersu</w:t>
      </w:r>
      <w:r w:rsidR="00984488">
        <w:t>s OCA (mean difference</w:t>
      </w:r>
      <w:r w:rsidR="005E4407">
        <w:t xml:space="preserve"> = </w:t>
      </w:r>
      <w:r w:rsidR="00984488">
        <w:t>-1.47; 95% Credible interval [CrI]: -3.12, 0.17)</w:t>
      </w:r>
      <w:r w:rsidR="002A69E8">
        <w:t xml:space="preserve"> and </w:t>
      </w:r>
      <w:r w:rsidR="000D6FA0">
        <w:t>t</w:t>
      </w:r>
      <w:r w:rsidR="00D95A75">
        <w:t>he anchored MAIC of</w:t>
      </w:r>
      <w:r w:rsidR="005B1D52">
        <w:t xml:space="preserve"> </w:t>
      </w:r>
      <w:r w:rsidR="00984488">
        <w:t>seladelpar v</w:t>
      </w:r>
      <w:r w:rsidR="001F772F">
        <w:t>ersu</w:t>
      </w:r>
      <w:r w:rsidR="00984488">
        <w:t>s elafibranor (mean d</w:t>
      </w:r>
      <w:r w:rsidR="00984488" w:rsidRPr="00984488">
        <w:t xml:space="preserve">ifference </w:t>
      </w:r>
      <w:r w:rsidR="005E4407">
        <w:t xml:space="preserve">= </w:t>
      </w:r>
      <w:r w:rsidR="00984488" w:rsidRPr="00984488">
        <w:t>-0.87; 95% CrI: -</w:t>
      </w:r>
      <w:r w:rsidR="00B62731">
        <w:t>1.64</w:t>
      </w:r>
      <w:r w:rsidR="00984488" w:rsidRPr="00984488">
        <w:t xml:space="preserve">, </w:t>
      </w:r>
      <w:r w:rsidR="00B62731">
        <w:t>3.35</w:t>
      </w:r>
      <w:r w:rsidR="00984488" w:rsidRPr="00984488">
        <w:t>).</w:t>
      </w:r>
    </w:p>
    <w:p w14:paraId="205C0AA7" w14:textId="2CAD7F30" w:rsidR="00984488" w:rsidRDefault="00984488" w:rsidP="001B1083">
      <w:pPr>
        <w:pStyle w:val="3-BodyText"/>
      </w:pPr>
      <w:bookmarkStart w:id="42" w:name="_Ref196751721"/>
      <w:r w:rsidRPr="00984488">
        <w:t>In the RESPO</w:t>
      </w:r>
      <w:r w:rsidR="007C526D">
        <w:t>NS</w:t>
      </w:r>
      <w:r w:rsidRPr="00984488">
        <w:t>E trial</w:t>
      </w:r>
      <w:r w:rsidR="000D30EA">
        <w:t>,</w:t>
      </w:r>
      <w:r w:rsidRPr="00984488">
        <w:t xml:space="preserve"> there was a larger</w:t>
      </w:r>
      <w:r w:rsidR="000E7D9C">
        <w:t>, but not statistically significant,</w:t>
      </w:r>
      <w:r w:rsidRPr="00984488">
        <w:t xml:space="preserve"> reduction in 5-D itch at 12 months for the seladelpar arm v</w:t>
      </w:r>
      <w:r w:rsidR="001F772F">
        <w:t>ersu</w:t>
      </w:r>
      <w:r w:rsidRPr="00984488">
        <w:t xml:space="preserve">s </w:t>
      </w:r>
      <w:r w:rsidR="00424AD4">
        <w:t>placebo</w:t>
      </w:r>
      <w:r w:rsidRPr="00984488">
        <w:t xml:space="preserve"> in the ITT population</w:t>
      </w:r>
      <w:r>
        <w:t xml:space="preserve">  and in the MSPN population. </w:t>
      </w:r>
      <w:r w:rsidR="00424AD4">
        <w:t xml:space="preserve"> </w:t>
      </w:r>
      <w:r>
        <w:t xml:space="preserve">The results of the Bayesian NMA found </w:t>
      </w:r>
      <w:r w:rsidR="000D30EA">
        <w:t xml:space="preserve">that </w:t>
      </w:r>
      <w:r>
        <w:t xml:space="preserve">seladelpar significantly reduced 5-D itch compared to OCA (mean difference </w:t>
      </w:r>
      <w:r w:rsidR="00E02047">
        <w:t xml:space="preserve">= </w:t>
      </w:r>
      <w:r>
        <w:t>-3.51, 95% CrI: -5.80, -1.23). Seladelpar had a greater reduction in 5-D itch compared to elafibranor</w:t>
      </w:r>
      <w:r w:rsidR="000D30EA">
        <w:t>;</w:t>
      </w:r>
      <w:r>
        <w:t xml:space="preserve"> however</w:t>
      </w:r>
      <w:r w:rsidR="000D30EA">
        <w:t>,</w:t>
      </w:r>
      <w:r>
        <w:t xml:space="preserve"> the difference was not significant (mean difference </w:t>
      </w:r>
      <w:r w:rsidR="00E02047">
        <w:t xml:space="preserve">= </w:t>
      </w:r>
      <w:r>
        <w:t>-0.50; 95% CrI: -4.77, 3.63).</w:t>
      </w:r>
      <w:bookmarkEnd w:id="42"/>
    </w:p>
    <w:p w14:paraId="7DEC8E7F" w14:textId="16F52C68" w:rsidR="00984488" w:rsidRDefault="00424AD4" w:rsidP="008E1613">
      <w:pPr>
        <w:pStyle w:val="3-BodyText"/>
      </w:pPr>
      <w:bookmarkStart w:id="43" w:name="_Ref196751700"/>
      <w:r>
        <w:t xml:space="preserve">In the </w:t>
      </w:r>
      <w:r w:rsidR="000D30EA">
        <w:t>RESPONSE</w:t>
      </w:r>
      <w:r>
        <w:t xml:space="preserve"> trial</w:t>
      </w:r>
      <w:r w:rsidR="000D30EA">
        <w:t>,</w:t>
      </w:r>
      <w:r>
        <w:t xml:space="preserve"> there was a larger</w:t>
      </w:r>
      <w:r w:rsidR="000E7D9C">
        <w:t>, but not statistically significant,</w:t>
      </w:r>
      <w:r>
        <w:t xml:space="preserve"> reduction in Pruritus NRS at 12 months for the seladelpar arm v</w:t>
      </w:r>
      <w:r w:rsidR="001F772F">
        <w:t>ersu</w:t>
      </w:r>
      <w:r>
        <w:t>s placebo in the MSPN population. The results of the Bayesian NMA found comparable results for seladelpar v</w:t>
      </w:r>
      <w:r w:rsidR="001F772F">
        <w:t>ersu</w:t>
      </w:r>
      <w:r>
        <w:t xml:space="preserve">s elafibranor (mean difference </w:t>
      </w:r>
      <w:r w:rsidR="001F772F">
        <w:t xml:space="preserve">= </w:t>
      </w:r>
      <w:r>
        <w:t>-1.01; 95% CrI -2.76, 0.75).</w:t>
      </w:r>
      <w:bookmarkEnd w:id="43"/>
    </w:p>
    <w:p w14:paraId="576DA75E" w14:textId="6F1357FF" w:rsidR="00D01DAC" w:rsidRPr="003E4876" w:rsidRDefault="00D01DAC" w:rsidP="008E1613">
      <w:pPr>
        <w:pStyle w:val="3-BodyText"/>
      </w:pPr>
      <w:r w:rsidRPr="00D01DAC">
        <w:t xml:space="preserve">The </w:t>
      </w:r>
      <w:r>
        <w:t xml:space="preserve">RESPONSE trial did not collect quality of life data through a generic preference elicitation instrument such as the EuroQol 5-dimension questionnaire (EQ-5D). </w:t>
      </w:r>
      <w:bookmarkStart w:id="44" w:name="_Hlk197976130"/>
      <w:r>
        <w:t xml:space="preserve">The submission mapped PBC-40 questionnaire data collected at baseline and Months 1, 3, 6, 9, and 12 to generate EQ-5D data for use in the economic evaluation. </w:t>
      </w:r>
      <w:bookmarkEnd w:id="44"/>
    </w:p>
    <w:p w14:paraId="39152175" w14:textId="512231D1" w:rsidR="001B1083" w:rsidRPr="000E7900" w:rsidRDefault="002B502A" w:rsidP="008E1613">
      <w:pPr>
        <w:pStyle w:val="3-BodyText"/>
      </w:pPr>
      <w:r w:rsidRPr="000E7900">
        <w:fldChar w:fldCharType="begin"/>
      </w:r>
      <w:r w:rsidRPr="000E7900">
        <w:instrText xml:space="preserve"> REF _Ref197524231 \h </w:instrText>
      </w:r>
      <w:r w:rsidR="000E7900" w:rsidRPr="000E7900">
        <w:instrText xml:space="preserve"> \* MERGEFORMAT </w:instrText>
      </w:r>
      <w:r w:rsidRPr="000E7900">
        <w:fldChar w:fldCharType="separate"/>
      </w:r>
      <w:r w:rsidR="00333A5F">
        <w:t xml:space="preserve">Table </w:t>
      </w:r>
      <w:r w:rsidR="00333A5F">
        <w:rPr>
          <w:noProof/>
        </w:rPr>
        <w:t>8</w:t>
      </w:r>
      <w:r w:rsidRPr="000E7900">
        <w:fldChar w:fldCharType="end"/>
      </w:r>
      <w:r w:rsidRPr="000E7900">
        <w:t xml:space="preserve"> </w:t>
      </w:r>
      <w:bookmarkStart w:id="45" w:name="_Hlk197976208"/>
      <w:r w:rsidRPr="000E7900">
        <w:t xml:space="preserve">summarises the </w:t>
      </w:r>
      <w:r w:rsidR="003012DB" w:rsidRPr="000E7900">
        <w:t xml:space="preserve">change from baseline in PBC-40 total score at 1, 3, 6, 9, and 12 months in the RESPONSE trial (ITT population). </w:t>
      </w:r>
      <w:bookmarkEnd w:id="45"/>
      <w:r w:rsidR="00277C6F" w:rsidRPr="00B45C22">
        <w:t xml:space="preserve">The PBC-40 QoL questionnaire is a disease-specific health-related QoL tool developed to specifically measure the psychometric profile of PBC </w:t>
      </w:r>
      <w:r w:rsidR="00277C6F" w:rsidRPr="0089000E">
        <w:t>pa</w:t>
      </w:r>
      <w:r w:rsidR="00277C6F">
        <w:t>rticipant</w:t>
      </w:r>
      <w:r w:rsidR="00277C6F" w:rsidRPr="0089000E">
        <w:t>s</w:t>
      </w:r>
      <w:r w:rsidR="00277C6F" w:rsidRPr="00B45C22">
        <w:t xml:space="preserve">. The questionnaire covers </w:t>
      </w:r>
      <w:r w:rsidR="00277C6F">
        <w:t>6</w:t>
      </w:r>
      <w:r w:rsidR="00277C6F" w:rsidRPr="00B45C22">
        <w:t xml:space="preserve"> domains relevant to PBC including cognitive, social, emotional function, fatigue, itch and other symptoms. Within each domain, every item is scored from 1 to 5 and the individual item scores are summed to give a total domain score.</w:t>
      </w:r>
      <w:r w:rsidR="00277C6F">
        <w:t xml:space="preserve"> </w:t>
      </w:r>
      <w:r w:rsidR="003012DB" w:rsidRPr="000E7900">
        <w:t>This outcome was not part of the clinical claim made by the submission. The POISE and ELATIVE trials did not report this outcome. This outcome was used to generate utility values for the economic model.</w:t>
      </w:r>
    </w:p>
    <w:p w14:paraId="68F40A36" w14:textId="6AC20FD6" w:rsidR="002B502A" w:rsidRDefault="002B502A" w:rsidP="00995B2F">
      <w:pPr>
        <w:pStyle w:val="Caption"/>
      </w:pPr>
      <w:bookmarkStart w:id="46" w:name="_Ref197524231"/>
      <w:bookmarkStart w:id="47" w:name="_Ref197524226"/>
      <w:bookmarkStart w:id="48" w:name="_Hlk197976255"/>
      <w:r>
        <w:lastRenderedPageBreak/>
        <w:t xml:space="preserve">Table </w:t>
      </w:r>
      <w:r w:rsidR="00A24BC2">
        <w:fldChar w:fldCharType="begin"/>
      </w:r>
      <w:r w:rsidR="00A24BC2">
        <w:instrText xml:space="preserve"> SEQ Table \* ARABIC </w:instrText>
      </w:r>
      <w:r w:rsidR="00A24BC2">
        <w:fldChar w:fldCharType="separate"/>
      </w:r>
      <w:r w:rsidR="00333A5F">
        <w:rPr>
          <w:noProof/>
        </w:rPr>
        <w:t>8</w:t>
      </w:r>
      <w:r w:rsidR="00A24BC2">
        <w:rPr>
          <w:noProof/>
        </w:rPr>
        <w:fldChar w:fldCharType="end"/>
      </w:r>
      <w:bookmarkEnd w:id="46"/>
      <w:r w:rsidRPr="0098262F">
        <w:rPr>
          <w:rStyle w:val="CommentReference"/>
          <w:b/>
          <w:szCs w:val="24"/>
        </w:rPr>
        <w:t xml:space="preserve">: Results of </w:t>
      </w:r>
      <w:r>
        <w:rPr>
          <w:rStyle w:val="CommentReference"/>
          <w:b/>
          <w:szCs w:val="24"/>
        </w:rPr>
        <w:t xml:space="preserve">change from baseline in PBC-40 total score at </w:t>
      </w:r>
      <w:r w:rsidR="003012DB">
        <w:rPr>
          <w:rStyle w:val="CommentReference"/>
          <w:b/>
          <w:szCs w:val="24"/>
        </w:rPr>
        <w:t xml:space="preserve">1, </w:t>
      </w:r>
      <w:r>
        <w:rPr>
          <w:rStyle w:val="CommentReference"/>
          <w:b/>
          <w:szCs w:val="24"/>
        </w:rPr>
        <w:t>3, 6, 9, and 12 months</w:t>
      </w:r>
      <w:r w:rsidRPr="0098262F">
        <w:rPr>
          <w:rStyle w:val="CommentReference"/>
          <w:b/>
          <w:szCs w:val="24"/>
        </w:rPr>
        <w:t xml:space="preserve"> </w:t>
      </w:r>
      <w:r>
        <w:rPr>
          <w:rStyle w:val="CommentReference"/>
          <w:b/>
          <w:szCs w:val="24"/>
        </w:rPr>
        <w:t>in the RESPONSE trial (ITT  population)</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of change from baseline in PBC-40 total score at 1, 3, 6, 9, and 12 months in the RESPONSE trial (ITT  population)"/>
      </w:tblPr>
      <w:tblGrid>
        <w:gridCol w:w="957"/>
        <w:gridCol w:w="961"/>
        <w:gridCol w:w="959"/>
        <w:gridCol w:w="1080"/>
        <w:gridCol w:w="961"/>
        <w:gridCol w:w="959"/>
        <w:gridCol w:w="1084"/>
        <w:gridCol w:w="2056"/>
      </w:tblGrid>
      <w:tr w:rsidR="002B502A" w:rsidRPr="0098262F" w14:paraId="32340852" w14:textId="77777777" w:rsidTr="005C60E7">
        <w:trPr>
          <w:tblHeader/>
        </w:trPr>
        <w:tc>
          <w:tcPr>
            <w:tcW w:w="530" w:type="pct"/>
            <w:vMerge w:val="restart"/>
            <w:vAlign w:val="center"/>
          </w:tcPr>
          <w:p w14:paraId="50518381" w14:textId="77777777" w:rsidR="002B502A" w:rsidRPr="0098262F" w:rsidRDefault="002B502A" w:rsidP="00995B2F">
            <w:pPr>
              <w:pStyle w:val="In-tableHeading"/>
              <w:rPr>
                <w:lang w:val="en-AU"/>
              </w:rPr>
            </w:pPr>
            <w:r w:rsidRPr="0098262F">
              <w:rPr>
                <w:lang w:val="en-AU"/>
              </w:rPr>
              <w:t>Trial ID</w:t>
            </w:r>
          </w:p>
        </w:tc>
        <w:tc>
          <w:tcPr>
            <w:tcW w:w="1664" w:type="pct"/>
            <w:gridSpan w:val="3"/>
            <w:vAlign w:val="center"/>
          </w:tcPr>
          <w:p w14:paraId="622EC5C7" w14:textId="77777777" w:rsidR="002B502A" w:rsidRPr="0098262F" w:rsidRDefault="002B502A" w:rsidP="00995B2F">
            <w:pPr>
              <w:pStyle w:val="In-tableHeading"/>
              <w:jc w:val="center"/>
              <w:rPr>
                <w:lang w:val="en-AU"/>
              </w:rPr>
            </w:pPr>
            <w:r>
              <w:rPr>
                <w:iCs/>
                <w:lang w:val="en-AU"/>
              </w:rPr>
              <w:t>Seladelpar 10 mg</w:t>
            </w:r>
          </w:p>
        </w:tc>
        <w:tc>
          <w:tcPr>
            <w:tcW w:w="1666" w:type="pct"/>
            <w:gridSpan w:val="3"/>
            <w:vAlign w:val="center"/>
          </w:tcPr>
          <w:p w14:paraId="37663BEF" w14:textId="77777777" w:rsidR="002B502A" w:rsidRPr="0098262F" w:rsidRDefault="002B502A" w:rsidP="00995B2F">
            <w:pPr>
              <w:pStyle w:val="In-tableHeading"/>
              <w:jc w:val="center"/>
              <w:rPr>
                <w:lang w:val="en-AU"/>
              </w:rPr>
            </w:pPr>
            <w:r>
              <w:rPr>
                <w:iCs/>
                <w:lang w:val="en-AU"/>
              </w:rPr>
              <w:t>Placebo</w:t>
            </w:r>
          </w:p>
        </w:tc>
        <w:tc>
          <w:tcPr>
            <w:tcW w:w="1141" w:type="pct"/>
            <w:vMerge w:val="restart"/>
          </w:tcPr>
          <w:p w14:paraId="68161517" w14:textId="77777777" w:rsidR="002B502A" w:rsidRPr="0098262F" w:rsidRDefault="002B502A" w:rsidP="00995B2F">
            <w:pPr>
              <w:pStyle w:val="In-tableHeading"/>
              <w:jc w:val="center"/>
              <w:rPr>
                <w:iCs/>
                <w:lang w:val="en-AU"/>
              </w:rPr>
            </w:pPr>
            <w:r>
              <w:rPr>
                <w:iCs/>
                <w:lang w:val="en-AU"/>
              </w:rPr>
              <w:t xml:space="preserve">LS </w:t>
            </w:r>
            <w:r w:rsidRPr="00287492">
              <w:rPr>
                <w:iCs/>
                <w:lang w:val="en-AU"/>
              </w:rPr>
              <w:t xml:space="preserve">Mean </w:t>
            </w:r>
            <w:r>
              <w:rPr>
                <w:iCs/>
                <w:lang w:val="en-AU"/>
              </w:rPr>
              <w:t xml:space="preserve">of </w:t>
            </w:r>
            <w:r w:rsidRPr="00287492">
              <w:rPr>
                <w:iCs/>
                <w:lang w:val="en-AU"/>
              </w:rPr>
              <w:t>difference</w:t>
            </w:r>
            <w:r>
              <w:rPr>
                <w:iCs/>
                <w:lang w:val="en-AU"/>
              </w:rPr>
              <w:t>,</w:t>
            </w:r>
            <w:r w:rsidRPr="00287492">
              <w:rPr>
                <w:iCs/>
                <w:lang w:val="en-AU"/>
              </w:rPr>
              <w:t xml:space="preserve"> </w:t>
            </w:r>
            <w:r>
              <w:rPr>
                <w:iCs/>
                <w:lang w:val="en-AU"/>
              </w:rPr>
              <w:t>[</w:t>
            </w:r>
            <w:r w:rsidRPr="00287492">
              <w:rPr>
                <w:iCs/>
                <w:lang w:val="en-AU"/>
              </w:rPr>
              <w:t>95% CI</w:t>
            </w:r>
            <w:r>
              <w:rPr>
                <w:iCs/>
                <w:lang w:val="en-AU"/>
              </w:rPr>
              <w:t xml:space="preserve">], </w:t>
            </w:r>
            <w:r>
              <w:rPr>
                <w:iCs/>
                <w:lang w:val="en-AU"/>
              </w:rPr>
              <w:br/>
              <w:t>p-value</w:t>
            </w:r>
          </w:p>
        </w:tc>
      </w:tr>
      <w:tr w:rsidR="005C60E7" w:rsidRPr="0098262F" w14:paraId="04908001" w14:textId="77777777" w:rsidTr="005C60E7">
        <w:trPr>
          <w:tblHeader/>
        </w:trPr>
        <w:tc>
          <w:tcPr>
            <w:tcW w:w="530" w:type="pct"/>
            <w:vMerge/>
            <w:vAlign w:val="center"/>
          </w:tcPr>
          <w:p w14:paraId="112FFA06" w14:textId="77777777" w:rsidR="002B502A" w:rsidRPr="0098262F" w:rsidRDefault="002B502A" w:rsidP="00995B2F">
            <w:pPr>
              <w:pStyle w:val="In-tableHeading"/>
              <w:rPr>
                <w:lang w:val="en-AU"/>
              </w:rPr>
            </w:pPr>
          </w:p>
        </w:tc>
        <w:tc>
          <w:tcPr>
            <w:tcW w:w="533" w:type="pct"/>
            <w:vAlign w:val="center"/>
          </w:tcPr>
          <w:p w14:paraId="78976F8C" w14:textId="77777777" w:rsidR="002B502A" w:rsidRDefault="002B502A" w:rsidP="00995B2F">
            <w:pPr>
              <w:pStyle w:val="In-tableHeading"/>
              <w:jc w:val="center"/>
              <w:rPr>
                <w:iCs/>
                <w:lang w:val="en-AU"/>
              </w:rPr>
            </w:pPr>
            <w:r>
              <w:t>M</w:t>
            </w:r>
            <w:r w:rsidRPr="0098262F">
              <w:t>ean baseline (SD)</w:t>
            </w:r>
          </w:p>
        </w:tc>
        <w:tc>
          <w:tcPr>
            <w:tcW w:w="532" w:type="pct"/>
            <w:vAlign w:val="center"/>
          </w:tcPr>
          <w:p w14:paraId="649F56FA" w14:textId="77777777" w:rsidR="002B502A" w:rsidRDefault="002B502A" w:rsidP="00995B2F">
            <w:pPr>
              <w:pStyle w:val="In-tableHeading"/>
              <w:jc w:val="center"/>
              <w:rPr>
                <w:iCs/>
                <w:lang w:val="en-AU"/>
              </w:rPr>
            </w:pPr>
            <w:r>
              <w:t>M</w:t>
            </w:r>
            <w:r w:rsidRPr="0098262F">
              <w:t>ean end point (SD)</w:t>
            </w:r>
          </w:p>
        </w:tc>
        <w:tc>
          <w:tcPr>
            <w:tcW w:w="599" w:type="pct"/>
            <w:vAlign w:val="center"/>
          </w:tcPr>
          <w:p w14:paraId="4FD89E3E" w14:textId="77777777" w:rsidR="002B502A" w:rsidRDefault="002B502A" w:rsidP="00995B2F">
            <w:pPr>
              <w:pStyle w:val="In-tableHeading"/>
              <w:jc w:val="center"/>
              <w:rPr>
                <w:iCs/>
                <w:lang w:val="en-AU"/>
              </w:rPr>
            </w:pPr>
            <w:r>
              <w:rPr>
                <w:iCs/>
              </w:rPr>
              <w:t>LS mean (SE)</w:t>
            </w:r>
          </w:p>
        </w:tc>
        <w:tc>
          <w:tcPr>
            <w:tcW w:w="533" w:type="pct"/>
            <w:vAlign w:val="center"/>
          </w:tcPr>
          <w:p w14:paraId="443BA02B" w14:textId="77777777" w:rsidR="002B502A" w:rsidRDefault="002B502A" w:rsidP="00995B2F">
            <w:pPr>
              <w:pStyle w:val="In-tableHeading"/>
              <w:jc w:val="center"/>
              <w:rPr>
                <w:iCs/>
                <w:lang w:val="en-AU"/>
              </w:rPr>
            </w:pPr>
            <w:r>
              <w:t>M</w:t>
            </w:r>
            <w:r w:rsidRPr="0098262F">
              <w:t>ean baseline (SD)</w:t>
            </w:r>
          </w:p>
        </w:tc>
        <w:tc>
          <w:tcPr>
            <w:tcW w:w="532" w:type="pct"/>
            <w:vAlign w:val="center"/>
          </w:tcPr>
          <w:p w14:paraId="3E7C5DD3" w14:textId="77777777" w:rsidR="002B502A" w:rsidRDefault="002B502A" w:rsidP="00995B2F">
            <w:pPr>
              <w:pStyle w:val="In-tableHeading"/>
              <w:jc w:val="center"/>
              <w:rPr>
                <w:iCs/>
                <w:lang w:val="en-AU"/>
              </w:rPr>
            </w:pPr>
            <w:r>
              <w:t>M</w:t>
            </w:r>
            <w:r w:rsidRPr="0098262F">
              <w:t>ean end point (SD)</w:t>
            </w:r>
          </w:p>
        </w:tc>
        <w:tc>
          <w:tcPr>
            <w:tcW w:w="601" w:type="pct"/>
            <w:vAlign w:val="center"/>
          </w:tcPr>
          <w:p w14:paraId="44283714" w14:textId="77777777" w:rsidR="002B502A" w:rsidRDefault="002B502A" w:rsidP="00995B2F">
            <w:pPr>
              <w:pStyle w:val="In-tableHeading"/>
              <w:jc w:val="center"/>
              <w:rPr>
                <w:iCs/>
                <w:lang w:val="en-AU"/>
              </w:rPr>
            </w:pPr>
            <w:r>
              <w:rPr>
                <w:iCs/>
              </w:rPr>
              <w:t>LS mean (SE)</w:t>
            </w:r>
          </w:p>
        </w:tc>
        <w:tc>
          <w:tcPr>
            <w:tcW w:w="1141" w:type="pct"/>
            <w:vMerge/>
          </w:tcPr>
          <w:p w14:paraId="55D5C26C" w14:textId="77777777" w:rsidR="002B502A" w:rsidRPr="00287492" w:rsidRDefault="002B502A" w:rsidP="00995B2F">
            <w:pPr>
              <w:pStyle w:val="In-tableHeading"/>
              <w:jc w:val="center"/>
              <w:rPr>
                <w:iCs/>
                <w:lang w:val="en-AU"/>
              </w:rPr>
            </w:pPr>
          </w:p>
        </w:tc>
      </w:tr>
      <w:tr w:rsidR="002B502A" w:rsidRPr="0098262F" w14:paraId="1CF68847" w14:textId="77777777">
        <w:trPr>
          <w:tblHeader/>
        </w:trPr>
        <w:tc>
          <w:tcPr>
            <w:tcW w:w="5000" w:type="pct"/>
            <w:gridSpan w:val="8"/>
            <w:vAlign w:val="center"/>
          </w:tcPr>
          <w:p w14:paraId="368B66E1" w14:textId="77777777" w:rsidR="002B502A" w:rsidRPr="0098262F" w:rsidRDefault="002B502A" w:rsidP="00995B2F">
            <w:pPr>
              <w:pStyle w:val="In-tableHeading"/>
              <w:rPr>
                <w:iCs/>
                <w:lang w:val="en-AU"/>
              </w:rPr>
            </w:pPr>
            <w:r>
              <w:rPr>
                <w:lang w:val="en-AU"/>
              </w:rPr>
              <w:t>ITT population</w:t>
            </w:r>
            <w:r w:rsidRPr="007252BA">
              <w:rPr>
                <w:vertAlign w:val="superscript"/>
                <w:lang w:val="en-AU"/>
              </w:rPr>
              <w:t>a</w:t>
            </w:r>
          </w:p>
        </w:tc>
      </w:tr>
      <w:tr w:rsidR="005C60E7" w:rsidRPr="0098262F" w14:paraId="2FA0B817" w14:textId="77777777" w:rsidTr="005C60E7">
        <w:tc>
          <w:tcPr>
            <w:tcW w:w="530" w:type="pct"/>
            <w:vAlign w:val="center"/>
          </w:tcPr>
          <w:p w14:paraId="38D6CAA9" w14:textId="294E3EC9" w:rsidR="002B502A" w:rsidRPr="005B0A45" w:rsidRDefault="002B502A" w:rsidP="00995B2F">
            <w:pPr>
              <w:pStyle w:val="TableText0"/>
            </w:pPr>
            <w:r>
              <w:t>1 months</w:t>
            </w:r>
          </w:p>
        </w:tc>
        <w:tc>
          <w:tcPr>
            <w:tcW w:w="533" w:type="pct"/>
            <w:vAlign w:val="center"/>
          </w:tcPr>
          <w:p w14:paraId="23297815" w14:textId="3925C147" w:rsidR="002B502A" w:rsidRPr="003012DB" w:rsidRDefault="002B502A" w:rsidP="00995B2F">
            <w:pPr>
              <w:pStyle w:val="TableText0"/>
              <w:jc w:val="center"/>
            </w:pPr>
            <w:r w:rsidRPr="003012DB">
              <w:t>89.9 (28.45)</w:t>
            </w:r>
          </w:p>
        </w:tc>
        <w:tc>
          <w:tcPr>
            <w:tcW w:w="532" w:type="pct"/>
            <w:vAlign w:val="center"/>
          </w:tcPr>
          <w:p w14:paraId="08F08A6F" w14:textId="58D6A991" w:rsidR="002B502A" w:rsidRPr="003012DB" w:rsidRDefault="002B502A" w:rsidP="00995B2F">
            <w:pPr>
              <w:pStyle w:val="TableText0"/>
              <w:jc w:val="center"/>
            </w:pPr>
            <w:r w:rsidRPr="003012DB">
              <w:t>85.5 (28.34)</w:t>
            </w:r>
          </w:p>
        </w:tc>
        <w:tc>
          <w:tcPr>
            <w:tcW w:w="599" w:type="pct"/>
            <w:vAlign w:val="center"/>
          </w:tcPr>
          <w:p w14:paraId="0EFB7EC6" w14:textId="5CDD327F" w:rsidR="002B502A" w:rsidRPr="003012DB" w:rsidRDefault="002B502A" w:rsidP="00995B2F">
            <w:pPr>
              <w:pStyle w:val="TableText0"/>
              <w:jc w:val="center"/>
            </w:pPr>
            <w:r w:rsidRPr="003012DB">
              <w:t>-5.62 (1.207)</w:t>
            </w:r>
          </w:p>
        </w:tc>
        <w:tc>
          <w:tcPr>
            <w:tcW w:w="533" w:type="pct"/>
            <w:vAlign w:val="center"/>
          </w:tcPr>
          <w:p w14:paraId="613B191E" w14:textId="0176FC01" w:rsidR="002B502A" w:rsidRPr="003012DB" w:rsidRDefault="002B502A" w:rsidP="00995B2F">
            <w:pPr>
              <w:pStyle w:val="TableText0"/>
              <w:jc w:val="center"/>
            </w:pPr>
            <w:r w:rsidRPr="003012DB">
              <w:t>90.1 (29.02)</w:t>
            </w:r>
          </w:p>
        </w:tc>
        <w:tc>
          <w:tcPr>
            <w:tcW w:w="532" w:type="pct"/>
            <w:vAlign w:val="center"/>
          </w:tcPr>
          <w:p w14:paraId="333F6DAA" w14:textId="52B5938B" w:rsidR="002B502A" w:rsidRPr="003012DB" w:rsidRDefault="002B502A" w:rsidP="00995B2F">
            <w:pPr>
              <w:pStyle w:val="TableText0"/>
              <w:jc w:val="center"/>
            </w:pPr>
            <w:r w:rsidRPr="003012DB">
              <w:t>83.8 (27.95)</w:t>
            </w:r>
          </w:p>
        </w:tc>
        <w:tc>
          <w:tcPr>
            <w:tcW w:w="601" w:type="pct"/>
            <w:vAlign w:val="center"/>
          </w:tcPr>
          <w:p w14:paraId="235EDD77" w14:textId="26743DFE" w:rsidR="002B502A" w:rsidRPr="003012DB" w:rsidRDefault="002B502A" w:rsidP="00995B2F">
            <w:pPr>
              <w:pStyle w:val="TableText0"/>
              <w:jc w:val="center"/>
            </w:pPr>
            <w:r w:rsidRPr="003012DB">
              <w:t>-7.40 (1.619)</w:t>
            </w:r>
          </w:p>
        </w:tc>
        <w:tc>
          <w:tcPr>
            <w:tcW w:w="1141" w:type="pct"/>
            <w:vAlign w:val="center"/>
          </w:tcPr>
          <w:p w14:paraId="0962D562" w14:textId="35A0CFDE" w:rsidR="002B502A" w:rsidRPr="003012DB" w:rsidRDefault="002B502A" w:rsidP="00995B2F">
            <w:pPr>
              <w:pStyle w:val="TableText0"/>
              <w:jc w:val="center"/>
            </w:pPr>
            <w:r w:rsidRPr="003012DB">
              <w:t>1.78 (-1.98, 5.55); 0.3512</w:t>
            </w:r>
          </w:p>
        </w:tc>
      </w:tr>
      <w:tr w:rsidR="005C60E7" w:rsidRPr="0098262F" w14:paraId="6BA62CAA" w14:textId="77777777" w:rsidTr="005C60E7">
        <w:tc>
          <w:tcPr>
            <w:tcW w:w="530" w:type="pct"/>
            <w:vAlign w:val="center"/>
          </w:tcPr>
          <w:p w14:paraId="694BBABD" w14:textId="0CC8ABEF" w:rsidR="002B502A" w:rsidRDefault="002B502A" w:rsidP="00995B2F">
            <w:pPr>
              <w:pStyle w:val="TableText0"/>
            </w:pPr>
            <w:r>
              <w:t>3 months</w:t>
            </w:r>
          </w:p>
        </w:tc>
        <w:tc>
          <w:tcPr>
            <w:tcW w:w="533" w:type="pct"/>
            <w:vAlign w:val="center"/>
          </w:tcPr>
          <w:p w14:paraId="1947D295" w14:textId="0453C234" w:rsidR="002B502A" w:rsidRPr="003012DB" w:rsidRDefault="002B502A" w:rsidP="00995B2F">
            <w:pPr>
              <w:pStyle w:val="TableText0"/>
              <w:jc w:val="center"/>
            </w:pPr>
            <w:r w:rsidRPr="003012DB">
              <w:t>91.5 (28.97)</w:t>
            </w:r>
          </w:p>
        </w:tc>
        <w:tc>
          <w:tcPr>
            <w:tcW w:w="532" w:type="pct"/>
            <w:vAlign w:val="center"/>
          </w:tcPr>
          <w:p w14:paraId="73666382" w14:textId="006CD464" w:rsidR="002B502A" w:rsidRPr="003012DB" w:rsidRDefault="002B502A" w:rsidP="00995B2F">
            <w:pPr>
              <w:pStyle w:val="TableText0"/>
              <w:jc w:val="center"/>
            </w:pPr>
            <w:r w:rsidRPr="003012DB">
              <w:t>86.4 (29.59)</w:t>
            </w:r>
          </w:p>
        </w:tc>
        <w:tc>
          <w:tcPr>
            <w:tcW w:w="599" w:type="pct"/>
            <w:vAlign w:val="center"/>
          </w:tcPr>
          <w:p w14:paraId="3A047A12" w14:textId="095C1FD2" w:rsidR="002B502A" w:rsidRPr="003012DB" w:rsidRDefault="003012DB" w:rsidP="00995B2F">
            <w:pPr>
              <w:pStyle w:val="TableText0"/>
              <w:jc w:val="center"/>
            </w:pPr>
            <w:r w:rsidRPr="003012DB">
              <w:t>-5.85 (1.252)</w:t>
            </w:r>
          </w:p>
        </w:tc>
        <w:tc>
          <w:tcPr>
            <w:tcW w:w="533" w:type="pct"/>
            <w:vAlign w:val="center"/>
          </w:tcPr>
          <w:p w14:paraId="58CBEA84" w14:textId="2A589225" w:rsidR="002B502A" w:rsidRPr="003012DB" w:rsidRDefault="002B502A" w:rsidP="00995B2F">
            <w:pPr>
              <w:pStyle w:val="TableText0"/>
              <w:jc w:val="center"/>
            </w:pPr>
            <w:r w:rsidRPr="003012DB">
              <w:t>90.4 (29.24)</w:t>
            </w:r>
          </w:p>
        </w:tc>
        <w:tc>
          <w:tcPr>
            <w:tcW w:w="532" w:type="pct"/>
            <w:vAlign w:val="center"/>
          </w:tcPr>
          <w:p w14:paraId="21F0ABF6" w14:textId="3A5454BF" w:rsidR="002B502A" w:rsidRPr="003012DB" w:rsidRDefault="003012DB" w:rsidP="00995B2F">
            <w:pPr>
              <w:pStyle w:val="TableText0"/>
              <w:jc w:val="center"/>
            </w:pPr>
            <w:r w:rsidRPr="003012DB">
              <w:t>83.8 (29.22)</w:t>
            </w:r>
          </w:p>
        </w:tc>
        <w:tc>
          <w:tcPr>
            <w:tcW w:w="601" w:type="pct"/>
            <w:vAlign w:val="center"/>
          </w:tcPr>
          <w:p w14:paraId="2901C653" w14:textId="4C33D9FC" w:rsidR="002B502A" w:rsidRPr="003012DB" w:rsidRDefault="003012DB" w:rsidP="00995B2F">
            <w:pPr>
              <w:pStyle w:val="TableText0"/>
              <w:jc w:val="center"/>
            </w:pPr>
            <w:r w:rsidRPr="003012DB">
              <w:t>-7.60 (1.728)</w:t>
            </w:r>
          </w:p>
        </w:tc>
        <w:tc>
          <w:tcPr>
            <w:tcW w:w="1141" w:type="pct"/>
            <w:vAlign w:val="center"/>
          </w:tcPr>
          <w:p w14:paraId="44221C58" w14:textId="46F9D9C1" w:rsidR="002B502A" w:rsidRPr="003012DB" w:rsidRDefault="003012DB" w:rsidP="00995B2F">
            <w:pPr>
              <w:pStyle w:val="TableText0"/>
              <w:jc w:val="center"/>
            </w:pPr>
            <w:r w:rsidRPr="003012DB">
              <w:t>1.75 (-2.26, 5.75); 0.3902</w:t>
            </w:r>
          </w:p>
        </w:tc>
      </w:tr>
      <w:tr w:rsidR="005C60E7" w:rsidRPr="0098262F" w14:paraId="711EC6C7" w14:textId="77777777" w:rsidTr="005C60E7">
        <w:tc>
          <w:tcPr>
            <w:tcW w:w="530" w:type="pct"/>
            <w:vAlign w:val="center"/>
          </w:tcPr>
          <w:p w14:paraId="43C319A1" w14:textId="77777777" w:rsidR="002B502A" w:rsidRPr="005B0A45" w:rsidRDefault="002B502A" w:rsidP="00995B2F">
            <w:pPr>
              <w:pStyle w:val="TableText0"/>
            </w:pPr>
            <w:r>
              <w:t>6 months</w:t>
            </w:r>
          </w:p>
        </w:tc>
        <w:tc>
          <w:tcPr>
            <w:tcW w:w="533" w:type="pct"/>
            <w:vAlign w:val="center"/>
          </w:tcPr>
          <w:p w14:paraId="2EBB1612" w14:textId="6504D117" w:rsidR="002B502A" w:rsidRPr="003012DB" w:rsidRDefault="003012DB" w:rsidP="00995B2F">
            <w:pPr>
              <w:pStyle w:val="TableText0"/>
              <w:jc w:val="center"/>
            </w:pPr>
            <w:r w:rsidRPr="003012DB">
              <w:t>89.0 (27.94)</w:t>
            </w:r>
          </w:p>
        </w:tc>
        <w:tc>
          <w:tcPr>
            <w:tcW w:w="532" w:type="pct"/>
            <w:vAlign w:val="center"/>
          </w:tcPr>
          <w:p w14:paraId="5A4A8F8C" w14:textId="6E59898E" w:rsidR="002B502A" w:rsidRPr="003012DB" w:rsidRDefault="003012DB" w:rsidP="00995B2F">
            <w:pPr>
              <w:pStyle w:val="TableText0"/>
              <w:jc w:val="center"/>
            </w:pPr>
            <w:r w:rsidRPr="003012DB">
              <w:t>84.5 (27.31)</w:t>
            </w:r>
          </w:p>
        </w:tc>
        <w:tc>
          <w:tcPr>
            <w:tcW w:w="599" w:type="pct"/>
            <w:vAlign w:val="center"/>
          </w:tcPr>
          <w:p w14:paraId="7971D3FC" w14:textId="2421079F" w:rsidR="002B502A" w:rsidRPr="003012DB" w:rsidRDefault="003012DB" w:rsidP="00995B2F">
            <w:pPr>
              <w:pStyle w:val="TableText0"/>
              <w:jc w:val="center"/>
            </w:pPr>
            <w:r w:rsidRPr="003012DB">
              <w:t>-5.57 (1.344)</w:t>
            </w:r>
          </w:p>
        </w:tc>
        <w:tc>
          <w:tcPr>
            <w:tcW w:w="533" w:type="pct"/>
            <w:vAlign w:val="center"/>
          </w:tcPr>
          <w:p w14:paraId="1EDE5A7E" w14:textId="76C0D12C" w:rsidR="002B502A" w:rsidRPr="003012DB" w:rsidRDefault="003012DB" w:rsidP="00995B2F">
            <w:pPr>
              <w:pStyle w:val="TableText0"/>
              <w:jc w:val="center"/>
            </w:pPr>
            <w:r w:rsidRPr="003012DB">
              <w:t>89.5 (29.40)</w:t>
            </w:r>
          </w:p>
        </w:tc>
        <w:tc>
          <w:tcPr>
            <w:tcW w:w="532" w:type="pct"/>
            <w:vAlign w:val="center"/>
          </w:tcPr>
          <w:p w14:paraId="534255A2" w14:textId="71BD89F1" w:rsidR="002B502A" w:rsidRPr="003012DB" w:rsidRDefault="003012DB" w:rsidP="00995B2F">
            <w:pPr>
              <w:pStyle w:val="TableText0"/>
              <w:jc w:val="center"/>
            </w:pPr>
            <w:r w:rsidRPr="003012DB">
              <w:t>86.5 (29.97)</w:t>
            </w:r>
          </w:p>
        </w:tc>
        <w:tc>
          <w:tcPr>
            <w:tcW w:w="601" w:type="pct"/>
            <w:vAlign w:val="center"/>
          </w:tcPr>
          <w:p w14:paraId="32DC1B18" w14:textId="590FDF25" w:rsidR="002B502A" w:rsidRPr="003012DB" w:rsidRDefault="003012DB" w:rsidP="00995B2F">
            <w:pPr>
              <w:pStyle w:val="TableText0"/>
              <w:jc w:val="center"/>
            </w:pPr>
            <w:r w:rsidRPr="003012DB">
              <w:t>-4.65 (1.884)</w:t>
            </w:r>
          </w:p>
        </w:tc>
        <w:tc>
          <w:tcPr>
            <w:tcW w:w="1141" w:type="pct"/>
            <w:vAlign w:val="center"/>
          </w:tcPr>
          <w:p w14:paraId="41082922" w14:textId="03549DD8" w:rsidR="002B502A" w:rsidRPr="003012DB" w:rsidRDefault="003012DB" w:rsidP="00995B2F">
            <w:pPr>
              <w:pStyle w:val="TableText0"/>
              <w:jc w:val="center"/>
            </w:pPr>
            <w:r w:rsidRPr="003012DB">
              <w:t>-0.92 (-5.30, 3.46); 0.6787</w:t>
            </w:r>
          </w:p>
        </w:tc>
      </w:tr>
      <w:tr w:rsidR="005C60E7" w:rsidRPr="0098262F" w14:paraId="6B7617C7" w14:textId="77777777" w:rsidTr="005C60E7">
        <w:tc>
          <w:tcPr>
            <w:tcW w:w="530" w:type="pct"/>
            <w:vAlign w:val="center"/>
          </w:tcPr>
          <w:p w14:paraId="44BCC0CC" w14:textId="77777777" w:rsidR="002B502A" w:rsidRPr="005B0A45" w:rsidRDefault="002B502A" w:rsidP="00995B2F">
            <w:pPr>
              <w:pStyle w:val="TableText0"/>
            </w:pPr>
            <w:r>
              <w:t>9 months</w:t>
            </w:r>
          </w:p>
        </w:tc>
        <w:tc>
          <w:tcPr>
            <w:tcW w:w="533" w:type="pct"/>
            <w:vAlign w:val="center"/>
          </w:tcPr>
          <w:p w14:paraId="183D195E" w14:textId="11449EAB" w:rsidR="002B502A" w:rsidRPr="003012DB" w:rsidRDefault="003012DB" w:rsidP="00995B2F">
            <w:pPr>
              <w:pStyle w:val="TableText0"/>
              <w:jc w:val="center"/>
            </w:pPr>
            <w:r w:rsidRPr="003012DB">
              <w:t>89.8 (28.66)</w:t>
            </w:r>
          </w:p>
        </w:tc>
        <w:tc>
          <w:tcPr>
            <w:tcW w:w="532" w:type="pct"/>
            <w:vAlign w:val="center"/>
          </w:tcPr>
          <w:p w14:paraId="7B02FB05" w14:textId="0ADC849E" w:rsidR="002B502A" w:rsidRPr="003012DB" w:rsidRDefault="003012DB" w:rsidP="00995B2F">
            <w:pPr>
              <w:pStyle w:val="TableText0"/>
              <w:jc w:val="center"/>
            </w:pPr>
            <w:r w:rsidRPr="003012DB">
              <w:t>83.9 (29.49)</w:t>
            </w:r>
          </w:p>
        </w:tc>
        <w:tc>
          <w:tcPr>
            <w:tcW w:w="599" w:type="pct"/>
            <w:vAlign w:val="center"/>
          </w:tcPr>
          <w:p w14:paraId="3C64E0C8" w14:textId="42E4B181" w:rsidR="002B502A" w:rsidRPr="003012DB" w:rsidRDefault="003012DB" w:rsidP="00995B2F">
            <w:pPr>
              <w:pStyle w:val="TableText0"/>
              <w:jc w:val="center"/>
            </w:pPr>
            <w:r w:rsidRPr="003012DB">
              <w:t>-6.97 (1.468)</w:t>
            </w:r>
          </w:p>
        </w:tc>
        <w:tc>
          <w:tcPr>
            <w:tcW w:w="533" w:type="pct"/>
            <w:vAlign w:val="center"/>
          </w:tcPr>
          <w:p w14:paraId="05103D24" w14:textId="17D022E3" w:rsidR="002B502A" w:rsidRPr="003012DB" w:rsidRDefault="003012DB" w:rsidP="00995B2F">
            <w:pPr>
              <w:pStyle w:val="TableText0"/>
              <w:jc w:val="center"/>
            </w:pPr>
            <w:r w:rsidRPr="003012DB">
              <w:t>89.9 (30.15)</w:t>
            </w:r>
          </w:p>
        </w:tc>
        <w:tc>
          <w:tcPr>
            <w:tcW w:w="532" w:type="pct"/>
            <w:vAlign w:val="center"/>
          </w:tcPr>
          <w:p w14:paraId="5B063171" w14:textId="0C47C62F" w:rsidR="002B502A" w:rsidRPr="003012DB" w:rsidRDefault="003012DB" w:rsidP="00995B2F">
            <w:pPr>
              <w:pStyle w:val="TableText0"/>
              <w:jc w:val="center"/>
            </w:pPr>
            <w:r w:rsidRPr="003012DB">
              <w:t>84.9 (28.76)</w:t>
            </w:r>
          </w:p>
        </w:tc>
        <w:tc>
          <w:tcPr>
            <w:tcW w:w="601" w:type="pct"/>
            <w:vAlign w:val="center"/>
          </w:tcPr>
          <w:p w14:paraId="17A3B211" w14:textId="412C100B" w:rsidR="002B502A" w:rsidRPr="003012DB" w:rsidRDefault="003012DB" w:rsidP="00995B2F">
            <w:pPr>
              <w:pStyle w:val="TableText0"/>
              <w:jc w:val="center"/>
            </w:pPr>
            <w:r w:rsidRPr="003012DB">
              <w:t>-5.64 (2.039)</w:t>
            </w:r>
          </w:p>
        </w:tc>
        <w:tc>
          <w:tcPr>
            <w:tcW w:w="1141" w:type="pct"/>
            <w:vAlign w:val="center"/>
          </w:tcPr>
          <w:p w14:paraId="7DF2ECDF" w14:textId="58989F56" w:rsidR="002B502A" w:rsidRPr="003012DB" w:rsidRDefault="003012DB" w:rsidP="00995B2F">
            <w:pPr>
              <w:pStyle w:val="TableText0"/>
              <w:jc w:val="center"/>
            </w:pPr>
            <w:r w:rsidRPr="003012DB">
              <w:t>-1.33 (-6.11, 3.45); 0.5839</w:t>
            </w:r>
          </w:p>
        </w:tc>
      </w:tr>
      <w:tr w:rsidR="005C60E7" w:rsidRPr="0098262F" w14:paraId="34E402B0" w14:textId="77777777" w:rsidTr="005C60E7">
        <w:tc>
          <w:tcPr>
            <w:tcW w:w="530" w:type="pct"/>
            <w:vAlign w:val="center"/>
          </w:tcPr>
          <w:p w14:paraId="2C7B155F" w14:textId="77777777" w:rsidR="002B502A" w:rsidRPr="005B0A45" w:rsidRDefault="002B502A" w:rsidP="00995B2F">
            <w:pPr>
              <w:pStyle w:val="TableText0"/>
            </w:pPr>
            <w:r>
              <w:t>12 months</w:t>
            </w:r>
          </w:p>
        </w:tc>
        <w:tc>
          <w:tcPr>
            <w:tcW w:w="533" w:type="pct"/>
            <w:vAlign w:val="center"/>
          </w:tcPr>
          <w:p w14:paraId="08EF9C88" w14:textId="594DF9E5" w:rsidR="002B502A" w:rsidRPr="003012DB" w:rsidRDefault="003012DB" w:rsidP="00995B2F">
            <w:pPr>
              <w:pStyle w:val="TableText0"/>
              <w:jc w:val="center"/>
            </w:pPr>
            <w:r w:rsidRPr="003012DB">
              <w:t>87.4 (28.54)</w:t>
            </w:r>
          </w:p>
        </w:tc>
        <w:tc>
          <w:tcPr>
            <w:tcW w:w="532" w:type="pct"/>
            <w:vAlign w:val="center"/>
          </w:tcPr>
          <w:p w14:paraId="6B54B7AA" w14:textId="763BDFE2" w:rsidR="002B502A" w:rsidRPr="003012DB" w:rsidRDefault="003012DB" w:rsidP="00995B2F">
            <w:pPr>
              <w:pStyle w:val="TableText0"/>
              <w:jc w:val="center"/>
            </w:pPr>
            <w:r w:rsidRPr="003012DB">
              <w:t>82.0 (28.84)</w:t>
            </w:r>
          </w:p>
        </w:tc>
        <w:tc>
          <w:tcPr>
            <w:tcW w:w="599" w:type="pct"/>
            <w:vAlign w:val="center"/>
          </w:tcPr>
          <w:p w14:paraId="2C16DFAF" w14:textId="74C96351" w:rsidR="002B502A" w:rsidRPr="003012DB" w:rsidRDefault="003012DB" w:rsidP="00995B2F">
            <w:pPr>
              <w:pStyle w:val="TableText0"/>
              <w:jc w:val="center"/>
            </w:pPr>
            <w:r w:rsidRPr="003012DB">
              <w:t>-5.85 (1.640)</w:t>
            </w:r>
          </w:p>
        </w:tc>
        <w:tc>
          <w:tcPr>
            <w:tcW w:w="533" w:type="pct"/>
            <w:vAlign w:val="center"/>
          </w:tcPr>
          <w:p w14:paraId="048FF7D9" w14:textId="3C7DAEEF" w:rsidR="002B502A" w:rsidRPr="003012DB" w:rsidRDefault="003012DB" w:rsidP="00995B2F">
            <w:pPr>
              <w:pStyle w:val="TableText0"/>
              <w:jc w:val="center"/>
            </w:pPr>
            <w:r w:rsidRPr="003012DB">
              <w:t>88.3 (28.78)</w:t>
            </w:r>
          </w:p>
        </w:tc>
        <w:tc>
          <w:tcPr>
            <w:tcW w:w="532" w:type="pct"/>
            <w:vAlign w:val="center"/>
          </w:tcPr>
          <w:p w14:paraId="2223E6F2" w14:textId="0A65FD26" w:rsidR="002B502A" w:rsidRPr="003012DB" w:rsidRDefault="003012DB" w:rsidP="00995B2F">
            <w:pPr>
              <w:pStyle w:val="TableText0"/>
              <w:jc w:val="center"/>
            </w:pPr>
            <w:r w:rsidRPr="003012DB">
              <w:t>83.7 (26.29)</w:t>
            </w:r>
          </w:p>
        </w:tc>
        <w:tc>
          <w:tcPr>
            <w:tcW w:w="601" w:type="pct"/>
            <w:vAlign w:val="center"/>
          </w:tcPr>
          <w:p w14:paraId="565FA4B5" w14:textId="2754C74B" w:rsidR="002B502A" w:rsidRPr="003012DB" w:rsidRDefault="003012DB" w:rsidP="00995B2F">
            <w:pPr>
              <w:pStyle w:val="TableText0"/>
              <w:jc w:val="center"/>
            </w:pPr>
            <w:r w:rsidRPr="003012DB">
              <w:t>-6.19 (2.229)</w:t>
            </w:r>
          </w:p>
        </w:tc>
        <w:tc>
          <w:tcPr>
            <w:tcW w:w="1141" w:type="pct"/>
            <w:vAlign w:val="center"/>
          </w:tcPr>
          <w:p w14:paraId="2E3EA8F1" w14:textId="4E886B30" w:rsidR="002B502A" w:rsidRPr="003012DB" w:rsidRDefault="003012DB" w:rsidP="00995B2F">
            <w:pPr>
              <w:pStyle w:val="TableText0"/>
              <w:jc w:val="center"/>
            </w:pPr>
            <w:r w:rsidRPr="003012DB">
              <w:t>0.33 (-4.98, 5.64); 0.9019</w:t>
            </w:r>
          </w:p>
        </w:tc>
      </w:tr>
    </w:tbl>
    <w:p w14:paraId="098C99FA" w14:textId="09974BF3" w:rsidR="002B502A" w:rsidRPr="0098262F" w:rsidRDefault="002B502A" w:rsidP="00995B2F">
      <w:pPr>
        <w:pStyle w:val="TableFigureFooter"/>
        <w:keepNext/>
        <w:rPr>
          <w:sz w:val="20"/>
        </w:rPr>
      </w:pPr>
      <w:r w:rsidRPr="0098262F">
        <w:t xml:space="preserve">Source: </w:t>
      </w:r>
      <w:r>
        <w:t>Table 14.2.10.1.1 of the RESPONSE CSR</w:t>
      </w:r>
      <w:r w:rsidRPr="0098262F">
        <w:t>.</w:t>
      </w:r>
    </w:p>
    <w:p w14:paraId="71FBB0D5" w14:textId="1A303E9E" w:rsidR="002B502A" w:rsidRDefault="002B502A" w:rsidP="00995B2F">
      <w:pPr>
        <w:pStyle w:val="TableFigureFooter"/>
        <w:keepNext/>
      </w:pPr>
      <w:r w:rsidRPr="0098262F">
        <w:t xml:space="preserve">CI = confidence interval; </w:t>
      </w:r>
      <w:r>
        <w:t xml:space="preserve">ITT = intention to treat; LS = least-squares; </w:t>
      </w:r>
      <w:r w:rsidR="003012DB">
        <w:t xml:space="preserve">n = number of participants who had both a baseline value and a value at that timepoint; N = number of participants in arm; </w:t>
      </w:r>
      <w:r>
        <w:t xml:space="preserve">PBC-40 = primary biliary cholangitis 40 quality of life questionnaire; </w:t>
      </w:r>
      <w:r w:rsidR="003012DB">
        <w:t xml:space="preserve">PBO = placebo; </w:t>
      </w:r>
      <w:r w:rsidRPr="0098262F">
        <w:t>SD = standard deviation</w:t>
      </w:r>
      <w:r>
        <w:t>; SE = standard error</w:t>
      </w:r>
      <w:r w:rsidR="003012DB">
        <w:t>; SEL = seladelpar</w:t>
      </w:r>
      <w:r>
        <w:t>.</w:t>
      </w:r>
    </w:p>
    <w:p w14:paraId="5FBBD13D" w14:textId="3078DD96" w:rsidR="002B502A" w:rsidRDefault="002B502A" w:rsidP="00995B2F">
      <w:pPr>
        <w:pStyle w:val="TableFigureFooter"/>
        <w:keepNext/>
      </w:pPr>
      <w:r w:rsidRPr="00E42F74">
        <w:rPr>
          <w:vertAlign w:val="superscript"/>
        </w:rPr>
        <w:t>a</w:t>
      </w:r>
      <w:r>
        <w:t xml:space="preserve"> </w:t>
      </w:r>
      <w:r w:rsidR="003012DB">
        <w:t>At baseline</w:t>
      </w:r>
      <w:r>
        <w:t xml:space="preserve">, </w:t>
      </w:r>
      <w:r w:rsidR="003012DB">
        <w:t>SEL</w:t>
      </w:r>
      <w:r>
        <w:t xml:space="preserve"> </w:t>
      </w:r>
      <w:r w:rsidR="003012DB">
        <w:t>N</w:t>
      </w:r>
      <w:r>
        <w:t xml:space="preserve"> = 128, </w:t>
      </w:r>
      <w:r w:rsidR="003012DB">
        <w:t>PBO</w:t>
      </w:r>
      <w:r>
        <w:t xml:space="preserve"> </w:t>
      </w:r>
      <w:r w:rsidR="003012DB">
        <w:t>N</w:t>
      </w:r>
      <w:r>
        <w:t xml:space="preserve"> = 65; at 1 month, </w:t>
      </w:r>
      <w:r w:rsidR="003012DB">
        <w:t>SEL</w:t>
      </w:r>
      <w:r>
        <w:t xml:space="preserve"> n = 118, </w:t>
      </w:r>
      <w:r w:rsidR="003012DB">
        <w:t>PBO</w:t>
      </w:r>
      <w:r>
        <w:t xml:space="preserve"> n = 65; at 3 months, </w:t>
      </w:r>
      <w:r w:rsidR="003012DB">
        <w:t>SEL</w:t>
      </w:r>
      <w:r>
        <w:t xml:space="preserve"> n = 121, </w:t>
      </w:r>
      <w:r w:rsidR="003012DB">
        <w:t>PBO</w:t>
      </w:r>
      <w:r>
        <w:t xml:space="preserve"> n = 59; at 6 months, </w:t>
      </w:r>
      <w:r w:rsidR="003012DB">
        <w:t>SEL</w:t>
      </w:r>
      <w:r>
        <w:t xml:space="preserve"> n = 113, </w:t>
      </w:r>
      <w:r w:rsidR="003012DB">
        <w:t>PBO</w:t>
      </w:r>
      <w:r>
        <w:t xml:space="preserve"> n = 53; at 9 months, </w:t>
      </w:r>
      <w:r w:rsidR="003012DB">
        <w:t>SEL</w:t>
      </w:r>
      <w:r>
        <w:t xml:space="preserve"> n = 112, </w:t>
      </w:r>
      <w:r w:rsidR="003012DB">
        <w:t>PBO</w:t>
      </w:r>
      <w:r>
        <w:t xml:space="preserve"> n = 55, at 12 months, </w:t>
      </w:r>
      <w:r w:rsidR="003012DB">
        <w:t>SEL</w:t>
      </w:r>
      <w:r>
        <w:t xml:space="preserve"> n = 94, </w:t>
      </w:r>
      <w:r w:rsidR="003012DB">
        <w:t>PBO</w:t>
      </w:r>
      <w:r>
        <w:t xml:space="preserve"> n = 51.</w:t>
      </w:r>
    </w:p>
    <w:bookmarkEnd w:id="48"/>
    <w:p w14:paraId="589EAAED" w14:textId="7565AB65" w:rsidR="00F33085" w:rsidRPr="000E7900" w:rsidRDefault="00F33085" w:rsidP="00F33085">
      <w:pPr>
        <w:pStyle w:val="3-BodyText"/>
      </w:pPr>
      <w:r w:rsidRPr="000E7900">
        <w:t xml:space="preserve">Mean baseline total scores for PBC-40 total score were generally comparable between the seladelpar and placebo arms of the RESPONSE trials. </w:t>
      </w:r>
      <w:r w:rsidR="001D413E" w:rsidRPr="000E7900">
        <w:t>No s</w:t>
      </w:r>
      <w:r w:rsidRPr="000E7900">
        <w:t xml:space="preserve">ignificant differences were observed between treatments at any time point. </w:t>
      </w:r>
    </w:p>
    <w:p w14:paraId="1452C351" w14:textId="28C204DD" w:rsidR="00B60939" w:rsidRPr="0098262F" w:rsidRDefault="00B60939" w:rsidP="00AE4116">
      <w:pPr>
        <w:pStyle w:val="4-SubsectionHeading"/>
      </w:pPr>
      <w:bookmarkStart w:id="49" w:name="_Toc22897642"/>
      <w:r w:rsidRPr="0098262F">
        <w:t>Comparative harms</w:t>
      </w:r>
      <w:bookmarkEnd w:id="49"/>
    </w:p>
    <w:p w14:paraId="3F8A752F" w14:textId="4FAE7755" w:rsidR="008E1613" w:rsidRDefault="008E1613" w:rsidP="008E1613">
      <w:pPr>
        <w:pStyle w:val="5-SubsectionSubheading"/>
      </w:pPr>
      <w:bookmarkStart w:id="50" w:name="_Toc198561148"/>
      <w:r>
        <w:t>Whole trial analyses</w:t>
      </w:r>
      <w:bookmarkEnd w:id="50"/>
    </w:p>
    <w:p w14:paraId="4E8838EF" w14:textId="1AB494A9" w:rsidR="008E1613" w:rsidRPr="008E1613" w:rsidRDefault="008E1613" w:rsidP="008E1613">
      <w:pPr>
        <w:pStyle w:val="3-BodyText"/>
      </w:pPr>
      <w:r>
        <w:fldChar w:fldCharType="begin"/>
      </w:r>
      <w:r>
        <w:instrText xml:space="preserve"> REF _Ref196405545 \h </w:instrText>
      </w:r>
      <w:r>
        <w:fldChar w:fldCharType="separate"/>
      </w:r>
      <w:r w:rsidR="00333A5F">
        <w:t xml:space="preserve">Table </w:t>
      </w:r>
      <w:r w:rsidR="00333A5F">
        <w:rPr>
          <w:noProof/>
        </w:rPr>
        <w:t>9</w:t>
      </w:r>
      <w:r>
        <w:fldChar w:fldCharType="end"/>
      </w:r>
      <w:r>
        <w:t xml:space="preserve"> </w:t>
      </w:r>
      <w:r w:rsidRPr="008E1613">
        <w:t>presents key summary safety data reported across the RESPONSE, POISE and ELATIVE trials.</w:t>
      </w:r>
    </w:p>
    <w:p w14:paraId="06B444D9" w14:textId="185F401C" w:rsidR="008E1613" w:rsidRDefault="008E1613" w:rsidP="008E1613">
      <w:pPr>
        <w:pStyle w:val="Caption"/>
      </w:pPr>
      <w:bookmarkStart w:id="51" w:name="_Ref196405545"/>
      <w:r>
        <w:lastRenderedPageBreak/>
        <w:t xml:space="preserve">Table </w:t>
      </w:r>
      <w:r w:rsidR="00A24BC2">
        <w:fldChar w:fldCharType="begin"/>
      </w:r>
      <w:r w:rsidR="00A24BC2">
        <w:instrText xml:space="preserve"> SEQ Table \* ARABIC </w:instrText>
      </w:r>
      <w:r w:rsidR="00A24BC2">
        <w:fldChar w:fldCharType="separate"/>
      </w:r>
      <w:r w:rsidR="00333A5F">
        <w:rPr>
          <w:noProof/>
        </w:rPr>
        <w:t>9</w:t>
      </w:r>
      <w:r w:rsidR="00A24BC2">
        <w:rPr>
          <w:noProof/>
        </w:rPr>
        <w:fldChar w:fldCharType="end"/>
      </w:r>
      <w:bookmarkEnd w:id="51"/>
      <w:r>
        <w:t xml:space="preserve">: </w:t>
      </w:r>
      <w:r w:rsidRPr="008E1613">
        <w:t>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key adverse events in the randomised trials"/>
      </w:tblPr>
      <w:tblGrid>
        <w:gridCol w:w="2397"/>
        <w:gridCol w:w="1199"/>
        <w:gridCol w:w="1080"/>
        <w:gridCol w:w="1439"/>
        <w:gridCol w:w="1439"/>
        <w:gridCol w:w="1463"/>
      </w:tblGrid>
      <w:tr w:rsidR="008E1613" w:rsidRPr="0098262F" w14:paraId="4586959A" w14:textId="77777777" w:rsidTr="00E563A5">
        <w:trPr>
          <w:tblHeader/>
        </w:trPr>
        <w:tc>
          <w:tcPr>
            <w:tcW w:w="1329" w:type="pct"/>
            <w:tcMar>
              <w:left w:w="40" w:type="dxa"/>
              <w:right w:w="40" w:type="dxa"/>
            </w:tcMar>
            <w:vAlign w:val="center"/>
          </w:tcPr>
          <w:p w14:paraId="4F53CEEB" w14:textId="77777777" w:rsidR="008E1613" w:rsidRPr="00282ED7" w:rsidRDefault="008E1613" w:rsidP="00260755">
            <w:pPr>
              <w:pStyle w:val="In-tableHeading"/>
              <w:jc w:val="center"/>
            </w:pPr>
            <w:r w:rsidRPr="00282ED7">
              <w:t>Trial ID</w:t>
            </w:r>
          </w:p>
        </w:tc>
        <w:tc>
          <w:tcPr>
            <w:tcW w:w="665" w:type="pct"/>
            <w:tcMar>
              <w:left w:w="40" w:type="dxa"/>
              <w:right w:w="40" w:type="dxa"/>
            </w:tcMar>
            <w:vAlign w:val="center"/>
          </w:tcPr>
          <w:p w14:paraId="5D35DFA4" w14:textId="77777777" w:rsidR="008E1613" w:rsidRPr="00282ED7" w:rsidRDefault="008E1613" w:rsidP="00260755">
            <w:pPr>
              <w:pStyle w:val="In-tableHeading"/>
              <w:jc w:val="center"/>
            </w:pPr>
            <w:r w:rsidRPr="00282ED7">
              <w:t>Intervention</w:t>
            </w:r>
          </w:p>
          <w:p w14:paraId="76D18159" w14:textId="77777777" w:rsidR="008E1613" w:rsidRPr="00282ED7" w:rsidRDefault="008E1613" w:rsidP="00260755">
            <w:pPr>
              <w:pStyle w:val="In-tableHeading"/>
              <w:jc w:val="center"/>
            </w:pPr>
            <w:r w:rsidRPr="00282ED7">
              <w:t>n/N (%)</w:t>
            </w:r>
          </w:p>
        </w:tc>
        <w:tc>
          <w:tcPr>
            <w:tcW w:w="599" w:type="pct"/>
            <w:tcMar>
              <w:left w:w="40" w:type="dxa"/>
              <w:right w:w="40" w:type="dxa"/>
            </w:tcMar>
            <w:vAlign w:val="center"/>
          </w:tcPr>
          <w:p w14:paraId="5E5C2D50" w14:textId="77777777" w:rsidR="008E1613" w:rsidRPr="00282ED7" w:rsidRDefault="008E1613" w:rsidP="00260755">
            <w:pPr>
              <w:pStyle w:val="In-tableHeading"/>
              <w:jc w:val="center"/>
            </w:pPr>
            <w:r w:rsidRPr="00282ED7">
              <w:t>Placebo</w:t>
            </w:r>
          </w:p>
          <w:p w14:paraId="11434B2E" w14:textId="77777777" w:rsidR="008E1613" w:rsidRPr="00282ED7" w:rsidRDefault="008E1613" w:rsidP="00260755">
            <w:pPr>
              <w:pStyle w:val="In-tableHeading"/>
              <w:jc w:val="center"/>
            </w:pPr>
            <w:r w:rsidRPr="00282ED7">
              <w:t>n/N (%)</w:t>
            </w:r>
          </w:p>
        </w:tc>
        <w:tc>
          <w:tcPr>
            <w:tcW w:w="798" w:type="pct"/>
            <w:tcMar>
              <w:left w:w="40" w:type="dxa"/>
              <w:right w:w="40" w:type="dxa"/>
            </w:tcMar>
            <w:vAlign w:val="center"/>
          </w:tcPr>
          <w:p w14:paraId="5DA7D384" w14:textId="77777777" w:rsidR="008E1613" w:rsidRPr="00282ED7" w:rsidRDefault="008E1613" w:rsidP="00260755">
            <w:pPr>
              <w:pStyle w:val="In-tableHeading"/>
              <w:jc w:val="center"/>
            </w:pPr>
            <w:r w:rsidRPr="00282ED7">
              <w:t>OR [95% CI]</w:t>
            </w:r>
          </w:p>
        </w:tc>
        <w:tc>
          <w:tcPr>
            <w:tcW w:w="798" w:type="pct"/>
            <w:tcMar>
              <w:left w:w="40" w:type="dxa"/>
              <w:right w:w="40" w:type="dxa"/>
            </w:tcMar>
            <w:vAlign w:val="center"/>
          </w:tcPr>
          <w:p w14:paraId="0A6A4473" w14:textId="77777777" w:rsidR="008E1613" w:rsidRPr="00282ED7" w:rsidRDefault="008E1613" w:rsidP="00260755">
            <w:pPr>
              <w:pStyle w:val="In-tableHeading"/>
              <w:jc w:val="center"/>
            </w:pPr>
            <w:r w:rsidRPr="00282ED7">
              <w:t>RR [95% CI]</w:t>
            </w:r>
          </w:p>
        </w:tc>
        <w:tc>
          <w:tcPr>
            <w:tcW w:w="811" w:type="pct"/>
            <w:tcMar>
              <w:left w:w="40" w:type="dxa"/>
              <w:right w:w="40" w:type="dxa"/>
            </w:tcMar>
            <w:vAlign w:val="center"/>
          </w:tcPr>
          <w:p w14:paraId="29D0ACEC" w14:textId="77777777" w:rsidR="008E1613" w:rsidRPr="00282ED7" w:rsidRDefault="008E1613" w:rsidP="00260755">
            <w:pPr>
              <w:pStyle w:val="In-tableHeading"/>
              <w:jc w:val="center"/>
            </w:pPr>
            <w:r w:rsidRPr="00282ED7">
              <w:t>RD [95% CI]</w:t>
            </w:r>
          </w:p>
        </w:tc>
      </w:tr>
      <w:tr w:rsidR="008E1613" w:rsidRPr="0098262F" w14:paraId="6AD29E06" w14:textId="77777777" w:rsidTr="00767C84">
        <w:tc>
          <w:tcPr>
            <w:tcW w:w="5000" w:type="pct"/>
            <w:gridSpan w:val="6"/>
            <w:tcMar>
              <w:left w:w="40" w:type="dxa"/>
              <w:right w:w="40" w:type="dxa"/>
            </w:tcMar>
          </w:tcPr>
          <w:p w14:paraId="572613CE" w14:textId="77777777" w:rsidR="008E1613" w:rsidRPr="0098262F" w:rsidRDefault="008E1613" w:rsidP="001B1083">
            <w:pPr>
              <w:pStyle w:val="In-tableHeading"/>
            </w:pPr>
            <w:r>
              <w:t>RESPONSE (seladelpar 10 mg)</w:t>
            </w:r>
          </w:p>
        </w:tc>
      </w:tr>
      <w:tr w:rsidR="008E1613" w:rsidRPr="0098262F" w14:paraId="34A4CD4A" w14:textId="77777777" w:rsidTr="00E563A5">
        <w:tc>
          <w:tcPr>
            <w:tcW w:w="1329" w:type="pct"/>
            <w:tcMar>
              <w:left w:w="40" w:type="dxa"/>
              <w:right w:w="40" w:type="dxa"/>
            </w:tcMar>
            <w:vAlign w:val="center"/>
          </w:tcPr>
          <w:p w14:paraId="2D05445E" w14:textId="77777777" w:rsidR="008E1613" w:rsidRPr="0098262F" w:rsidRDefault="008E1613" w:rsidP="001B1083">
            <w:pPr>
              <w:pStyle w:val="TableText0"/>
            </w:pPr>
            <w:r>
              <w:t>TEAE</w:t>
            </w:r>
          </w:p>
        </w:tc>
        <w:tc>
          <w:tcPr>
            <w:tcW w:w="665" w:type="pct"/>
            <w:tcBorders>
              <w:bottom w:val="single" w:sz="4" w:space="0" w:color="auto"/>
            </w:tcBorders>
            <w:tcMar>
              <w:left w:w="40" w:type="dxa"/>
              <w:right w:w="40" w:type="dxa"/>
            </w:tcMar>
          </w:tcPr>
          <w:p w14:paraId="3E1C8B1D" w14:textId="77777777" w:rsidR="008E1613" w:rsidRPr="0098262F" w:rsidRDefault="008E1613" w:rsidP="001B1083">
            <w:pPr>
              <w:pStyle w:val="TableText0"/>
              <w:jc w:val="center"/>
            </w:pPr>
            <w:r>
              <w:t>111/128 (86.7)</w:t>
            </w:r>
          </w:p>
        </w:tc>
        <w:tc>
          <w:tcPr>
            <w:tcW w:w="599" w:type="pct"/>
            <w:tcBorders>
              <w:bottom w:val="single" w:sz="4" w:space="0" w:color="auto"/>
            </w:tcBorders>
            <w:tcMar>
              <w:left w:w="40" w:type="dxa"/>
              <w:right w:w="40" w:type="dxa"/>
            </w:tcMar>
          </w:tcPr>
          <w:p w14:paraId="68119D84" w14:textId="77777777" w:rsidR="008E1613" w:rsidRPr="0098262F" w:rsidRDefault="008E1613" w:rsidP="001B1083">
            <w:pPr>
              <w:pStyle w:val="TableText0"/>
              <w:jc w:val="center"/>
            </w:pPr>
            <w:r>
              <w:t>55/65 (84.6)</w:t>
            </w:r>
          </w:p>
        </w:tc>
        <w:tc>
          <w:tcPr>
            <w:tcW w:w="798" w:type="pct"/>
            <w:tcBorders>
              <w:bottom w:val="single" w:sz="4" w:space="0" w:color="auto"/>
            </w:tcBorders>
            <w:tcMar>
              <w:left w:w="40" w:type="dxa"/>
              <w:right w:w="40" w:type="dxa"/>
            </w:tcMar>
          </w:tcPr>
          <w:p w14:paraId="06D4C3D2" w14:textId="77777777" w:rsidR="008E1613" w:rsidRPr="0098262F" w:rsidRDefault="008E1613" w:rsidP="001B1083">
            <w:pPr>
              <w:pStyle w:val="TableText0"/>
              <w:jc w:val="center"/>
            </w:pPr>
            <w:r w:rsidRPr="00B546FC">
              <w:t>1.19 [0.51, 2.76]</w:t>
            </w:r>
          </w:p>
        </w:tc>
        <w:tc>
          <w:tcPr>
            <w:tcW w:w="798" w:type="pct"/>
            <w:tcBorders>
              <w:bottom w:val="single" w:sz="4" w:space="0" w:color="auto"/>
            </w:tcBorders>
            <w:tcMar>
              <w:left w:w="40" w:type="dxa"/>
              <w:right w:w="40" w:type="dxa"/>
            </w:tcMar>
          </w:tcPr>
          <w:p w14:paraId="2B69143A" w14:textId="77777777" w:rsidR="008E1613" w:rsidRPr="0098262F" w:rsidRDefault="008E1613" w:rsidP="001B1083">
            <w:pPr>
              <w:pStyle w:val="TableText0"/>
              <w:jc w:val="center"/>
            </w:pPr>
            <w:r w:rsidRPr="007F5234">
              <w:t>1.02 [0.91, 1.16]</w:t>
            </w:r>
          </w:p>
        </w:tc>
        <w:tc>
          <w:tcPr>
            <w:tcW w:w="811" w:type="pct"/>
            <w:tcBorders>
              <w:bottom w:val="single" w:sz="4" w:space="0" w:color="auto"/>
            </w:tcBorders>
            <w:tcMar>
              <w:left w:w="40" w:type="dxa"/>
              <w:right w:w="40" w:type="dxa"/>
            </w:tcMar>
          </w:tcPr>
          <w:p w14:paraId="7939ACBD" w14:textId="77777777" w:rsidR="008E1613" w:rsidRPr="0098262F" w:rsidRDefault="008E1613" w:rsidP="001B1083">
            <w:pPr>
              <w:pStyle w:val="TableText0"/>
              <w:jc w:val="center"/>
            </w:pPr>
            <w:r w:rsidRPr="006947C2">
              <w:t>0.02 [-0.08, 0.13]</w:t>
            </w:r>
          </w:p>
        </w:tc>
      </w:tr>
      <w:tr w:rsidR="008E1613" w:rsidRPr="0098262F" w14:paraId="2BF7F9BD" w14:textId="77777777" w:rsidTr="00E563A5">
        <w:tc>
          <w:tcPr>
            <w:tcW w:w="1329" w:type="pct"/>
            <w:tcMar>
              <w:left w:w="40" w:type="dxa"/>
              <w:right w:w="40" w:type="dxa"/>
            </w:tcMar>
            <w:vAlign w:val="center"/>
          </w:tcPr>
          <w:p w14:paraId="316468D3" w14:textId="77777777" w:rsidR="008E1613" w:rsidRPr="0098262F" w:rsidRDefault="008E1613" w:rsidP="001B1083">
            <w:pPr>
              <w:pStyle w:val="TableText0"/>
            </w:pPr>
            <w:r>
              <w:t>Serious TEAE</w:t>
            </w:r>
          </w:p>
        </w:tc>
        <w:tc>
          <w:tcPr>
            <w:tcW w:w="665" w:type="pct"/>
            <w:tcBorders>
              <w:top w:val="single" w:sz="4" w:space="0" w:color="auto"/>
              <w:bottom w:val="single" w:sz="4" w:space="0" w:color="auto"/>
            </w:tcBorders>
            <w:tcMar>
              <w:left w:w="40" w:type="dxa"/>
              <w:right w:w="40" w:type="dxa"/>
            </w:tcMar>
          </w:tcPr>
          <w:p w14:paraId="7416316E" w14:textId="77777777" w:rsidR="008E1613" w:rsidRPr="0098262F" w:rsidRDefault="008E1613" w:rsidP="001B1083">
            <w:pPr>
              <w:pStyle w:val="TableText0"/>
              <w:jc w:val="center"/>
            </w:pPr>
            <w:r>
              <w:t>9/128 (7.0)</w:t>
            </w:r>
          </w:p>
        </w:tc>
        <w:tc>
          <w:tcPr>
            <w:tcW w:w="599" w:type="pct"/>
            <w:tcBorders>
              <w:top w:val="single" w:sz="4" w:space="0" w:color="auto"/>
              <w:bottom w:val="single" w:sz="4" w:space="0" w:color="auto"/>
            </w:tcBorders>
            <w:tcMar>
              <w:left w:w="40" w:type="dxa"/>
              <w:right w:w="40" w:type="dxa"/>
            </w:tcMar>
          </w:tcPr>
          <w:p w14:paraId="12732D71" w14:textId="77777777" w:rsidR="008E1613" w:rsidRPr="0098262F" w:rsidRDefault="008E1613" w:rsidP="001B1083">
            <w:pPr>
              <w:pStyle w:val="TableText0"/>
              <w:jc w:val="center"/>
            </w:pPr>
            <w:r>
              <w:t>4/65 (6.2)</w:t>
            </w:r>
          </w:p>
        </w:tc>
        <w:tc>
          <w:tcPr>
            <w:tcW w:w="798" w:type="pct"/>
            <w:tcBorders>
              <w:top w:val="single" w:sz="4" w:space="0" w:color="auto"/>
              <w:bottom w:val="single" w:sz="4" w:space="0" w:color="auto"/>
            </w:tcBorders>
            <w:tcMar>
              <w:left w:w="40" w:type="dxa"/>
              <w:right w:w="40" w:type="dxa"/>
            </w:tcMar>
          </w:tcPr>
          <w:p w14:paraId="67A311DA" w14:textId="77777777" w:rsidR="008E1613" w:rsidRPr="0098262F" w:rsidRDefault="008E1613" w:rsidP="001B1083">
            <w:pPr>
              <w:pStyle w:val="TableText0"/>
              <w:jc w:val="center"/>
            </w:pPr>
            <w:r w:rsidRPr="00B546FC">
              <w:t>1.15 [0.34, 3.90]</w:t>
            </w:r>
          </w:p>
        </w:tc>
        <w:tc>
          <w:tcPr>
            <w:tcW w:w="798" w:type="pct"/>
            <w:tcBorders>
              <w:top w:val="single" w:sz="4" w:space="0" w:color="auto"/>
              <w:bottom w:val="single" w:sz="4" w:space="0" w:color="auto"/>
            </w:tcBorders>
            <w:tcMar>
              <w:left w:w="40" w:type="dxa"/>
              <w:right w:w="40" w:type="dxa"/>
            </w:tcMar>
          </w:tcPr>
          <w:p w14:paraId="75F0D52C" w14:textId="77777777" w:rsidR="008E1613" w:rsidRPr="0098262F" w:rsidRDefault="008E1613" w:rsidP="001B1083">
            <w:pPr>
              <w:pStyle w:val="TableText0"/>
              <w:jc w:val="center"/>
            </w:pPr>
            <w:r w:rsidRPr="007F5234">
              <w:t>1.14 [0.37, 3.57]</w:t>
            </w:r>
          </w:p>
        </w:tc>
        <w:tc>
          <w:tcPr>
            <w:tcW w:w="811" w:type="pct"/>
            <w:tcBorders>
              <w:top w:val="single" w:sz="4" w:space="0" w:color="auto"/>
              <w:bottom w:val="single" w:sz="4" w:space="0" w:color="auto"/>
            </w:tcBorders>
            <w:tcMar>
              <w:left w:w="40" w:type="dxa"/>
              <w:right w:w="40" w:type="dxa"/>
            </w:tcMar>
          </w:tcPr>
          <w:p w14:paraId="332EF84A" w14:textId="77777777" w:rsidR="008E1613" w:rsidRPr="0098262F" w:rsidRDefault="008E1613" w:rsidP="001B1083">
            <w:pPr>
              <w:pStyle w:val="TableText0"/>
              <w:jc w:val="center"/>
            </w:pPr>
            <w:r w:rsidRPr="006947C2">
              <w:t>0.01 [-0.06, 0.08]</w:t>
            </w:r>
          </w:p>
        </w:tc>
      </w:tr>
      <w:tr w:rsidR="008E1613" w:rsidRPr="0098262F" w14:paraId="5940A2B3" w14:textId="77777777" w:rsidTr="00E563A5">
        <w:tc>
          <w:tcPr>
            <w:tcW w:w="1329" w:type="pct"/>
            <w:tcMar>
              <w:left w:w="40" w:type="dxa"/>
              <w:right w:w="40" w:type="dxa"/>
            </w:tcMar>
            <w:vAlign w:val="center"/>
          </w:tcPr>
          <w:p w14:paraId="63348CBE" w14:textId="77777777" w:rsidR="008E1613" w:rsidRPr="0098262F" w:rsidRDefault="008E1613" w:rsidP="001B1083">
            <w:pPr>
              <w:pStyle w:val="TableText0"/>
            </w:pPr>
            <w:r>
              <w:t>Severe TEAE</w:t>
            </w:r>
            <w:r w:rsidRPr="00207B4B">
              <w:rPr>
                <w:vertAlign w:val="superscript"/>
              </w:rPr>
              <w:t>a</w:t>
            </w:r>
          </w:p>
        </w:tc>
        <w:tc>
          <w:tcPr>
            <w:tcW w:w="665" w:type="pct"/>
            <w:tcBorders>
              <w:top w:val="single" w:sz="4" w:space="0" w:color="auto"/>
              <w:bottom w:val="single" w:sz="4" w:space="0" w:color="auto"/>
            </w:tcBorders>
            <w:tcMar>
              <w:left w:w="40" w:type="dxa"/>
              <w:right w:w="40" w:type="dxa"/>
            </w:tcMar>
          </w:tcPr>
          <w:p w14:paraId="720840FE" w14:textId="77777777" w:rsidR="008E1613" w:rsidRPr="0098262F" w:rsidRDefault="008E1613" w:rsidP="001B1083">
            <w:pPr>
              <w:pStyle w:val="TableText0"/>
              <w:jc w:val="center"/>
            </w:pPr>
            <w:r>
              <w:t>14/128 (10.9)</w:t>
            </w:r>
          </w:p>
        </w:tc>
        <w:tc>
          <w:tcPr>
            <w:tcW w:w="599" w:type="pct"/>
            <w:tcBorders>
              <w:top w:val="single" w:sz="4" w:space="0" w:color="auto"/>
              <w:bottom w:val="single" w:sz="4" w:space="0" w:color="auto"/>
            </w:tcBorders>
            <w:tcMar>
              <w:left w:w="40" w:type="dxa"/>
              <w:right w:w="40" w:type="dxa"/>
            </w:tcMar>
          </w:tcPr>
          <w:p w14:paraId="41B246A9" w14:textId="77777777" w:rsidR="008E1613" w:rsidRPr="0098262F" w:rsidRDefault="008E1613" w:rsidP="001B1083">
            <w:pPr>
              <w:pStyle w:val="TableText0"/>
              <w:jc w:val="center"/>
            </w:pPr>
            <w:r>
              <w:t>5/65 (7.7)</w:t>
            </w:r>
          </w:p>
        </w:tc>
        <w:tc>
          <w:tcPr>
            <w:tcW w:w="798" w:type="pct"/>
            <w:tcBorders>
              <w:top w:val="single" w:sz="4" w:space="0" w:color="auto"/>
              <w:bottom w:val="single" w:sz="4" w:space="0" w:color="auto"/>
            </w:tcBorders>
            <w:tcMar>
              <w:left w:w="40" w:type="dxa"/>
              <w:right w:w="40" w:type="dxa"/>
            </w:tcMar>
          </w:tcPr>
          <w:p w14:paraId="6F4D9AEE" w14:textId="77777777" w:rsidR="008E1613" w:rsidRPr="0098262F" w:rsidRDefault="008E1613" w:rsidP="001B1083">
            <w:pPr>
              <w:pStyle w:val="TableText0"/>
              <w:jc w:val="center"/>
            </w:pPr>
            <w:r w:rsidRPr="00B546FC">
              <w:t>1.47 [0.51, 4.29]</w:t>
            </w:r>
          </w:p>
        </w:tc>
        <w:tc>
          <w:tcPr>
            <w:tcW w:w="798" w:type="pct"/>
            <w:tcBorders>
              <w:top w:val="single" w:sz="4" w:space="0" w:color="auto"/>
              <w:bottom w:val="single" w:sz="4" w:space="0" w:color="auto"/>
            </w:tcBorders>
            <w:tcMar>
              <w:left w:w="40" w:type="dxa"/>
              <w:right w:w="40" w:type="dxa"/>
            </w:tcMar>
          </w:tcPr>
          <w:p w14:paraId="0F3D9EFD" w14:textId="77777777" w:rsidR="008E1613" w:rsidRPr="0098262F" w:rsidRDefault="008E1613" w:rsidP="001B1083">
            <w:pPr>
              <w:pStyle w:val="TableText0"/>
              <w:jc w:val="center"/>
            </w:pPr>
            <w:r w:rsidRPr="007F5234">
              <w:t>1.42 [0.54, 3.78]</w:t>
            </w:r>
          </w:p>
        </w:tc>
        <w:tc>
          <w:tcPr>
            <w:tcW w:w="811" w:type="pct"/>
            <w:tcBorders>
              <w:top w:val="single" w:sz="4" w:space="0" w:color="auto"/>
              <w:bottom w:val="single" w:sz="4" w:space="0" w:color="auto"/>
            </w:tcBorders>
            <w:tcMar>
              <w:left w:w="40" w:type="dxa"/>
              <w:right w:w="40" w:type="dxa"/>
            </w:tcMar>
          </w:tcPr>
          <w:p w14:paraId="4A091392" w14:textId="77777777" w:rsidR="008E1613" w:rsidRPr="0098262F" w:rsidRDefault="008E1613" w:rsidP="001B1083">
            <w:pPr>
              <w:pStyle w:val="TableText0"/>
              <w:jc w:val="center"/>
            </w:pPr>
            <w:r w:rsidRPr="006947C2">
              <w:t>0.03 [-0.05, 0.12]</w:t>
            </w:r>
          </w:p>
        </w:tc>
      </w:tr>
      <w:tr w:rsidR="008E1613" w:rsidRPr="0098262F" w14:paraId="515E5204" w14:textId="77777777" w:rsidTr="00E563A5">
        <w:tc>
          <w:tcPr>
            <w:tcW w:w="1329" w:type="pct"/>
            <w:tcMar>
              <w:left w:w="40" w:type="dxa"/>
              <w:right w:w="40" w:type="dxa"/>
            </w:tcMar>
            <w:vAlign w:val="center"/>
          </w:tcPr>
          <w:p w14:paraId="1FAEA4FD" w14:textId="77777777" w:rsidR="008E1613" w:rsidRDefault="008E1613" w:rsidP="001B1083">
            <w:pPr>
              <w:pStyle w:val="TableText0"/>
            </w:pPr>
            <w:r>
              <w:t>Drug-related TEAE</w:t>
            </w:r>
          </w:p>
        </w:tc>
        <w:tc>
          <w:tcPr>
            <w:tcW w:w="665" w:type="pct"/>
            <w:tcBorders>
              <w:bottom w:val="single" w:sz="4" w:space="0" w:color="auto"/>
            </w:tcBorders>
            <w:tcMar>
              <w:left w:w="40" w:type="dxa"/>
              <w:right w:w="40" w:type="dxa"/>
            </w:tcMar>
          </w:tcPr>
          <w:p w14:paraId="09FC5056" w14:textId="77777777" w:rsidR="008E1613" w:rsidRPr="0098262F" w:rsidRDefault="008E1613" w:rsidP="001B1083">
            <w:pPr>
              <w:pStyle w:val="TableText0"/>
              <w:jc w:val="center"/>
            </w:pPr>
            <w:r>
              <w:t>22/128 (17.2)</w:t>
            </w:r>
          </w:p>
        </w:tc>
        <w:tc>
          <w:tcPr>
            <w:tcW w:w="599" w:type="pct"/>
            <w:tcBorders>
              <w:bottom w:val="single" w:sz="4" w:space="0" w:color="auto"/>
            </w:tcBorders>
            <w:tcMar>
              <w:left w:w="40" w:type="dxa"/>
              <w:right w:w="40" w:type="dxa"/>
            </w:tcMar>
          </w:tcPr>
          <w:p w14:paraId="2FA29F3A" w14:textId="77777777" w:rsidR="008E1613" w:rsidRPr="0098262F" w:rsidRDefault="008E1613" w:rsidP="001B1083">
            <w:pPr>
              <w:pStyle w:val="TableText0"/>
              <w:jc w:val="center"/>
            </w:pPr>
            <w:r>
              <w:t>8/65 (12.3)</w:t>
            </w:r>
          </w:p>
        </w:tc>
        <w:tc>
          <w:tcPr>
            <w:tcW w:w="798" w:type="pct"/>
            <w:tcBorders>
              <w:bottom w:val="single" w:sz="4" w:space="0" w:color="auto"/>
            </w:tcBorders>
            <w:tcMar>
              <w:left w:w="40" w:type="dxa"/>
              <w:right w:w="40" w:type="dxa"/>
            </w:tcMar>
          </w:tcPr>
          <w:p w14:paraId="0CC33F74" w14:textId="77777777" w:rsidR="008E1613" w:rsidRPr="0098262F" w:rsidRDefault="008E1613" w:rsidP="001B1083">
            <w:pPr>
              <w:pStyle w:val="TableText0"/>
              <w:jc w:val="center"/>
            </w:pPr>
            <w:r w:rsidRPr="00B546FC">
              <w:t>1.48 [0.62, 3.53]</w:t>
            </w:r>
          </w:p>
        </w:tc>
        <w:tc>
          <w:tcPr>
            <w:tcW w:w="798" w:type="pct"/>
            <w:tcBorders>
              <w:bottom w:val="single" w:sz="4" w:space="0" w:color="auto"/>
            </w:tcBorders>
            <w:tcMar>
              <w:left w:w="40" w:type="dxa"/>
              <w:right w:w="40" w:type="dxa"/>
            </w:tcMar>
          </w:tcPr>
          <w:p w14:paraId="3965EE47" w14:textId="77777777" w:rsidR="008E1613" w:rsidRPr="0098262F" w:rsidRDefault="008E1613" w:rsidP="001B1083">
            <w:pPr>
              <w:pStyle w:val="TableText0"/>
              <w:jc w:val="center"/>
            </w:pPr>
            <w:r w:rsidRPr="007F5234">
              <w:t>1.40 [0.66, 2.96]</w:t>
            </w:r>
          </w:p>
        </w:tc>
        <w:tc>
          <w:tcPr>
            <w:tcW w:w="811" w:type="pct"/>
            <w:tcBorders>
              <w:bottom w:val="single" w:sz="4" w:space="0" w:color="auto"/>
            </w:tcBorders>
            <w:tcMar>
              <w:left w:w="40" w:type="dxa"/>
              <w:right w:w="40" w:type="dxa"/>
            </w:tcMar>
          </w:tcPr>
          <w:p w14:paraId="1672E8EC" w14:textId="77777777" w:rsidR="008E1613" w:rsidRPr="0098262F" w:rsidRDefault="008E1613" w:rsidP="001B1083">
            <w:pPr>
              <w:pStyle w:val="TableText0"/>
              <w:jc w:val="center"/>
            </w:pPr>
            <w:r w:rsidRPr="006947C2">
              <w:t>0.05 [-0.05, 0.15]</w:t>
            </w:r>
          </w:p>
        </w:tc>
      </w:tr>
      <w:tr w:rsidR="008E1613" w:rsidRPr="0098262F" w14:paraId="2D9ABA1C" w14:textId="77777777" w:rsidTr="00E563A5">
        <w:tc>
          <w:tcPr>
            <w:tcW w:w="1329" w:type="pct"/>
            <w:tcMar>
              <w:left w:w="40" w:type="dxa"/>
              <w:right w:w="40" w:type="dxa"/>
            </w:tcMar>
            <w:vAlign w:val="center"/>
          </w:tcPr>
          <w:p w14:paraId="2A7D4AB5" w14:textId="77777777" w:rsidR="008E1613" w:rsidRDefault="008E1613" w:rsidP="001B1083">
            <w:pPr>
              <w:pStyle w:val="TableText0"/>
            </w:pPr>
            <w:r>
              <w:t>TEAE leading to discontinuation of study drug</w:t>
            </w:r>
          </w:p>
        </w:tc>
        <w:tc>
          <w:tcPr>
            <w:tcW w:w="665" w:type="pct"/>
            <w:tcMar>
              <w:left w:w="40" w:type="dxa"/>
              <w:right w:w="40" w:type="dxa"/>
            </w:tcMar>
            <w:vAlign w:val="center"/>
          </w:tcPr>
          <w:p w14:paraId="23A7C0C5" w14:textId="77777777" w:rsidR="008E1613" w:rsidRPr="0098262F" w:rsidRDefault="008E1613" w:rsidP="001B1083">
            <w:pPr>
              <w:pStyle w:val="TableText0"/>
              <w:jc w:val="center"/>
            </w:pPr>
            <w:r>
              <w:t>4/128 (3.1)</w:t>
            </w:r>
          </w:p>
        </w:tc>
        <w:tc>
          <w:tcPr>
            <w:tcW w:w="599" w:type="pct"/>
            <w:tcMar>
              <w:left w:w="40" w:type="dxa"/>
              <w:right w:w="40" w:type="dxa"/>
            </w:tcMar>
            <w:vAlign w:val="center"/>
          </w:tcPr>
          <w:p w14:paraId="759B1630" w14:textId="77777777" w:rsidR="008E1613" w:rsidRPr="0098262F" w:rsidRDefault="008E1613" w:rsidP="001B1083">
            <w:pPr>
              <w:pStyle w:val="TableText0"/>
              <w:jc w:val="center"/>
            </w:pPr>
            <w:r>
              <w:t>3/65 (4.6)</w:t>
            </w:r>
          </w:p>
        </w:tc>
        <w:tc>
          <w:tcPr>
            <w:tcW w:w="798" w:type="pct"/>
            <w:tcMar>
              <w:left w:w="40" w:type="dxa"/>
              <w:right w:w="40" w:type="dxa"/>
            </w:tcMar>
            <w:vAlign w:val="center"/>
          </w:tcPr>
          <w:p w14:paraId="59AF1A5C" w14:textId="77777777" w:rsidR="008E1613" w:rsidRPr="0098262F" w:rsidRDefault="008E1613" w:rsidP="001B1083">
            <w:pPr>
              <w:pStyle w:val="TableText0"/>
              <w:jc w:val="center"/>
            </w:pPr>
            <w:r w:rsidRPr="008947DA">
              <w:t>0.67 [0.14, 3.07]</w:t>
            </w:r>
          </w:p>
        </w:tc>
        <w:tc>
          <w:tcPr>
            <w:tcW w:w="798" w:type="pct"/>
            <w:tcMar>
              <w:left w:w="40" w:type="dxa"/>
              <w:right w:w="40" w:type="dxa"/>
            </w:tcMar>
            <w:vAlign w:val="center"/>
          </w:tcPr>
          <w:p w14:paraId="2D931D0E" w14:textId="77777777" w:rsidR="008E1613" w:rsidRPr="0098262F" w:rsidRDefault="008E1613" w:rsidP="001B1083">
            <w:pPr>
              <w:pStyle w:val="TableText0"/>
              <w:jc w:val="center"/>
            </w:pPr>
            <w:r w:rsidRPr="000F30CF">
              <w:t>0.68 [0.16, 2.94]</w:t>
            </w:r>
          </w:p>
        </w:tc>
        <w:tc>
          <w:tcPr>
            <w:tcW w:w="811" w:type="pct"/>
            <w:tcMar>
              <w:left w:w="40" w:type="dxa"/>
              <w:right w:w="40" w:type="dxa"/>
            </w:tcMar>
            <w:vAlign w:val="center"/>
          </w:tcPr>
          <w:p w14:paraId="7FCE6F8F" w14:textId="77777777" w:rsidR="008E1613" w:rsidRPr="0098262F" w:rsidRDefault="008E1613" w:rsidP="001B1083">
            <w:pPr>
              <w:pStyle w:val="TableText0"/>
              <w:jc w:val="center"/>
            </w:pPr>
            <w:r w:rsidRPr="00443C76">
              <w:t>-0.01 [-0.07,</w:t>
            </w:r>
            <w:r>
              <w:t xml:space="preserve"> </w:t>
            </w:r>
            <w:r w:rsidRPr="00443C76">
              <w:t>0.04]</w:t>
            </w:r>
          </w:p>
        </w:tc>
      </w:tr>
      <w:tr w:rsidR="008E1613" w:rsidRPr="0098262F" w14:paraId="17104FFE" w14:textId="77777777" w:rsidTr="00E563A5">
        <w:tc>
          <w:tcPr>
            <w:tcW w:w="1329" w:type="pct"/>
            <w:tcMar>
              <w:left w:w="40" w:type="dxa"/>
              <w:right w:w="40" w:type="dxa"/>
            </w:tcMar>
            <w:vAlign w:val="center"/>
          </w:tcPr>
          <w:p w14:paraId="23E29313" w14:textId="77777777" w:rsidR="008E1613" w:rsidRDefault="008E1613" w:rsidP="001B1083">
            <w:pPr>
              <w:pStyle w:val="TableText0"/>
            </w:pPr>
            <w:r>
              <w:t>TEAE leading to study discontinuation</w:t>
            </w:r>
          </w:p>
        </w:tc>
        <w:tc>
          <w:tcPr>
            <w:tcW w:w="665" w:type="pct"/>
            <w:tcMar>
              <w:left w:w="40" w:type="dxa"/>
              <w:right w:w="40" w:type="dxa"/>
            </w:tcMar>
            <w:vAlign w:val="center"/>
          </w:tcPr>
          <w:p w14:paraId="4630FDA5" w14:textId="77777777" w:rsidR="008E1613" w:rsidRPr="0098262F" w:rsidRDefault="008E1613" w:rsidP="001B1083">
            <w:pPr>
              <w:pStyle w:val="TableText0"/>
              <w:jc w:val="center"/>
            </w:pPr>
            <w:r>
              <w:t>3/128 (2.3)</w:t>
            </w:r>
          </w:p>
        </w:tc>
        <w:tc>
          <w:tcPr>
            <w:tcW w:w="599" w:type="pct"/>
            <w:tcMar>
              <w:left w:w="40" w:type="dxa"/>
              <w:right w:w="40" w:type="dxa"/>
            </w:tcMar>
            <w:vAlign w:val="center"/>
          </w:tcPr>
          <w:p w14:paraId="607F7031" w14:textId="77777777" w:rsidR="008E1613" w:rsidRPr="0098262F" w:rsidRDefault="008E1613" w:rsidP="001B1083">
            <w:pPr>
              <w:pStyle w:val="TableText0"/>
              <w:jc w:val="center"/>
            </w:pPr>
            <w:r>
              <w:t>3/65 (4.6)</w:t>
            </w:r>
          </w:p>
        </w:tc>
        <w:tc>
          <w:tcPr>
            <w:tcW w:w="798" w:type="pct"/>
            <w:tcMar>
              <w:left w:w="40" w:type="dxa"/>
              <w:right w:w="40" w:type="dxa"/>
            </w:tcMar>
            <w:vAlign w:val="center"/>
          </w:tcPr>
          <w:p w14:paraId="13FFEC0F" w14:textId="77777777" w:rsidR="008E1613" w:rsidRPr="0098262F" w:rsidRDefault="008E1613" w:rsidP="001B1083">
            <w:pPr>
              <w:pStyle w:val="TableText0"/>
              <w:jc w:val="center"/>
            </w:pPr>
            <w:r w:rsidRPr="008947DA">
              <w:t>0.50 [0.10, 2.53]</w:t>
            </w:r>
          </w:p>
        </w:tc>
        <w:tc>
          <w:tcPr>
            <w:tcW w:w="798" w:type="pct"/>
            <w:tcMar>
              <w:left w:w="40" w:type="dxa"/>
              <w:right w:w="40" w:type="dxa"/>
            </w:tcMar>
            <w:vAlign w:val="center"/>
          </w:tcPr>
          <w:p w14:paraId="5C0FB046" w14:textId="77777777" w:rsidR="008E1613" w:rsidRPr="0098262F" w:rsidRDefault="008E1613" w:rsidP="001B1083">
            <w:pPr>
              <w:pStyle w:val="TableText0"/>
              <w:jc w:val="center"/>
            </w:pPr>
            <w:r w:rsidRPr="000F30CF">
              <w:t>0.51 [0.11, 2.45]</w:t>
            </w:r>
          </w:p>
        </w:tc>
        <w:tc>
          <w:tcPr>
            <w:tcW w:w="811" w:type="pct"/>
            <w:tcMar>
              <w:left w:w="40" w:type="dxa"/>
              <w:right w:w="40" w:type="dxa"/>
            </w:tcMar>
            <w:vAlign w:val="center"/>
          </w:tcPr>
          <w:p w14:paraId="60EA4971" w14:textId="77777777" w:rsidR="008E1613" w:rsidRPr="0098262F" w:rsidRDefault="008E1613" w:rsidP="001B1083">
            <w:pPr>
              <w:pStyle w:val="TableText0"/>
              <w:jc w:val="center"/>
            </w:pPr>
            <w:r w:rsidRPr="00443C76">
              <w:t>-0.02 [-0.08, 0.03]</w:t>
            </w:r>
          </w:p>
        </w:tc>
      </w:tr>
      <w:tr w:rsidR="008E1613" w:rsidRPr="0098262F" w14:paraId="7206D707" w14:textId="77777777" w:rsidTr="00E563A5">
        <w:tc>
          <w:tcPr>
            <w:tcW w:w="1329" w:type="pct"/>
            <w:tcMar>
              <w:left w:w="40" w:type="dxa"/>
              <w:right w:w="40" w:type="dxa"/>
            </w:tcMar>
            <w:vAlign w:val="center"/>
          </w:tcPr>
          <w:p w14:paraId="67D971E0" w14:textId="77777777" w:rsidR="008E1613" w:rsidRDefault="008E1613" w:rsidP="001B1083">
            <w:pPr>
              <w:pStyle w:val="TableText0"/>
            </w:pPr>
            <w:r>
              <w:t>Fatal TEAEs</w:t>
            </w:r>
          </w:p>
        </w:tc>
        <w:tc>
          <w:tcPr>
            <w:tcW w:w="665" w:type="pct"/>
            <w:tcMar>
              <w:left w:w="40" w:type="dxa"/>
              <w:right w:w="40" w:type="dxa"/>
            </w:tcMar>
          </w:tcPr>
          <w:p w14:paraId="1BF29DD5" w14:textId="77777777" w:rsidR="008E1613" w:rsidRPr="0098262F" w:rsidRDefault="008E1613" w:rsidP="001B1083">
            <w:pPr>
              <w:pStyle w:val="TableText0"/>
              <w:jc w:val="center"/>
            </w:pPr>
            <w:r>
              <w:t>0</w:t>
            </w:r>
          </w:p>
        </w:tc>
        <w:tc>
          <w:tcPr>
            <w:tcW w:w="599" w:type="pct"/>
            <w:tcMar>
              <w:left w:w="40" w:type="dxa"/>
              <w:right w:w="40" w:type="dxa"/>
            </w:tcMar>
          </w:tcPr>
          <w:p w14:paraId="459DA6BB" w14:textId="77777777" w:rsidR="008E1613" w:rsidRPr="0098262F" w:rsidRDefault="008E1613" w:rsidP="001B1083">
            <w:pPr>
              <w:pStyle w:val="TableText0"/>
              <w:jc w:val="center"/>
            </w:pPr>
            <w:r>
              <w:t>0</w:t>
            </w:r>
          </w:p>
        </w:tc>
        <w:tc>
          <w:tcPr>
            <w:tcW w:w="798" w:type="pct"/>
            <w:tcMar>
              <w:left w:w="40" w:type="dxa"/>
              <w:right w:w="40" w:type="dxa"/>
            </w:tcMar>
          </w:tcPr>
          <w:p w14:paraId="4C12302B" w14:textId="77777777" w:rsidR="008E1613" w:rsidRPr="0098262F" w:rsidRDefault="008E1613" w:rsidP="001B1083">
            <w:pPr>
              <w:pStyle w:val="TableText0"/>
              <w:jc w:val="center"/>
            </w:pPr>
            <w:r>
              <w:t>NE</w:t>
            </w:r>
          </w:p>
        </w:tc>
        <w:tc>
          <w:tcPr>
            <w:tcW w:w="798" w:type="pct"/>
            <w:tcMar>
              <w:left w:w="40" w:type="dxa"/>
              <w:right w:w="40" w:type="dxa"/>
            </w:tcMar>
          </w:tcPr>
          <w:p w14:paraId="70CED276" w14:textId="77777777" w:rsidR="008E1613" w:rsidRPr="0098262F" w:rsidRDefault="008E1613" w:rsidP="001B1083">
            <w:pPr>
              <w:pStyle w:val="TableText0"/>
              <w:jc w:val="center"/>
            </w:pPr>
            <w:r>
              <w:t>NE</w:t>
            </w:r>
          </w:p>
        </w:tc>
        <w:tc>
          <w:tcPr>
            <w:tcW w:w="811" w:type="pct"/>
            <w:tcMar>
              <w:left w:w="40" w:type="dxa"/>
              <w:right w:w="40" w:type="dxa"/>
            </w:tcMar>
          </w:tcPr>
          <w:p w14:paraId="496CE7D6" w14:textId="77777777" w:rsidR="008E1613" w:rsidRPr="0098262F" w:rsidRDefault="008E1613" w:rsidP="001B1083">
            <w:pPr>
              <w:pStyle w:val="TableText0"/>
              <w:jc w:val="center"/>
            </w:pPr>
            <w:r w:rsidRPr="00CA37F7">
              <w:t>0.00 [-0.02, 0.02]</w:t>
            </w:r>
          </w:p>
        </w:tc>
      </w:tr>
      <w:tr w:rsidR="00E563A5" w:rsidRPr="0098262F" w14:paraId="3B9A67EF" w14:textId="77777777" w:rsidTr="00E563A5">
        <w:tc>
          <w:tcPr>
            <w:tcW w:w="1329" w:type="pct"/>
            <w:tcMar>
              <w:left w:w="40" w:type="dxa"/>
              <w:right w:w="40" w:type="dxa"/>
            </w:tcMar>
            <w:vAlign w:val="center"/>
          </w:tcPr>
          <w:p w14:paraId="2BA06BDA" w14:textId="70602E9B" w:rsidR="00E563A5" w:rsidRDefault="00E563A5" w:rsidP="00E563A5">
            <w:pPr>
              <w:pStyle w:val="TableText0"/>
            </w:pPr>
            <w:r>
              <w:t>Pruritus TEAEs</w:t>
            </w:r>
          </w:p>
        </w:tc>
        <w:tc>
          <w:tcPr>
            <w:tcW w:w="665" w:type="pct"/>
            <w:tcMar>
              <w:left w:w="40" w:type="dxa"/>
              <w:right w:w="40" w:type="dxa"/>
            </w:tcMar>
          </w:tcPr>
          <w:p w14:paraId="44565858" w14:textId="273D9532" w:rsidR="00E563A5" w:rsidRDefault="00E563A5" w:rsidP="00E563A5">
            <w:pPr>
              <w:pStyle w:val="TableText0"/>
              <w:jc w:val="center"/>
            </w:pPr>
            <w:r>
              <w:t>6/128 (4.7)</w:t>
            </w:r>
          </w:p>
        </w:tc>
        <w:tc>
          <w:tcPr>
            <w:tcW w:w="599" w:type="pct"/>
            <w:tcMar>
              <w:left w:w="40" w:type="dxa"/>
              <w:right w:w="40" w:type="dxa"/>
            </w:tcMar>
          </w:tcPr>
          <w:p w14:paraId="3F88131E" w14:textId="00915E42" w:rsidR="00E563A5" w:rsidRDefault="00E563A5" w:rsidP="00E563A5">
            <w:pPr>
              <w:pStyle w:val="TableText0"/>
              <w:jc w:val="center"/>
            </w:pPr>
            <w:r>
              <w:t>10/65 (15.4)</w:t>
            </w:r>
          </w:p>
        </w:tc>
        <w:tc>
          <w:tcPr>
            <w:tcW w:w="798" w:type="pct"/>
            <w:tcMar>
              <w:left w:w="40" w:type="dxa"/>
              <w:right w:w="40" w:type="dxa"/>
            </w:tcMar>
          </w:tcPr>
          <w:p w14:paraId="625235FF" w14:textId="63D9BB34" w:rsidR="00E563A5" w:rsidRDefault="00E563A5" w:rsidP="00E563A5">
            <w:pPr>
              <w:pStyle w:val="TableText0"/>
              <w:jc w:val="center"/>
            </w:pPr>
            <w:r w:rsidRPr="00F17F95">
              <w:t>0.27 [0.09, 0.78]</w:t>
            </w:r>
          </w:p>
        </w:tc>
        <w:tc>
          <w:tcPr>
            <w:tcW w:w="798" w:type="pct"/>
            <w:tcMar>
              <w:left w:w="40" w:type="dxa"/>
              <w:right w:w="40" w:type="dxa"/>
            </w:tcMar>
          </w:tcPr>
          <w:p w14:paraId="06EE5826" w14:textId="32EFA0B2" w:rsidR="00E563A5" w:rsidRDefault="00E563A5" w:rsidP="00E563A5">
            <w:pPr>
              <w:pStyle w:val="TableText0"/>
              <w:jc w:val="center"/>
            </w:pPr>
            <w:r w:rsidRPr="00F17F95">
              <w:t>0.30 [0.12, 0.80]</w:t>
            </w:r>
          </w:p>
        </w:tc>
        <w:tc>
          <w:tcPr>
            <w:tcW w:w="811" w:type="pct"/>
            <w:tcMar>
              <w:left w:w="40" w:type="dxa"/>
              <w:right w:w="40" w:type="dxa"/>
            </w:tcMar>
          </w:tcPr>
          <w:p w14:paraId="00B85B7D" w14:textId="2DF493B3" w:rsidR="00E563A5" w:rsidRPr="00CA37F7" w:rsidRDefault="00E563A5" w:rsidP="00E563A5">
            <w:pPr>
              <w:pStyle w:val="TableText0"/>
              <w:jc w:val="center"/>
            </w:pPr>
            <w:r w:rsidRPr="00F17F95">
              <w:t>-0.11 [-0.20, -0.01]</w:t>
            </w:r>
          </w:p>
        </w:tc>
      </w:tr>
      <w:tr w:rsidR="00E563A5" w:rsidRPr="0098262F" w14:paraId="01708436" w14:textId="77777777" w:rsidTr="00767C84">
        <w:tc>
          <w:tcPr>
            <w:tcW w:w="5000" w:type="pct"/>
            <w:gridSpan w:val="6"/>
            <w:tcMar>
              <w:left w:w="40" w:type="dxa"/>
              <w:right w:w="40" w:type="dxa"/>
            </w:tcMar>
          </w:tcPr>
          <w:p w14:paraId="0B742307" w14:textId="77777777" w:rsidR="00E563A5" w:rsidRPr="0098262F" w:rsidRDefault="00E563A5" w:rsidP="00E563A5">
            <w:pPr>
              <w:pStyle w:val="In-tableHeading"/>
            </w:pPr>
            <w:r>
              <w:t>POISE (OCA 5-10 mg)</w:t>
            </w:r>
            <w:r w:rsidRPr="00207B4B">
              <w:rPr>
                <w:vertAlign w:val="superscript"/>
              </w:rPr>
              <w:t>b</w:t>
            </w:r>
          </w:p>
        </w:tc>
      </w:tr>
      <w:tr w:rsidR="00E563A5" w:rsidRPr="0098262F" w14:paraId="0D4EF59D" w14:textId="77777777" w:rsidTr="00E563A5">
        <w:tc>
          <w:tcPr>
            <w:tcW w:w="1329" w:type="pct"/>
            <w:tcMar>
              <w:left w:w="40" w:type="dxa"/>
              <w:right w:w="40" w:type="dxa"/>
            </w:tcMar>
            <w:vAlign w:val="center"/>
          </w:tcPr>
          <w:p w14:paraId="548CB5BA" w14:textId="77777777" w:rsidR="00E563A5" w:rsidRPr="0098262F" w:rsidRDefault="00E563A5" w:rsidP="00E563A5">
            <w:pPr>
              <w:pStyle w:val="TableText0"/>
            </w:pPr>
            <w:r>
              <w:t>TEAEs</w:t>
            </w:r>
          </w:p>
        </w:tc>
        <w:tc>
          <w:tcPr>
            <w:tcW w:w="665" w:type="pct"/>
            <w:tcMar>
              <w:left w:w="40" w:type="dxa"/>
              <w:right w:w="40" w:type="dxa"/>
            </w:tcMar>
          </w:tcPr>
          <w:p w14:paraId="35247D8F" w14:textId="77777777" w:rsidR="00E563A5" w:rsidRPr="0098262F" w:rsidRDefault="00E563A5" w:rsidP="00E563A5">
            <w:pPr>
              <w:pStyle w:val="TableText0"/>
              <w:jc w:val="center"/>
            </w:pPr>
            <w:r>
              <w:t>65/70 (92.8)</w:t>
            </w:r>
          </w:p>
        </w:tc>
        <w:tc>
          <w:tcPr>
            <w:tcW w:w="599" w:type="pct"/>
            <w:tcMar>
              <w:left w:w="40" w:type="dxa"/>
              <w:right w:w="40" w:type="dxa"/>
            </w:tcMar>
          </w:tcPr>
          <w:p w14:paraId="53F1A5D9" w14:textId="77777777" w:rsidR="00E563A5" w:rsidRPr="0098262F" w:rsidRDefault="00E563A5" w:rsidP="00E563A5">
            <w:pPr>
              <w:pStyle w:val="TableText0"/>
              <w:jc w:val="center"/>
            </w:pPr>
            <w:r>
              <w:t>66/73 (90.4)</w:t>
            </w:r>
          </w:p>
        </w:tc>
        <w:tc>
          <w:tcPr>
            <w:tcW w:w="798" w:type="pct"/>
            <w:tcMar>
              <w:left w:w="40" w:type="dxa"/>
              <w:right w:w="40" w:type="dxa"/>
            </w:tcMar>
          </w:tcPr>
          <w:p w14:paraId="787459EF" w14:textId="77777777" w:rsidR="00E563A5" w:rsidRPr="00180625" w:rsidRDefault="00E563A5" w:rsidP="00E563A5">
            <w:pPr>
              <w:pStyle w:val="TableText0"/>
              <w:jc w:val="center"/>
            </w:pPr>
            <w:r w:rsidRPr="00180625">
              <w:t>1.38 [0.42, 4.57]</w:t>
            </w:r>
          </w:p>
        </w:tc>
        <w:tc>
          <w:tcPr>
            <w:tcW w:w="798" w:type="pct"/>
            <w:tcMar>
              <w:left w:w="40" w:type="dxa"/>
              <w:right w:w="40" w:type="dxa"/>
            </w:tcMar>
          </w:tcPr>
          <w:p w14:paraId="22AB1971" w14:textId="77777777" w:rsidR="00E563A5" w:rsidRPr="00180625" w:rsidRDefault="00E563A5" w:rsidP="00E563A5">
            <w:pPr>
              <w:pStyle w:val="TableText0"/>
              <w:jc w:val="center"/>
            </w:pPr>
            <w:r w:rsidRPr="00180625">
              <w:t>1.03 [0.93, 1.13]</w:t>
            </w:r>
          </w:p>
        </w:tc>
        <w:tc>
          <w:tcPr>
            <w:tcW w:w="811" w:type="pct"/>
            <w:tcMar>
              <w:left w:w="40" w:type="dxa"/>
              <w:right w:w="40" w:type="dxa"/>
            </w:tcMar>
          </w:tcPr>
          <w:p w14:paraId="18FBC205" w14:textId="77777777" w:rsidR="00E563A5" w:rsidRPr="00180625" w:rsidRDefault="00E563A5" w:rsidP="00E563A5">
            <w:pPr>
              <w:pStyle w:val="TableText0"/>
              <w:jc w:val="center"/>
            </w:pPr>
            <w:r w:rsidRPr="00180625">
              <w:t>0.02 [-0.07, 0.12]</w:t>
            </w:r>
          </w:p>
        </w:tc>
      </w:tr>
      <w:tr w:rsidR="00E563A5" w:rsidRPr="0098262F" w14:paraId="35CCE1B2" w14:textId="77777777" w:rsidTr="00E563A5">
        <w:tc>
          <w:tcPr>
            <w:tcW w:w="1329" w:type="pct"/>
            <w:tcMar>
              <w:left w:w="40" w:type="dxa"/>
              <w:right w:w="40" w:type="dxa"/>
            </w:tcMar>
            <w:vAlign w:val="center"/>
          </w:tcPr>
          <w:p w14:paraId="3571938E" w14:textId="5611421A" w:rsidR="00E563A5" w:rsidRDefault="00E563A5" w:rsidP="00E563A5">
            <w:pPr>
              <w:pStyle w:val="TableText0"/>
            </w:pPr>
            <w:r>
              <w:t>Serious TEAE</w:t>
            </w:r>
          </w:p>
        </w:tc>
        <w:tc>
          <w:tcPr>
            <w:tcW w:w="665" w:type="pct"/>
            <w:tcMar>
              <w:left w:w="40" w:type="dxa"/>
              <w:right w:w="40" w:type="dxa"/>
            </w:tcMar>
          </w:tcPr>
          <w:p w14:paraId="61366BCD" w14:textId="14EC60EA" w:rsidR="00E563A5" w:rsidRDefault="00E563A5" w:rsidP="00E563A5">
            <w:pPr>
              <w:pStyle w:val="TableText0"/>
              <w:jc w:val="center"/>
            </w:pPr>
            <w:r>
              <w:t>11/70 (15.7)</w:t>
            </w:r>
          </w:p>
        </w:tc>
        <w:tc>
          <w:tcPr>
            <w:tcW w:w="599" w:type="pct"/>
            <w:tcMar>
              <w:left w:w="40" w:type="dxa"/>
              <w:right w:w="40" w:type="dxa"/>
            </w:tcMar>
          </w:tcPr>
          <w:p w14:paraId="7FD280AB" w14:textId="7C665055" w:rsidR="00E563A5" w:rsidRDefault="00E563A5" w:rsidP="00E563A5">
            <w:pPr>
              <w:pStyle w:val="TableText0"/>
              <w:jc w:val="center"/>
            </w:pPr>
            <w:r>
              <w:t>3/73 (4.1)</w:t>
            </w:r>
          </w:p>
        </w:tc>
        <w:tc>
          <w:tcPr>
            <w:tcW w:w="798" w:type="pct"/>
            <w:tcMar>
              <w:left w:w="40" w:type="dxa"/>
              <w:right w:w="40" w:type="dxa"/>
            </w:tcMar>
          </w:tcPr>
          <w:p w14:paraId="499F2139" w14:textId="7C24D878" w:rsidR="00E563A5" w:rsidRPr="00180625" w:rsidRDefault="00E563A5" w:rsidP="00E563A5">
            <w:pPr>
              <w:pStyle w:val="TableText0"/>
              <w:jc w:val="center"/>
            </w:pPr>
            <w:r w:rsidRPr="00180625">
              <w:t>4.35 [1.16, 16.33]</w:t>
            </w:r>
          </w:p>
        </w:tc>
        <w:tc>
          <w:tcPr>
            <w:tcW w:w="798" w:type="pct"/>
            <w:tcMar>
              <w:left w:w="40" w:type="dxa"/>
              <w:right w:w="40" w:type="dxa"/>
            </w:tcMar>
          </w:tcPr>
          <w:p w14:paraId="78CA6058" w14:textId="2C915CB8" w:rsidR="00E563A5" w:rsidRPr="00180625" w:rsidRDefault="00E563A5" w:rsidP="00E563A5">
            <w:pPr>
              <w:pStyle w:val="TableText0"/>
              <w:jc w:val="center"/>
            </w:pPr>
            <w:r w:rsidRPr="00180625">
              <w:t>3.82 [1.11, 13.13]</w:t>
            </w:r>
          </w:p>
        </w:tc>
        <w:tc>
          <w:tcPr>
            <w:tcW w:w="811" w:type="pct"/>
            <w:tcMar>
              <w:left w:w="40" w:type="dxa"/>
              <w:right w:w="40" w:type="dxa"/>
            </w:tcMar>
          </w:tcPr>
          <w:p w14:paraId="06DF0B9B" w14:textId="5F9ED2B0" w:rsidR="00E563A5" w:rsidRPr="00180625" w:rsidRDefault="00E563A5" w:rsidP="00E563A5">
            <w:pPr>
              <w:pStyle w:val="TableText0"/>
              <w:jc w:val="center"/>
            </w:pPr>
            <w:r w:rsidRPr="00180625">
              <w:t>0.12 [0.02, 0.21]</w:t>
            </w:r>
          </w:p>
        </w:tc>
      </w:tr>
      <w:tr w:rsidR="00E563A5" w:rsidRPr="0098262F" w14:paraId="00F2A3E6" w14:textId="77777777" w:rsidTr="00E563A5">
        <w:tc>
          <w:tcPr>
            <w:tcW w:w="1329" w:type="pct"/>
            <w:tcMar>
              <w:left w:w="40" w:type="dxa"/>
              <w:right w:w="40" w:type="dxa"/>
            </w:tcMar>
            <w:vAlign w:val="center"/>
          </w:tcPr>
          <w:p w14:paraId="29313991" w14:textId="77777777" w:rsidR="00E563A5" w:rsidRPr="0098262F" w:rsidRDefault="00E563A5" w:rsidP="00E563A5">
            <w:pPr>
              <w:pStyle w:val="TableText0"/>
            </w:pPr>
            <w:r>
              <w:t>Severe TEAE</w:t>
            </w:r>
            <w:r w:rsidRPr="00207B4B">
              <w:rPr>
                <w:vertAlign w:val="superscript"/>
              </w:rPr>
              <w:t>c</w:t>
            </w:r>
          </w:p>
        </w:tc>
        <w:tc>
          <w:tcPr>
            <w:tcW w:w="665" w:type="pct"/>
            <w:tcMar>
              <w:left w:w="40" w:type="dxa"/>
              <w:right w:w="40" w:type="dxa"/>
            </w:tcMar>
          </w:tcPr>
          <w:p w14:paraId="607A259F" w14:textId="77777777" w:rsidR="00E563A5" w:rsidRPr="0098262F" w:rsidRDefault="00E563A5" w:rsidP="00E563A5">
            <w:pPr>
              <w:pStyle w:val="TableText0"/>
              <w:jc w:val="center"/>
            </w:pPr>
            <w:r>
              <w:t>22/70 (31.4)</w:t>
            </w:r>
          </w:p>
        </w:tc>
        <w:tc>
          <w:tcPr>
            <w:tcW w:w="599" w:type="pct"/>
            <w:tcMar>
              <w:left w:w="40" w:type="dxa"/>
              <w:right w:w="40" w:type="dxa"/>
            </w:tcMar>
          </w:tcPr>
          <w:p w14:paraId="49023C92" w14:textId="77777777" w:rsidR="00E563A5" w:rsidRPr="0098262F" w:rsidRDefault="00E563A5" w:rsidP="00E563A5">
            <w:pPr>
              <w:pStyle w:val="TableText0"/>
              <w:jc w:val="center"/>
            </w:pPr>
            <w:r>
              <w:t>9/73 (12.3)</w:t>
            </w:r>
          </w:p>
        </w:tc>
        <w:tc>
          <w:tcPr>
            <w:tcW w:w="798" w:type="pct"/>
            <w:tcMar>
              <w:left w:w="40" w:type="dxa"/>
              <w:right w:w="40" w:type="dxa"/>
            </w:tcMar>
          </w:tcPr>
          <w:p w14:paraId="75DA97E2" w14:textId="77777777" w:rsidR="00E563A5" w:rsidRPr="00F17F95" w:rsidRDefault="00E563A5" w:rsidP="00E563A5">
            <w:pPr>
              <w:pStyle w:val="TableText0"/>
              <w:jc w:val="center"/>
            </w:pPr>
            <w:r w:rsidRPr="00F17F95">
              <w:t>3.26 [1.38, 7.71]</w:t>
            </w:r>
          </w:p>
        </w:tc>
        <w:tc>
          <w:tcPr>
            <w:tcW w:w="798" w:type="pct"/>
            <w:tcMar>
              <w:left w:w="40" w:type="dxa"/>
              <w:right w:w="40" w:type="dxa"/>
            </w:tcMar>
          </w:tcPr>
          <w:p w14:paraId="5E01BA0D" w14:textId="77777777" w:rsidR="00E563A5" w:rsidRPr="00F17F95" w:rsidRDefault="00E563A5" w:rsidP="00E563A5">
            <w:pPr>
              <w:pStyle w:val="TableText0"/>
              <w:jc w:val="center"/>
            </w:pPr>
            <w:r w:rsidRPr="00F17F95">
              <w:t>2.55 [1.26, 5.15]</w:t>
            </w:r>
          </w:p>
        </w:tc>
        <w:tc>
          <w:tcPr>
            <w:tcW w:w="811" w:type="pct"/>
            <w:tcMar>
              <w:left w:w="40" w:type="dxa"/>
              <w:right w:w="40" w:type="dxa"/>
            </w:tcMar>
          </w:tcPr>
          <w:p w14:paraId="034B75CB" w14:textId="77777777" w:rsidR="00E563A5" w:rsidRPr="00F17F95" w:rsidRDefault="00E563A5" w:rsidP="00E563A5">
            <w:pPr>
              <w:pStyle w:val="TableText0"/>
              <w:jc w:val="center"/>
            </w:pPr>
            <w:r w:rsidRPr="00F17F95">
              <w:t>0.19 [0.06, 0.32]</w:t>
            </w:r>
          </w:p>
        </w:tc>
      </w:tr>
      <w:tr w:rsidR="00E563A5" w:rsidRPr="0098262F" w14:paraId="62D24AC6" w14:textId="77777777" w:rsidTr="00E563A5">
        <w:tc>
          <w:tcPr>
            <w:tcW w:w="1329" w:type="pct"/>
            <w:tcMar>
              <w:left w:w="40" w:type="dxa"/>
              <w:right w:w="40" w:type="dxa"/>
            </w:tcMar>
            <w:vAlign w:val="center"/>
          </w:tcPr>
          <w:p w14:paraId="7786560B" w14:textId="77777777" w:rsidR="00E563A5" w:rsidRPr="0098262F" w:rsidRDefault="00E563A5" w:rsidP="00E563A5">
            <w:pPr>
              <w:pStyle w:val="TableText0"/>
            </w:pPr>
            <w:r>
              <w:t>Drug-related TEAE</w:t>
            </w:r>
          </w:p>
        </w:tc>
        <w:tc>
          <w:tcPr>
            <w:tcW w:w="665" w:type="pct"/>
            <w:tcMar>
              <w:left w:w="40" w:type="dxa"/>
              <w:right w:w="40" w:type="dxa"/>
            </w:tcMar>
          </w:tcPr>
          <w:p w14:paraId="779FCA44" w14:textId="77777777" w:rsidR="00E563A5" w:rsidRPr="0098262F" w:rsidRDefault="00E563A5" w:rsidP="00E563A5">
            <w:pPr>
              <w:pStyle w:val="TableText0"/>
              <w:jc w:val="center"/>
            </w:pPr>
            <w:r>
              <w:t>42/70 (60.0)</w:t>
            </w:r>
          </w:p>
        </w:tc>
        <w:tc>
          <w:tcPr>
            <w:tcW w:w="599" w:type="pct"/>
            <w:tcMar>
              <w:left w:w="40" w:type="dxa"/>
              <w:right w:w="40" w:type="dxa"/>
            </w:tcMar>
          </w:tcPr>
          <w:p w14:paraId="481F7D7A" w14:textId="77777777" w:rsidR="00E563A5" w:rsidRPr="0098262F" w:rsidRDefault="00E563A5" w:rsidP="00E563A5">
            <w:pPr>
              <w:pStyle w:val="TableText0"/>
              <w:jc w:val="center"/>
            </w:pPr>
            <w:r>
              <w:t>38/73 (52.1)</w:t>
            </w:r>
          </w:p>
        </w:tc>
        <w:tc>
          <w:tcPr>
            <w:tcW w:w="798" w:type="pct"/>
            <w:tcMar>
              <w:left w:w="40" w:type="dxa"/>
              <w:right w:w="40" w:type="dxa"/>
            </w:tcMar>
          </w:tcPr>
          <w:p w14:paraId="7B1D8503" w14:textId="77777777" w:rsidR="00E563A5" w:rsidRPr="0098262F" w:rsidRDefault="00E563A5" w:rsidP="00E563A5">
            <w:pPr>
              <w:pStyle w:val="TableText0"/>
              <w:jc w:val="center"/>
            </w:pPr>
            <w:r>
              <w:t>1.38 [0.71, 2.68]</w:t>
            </w:r>
          </w:p>
        </w:tc>
        <w:tc>
          <w:tcPr>
            <w:tcW w:w="798" w:type="pct"/>
            <w:tcMar>
              <w:left w:w="40" w:type="dxa"/>
              <w:right w:w="40" w:type="dxa"/>
            </w:tcMar>
          </w:tcPr>
          <w:p w14:paraId="3684C02C" w14:textId="77777777" w:rsidR="00E563A5" w:rsidRPr="0098262F" w:rsidRDefault="00E563A5" w:rsidP="00E563A5">
            <w:pPr>
              <w:pStyle w:val="TableText0"/>
              <w:jc w:val="center"/>
            </w:pPr>
            <w:r>
              <w:t>1.15 [0.86, 1.54]</w:t>
            </w:r>
          </w:p>
        </w:tc>
        <w:tc>
          <w:tcPr>
            <w:tcW w:w="811" w:type="pct"/>
            <w:tcMar>
              <w:left w:w="40" w:type="dxa"/>
              <w:right w:w="40" w:type="dxa"/>
            </w:tcMar>
          </w:tcPr>
          <w:p w14:paraId="1DCD2A09" w14:textId="77777777" w:rsidR="00E563A5" w:rsidRPr="0098262F" w:rsidRDefault="00E563A5" w:rsidP="00E563A5">
            <w:pPr>
              <w:pStyle w:val="TableText0"/>
              <w:jc w:val="center"/>
            </w:pPr>
            <w:r>
              <w:t>0.08 [-0.08, 0.24]</w:t>
            </w:r>
          </w:p>
        </w:tc>
      </w:tr>
      <w:tr w:rsidR="00E563A5" w:rsidRPr="0098262F" w14:paraId="47BEC726" w14:textId="77777777" w:rsidTr="00E563A5">
        <w:tc>
          <w:tcPr>
            <w:tcW w:w="1329" w:type="pct"/>
            <w:tcMar>
              <w:left w:w="40" w:type="dxa"/>
              <w:right w:w="40" w:type="dxa"/>
            </w:tcMar>
            <w:vAlign w:val="center"/>
          </w:tcPr>
          <w:p w14:paraId="388B6DEA" w14:textId="77777777" w:rsidR="00E563A5" w:rsidRDefault="00E563A5" w:rsidP="00E563A5">
            <w:pPr>
              <w:pStyle w:val="TableText0"/>
            </w:pPr>
            <w:r>
              <w:t>TEAE leading to study discontinuation</w:t>
            </w:r>
          </w:p>
        </w:tc>
        <w:tc>
          <w:tcPr>
            <w:tcW w:w="665" w:type="pct"/>
            <w:tcMar>
              <w:left w:w="40" w:type="dxa"/>
              <w:right w:w="40" w:type="dxa"/>
            </w:tcMar>
            <w:vAlign w:val="center"/>
          </w:tcPr>
          <w:p w14:paraId="580477A2" w14:textId="77777777" w:rsidR="00E563A5" w:rsidRPr="0098262F" w:rsidRDefault="00E563A5" w:rsidP="00E563A5">
            <w:pPr>
              <w:pStyle w:val="TableText0"/>
              <w:jc w:val="center"/>
            </w:pPr>
            <w:r>
              <w:t>5/70 (7.1)</w:t>
            </w:r>
          </w:p>
        </w:tc>
        <w:tc>
          <w:tcPr>
            <w:tcW w:w="599" w:type="pct"/>
            <w:tcMar>
              <w:left w:w="40" w:type="dxa"/>
              <w:right w:w="40" w:type="dxa"/>
            </w:tcMar>
            <w:vAlign w:val="center"/>
          </w:tcPr>
          <w:p w14:paraId="3E6E6296" w14:textId="77777777" w:rsidR="00E563A5" w:rsidRPr="0098262F" w:rsidRDefault="00E563A5" w:rsidP="00E563A5">
            <w:pPr>
              <w:pStyle w:val="TableText0"/>
              <w:jc w:val="center"/>
            </w:pPr>
            <w:r>
              <w:t>2/73 (2.7)</w:t>
            </w:r>
          </w:p>
        </w:tc>
        <w:tc>
          <w:tcPr>
            <w:tcW w:w="798" w:type="pct"/>
            <w:tcMar>
              <w:left w:w="40" w:type="dxa"/>
              <w:right w:w="40" w:type="dxa"/>
            </w:tcMar>
            <w:vAlign w:val="center"/>
          </w:tcPr>
          <w:p w14:paraId="2BC8DB14" w14:textId="77777777" w:rsidR="00E563A5" w:rsidRPr="0098262F" w:rsidRDefault="00E563A5" w:rsidP="00E563A5">
            <w:pPr>
              <w:pStyle w:val="TableText0"/>
              <w:jc w:val="center"/>
            </w:pPr>
            <w:r>
              <w:t>2.73 [0.51, 14.56]</w:t>
            </w:r>
          </w:p>
        </w:tc>
        <w:tc>
          <w:tcPr>
            <w:tcW w:w="798" w:type="pct"/>
            <w:tcMar>
              <w:left w:w="40" w:type="dxa"/>
              <w:right w:w="40" w:type="dxa"/>
            </w:tcMar>
            <w:vAlign w:val="center"/>
          </w:tcPr>
          <w:p w14:paraId="538945C9" w14:textId="77777777" w:rsidR="00E563A5" w:rsidRPr="0098262F" w:rsidRDefault="00E563A5" w:rsidP="00E563A5">
            <w:pPr>
              <w:pStyle w:val="TableText0"/>
              <w:jc w:val="center"/>
            </w:pPr>
            <w:r>
              <w:t>2.61 [0.52, 13.00]</w:t>
            </w:r>
          </w:p>
        </w:tc>
        <w:tc>
          <w:tcPr>
            <w:tcW w:w="811" w:type="pct"/>
            <w:tcMar>
              <w:left w:w="40" w:type="dxa"/>
              <w:right w:w="40" w:type="dxa"/>
            </w:tcMar>
            <w:vAlign w:val="center"/>
          </w:tcPr>
          <w:p w14:paraId="544720B6" w14:textId="77777777" w:rsidR="00E563A5" w:rsidRPr="0098262F" w:rsidRDefault="00E563A5" w:rsidP="00E563A5">
            <w:pPr>
              <w:pStyle w:val="TableText0"/>
              <w:jc w:val="center"/>
            </w:pPr>
            <w:r>
              <w:t>0.04 [-0.03, 0.12]</w:t>
            </w:r>
          </w:p>
        </w:tc>
      </w:tr>
      <w:tr w:rsidR="00E563A5" w:rsidRPr="0098262F" w14:paraId="7DD4377D" w14:textId="77777777" w:rsidTr="00E563A5">
        <w:tc>
          <w:tcPr>
            <w:tcW w:w="1329" w:type="pct"/>
            <w:tcMar>
              <w:left w:w="40" w:type="dxa"/>
              <w:right w:w="40" w:type="dxa"/>
            </w:tcMar>
            <w:vAlign w:val="center"/>
          </w:tcPr>
          <w:p w14:paraId="7CEADF42" w14:textId="77777777" w:rsidR="00E563A5" w:rsidRDefault="00E563A5" w:rsidP="00E563A5">
            <w:pPr>
              <w:pStyle w:val="TableText0"/>
            </w:pPr>
            <w:r>
              <w:t>Deaths</w:t>
            </w:r>
          </w:p>
        </w:tc>
        <w:tc>
          <w:tcPr>
            <w:tcW w:w="665" w:type="pct"/>
            <w:tcMar>
              <w:left w:w="40" w:type="dxa"/>
              <w:right w:w="40" w:type="dxa"/>
            </w:tcMar>
          </w:tcPr>
          <w:p w14:paraId="5983DABD" w14:textId="77777777" w:rsidR="00E563A5" w:rsidRPr="0098262F" w:rsidRDefault="00E563A5" w:rsidP="00E563A5">
            <w:pPr>
              <w:pStyle w:val="TableText0"/>
              <w:jc w:val="center"/>
            </w:pPr>
            <w:r>
              <w:t>1/70 (1.4)</w:t>
            </w:r>
          </w:p>
        </w:tc>
        <w:tc>
          <w:tcPr>
            <w:tcW w:w="599" w:type="pct"/>
            <w:tcMar>
              <w:left w:w="40" w:type="dxa"/>
              <w:right w:w="40" w:type="dxa"/>
            </w:tcMar>
          </w:tcPr>
          <w:p w14:paraId="326B76ED" w14:textId="77777777" w:rsidR="00E563A5" w:rsidRPr="0098262F" w:rsidRDefault="00E563A5" w:rsidP="00E563A5">
            <w:pPr>
              <w:pStyle w:val="TableText0"/>
              <w:jc w:val="center"/>
            </w:pPr>
            <w:r>
              <w:t>0</w:t>
            </w:r>
          </w:p>
        </w:tc>
        <w:tc>
          <w:tcPr>
            <w:tcW w:w="798" w:type="pct"/>
            <w:tcMar>
              <w:left w:w="40" w:type="dxa"/>
              <w:right w:w="40" w:type="dxa"/>
            </w:tcMar>
          </w:tcPr>
          <w:p w14:paraId="5FBE3C03" w14:textId="77777777" w:rsidR="00E563A5" w:rsidRPr="0098262F" w:rsidRDefault="00E563A5" w:rsidP="00E563A5">
            <w:pPr>
              <w:pStyle w:val="TableText0"/>
              <w:jc w:val="center"/>
            </w:pPr>
            <w:r>
              <w:t>3.17 [0.13, 79.20]</w:t>
            </w:r>
          </w:p>
        </w:tc>
        <w:tc>
          <w:tcPr>
            <w:tcW w:w="798" w:type="pct"/>
            <w:tcMar>
              <w:left w:w="40" w:type="dxa"/>
              <w:right w:w="40" w:type="dxa"/>
            </w:tcMar>
          </w:tcPr>
          <w:p w14:paraId="201117BB" w14:textId="77777777" w:rsidR="00E563A5" w:rsidRPr="0098262F" w:rsidRDefault="00E563A5" w:rsidP="00E563A5">
            <w:pPr>
              <w:pStyle w:val="TableText0"/>
              <w:jc w:val="center"/>
            </w:pPr>
            <w:r>
              <w:t>3.13 [0.13, 75.49]</w:t>
            </w:r>
          </w:p>
        </w:tc>
        <w:tc>
          <w:tcPr>
            <w:tcW w:w="811" w:type="pct"/>
            <w:tcMar>
              <w:left w:w="40" w:type="dxa"/>
              <w:right w:w="40" w:type="dxa"/>
            </w:tcMar>
          </w:tcPr>
          <w:p w14:paraId="4AC83634" w14:textId="77777777" w:rsidR="00E563A5" w:rsidRPr="0098262F" w:rsidRDefault="00E563A5" w:rsidP="00E563A5">
            <w:pPr>
              <w:pStyle w:val="TableText0"/>
              <w:jc w:val="center"/>
            </w:pPr>
            <w:r>
              <w:t>0.01 [-0.02, 0.05]</w:t>
            </w:r>
          </w:p>
        </w:tc>
      </w:tr>
      <w:tr w:rsidR="00E563A5" w:rsidRPr="0098262F" w14:paraId="5D81182B" w14:textId="77777777" w:rsidTr="00E563A5">
        <w:tc>
          <w:tcPr>
            <w:tcW w:w="1329" w:type="pct"/>
            <w:tcMar>
              <w:left w:w="40" w:type="dxa"/>
              <w:right w:w="40" w:type="dxa"/>
            </w:tcMar>
            <w:vAlign w:val="center"/>
          </w:tcPr>
          <w:p w14:paraId="4F27EFA2" w14:textId="7D2C335E" w:rsidR="00E563A5" w:rsidRDefault="00E563A5" w:rsidP="00E563A5">
            <w:pPr>
              <w:pStyle w:val="TableText0"/>
            </w:pPr>
            <w:r>
              <w:t>Pruritus TEAEs</w:t>
            </w:r>
          </w:p>
        </w:tc>
        <w:tc>
          <w:tcPr>
            <w:tcW w:w="665" w:type="pct"/>
            <w:tcMar>
              <w:left w:w="40" w:type="dxa"/>
              <w:right w:w="40" w:type="dxa"/>
            </w:tcMar>
          </w:tcPr>
          <w:p w14:paraId="4A2101C7" w14:textId="65440F2D" w:rsidR="00E563A5" w:rsidRDefault="00E563A5" w:rsidP="00E563A5">
            <w:pPr>
              <w:pStyle w:val="TableText0"/>
              <w:jc w:val="center"/>
            </w:pPr>
            <w:r>
              <w:t>39/70 (55.7)</w:t>
            </w:r>
          </w:p>
        </w:tc>
        <w:tc>
          <w:tcPr>
            <w:tcW w:w="599" w:type="pct"/>
            <w:tcMar>
              <w:left w:w="40" w:type="dxa"/>
              <w:right w:w="40" w:type="dxa"/>
            </w:tcMar>
          </w:tcPr>
          <w:p w14:paraId="6F4E06A8" w14:textId="7F071BD1" w:rsidR="00E563A5" w:rsidRDefault="00E563A5" w:rsidP="00E563A5">
            <w:pPr>
              <w:pStyle w:val="TableText0"/>
              <w:jc w:val="center"/>
            </w:pPr>
            <w:r>
              <w:t>28/73 (38.3)</w:t>
            </w:r>
          </w:p>
        </w:tc>
        <w:tc>
          <w:tcPr>
            <w:tcW w:w="798" w:type="pct"/>
            <w:tcMar>
              <w:left w:w="40" w:type="dxa"/>
              <w:right w:w="40" w:type="dxa"/>
            </w:tcMar>
          </w:tcPr>
          <w:p w14:paraId="1F62534B" w14:textId="4EC32566" w:rsidR="00E563A5" w:rsidRDefault="00E563A5" w:rsidP="00E563A5">
            <w:pPr>
              <w:pStyle w:val="TableText0"/>
              <w:jc w:val="center"/>
            </w:pPr>
            <w:r w:rsidRPr="00F17F95">
              <w:t>2.02 [1.04, 3.94]</w:t>
            </w:r>
          </w:p>
        </w:tc>
        <w:tc>
          <w:tcPr>
            <w:tcW w:w="798" w:type="pct"/>
            <w:tcMar>
              <w:left w:w="40" w:type="dxa"/>
              <w:right w:w="40" w:type="dxa"/>
            </w:tcMar>
          </w:tcPr>
          <w:p w14:paraId="1A222C41" w14:textId="2F7E994A" w:rsidR="00E563A5" w:rsidRDefault="00E563A5" w:rsidP="00E563A5">
            <w:pPr>
              <w:pStyle w:val="TableText0"/>
              <w:jc w:val="center"/>
            </w:pPr>
            <w:r w:rsidRPr="00F17F95">
              <w:t>1.45 [1.02, 2.08]</w:t>
            </w:r>
          </w:p>
        </w:tc>
        <w:tc>
          <w:tcPr>
            <w:tcW w:w="811" w:type="pct"/>
            <w:tcMar>
              <w:left w:w="40" w:type="dxa"/>
              <w:right w:w="40" w:type="dxa"/>
            </w:tcMar>
          </w:tcPr>
          <w:p w14:paraId="2C088272" w14:textId="26CB808E" w:rsidR="00E563A5" w:rsidRDefault="00E563A5" w:rsidP="00E563A5">
            <w:pPr>
              <w:pStyle w:val="TableText0"/>
              <w:jc w:val="center"/>
            </w:pPr>
            <w:r w:rsidRPr="00F17F95">
              <w:t>0.17 [0.01, 0.33]</w:t>
            </w:r>
          </w:p>
        </w:tc>
      </w:tr>
      <w:tr w:rsidR="00E563A5" w:rsidRPr="0098262F" w14:paraId="2A03F51A" w14:textId="77777777" w:rsidTr="00767C84">
        <w:tc>
          <w:tcPr>
            <w:tcW w:w="5000" w:type="pct"/>
            <w:gridSpan w:val="6"/>
            <w:tcMar>
              <w:left w:w="40" w:type="dxa"/>
              <w:right w:w="40" w:type="dxa"/>
            </w:tcMar>
          </w:tcPr>
          <w:p w14:paraId="5161A501" w14:textId="77777777" w:rsidR="00E563A5" w:rsidRPr="0098262F" w:rsidRDefault="00E563A5" w:rsidP="00E563A5">
            <w:pPr>
              <w:pStyle w:val="In-tableHeading"/>
            </w:pPr>
            <w:r>
              <w:t>ELATIVE (elafibranor 80 mg)</w:t>
            </w:r>
            <w:r w:rsidRPr="00207B4B">
              <w:rPr>
                <w:vertAlign w:val="superscript"/>
              </w:rPr>
              <w:t>d</w:t>
            </w:r>
          </w:p>
        </w:tc>
      </w:tr>
      <w:tr w:rsidR="00E563A5" w:rsidRPr="0098262F" w14:paraId="3784D9FD" w14:textId="77777777" w:rsidTr="00E563A5">
        <w:tc>
          <w:tcPr>
            <w:tcW w:w="1329" w:type="pct"/>
            <w:tcMar>
              <w:left w:w="40" w:type="dxa"/>
              <w:right w:w="40" w:type="dxa"/>
            </w:tcMar>
            <w:vAlign w:val="center"/>
          </w:tcPr>
          <w:p w14:paraId="74DEA2D6" w14:textId="77777777" w:rsidR="00E563A5" w:rsidRPr="0098262F" w:rsidRDefault="00E563A5" w:rsidP="00E563A5">
            <w:pPr>
              <w:pStyle w:val="TableText0"/>
            </w:pPr>
            <w:r>
              <w:t>TEAE</w:t>
            </w:r>
          </w:p>
        </w:tc>
        <w:tc>
          <w:tcPr>
            <w:tcW w:w="665" w:type="pct"/>
            <w:tcMar>
              <w:left w:w="40" w:type="dxa"/>
              <w:right w:w="40" w:type="dxa"/>
            </w:tcMar>
          </w:tcPr>
          <w:p w14:paraId="1C19D505" w14:textId="77777777" w:rsidR="00E563A5" w:rsidRPr="0098262F" w:rsidRDefault="00E563A5" w:rsidP="00E563A5">
            <w:pPr>
              <w:pStyle w:val="TableText0"/>
              <w:jc w:val="center"/>
            </w:pPr>
            <w:r w:rsidRPr="00EC5B90">
              <w:t>104</w:t>
            </w:r>
            <w:r>
              <w:t>/108</w:t>
            </w:r>
            <w:r w:rsidRPr="00EC5B90">
              <w:t xml:space="preserve"> (96</w:t>
            </w:r>
            <w:r>
              <w:t>.2</w:t>
            </w:r>
            <w:r w:rsidRPr="00EC5B90">
              <w:t>)</w:t>
            </w:r>
          </w:p>
        </w:tc>
        <w:tc>
          <w:tcPr>
            <w:tcW w:w="599" w:type="pct"/>
            <w:tcMar>
              <w:left w:w="40" w:type="dxa"/>
              <w:right w:w="40" w:type="dxa"/>
            </w:tcMar>
          </w:tcPr>
          <w:p w14:paraId="260DDC3D" w14:textId="77777777" w:rsidR="00E563A5" w:rsidRPr="0098262F" w:rsidRDefault="00E563A5" w:rsidP="00E563A5">
            <w:pPr>
              <w:pStyle w:val="TableText0"/>
              <w:jc w:val="center"/>
            </w:pPr>
            <w:r w:rsidRPr="00EC5B90">
              <w:t>48</w:t>
            </w:r>
            <w:r>
              <w:t>/53</w:t>
            </w:r>
            <w:r w:rsidRPr="00EC5B90">
              <w:t xml:space="preserve"> (9</w:t>
            </w:r>
            <w:r>
              <w:t>0.6</w:t>
            </w:r>
            <w:r w:rsidRPr="00EC5B90">
              <w:t>)</w:t>
            </w:r>
          </w:p>
        </w:tc>
        <w:tc>
          <w:tcPr>
            <w:tcW w:w="798" w:type="pct"/>
            <w:tcMar>
              <w:left w:w="40" w:type="dxa"/>
              <w:right w:w="40" w:type="dxa"/>
            </w:tcMar>
          </w:tcPr>
          <w:p w14:paraId="7CC6C535" w14:textId="77777777" w:rsidR="00E563A5" w:rsidRPr="0098262F" w:rsidRDefault="00E563A5" w:rsidP="00E563A5">
            <w:pPr>
              <w:pStyle w:val="TableText0"/>
              <w:jc w:val="center"/>
            </w:pPr>
            <w:r w:rsidRPr="00EC5B90">
              <w:t>2.71 [0.70, 10.54]</w:t>
            </w:r>
          </w:p>
        </w:tc>
        <w:tc>
          <w:tcPr>
            <w:tcW w:w="798" w:type="pct"/>
            <w:tcMar>
              <w:left w:w="40" w:type="dxa"/>
              <w:right w:w="40" w:type="dxa"/>
            </w:tcMar>
          </w:tcPr>
          <w:p w14:paraId="7088732B" w14:textId="77777777" w:rsidR="00E563A5" w:rsidRPr="0098262F" w:rsidRDefault="00E563A5" w:rsidP="00E563A5">
            <w:pPr>
              <w:pStyle w:val="TableText0"/>
              <w:jc w:val="center"/>
            </w:pPr>
            <w:r w:rsidRPr="00EC5B90">
              <w:t>1.06 [0.97, 1.17]</w:t>
            </w:r>
          </w:p>
        </w:tc>
        <w:tc>
          <w:tcPr>
            <w:tcW w:w="811" w:type="pct"/>
            <w:tcMar>
              <w:left w:w="40" w:type="dxa"/>
              <w:right w:w="40" w:type="dxa"/>
            </w:tcMar>
          </w:tcPr>
          <w:p w14:paraId="3DB72EA2" w14:textId="77777777" w:rsidR="00E563A5" w:rsidRPr="0098262F" w:rsidRDefault="00E563A5" w:rsidP="00E563A5">
            <w:pPr>
              <w:pStyle w:val="TableText0"/>
              <w:jc w:val="center"/>
            </w:pPr>
            <w:r w:rsidRPr="00EC5B90">
              <w:t>0.06 [-0.03, 0.14]</w:t>
            </w:r>
          </w:p>
        </w:tc>
      </w:tr>
      <w:tr w:rsidR="00E563A5" w:rsidRPr="0098262F" w14:paraId="04E8F8EA" w14:textId="77777777" w:rsidTr="00E563A5">
        <w:tc>
          <w:tcPr>
            <w:tcW w:w="1329" w:type="pct"/>
            <w:tcMar>
              <w:left w:w="40" w:type="dxa"/>
              <w:right w:w="40" w:type="dxa"/>
            </w:tcMar>
            <w:vAlign w:val="center"/>
          </w:tcPr>
          <w:p w14:paraId="7EAB9047" w14:textId="77777777" w:rsidR="00E563A5" w:rsidRDefault="00E563A5" w:rsidP="00E563A5">
            <w:pPr>
              <w:pStyle w:val="TableText0"/>
            </w:pPr>
            <w:r>
              <w:t>Serious TEAE</w:t>
            </w:r>
          </w:p>
        </w:tc>
        <w:tc>
          <w:tcPr>
            <w:tcW w:w="665" w:type="pct"/>
            <w:tcMar>
              <w:left w:w="40" w:type="dxa"/>
              <w:right w:w="40" w:type="dxa"/>
            </w:tcMar>
          </w:tcPr>
          <w:p w14:paraId="16CAFE0A" w14:textId="77777777" w:rsidR="00E563A5" w:rsidRPr="0098262F" w:rsidRDefault="00E563A5" w:rsidP="00E563A5">
            <w:pPr>
              <w:pStyle w:val="TableText0"/>
              <w:jc w:val="center"/>
            </w:pPr>
            <w:r w:rsidRPr="00EC5B90">
              <w:t>11</w:t>
            </w:r>
            <w:r>
              <w:t>/108</w:t>
            </w:r>
            <w:r w:rsidRPr="00EC5B90">
              <w:t xml:space="preserve"> (10</w:t>
            </w:r>
            <w:r>
              <w:t>.2</w:t>
            </w:r>
            <w:r w:rsidRPr="00EC5B90">
              <w:t>)</w:t>
            </w:r>
          </w:p>
        </w:tc>
        <w:tc>
          <w:tcPr>
            <w:tcW w:w="599" w:type="pct"/>
            <w:tcMar>
              <w:left w:w="40" w:type="dxa"/>
              <w:right w:w="40" w:type="dxa"/>
            </w:tcMar>
          </w:tcPr>
          <w:p w14:paraId="04807E0F" w14:textId="77777777" w:rsidR="00E563A5" w:rsidRPr="0098262F" w:rsidRDefault="00E563A5" w:rsidP="00E563A5">
            <w:pPr>
              <w:pStyle w:val="TableText0"/>
              <w:jc w:val="center"/>
            </w:pPr>
            <w:r w:rsidRPr="00EC5B90">
              <w:t>7</w:t>
            </w:r>
            <w:r>
              <w:t>/53</w:t>
            </w:r>
            <w:r w:rsidRPr="00EC5B90">
              <w:t xml:space="preserve"> (13</w:t>
            </w:r>
            <w:r>
              <w:t>.2</w:t>
            </w:r>
            <w:r w:rsidRPr="00EC5B90">
              <w:t>)</w:t>
            </w:r>
          </w:p>
        </w:tc>
        <w:tc>
          <w:tcPr>
            <w:tcW w:w="798" w:type="pct"/>
            <w:tcMar>
              <w:left w:w="40" w:type="dxa"/>
              <w:right w:w="40" w:type="dxa"/>
            </w:tcMar>
          </w:tcPr>
          <w:p w14:paraId="5070B04F" w14:textId="77777777" w:rsidR="00E563A5" w:rsidRPr="0098262F" w:rsidRDefault="00E563A5" w:rsidP="00E563A5">
            <w:pPr>
              <w:pStyle w:val="TableText0"/>
              <w:jc w:val="center"/>
            </w:pPr>
            <w:r w:rsidRPr="00EC5B90">
              <w:t>0.75 [0.27, 2.05]</w:t>
            </w:r>
          </w:p>
        </w:tc>
        <w:tc>
          <w:tcPr>
            <w:tcW w:w="798" w:type="pct"/>
            <w:tcMar>
              <w:left w:w="40" w:type="dxa"/>
              <w:right w:w="40" w:type="dxa"/>
            </w:tcMar>
          </w:tcPr>
          <w:p w14:paraId="0E289CA5" w14:textId="77777777" w:rsidR="00E563A5" w:rsidRPr="0098262F" w:rsidRDefault="00E563A5" w:rsidP="00E563A5">
            <w:pPr>
              <w:pStyle w:val="TableText0"/>
              <w:jc w:val="center"/>
            </w:pPr>
            <w:r w:rsidRPr="00EC5B90">
              <w:t>0.77 [0.32, 1.88]</w:t>
            </w:r>
          </w:p>
        </w:tc>
        <w:tc>
          <w:tcPr>
            <w:tcW w:w="811" w:type="pct"/>
            <w:tcMar>
              <w:left w:w="40" w:type="dxa"/>
              <w:right w:w="40" w:type="dxa"/>
            </w:tcMar>
          </w:tcPr>
          <w:p w14:paraId="470E2688" w14:textId="77777777" w:rsidR="00E563A5" w:rsidRPr="0098262F" w:rsidRDefault="00E563A5" w:rsidP="00E563A5">
            <w:pPr>
              <w:pStyle w:val="TableText0"/>
              <w:jc w:val="center"/>
            </w:pPr>
            <w:r w:rsidRPr="00EC5B90">
              <w:t>-0.03 [-0.14, 0.08]</w:t>
            </w:r>
          </w:p>
        </w:tc>
      </w:tr>
      <w:tr w:rsidR="00E563A5" w:rsidRPr="0098262F" w14:paraId="000206A8" w14:textId="77777777" w:rsidTr="00E563A5">
        <w:tc>
          <w:tcPr>
            <w:tcW w:w="1329" w:type="pct"/>
            <w:tcMar>
              <w:left w:w="40" w:type="dxa"/>
              <w:right w:w="40" w:type="dxa"/>
            </w:tcMar>
            <w:vAlign w:val="center"/>
          </w:tcPr>
          <w:p w14:paraId="78A1E3C0" w14:textId="77777777" w:rsidR="00E563A5" w:rsidRPr="0098262F" w:rsidRDefault="00E563A5" w:rsidP="00E563A5">
            <w:pPr>
              <w:pStyle w:val="TableText0"/>
            </w:pPr>
            <w:r>
              <w:t>Severe TEAE</w:t>
            </w:r>
            <w:r w:rsidRPr="00207B4B">
              <w:rPr>
                <w:vertAlign w:val="superscript"/>
              </w:rPr>
              <w:t>e</w:t>
            </w:r>
          </w:p>
        </w:tc>
        <w:tc>
          <w:tcPr>
            <w:tcW w:w="665" w:type="pct"/>
            <w:tcMar>
              <w:left w:w="40" w:type="dxa"/>
              <w:right w:w="40" w:type="dxa"/>
            </w:tcMar>
            <w:vAlign w:val="center"/>
          </w:tcPr>
          <w:p w14:paraId="75AB262C" w14:textId="77777777" w:rsidR="00E563A5" w:rsidRPr="0098262F" w:rsidRDefault="00E563A5" w:rsidP="00E563A5">
            <w:pPr>
              <w:pStyle w:val="TableText0"/>
              <w:jc w:val="center"/>
            </w:pPr>
            <w:r w:rsidRPr="00EC5B90">
              <w:t>12</w:t>
            </w:r>
            <w:r>
              <w:t>/108</w:t>
            </w:r>
            <w:r w:rsidRPr="00EC5B90">
              <w:t xml:space="preserve"> (11</w:t>
            </w:r>
            <w:r>
              <w:t>.1</w:t>
            </w:r>
            <w:r w:rsidRPr="00EC5B90">
              <w:t>)</w:t>
            </w:r>
          </w:p>
        </w:tc>
        <w:tc>
          <w:tcPr>
            <w:tcW w:w="599" w:type="pct"/>
            <w:tcMar>
              <w:left w:w="40" w:type="dxa"/>
              <w:right w:w="40" w:type="dxa"/>
            </w:tcMar>
            <w:vAlign w:val="center"/>
          </w:tcPr>
          <w:p w14:paraId="41E455B4" w14:textId="77777777" w:rsidR="00E563A5" w:rsidRPr="0098262F" w:rsidRDefault="00E563A5" w:rsidP="00E563A5">
            <w:pPr>
              <w:pStyle w:val="TableText0"/>
              <w:jc w:val="center"/>
            </w:pPr>
            <w:r w:rsidRPr="00EC5B90">
              <w:t>6</w:t>
            </w:r>
            <w:r>
              <w:t>/53</w:t>
            </w:r>
            <w:r w:rsidRPr="00EC5B90">
              <w:t xml:space="preserve"> (11</w:t>
            </w:r>
            <w:r>
              <w:t>.3</w:t>
            </w:r>
            <w:r w:rsidRPr="00EC5B90">
              <w:t>)</w:t>
            </w:r>
          </w:p>
        </w:tc>
        <w:tc>
          <w:tcPr>
            <w:tcW w:w="798" w:type="pct"/>
            <w:tcMar>
              <w:left w:w="40" w:type="dxa"/>
              <w:right w:w="40" w:type="dxa"/>
            </w:tcMar>
            <w:vAlign w:val="center"/>
          </w:tcPr>
          <w:p w14:paraId="6FB8ADA2" w14:textId="77777777" w:rsidR="00E563A5" w:rsidRPr="0098262F" w:rsidRDefault="00E563A5" w:rsidP="00E563A5">
            <w:pPr>
              <w:pStyle w:val="TableText0"/>
              <w:jc w:val="center"/>
            </w:pPr>
            <w:r w:rsidRPr="00EC5B90">
              <w:t>0.98 [0.35, 2.77]</w:t>
            </w:r>
          </w:p>
        </w:tc>
        <w:tc>
          <w:tcPr>
            <w:tcW w:w="798" w:type="pct"/>
            <w:tcMar>
              <w:left w:w="40" w:type="dxa"/>
              <w:right w:w="40" w:type="dxa"/>
            </w:tcMar>
            <w:vAlign w:val="center"/>
          </w:tcPr>
          <w:p w14:paraId="1AEA187D" w14:textId="77777777" w:rsidR="00E563A5" w:rsidRPr="0098262F" w:rsidRDefault="00E563A5" w:rsidP="00E563A5">
            <w:pPr>
              <w:pStyle w:val="TableText0"/>
              <w:jc w:val="center"/>
            </w:pPr>
            <w:r w:rsidRPr="00EC5B90">
              <w:t>0.98 [0.39, 2.47]</w:t>
            </w:r>
          </w:p>
        </w:tc>
        <w:tc>
          <w:tcPr>
            <w:tcW w:w="811" w:type="pct"/>
            <w:tcMar>
              <w:left w:w="40" w:type="dxa"/>
              <w:right w:w="40" w:type="dxa"/>
            </w:tcMar>
            <w:vAlign w:val="center"/>
          </w:tcPr>
          <w:p w14:paraId="21BA37F9" w14:textId="77777777" w:rsidR="00E563A5" w:rsidRPr="0098262F" w:rsidRDefault="00E563A5" w:rsidP="00E563A5">
            <w:pPr>
              <w:pStyle w:val="TableText0"/>
              <w:jc w:val="center"/>
            </w:pPr>
            <w:r w:rsidRPr="00EC5B90">
              <w:t>-0.00 [-0.11, 0.10]</w:t>
            </w:r>
          </w:p>
        </w:tc>
      </w:tr>
      <w:tr w:rsidR="00E563A5" w:rsidRPr="0098262F" w14:paraId="33D00E5B" w14:textId="77777777" w:rsidTr="00E563A5">
        <w:tc>
          <w:tcPr>
            <w:tcW w:w="1329" w:type="pct"/>
            <w:tcMar>
              <w:left w:w="40" w:type="dxa"/>
              <w:right w:w="40" w:type="dxa"/>
            </w:tcMar>
            <w:vAlign w:val="center"/>
          </w:tcPr>
          <w:p w14:paraId="68C5FB2C" w14:textId="77777777" w:rsidR="00E563A5" w:rsidRPr="0098262F" w:rsidRDefault="00E563A5" w:rsidP="00E563A5">
            <w:pPr>
              <w:pStyle w:val="TableText0"/>
            </w:pPr>
            <w:r>
              <w:t>Drug-related TEAE</w:t>
            </w:r>
          </w:p>
        </w:tc>
        <w:tc>
          <w:tcPr>
            <w:tcW w:w="665" w:type="pct"/>
            <w:tcMar>
              <w:left w:w="40" w:type="dxa"/>
              <w:right w:w="40" w:type="dxa"/>
            </w:tcMar>
            <w:vAlign w:val="center"/>
          </w:tcPr>
          <w:p w14:paraId="0E41C445" w14:textId="77777777" w:rsidR="00E563A5" w:rsidRPr="0098262F" w:rsidRDefault="00E563A5" w:rsidP="00E563A5">
            <w:pPr>
              <w:pStyle w:val="TableText0"/>
              <w:jc w:val="center"/>
            </w:pPr>
            <w:r w:rsidRPr="00EC5B90">
              <w:t>42</w:t>
            </w:r>
            <w:r>
              <w:t>/108</w:t>
            </w:r>
            <w:r w:rsidRPr="00EC5B90">
              <w:t xml:space="preserve"> (3</w:t>
            </w:r>
            <w:r>
              <w:t>8.</w:t>
            </w:r>
            <w:r w:rsidRPr="00EC5B90">
              <w:t>9)</w:t>
            </w:r>
          </w:p>
        </w:tc>
        <w:tc>
          <w:tcPr>
            <w:tcW w:w="599" w:type="pct"/>
            <w:tcMar>
              <w:left w:w="40" w:type="dxa"/>
              <w:right w:w="40" w:type="dxa"/>
            </w:tcMar>
            <w:vAlign w:val="center"/>
          </w:tcPr>
          <w:p w14:paraId="0C134105" w14:textId="77777777" w:rsidR="00E563A5" w:rsidRPr="0098262F" w:rsidRDefault="00E563A5" w:rsidP="00E563A5">
            <w:pPr>
              <w:pStyle w:val="TableText0"/>
              <w:jc w:val="center"/>
            </w:pPr>
            <w:r w:rsidRPr="00EC5B90">
              <w:t>21</w:t>
            </w:r>
            <w:r>
              <w:t>/53</w:t>
            </w:r>
            <w:r w:rsidRPr="00EC5B90">
              <w:t xml:space="preserve"> (</w:t>
            </w:r>
            <w:r>
              <w:t>39.6</w:t>
            </w:r>
            <w:r w:rsidRPr="00EC5B90">
              <w:t>)</w:t>
            </w:r>
          </w:p>
        </w:tc>
        <w:tc>
          <w:tcPr>
            <w:tcW w:w="798" w:type="pct"/>
            <w:tcMar>
              <w:left w:w="40" w:type="dxa"/>
              <w:right w:w="40" w:type="dxa"/>
            </w:tcMar>
            <w:vAlign w:val="center"/>
          </w:tcPr>
          <w:p w14:paraId="59B207E6" w14:textId="77777777" w:rsidR="00E563A5" w:rsidRPr="0098262F" w:rsidRDefault="00E563A5" w:rsidP="00E563A5">
            <w:pPr>
              <w:pStyle w:val="TableText0"/>
              <w:jc w:val="center"/>
            </w:pPr>
            <w:r w:rsidRPr="00EC5B90">
              <w:t>0.97 [0.49, 1.90]</w:t>
            </w:r>
          </w:p>
        </w:tc>
        <w:tc>
          <w:tcPr>
            <w:tcW w:w="798" w:type="pct"/>
            <w:tcMar>
              <w:left w:w="40" w:type="dxa"/>
              <w:right w:w="40" w:type="dxa"/>
            </w:tcMar>
            <w:vAlign w:val="center"/>
          </w:tcPr>
          <w:p w14:paraId="1DE5ED68" w14:textId="77777777" w:rsidR="00E563A5" w:rsidRPr="0098262F" w:rsidRDefault="00E563A5" w:rsidP="00E563A5">
            <w:pPr>
              <w:pStyle w:val="TableText0"/>
              <w:jc w:val="center"/>
            </w:pPr>
            <w:r w:rsidRPr="00EC5B90">
              <w:t>0.98 [0.65, 1.48]</w:t>
            </w:r>
          </w:p>
        </w:tc>
        <w:tc>
          <w:tcPr>
            <w:tcW w:w="811" w:type="pct"/>
            <w:tcMar>
              <w:left w:w="40" w:type="dxa"/>
              <w:right w:w="40" w:type="dxa"/>
            </w:tcMar>
            <w:vAlign w:val="center"/>
          </w:tcPr>
          <w:p w14:paraId="18D16302" w14:textId="77777777" w:rsidR="00E563A5" w:rsidRPr="0098262F" w:rsidRDefault="00E563A5" w:rsidP="00E563A5">
            <w:pPr>
              <w:pStyle w:val="TableText0"/>
              <w:jc w:val="center"/>
            </w:pPr>
            <w:r w:rsidRPr="00EC5B90">
              <w:t>-0.01 [-0.17, 0.15]</w:t>
            </w:r>
          </w:p>
        </w:tc>
      </w:tr>
      <w:tr w:rsidR="00E563A5" w:rsidRPr="0098262F" w14:paraId="4F3719C8" w14:textId="77777777" w:rsidTr="00E563A5">
        <w:tc>
          <w:tcPr>
            <w:tcW w:w="1329" w:type="pct"/>
            <w:tcMar>
              <w:left w:w="40" w:type="dxa"/>
              <w:right w:w="40" w:type="dxa"/>
            </w:tcMar>
            <w:vAlign w:val="center"/>
          </w:tcPr>
          <w:p w14:paraId="4FC38F9A" w14:textId="77777777" w:rsidR="00E563A5" w:rsidRPr="0098262F" w:rsidRDefault="00E563A5" w:rsidP="00E563A5">
            <w:pPr>
              <w:pStyle w:val="TableText0"/>
            </w:pPr>
            <w:r>
              <w:t>TEAE leading to discontinuation of study drug</w:t>
            </w:r>
          </w:p>
        </w:tc>
        <w:tc>
          <w:tcPr>
            <w:tcW w:w="665" w:type="pct"/>
            <w:tcMar>
              <w:left w:w="40" w:type="dxa"/>
              <w:right w:w="40" w:type="dxa"/>
            </w:tcMar>
            <w:vAlign w:val="center"/>
          </w:tcPr>
          <w:p w14:paraId="1C68D8EB" w14:textId="77777777" w:rsidR="00E563A5" w:rsidRPr="0098262F" w:rsidRDefault="00E563A5" w:rsidP="00E563A5">
            <w:pPr>
              <w:pStyle w:val="TableText0"/>
              <w:jc w:val="center"/>
            </w:pPr>
            <w:r w:rsidRPr="00EC5B90">
              <w:t>11</w:t>
            </w:r>
            <w:r>
              <w:t>/108</w:t>
            </w:r>
            <w:r w:rsidRPr="00EC5B90">
              <w:t xml:space="preserve"> (10</w:t>
            </w:r>
            <w:r>
              <w:t>.2</w:t>
            </w:r>
            <w:r w:rsidRPr="00EC5B90">
              <w:t>)</w:t>
            </w:r>
          </w:p>
        </w:tc>
        <w:tc>
          <w:tcPr>
            <w:tcW w:w="599" w:type="pct"/>
            <w:tcMar>
              <w:left w:w="40" w:type="dxa"/>
              <w:right w:w="40" w:type="dxa"/>
            </w:tcMar>
            <w:vAlign w:val="center"/>
          </w:tcPr>
          <w:p w14:paraId="7D567E44" w14:textId="77777777" w:rsidR="00E563A5" w:rsidRPr="0098262F" w:rsidRDefault="00E563A5" w:rsidP="00E563A5">
            <w:pPr>
              <w:pStyle w:val="TableText0"/>
              <w:jc w:val="center"/>
            </w:pPr>
            <w:r w:rsidRPr="00EC5B90">
              <w:t>5</w:t>
            </w:r>
            <w:r>
              <w:t>/53</w:t>
            </w:r>
            <w:r w:rsidRPr="00EC5B90">
              <w:t xml:space="preserve"> (9</w:t>
            </w:r>
            <w:r>
              <w:t>.4</w:t>
            </w:r>
            <w:r w:rsidRPr="00EC5B90">
              <w:t>)</w:t>
            </w:r>
          </w:p>
        </w:tc>
        <w:tc>
          <w:tcPr>
            <w:tcW w:w="798" w:type="pct"/>
            <w:tcMar>
              <w:left w:w="40" w:type="dxa"/>
              <w:right w:w="40" w:type="dxa"/>
            </w:tcMar>
            <w:vAlign w:val="center"/>
          </w:tcPr>
          <w:p w14:paraId="7A37012B" w14:textId="77777777" w:rsidR="00E563A5" w:rsidRPr="0098262F" w:rsidRDefault="00E563A5" w:rsidP="00E563A5">
            <w:pPr>
              <w:pStyle w:val="TableText0"/>
              <w:jc w:val="center"/>
            </w:pPr>
            <w:r w:rsidRPr="00EC5B90">
              <w:t>1.09 [0.36, 3.31]</w:t>
            </w:r>
          </w:p>
        </w:tc>
        <w:tc>
          <w:tcPr>
            <w:tcW w:w="798" w:type="pct"/>
            <w:tcMar>
              <w:left w:w="40" w:type="dxa"/>
              <w:right w:w="40" w:type="dxa"/>
            </w:tcMar>
            <w:vAlign w:val="center"/>
          </w:tcPr>
          <w:p w14:paraId="2B34C23D" w14:textId="77777777" w:rsidR="00E563A5" w:rsidRPr="0098262F" w:rsidRDefault="00E563A5" w:rsidP="00E563A5">
            <w:pPr>
              <w:pStyle w:val="TableText0"/>
              <w:jc w:val="center"/>
            </w:pPr>
            <w:r w:rsidRPr="00EC5B90">
              <w:t>1.08 [0.40, 2.95]</w:t>
            </w:r>
          </w:p>
        </w:tc>
        <w:tc>
          <w:tcPr>
            <w:tcW w:w="811" w:type="pct"/>
            <w:tcMar>
              <w:left w:w="40" w:type="dxa"/>
              <w:right w:w="40" w:type="dxa"/>
            </w:tcMar>
            <w:vAlign w:val="center"/>
          </w:tcPr>
          <w:p w14:paraId="220C5C21" w14:textId="77777777" w:rsidR="00E563A5" w:rsidRPr="0098262F" w:rsidRDefault="00E563A5" w:rsidP="00E563A5">
            <w:pPr>
              <w:pStyle w:val="TableText0"/>
              <w:jc w:val="center"/>
            </w:pPr>
            <w:r w:rsidRPr="00EC5B90">
              <w:t>0.01 [-0.09, 0.10]</w:t>
            </w:r>
          </w:p>
        </w:tc>
      </w:tr>
      <w:tr w:rsidR="00E563A5" w:rsidRPr="0098262F" w14:paraId="2E244FA2" w14:textId="77777777" w:rsidTr="00E563A5">
        <w:tc>
          <w:tcPr>
            <w:tcW w:w="1329" w:type="pct"/>
            <w:tcMar>
              <w:left w:w="40" w:type="dxa"/>
              <w:right w:w="40" w:type="dxa"/>
            </w:tcMar>
            <w:vAlign w:val="center"/>
          </w:tcPr>
          <w:p w14:paraId="0FE4E58D" w14:textId="77777777" w:rsidR="00E563A5" w:rsidRPr="0098262F" w:rsidRDefault="00E563A5" w:rsidP="00E563A5">
            <w:pPr>
              <w:pStyle w:val="TableText0"/>
            </w:pPr>
            <w:r>
              <w:t>Fatal TEAEs</w:t>
            </w:r>
          </w:p>
        </w:tc>
        <w:tc>
          <w:tcPr>
            <w:tcW w:w="665" w:type="pct"/>
            <w:tcMar>
              <w:left w:w="40" w:type="dxa"/>
              <w:right w:w="40" w:type="dxa"/>
            </w:tcMar>
          </w:tcPr>
          <w:p w14:paraId="5B47082B" w14:textId="77777777" w:rsidR="00E563A5" w:rsidRPr="0098262F" w:rsidRDefault="00E563A5" w:rsidP="00E563A5">
            <w:pPr>
              <w:pStyle w:val="TableText0"/>
              <w:jc w:val="center"/>
            </w:pPr>
            <w:r w:rsidRPr="00EC5B90">
              <w:t>2</w:t>
            </w:r>
            <w:r>
              <w:t>/108</w:t>
            </w:r>
            <w:r w:rsidRPr="00EC5B90">
              <w:t xml:space="preserve"> (</w:t>
            </w:r>
            <w:r>
              <w:t>1.9</w:t>
            </w:r>
            <w:r w:rsidRPr="00EC5B90">
              <w:t>)</w:t>
            </w:r>
          </w:p>
        </w:tc>
        <w:tc>
          <w:tcPr>
            <w:tcW w:w="599" w:type="pct"/>
            <w:tcMar>
              <w:left w:w="40" w:type="dxa"/>
              <w:right w:w="40" w:type="dxa"/>
            </w:tcMar>
          </w:tcPr>
          <w:p w14:paraId="4F11516E" w14:textId="77777777" w:rsidR="00E563A5" w:rsidRPr="0098262F" w:rsidRDefault="00E563A5" w:rsidP="00E563A5">
            <w:pPr>
              <w:pStyle w:val="TableText0"/>
              <w:jc w:val="center"/>
            </w:pPr>
            <w:r w:rsidRPr="00EC5B90">
              <w:t>0</w:t>
            </w:r>
          </w:p>
        </w:tc>
        <w:tc>
          <w:tcPr>
            <w:tcW w:w="798" w:type="pct"/>
            <w:tcMar>
              <w:left w:w="40" w:type="dxa"/>
              <w:right w:w="40" w:type="dxa"/>
            </w:tcMar>
          </w:tcPr>
          <w:p w14:paraId="666DD3CF" w14:textId="77777777" w:rsidR="00E563A5" w:rsidRPr="0098262F" w:rsidRDefault="00E563A5" w:rsidP="00E563A5">
            <w:pPr>
              <w:pStyle w:val="TableText0"/>
              <w:jc w:val="center"/>
            </w:pPr>
            <w:r w:rsidRPr="00EC5B90">
              <w:t>2.51 [0.12, 53.25]</w:t>
            </w:r>
          </w:p>
        </w:tc>
        <w:tc>
          <w:tcPr>
            <w:tcW w:w="798" w:type="pct"/>
            <w:tcMar>
              <w:left w:w="40" w:type="dxa"/>
              <w:right w:w="40" w:type="dxa"/>
            </w:tcMar>
          </w:tcPr>
          <w:p w14:paraId="1E6386CA" w14:textId="77777777" w:rsidR="00E563A5" w:rsidRPr="0098262F" w:rsidRDefault="00E563A5" w:rsidP="00E563A5">
            <w:pPr>
              <w:pStyle w:val="TableText0"/>
              <w:jc w:val="center"/>
            </w:pPr>
            <w:r w:rsidRPr="00EC5B90">
              <w:t>2.48 [0.12, 50.70]</w:t>
            </w:r>
          </w:p>
        </w:tc>
        <w:tc>
          <w:tcPr>
            <w:tcW w:w="811" w:type="pct"/>
            <w:tcMar>
              <w:left w:w="40" w:type="dxa"/>
              <w:right w:w="40" w:type="dxa"/>
            </w:tcMar>
          </w:tcPr>
          <w:p w14:paraId="6B36BE02" w14:textId="77777777" w:rsidR="00E563A5" w:rsidRPr="0098262F" w:rsidRDefault="00E563A5" w:rsidP="00E563A5">
            <w:pPr>
              <w:pStyle w:val="TableText0"/>
              <w:jc w:val="center"/>
            </w:pPr>
            <w:r w:rsidRPr="00EC5B90">
              <w:t>0.02 [-0.02, 0.06]</w:t>
            </w:r>
          </w:p>
        </w:tc>
      </w:tr>
      <w:tr w:rsidR="00E563A5" w:rsidRPr="0098262F" w14:paraId="4FF06B4A" w14:textId="77777777" w:rsidTr="00E563A5">
        <w:tc>
          <w:tcPr>
            <w:tcW w:w="1329" w:type="pct"/>
            <w:tcMar>
              <w:left w:w="40" w:type="dxa"/>
              <w:right w:w="40" w:type="dxa"/>
            </w:tcMar>
            <w:vAlign w:val="center"/>
          </w:tcPr>
          <w:p w14:paraId="7CEFC279" w14:textId="21E7CA66" w:rsidR="00E563A5" w:rsidRDefault="00E563A5" w:rsidP="00E563A5">
            <w:pPr>
              <w:pStyle w:val="TableText0"/>
            </w:pPr>
            <w:r>
              <w:t>Pruritus</w:t>
            </w:r>
          </w:p>
        </w:tc>
        <w:tc>
          <w:tcPr>
            <w:tcW w:w="665" w:type="pct"/>
            <w:tcMar>
              <w:left w:w="40" w:type="dxa"/>
              <w:right w:w="40" w:type="dxa"/>
            </w:tcMar>
          </w:tcPr>
          <w:p w14:paraId="1504A681" w14:textId="544C7190" w:rsidR="00E563A5" w:rsidRPr="00EC5B90" w:rsidRDefault="00E563A5" w:rsidP="00E563A5">
            <w:pPr>
              <w:pStyle w:val="TableText0"/>
              <w:jc w:val="center"/>
            </w:pPr>
            <w:r w:rsidRPr="00694C63">
              <w:t>22</w:t>
            </w:r>
            <w:r>
              <w:t>/108</w:t>
            </w:r>
            <w:r w:rsidRPr="00694C63">
              <w:t xml:space="preserve"> (20</w:t>
            </w:r>
            <w:r>
              <w:t>.3</w:t>
            </w:r>
            <w:r w:rsidRPr="00694C63">
              <w:t>)</w:t>
            </w:r>
          </w:p>
        </w:tc>
        <w:tc>
          <w:tcPr>
            <w:tcW w:w="599" w:type="pct"/>
            <w:tcMar>
              <w:left w:w="40" w:type="dxa"/>
              <w:right w:w="40" w:type="dxa"/>
            </w:tcMar>
          </w:tcPr>
          <w:p w14:paraId="6E7450CB" w14:textId="13AD783B" w:rsidR="00E563A5" w:rsidRPr="00EC5B90" w:rsidRDefault="00E563A5" w:rsidP="00E563A5">
            <w:pPr>
              <w:pStyle w:val="TableText0"/>
              <w:jc w:val="center"/>
            </w:pPr>
            <w:r w:rsidRPr="00694C63">
              <w:t>14</w:t>
            </w:r>
            <w:r>
              <w:t>/53</w:t>
            </w:r>
            <w:r w:rsidRPr="00694C63">
              <w:t xml:space="preserve"> (26</w:t>
            </w:r>
            <w:r>
              <w:t>.4</w:t>
            </w:r>
            <w:r w:rsidRPr="00694C63">
              <w:t>)</w:t>
            </w:r>
          </w:p>
        </w:tc>
        <w:tc>
          <w:tcPr>
            <w:tcW w:w="798" w:type="pct"/>
            <w:tcMar>
              <w:left w:w="40" w:type="dxa"/>
              <w:right w:w="40" w:type="dxa"/>
            </w:tcMar>
          </w:tcPr>
          <w:p w14:paraId="7F4C62D8" w14:textId="00EA3DE3" w:rsidR="00E563A5" w:rsidRPr="00EC5B90" w:rsidRDefault="00E563A5" w:rsidP="00E563A5">
            <w:pPr>
              <w:pStyle w:val="TableText0"/>
              <w:jc w:val="center"/>
            </w:pPr>
            <w:r w:rsidRPr="00694C63">
              <w:t>0.71 [0.33, 1.54]</w:t>
            </w:r>
          </w:p>
        </w:tc>
        <w:tc>
          <w:tcPr>
            <w:tcW w:w="798" w:type="pct"/>
            <w:tcMar>
              <w:left w:w="40" w:type="dxa"/>
              <w:right w:w="40" w:type="dxa"/>
            </w:tcMar>
          </w:tcPr>
          <w:p w14:paraId="3078F646" w14:textId="3554E7C3" w:rsidR="00E563A5" w:rsidRPr="00EC5B90" w:rsidRDefault="00E563A5" w:rsidP="00E563A5">
            <w:pPr>
              <w:pStyle w:val="TableText0"/>
              <w:jc w:val="center"/>
            </w:pPr>
            <w:r w:rsidRPr="00694C63">
              <w:t>0.77 [0.43, 1.38]</w:t>
            </w:r>
          </w:p>
        </w:tc>
        <w:tc>
          <w:tcPr>
            <w:tcW w:w="811" w:type="pct"/>
            <w:tcMar>
              <w:left w:w="40" w:type="dxa"/>
              <w:right w:w="40" w:type="dxa"/>
            </w:tcMar>
          </w:tcPr>
          <w:p w14:paraId="2B8CB45F" w14:textId="154BE375" w:rsidR="00E563A5" w:rsidRPr="00EC5B90" w:rsidRDefault="00E563A5" w:rsidP="00E563A5">
            <w:pPr>
              <w:pStyle w:val="TableText0"/>
              <w:jc w:val="center"/>
            </w:pPr>
            <w:r w:rsidRPr="00694C63">
              <w:t>-0.06 [-0.20, 0.08]</w:t>
            </w:r>
          </w:p>
        </w:tc>
      </w:tr>
    </w:tbl>
    <w:p w14:paraId="420FCBE6" w14:textId="123D9DD9" w:rsidR="008E1613" w:rsidRPr="0098262F" w:rsidRDefault="008E1613" w:rsidP="008E1613">
      <w:pPr>
        <w:pStyle w:val="FooterTableFigure"/>
        <w:rPr>
          <w:sz w:val="20"/>
        </w:rPr>
      </w:pPr>
      <w:r w:rsidRPr="0098262F">
        <w:t>Source: Table</w:t>
      </w:r>
      <w:r>
        <w:t xml:space="preserve">s 45, </w:t>
      </w:r>
      <w:r w:rsidR="00E563A5">
        <w:t xml:space="preserve">46, </w:t>
      </w:r>
      <w:r>
        <w:t>48</w:t>
      </w:r>
      <w:r w:rsidRPr="0098262F">
        <w:t>,</w:t>
      </w:r>
      <w:r w:rsidR="00E563A5">
        <w:t xml:space="preserve"> 49,</w:t>
      </w:r>
      <w:r w:rsidR="00180625">
        <w:t xml:space="preserve"> 50</w:t>
      </w:r>
      <w:r w:rsidR="00E563A5">
        <w:t>,</w:t>
      </w:r>
      <w:r>
        <w:t xml:space="preserve"> 51</w:t>
      </w:r>
      <w:r w:rsidR="00E563A5">
        <w:t xml:space="preserve"> &amp; 52</w:t>
      </w:r>
      <w:r>
        <w:t xml:space="preserve">, </w:t>
      </w:r>
      <w:r w:rsidRPr="0098262F">
        <w:t>pp</w:t>
      </w:r>
      <w:r>
        <w:t>114</w:t>
      </w:r>
      <w:r w:rsidR="00E563A5">
        <w:t>, 115</w:t>
      </w:r>
      <w:r>
        <w:t xml:space="preserve">, </w:t>
      </w:r>
      <w:r w:rsidR="00E563A5">
        <w:t xml:space="preserve">&amp; </w:t>
      </w:r>
      <w:r>
        <w:t>117</w:t>
      </w:r>
      <w:r w:rsidR="00E563A5">
        <w:t>-</w:t>
      </w:r>
      <w:r>
        <w:t xml:space="preserve"> 120</w:t>
      </w:r>
      <w:r w:rsidRPr="0098262F">
        <w:t xml:space="preserve"> of the submission</w:t>
      </w:r>
      <w:r>
        <w:t>;</w:t>
      </w:r>
      <w:r w:rsidR="00180625">
        <w:t xml:space="preserve"> </w:t>
      </w:r>
      <w:r>
        <w:t>p162, POISE protocol; p208, ELATIVE protocol</w:t>
      </w:r>
      <w:r w:rsidRPr="0098262F">
        <w:t>.</w:t>
      </w:r>
    </w:p>
    <w:p w14:paraId="730E0C6B" w14:textId="040D98A9" w:rsidR="008E1613" w:rsidRDefault="008E1613" w:rsidP="008E1613">
      <w:pPr>
        <w:pStyle w:val="FooterTableFigure"/>
        <w:rPr>
          <w:rFonts w:eastAsia="Calibri"/>
        </w:rPr>
      </w:pPr>
      <w:r w:rsidRPr="0098262F">
        <w:rPr>
          <w:rFonts w:eastAsia="Calibri"/>
        </w:rPr>
        <w:t xml:space="preserve">CI = confidence interval; n = number </w:t>
      </w:r>
      <w:r>
        <w:rPr>
          <w:rFonts w:eastAsia="Calibri"/>
        </w:rPr>
        <w:t xml:space="preserve">with </w:t>
      </w:r>
      <w:r w:rsidR="000D30EA">
        <w:rPr>
          <w:rFonts w:eastAsia="Calibri"/>
        </w:rPr>
        <w:t xml:space="preserve">an </w:t>
      </w:r>
      <w:r>
        <w:rPr>
          <w:rFonts w:eastAsia="Calibri"/>
        </w:rPr>
        <w:t>event</w:t>
      </w:r>
      <w:r w:rsidRPr="0098262F">
        <w:rPr>
          <w:rFonts w:eastAsia="Calibri"/>
        </w:rPr>
        <w:t xml:space="preserve">; N = total participants in </w:t>
      </w:r>
      <w:r w:rsidR="00732CE9">
        <w:rPr>
          <w:rFonts w:eastAsia="Calibri"/>
        </w:rPr>
        <w:t>arm</w:t>
      </w:r>
      <w:r w:rsidRPr="0098262F">
        <w:rPr>
          <w:rFonts w:eastAsia="Calibri"/>
        </w:rPr>
        <w:t>;</w:t>
      </w:r>
      <w:r>
        <w:rPr>
          <w:rFonts w:eastAsia="Calibri"/>
        </w:rPr>
        <w:t xml:space="preserve"> </w:t>
      </w:r>
      <w:r w:rsidR="00D50B5A">
        <w:rPr>
          <w:rFonts w:eastAsia="Calibri"/>
        </w:rPr>
        <w:t xml:space="preserve">NE = </w:t>
      </w:r>
      <w:r w:rsidR="00AA6453">
        <w:rPr>
          <w:rFonts w:eastAsia="Calibri"/>
        </w:rPr>
        <w:t xml:space="preserve">not estimable; </w:t>
      </w:r>
      <w:r>
        <w:rPr>
          <w:rFonts w:eastAsia="Calibri"/>
        </w:rPr>
        <w:t>OCA = obeticholic acid;</w:t>
      </w:r>
      <w:r w:rsidRPr="0098262F">
        <w:rPr>
          <w:rFonts w:eastAsia="Calibri"/>
        </w:rPr>
        <w:t xml:space="preserve"> </w:t>
      </w:r>
      <w:r>
        <w:rPr>
          <w:rFonts w:eastAsia="Calibri"/>
        </w:rPr>
        <w:t xml:space="preserve">OR = odds ratio; </w:t>
      </w:r>
      <w:r w:rsidRPr="0098262F">
        <w:rPr>
          <w:rFonts w:eastAsia="Calibri"/>
        </w:rPr>
        <w:t>RD = risk difference; RR = relative risk</w:t>
      </w:r>
      <w:r>
        <w:rPr>
          <w:rFonts w:eastAsia="Calibri"/>
        </w:rPr>
        <w:t>; TEAE = treatment</w:t>
      </w:r>
      <w:r w:rsidR="000D30EA">
        <w:rPr>
          <w:rFonts w:eastAsia="Calibri"/>
        </w:rPr>
        <w:t>-</w:t>
      </w:r>
      <w:r>
        <w:rPr>
          <w:rFonts w:eastAsia="Calibri"/>
        </w:rPr>
        <w:t>emergent adverse event.</w:t>
      </w:r>
    </w:p>
    <w:p w14:paraId="7CFF6B37" w14:textId="77777777" w:rsidR="008E1613" w:rsidRDefault="008E1613" w:rsidP="008E1613">
      <w:pPr>
        <w:pStyle w:val="FooterTableFigure"/>
        <w:rPr>
          <w:rFonts w:eastAsia="Calibri"/>
        </w:rPr>
      </w:pPr>
      <w:r w:rsidRPr="00207B4B">
        <w:rPr>
          <w:rFonts w:eastAsia="Calibri"/>
          <w:vertAlign w:val="superscript"/>
        </w:rPr>
        <w:t>a</w:t>
      </w:r>
      <w:r>
        <w:rPr>
          <w:rFonts w:eastAsia="Calibri"/>
        </w:rPr>
        <w:t xml:space="preserve"> The RESPONSE trial assessed severity according to </w:t>
      </w:r>
      <w:r w:rsidRPr="00207B4B">
        <w:rPr>
          <w:rFonts w:eastAsia="Calibri"/>
        </w:rPr>
        <w:t>NCI CTCAE Version 5.0</w:t>
      </w:r>
      <w:r>
        <w:rPr>
          <w:rFonts w:eastAsia="Calibri"/>
        </w:rPr>
        <w:t xml:space="preserve"> on a scale from Grade 1 to Grade 5, where Grade 3 was defined as s</w:t>
      </w:r>
      <w:r w:rsidRPr="00207B4B">
        <w:rPr>
          <w:rFonts w:eastAsia="Calibri"/>
        </w:rPr>
        <w:t>evere or medically important but not immediately life-threatening; hospitalization or</w:t>
      </w:r>
      <w:r>
        <w:rPr>
          <w:rFonts w:eastAsia="Calibri"/>
        </w:rPr>
        <w:t xml:space="preserve"> </w:t>
      </w:r>
      <w:r w:rsidRPr="00207B4B">
        <w:rPr>
          <w:rFonts w:eastAsia="Calibri"/>
        </w:rPr>
        <w:t>prolongation of hospitalization indicated; disabling; limiting self-care activities of daily</w:t>
      </w:r>
      <w:r>
        <w:rPr>
          <w:rFonts w:eastAsia="Calibri"/>
        </w:rPr>
        <w:t xml:space="preserve"> </w:t>
      </w:r>
      <w:r w:rsidRPr="00207B4B">
        <w:rPr>
          <w:rFonts w:eastAsia="Calibri"/>
        </w:rPr>
        <w:t>living</w:t>
      </w:r>
      <w:r>
        <w:rPr>
          <w:rFonts w:eastAsia="Calibri"/>
        </w:rPr>
        <w:t>.</w:t>
      </w:r>
    </w:p>
    <w:p w14:paraId="6DC1110B" w14:textId="2899FE1A" w:rsidR="008E1613" w:rsidRDefault="008E1613" w:rsidP="008E1613">
      <w:pPr>
        <w:pStyle w:val="FooterTableFigure"/>
        <w:rPr>
          <w:rFonts w:eastAsia="Calibri"/>
        </w:rPr>
      </w:pPr>
      <w:r w:rsidRPr="00207B4B">
        <w:rPr>
          <w:rFonts w:eastAsia="Calibri"/>
          <w:vertAlign w:val="superscript"/>
        </w:rPr>
        <w:t>b</w:t>
      </w:r>
      <w:r>
        <w:rPr>
          <w:rFonts w:eastAsia="Calibri"/>
        </w:rPr>
        <w:t xml:space="preserve"> The POISE trial did not report serious TEAEs or TEAEs leading to discontinuation of </w:t>
      </w:r>
      <w:r w:rsidR="000D30EA">
        <w:rPr>
          <w:rFonts w:eastAsia="Calibri"/>
        </w:rPr>
        <w:t xml:space="preserve">the </w:t>
      </w:r>
      <w:r>
        <w:rPr>
          <w:rFonts w:eastAsia="Calibri"/>
        </w:rPr>
        <w:t>study drug</w:t>
      </w:r>
    </w:p>
    <w:p w14:paraId="22B7BAC6" w14:textId="36B5FC25" w:rsidR="008E1613" w:rsidRDefault="008E1613" w:rsidP="008E1613">
      <w:pPr>
        <w:pStyle w:val="FooterTableFigure"/>
        <w:rPr>
          <w:rFonts w:eastAsia="Calibri"/>
        </w:rPr>
      </w:pPr>
      <w:r w:rsidRPr="00207B4B">
        <w:rPr>
          <w:rFonts w:eastAsia="Calibri"/>
          <w:vertAlign w:val="superscript"/>
        </w:rPr>
        <w:t>c</w:t>
      </w:r>
      <w:r>
        <w:rPr>
          <w:rFonts w:eastAsia="Calibri"/>
        </w:rPr>
        <w:t xml:space="preserve"> The POISE trial assessed severity on a scale from Grade 1 to Grade 3, where Grade 3 was Severe, c</w:t>
      </w:r>
      <w:r w:rsidRPr="00207B4B">
        <w:rPr>
          <w:rFonts w:eastAsia="Calibri"/>
        </w:rPr>
        <w:t xml:space="preserve">ausing </w:t>
      </w:r>
      <w:r w:rsidR="000D30EA">
        <w:rPr>
          <w:rFonts w:eastAsia="Calibri"/>
        </w:rPr>
        <w:t xml:space="preserve">an </w:t>
      </w:r>
      <w:r w:rsidRPr="00207B4B">
        <w:rPr>
          <w:rFonts w:eastAsia="Calibri"/>
        </w:rPr>
        <w:t>inability to carry out usual activities; the subject may experience</w:t>
      </w:r>
      <w:r>
        <w:rPr>
          <w:rFonts w:eastAsia="Calibri"/>
        </w:rPr>
        <w:t xml:space="preserve"> </w:t>
      </w:r>
      <w:r w:rsidRPr="00207B4B">
        <w:rPr>
          <w:rFonts w:eastAsia="Calibri"/>
        </w:rPr>
        <w:t>intolerable discomfort or pain.</w:t>
      </w:r>
    </w:p>
    <w:p w14:paraId="7D85076E" w14:textId="77777777" w:rsidR="008E1613" w:rsidRDefault="008E1613" w:rsidP="008E1613">
      <w:pPr>
        <w:pStyle w:val="FooterTableFigure"/>
        <w:rPr>
          <w:rFonts w:eastAsia="Calibri"/>
        </w:rPr>
      </w:pPr>
      <w:r w:rsidRPr="00207B4B">
        <w:rPr>
          <w:rFonts w:eastAsia="Calibri"/>
          <w:vertAlign w:val="superscript"/>
        </w:rPr>
        <w:t>d</w:t>
      </w:r>
      <w:r>
        <w:rPr>
          <w:rFonts w:eastAsia="Calibri"/>
        </w:rPr>
        <w:t xml:space="preserve"> The ELATIVE trial did not report TEAE leading to study discontinuation.</w:t>
      </w:r>
    </w:p>
    <w:p w14:paraId="737B0E6E" w14:textId="7E96E2F7" w:rsidR="008E1613" w:rsidRPr="000E7900" w:rsidRDefault="008E1613" w:rsidP="008E1613">
      <w:pPr>
        <w:pStyle w:val="FooterTableFigure"/>
        <w:rPr>
          <w:rFonts w:eastAsia="Calibri"/>
        </w:rPr>
      </w:pPr>
      <w:r w:rsidRPr="000E7900">
        <w:rPr>
          <w:rFonts w:eastAsia="Calibri"/>
          <w:vertAlign w:val="superscript"/>
        </w:rPr>
        <w:t>e</w:t>
      </w:r>
      <w:r w:rsidRPr="000E7900">
        <w:rPr>
          <w:rFonts w:eastAsia="Calibri"/>
        </w:rPr>
        <w:t xml:space="preserve"> The ELATIVE trial assessed severity on a 3-level scale from Mild to Severe, with severe events defined as events </w:t>
      </w:r>
      <w:r w:rsidR="000D30EA" w:rsidRPr="000E7900">
        <w:rPr>
          <w:rFonts w:eastAsia="Calibri"/>
        </w:rPr>
        <w:t xml:space="preserve">that </w:t>
      </w:r>
      <w:r w:rsidRPr="000E7900">
        <w:rPr>
          <w:rFonts w:eastAsia="Calibri"/>
        </w:rPr>
        <w:t>interrupt the subject’s normal daily activities and generally require systemic drug therapy or other treatment; they are usually incapacitating.</w:t>
      </w:r>
    </w:p>
    <w:p w14:paraId="5E9CE209" w14:textId="70609394" w:rsidR="00D64AD2" w:rsidRPr="000E7900" w:rsidRDefault="00F17F95" w:rsidP="008E1613">
      <w:pPr>
        <w:pStyle w:val="FooterTableFigure"/>
        <w:rPr>
          <w:rFonts w:eastAsia="Calibri"/>
        </w:rPr>
      </w:pPr>
      <w:bookmarkStart w:id="52" w:name="_Hlk197976413"/>
      <w:r w:rsidRPr="000E7900">
        <w:rPr>
          <w:rFonts w:eastAsia="Calibri"/>
        </w:rPr>
        <w:t xml:space="preserve">The statistical analysis of </w:t>
      </w:r>
      <w:r w:rsidR="00AA6453" w:rsidRPr="000E7900">
        <w:rPr>
          <w:rFonts w:eastAsia="Calibri"/>
        </w:rPr>
        <w:t xml:space="preserve">adverse events </w:t>
      </w:r>
      <w:r w:rsidRPr="000E7900">
        <w:rPr>
          <w:rFonts w:eastAsia="Calibri"/>
        </w:rPr>
        <w:t>was</w:t>
      </w:r>
      <w:r w:rsidR="00AA6453" w:rsidRPr="000E7900">
        <w:rPr>
          <w:rFonts w:eastAsia="Calibri"/>
        </w:rPr>
        <w:t xml:space="preserve"> not </w:t>
      </w:r>
      <w:r w:rsidRPr="000E7900">
        <w:rPr>
          <w:rFonts w:eastAsia="Calibri"/>
        </w:rPr>
        <w:t xml:space="preserve">pre-planned, so </w:t>
      </w:r>
      <w:r w:rsidR="006F1530">
        <w:rPr>
          <w:rFonts w:eastAsia="Calibri"/>
        </w:rPr>
        <w:t xml:space="preserve">statistically significant </w:t>
      </w:r>
      <w:r w:rsidRPr="000E7900">
        <w:rPr>
          <w:rFonts w:eastAsia="Calibri"/>
        </w:rPr>
        <w:t>results are not bolded</w:t>
      </w:r>
      <w:r w:rsidR="00AA6453" w:rsidRPr="000E7900">
        <w:rPr>
          <w:rFonts w:eastAsia="Calibri"/>
        </w:rPr>
        <w:t>.</w:t>
      </w:r>
    </w:p>
    <w:bookmarkEnd w:id="52"/>
    <w:p w14:paraId="6030FFA8" w14:textId="5A9E0363" w:rsidR="000F0705" w:rsidRPr="000F0705" w:rsidRDefault="000F0705" w:rsidP="008E1613">
      <w:pPr>
        <w:pStyle w:val="3-BodyText"/>
      </w:pPr>
      <w:r w:rsidRPr="000F0705">
        <w:t>Overall, there were similar rates of TEAEs between the intervention and comparator arms of the RESPONSE, POISE, and ELATIVE trials, and similar rates across the trials (</w:t>
      </w:r>
      <w:r>
        <w:fldChar w:fldCharType="begin"/>
      </w:r>
      <w:r>
        <w:instrText xml:space="preserve"> REF _Ref196405545 \h </w:instrText>
      </w:r>
      <w:r>
        <w:fldChar w:fldCharType="separate"/>
      </w:r>
      <w:r w:rsidR="00333A5F">
        <w:t xml:space="preserve">Table </w:t>
      </w:r>
      <w:r w:rsidR="00333A5F">
        <w:rPr>
          <w:noProof/>
        </w:rPr>
        <w:t>9</w:t>
      </w:r>
      <w:r>
        <w:fldChar w:fldCharType="end"/>
      </w:r>
      <w:r w:rsidRPr="000F0705">
        <w:t xml:space="preserve">). </w:t>
      </w:r>
    </w:p>
    <w:p w14:paraId="0DDA3B37" w14:textId="5423B720" w:rsidR="000F0705" w:rsidRPr="000E7900" w:rsidRDefault="000F0705" w:rsidP="001B1083">
      <w:pPr>
        <w:pStyle w:val="3-BodyText"/>
      </w:pPr>
      <w:bookmarkStart w:id="53" w:name="_Ref196816799"/>
      <w:r w:rsidRPr="000E7900">
        <w:t xml:space="preserve">In the RESPONSE trial, </w:t>
      </w:r>
      <w:r w:rsidR="000D30EA" w:rsidRPr="000E7900">
        <w:t xml:space="preserve">the </w:t>
      </w:r>
      <w:r w:rsidRPr="000E7900">
        <w:t xml:space="preserve">most common TEAE in both the seladelpar and placebo arms was COVID-19 (18.0% </w:t>
      </w:r>
      <w:r w:rsidR="00DE0F83">
        <w:t xml:space="preserve">versus </w:t>
      </w:r>
      <w:r w:rsidRPr="000E7900">
        <w:t xml:space="preserve">15.4%, respectively). </w:t>
      </w:r>
      <w:r w:rsidR="00D44BB2" w:rsidRPr="000E7900">
        <w:t>The types of adverse events were generally similar between arms. Participants in the seladelpar arm were more likely to experience headache (7.8% v</w:t>
      </w:r>
      <w:r w:rsidR="00DE0F83">
        <w:t>ersu</w:t>
      </w:r>
      <w:r w:rsidR="00D44BB2" w:rsidRPr="000E7900">
        <w:t>s 3.1%) and abdominal pain (7.0% v</w:t>
      </w:r>
      <w:r w:rsidR="00DE0F83">
        <w:t>ersu</w:t>
      </w:r>
      <w:r w:rsidR="00D44BB2" w:rsidRPr="000E7900">
        <w:t xml:space="preserve">s </w:t>
      </w:r>
      <w:r w:rsidR="00D44BB2" w:rsidRPr="000E7900">
        <w:lastRenderedPageBreak/>
        <w:t xml:space="preserve">1.5%), but less likely to experience </w:t>
      </w:r>
      <w:r w:rsidRPr="000E7900">
        <w:t>pruritus (</w:t>
      </w:r>
      <w:r w:rsidR="00D44BB2" w:rsidRPr="000E7900">
        <w:t>4.7% v</w:t>
      </w:r>
      <w:r w:rsidR="00DE0F83">
        <w:t>ersu</w:t>
      </w:r>
      <w:r w:rsidR="00D44BB2" w:rsidRPr="000E7900">
        <w:t xml:space="preserve">s 15.4%; </w:t>
      </w:r>
      <w:r w:rsidRPr="000E7900">
        <w:t>OR=0.27) and upper respiratory tract infections (</w:t>
      </w:r>
      <w:r w:rsidR="00D44BB2" w:rsidRPr="000E7900">
        <w:t>0.8% v</w:t>
      </w:r>
      <w:r w:rsidR="00DE0F83">
        <w:t>ersu</w:t>
      </w:r>
      <w:r w:rsidR="00D44BB2" w:rsidRPr="000E7900">
        <w:t>s 9.2%</w:t>
      </w:r>
      <w:r w:rsidRPr="000E7900">
        <w:t>) in the seladelpar arm versus the placebo arm. The cost-utility model disutilities and costs associated with pruritus.</w:t>
      </w:r>
      <w:bookmarkEnd w:id="53"/>
    </w:p>
    <w:p w14:paraId="3A896FE8" w14:textId="7374654E" w:rsidR="000F0705" w:rsidRPr="000E7900" w:rsidRDefault="000F0705" w:rsidP="001B1083">
      <w:pPr>
        <w:pStyle w:val="3-BodyText"/>
      </w:pPr>
      <w:r w:rsidRPr="000E7900">
        <w:t>In the RESPONSE trial, a similar proportion of participants experienced serious TEAEs in the seladelpar and placebo arms. There was no single event that occurred in more than one participant in each arm. Despite this, the cost-utility model included adverse event disutilities and costs for serious TEAEs that occurred in ≥</w:t>
      </w:r>
      <w:r w:rsidR="00C32265">
        <w:t xml:space="preserve"> </w:t>
      </w:r>
      <w:r w:rsidRPr="000E7900">
        <w:t xml:space="preserve">1 participant in the RESPONSE trial, stratified by concomitant UDCA use. </w:t>
      </w:r>
    </w:p>
    <w:p w14:paraId="294BCE0A" w14:textId="23E7A3D6" w:rsidR="008E1613" w:rsidRPr="00291B57" w:rsidRDefault="00C43E65" w:rsidP="000F0705">
      <w:pPr>
        <w:pStyle w:val="3-BodyText"/>
      </w:pPr>
      <w:r w:rsidRPr="000E7900">
        <w:t xml:space="preserve">The submission nominated pruritus as an adverse event of interest. </w:t>
      </w:r>
      <w:r w:rsidR="000F0705" w:rsidRPr="000E7900">
        <w:t xml:space="preserve">Pruritus </w:t>
      </w:r>
      <w:r w:rsidR="00361F6F" w:rsidRPr="000E7900">
        <w:t>was</w:t>
      </w:r>
      <w:r w:rsidR="000F0705" w:rsidRPr="000E7900">
        <w:t xml:space="preserve"> less frequent in the intervention arm compared to the placebo arm of the RESPONSE trial (4.7% v</w:t>
      </w:r>
      <w:r w:rsidR="00DE0F83">
        <w:t>ersu</w:t>
      </w:r>
      <w:r w:rsidR="000F0705" w:rsidRPr="000E7900">
        <w:t>s 15.4%) and the ELATIVE trial (20.3% v</w:t>
      </w:r>
      <w:r w:rsidR="00DE0F83">
        <w:t>ersu</w:t>
      </w:r>
      <w:r w:rsidR="000F0705" w:rsidRPr="000E7900">
        <w:t xml:space="preserve">s 26.4%) and more common in </w:t>
      </w:r>
      <w:r w:rsidR="000D30EA" w:rsidRPr="000E7900">
        <w:t xml:space="preserve">the </w:t>
      </w:r>
      <w:r w:rsidR="000F0705" w:rsidRPr="000E7900">
        <w:t>intervention arm compared to the placebo arm of the POISE</w:t>
      </w:r>
      <w:r w:rsidR="000F0705" w:rsidRPr="000F0705">
        <w:t xml:space="preserve"> trial (55.7% v</w:t>
      </w:r>
      <w:r w:rsidR="00DE0F83">
        <w:t>ersu</w:t>
      </w:r>
      <w:r w:rsidR="000F0705" w:rsidRPr="000F0705">
        <w:t>s 38.3%).</w:t>
      </w:r>
      <w:r w:rsidR="000F0705">
        <w:t xml:space="preserve"> </w:t>
      </w:r>
    </w:p>
    <w:p w14:paraId="6746493D" w14:textId="1AA3D040" w:rsidR="008E1613" w:rsidRDefault="008E1613" w:rsidP="008E1613">
      <w:pPr>
        <w:pStyle w:val="5-SubsectionSubheading"/>
      </w:pPr>
      <w:bookmarkStart w:id="54" w:name="_Toc198561149"/>
      <w:bookmarkStart w:id="55" w:name="_Toc22897643"/>
      <w:r>
        <w:t>Indirect comparisons</w:t>
      </w:r>
      <w:bookmarkEnd w:id="54"/>
    </w:p>
    <w:p w14:paraId="5295DA75" w14:textId="0B9356B5" w:rsidR="008E1613" w:rsidRPr="008E1613" w:rsidRDefault="00C11E14" w:rsidP="008E1613">
      <w:pPr>
        <w:pStyle w:val="3-BodyText"/>
      </w:pPr>
      <w:r>
        <w:fldChar w:fldCharType="begin"/>
      </w:r>
      <w:r>
        <w:instrText xml:space="preserve"> REF _Ref196407379 \h </w:instrText>
      </w:r>
      <w:r>
        <w:fldChar w:fldCharType="separate"/>
      </w:r>
      <w:r w:rsidR="00333A5F">
        <w:t xml:space="preserve">Table </w:t>
      </w:r>
      <w:r w:rsidR="00333A5F">
        <w:rPr>
          <w:noProof/>
        </w:rPr>
        <w:t>10</w:t>
      </w:r>
      <w:r>
        <w:fldChar w:fldCharType="end"/>
      </w:r>
      <w:r>
        <w:t xml:space="preserve"> </w:t>
      </w:r>
      <w:r w:rsidRPr="00C11E14">
        <w:t>summarises the results of the indirect comparisons based on the proportion of participants experiencing any adverse event.</w:t>
      </w:r>
    </w:p>
    <w:p w14:paraId="5ABE02C8" w14:textId="40B269F9" w:rsidR="00C11E14" w:rsidRDefault="00C11E14" w:rsidP="00C11E14">
      <w:pPr>
        <w:pStyle w:val="Caption"/>
      </w:pPr>
      <w:bookmarkStart w:id="56" w:name="_Ref196407379"/>
      <w:r>
        <w:t xml:space="preserve">Table </w:t>
      </w:r>
      <w:r w:rsidR="00A24BC2">
        <w:fldChar w:fldCharType="begin"/>
      </w:r>
      <w:r w:rsidR="00A24BC2">
        <w:instrText xml:space="preserve"> SEQ Table \* ARABIC </w:instrText>
      </w:r>
      <w:r w:rsidR="00A24BC2">
        <w:fldChar w:fldCharType="separate"/>
      </w:r>
      <w:r w:rsidR="00333A5F">
        <w:rPr>
          <w:noProof/>
        </w:rPr>
        <w:t>10</w:t>
      </w:r>
      <w:r w:rsidR="00A24BC2">
        <w:rPr>
          <w:noProof/>
        </w:rPr>
        <w:fldChar w:fldCharType="end"/>
      </w:r>
      <w:bookmarkEnd w:id="56"/>
      <w:r>
        <w:t xml:space="preserve">: </w:t>
      </w:r>
      <w:r w:rsidRPr="0098262F">
        <w:rPr>
          <w:rStyle w:val="CommentReference"/>
          <w:b/>
          <w:szCs w:val="24"/>
        </w:rPr>
        <w:t xml:space="preserve">Summary of results of the indirect comparison for </w:t>
      </w:r>
      <w:r>
        <w:rPr>
          <w:rStyle w:val="CommentReference"/>
          <w:b/>
          <w:szCs w:val="24"/>
        </w:rPr>
        <w:t>adverse events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results of the indirect comparison for adverse events (any)"/>
      </w:tblPr>
      <w:tblGrid>
        <w:gridCol w:w="5381"/>
        <w:gridCol w:w="3636"/>
      </w:tblGrid>
      <w:tr w:rsidR="00C11E14" w:rsidRPr="0098262F" w14:paraId="1D61B0F7" w14:textId="77777777" w:rsidTr="00260755">
        <w:trPr>
          <w:trHeight w:val="346"/>
          <w:tblHeader/>
        </w:trPr>
        <w:tc>
          <w:tcPr>
            <w:tcW w:w="2984" w:type="pct"/>
            <w:vAlign w:val="center"/>
          </w:tcPr>
          <w:p w14:paraId="7FB65514" w14:textId="77777777" w:rsidR="00C11E14" w:rsidRPr="00282ED7" w:rsidRDefault="00C11E14" w:rsidP="00260755">
            <w:pPr>
              <w:pStyle w:val="In-tableHeading"/>
              <w:jc w:val="center"/>
            </w:pPr>
            <w:r w:rsidRPr="00282ED7">
              <w:t>Trial ID</w:t>
            </w:r>
          </w:p>
        </w:tc>
        <w:tc>
          <w:tcPr>
            <w:tcW w:w="2016" w:type="pct"/>
            <w:vAlign w:val="center"/>
          </w:tcPr>
          <w:p w14:paraId="10EADE60" w14:textId="77777777" w:rsidR="00C11E14" w:rsidRPr="00282ED7" w:rsidRDefault="00C11E14" w:rsidP="00260755">
            <w:pPr>
              <w:pStyle w:val="In-tableHeading"/>
              <w:jc w:val="center"/>
            </w:pPr>
            <w:r w:rsidRPr="00282ED7">
              <w:t>Treatment effect, OR (95% CI); p-value</w:t>
            </w:r>
          </w:p>
        </w:tc>
      </w:tr>
      <w:tr w:rsidR="00C11E14" w:rsidRPr="0098262F" w14:paraId="5EF70228" w14:textId="77777777" w:rsidTr="00260755">
        <w:trPr>
          <w:tblHeader/>
        </w:trPr>
        <w:tc>
          <w:tcPr>
            <w:tcW w:w="5000" w:type="pct"/>
            <w:gridSpan w:val="2"/>
            <w:vAlign w:val="center"/>
          </w:tcPr>
          <w:p w14:paraId="47CEAE06" w14:textId="77777777" w:rsidR="00C11E14" w:rsidRDefault="00C11E14" w:rsidP="001B1083">
            <w:pPr>
              <w:pStyle w:val="In-tableHeading"/>
              <w:rPr>
                <w:lang w:val="en-AU"/>
              </w:rPr>
            </w:pPr>
            <w:r>
              <w:rPr>
                <w:lang w:val="en-AU"/>
              </w:rPr>
              <w:t xml:space="preserve">Seladelpar vs OCA 5-10 mg </w:t>
            </w:r>
          </w:p>
        </w:tc>
      </w:tr>
      <w:tr w:rsidR="00C11E14" w:rsidRPr="0098262F" w14:paraId="28A76A17" w14:textId="77777777" w:rsidTr="00260755">
        <w:trPr>
          <w:tblHeader/>
        </w:trPr>
        <w:tc>
          <w:tcPr>
            <w:tcW w:w="5000" w:type="pct"/>
            <w:gridSpan w:val="2"/>
            <w:vAlign w:val="center"/>
          </w:tcPr>
          <w:p w14:paraId="451A9A8A" w14:textId="77777777" w:rsidR="00C11E14" w:rsidRDefault="00C11E14" w:rsidP="001B1083">
            <w:pPr>
              <w:pStyle w:val="In-tableHeading"/>
              <w:rPr>
                <w:lang w:val="en-AU"/>
              </w:rPr>
            </w:pPr>
            <w:r>
              <w:rPr>
                <w:lang w:val="en-AU"/>
              </w:rPr>
              <w:t>Bucher ITC</w:t>
            </w:r>
          </w:p>
        </w:tc>
      </w:tr>
      <w:tr w:rsidR="00C11E14" w:rsidRPr="0098262F" w14:paraId="71C5BA79" w14:textId="77777777" w:rsidTr="00260755">
        <w:tc>
          <w:tcPr>
            <w:tcW w:w="2984" w:type="pct"/>
            <w:vAlign w:val="center"/>
          </w:tcPr>
          <w:p w14:paraId="399DB28C" w14:textId="77777777" w:rsidR="00C11E14" w:rsidRPr="0098262F" w:rsidRDefault="00C11E14" w:rsidP="001B1083">
            <w:pPr>
              <w:pStyle w:val="TableText0"/>
            </w:pPr>
            <w:r>
              <w:t>RESPONSE (vs PBO)</w:t>
            </w:r>
          </w:p>
        </w:tc>
        <w:tc>
          <w:tcPr>
            <w:tcW w:w="2016" w:type="pct"/>
            <w:vAlign w:val="center"/>
          </w:tcPr>
          <w:p w14:paraId="71D7758E" w14:textId="77777777" w:rsidR="00C11E14" w:rsidRPr="0098262F" w:rsidRDefault="00C11E14" w:rsidP="001B1083">
            <w:pPr>
              <w:pStyle w:val="TableText0"/>
              <w:jc w:val="center"/>
            </w:pPr>
            <w:r w:rsidRPr="00216EEE">
              <w:t>1.19 [0.51, 2.76]</w:t>
            </w:r>
          </w:p>
        </w:tc>
      </w:tr>
      <w:tr w:rsidR="00C11E14" w:rsidRPr="0098262F" w14:paraId="147900B1" w14:textId="77777777" w:rsidTr="00260755">
        <w:tc>
          <w:tcPr>
            <w:tcW w:w="2984" w:type="pct"/>
            <w:vAlign w:val="center"/>
          </w:tcPr>
          <w:p w14:paraId="498FB7C1" w14:textId="77777777" w:rsidR="00C11E14" w:rsidRDefault="00C11E14" w:rsidP="001B1083">
            <w:pPr>
              <w:pStyle w:val="TableText0"/>
            </w:pPr>
            <w:r>
              <w:t>POISE (vs PBO)</w:t>
            </w:r>
          </w:p>
        </w:tc>
        <w:tc>
          <w:tcPr>
            <w:tcW w:w="2016" w:type="pct"/>
            <w:vAlign w:val="center"/>
          </w:tcPr>
          <w:p w14:paraId="2989546F" w14:textId="77777777" w:rsidR="00C11E14" w:rsidRDefault="00C11E14" w:rsidP="001B1083">
            <w:pPr>
              <w:pStyle w:val="TableText0"/>
              <w:jc w:val="center"/>
            </w:pPr>
            <w:r w:rsidRPr="00216EEE">
              <w:t>1.38 [0.42, 4.57]</w:t>
            </w:r>
          </w:p>
        </w:tc>
      </w:tr>
      <w:tr w:rsidR="00C11E14" w:rsidRPr="0098262F" w14:paraId="765F3DD7" w14:textId="77777777" w:rsidTr="00260755">
        <w:tc>
          <w:tcPr>
            <w:tcW w:w="2984" w:type="pct"/>
            <w:vAlign w:val="center"/>
          </w:tcPr>
          <w:p w14:paraId="011C3C07" w14:textId="77777777" w:rsidR="00C11E14" w:rsidRPr="0098262F" w:rsidRDefault="00C11E14" w:rsidP="001B1083">
            <w:pPr>
              <w:pStyle w:val="TableText0"/>
            </w:pPr>
            <w:r w:rsidRPr="0098262F">
              <w:t>Indirect estimate of effect</w:t>
            </w:r>
            <w:r>
              <w:t xml:space="preserve"> vs OCA</w:t>
            </w:r>
            <w:r w:rsidRPr="0098262F">
              <w:t xml:space="preserve"> adjusted for the common reference</w:t>
            </w:r>
          </w:p>
        </w:tc>
        <w:tc>
          <w:tcPr>
            <w:tcW w:w="2016" w:type="pct"/>
            <w:vAlign w:val="center"/>
          </w:tcPr>
          <w:p w14:paraId="33379516" w14:textId="633798AB" w:rsidR="00C11E14" w:rsidRPr="005A1906" w:rsidRDefault="00C11E14" w:rsidP="001B1083">
            <w:pPr>
              <w:pStyle w:val="TableText0"/>
              <w:jc w:val="center"/>
            </w:pPr>
            <w:r w:rsidRPr="00216EEE">
              <w:t>0.86 [0.2</w:t>
            </w:r>
            <w:r w:rsidR="00461A44">
              <w:t>0</w:t>
            </w:r>
            <w:r w:rsidRPr="00216EEE">
              <w:t>, 3.72]</w:t>
            </w:r>
            <w:r>
              <w:t xml:space="preserve">; </w:t>
            </w:r>
            <w:r w:rsidRPr="00216EEE">
              <w:t>0.84</w:t>
            </w:r>
            <w:r w:rsidR="00260755">
              <w:t>3</w:t>
            </w:r>
          </w:p>
        </w:tc>
      </w:tr>
      <w:tr w:rsidR="00C11E14" w:rsidRPr="0098262F" w14:paraId="7091046A" w14:textId="77777777" w:rsidTr="00260755">
        <w:tc>
          <w:tcPr>
            <w:tcW w:w="5000" w:type="pct"/>
            <w:gridSpan w:val="2"/>
            <w:vAlign w:val="center"/>
          </w:tcPr>
          <w:p w14:paraId="3ED44612" w14:textId="77777777" w:rsidR="00C11E14" w:rsidRDefault="00C11E14" w:rsidP="001B1083">
            <w:pPr>
              <w:pStyle w:val="In-tableHeading"/>
            </w:pPr>
            <w:r>
              <w:t>Bayesian NMA</w:t>
            </w:r>
          </w:p>
        </w:tc>
      </w:tr>
      <w:tr w:rsidR="00C11E14" w:rsidRPr="0098262F" w14:paraId="7082E2AA" w14:textId="77777777" w:rsidTr="00260755">
        <w:tc>
          <w:tcPr>
            <w:tcW w:w="2984" w:type="pct"/>
            <w:vAlign w:val="center"/>
          </w:tcPr>
          <w:p w14:paraId="06635B96" w14:textId="77777777" w:rsidR="00C11E14" w:rsidRPr="0098262F" w:rsidRDefault="00C11E14" w:rsidP="001B1083">
            <w:pPr>
              <w:pStyle w:val="TableText0"/>
            </w:pPr>
            <w:r>
              <w:t>RESPONSE (vs PBO)</w:t>
            </w:r>
          </w:p>
        </w:tc>
        <w:tc>
          <w:tcPr>
            <w:tcW w:w="2016" w:type="pct"/>
            <w:vAlign w:val="center"/>
          </w:tcPr>
          <w:p w14:paraId="2CBD2D62" w14:textId="77777777" w:rsidR="00C11E14" w:rsidRPr="0098262F" w:rsidRDefault="00C11E14" w:rsidP="001B1083">
            <w:pPr>
              <w:pStyle w:val="TableText0"/>
              <w:jc w:val="center"/>
            </w:pPr>
            <w:r w:rsidRPr="00216EEE">
              <w:t>1.18 [95% Crl: 0.47, 2.79]</w:t>
            </w:r>
          </w:p>
        </w:tc>
      </w:tr>
      <w:tr w:rsidR="00C11E14" w:rsidRPr="0098262F" w14:paraId="42AEC049" w14:textId="77777777" w:rsidTr="00260755">
        <w:tc>
          <w:tcPr>
            <w:tcW w:w="2984" w:type="pct"/>
            <w:vAlign w:val="center"/>
          </w:tcPr>
          <w:p w14:paraId="683E7A55" w14:textId="77777777" w:rsidR="00C11E14" w:rsidRDefault="00C11E14" w:rsidP="001B1083">
            <w:pPr>
              <w:pStyle w:val="TableText0"/>
            </w:pPr>
            <w:r>
              <w:t>POISE (vs PBO)</w:t>
            </w:r>
          </w:p>
        </w:tc>
        <w:tc>
          <w:tcPr>
            <w:tcW w:w="2016" w:type="pct"/>
            <w:vAlign w:val="center"/>
          </w:tcPr>
          <w:p w14:paraId="3FE80258" w14:textId="77777777" w:rsidR="00C11E14" w:rsidRPr="00216EEE" w:rsidRDefault="00C11E14" w:rsidP="001B1083">
            <w:pPr>
              <w:pStyle w:val="TableText0"/>
              <w:jc w:val="center"/>
            </w:pPr>
            <w:r w:rsidRPr="00216EEE">
              <w:t>NR</w:t>
            </w:r>
          </w:p>
        </w:tc>
      </w:tr>
      <w:tr w:rsidR="00C11E14" w:rsidRPr="0098262F" w14:paraId="292B0D1D" w14:textId="77777777" w:rsidTr="00260755">
        <w:tc>
          <w:tcPr>
            <w:tcW w:w="2984" w:type="pct"/>
            <w:vAlign w:val="center"/>
          </w:tcPr>
          <w:p w14:paraId="451393F3" w14:textId="77777777" w:rsidR="00C11E14" w:rsidRPr="0098262F" w:rsidRDefault="00C11E14" w:rsidP="001B1083">
            <w:pPr>
              <w:pStyle w:val="TableText0"/>
            </w:pPr>
            <w:r w:rsidRPr="0098262F">
              <w:t>Indirect estimate of effect</w:t>
            </w:r>
            <w:r>
              <w:t xml:space="preserve"> vs OCA</w:t>
            </w:r>
            <w:r w:rsidRPr="0098262F">
              <w:t xml:space="preserve"> adjusted for the common reference</w:t>
            </w:r>
          </w:p>
        </w:tc>
        <w:tc>
          <w:tcPr>
            <w:tcW w:w="2016" w:type="pct"/>
            <w:vAlign w:val="center"/>
          </w:tcPr>
          <w:p w14:paraId="1B1FAC8B" w14:textId="77777777" w:rsidR="00C11E14" w:rsidRPr="00216EEE" w:rsidRDefault="00C11E14" w:rsidP="001B1083">
            <w:pPr>
              <w:pStyle w:val="TableText0"/>
              <w:jc w:val="center"/>
            </w:pPr>
            <w:r w:rsidRPr="00216EEE">
              <w:t>0.83 [95% Crl: 0.17, 3.78]</w:t>
            </w:r>
          </w:p>
        </w:tc>
      </w:tr>
      <w:tr w:rsidR="00C11E14" w:rsidRPr="0098262F" w14:paraId="4BDEF70A" w14:textId="77777777" w:rsidTr="00260755">
        <w:tc>
          <w:tcPr>
            <w:tcW w:w="5000" w:type="pct"/>
            <w:gridSpan w:val="2"/>
            <w:tcBorders>
              <w:top w:val="double" w:sz="4" w:space="0" w:color="auto"/>
            </w:tcBorders>
            <w:vAlign w:val="center"/>
          </w:tcPr>
          <w:p w14:paraId="73A2E959" w14:textId="77777777" w:rsidR="00C11E14" w:rsidRPr="0098262F" w:rsidRDefault="00C11E14" w:rsidP="001B1083">
            <w:pPr>
              <w:pStyle w:val="In-tableHeading"/>
            </w:pPr>
            <w:r>
              <w:t xml:space="preserve">Seladelpar vs elafibranor </w:t>
            </w:r>
          </w:p>
        </w:tc>
      </w:tr>
      <w:tr w:rsidR="00C11E14" w:rsidRPr="0098262F" w14:paraId="07553EE0" w14:textId="77777777" w:rsidTr="00260755">
        <w:tc>
          <w:tcPr>
            <w:tcW w:w="5000" w:type="pct"/>
            <w:gridSpan w:val="2"/>
            <w:vAlign w:val="center"/>
          </w:tcPr>
          <w:p w14:paraId="43B81047" w14:textId="77777777" w:rsidR="00C11E14" w:rsidRPr="0098262F" w:rsidRDefault="00C11E14" w:rsidP="001B1083">
            <w:pPr>
              <w:pStyle w:val="In-tableHeading"/>
            </w:pPr>
            <w:r>
              <w:t>Bucher ITC</w:t>
            </w:r>
          </w:p>
        </w:tc>
      </w:tr>
      <w:tr w:rsidR="00C11E14" w:rsidRPr="0098262F" w14:paraId="2A4A97D2" w14:textId="77777777" w:rsidTr="00260755">
        <w:tc>
          <w:tcPr>
            <w:tcW w:w="2984" w:type="pct"/>
            <w:vAlign w:val="center"/>
          </w:tcPr>
          <w:p w14:paraId="6C59CB00" w14:textId="77777777" w:rsidR="00C11E14" w:rsidRPr="0098262F" w:rsidRDefault="00C11E14" w:rsidP="001B1083">
            <w:pPr>
              <w:pStyle w:val="TableText0"/>
            </w:pPr>
            <w:r>
              <w:t>RESPONSE (vs PBO)</w:t>
            </w:r>
          </w:p>
        </w:tc>
        <w:tc>
          <w:tcPr>
            <w:tcW w:w="2016" w:type="pct"/>
            <w:vAlign w:val="center"/>
          </w:tcPr>
          <w:p w14:paraId="4BCD9E9C" w14:textId="77777777" w:rsidR="00C11E14" w:rsidRPr="00216EEE" w:rsidRDefault="00C11E14" w:rsidP="001B1083">
            <w:pPr>
              <w:pStyle w:val="TableText0"/>
              <w:jc w:val="center"/>
            </w:pPr>
            <w:r w:rsidRPr="00216EEE">
              <w:t>1.19 [0.51, 2.76]</w:t>
            </w:r>
          </w:p>
        </w:tc>
      </w:tr>
      <w:tr w:rsidR="00C11E14" w:rsidRPr="0098262F" w14:paraId="686D5EA3" w14:textId="77777777" w:rsidTr="00260755">
        <w:tc>
          <w:tcPr>
            <w:tcW w:w="2984" w:type="pct"/>
            <w:vAlign w:val="center"/>
          </w:tcPr>
          <w:p w14:paraId="0AAF2244" w14:textId="77777777" w:rsidR="00C11E14" w:rsidRDefault="00C11E14" w:rsidP="001B1083">
            <w:pPr>
              <w:pStyle w:val="TableText0"/>
            </w:pPr>
            <w:r>
              <w:t>ELATIVE (vs PBO)</w:t>
            </w:r>
          </w:p>
        </w:tc>
        <w:tc>
          <w:tcPr>
            <w:tcW w:w="2016" w:type="pct"/>
            <w:vAlign w:val="center"/>
          </w:tcPr>
          <w:p w14:paraId="7BC24F69" w14:textId="77777777" w:rsidR="00C11E14" w:rsidRPr="00216EEE" w:rsidRDefault="00C11E14" w:rsidP="001B1083">
            <w:pPr>
              <w:pStyle w:val="TableText0"/>
              <w:jc w:val="center"/>
            </w:pPr>
            <w:r w:rsidRPr="00216EEE">
              <w:t>2.71 [0.7, 10.54]</w:t>
            </w:r>
          </w:p>
        </w:tc>
      </w:tr>
      <w:tr w:rsidR="00C11E14" w:rsidRPr="0098262F" w14:paraId="722F131E" w14:textId="77777777" w:rsidTr="00260755">
        <w:tc>
          <w:tcPr>
            <w:tcW w:w="2984" w:type="pct"/>
            <w:vAlign w:val="center"/>
          </w:tcPr>
          <w:p w14:paraId="46D477D8" w14:textId="77777777" w:rsidR="00C11E14" w:rsidRPr="0098262F" w:rsidRDefault="00C11E14" w:rsidP="001B1083">
            <w:pPr>
              <w:pStyle w:val="TableText0"/>
            </w:pPr>
            <w:r w:rsidRPr="0098262F">
              <w:t>Indirect estimate of effect</w:t>
            </w:r>
            <w:r>
              <w:t xml:space="preserve"> vs ELA</w:t>
            </w:r>
            <w:r w:rsidRPr="0098262F">
              <w:t xml:space="preserve"> adjusted for the common reference</w:t>
            </w:r>
          </w:p>
        </w:tc>
        <w:tc>
          <w:tcPr>
            <w:tcW w:w="2016" w:type="pct"/>
            <w:vAlign w:val="center"/>
          </w:tcPr>
          <w:p w14:paraId="60067122" w14:textId="324A5C08" w:rsidR="00C11E14" w:rsidRPr="0098262F" w:rsidRDefault="00C11E14" w:rsidP="001B1083">
            <w:pPr>
              <w:pStyle w:val="TableText0"/>
              <w:jc w:val="center"/>
            </w:pPr>
            <w:r w:rsidRPr="00216EEE">
              <w:t>0.4</w:t>
            </w:r>
            <w:r w:rsidR="00260755">
              <w:t>4</w:t>
            </w:r>
            <w:r w:rsidRPr="00216EEE">
              <w:t xml:space="preserve"> [0.09, 2.1</w:t>
            </w:r>
            <w:r w:rsidR="00260755">
              <w:t>7</w:t>
            </w:r>
            <w:r w:rsidRPr="00216EEE">
              <w:t>]</w:t>
            </w:r>
            <w:r>
              <w:t>;</w:t>
            </w:r>
            <w:r w:rsidRPr="00216EEE">
              <w:t xml:space="preserve"> 0.31</w:t>
            </w:r>
            <w:r w:rsidR="00260755">
              <w:t>3</w:t>
            </w:r>
          </w:p>
        </w:tc>
      </w:tr>
      <w:tr w:rsidR="00C11E14" w:rsidRPr="0098262F" w14:paraId="1EDB1E44" w14:textId="77777777" w:rsidTr="00260755">
        <w:tc>
          <w:tcPr>
            <w:tcW w:w="5000" w:type="pct"/>
            <w:gridSpan w:val="2"/>
            <w:vAlign w:val="center"/>
          </w:tcPr>
          <w:p w14:paraId="12FD6A13" w14:textId="77777777" w:rsidR="00C11E14" w:rsidRPr="0098262F" w:rsidRDefault="00C11E14" w:rsidP="001B1083">
            <w:pPr>
              <w:pStyle w:val="In-tableHeading"/>
            </w:pPr>
            <w:r>
              <w:t>Anchored MAIC</w:t>
            </w:r>
          </w:p>
        </w:tc>
      </w:tr>
      <w:tr w:rsidR="00C11E14" w:rsidRPr="0098262F" w14:paraId="34D5B67B" w14:textId="77777777" w:rsidTr="00260755">
        <w:tc>
          <w:tcPr>
            <w:tcW w:w="2984" w:type="pct"/>
            <w:vAlign w:val="center"/>
          </w:tcPr>
          <w:p w14:paraId="5724D57E" w14:textId="77777777" w:rsidR="00C11E14" w:rsidRPr="0098262F" w:rsidRDefault="00C11E14" w:rsidP="001B1083">
            <w:pPr>
              <w:pStyle w:val="TableText0"/>
            </w:pPr>
            <w:r>
              <w:t>RESPONSE (vs PBO)</w:t>
            </w:r>
          </w:p>
        </w:tc>
        <w:tc>
          <w:tcPr>
            <w:tcW w:w="2016" w:type="pct"/>
            <w:vAlign w:val="center"/>
          </w:tcPr>
          <w:p w14:paraId="3B1F24DB" w14:textId="69B97585" w:rsidR="00C11E14" w:rsidRPr="0098262F" w:rsidRDefault="00C11E14" w:rsidP="001B1083">
            <w:pPr>
              <w:pStyle w:val="TableText0"/>
              <w:jc w:val="center"/>
            </w:pPr>
            <w:r w:rsidRPr="00216EEE">
              <w:t>0.99 [0.3</w:t>
            </w:r>
            <w:r w:rsidR="00260755">
              <w:t>0</w:t>
            </w:r>
            <w:r w:rsidRPr="00216EEE">
              <w:t>, 3.28]</w:t>
            </w:r>
          </w:p>
        </w:tc>
      </w:tr>
      <w:tr w:rsidR="00C11E14" w:rsidRPr="0098262F" w14:paraId="5C7A6076" w14:textId="77777777" w:rsidTr="00260755">
        <w:tc>
          <w:tcPr>
            <w:tcW w:w="2984" w:type="pct"/>
            <w:vAlign w:val="center"/>
          </w:tcPr>
          <w:p w14:paraId="05C66D1F" w14:textId="77777777" w:rsidR="00C11E14" w:rsidRDefault="00C11E14" w:rsidP="001B1083">
            <w:pPr>
              <w:pStyle w:val="TableText0"/>
            </w:pPr>
            <w:r>
              <w:t>ELATIVE (vs PBO)</w:t>
            </w:r>
          </w:p>
        </w:tc>
        <w:tc>
          <w:tcPr>
            <w:tcW w:w="2016" w:type="pct"/>
            <w:vAlign w:val="center"/>
          </w:tcPr>
          <w:p w14:paraId="2854E8F9" w14:textId="77777777" w:rsidR="00C11E14" w:rsidRPr="005F4DD8" w:rsidRDefault="00C11E14" w:rsidP="001B1083">
            <w:pPr>
              <w:pStyle w:val="TableText0"/>
              <w:jc w:val="center"/>
            </w:pPr>
            <w:r>
              <w:t>NR</w:t>
            </w:r>
          </w:p>
        </w:tc>
      </w:tr>
      <w:tr w:rsidR="00C11E14" w:rsidRPr="0098262F" w14:paraId="018E46D5" w14:textId="77777777" w:rsidTr="00260755">
        <w:tc>
          <w:tcPr>
            <w:tcW w:w="2984" w:type="pct"/>
            <w:vAlign w:val="center"/>
          </w:tcPr>
          <w:p w14:paraId="5DD37E0F" w14:textId="77777777" w:rsidR="00C11E14" w:rsidRPr="0098262F" w:rsidRDefault="00C11E14" w:rsidP="001B1083">
            <w:pPr>
              <w:pStyle w:val="TableText0"/>
            </w:pPr>
            <w:r w:rsidRPr="0098262F">
              <w:t>Indirect estimate of effect</w:t>
            </w:r>
            <w:r>
              <w:t xml:space="preserve"> vs ELA</w:t>
            </w:r>
            <w:r w:rsidRPr="0098262F">
              <w:t xml:space="preserve"> adjusted for the common reference</w:t>
            </w:r>
          </w:p>
        </w:tc>
        <w:tc>
          <w:tcPr>
            <w:tcW w:w="2016" w:type="pct"/>
            <w:vAlign w:val="center"/>
          </w:tcPr>
          <w:p w14:paraId="1597F492" w14:textId="77777777" w:rsidR="00C11E14" w:rsidRPr="0098262F" w:rsidRDefault="00C11E14" w:rsidP="001B1083">
            <w:pPr>
              <w:pStyle w:val="TableText0"/>
              <w:jc w:val="center"/>
            </w:pPr>
            <w:r w:rsidRPr="00216EEE">
              <w:t>0.37 [0.06, 2.24]</w:t>
            </w:r>
          </w:p>
        </w:tc>
      </w:tr>
    </w:tbl>
    <w:p w14:paraId="4A3FF8EC" w14:textId="77777777" w:rsidR="00C11E14" w:rsidRDefault="00C11E14" w:rsidP="00C11E14">
      <w:pPr>
        <w:pStyle w:val="TableFigureFooter"/>
      </w:pPr>
      <w:r w:rsidRPr="0098262F">
        <w:t>Source:</w:t>
      </w:r>
      <w:r>
        <w:t xml:space="preserve"> </w:t>
      </w:r>
      <w:r w:rsidRPr="0098262F">
        <w:t>Table</w:t>
      </w:r>
      <w:r>
        <w:t>s 58 &amp; 63</w:t>
      </w:r>
      <w:r w:rsidRPr="0098262F">
        <w:t>, pp</w:t>
      </w:r>
      <w:r>
        <w:t>134 &amp; 137</w:t>
      </w:r>
      <w:r w:rsidRPr="0098262F">
        <w:t xml:space="preserve"> of the submission.</w:t>
      </w:r>
    </w:p>
    <w:p w14:paraId="133D61A3" w14:textId="77777777" w:rsidR="00C11E14" w:rsidRDefault="00C11E14" w:rsidP="00C11E14">
      <w:pPr>
        <w:pStyle w:val="TableFigureFooter"/>
      </w:pPr>
      <w:r>
        <w:t xml:space="preserve">CI = confidence interval; CrI = credible interval; ELA = elafibranor; </w:t>
      </w:r>
      <w:r w:rsidRPr="005D3EBC">
        <w:t>ITC</w:t>
      </w:r>
      <w:r>
        <w:t xml:space="preserve"> =</w:t>
      </w:r>
      <w:r w:rsidRPr="005D3EBC">
        <w:t xml:space="preserve"> indirect treatment comparison; </w:t>
      </w:r>
      <w:r>
        <w:t>n = number of participants with event; N = number of participants in arm;</w:t>
      </w:r>
      <w:r w:rsidRPr="005D3EBC">
        <w:t xml:space="preserve"> </w:t>
      </w:r>
      <w:r>
        <w:t xml:space="preserve">MAIC = matched adjusted indirect comparison; </w:t>
      </w:r>
      <w:r w:rsidRPr="005D3EBC">
        <w:t>NMA</w:t>
      </w:r>
      <w:r>
        <w:t xml:space="preserve"> =</w:t>
      </w:r>
      <w:r w:rsidRPr="005D3EBC">
        <w:t xml:space="preserve"> network meta-analysis; </w:t>
      </w:r>
      <w:r>
        <w:t xml:space="preserve">NR = not reported; </w:t>
      </w:r>
      <w:r w:rsidRPr="005D3EBC">
        <w:t>OCA</w:t>
      </w:r>
      <w:r>
        <w:t xml:space="preserve"> =</w:t>
      </w:r>
      <w:r w:rsidRPr="005D3EBC">
        <w:t xml:space="preserve"> obeticholic acid; PBO</w:t>
      </w:r>
      <w:r>
        <w:t xml:space="preserve"> =</w:t>
      </w:r>
      <w:r w:rsidRPr="005D3EBC">
        <w:t xml:space="preserve"> placebo; OR</w:t>
      </w:r>
      <w:r>
        <w:t xml:space="preserve"> =</w:t>
      </w:r>
      <w:r w:rsidRPr="005D3EBC">
        <w:t xml:space="preserve"> odds ratio.</w:t>
      </w:r>
    </w:p>
    <w:p w14:paraId="02C1F8B4" w14:textId="667E4F0C" w:rsidR="00AB63C4" w:rsidRDefault="00AB63C4" w:rsidP="00C11E14">
      <w:pPr>
        <w:pStyle w:val="3-BodyText"/>
      </w:pPr>
      <w:r>
        <w:t xml:space="preserve">The Bucher indirect comparison </w:t>
      </w:r>
      <w:r w:rsidRPr="00AB63C4">
        <w:t xml:space="preserve">demonstrated that </w:t>
      </w:r>
      <w:r>
        <w:t>seladelpar</w:t>
      </w:r>
      <w:r w:rsidRPr="00AB63C4">
        <w:t xml:space="preserve"> was associated with numerically lower odds of any </w:t>
      </w:r>
      <w:r w:rsidR="00E12809">
        <w:t>adverse event</w:t>
      </w:r>
      <w:r w:rsidRPr="00AB63C4">
        <w:t xml:space="preserve"> compared to OCA, </w:t>
      </w:r>
      <w:r w:rsidR="00E12809">
        <w:t>al</w:t>
      </w:r>
      <w:r w:rsidRPr="00AB63C4">
        <w:t>though this treatment effect was not statistically significant (OR</w:t>
      </w:r>
      <w:r w:rsidR="00887D28">
        <w:t xml:space="preserve"> =</w:t>
      </w:r>
      <w:r>
        <w:t xml:space="preserve"> </w:t>
      </w:r>
      <w:r w:rsidRPr="00AB63C4">
        <w:t>0.86</w:t>
      </w:r>
      <w:r>
        <w:t>;</w:t>
      </w:r>
      <w:r w:rsidRPr="00AB63C4">
        <w:t xml:space="preserve"> 95% CI: 0.2</w:t>
      </w:r>
      <w:r w:rsidR="00E7559F">
        <w:t>0</w:t>
      </w:r>
      <w:r w:rsidRPr="00AB63C4">
        <w:t>, 3.72; p=0.84</w:t>
      </w:r>
      <w:r w:rsidR="00FB0249">
        <w:t>3</w:t>
      </w:r>
      <w:r w:rsidRPr="00AB63C4">
        <w:t>).</w:t>
      </w:r>
      <w:r>
        <w:t xml:space="preserve"> </w:t>
      </w:r>
      <w:r w:rsidR="00E12809">
        <w:t>A similar result was observed in the Bayesian NMA.</w:t>
      </w:r>
    </w:p>
    <w:p w14:paraId="72AF67C4" w14:textId="72D8F794" w:rsidR="00E12809" w:rsidRDefault="00E12809" w:rsidP="00E12809">
      <w:pPr>
        <w:pStyle w:val="3-BodyText"/>
      </w:pPr>
      <w:r>
        <w:t xml:space="preserve">The Bucher indirect comparison </w:t>
      </w:r>
      <w:r w:rsidRPr="00AB63C4">
        <w:t xml:space="preserve">demonstrated that </w:t>
      </w:r>
      <w:r>
        <w:t>seladelpar</w:t>
      </w:r>
      <w:r w:rsidRPr="00AB63C4">
        <w:t xml:space="preserve"> was associated with numerically lower odds of any </w:t>
      </w:r>
      <w:r>
        <w:t>adverse event</w:t>
      </w:r>
      <w:r w:rsidRPr="00AB63C4">
        <w:t xml:space="preserve"> compared to </w:t>
      </w:r>
      <w:r>
        <w:t>elafibranor</w:t>
      </w:r>
      <w:r w:rsidRPr="00AB63C4">
        <w:t xml:space="preserve">, </w:t>
      </w:r>
      <w:r>
        <w:t>al</w:t>
      </w:r>
      <w:r w:rsidRPr="00AB63C4">
        <w:t xml:space="preserve">though this </w:t>
      </w:r>
      <w:r w:rsidRPr="00AB63C4">
        <w:lastRenderedPageBreak/>
        <w:t>treatment effect was not significant (OR</w:t>
      </w:r>
      <w:r w:rsidR="00536957">
        <w:t xml:space="preserve"> =</w:t>
      </w:r>
      <w:r>
        <w:t xml:space="preserve"> </w:t>
      </w:r>
      <w:r w:rsidRPr="00AB63C4">
        <w:t>0.</w:t>
      </w:r>
      <w:r>
        <w:t>4</w:t>
      </w:r>
      <w:r w:rsidR="00C164E2">
        <w:t>4</w:t>
      </w:r>
      <w:r>
        <w:t>;</w:t>
      </w:r>
      <w:r w:rsidRPr="00AB63C4">
        <w:t xml:space="preserve"> 95% CI: 0.</w:t>
      </w:r>
      <w:r>
        <w:t>09</w:t>
      </w:r>
      <w:r w:rsidRPr="00AB63C4">
        <w:t xml:space="preserve">, </w:t>
      </w:r>
      <w:r>
        <w:t>2.1</w:t>
      </w:r>
      <w:r w:rsidR="00C164E2">
        <w:t>7</w:t>
      </w:r>
      <w:r w:rsidRPr="00AB63C4">
        <w:t>; p=0.</w:t>
      </w:r>
      <w:r>
        <w:t>31</w:t>
      </w:r>
      <w:r w:rsidR="00C164E2">
        <w:t>3</w:t>
      </w:r>
      <w:r w:rsidRPr="00AB63C4">
        <w:t>).</w:t>
      </w:r>
      <w:r>
        <w:t xml:space="preserve"> A similar result was observed in the anchored MAIC.</w:t>
      </w:r>
    </w:p>
    <w:p w14:paraId="120DAAB6" w14:textId="116761D4" w:rsidR="00C11E14" w:rsidRDefault="00C11E14" w:rsidP="00C11E14">
      <w:pPr>
        <w:pStyle w:val="3-BodyText"/>
      </w:pPr>
      <w:r>
        <w:fldChar w:fldCharType="begin"/>
      </w:r>
      <w:r>
        <w:instrText xml:space="preserve"> REF _Ref196407439 \h </w:instrText>
      </w:r>
      <w:r>
        <w:fldChar w:fldCharType="separate"/>
      </w:r>
      <w:r w:rsidR="00333A5F">
        <w:t xml:space="preserve">Table </w:t>
      </w:r>
      <w:r w:rsidR="00333A5F">
        <w:rPr>
          <w:noProof/>
        </w:rPr>
        <w:t>11</w:t>
      </w:r>
      <w:r>
        <w:fldChar w:fldCharType="end"/>
      </w:r>
      <w:r>
        <w:t xml:space="preserve"> </w:t>
      </w:r>
      <w:r w:rsidRPr="00C11E14">
        <w:t>summarises the results of the indirect comparisons based on the proportion of participants experiencing pruritus adverse events.</w:t>
      </w:r>
    </w:p>
    <w:p w14:paraId="6E59EBE2" w14:textId="6330CA45" w:rsidR="00C11E14" w:rsidRDefault="00C11E14" w:rsidP="00C11E14">
      <w:pPr>
        <w:pStyle w:val="Caption"/>
      </w:pPr>
      <w:bookmarkStart w:id="57" w:name="_Ref196407439"/>
      <w:r>
        <w:t xml:space="preserve">Table </w:t>
      </w:r>
      <w:r w:rsidR="00A24BC2">
        <w:fldChar w:fldCharType="begin"/>
      </w:r>
      <w:r w:rsidR="00A24BC2">
        <w:instrText xml:space="preserve"> SEQ Table \* ARABIC </w:instrText>
      </w:r>
      <w:r w:rsidR="00A24BC2">
        <w:fldChar w:fldCharType="separate"/>
      </w:r>
      <w:r w:rsidR="00333A5F">
        <w:rPr>
          <w:noProof/>
        </w:rPr>
        <w:t>11</w:t>
      </w:r>
      <w:r w:rsidR="00A24BC2">
        <w:rPr>
          <w:noProof/>
        </w:rPr>
        <w:fldChar w:fldCharType="end"/>
      </w:r>
      <w:bookmarkEnd w:id="57"/>
      <w:r>
        <w:t xml:space="preserve">: </w:t>
      </w:r>
      <w:r w:rsidRPr="00C11E14">
        <w:t>Summary of results of the indirect comparison for pruritus adverse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results of the indirect comparison for pruritus adverse events"/>
      </w:tblPr>
      <w:tblGrid>
        <w:gridCol w:w="5381"/>
        <w:gridCol w:w="3636"/>
      </w:tblGrid>
      <w:tr w:rsidR="00C11E14" w:rsidRPr="0098262F" w14:paraId="51A7BDA5" w14:textId="77777777" w:rsidTr="00260755">
        <w:trPr>
          <w:trHeight w:val="346"/>
          <w:tblHeader/>
        </w:trPr>
        <w:tc>
          <w:tcPr>
            <w:tcW w:w="2984" w:type="pct"/>
            <w:vAlign w:val="center"/>
          </w:tcPr>
          <w:p w14:paraId="4EF443D0" w14:textId="77777777" w:rsidR="00C11E14" w:rsidRPr="00282ED7" w:rsidRDefault="00C11E14" w:rsidP="00260755">
            <w:pPr>
              <w:pStyle w:val="In-tableHeading"/>
              <w:jc w:val="center"/>
            </w:pPr>
            <w:r w:rsidRPr="00282ED7">
              <w:t>Comparison/Trial ID</w:t>
            </w:r>
          </w:p>
        </w:tc>
        <w:tc>
          <w:tcPr>
            <w:tcW w:w="2016" w:type="pct"/>
            <w:vAlign w:val="center"/>
          </w:tcPr>
          <w:p w14:paraId="0BDA52D0" w14:textId="77777777" w:rsidR="00C11E14" w:rsidRPr="00282ED7" w:rsidRDefault="00C11E14" w:rsidP="00260755">
            <w:pPr>
              <w:pStyle w:val="In-tableHeading"/>
              <w:jc w:val="center"/>
            </w:pPr>
            <w:r w:rsidRPr="00282ED7">
              <w:t>Treatment effect, OR (95% CI); p-value</w:t>
            </w:r>
          </w:p>
        </w:tc>
      </w:tr>
      <w:tr w:rsidR="00C11E14" w:rsidRPr="0098262F" w14:paraId="005E67A9" w14:textId="77777777" w:rsidTr="00260755">
        <w:trPr>
          <w:tblHeader/>
        </w:trPr>
        <w:tc>
          <w:tcPr>
            <w:tcW w:w="5000" w:type="pct"/>
            <w:gridSpan w:val="2"/>
            <w:vAlign w:val="center"/>
          </w:tcPr>
          <w:p w14:paraId="2B2332BE" w14:textId="77777777" w:rsidR="00C11E14" w:rsidRDefault="00C11E14" w:rsidP="001B1083">
            <w:pPr>
              <w:pStyle w:val="In-tableHeading"/>
              <w:rPr>
                <w:lang w:val="en-AU"/>
              </w:rPr>
            </w:pPr>
            <w:r>
              <w:rPr>
                <w:lang w:val="en-AU"/>
              </w:rPr>
              <w:t xml:space="preserve">Seladelpar vs OCA 5-10 mg </w:t>
            </w:r>
          </w:p>
        </w:tc>
      </w:tr>
      <w:tr w:rsidR="00C11E14" w:rsidRPr="0098262F" w14:paraId="743FB056" w14:textId="77777777" w:rsidTr="00260755">
        <w:trPr>
          <w:tblHeader/>
        </w:trPr>
        <w:tc>
          <w:tcPr>
            <w:tcW w:w="5000" w:type="pct"/>
            <w:gridSpan w:val="2"/>
            <w:vAlign w:val="center"/>
          </w:tcPr>
          <w:p w14:paraId="40BB808E" w14:textId="77777777" w:rsidR="00C11E14" w:rsidRDefault="00C11E14" w:rsidP="001B1083">
            <w:pPr>
              <w:pStyle w:val="In-tableHeading"/>
              <w:rPr>
                <w:lang w:val="en-AU"/>
              </w:rPr>
            </w:pPr>
            <w:r>
              <w:rPr>
                <w:lang w:val="en-AU"/>
              </w:rPr>
              <w:t>Bucher ITC</w:t>
            </w:r>
          </w:p>
        </w:tc>
      </w:tr>
      <w:tr w:rsidR="00C11E14" w:rsidRPr="0098262F" w14:paraId="3F842DF5" w14:textId="77777777" w:rsidTr="00260755">
        <w:tc>
          <w:tcPr>
            <w:tcW w:w="2984" w:type="pct"/>
            <w:vAlign w:val="center"/>
          </w:tcPr>
          <w:p w14:paraId="4A5CB8EB" w14:textId="77777777" w:rsidR="00C11E14" w:rsidRPr="0098262F" w:rsidRDefault="00C11E14" w:rsidP="001B1083">
            <w:pPr>
              <w:pStyle w:val="TableText0"/>
            </w:pPr>
            <w:r>
              <w:t>RESPONSE (vs PBO)</w:t>
            </w:r>
          </w:p>
        </w:tc>
        <w:tc>
          <w:tcPr>
            <w:tcW w:w="2016" w:type="pct"/>
            <w:vAlign w:val="center"/>
          </w:tcPr>
          <w:p w14:paraId="622EFBF1" w14:textId="77777777" w:rsidR="00C11E14" w:rsidRPr="0098262F" w:rsidRDefault="00C11E14" w:rsidP="001B1083">
            <w:pPr>
              <w:pStyle w:val="TableText0"/>
              <w:jc w:val="center"/>
            </w:pPr>
            <w:r w:rsidRPr="00216EEE">
              <w:t>0.27 [0.09, 0.78]</w:t>
            </w:r>
          </w:p>
        </w:tc>
      </w:tr>
      <w:tr w:rsidR="00C11E14" w:rsidRPr="0098262F" w14:paraId="7347C008" w14:textId="77777777" w:rsidTr="00260755">
        <w:tc>
          <w:tcPr>
            <w:tcW w:w="2984" w:type="pct"/>
            <w:vAlign w:val="center"/>
          </w:tcPr>
          <w:p w14:paraId="4CE3EEF0" w14:textId="77777777" w:rsidR="00C11E14" w:rsidRDefault="00C11E14" w:rsidP="001B1083">
            <w:pPr>
              <w:pStyle w:val="TableText0"/>
            </w:pPr>
            <w:r>
              <w:t>POISE (vs PBO)</w:t>
            </w:r>
          </w:p>
        </w:tc>
        <w:tc>
          <w:tcPr>
            <w:tcW w:w="2016" w:type="pct"/>
            <w:vAlign w:val="center"/>
          </w:tcPr>
          <w:p w14:paraId="5F524C58" w14:textId="77777777" w:rsidR="00C11E14" w:rsidRDefault="00C11E14" w:rsidP="001B1083">
            <w:pPr>
              <w:pStyle w:val="TableText0"/>
              <w:jc w:val="center"/>
            </w:pPr>
            <w:r w:rsidRPr="00216EEE">
              <w:t>2.02 [1.04, 3.94]</w:t>
            </w:r>
          </w:p>
        </w:tc>
      </w:tr>
      <w:tr w:rsidR="00C11E14" w:rsidRPr="0098262F" w14:paraId="700FD79C" w14:textId="77777777" w:rsidTr="00260755">
        <w:tc>
          <w:tcPr>
            <w:tcW w:w="2984" w:type="pct"/>
            <w:vAlign w:val="center"/>
          </w:tcPr>
          <w:p w14:paraId="229EDA9C" w14:textId="77777777" w:rsidR="00C11E14" w:rsidRPr="0098262F" w:rsidRDefault="00C11E14" w:rsidP="001B1083">
            <w:pPr>
              <w:pStyle w:val="TableText0"/>
            </w:pPr>
            <w:r w:rsidRPr="0098262F">
              <w:t>Indirect estimate of effect</w:t>
            </w:r>
            <w:r>
              <w:t xml:space="preserve"> vs OCA</w:t>
            </w:r>
            <w:r w:rsidRPr="0098262F">
              <w:t xml:space="preserve"> adjusted for the common reference</w:t>
            </w:r>
          </w:p>
        </w:tc>
        <w:tc>
          <w:tcPr>
            <w:tcW w:w="2016" w:type="pct"/>
            <w:vAlign w:val="center"/>
          </w:tcPr>
          <w:p w14:paraId="43355522" w14:textId="2DEC395E" w:rsidR="00C11E14" w:rsidRPr="00C164E2" w:rsidRDefault="00C11E14" w:rsidP="001B1083">
            <w:pPr>
              <w:pStyle w:val="TableText0"/>
              <w:jc w:val="center"/>
            </w:pPr>
            <w:r w:rsidRPr="00C164E2">
              <w:t>0.13 [0.0</w:t>
            </w:r>
            <w:r w:rsidR="00260755" w:rsidRPr="00C164E2">
              <w:t>4</w:t>
            </w:r>
            <w:r w:rsidRPr="00C164E2">
              <w:t>, 0.4</w:t>
            </w:r>
            <w:r w:rsidR="00260755" w:rsidRPr="00C164E2">
              <w:t>8</w:t>
            </w:r>
            <w:r w:rsidRPr="00C164E2">
              <w:t>]; 0.00</w:t>
            </w:r>
            <w:r w:rsidR="00260755" w:rsidRPr="00C164E2">
              <w:t>2</w:t>
            </w:r>
          </w:p>
        </w:tc>
      </w:tr>
      <w:tr w:rsidR="00C11E14" w:rsidRPr="0098262F" w14:paraId="71F5F2F8" w14:textId="77777777" w:rsidTr="00260755">
        <w:tc>
          <w:tcPr>
            <w:tcW w:w="5000" w:type="pct"/>
            <w:gridSpan w:val="2"/>
            <w:vAlign w:val="center"/>
          </w:tcPr>
          <w:p w14:paraId="2ACF68D8" w14:textId="77777777" w:rsidR="00C11E14" w:rsidRDefault="00C11E14" w:rsidP="001B1083">
            <w:pPr>
              <w:pStyle w:val="In-tableHeading"/>
            </w:pPr>
            <w:r>
              <w:t>Bayesian NMA</w:t>
            </w:r>
          </w:p>
        </w:tc>
      </w:tr>
      <w:tr w:rsidR="00C11E14" w:rsidRPr="0098262F" w14:paraId="6A46310C" w14:textId="77777777" w:rsidTr="00260755">
        <w:tc>
          <w:tcPr>
            <w:tcW w:w="2984" w:type="pct"/>
            <w:vAlign w:val="center"/>
          </w:tcPr>
          <w:p w14:paraId="0376FF65" w14:textId="77777777" w:rsidR="00C11E14" w:rsidRPr="0098262F" w:rsidRDefault="00C11E14" w:rsidP="001B1083">
            <w:pPr>
              <w:pStyle w:val="TableText0"/>
            </w:pPr>
            <w:r>
              <w:t>RESPONSE (vs PBO)</w:t>
            </w:r>
          </w:p>
        </w:tc>
        <w:tc>
          <w:tcPr>
            <w:tcW w:w="2016" w:type="pct"/>
            <w:vAlign w:val="center"/>
          </w:tcPr>
          <w:p w14:paraId="07307D5E" w14:textId="77777777" w:rsidR="00C11E14" w:rsidRPr="0098262F" w:rsidRDefault="00C11E14" w:rsidP="001B1083">
            <w:pPr>
              <w:pStyle w:val="TableText0"/>
              <w:jc w:val="center"/>
            </w:pPr>
            <w:r w:rsidRPr="00216EEE">
              <w:t>0.26 [95% Crl: 0.08, 0.77]</w:t>
            </w:r>
          </w:p>
        </w:tc>
      </w:tr>
      <w:tr w:rsidR="00C11E14" w:rsidRPr="0098262F" w14:paraId="35B6A478" w14:textId="77777777" w:rsidTr="00260755">
        <w:tc>
          <w:tcPr>
            <w:tcW w:w="2984" w:type="pct"/>
            <w:vAlign w:val="center"/>
          </w:tcPr>
          <w:p w14:paraId="21D49884" w14:textId="77777777" w:rsidR="00C11E14" w:rsidRDefault="00C11E14" w:rsidP="001B1083">
            <w:pPr>
              <w:pStyle w:val="TableText0"/>
            </w:pPr>
            <w:r>
              <w:t>POISE (vs PBO)</w:t>
            </w:r>
          </w:p>
        </w:tc>
        <w:tc>
          <w:tcPr>
            <w:tcW w:w="2016" w:type="pct"/>
            <w:vAlign w:val="center"/>
          </w:tcPr>
          <w:p w14:paraId="73EBBCCB" w14:textId="77777777" w:rsidR="00C11E14" w:rsidRPr="00C164E2" w:rsidRDefault="00C11E14" w:rsidP="001B1083">
            <w:pPr>
              <w:pStyle w:val="TableText0"/>
              <w:jc w:val="center"/>
            </w:pPr>
            <w:r w:rsidRPr="00C164E2">
              <w:t>NR</w:t>
            </w:r>
          </w:p>
        </w:tc>
      </w:tr>
      <w:tr w:rsidR="00C11E14" w:rsidRPr="0098262F" w14:paraId="3882A085" w14:textId="77777777" w:rsidTr="00260755">
        <w:tc>
          <w:tcPr>
            <w:tcW w:w="2984" w:type="pct"/>
            <w:vAlign w:val="center"/>
          </w:tcPr>
          <w:p w14:paraId="3AD058A6" w14:textId="77777777" w:rsidR="00C11E14" w:rsidRPr="0098262F" w:rsidRDefault="00C11E14" w:rsidP="001B1083">
            <w:pPr>
              <w:pStyle w:val="TableText0"/>
            </w:pPr>
            <w:r w:rsidRPr="0098262F">
              <w:t>Indirect estimate of effect</w:t>
            </w:r>
            <w:r>
              <w:t xml:space="preserve"> vs OCA</w:t>
            </w:r>
            <w:r w:rsidRPr="0098262F">
              <w:t xml:space="preserve"> adjusted for the common reference</w:t>
            </w:r>
          </w:p>
        </w:tc>
        <w:tc>
          <w:tcPr>
            <w:tcW w:w="2016" w:type="pct"/>
            <w:vAlign w:val="center"/>
          </w:tcPr>
          <w:p w14:paraId="65E5B5F7" w14:textId="77777777" w:rsidR="00C11E14" w:rsidRPr="00C164E2" w:rsidRDefault="00C11E14" w:rsidP="001B1083">
            <w:pPr>
              <w:pStyle w:val="TableText0"/>
              <w:jc w:val="center"/>
            </w:pPr>
            <w:r w:rsidRPr="00C164E2">
              <w:t>0.13 [95% Crl: 0.03, 0.45]</w:t>
            </w:r>
          </w:p>
        </w:tc>
      </w:tr>
      <w:tr w:rsidR="00C11E14" w:rsidRPr="0098262F" w14:paraId="7F8998A9" w14:textId="77777777" w:rsidTr="00260755">
        <w:tc>
          <w:tcPr>
            <w:tcW w:w="5000" w:type="pct"/>
            <w:gridSpan w:val="2"/>
            <w:tcBorders>
              <w:top w:val="double" w:sz="4" w:space="0" w:color="auto"/>
            </w:tcBorders>
            <w:vAlign w:val="center"/>
          </w:tcPr>
          <w:p w14:paraId="0654D55A" w14:textId="77777777" w:rsidR="00C11E14" w:rsidRPr="0098262F" w:rsidRDefault="00C11E14" w:rsidP="001B1083">
            <w:pPr>
              <w:pStyle w:val="In-tableHeading"/>
            </w:pPr>
            <w:r>
              <w:t xml:space="preserve">Seladelpar vs elafibranor </w:t>
            </w:r>
          </w:p>
        </w:tc>
      </w:tr>
      <w:tr w:rsidR="00C11E14" w:rsidRPr="0098262F" w14:paraId="485A61A3" w14:textId="77777777" w:rsidTr="00260755">
        <w:tc>
          <w:tcPr>
            <w:tcW w:w="5000" w:type="pct"/>
            <w:gridSpan w:val="2"/>
            <w:vAlign w:val="center"/>
          </w:tcPr>
          <w:p w14:paraId="5CB289B9" w14:textId="77777777" w:rsidR="00C11E14" w:rsidRPr="0098262F" w:rsidRDefault="00C11E14" w:rsidP="001B1083">
            <w:pPr>
              <w:pStyle w:val="In-tableHeading"/>
            </w:pPr>
            <w:r>
              <w:t>Bucher ITC</w:t>
            </w:r>
          </w:p>
        </w:tc>
      </w:tr>
      <w:tr w:rsidR="00C11E14" w:rsidRPr="0098262F" w14:paraId="1CC66DCB" w14:textId="77777777" w:rsidTr="00260755">
        <w:tc>
          <w:tcPr>
            <w:tcW w:w="2984" w:type="pct"/>
            <w:vAlign w:val="center"/>
          </w:tcPr>
          <w:p w14:paraId="4E60857A" w14:textId="77777777" w:rsidR="00C11E14" w:rsidRPr="0098262F" w:rsidRDefault="00C11E14" w:rsidP="001B1083">
            <w:pPr>
              <w:pStyle w:val="TableText0"/>
            </w:pPr>
            <w:r>
              <w:t>RESPONSE (vs PBO)</w:t>
            </w:r>
          </w:p>
        </w:tc>
        <w:tc>
          <w:tcPr>
            <w:tcW w:w="2016" w:type="pct"/>
            <w:vAlign w:val="center"/>
          </w:tcPr>
          <w:p w14:paraId="67ED7C4C" w14:textId="77777777" w:rsidR="00C11E14" w:rsidRPr="00216EEE" w:rsidRDefault="00C11E14" w:rsidP="001B1083">
            <w:pPr>
              <w:pStyle w:val="TableText0"/>
              <w:jc w:val="center"/>
            </w:pPr>
            <w:r w:rsidRPr="00216EEE">
              <w:t>0.27 [0.09, 0.78]</w:t>
            </w:r>
          </w:p>
        </w:tc>
      </w:tr>
      <w:tr w:rsidR="00C11E14" w:rsidRPr="0098262F" w14:paraId="7CCB752F" w14:textId="77777777" w:rsidTr="00260755">
        <w:tc>
          <w:tcPr>
            <w:tcW w:w="2984" w:type="pct"/>
            <w:vAlign w:val="center"/>
          </w:tcPr>
          <w:p w14:paraId="036EB3BB" w14:textId="77777777" w:rsidR="00C11E14" w:rsidRDefault="00C11E14" w:rsidP="001B1083">
            <w:pPr>
              <w:pStyle w:val="TableText0"/>
            </w:pPr>
            <w:r>
              <w:t>ELATIVE (vs PBO)</w:t>
            </w:r>
          </w:p>
        </w:tc>
        <w:tc>
          <w:tcPr>
            <w:tcW w:w="2016" w:type="pct"/>
            <w:vAlign w:val="center"/>
          </w:tcPr>
          <w:p w14:paraId="48F1BC23" w14:textId="77777777" w:rsidR="00C11E14" w:rsidRPr="00216EEE" w:rsidRDefault="00C11E14" w:rsidP="001B1083">
            <w:pPr>
              <w:pStyle w:val="TableText0"/>
              <w:jc w:val="center"/>
            </w:pPr>
            <w:r w:rsidRPr="00216EEE">
              <w:t>0.71 [0.33, 1.54]</w:t>
            </w:r>
          </w:p>
        </w:tc>
      </w:tr>
      <w:tr w:rsidR="00C11E14" w:rsidRPr="0098262F" w14:paraId="11ECAF64" w14:textId="77777777" w:rsidTr="00260755">
        <w:tc>
          <w:tcPr>
            <w:tcW w:w="2984" w:type="pct"/>
            <w:vAlign w:val="center"/>
          </w:tcPr>
          <w:p w14:paraId="245B908D" w14:textId="77777777" w:rsidR="00C11E14" w:rsidRPr="0098262F" w:rsidRDefault="00C11E14" w:rsidP="001B1083">
            <w:pPr>
              <w:pStyle w:val="TableText0"/>
            </w:pPr>
            <w:r w:rsidRPr="0098262F">
              <w:t>Indirect estimate of effect</w:t>
            </w:r>
            <w:r>
              <w:t xml:space="preserve"> vs ELA</w:t>
            </w:r>
            <w:r w:rsidRPr="0098262F">
              <w:t xml:space="preserve"> adjusted for the common reference</w:t>
            </w:r>
          </w:p>
        </w:tc>
        <w:tc>
          <w:tcPr>
            <w:tcW w:w="2016" w:type="pct"/>
            <w:vAlign w:val="center"/>
          </w:tcPr>
          <w:p w14:paraId="67C52A17" w14:textId="61A78822" w:rsidR="00C11E14" w:rsidRPr="0098262F" w:rsidRDefault="00C11E14" w:rsidP="001B1083">
            <w:pPr>
              <w:pStyle w:val="TableText0"/>
              <w:jc w:val="center"/>
            </w:pPr>
            <w:r w:rsidRPr="00216EEE">
              <w:t>0.38 [0.10, 1.43]</w:t>
            </w:r>
            <w:r>
              <w:t>;</w:t>
            </w:r>
            <w:r w:rsidRPr="00216EEE">
              <w:t xml:space="preserve"> 0.153</w:t>
            </w:r>
          </w:p>
        </w:tc>
      </w:tr>
      <w:tr w:rsidR="00C11E14" w:rsidRPr="0098262F" w14:paraId="72B259B1" w14:textId="77777777" w:rsidTr="00260755">
        <w:tc>
          <w:tcPr>
            <w:tcW w:w="5000" w:type="pct"/>
            <w:gridSpan w:val="2"/>
            <w:vAlign w:val="center"/>
          </w:tcPr>
          <w:p w14:paraId="40114C8B" w14:textId="77777777" w:rsidR="00C11E14" w:rsidRPr="0098262F" w:rsidRDefault="00C11E14" w:rsidP="001B1083">
            <w:pPr>
              <w:pStyle w:val="In-tableHeading"/>
            </w:pPr>
            <w:r>
              <w:t>Anchored MAIC</w:t>
            </w:r>
          </w:p>
        </w:tc>
      </w:tr>
      <w:tr w:rsidR="00C11E14" w:rsidRPr="0098262F" w14:paraId="4EBCF8B8" w14:textId="77777777" w:rsidTr="00260755">
        <w:tc>
          <w:tcPr>
            <w:tcW w:w="2984" w:type="pct"/>
            <w:vAlign w:val="center"/>
          </w:tcPr>
          <w:p w14:paraId="3F27DC67" w14:textId="77777777" w:rsidR="00C11E14" w:rsidRPr="0098262F" w:rsidRDefault="00C11E14" w:rsidP="001B1083">
            <w:pPr>
              <w:pStyle w:val="TableText0"/>
            </w:pPr>
            <w:r>
              <w:t>RESPONSE (vs PBO)</w:t>
            </w:r>
          </w:p>
        </w:tc>
        <w:tc>
          <w:tcPr>
            <w:tcW w:w="2016" w:type="pct"/>
            <w:vAlign w:val="center"/>
          </w:tcPr>
          <w:p w14:paraId="773F340E" w14:textId="77777777" w:rsidR="00C11E14" w:rsidRPr="0098262F" w:rsidRDefault="00C11E14" w:rsidP="001B1083">
            <w:pPr>
              <w:pStyle w:val="TableText0"/>
              <w:jc w:val="center"/>
            </w:pPr>
            <w:r w:rsidRPr="00216EEE">
              <w:t>0.25 [0.05, 1.25]</w:t>
            </w:r>
          </w:p>
        </w:tc>
      </w:tr>
      <w:tr w:rsidR="00C11E14" w:rsidRPr="0098262F" w14:paraId="551BB575" w14:textId="77777777" w:rsidTr="00260755">
        <w:tc>
          <w:tcPr>
            <w:tcW w:w="2984" w:type="pct"/>
            <w:vAlign w:val="center"/>
          </w:tcPr>
          <w:p w14:paraId="429E7998" w14:textId="77777777" w:rsidR="00C11E14" w:rsidRDefault="00C11E14" w:rsidP="001B1083">
            <w:pPr>
              <w:pStyle w:val="TableText0"/>
            </w:pPr>
            <w:r>
              <w:t>ELATIVE (vs PBO)</w:t>
            </w:r>
          </w:p>
        </w:tc>
        <w:tc>
          <w:tcPr>
            <w:tcW w:w="2016" w:type="pct"/>
            <w:vAlign w:val="center"/>
          </w:tcPr>
          <w:p w14:paraId="54AB9263" w14:textId="77777777" w:rsidR="00C11E14" w:rsidRPr="005F4DD8" w:rsidRDefault="00C11E14" w:rsidP="001B1083">
            <w:pPr>
              <w:pStyle w:val="TableText0"/>
              <w:jc w:val="center"/>
            </w:pPr>
            <w:r>
              <w:t>NR</w:t>
            </w:r>
          </w:p>
        </w:tc>
      </w:tr>
      <w:tr w:rsidR="00C11E14" w:rsidRPr="0098262F" w14:paraId="3660A0DD" w14:textId="77777777" w:rsidTr="00260755">
        <w:tc>
          <w:tcPr>
            <w:tcW w:w="2984" w:type="pct"/>
            <w:vAlign w:val="center"/>
          </w:tcPr>
          <w:p w14:paraId="230D2D03" w14:textId="77777777" w:rsidR="00C11E14" w:rsidRPr="0098262F" w:rsidRDefault="00C11E14" w:rsidP="001B1083">
            <w:pPr>
              <w:pStyle w:val="TableText0"/>
            </w:pPr>
            <w:r w:rsidRPr="0098262F">
              <w:t>Indirect estimate of effect</w:t>
            </w:r>
            <w:r>
              <w:t xml:space="preserve"> vs ELA</w:t>
            </w:r>
            <w:r w:rsidRPr="0098262F">
              <w:t xml:space="preserve"> adjusted for the common reference</w:t>
            </w:r>
          </w:p>
        </w:tc>
        <w:tc>
          <w:tcPr>
            <w:tcW w:w="2016" w:type="pct"/>
            <w:vAlign w:val="center"/>
          </w:tcPr>
          <w:p w14:paraId="4B8487F5" w14:textId="77777777" w:rsidR="00C11E14" w:rsidRPr="0098262F" w:rsidRDefault="00C11E14" w:rsidP="001B1083">
            <w:pPr>
              <w:pStyle w:val="TableText0"/>
              <w:jc w:val="center"/>
            </w:pPr>
            <w:r w:rsidRPr="00216EEE">
              <w:t>0.35 [0.06, 2.10]</w:t>
            </w:r>
          </w:p>
        </w:tc>
      </w:tr>
    </w:tbl>
    <w:p w14:paraId="3408167A" w14:textId="77777777" w:rsidR="00C11E14" w:rsidRDefault="00C11E14" w:rsidP="00C11E14">
      <w:pPr>
        <w:pStyle w:val="FooterTableFigure"/>
      </w:pPr>
      <w:r w:rsidRPr="0098262F">
        <w:t>Source:</w:t>
      </w:r>
      <w:r>
        <w:t xml:space="preserve"> </w:t>
      </w:r>
      <w:r w:rsidRPr="0098262F">
        <w:t>Table</w:t>
      </w:r>
      <w:r>
        <w:t>s 59 &amp; 64</w:t>
      </w:r>
      <w:r w:rsidRPr="0098262F">
        <w:t>, pp</w:t>
      </w:r>
      <w:r>
        <w:t>134 &amp; 138</w:t>
      </w:r>
      <w:r w:rsidRPr="0098262F">
        <w:t xml:space="preserve"> of the submission.</w:t>
      </w:r>
    </w:p>
    <w:p w14:paraId="59B41639" w14:textId="4B61EF17" w:rsidR="00361F6F" w:rsidRDefault="00C11E14" w:rsidP="00C11E14">
      <w:pPr>
        <w:pStyle w:val="FooterTableFigure"/>
      </w:pPr>
      <w:r>
        <w:t xml:space="preserve">CI = confidence interval; CrI = credible interval; ELA = elafibranor; </w:t>
      </w:r>
      <w:r w:rsidRPr="005D3EBC">
        <w:t>ITC</w:t>
      </w:r>
      <w:r>
        <w:t xml:space="preserve"> =</w:t>
      </w:r>
      <w:r w:rsidRPr="005D3EBC">
        <w:t xml:space="preserve"> indirect treatment comparison; </w:t>
      </w:r>
      <w:r>
        <w:t>n = number of participants with event; N = number of participants in arm;</w:t>
      </w:r>
      <w:r w:rsidRPr="005D3EBC">
        <w:t xml:space="preserve"> </w:t>
      </w:r>
      <w:r>
        <w:t xml:space="preserve">MAIC = matched adjusted indirect comparison; </w:t>
      </w:r>
      <w:r w:rsidRPr="005D3EBC">
        <w:t>NMA</w:t>
      </w:r>
      <w:r>
        <w:t xml:space="preserve"> =</w:t>
      </w:r>
      <w:r w:rsidRPr="005D3EBC">
        <w:t xml:space="preserve"> network meta-analysis; </w:t>
      </w:r>
      <w:r>
        <w:t xml:space="preserve">NR = not reported; </w:t>
      </w:r>
      <w:r w:rsidRPr="005D3EBC">
        <w:t>OCA</w:t>
      </w:r>
      <w:r>
        <w:t xml:space="preserve"> =</w:t>
      </w:r>
      <w:r w:rsidRPr="005D3EBC">
        <w:t xml:space="preserve"> obeticholic acid; PBO</w:t>
      </w:r>
      <w:r>
        <w:t xml:space="preserve"> =</w:t>
      </w:r>
      <w:r w:rsidRPr="005D3EBC">
        <w:t xml:space="preserve"> placebo; OR</w:t>
      </w:r>
      <w:r>
        <w:t xml:space="preserve"> =</w:t>
      </w:r>
      <w:r w:rsidRPr="005D3EBC">
        <w:t xml:space="preserve"> odds ratio.</w:t>
      </w:r>
    </w:p>
    <w:p w14:paraId="296BD52A" w14:textId="0EE7F6B5" w:rsidR="00C164E2" w:rsidRPr="00044DC9" w:rsidRDefault="00C164E2" w:rsidP="00C11E14">
      <w:pPr>
        <w:pStyle w:val="FooterTableFigure"/>
        <w:rPr>
          <w:rFonts w:eastAsia="Calibri"/>
        </w:rPr>
      </w:pPr>
      <w:r w:rsidRPr="00044DC9">
        <w:rPr>
          <w:rFonts w:eastAsia="Calibri"/>
        </w:rPr>
        <w:t xml:space="preserve">The statistical analysis of adverse events was not pre-planned, so </w:t>
      </w:r>
      <w:r w:rsidR="00253C08">
        <w:rPr>
          <w:rFonts w:eastAsia="Calibri"/>
        </w:rPr>
        <w:t xml:space="preserve">statistically significant </w:t>
      </w:r>
      <w:r w:rsidRPr="00044DC9">
        <w:rPr>
          <w:rFonts w:eastAsia="Calibri"/>
        </w:rPr>
        <w:t>results are not bolded</w:t>
      </w:r>
    </w:p>
    <w:p w14:paraId="03C76FB6" w14:textId="758E7F3E" w:rsidR="00E12809" w:rsidRDefault="00E12809" w:rsidP="00E12809">
      <w:pPr>
        <w:pStyle w:val="3-BodyText"/>
      </w:pPr>
      <w:bookmarkStart w:id="58" w:name="_Ref196751510"/>
      <w:r>
        <w:t>The Bucher indirect comparison demonstrated that seladelpar was associated with significantly lower odds of a pruritus-related adverse event compared to OCA (OR: 0.13; 95% CI: 0.0</w:t>
      </w:r>
      <w:r w:rsidR="00253C08">
        <w:t>4</w:t>
      </w:r>
      <w:r>
        <w:t>, 0.4</w:t>
      </w:r>
      <w:r w:rsidR="00A76B1C">
        <w:t>8</w:t>
      </w:r>
      <w:r>
        <w:t>; p=0.00</w:t>
      </w:r>
      <w:r w:rsidR="00A76B1C">
        <w:t>2</w:t>
      </w:r>
      <w:r>
        <w:t>). A similar result was observed in the Bayesian NMA.</w:t>
      </w:r>
      <w:bookmarkEnd w:id="58"/>
    </w:p>
    <w:p w14:paraId="6B187FE0" w14:textId="19A56E66" w:rsidR="00E12809" w:rsidRDefault="00E12809" w:rsidP="00E12809">
      <w:pPr>
        <w:pStyle w:val="3-BodyText"/>
      </w:pPr>
      <w:r>
        <w:t>The Buc</w:t>
      </w:r>
      <w:r w:rsidR="002352D6">
        <w:t>h</w:t>
      </w:r>
      <w:r>
        <w:t>er indirect comparison demonstrated that seladelpar was associated with numerically lower odds of a pruritus-related adverse event compared to elafibranor, although this treatment effect was not significant (OR</w:t>
      </w:r>
      <w:r w:rsidR="00C61B30">
        <w:t xml:space="preserve"> =</w:t>
      </w:r>
      <w:r>
        <w:t xml:space="preserve"> 0.38; 95% CI: 0.10, 1.43; p=0.153). A similar result was observed in the anchored MAIC.</w:t>
      </w:r>
    </w:p>
    <w:p w14:paraId="40875894" w14:textId="7324D683" w:rsidR="004A29D1" w:rsidRPr="00C9624D" w:rsidRDefault="004A29D1" w:rsidP="004A29D1">
      <w:pPr>
        <w:pStyle w:val="4-SubsectionHeading"/>
      </w:pPr>
      <w:bookmarkStart w:id="59" w:name="_Toc198561150"/>
      <w:r w:rsidRPr="00C9624D">
        <w:t>Benefits/harms</w:t>
      </w:r>
      <w:bookmarkEnd w:id="55"/>
      <w:bookmarkEnd w:id="59"/>
    </w:p>
    <w:p w14:paraId="1CB772FF" w14:textId="1D17177E" w:rsidR="00E723BA" w:rsidRPr="00B6185C" w:rsidRDefault="00EC00C9" w:rsidP="00A41983">
      <w:pPr>
        <w:pStyle w:val="3-BodyText"/>
        <w:rPr>
          <w:b/>
        </w:rPr>
      </w:pPr>
      <w:r w:rsidRPr="0098262F">
        <w:t xml:space="preserve">A summary of the comparative benefits and harms for </w:t>
      </w:r>
      <w:r w:rsidR="00E009F4">
        <w:t>seladelpar</w:t>
      </w:r>
      <w:r w:rsidRPr="0098262F">
        <w:t xml:space="preserve"> versus </w:t>
      </w:r>
      <w:r w:rsidR="00E009F4">
        <w:t xml:space="preserve">BSC </w:t>
      </w:r>
      <w:r w:rsidRPr="0098262F">
        <w:t xml:space="preserve">is </w:t>
      </w:r>
      <w:r w:rsidRPr="00A41983">
        <w:t>presented</w:t>
      </w:r>
      <w:r w:rsidRPr="0098262F">
        <w:t xml:space="preserve"> in</w:t>
      </w:r>
      <w:r w:rsidR="00452806">
        <w:t xml:space="preserve"> </w:t>
      </w:r>
      <w:r w:rsidR="00452806">
        <w:fldChar w:fldCharType="begin"/>
      </w:r>
      <w:r w:rsidR="00452806">
        <w:instrText xml:space="preserve"> REF _Ref197509206 \h </w:instrText>
      </w:r>
      <w:r w:rsidR="00452806">
        <w:fldChar w:fldCharType="separate"/>
      </w:r>
      <w:r w:rsidR="00333A5F">
        <w:t xml:space="preserve">Table </w:t>
      </w:r>
      <w:r w:rsidR="00333A5F">
        <w:rPr>
          <w:noProof/>
        </w:rPr>
        <w:t>12</w:t>
      </w:r>
      <w:r w:rsidR="00452806">
        <w:fldChar w:fldCharType="end"/>
      </w:r>
      <w:r w:rsidRPr="0098262F">
        <w:t>.</w:t>
      </w:r>
      <w:r w:rsidR="00E0507E">
        <w:t xml:space="preserve"> </w:t>
      </w:r>
    </w:p>
    <w:p w14:paraId="46BAD6A3" w14:textId="77777777" w:rsidR="00DF1342" w:rsidRDefault="00DF1342">
      <w:pPr>
        <w:jc w:val="left"/>
        <w:rPr>
          <w:rFonts w:ascii="Arial Narrow" w:hAnsi="Arial Narrow"/>
          <w:b/>
          <w:bCs/>
          <w:sz w:val="20"/>
          <w:szCs w:val="18"/>
        </w:rPr>
      </w:pPr>
      <w:bookmarkStart w:id="60" w:name="_Ref196407851"/>
      <w:bookmarkStart w:id="61" w:name="_Ref196407847"/>
      <w:r>
        <w:br w:type="page"/>
      </w:r>
    </w:p>
    <w:p w14:paraId="50F0477A" w14:textId="6416503B" w:rsidR="00B62715" w:rsidRPr="0098262F" w:rsidRDefault="001458AE" w:rsidP="00A67931">
      <w:pPr>
        <w:pStyle w:val="Caption"/>
        <w:rPr>
          <w:rStyle w:val="CommentReference"/>
          <w:b/>
          <w:szCs w:val="24"/>
        </w:rPr>
      </w:pPr>
      <w:bookmarkStart w:id="62" w:name="_Ref197509206"/>
      <w:bookmarkStart w:id="63" w:name="_Hlk196924841"/>
      <w:r>
        <w:lastRenderedPageBreak/>
        <w:t xml:space="preserve">Table </w:t>
      </w:r>
      <w:r w:rsidR="00A24BC2">
        <w:fldChar w:fldCharType="begin"/>
      </w:r>
      <w:r w:rsidR="00A24BC2">
        <w:instrText xml:space="preserve"> SEQ Table \* ARABIC </w:instrText>
      </w:r>
      <w:r w:rsidR="00A24BC2">
        <w:fldChar w:fldCharType="separate"/>
      </w:r>
      <w:r w:rsidR="00333A5F">
        <w:rPr>
          <w:noProof/>
        </w:rPr>
        <w:t>12</w:t>
      </w:r>
      <w:r w:rsidR="00A24BC2">
        <w:rPr>
          <w:noProof/>
        </w:rPr>
        <w:fldChar w:fldCharType="end"/>
      </w:r>
      <w:bookmarkEnd w:id="60"/>
      <w:bookmarkEnd w:id="62"/>
      <w:r>
        <w:t>:</w:t>
      </w:r>
      <w:r w:rsidRPr="00D2155B">
        <w:rPr>
          <w:rStyle w:val="CommentReference"/>
          <w:b/>
          <w:szCs w:val="24"/>
        </w:rPr>
        <w:t xml:space="preserve"> </w:t>
      </w:r>
      <w:r w:rsidR="00B62715" w:rsidRPr="0098262F">
        <w:rPr>
          <w:rStyle w:val="CommentReference"/>
          <w:b/>
          <w:szCs w:val="24"/>
        </w:rPr>
        <w:t xml:space="preserve">Summary of comparative benefits and harms for </w:t>
      </w:r>
      <w:r w:rsidR="00C11E14">
        <w:rPr>
          <w:rStyle w:val="CommentReference"/>
          <w:b/>
          <w:szCs w:val="24"/>
        </w:rPr>
        <w:t>seladelpar</w:t>
      </w:r>
      <w:r w:rsidR="00B62715" w:rsidRPr="0098262F">
        <w:rPr>
          <w:rStyle w:val="CommentReference"/>
          <w:b/>
          <w:szCs w:val="24"/>
        </w:rPr>
        <w:t xml:space="preserve"> and </w:t>
      </w:r>
      <w:r w:rsidR="00B15346">
        <w:rPr>
          <w:rStyle w:val="CommentReference"/>
          <w:b/>
          <w:szCs w:val="24"/>
        </w:rPr>
        <w:t>OCA</w:t>
      </w:r>
      <w:bookmarkEnd w:id="61"/>
      <w:r w:rsidR="00B62715" w:rsidRPr="0098262F">
        <w:rPr>
          <w:rStyle w:val="CommentReference"/>
          <w:b/>
          <w:szCs w:val="24"/>
        </w:rPr>
        <w:t xml:space="preserve"> </w:t>
      </w:r>
    </w:p>
    <w:tbl>
      <w:tblPr>
        <w:tblW w:w="5000" w:type="pct"/>
        <w:tblCellMar>
          <w:left w:w="28" w:type="dxa"/>
          <w:right w:w="28" w:type="dxa"/>
        </w:tblCellMar>
        <w:tblLook w:val="04A0" w:firstRow="1" w:lastRow="0" w:firstColumn="1" w:lastColumn="0" w:noHBand="0" w:noVBand="1"/>
        <w:tblCaption w:val="Table 12: Summary of comparative benefits and harms for seladelpar and OCA "/>
      </w:tblPr>
      <w:tblGrid>
        <w:gridCol w:w="1002"/>
        <w:gridCol w:w="551"/>
        <w:gridCol w:w="819"/>
        <w:gridCol w:w="981"/>
        <w:gridCol w:w="476"/>
        <w:gridCol w:w="364"/>
        <w:gridCol w:w="601"/>
        <w:gridCol w:w="408"/>
        <w:gridCol w:w="1059"/>
        <w:gridCol w:w="216"/>
        <w:gridCol w:w="857"/>
        <w:gridCol w:w="1683"/>
      </w:tblGrid>
      <w:tr w:rsidR="00FA0F8C" w:rsidRPr="004E5918" w14:paraId="5247ACC3" w14:textId="77777777" w:rsidTr="00FA0F8C">
        <w:trPr>
          <w:cantSplit/>
          <w:trHeight w:val="150"/>
        </w:trPr>
        <w:tc>
          <w:tcPr>
            <w:tcW w:w="556" w:type="pct"/>
            <w:vMerge w:val="restart"/>
            <w:tcBorders>
              <w:top w:val="single" w:sz="4" w:space="0" w:color="auto"/>
              <w:left w:val="single" w:sz="4" w:space="0" w:color="auto"/>
              <w:bottom w:val="single" w:sz="4" w:space="0" w:color="auto"/>
              <w:right w:val="single" w:sz="4" w:space="0" w:color="auto"/>
            </w:tcBorders>
            <w:vAlign w:val="center"/>
          </w:tcPr>
          <w:p w14:paraId="2CF2FE18" w14:textId="77777777" w:rsidR="00B62715" w:rsidRPr="004E5918" w:rsidRDefault="00B62715" w:rsidP="00DF1342">
            <w:pPr>
              <w:pStyle w:val="In-tableHeading"/>
              <w:keepNext w:val="0"/>
              <w:rPr>
                <w:lang w:val="en-AU"/>
              </w:rPr>
            </w:pPr>
            <w:r w:rsidRPr="004E5918">
              <w:rPr>
                <w:lang w:val="en-AU"/>
              </w:rPr>
              <w:t>Trial</w:t>
            </w:r>
          </w:p>
        </w:tc>
        <w:tc>
          <w:tcPr>
            <w:tcW w:w="760" w:type="pct"/>
            <w:gridSpan w:val="2"/>
            <w:vMerge w:val="restart"/>
            <w:tcBorders>
              <w:top w:val="single" w:sz="4" w:space="0" w:color="auto"/>
              <w:left w:val="single" w:sz="4" w:space="0" w:color="auto"/>
              <w:bottom w:val="single" w:sz="4" w:space="0" w:color="auto"/>
              <w:right w:val="single" w:sz="4" w:space="0" w:color="auto"/>
            </w:tcBorders>
            <w:vAlign w:val="center"/>
          </w:tcPr>
          <w:p w14:paraId="010AB258" w14:textId="3DB3A051" w:rsidR="00B62715" w:rsidRPr="004E5918" w:rsidRDefault="004478BF" w:rsidP="00DF1342">
            <w:pPr>
              <w:pStyle w:val="In-tableHeading"/>
              <w:keepNext w:val="0"/>
              <w:jc w:val="center"/>
              <w:rPr>
                <w:lang w:val="en-AU"/>
              </w:rPr>
            </w:pPr>
            <w:r w:rsidRPr="004E5918">
              <w:rPr>
                <w:lang w:val="en-AU"/>
              </w:rPr>
              <w:t>Seladelpar</w:t>
            </w:r>
            <w:r w:rsidR="00C13B3E">
              <w:rPr>
                <w:lang w:val="en-AU"/>
              </w:rPr>
              <w:t>, n/N</w:t>
            </w:r>
          </w:p>
        </w:tc>
        <w:tc>
          <w:tcPr>
            <w:tcW w:w="808" w:type="pct"/>
            <w:gridSpan w:val="2"/>
            <w:vMerge w:val="restart"/>
            <w:tcBorders>
              <w:top w:val="single" w:sz="4" w:space="0" w:color="auto"/>
              <w:left w:val="single" w:sz="4" w:space="0" w:color="auto"/>
              <w:bottom w:val="single" w:sz="4" w:space="0" w:color="auto"/>
              <w:right w:val="single" w:sz="4" w:space="0" w:color="auto"/>
            </w:tcBorders>
            <w:vAlign w:val="center"/>
          </w:tcPr>
          <w:p w14:paraId="1268825C" w14:textId="2162DACE" w:rsidR="00B62715" w:rsidRPr="004E5918" w:rsidRDefault="00C13B3E" w:rsidP="00DF1342">
            <w:pPr>
              <w:pStyle w:val="In-tableHeading"/>
              <w:keepNext w:val="0"/>
              <w:jc w:val="center"/>
              <w:rPr>
                <w:lang w:val="en-AU"/>
              </w:rPr>
            </w:pPr>
            <w:r>
              <w:rPr>
                <w:lang w:val="en-AU"/>
              </w:rPr>
              <w:t>Placebo, n/N</w:t>
            </w:r>
          </w:p>
        </w:tc>
        <w:tc>
          <w:tcPr>
            <w:tcW w:w="761" w:type="pct"/>
            <w:gridSpan w:val="3"/>
            <w:vMerge w:val="restart"/>
            <w:tcBorders>
              <w:top w:val="single" w:sz="4" w:space="0" w:color="auto"/>
              <w:left w:val="single" w:sz="4" w:space="0" w:color="auto"/>
              <w:bottom w:val="single" w:sz="4" w:space="0" w:color="auto"/>
              <w:right w:val="single" w:sz="4" w:space="0" w:color="auto"/>
            </w:tcBorders>
            <w:vAlign w:val="center"/>
          </w:tcPr>
          <w:p w14:paraId="4E5DB33A" w14:textId="77777777" w:rsidR="00B62715" w:rsidRPr="004E5918" w:rsidRDefault="00B62715" w:rsidP="00DF1342">
            <w:pPr>
              <w:pStyle w:val="In-tableHeading"/>
              <w:keepNext w:val="0"/>
              <w:jc w:val="center"/>
              <w:rPr>
                <w:lang w:val="en-AU"/>
              </w:rPr>
            </w:pPr>
            <w:r w:rsidRPr="004E5918">
              <w:rPr>
                <w:lang w:val="en-AU"/>
              </w:rPr>
              <w:t>RR</w:t>
            </w:r>
          </w:p>
          <w:p w14:paraId="7BB19910" w14:textId="77777777" w:rsidR="00B62715" w:rsidRPr="004E5918" w:rsidRDefault="00B62715" w:rsidP="00DF1342">
            <w:pPr>
              <w:pStyle w:val="In-tableHeading"/>
              <w:keepNext w:val="0"/>
              <w:jc w:val="center"/>
              <w:rPr>
                <w:lang w:val="en-AU"/>
              </w:rPr>
            </w:pPr>
            <w:r w:rsidRPr="004E5918">
              <w:rPr>
                <w:lang w:val="en-AU"/>
              </w:rPr>
              <w:t>(95% CI)</w:t>
            </w:r>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6749ED00" w14:textId="22A72164" w:rsidR="00B62715" w:rsidRPr="004E5918" w:rsidRDefault="00B62715" w:rsidP="00DF1342">
            <w:pPr>
              <w:pStyle w:val="In-tableHeading"/>
              <w:keepNext w:val="0"/>
              <w:jc w:val="center"/>
              <w:rPr>
                <w:lang w:val="en-AU"/>
              </w:rPr>
            </w:pPr>
            <w:r w:rsidRPr="004E5918">
              <w:rPr>
                <w:lang w:val="en-AU"/>
              </w:rPr>
              <w:t>Event rate/100 patients</w:t>
            </w:r>
            <w:r w:rsidR="00E0507E" w:rsidRPr="004E5918">
              <w:rPr>
                <w:vertAlign w:val="superscript"/>
                <w:lang w:val="en-AU"/>
              </w:rPr>
              <w:t>a</w:t>
            </w:r>
          </w:p>
        </w:tc>
        <w:tc>
          <w:tcPr>
            <w:tcW w:w="934" w:type="pct"/>
            <w:vMerge w:val="restart"/>
            <w:tcBorders>
              <w:top w:val="single" w:sz="4" w:space="0" w:color="auto"/>
              <w:left w:val="single" w:sz="4" w:space="0" w:color="auto"/>
              <w:bottom w:val="single" w:sz="4" w:space="0" w:color="auto"/>
              <w:right w:val="single" w:sz="4" w:space="0" w:color="auto"/>
            </w:tcBorders>
            <w:vAlign w:val="center"/>
          </w:tcPr>
          <w:p w14:paraId="1A161250" w14:textId="77777777" w:rsidR="00B62715" w:rsidRPr="004E5918" w:rsidRDefault="00B62715" w:rsidP="00DF1342">
            <w:pPr>
              <w:pStyle w:val="In-tableHeading"/>
              <w:keepNext w:val="0"/>
              <w:jc w:val="center"/>
              <w:rPr>
                <w:lang w:val="en-AU"/>
              </w:rPr>
            </w:pPr>
            <w:r w:rsidRPr="004E5918">
              <w:rPr>
                <w:lang w:val="en-AU"/>
              </w:rPr>
              <w:t>RD</w:t>
            </w:r>
          </w:p>
          <w:p w14:paraId="5BC93D76" w14:textId="77777777" w:rsidR="00B62715" w:rsidRPr="004E5918" w:rsidRDefault="00B62715" w:rsidP="00DF1342">
            <w:pPr>
              <w:pStyle w:val="In-tableHeading"/>
              <w:keepNext w:val="0"/>
              <w:jc w:val="center"/>
              <w:rPr>
                <w:lang w:val="en-AU"/>
              </w:rPr>
            </w:pPr>
            <w:r w:rsidRPr="004E5918">
              <w:rPr>
                <w:lang w:val="en-AU"/>
              </w:rPr>
              <w:t>(95% CI)</w:t>
            </w:r>
          </w:p>
        </w:tc>
      </w:tr>
      <w:tr w:rsidR="0000724A" w:rsidRPr="004E5918" w14:paraId="657FDAAD" w14:textId="77777777" w:rsidTr="00FA0F8C">
        <w:trPr>
          <w:cantSplit/>
          <w:trHeight w:val="315"/>
        </w:trPr>
        <w:tc>
          <w:tcPr>
            <w:tcW w:w="556" w:type="pct"/>
            <w:vMerge/>
            <w:tcBorders>
              <w:top w:val="single" w:sz="4" w:space="0" w:color="auto"/>
              <w:left w:val="single" w:sz="4" w:space="0" w:color="auto"/>
              <w:bottom w:val="single" w:sz="4" w:space="0" w:color="auto"/>
              <w:right w:val="single" w:sz="4" w:space="0" w:color="auto"/>
            </w:tcBorders>
            <w:vAlign w:val="center"/>
          </w:tcPr>
          <w:p w14:paraId="22BB86F7" w14:textId="77777777" w:rsidR="00B62715" w:rsidRPr="004E5918" w:rsidRDefault="00B62715" w:rsidP="00DF1342">
            <w:pPr>
              <w:pStyle w:val="In-tableHeading"/>
              <w:keepNext w:val="0"/>
              <w:jc w:val="center"/>
              <w:rPr>
                <w:lang w:val="en-AU"/>
              </w:rPr>
            </w:pPr>
          </w:p>
        </w:tc>
        <w:tc>
          <w:tcPr>
            <w:tcW w:w="760" w:type="pct"/>
            <w:gridSpan w:val="2"/>
            <w:vMerge/>
            <w:tcBorders>
              <w:top w:val="single" w:sz="4" w:space="0" w:color="auto"/>
              <w:left w:val="single" w:sz="4" w:space="0" w:color="auto"/>
              <w:bottom w:val="single" w:sz="4" w:space="0" w:color="auto"/>
              <w:right w:val="single" w:sz="4" w:space="0" w:color="auto"/>
            </w:tcBorders>
            <w:vAlign w:val="center"/>
          </w:tcPr>
          <w:p w14:paraId="0F356835" w14:textId="77777777" w:rsidR="00B62715" w:rsidRPr="004E5918" w:rsidRDefault="00B62715" w:rsidP="00DF1342">
            <w:pPr>
              <w:pStyle w:val="In-tableHeading"/>
              <w:keepNext w:val="0"/>
              <w:jc w:val="center"/>
              <w:rPr>
                <w:lang w:val="en-AU"/>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tcPr>
          <w:p w14:paraId="0EEB6EC2" w14:textId="77777777" w:rsidR="00B62715" w:rsidRPr="004E5918" w:rsidRDefault="00B62715" w:rsidP="00DF1342">
            <w:pPr>
              <w:pStyle w:val="In-tableHeading"/>
              <w:keepNext w:val="0"/>
              <w:jc w:val="center"/>
              <w:rPr>
                <w:lang w:val="en-AU"/>
              </w:rPr>
            </w:pPr>
          </w:p>
        </w:tc>
        <w:tc>
          <w:tcPr>
            <w:tcW w:w="761" w:type="pct"/>
            <w:gridSpan w:val="3"/>
            <w:vMerge/>
            <w:tcBorders>
              <w:top w:val="single" w:sz="4" w:space="0" w:color="auto"/>
              <w:left w:val="single" w:sz="4" w:space="0" w:color="auto"/>
              <w:bottom w:val="single" w:sz="4" w:space="0" w:color="auto"/>
              <w:right w:val="single" w:sz="4" w:space="0" w:color="auto"/>
            </w:tcBorders>
            <w:vAlign w:val="center"/>
          </w:tcPr>
          <w:p w14:paraId="7904B01C" w14:textId="77777777" w:rsidR="00B62715" w:rsidRPr="004E5918" w:rsidRDefault="00B62715" w:rsidP="00DF1342">
            <w:pPr>
              <w:pStyle w:val="In-tableHeading"/>
              <w:keepNext w:val="0"/>
              <w:jc w:val="center"/>
              <w:rPr>
                <w:lang w:val="en-AU"/>
              </w:rPr>
            </w:pPr>
          </w:p>
        </w:tc>
        <w:tc>
          <w:tcPr>
            <w:tcW w:w="587" w:type="pct"/>
            <w:tcBorders>
              <w:top w:val="single" w:sz="4" w:space="0" w:color="auto"/>
              <w:left w:val="single" w:sz="4" w:space="0" w:color="auto"/>
              <w:bottom w:val="single" w:sz="4" w:space="0" w:color="auto"/>
              <w:right w:val="single" w:sz="4" w:space="0" w:color="auto"/>
            </w:tcBorders>
            <w:vAlign w:val="center"/>
          </w:tcPr>
          <w:p w14:paraId="43E525BF" w14:textId="4D1DDC05" w:rsidR="00B62715" w:rsidRPr="004E5918" w:rsidRDefault="00B15346" w:rsidP="00DF1342">
            <w:pPr>
              <w:pStyle w:val="In-tableHeading"/>
              <w:keepNext w:val="0"/>
              <w:jc w:val="center"/>
              <w:rPr>
                <w:lang w:val="en-AU"/>
              </w:rPr>
            </w:pPr>
            <w:r w:rsidRPr="004E5918">
              <w:rPr>
                <w:lang w:val="en-AU"/>
              </w:rPr>
              <w:t>Seladelpar</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371E0754" w14:textId="4E53639F" w:rsidR="00B62715" w:rsidRPr="004E5918" w:rsidRDefault="00C13B3E" w:rsidP="00DF1342">
            <w:pPr>
              <w:pStyle w:val="In-tableHeading"/>
              <w:keepNext w:val="0"/>
              <w:jc w:val="center"/>
              <w:rPr>
                <w:lang w:val="en-AU"/>
              </w:rPr>
            </w:pPr>
            <w:r>
              <w:rPr>
                <w:lang w:val="en-AU"/>
              </w:rPr>
              <w:t>Placebo</w:t>
            </w:r>
          </w:p>
        </w:tc>
        <w:tc>
          <w:tcPr>
            <w:tcW w:w="934" w:type="pct"/>
            <w:vMerge/>
            <w:tcBorders>
              <w:top w:val="single" w:sz="4" w:space="0" w:color="auto"/>
              <w:left w:val="single" w:sz="4" w:space="0" w:color="auto"/>
              <w:bottom w:val="single" w:sz="4" w:space="0" w:color="auto"/>
              <w:right w:val="single" w:sz="4" w:space="0" w:color="auto"/>
            </w:tcBorders>
            <w:vAlign w:val="center"/>
          </w:tcPr>
          <w:p w14:paraId="160C009A" w14:textId="77777777" w:rsidR="00B62715" w:rsidRPr="004E5918" w:rsidRDefault="00B62715" w:rsidP="00DF1342">
            <w:pPr>
              <w:pStyle w:val="In-tableHeading"/>
              <w:keepNext w:val="0"/>
              <w:jc w:val="center"/>
              <w:rPr>
                <w:lang w:val="en-AU"/>
              </w:rPr>
            </w:pPr>
          </w:p>
        </w:tc>
      </w:tr>
      <w:tr w:rsidR="005D044D" w:rsidRPr="004E5918" w14:paraId="77A72A91" w14:textId="77777777" w:rsidTr="00260755">
        <w:trPr>
          <w:cantSplit/>
        </w:trPr>
        <w:tc>
          <w:tcPr>
            <w:tcW w:w="5000" w:type="pct"/>
            <w:gridSpan w:val="12"/>
            <w:tcBorders>
              <w:top w:val="single" w:sz="4" w:space="0" w:color="auto"/>
              <w:left w:val="single" w:sz="4" w:space="0" w:color="auto"/>
              <w:bottom w:val="double" w:sz="4" w:space="0" w:color="auto"/>
              <w:right w:val="single" w:sz="4" w:space="0" w:color="auto"/>
            </w:tcBorders>
            <w:vAlign w:val="center"/>
          </w:tcPr>
          <w:p w14:paraId="74F50AAB" w14:textId="77777777" w:rsidR="00B62715" w:rsidRPr="004E5918" w:rsidRDefault="00B62715" w:rsidP="00DF1342">
            <w:pPr>
              <w:pStyle w:val="In-tableHeading"/>
              <w:keepNext w:val="0"/>
              <w:rPr>
                <w:lang w:val="en-AU"/>
              </w:rPr>
            </w:pPr>
            <w:r w:rsidRPr="004E5918">
              <w:rPr>
                <w:lang w:val="en-AU"/>
              </w:rPr>
              <w:t>Benefits</w:t>
            </w:r>
          </w:p>
        </w:tc>
      </w:tr>
      <w:tr w:rsidR="005D044D" w:rsidRPr="004E5918" w14:paraId="51E08784" w14:textId="77777777" w:rsidTr="00260755">
        <w:trPr>
          <w:cantSplit/>
        </w:trPr>
        <w:tc>
          <w:tcPr>
            <w:tcW w:w="5000" w:type="pct"/>
            <w:gridSpan w:val="12"/>
            <w:tcBorders>
              <w:top w:val="double" w:sz="4" w:space="0" w:color="auto"/>
              <w:left w:val="single" w:sz="4" w:space="0" w:color="auto"/>
              <w:bottom w:val="single" w:sz="4" w:space="0" w:color="auto"/>
              <w:right w:val="single" w:sz="4" w:space="0" w:color="auto"/>
            </w:tcBorders>
            <w:vAlign w:val="center"/>
          </w:tcPr>
          <w:p w14:paraId="631904F8" w14:textId="7FC1F1AE" w:rsidR="00B62715" w:rsidRPr="004E5918" w:rsidRDefault="00B15346" w:rsidP="00DF1342">
            <w:pPr>
              <w:pStyle w:val="In-tableHeading"/>
              <w:keepNext w:val="0"/>
              <w:rPr>
                <w:lang w:val="en-AU"/>
              </w:rPr>
            </w:pPr>
            <w:r w:rsidRPr="004E5918">
              <w:rPr>
                <w:lang w:val="en-AU"/>
              </w:rPr>
              <w:t>Biochemical response</w:t>
            </w:r>
          </w:p>
        </w:tc>
      </w:tr>
      <w:tr w:rsidR="0098581E" w:rsidRPr="004E5918" w14:paraId="106D3241" w14:textId="77777777" w:rsidTr="00FA0F8C">
        <w:trPr>
          <w:cantSplit/>
        </w:trPr>
        <w:tc>
          <w:tcPr>
            <w:tcW w:w="556" w:type="pct"/>
            <w:tcBorders>
              <w:top w:val="single" w:sz="4" w:space="0" w:color="auto"/>
              <w:left w:val="single" w:sz="4" w:space="0" w:color="auto"/>
              <w:bottom w:val="single" w:sz="4" w:space="0" w:color="auto"/>
              <w:right w:val="single" w:sz="4" w:space="0" w:color="auto"/>
            </w:tcBorders>
            <w:vAlign w:val="center"/>
          </w:tcPr>
          <w:p w14:paraId="29C07BB0" w14:textId="63C07CE3" w:rsidR="00C13B3E" w:rsidRPr="004E5918" w:rsidRDefault="00C13B3E" w:rsidP="00DF1342">
            <w:pPr>
              <w:pStyle w:val="TableText0"/>
              <w:keepNext w:val="0"/>
            </w:pPr>
            <w:r w:rsidRPr="004E5918">
              <w:t>RESPONSE</w:t>
            </w:r>
          </w:p>
        </w:tc>
        <w:tc>
          <w:tcPr>
            <w:tcW w:w="760" w:type="pct"/>
            <w:gridSpan w:val="2"/>
            <w:tcBorders>
              <w:top w:val="single" w:sz="4" w:space="0" w:color="auto"/>
              <w:bottom w:val="single" w:sz="4" w:space="0" w:color="auto"/>
              <w:right w:val="single" w:sz="4" w:space="0" w:color="auto"/>
            </w:tcBorders>
            <w:vAlign w:val="center"/>
          </w:tcPr>
          <w:p w14:paraId="5855D106" w14:textId="5B9BDF3D" w:rsidR="00C13B3E" w:rsidRPr="004E5918" w:rsidRDefault="00C13B3E" w:rsidP="00DF1342">
            <w:pPr>
              <w:pStyle w:val="TableText0"/>
              <w:keepNext w:val="0"/>
              <w:jc w:val="center"/>
            </w:pPr>
            <w:r w:rsidRPr="004E5918">
              <w:t xml:space="preserve">79/128 </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206B1CC8" w14:textId="5DC4034E" w:rsidR="00C13B3E" w:rsidRPr="004E5918" w:rsidRDefault="00C13B3E" w:rsidP="00DF1342">
            <w:pPr>
              <w:pStyle w:val="TableText0"/>
              <w:keepNext w:val="0"/>
              <w:jc w:val="center"/>
            </w:pPr>
            <w:r w:rsidRPr="004E5918">
              <w:t xml:space="preserve">13/65 </w:t>
            </w:r>
          </w:p>
        </w:tc>
        <w:tc>
          <w:tcPr>
            <w:tcW w:w="761" w:type="pct"/>
            <w:gridSpan w:val="3"/>
            <w:tcBorders>
              <w:top w:val="single" w:sz="4" w:space="0" w:color="auto"/>
              <w:left w:val="nil"/>
              <w:bottom w:val="single" w:sz="4" w:space="0" w:color="auto"/>
              <w:right w:val="nil"/>
            </w:tcBorders>
          </w:tcPr>
          <w:p w14:paraId="678C9C37" w14:textId="77777777" w:rsidR="00C13B3E" w:rsidRPr="004E5918" w:rsidRDefault="00C13B3E" w:rsidP="00DF1342">
            <w:pPr>
              <w:pStyle w:val="TableText0"/>
              <w:keepNext w:val="0"/>
              <w:jc w:val="center"/>
            </w:pPr>
            <w:r w:rsidRPr="004E5918">
              <w:t xml:space="preserve">3.09 </w:t>
            </w:r>
          </w:p>
          <w:p w14:paraId="3E54BA31" w14:textId="4BB13009" w:rsidR="00C13B3E" w:rsidRPr="004E5918" w:rsidRDefault="00C13B3E" w:rsidP="00DF1342">
            <w:pPr>
              <w:pStyle w:val="TableText0"/>
              <w:keepNext w:val="0"/>
              <w:jc w:val="center"/>
            </w:pPr>
            <w:r w:rsidRPr="004E5918">
              <w:t>(1.86, 5.11)</w:t>
            </w:r>
          </w:p>
        </w:tc>
        <w:tc>
          <w:tcPr>
            <w:tcW w:w="587" w:type="pct"/>
            <w:tcBorders>
              <w:top w:val="single" w:sz="4" w:space="0" w:color="auto"/>
              <w:left w:val="single" w:sz="4" w:space="0" w:color="auto"/>
              <w:bottom w:val="single" w:sz="4" w:space="0" w:color="auto"/>
              <w:right w:val="single" w:sz="4" w:space="0" w:color="auto"/>
            </w:tcBorders>
            <w:vAlign w:val="center"/>
          </w:tcPr>
          <w:p w14:paraId="5377BFE4" w14:textId="3E652501" w:rsidR="00C13B3E" w:rsidRPr="004E5918" w:rsidRDefault="00C13B3E" w:rsidP="00DF1342">
            <w:pPr>
              <w:pStyle w:val="TableText0"/>
              <w:keepNext w:val="0"/>
              <w:jc w:val="center"/>
            </w:pPr>
            <w:r w:rsidRPr="004E5918">
              <w:t>62</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6BE88E1B" w14:textId="6A66BE08" w:rsidR="00C13B3E" w:rsidRPr="004E5918" w:rsidRDefault="00C13B3E" w:rsidP="00DF1342">
            <w:pPr>
              <w:pStyle w:val="TableText0"/>
              <w:keepNext w:val="0"/>
              <w:jc w:val="center"/>
            </w:pPr>
            <w:r w:rsidRPr="004E5918">
              <w:t>20</w:t>
            </w:r>
          </w:p>
        </w:tc>
        <w:tc>
          <w:tcPr>
            <w:tcW w:w="934" w:type="pct"/>
            <w:tcBorders>
              <w:top w:val="single" w:sz="4" w:space="0" w:color="auto"/>
              <w:bottom w:val="single" w:sz="4" w:space="0" w:color="auto"/>
              <w:right w:val="single" w:sz="4" w:space="0" w:color="auto"/>
            </w:tcBorders>
          </w:tcPr>
          <w:p w14:paraId="66985F15" w14:textId="77777777" w:rsidR="00C13B3E" w:rsidRPr="004E5918" w:rsidRDefault="00C13B3E" w:rsidP="00DF1342">
            <w:pPr>
              <w:pStyle w:val="TableText0"/>
              <w:keepNext w:val="0"/>
              <w:jc w:val="center"/>
            </w:pPr>
            <w:r w:rsidRPr="004E5918">
              <w:t xml:space="preserve">0.42 </w:t>
            </w:r>
          </w:p>
          <w:p w14:paraId="4FE7F34A" w14:textId="4222A6FE" w:rsidR="00C13B3E" w:rsidRPr="004E5918" w:rsidRDefault="00C13B3E" w:rsidP="00DF1342">
            <w:pPr>
              <w:pStyle w:val="TableText0"/>
              <w:keepNext w:val="0"/>
              <w:jc w:val="center"/>
            </w:pPr>
            <w:r w:rsidRPr="004E5918">
              <w:t>(0.29, 0.55)</w:t>
            </w:r>
          </w:p>
        </w:tc>
      </w:tr>
      <w:tr w:rsidR="0097644F" w:rsidRPr="004E5918" w14:paraId="62AC6F25" w14:textId="77777777" w:rsidTr="00260755">
        <w:trPr>
          <w:cantSplit/>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3C4CA03F" w14:textId="4E61A32F" w:rsidR="0097644F" w:rsidRPr="004E5918" w:rsidRDefault="0097644F" w:rsidP="00DF1342">
            <w:pPr>
              <w:pStyle w:val="In-tableHeading"/>
              <w:keepNext w:val="0"/>
            </w:pPr>
            <w:r w:rsidRPr="004E5918">
              <w:t xml:space="preserve">ALP </w:t>
            </w:r>
            <w:r w:rsidR="003F0676" w:rsidRPr="004E5918">
              <w:t>n</w:t>
            </w:r>
            <w:r w:rsidRPr="004E5918">
              <w:t>ormalisation</w:t>
            </w:r>
          </w:p>
        </w:tc>
      </w:tr>
      <w:tr w:rsidR="0000724A" w:rsidRPr="004E5918" w14:paraId="5E5E2517" w14:textId="77777777" w:rsidTr="00FA0F8C">
        <w:trPr>
          <w:cantSplit/>
        </w:trPr>
        <w:tc>
          <w:tcPr>
            <w:tcW w:w="556" w:type="pct"/>
            <w:tcBorders>
              <w:left w:val="single" w:sz="4" w:space="0" w:color="auto"/>
              <w:bottom w:val="single" w:sz="4" w:space="0" w:color="auto"/>
              <w:right w:val="single" w:sz="4" w:space="0" w:color="auto"/>
            </w:tcBorders>
            <w:vAlign w:val="center"/>
          </w:tcPr>
          <w:p w14:paraId="529789B7" w14:textId="6AD4B936" w:rsidR="00C13B3E" w:rsidRPr="004E5918" w:rsidRDefault="00C13B3E" w:rsidP="00DF1342">
            <w:pPr>
              <w:pStyle w:val="TableText0"/>
              <w:keepNext w:val="0"/>
            </w:pPr>
            <w:r w:rsidRPr="004E5918">
              <w:t>RESPONSE</w:t>
            </w:r>
          </w:p>
        </w:tc>
        <w:tc>
          <w:tcPr>
            <w:tcW w:w="760" w:type="pct"/>
            <w:gridSpan w:val="2"/>
            <w:tcBorders>
              <w:left w:val="single" w:sz="4" w:space="0" w:color="auto"/>
              <w:bottom w:val="single" w:sz="4" w:space="0" w:color="auto"/>
              <w:right w:val="single" w:sz="4" w:space="0" w:color="auto"/>
            </w:tcBorders>
            <w:vAlign w:val="center"/>
          </w:tcPr>
          <w:p w14:paraId="1A8B0734" w14:textId="294D19E4" w:rsidR="00C13B3E" w:rsidRPr="004E5918" w:rsidRDefault="00C13B3E" w:rsidP="00DF1342">
            <w:pPr>
              <w:pStyle w:val="TableText0"/>
              <w:keepNext w:val="0"/>
              <w:jc w:val="center"/>
            </w:pPr>
            <w:r w:rsidRPr="004E5918">
              <w:t>32/128</w:t>
            </w:r>
          </w:p>
        </w:tc>
        <w:tc>
          <w:tcPr>
            <w:tcW w:w="808" w:type="pct"/>
            <w:gridSpan w:val="2"/>
            <w:tcBorders>
              <w:left w:val="single" w:sz="4" w:space="0" w:color="auto"/>
              <w:bottom w:val="single" w:sz="4" w:space="0" w:color="auto"/>
              <w:right w:val="single" w:sz="4" w:space="0" w:color="auto"/>
            </w:tcBorders>
            <w:vAlign w:val="center"/>
          </w:tcPr>
          <w:p w14:paraId="31912171" w14:textId="0A3ABE21" w:rsidR="00C13B3E" w:rsidRPr="004E5918" w:rsidRDefault="00C13B3E" w:rsidP="00DF1342">
            <w:pPr>
              <w:pStyle w:val="TableText0"/>
              <w:keepNext w:val="0"/>
              <w:jc w:val="center"/>
            </w:pPr>
            <w:r w:rsidRPr="004E5918">
              <w:t>0</w:t>
            </w:r>
          </w:p>
        </w:tc>
        <w:tc>
          <w:tcPr>
            <w:tcW w:w="761" w:type="pct"/>
            <w:gridSpan w:val="3"/>
            <w:tcBorders>
              <w:top w:val="single" w:sz="4" w:space="0" w:color="auto"/>
              <w:bottom w:val="single" w:sz="4" w:space="0" w:color="auto"/>
            </w:tcBorders>
            <w:vAlign w:val="center"/>
          </w:tcPr>
          <w:p w14:paraId="3979F61E" w14:textId="77777777" w:rsidR="00C13B3E" w:rsidRPr="004E5918" w:rsidRDefault="00C13B3E" w:rsidP="00DF1342">
            <w:pPr>
              <w:pStyle w:val="TableText0"/>
              <w:keepNext w:val="0"/>
              <w:jc w:val="center"/>
            </w:pPr>
            <w:r w:rsidRPr="004E5918">
              <w:t xml:space="preserve">33.26 </w:t>
            </w:r>
          </w:p>
          <w:p w14:paraId="27BCB40F" w14:textId="354B8BD9" w:rsidR="00C13B3E" w:rsidRPr="004E5918" w:rsidRDefault="00C13B3E" w:rsidP="00DF1342">
            <w:pPr>
              <w:pStyle w:val="TableText0"/>
              <w:keepNext w:val="0"/>
              <w:jc w:val="center"/>
            </w:pPr>
            <w:r w:rsidRPr="004E5918">
              <w:t>(2.07, 534.58)</w:t>
            </w:r>
          </w:p>
        </w:tc>
        <w:tc>
          <w:tcPr>
            <w:tcW w:w="587" w:type="pct"/>
            <w:tcBorders>
              <w:top w:val="single" w:sz="4" w:space="0" w:color="auto"/>
              <w:left w:val="single" w:sz="4" w:space="0" w:color="auto"/>
              <w:bottom w:val="single" w:sz="4" w:space="0" w:color="auto"/>
              <w:right w:val="single" w:sz="4" w:space="0" w:color="auto"/>
            </w:tcBorders>
            <w:vAlign w:val="center"/>
          </w:tcPr>
          <w:p w14:paraId="0D546C48" w14:textId="18E899A9" w:rsidR="00C13B3E" w:rsidRPr="004E5918" w:rsidRDefault="00C13B3E" w:rsidP="00DF1342">
            <w:pPr>
              <w:pStyle w:val="TableText0"/>
              <w:keepNext w:val="0"/>
              <w:jc w:val="center"/>
            </w:pPr>
            <w:r w:rsidRPr="004E5918">
              <w:t>25</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5170A8CB" w14:textId="3E0F47A1" w:rsidR="00C13B3E" w:rsidRPr="004E5918" w:rsidRDefault="00C13B3E" w:rsidP="00DF1342">
            <w:pPr>
              <w:pStyle w:val="TableText0"/>
              <w:keepNext w:val="0"/>
              <w:jc w:val="center"/>
            </w:pPr>
            <w:r w:rsidRPr="004E5918">
              <w:t>0</w:t>
            </w:r>
          </w:p>
        </w:tc>
        <w:tc>
          <w:tcPr>
            <w:tcW w:w="934" w:type="pct"/>
            <w:tcBorders>
              <w:left w:val="single" w:sz="4" w:space="0" w:color="auto"/>
              <w:bottom w:val="single" w:sz="4" w:space="0" w:color="auto"/>
              <w:right w:val="single" w:sz="4" w:space="0" w:color="auto"/>
            </w:tcBorders>
            <w:vAlign w:val="center"/>
          </w:tcPr>
          <w:p w14:paraId="6FDE34F0" w14:textId="7A1A66F9" w:rsidR="00C13B3E" w:rsidRPr="004E5918" w:rsidRDefault="00C13B3E" w:rsidP="00DF1342">
            <w:pPr>
              <w:pStyle w:val="TableText0"/>
              <w:keepNext w:val="0"/>
              <w:jc w:val="center"/>
            </w:pPr>
            <w:r w:rsidRPr="004E5918">
              <w:t>0.25</w:t>
            </w:r>
          </w:p>
          <w:p w14:paraId="6A08602A" w14:textId="4D19BFC1" w:rsidR="00C13B3E" w:rsidRPr="004E5918" w:rsidRDefault="00C13B3E" w:rsidP="00DF1342">
            <w:pPr>
              <w:pStyle w:val="TableText0"/>
              <w:keepNext w:val="0"/>
              <w:jc w:val="center"/>
            </w:pPr>
            <w:r w:rsidRPr="004E5918">
              <w:t>(0.17, 0.33)</w:t>
            </w:r>
          </w:p>
        </w:tc>
      </w:tr>
      <w:tr w:rsidR="003F0676" w:rsidRPr="004E5918" w14:paraId="7FD9F360" w14:textId="77777777" w:rsidTr="00260755">
        <w:trPr>
          <w:cantSplit/>
        </w:trPr>
        <w:tc>
          <w:tcPr>
            <w:tcW w:w="5000" w:type="pct"/>
            <w:gridSpan w:val="12"/>
            <w:tcBorders>
              <w:top w:val="double" w:sz="4" w:space="0" w:color="auto"/>
              <w:left w:val="single" w:sz="4" w:space="0" w:color="auto"/>
              <w:bottom w:val="single" w:sz="4" w:space="0" w:color="auto"/>
              <w:right w:val="single" w:sz="4" w:space="0" w:color="auto"/>
            </w:tcBorders>
            <w:vAlign w:val="center"/>
          </w:tcPr>
          <w:p w14:paraId="50EF1A8A" w14:textId="12BE2F66" w:rsidR="003F0676" w:rsidRPr="004E5918" w:rsidRDefault="003F0676" w:rsidP="00DF1342">
            <w:pPr>
              <w:pStyle w:val="In-tableHeading"/>
              <w:keepNext w:val="0"/>
              <w:rPr>
                <w:lang w:val="en-AU"/>
              </w:rPr>
            </w:pPr>
            <w:r w:rsidRPr="004E5918">
              <w:rPr>
                <w:lang w:val="en-AU"/>
              </w:rPr>
              <w:t>Change from baseline in PBC-40 itch</w:t>
            </w:r>
          </w:p>
        </w:tc>
      </w:tr>
      <w:tr w:rsidR="00E009F4" w:rsidRPr="004E5918" w14:paraId="65D6941F" w14:textId="77777777" w:rsidTr="00FA0F8C">
        <w:trPr>
          <w:cantSplit/>
          <w:trHeight w:val="225"/>
        </w:trPr>
        <w:tc>
          <w:tcPr>
            <w:tcW w:w="556" w:type="pct"/>
            <w:vMerge w:val="restart"/>
            <w:tcBorders>
              <w:top w:val="single" w:sz="4" w:space="0" w:color="auto"/>
              <w:left w:val="single" w:sz="4" w:space="0" w:color="auto"/>
              <w:right w:val="single" w:sz="4" w:space="0" w:color="auto"/>
            </w:tcBorders>
            <w:vAlign w:val="center"/>
          </w:tcPr>
          <w:p w14:paraId="675AA282" w14:textId="77777777" w:rsidR="00E009F4" w:rsidRPr="004E5918" w:rsidRDefault="00E009F4" w:rsidP="00DF1342">
            <w:pPr>
              <w:pStyle w:val="In-tableHeading"/>
              <w:keepNext w:val="0"/>
              <w:jc w:val="center"/>
              <w:rPr>
                <w:lang w:val="en-AU"/>
              </w:rPr>
            </w:pPr>
          </w:p>
        </w:tc>
        <w:tc>
          <w:tcPr>
            <w:tcW w:w="1770" w:type="pct"/>
            <w:gridSpan w:val="5"/>
            <w:tcBorders>
              <w:top w:val="single" w:sz="4" w:space="0" w:color="auto"/>
              <w:left w:val="single" w:sz="4" w:space="0" w:color="auto"/>
              <w:bottom w:val="single" w:sz="4" w:space="0" w:color="auto"/>
              <w:right w:val="single" w:sz="4" w:space="0" w:color="auto"/>
            </w:tcBorders>
            <w:vAlign w:val="center"/>
          </w:tcPr>
          <w:p w14:paraId="1B194027" w14:textId="5436737D" w:rsidR="00E009F4" w:rsidRPr="004E5918" w:rsidRDefault="00C13B3E" w:rsidP="00DF1342">
            <w:pPr>
              <w:pStyle w:val="In-tableHeading"/>
              <w:keepNext w:val="0"/>
              <w:jc w:val="center"/>
              <w:rPr>
                <w:lang w:val="en-AU"/>
              </w:rPr>
            </w:pPr>
            <w:r>
              <w:rPr>
                <w:lang w:val="en-AU"/>
              </w:rPr>
              <w:t>Seladelpar</w:t>
            </w:r>
          </w:p>
        </w:tc>
        <w:tc>
          <w:tcPr>
            <w:tcW w:w="1741" w:type="pct"/>
            <w:gridSpan w:val="5"/>
            <w:tcBorders>
              <w:top w:val="single" w:sz="4" w:space="0" w:color="auto"/>
              <w:left w:val="single" w:sz="4" w:space="0" w:color="auto"/>
              <w:bottom w:val="single" w:sz="4" w:space="0" w:color="auto"/>
              <w:right w:val="single" w:sz="4" w:space="0" w:color="auto"/>
            </w:tcBorders>
            <w:vAlign w:val="center"/>
          </w:tcPr>
          <w:p w14:paraId="32BED35D" w14:textId="27E17D6D" w:rsidR="00E009F4" w:rsidRPr="004E5918" w:rsidRDefault="00C13B3E" w:rsidP="00DF1342">
            <w:pPr>
              <w:pStyle w:val="In-tableHeading"/>
              <w:keepNext w:val="0"/>
              <w:jc w:val="center"/>
              <w:rPr>
                <w:lang w:val="en-AU"/>
              </w:rPr>
            </w:pPr>
            <w:r>
              <w:rPr>
                <w:lang w:val="en-AU"/>
              </w:rPr>
              <w:t>Placebo</w:t>
            </w:r>
          </w:p>
        </w:tc>
        <w:tc>
          <w:tcPr>
            <w:tcW w:w="934" w:type="pct"/>
            <w:tcBorders>
              <w:top w:val="single" w:sz="4" w:space="0" w:color="auto"/>
              <w:left w:val="single" w:sz="4" w:space="0" w:color="auto"/>
              <w:bottom w:val="single" w:sz="4" w:space="0" w:color="auto"/>
              <w:right w:val="single" w:sz="4" w:space="0" w:color="auto"/>
            </w:tcBorders>
            <w:vAlign w:val="center"/>
          </w:tcPr>
          <w:p w14:paraId="116ADD2B" w14:textId="6CCAF832" w:rsidR="00E009F4" w:rsidRPr="004E5918" w:rsidRDefault="00E009F4" w:rsidP="00DF1342">
            <w:pPr>
              <w:pStyle w:val="In-tableHeading"/>
              <w:keepNext w:val="0"/>
              <w:jc w:val="center"/>
              <w:rPr>
                <w:lang w:val="en-AU"/>
              </w:rPr>
            </w:pPr>
            <w:r w:rsidRPr="004E5918">
              <w:rPr>
                <w:lang w:val="en-AU"/>
              </w:rPr>
              <w:t>Mean difference</w:t>
            </w:r>
            <w:r w:rsidR="00E0507E" w:rsidRPr="004E5918">
              <w:rPr>
                <w:vertAlign w:val="superscript"/>
                <w:lang w:val="en-AU"/>
              </w:rPr>
              <w:t>a</w:t>
            </w:r>
          </w:p>
          <w:p w14:paraId="3BDE9A69" w14:textId="77777777" w:rsidR="00E009F4" w:rsidRPr="004E5918" w:rsidRDefault="00E009F4" w:rsidP="00DF1342">
            <w:pPr>
              <w:pStyle w:val="In-tableHeading"/>
              <w:keepNext w:val="0"/>
              <w:jc w:val="center"/>
              <w:rPr>
                <w:lang w:val="en-AU"/>
              </w:rPr>
            </w:pPr>
            <w:r w:rsidRPr="004E5918">
              <w:rPr>
                <w:lang w:val="en-AU"/>
              </w:rPr>
              <w:t>(95% CI)</w:t>
            </w:r>
          </w:p>
        </w:tc>
      </w:tr>
      <w:tr w:rsidR="0098581E" w:rsidRPr="004E5918" w14:paraId="7BDF5542" w14:textId="77777777" w:rsidTr="00FA0F8C">
        <w:trPr>
          <w:cantSplit/>
          <w:trHeight w:val="225"/>
        </w:trPr>
        <w:tc>
          <w:tcPr>
            <w:tcW w:w="556" w:type="pct"/>
            <w:vMerge/>
            <w:tcBorders>
              <w:left w:val="single" w:sz="4" w:space="0" w:color="auto"/>
              <w:bottom w:val="single" w:sz="4" w:space="0" w:color="auto"/>
              <w:right w:val="single" w:sz="4" w:space="0" w:color="auto"/>
            </w:tcBorders>
            <w:vAlign w:val="center"/>
          </w:tcPr>
          <w:p w14:paraId="159A6E57" w14:textId="77777777" w:rsidR="00C13B3E" w:rsidRPr="004E5918" w:rsidRDefault="00C13B3E" w:rsidP="00DF1342">
            <w:pPr>
              <w:pStyle w:val="In-tableHeading"/>
              <w:keepNext w:val="0"/>
              <w:jc w:val="center"/>
              <w:rPr>
                <w:lang w:val="en-AU"/>
              </w:rPr>
            </w:pPr>
          </w:p>
        </w:tc>
        <w:tc>
          <w:tcPr>
            <w:tcW w:w="306" w:type="pct"/>
            <w:tcBorders>
              <w:top w:val="single" w:sz="4" w:space="0" w:color="auto"/>
              <w:left w:val="single" w:sz="4" w:space="0" w:color="auto"/>
              <w:bottom w:val="single" w:sz="4" w:space="0" w:color="auto"/>
              <w:right w:val="single" w:sz="4" w:space="0" w:color="auto"/>
            </w:tcBorders>
            <w:vAlign w:val="center"/>
          </w:tcPr>
          <w:p w14:paraId="2B343AE9" w14:textId="35DD3313" w:rsidR="00C13B3E" w:rsidRPr="004E5918" w:rsidRDefault="00C13B3E" w:rsidP="00DF1342">
            <w:pPr>
              <w:pStyle w:val="In-tableHeading"/>
              <w:keepNext w:val="0"/>
              <w:jc w:val="center"/>
              <w:rPr>
                <w:lang w:val="en-AU"/>
              </w:rPr>
            </w:pPr>
            <w:r w:rsidRPr="004E5918">
              <w:rPr>
                <w:lang w:val="en-AU"/>
              </w:rPr>
              <w:t>N</w:t>
            </w:r>
          </w:p>
        </w:tc>
        <w:tc>
          <w:tcPr>
            <w:tcW w:w="998" w:type="pct"/>
            <w:gridSpan w:val="2"/>
            <w:tcBorders>
              <w:top w:val="single" w:sz="4" w:space="0" w:color="auto"/>
              <w:left w:val="single" w:sz="4" w:space="0" w:color="auto"/>
              <w:bottom w:val="single" w:sz="4" w:space="0" w:color="auto"/>
              <w:right w:val="single" w:sz="4" w:space="0" w:color="auto"/>
            </w:tcBorders>
            <w:vAlign w:val="center"/>
          </w:tcPr>
          <w:p w14:paraId="0DC4CB19" w14:textId="01FD2E48" w:rsidR="00C13B3E" w:rsidRPr="004E5918" w:rsidRDefault="00C13B3E" w:rsidP="00DF1342">
            <w:pPr>
              <w:pStyle w:val="In-tableHeading"/>
              <w:keepNext w:val="0"/>
              <w:jc w:val="center"/>
              <w:rPr>
                <w:lang w:val="en-AU"/>
              </w:rPr>
            </w:pPr>
            <w:r w:rsidRPr="004E5918">
              <w:rPr>
                <w:lang w:val="en-AU"/>
              </w:rPr>
              <w:t>LS Mean ∆ baseline PBC-40 itch</w:t>
            </w: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6087B9D3" w14:textId="68E5337B" w:rsidR="00C13B3E" w:rsidRPr="004E5918" w:rsidRDefault="00C13B3E" w:rsidP="00DF1342">
            <w:pPr>
              <w:pStyle w:val="In-tableHeading"/>
              <w:keepNext w:val="0"/>
              <w:jc w:val="center"/>
              <w:rPr>
                <w:lang w:val="en-AU"/>
              </w:rPr>
            </w:pPr>
            <w:r w:rsidRPr="004E5918">
              <w:rPr>
                <w:lang w:val="en-AU"/>
              </w:rPr>
              <w:t>SE</w:t>
            </w:r>
          </w:p>
        </w:tc>
        <w:tc>
          <w:tcPr>
            <w:tcW w:w="333" w:type="pct"/>
            <w:tcBorders>
              <w:top w:val="single" w:sz="4" w:space="0" w:color="auto"/>
              <w:left w:val="single" w:sz="4" w:space="0" w:color="auto"/>
              <w:bottom w:val="single" w:sz="4" w:space="0" w:color="auto"/>
              <w:right w:val="single" w:sz="4" w:space="0" w:color="auto"/>
            </w:tcBorders>
            <w:vAlign w:val="center"/>
          </w:tcPr>
          <w:p w14:paraId="41F75D57" w14:textId="05325C81" w:rsidR="00C13B3E" w:rsidRPr="004E5918" w:rsidRDefault="00C13B3E" w:rsidP="00DF1342">
            <w:pPr>
              <w:pStyle w:val="In-tableHeading"/>
              <w:keepNext w:val="0"/>
              <w:jc w:val="center"/>
              <w:rPr>
                <w:lang w:val="en-AU"/>
              </w:rPr>
            </w:pPr>
            <w:r w:rsidRPr="004E5918">
              <w:rPr>
                <w:lang w:val="en-AU"/>
              </w:rPr>
              <w:t>N</w:t>
            </w:r>
          </w:p>
        </w:tc>
        <w:tc>
          <w:tcPr>
            <w:tcW w:w="933" w:type="pct"/>
            <w:gridSpan w:val="3"/>
            <w:tcBorders>
              <w:top w:val="single" w:sz="4" w:space="0" w:color="auto"/>
              <w:left w:val="single" w:sz="4" w:space="0" w:color="auto"/>
              <w:bottom w:val="single" w:sz="4" w:space="0" w:color="auto"/>
              <w:right w:val="single" w:sz="4" w:space="0" w:color="auto"/>
            </w:tcBorders>
            <w:vAlign w:val="center"/>
          </w:tcPr>
          <w:p w14:paraId="49C4B702" w14:textId="61F87729" w:rsidR="00C13B3E" w:rsidRPr="004E5918" w:rsidRDefault="00C13B3E" w:rsidP="00DF1342">
            <w:pPr>
              <w:pStyle w:val="In-tableHeading"/>
              <w:keepNext w:val="0"/>
              <w:jc w:val="center"/>
              <w:rPr>
                <w:lang w:val="en-AU"/>
              </w:rPr>
            </w:pPr>
            <w:r w:rsidRPr="004E5918">
              <w:rPr>
                <w:lang w:val="en-AU"/>
              </w:rPr>
              <w:t>LS Mean ∆ baseline PBC-40 itch</w:t>
            </w:r>
          </w:p>
        </w:tc>
        <w:tc>
          <w:tcPr>
            <w:tcW w:w="474" w:type="pct"/>
            <w:tcBorders>
              <w:top w:val="single" w:sz="4" w:space="0" w:color="auto"/>
              <w:left w:val="single" w:sz="4" w:space="0" w:color="auto"/>
              <w:bottom w:val="single" w:sz="4" w:space="0" w:color="auto"/>
              <w:right w:val="single" w:sz="4" w:space="0" w:color="auto"/>
            </w:tcBorders>
            <w:vAlign w:val="center"/>
          </w:tcPr>
          <w:p w14:paraId="51F0B2A9" w14:textId="69A4FC98" w:rsidR="00C13B3E" w:rsidRPr="004E5918" w:rsidRDefault="00C13B3E" w:rsidP="00DF1342">
            <w:pPr>
              <w:pStyle w:val="In-tableHeading"/>
              <w:keepNext w:val="0"/>
              <w:jc w:val="center"/>
              <w:rPr>
                <w:lang w:val="en-AU"/>
              </w:rPr>
            </w:pPr>
            <w:r w:rsidRPr="004E5918">
              <w:rPr>
                <w:lang w:val="en-AU"/>
              </w:rPr>
              <w:t>SE</w:t>
            </w:r>
          </w:p>
        </w:tc>
        <w:tc>
          <w:tcPr>
            <w:tcW w:w="934" w:type="pct"/>
            <w:tcBorders>
              <w:top w:val="single" w:sz="4" w:space="0" w:color="auto"/>
              <w:left w:val="single" w:sz="4" w:space="0" w:color="auto"/>
              <w:bottom w:val="single" w:sz="4" w:space="0" w:color="auto"/>
              <w:right w:val="single" w:sz="4" w:space="0" w:color="auto"/>
            </w:tcBorders>
            <w:vAlign w:val="center"/>
          </w:tcPr>
          <w:p w14:paraId="1A02E386" w14:textId="11019E99" w:rsidR="00C13B3E" w:rsidRPr="004E5918" w:rsidRDefault="00C13B3E" w:rsidP="00DF1342">
            <w:pPr>
              <w:pStyle w:val="In-tableHeading"/>
              <w:keepNext w:val="0"/>
              <w:jc w:val="center"/>
              <w:rPr>
                <w:lang w:val="en-AU"/>
              </w:rPr>
            </w:pPr>
            <w:r w:rsidRPr="004E5918">
              <w:rPr>
                <w:lang w:val="en-AU"/>
              </w:rPr>
              <w:t>Direct comparison vs PBO</w:t>
            </w:r>
          </w:p>
        </w:tc>
      </w:tr>
      <w:tr w:rsidR="0098581E" w:rsidRPr="004E5918" w14:paraId="7777EE8E" w14:textId="77777777" w:rsidTr="00FA0F8C">
        <w:trPr>
          <w:cantSplit/>
        </w:trPr>
        <w:tc>
          <w:tcPr>
            <w:tcW w:w="556" w:type="pct"/>
            <w:tcBorders>
              <w:top w:val="single" w:sz="4" w:space="0" w:color="auto"/>
              <w:left w:val="single" w:sz="4" w:space="0" w:color="auto"/>
              <w:bottom w:val="single" w:sz="4" w:space="0" w:color="auto"/>
              <w:right w:val="single" w:sz="4" w:space="0" w:color="auto"/>
            </w:tcBorders>
            <w:vAlign w:val="center"/>
          </w:tcPr>
          <w:p w14:paraId="0CE229D8" w14:textId="6F470A3B" w:rsidR="00C13B3E" w:rsidRPr="004E5918" w:rsidRDefault="00C13B3E" w:rsidP="00DF1342">
            <w:pPr>
              <w:pStyle w:val="TableText0"/>
              <w:keepNext w:val="0"/>
            </w:pPr>
            <w:r w:rsidRPr="004E5918">
              <w:t>RESPONSE</w:t>
            </w:r>
          </w:p>
        </w:tc>
        <w:tc>
          <w:tcPr>
            <w:tcW w:w="306" w:type="pct"/>
            <w:tcBorders>
              <w:top w:val="single" w:sz="4" w:space="0" w:color="auto"/>
              <w:left w:val="single" w:sz="4" w:space="0" w:color="auto"/>
              <w:bottom w:val="single" w:sz="4" w:space="0" w:color="auto"/>
              <w:right w:val="single" w:sz="4" w:space="0" w:color="auto"/>
            </w:tcBorders>
            <w:vAlign w:val="center"/>
          </w:tcPr>
          <w:p w14:paraId="5B6BEA0E" w14:textId="1B820003" w:rsidR="00C13B3E" w:rsidRPr="004E5918" w:rsidRDefault="00C13B3E" w:rsidP="00DF1342">
            <w:pPr>
              <w:pStyle w:val="TableText0"/>
              <w:keepNext w:val="0"/>
              <w:jc w:val="center"/>
            </w:pPr>
            <w:r w:rsidRPr="004E5918">
              <w:t>94</w:t>
            </w:r>
          </w:p>
        </w:tc>
        <w:tc>
          <w:tcPr>
            <w:tcW w:w="998" w:type="pct"/>
            <w:gridSpan w:val="2"/>
            <w:tcBorders>
              <w:top w:val="single" w:sz="4" w:space="0" w:color="auto"/>
              <w:left w:val="single" w:sz="4" w:space="0" w:color="auto"/>
              <w:bottom w:val="single" w:sz="4" w:space="0" w:color="auto"/>
              <w:right w:val="single" w:sz="4" w:space="0" w:color="auto"/>
            </w:tcBorders>
            <w:vAlign w:val="center"/>
          </w:tcPr>
          <w:p w14:paraId="55FF09D4" w14:textId="75F56185" w:rsidR="00C13B3E" w:rsidRPr="004E5918" w:rsidRDefault="00C13B3E" w:rsidP="00DF1342">
            <w:pPr>
              <w:pStyle w:val="TableText0"/>
              <w:keepNext w:val="0"/>
              <w:jc w:val="center"/>
              <w:rPr>
                <w:color w:val="000000"/>
              </w:rPr>
            </w:pPr>
            <w:r w:rsidRPr="004E5918">
              <w:rPr>
                <w:color w:val="000000"/>
              </w:rPr>
              <w:t>-1.31</w:t>
            </w: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3428F5B0" w14:textId="4E2BE9CD" w:rsidR="00C13B3E" w:rsidRPr="004E5918" w:rsidRDefault="00C13B3E" w:rsidP="00DF1342">
            <w:pPr>
              <w:pStyle w:val="TableText0"/>
              <w:keepNext w:val="0"/>
              <w:jc w:val="center"/>
              <w:rPr>
                <w:color w:val="000000"/>
              </w:rPr>
            </w:pPr>
            <w:r w:rsidRPr="004E5918">
              <w:rPr>
                <w:color w:val="000000"/>
              </w:rPr>
              <w:t>0.264</w:t>
            </w:r>
          </w:p>
        </w:tc>
        <w:tc>
          <w:tcPr>
            <w:tcW w:w="333" w:type="pct"/>
            <w:tcBorders>
              <w:top w:val="single" w:sz="4" w:space="0" w:color="auto"/>
              <w:left w:val="single" w:sz="4" w:space="0" w:color="auto"/>
              <w:bottom w:val="single" w:sz="4" w:space="0" w:color="auto"/>
              <w:right w:val="single" w:sz="4" w:space="0" w:color="auto"/>
            </w:tcBorders>
            <w:vAlign w:val="center"/>
          </w:tcPr>
          <w:p w14:paraId="22663B74" w14:textId="5A99EA7F" w:rsidR="00C13B3E" w:rsidRPr="004E5918" w:rsidRDefault="00C13B3E" w:rsidP="00DF1342">
            <w:pPr>
              <w:pStyle w:val="TableText0"/>
              <w:keepNext w:val="0"/>
              <w:jc w:val="center"/>
              <w:rPr>
                <w:color w:val="000000"/>
              </w:rPr>
            </w:pPr>
            <w:r w:rsidRPr="004E5918">
              <w:rPr>
                <w:color w:val="000000"/>
              </w:rPr>
              <w:t>51</w:t>
            </w:r>
          </w:p>
        </w:tc>
        <w:tc>
          <w:tcPr>
            <w:tcW w:w="933" w:type="pct"/>
            <w:gridSpan w:val="3"/>
            <w:tcBorders>
              <w:top w:val="single" w:sz="4" w:space="0" w:color="auto"/>
              <w:left w:val="single" w:sz="4" w:space="0" w:color="auto"/>
              <w:bottom w:val="single" w:sz="4" w:space="0" w:color="auto"/>
              <w:right w:val="single" w:sz="4" w:space="0" w:color="auto"/>
            </w:tcBorders>
            <w:vAlign w:val="center"/>
          </w:tcPr>
          <w:p w14:paraId="470394CD" w14:textId="0D29DCEA" w:rsidR="00C13B3E" w:rsidRPr="004E5918" w:rsidRDefault="00C13B3E" w:rsidP="00DF1342">
            <w:pPr>
              <w:pStyle w:val="TableText0"/>
              <w:keepNext w:val="0"/>
              <w:jc w:val="center"/>
              <w:rPr>
                <w:color w:val="000000"/>
              </w:rPr>
            </w:pPr>
            <w:r w:rsidRPr="004E5918">
              <w:rPr>
                <w:color w:val="000000"/>
              </w:rPr>
              <w:t>-0.48</w:t>
            </w:r>
          </w:p>
        </w:tc>
        <w:tc>
          <w:tcPr>
            <w:tcW w:w="474" w:type="pct"/>
            <w:tcBorders>
              <w:top w:val="single" w:sz="4" w:space="0" w:color="auto"/>
              <w:left w:val="single" w:sz="4" w:space="0" w:color="auto"/>
              <w:bottom w:val="single" w:sz="4" w:space="0" w:color="auto"/>
              <w:right w:val="single" w:sz="4" w:space="0" w:color="auto"/>
            </w:tcBorders>
            <w:vAlign w:val="center"/>
          </w:tcPr>
          <w:p w14:paraId="6F705722" w14:textId="5D04BE24" w:rsidR="00C13B3E" w:rsidRPr="004E5918" w:rsidRDefault="00C13B3E" w:rsidP="00DF1342">
            <w:pPr>
              <w:pStyle w:val="TableText0"/>
              <w:keepNext w:val="0"/>
              <w:jc w:val="center"/>
              <w:rPr>
                <w:color w:val="000000"/>
              </w:rPr>
            </w:pPr>
            <w:r w:rsidRPr="004E5918">
              <w:rPr>
                <w:color w:val="000000"/>
              </w:rPr>
              <w:t>0.361</w:t>
            </w:r>
          </w:p>
        </w:tc>
        <w:tc>
          <w:tcPr>
            <w:tcW w:w="934" w:type="pct"/>
            <w:tcBorders>
              <w:top w:val="single" w:sz="4" w:space="0" w:color="auto"/>
              <w:left w:val="single" w:sz="4" w:space="0" w:color="auto"/>
              <w:bottom w:val="single" w:sz="4" w:space="0" w:color="auto"/>
              <w:right w:val="single" w:sz="4" w:space="0" w:color="auto"/>
            </w:tcBorders>
            <w:vAlign w:val="center"/>
          </w:tcPr>
          <w:p w14:paraId="63734DB7" w14:textId="77777777" w:rsidR="00C13B3E" w:rsidRPr="004E5918" w:rsidRDefault="00C13B3E" w:rsidP="00DF1342">
            <w:pPr>
              <w:pStyle w:val="TableText0"/>
              <w:keepNext w:val="0"/>
              <w:jc w:val="center"/>
            </w:pPr>
            <w:r w:rsidRPr="004E5918">
              <w:t xml:space="preserve">-0.83 </w:t>
            </w:r>
          </w:p>
          <w:p w14:paraId="43CBAB50" w14:textId="1F28A903" w:rsidR="00C13B3E" w:rsidRPr="004E5918" w:rsidRDefault="00C13B3E" w:rsidP="00DF1342">
            <w:pPr>
              <w:pStyle w:val="TableText0"/>
              <w:keepNext w:val="0"/>
              <w:jc w:val="center"/>
            </w:pPr>
            <w:r w:rsidRPr="004E5918">
              <w:t>(-1.68, 0.02)</w:t>
            </w:r>
          </w:p>
        </w:tc>
      </w:tr>
      <w:tr w:rsidR="00E009F4" w:rsidRPr="004E5918" w14:paraId="2C933EF1" w14:textId="77777777" w:rsidTr="00260755">
        <w:trPr>
          <w:cantSplit/>
        </w:trPr>
        <w:tc>
          <w:tcPr>
            <w:tcW w:w="5000" w:type="pct"/>
            <w:gridSpan w:val="12"/>
            <w:tcBorders>
              <w:top w:val="double" w:sz="4" w:space="0" w:color="auto"/>
              <w:left w:val="single" w:sz="4" w:space="0" w:color="auto"/>
              <w:bottom w:val="single" w:sz="4" w:space="0" w:color="auto"/>
              <w:right w:val="single" w:sz="4" w:space="0" w:color="auto"/>
            </w:tcBorders>
            <w:vAlign w:val="center"/>
          </w:tcPr>
          <w:p w14:paraId="1D6E53D8" w14:textId="156E13B8" w:rsidR="00E009F4" w:rsidRPr="004E5918" w:rsidRDefault="00E009F4" w:rsidP="00DF1342">
            <w:pPr>
              <w:pStyle w:val="In-tableHeading"/>
              <w:keepNext w:val="0"/>
              <w:rPr>
                <w:szCs w:val="18"/>
              </w:rPr>
            </w:pPr>
            <w:r w:rsidRPr="004E5918">
              <w:t>Change from baseline in 5-D itch: indirect comparison</w:t>
            </w:r>
          </w:p>
        </w:tc>
      </w:tr>
      <w:tr w:rsidR="00FA0F8C" w:rsidRPr="004E5918" w14:paraId="1FF10D92" w14:textId="77777777" w:rsidTr="00FA0F8C">
        <w:trPr>
          <w:cantSplit/>
        </w:trPr>
        <w:tc>
          <w:tcPr>
            <w:tcW w:w="556" w:type="pct"/>
            <w:tcBorders>
              <w:left w:val="single" w:sz="4" w:space="0" w:color="auto"/>
              <w:bottom w:val="single" w:sz="4" w:space="0" w:color="auto"/>
              <w:right w:val="single" w:sz="4" w:space="0" w:color="auto"/>
            </w:tcBorders>
            <w:vAlign w:val="center"/>
          </w:tcPr>
          <w:p w14:paraId="41ECA35A" w14:textId="77777777" w:rsidR="00C13B3E" w:rsidRPr="004E5918" w:rsidRDefault="00C13B3E" w:rsidP="00DF1342">
            <w:pPr>
              <w:pStyle w:val="TableText0"/>
              <w:keepNext w:val="0"/>
            </w:pPr>
          </w:p>
        </w:tc>
        <w:tc>
          <w:tcPr>
            <w:tcW w:w="306" w:type="pct"/>
            <w:tcBorders>
              <w:top w:val="single" w:sz="4" w:space="0" w:color="auto"/>
              <w:left w:val="single" w:sz="4" w:space="0" w:color="auto"/>
              <w:bottom w:val="single" w:sz="4" w:space="0" w:color="auto"/>
              <w:right w:val="single" w:sz="4" w:space="0" w:color="auto"/>
            </w:tcBorders>
            <w:vAlign w:val="center"/>
          </w:tcPr>
          <w:p w14:paraId="2E4387C4" w14:textId="4EABB950" w:rsidR="00C13B3E" w:rsidRPr="004E5918" w:rsidRDefault="00C13B3E" w:rsidP="00DF1342">
            <w:pPr>
              <w:pStyle w:val="In-tableHeading"/>
              <w:keepNext w:val="0"/>
              <w:jc w:val="center"/>
              <w:rPr>
                <w:color w:val="000000"/>
              </w:rPr>
            </w:pPr>
            <w:r w:rsidRPr="004E5918">
              <w:t>N</w:t>
            </w:r>
          </w:p>
        </w:tc>
        <w:tc>
          <w:tcPr>
            <w:tcW w:w="998" w:type="pct"/>
            <w:gridSpan w:val="2"/>
            <w:tcBorders>
              <w:top w:val="single" w:sz="4" w:space="0" w:color="auto"/>
              <w:left w:val="single" w:sz="4" w:space="0" w:color="auto"/>
              <w:bottom w:val="single" w:sz="4" w:space="0" w:color="auto"/>
              <w:right w:val="single" w:sz="4" w:space="0" w:color="auto"/>
            </w:tcBorders>
            <w:vAlign w:val="center"/>
          </w:tcPr>
          <w:p w14:paraId="104FAD51" w14:textId="77777777" w:rsidR="00C13B3E" w:rsidRPr="004E5918" w:rsidRDefault="00C13B3E" w:rsidP="00DF1342">
            <w:pPr>
              <w:pStyle w:val="In-tableHeading"/>
              <w:keepNext w:val="0"/>
              <w:jc w:val="center"/>
            </w:pPr>
            <w:r w:rsidRPr="004E5918">
              <w:t xml:space="preserve">LS Mean ∆ baseline </w:t>
            </w:r>
          </w:p>
          <w:p w14:paraId="6FBC3C66" w14:textId="34648BB0" w:rsidR="00C13B3E" w:rsidRPr="004E5918" w:rsidRDefault="00C13B3E" w:rsidP="00DF1342">
            <w:pPr>
              <w:pStyle w:val="In-tableHeading"/>
              <w:keepNext w:val="0"/>
              <w:jc w:val="center"/>
              <w:rPr>
                <w:color w:val="000000"/>
              </w:rPr>
            </w:pPr>
            <w:r w:rsidRPr="004E5918">
              <w:t>5-D itch</w:t>
            </w: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2365F8DC" w14:textId="389B94FC" w:rsidR="00C13B3E" w:rsidRPr="004E5918" w:rsidRDefault="00C13B3E" w:rsidP="00DF1342">
            <w:pPr>
              <w:pStyle w:val="In-tableHeading"/>
              <w:keepNext w:val="0"/>
              <w:jc w:val="center"/>
              <w:rPr>
                <w:color w:val="000000"/>
              </w:rPr>
            </w:pPr>
            <w:r w:rsidRPr="004E5918">
              <w:t>SE</w:t>
            </w:r>
          </w:p>
        </w:tc>
        <w:tc>
          <w:tcPr>
            <w:tcW w:w="333" w:type="pct"/>
            <w:tcBorders>
              <w:top w:val="single" w:sz="4" w:space="0" w:color="auto"/>
              <w:left w:val="single" w:sz="4" w:space="0" w:color="auto"/>
              <w:bottom w:val="single" w:sz="4" w:space="0" w:color="auto"/>
              <w:right w:val="single" w:sz="4" w:space="0" w:color="auto"/>
            </w:tcBorders>
            <w:vAlign w:val="center"/>
          </w:tcPr>
          <w:p w14:paraId="1A08E7AA" w14:textId="43AF5699" w:rsidR="00C13B3E" w:rsidRPr="004E5918" w:rsidRDefault="00C13B3E" w:rsidP="00DF1342">
            <w:pPr>
              <w:pStyle w:val="In-tableHeading"/>
              <w:keepNext w:val="0"/>
              <w:jc w:val="center"/>
              <w:rPr>
                <w:color w:val="000000"/>
              </w:rPr>
            </w:pPr>
            <w:r w:rsidRPr="004E5918">
              <w:t>N</w:t>
            </w:r>
          </w:p>
        </w:tc>
        <w:tc>
          <w:tcPr>
            <w:tcW w:w="933" w:type="pct"/>
            <w:gridSpan w:val="3"/>
            <w:tcBorders>
              <w:top w:val="single" w:sz="4" w:space="0" w:color="auto"/>
              <w:left w:val="single" w:sz="4" w:space="0" w:color="auto"/>
              <w:bottom w:val="single" w:sz="4" w:space="0" w:color="auto"/>
              <w:right w:val="single" w:sz="4" w:space="0" w:color="auto"/>
            </w:tcBorders>
            <w:vAlign w:val="center"/>
          </w:tcPr>
          <w:p w14:paraId="0DB9EC0D" w14:textId="77777777" w:rsidR="00C13B3E" w:rsidRPr="004E5918" w:rsidRDefault="00C13B3E" w:rsidP="00DF1342">
            <w:pPr>
              <w:pStyle w:val="In-tableHeading"/>
              <w:keepNext w:val="0"/>
              <w:jc w:val="center"/>
            </w:pPr>
            <w:r w:rsidRPr="004E5918">
              <w:t xml:space="preserve">LS Mean ∆ baseline </w:t>
            </w:r>
          </w:p>
          <w:p w14:paraId="62AC3322" w14:textId="5C002C8C" w:rsidR="00C13B3E" w:rsidRPr="004E5918" w:rsidRDefault="00C13B3E" w:rsidP="00DF1342">
            <w:pPr>
              <w:pStyle w:val="In-tableHeading"/>
              <w:keepNext w:val="0"/>
              <w:jc w:val="center"/>
              <w:rPr>
                <w:color w:val="000000"/>
              </w:rPr>
            </w:pPr>
            <w:r w:rsidRPr="004E5918">
              <w:t>5-D itch</w:t>
            </w:r>
          </w:p>
        </w:tc>
        <w:tc>
          <w:tcPr>
            <w:tcW w:w="474" w:type="pct"/>
            <w:tcBorders>
              <w:top w:val="single" w:sz="4" w:space="0" w:color="auto"/>
              <w:left w:val="single" w:sz="4" w:space="0" w:color="auto"/>
              <w:bottom w:val="single" w:sz="4" w:space="0" w:color="auto"/>
              <w:right w:val="single" w:sz="4" w:space="0" w:color="auto"/>
            </w:tcBorders>
            <w:vAlign w:val="center"/>
          </w:tcPr>
          <w:p w14:paraId="0332790B" w14:textId="05AF8A5A" w:rsidR="00C13B3E" w:rsidRPr="004E5918" w:rsidRDefault="00C13B3E" w:rsidP="00DF1342">
            <w:pPr>
              <w:pStyle w:val="In-tableHeading"/>
              <w:keepNext w:val="0"/>
              <w:jc w:val="center"/>
              <w:rPr>
                <w:color w:val="000000"/>
              </w:rPr>
            </w:pPr>
            <w:r w:rsidRPr="004E5918">
              <w:t>SE</w:t>
            </w:r>
          </w:p>
        </w:tc>
        <w:tc>
          <w:tcPr>
            <w:tcW w:w="934" w:type="pct"/>
            <w:tcBorders>
              <w:top w:val="single" w:sz="4" w:space="0" w:color="auto"/>
              <w:left w:val="single" w:sz="4" w:space="0" w:color="auto"/>
              <w:bottom w:val="single" w:sz="4" w:space="0" w:color="auto"/>
              <w:right w:val="single" w:sz="4" w:space="0" w:color="auto"/>
            </w:tcBorders>
            <w:vAlign w:val="center"/>
          </w:tcPr>
          <w:p w14:paraId="425A5EBB" w14:textId="0BE3C686" w:rsidR="00C13B3E" w:rsidRPr="004E5918" w:rsidRDefault="00C13B3E" w:rsidP="00DF1342">
            <w:pPr>
              <w:keepLines/>
              <w:jc w:val="center"/>
              <w:rPr>
                <w:rFonts w:ascii="Arial Narrow" w:hAnsi="Arial Narrow"/>
                <w:b/>
                <w:sz w:val="20"/>
                <w:szCs w:val="18"/>
              </w:rPr>
            </w:pPr>
            <w:r w:rsidRPr="004E5918">
              <w:rPr>
                <w:rFonts w:ascii="Arial Narrow" w:hAnsi="Arial Narrow"/>
                <w:b/>
                <w:sz w:val="20"/>
                <w:szCs w:val="18"/>
              </w:rPr>
              <w:t>Direct comparison vs PBO</w:t>
            </w:r>
          </w:p>
        </w:tc>
      </w:tr>
      <w:tr w:rsidR="00FA0F8C" w:rsidRPr="004E5918" w14:paraId="5606BB20" w14:textId="77777777" w:rsidTr="00FA0F8C">
        <w:trPr>
          <w:cantSplit/>
        </w:trPr>
        <w:tc>
          <w:tcPr>
            <w:tcW w:w="556" w:type="pct"/>
            <w:tcBorders>
              <w:top w:val="single" w:sz="4" w:space="0" w:color="auto"/>
              <w:left w:val="single" w:sz="4" w:space="0" w:color="auto"/>
              <w:bottom w:val="single" w:sz="4" w:space="0" w:color="auto"/>
              <w:right w:val="single" w:sz="4" w:space="0" w:color="auto"/>
            </w:tcBorders>
            <w:vAlign w:val="center"/>
          </w:tcPr>
          <w:p w14:paraId="14B7B551" w14:textId="32BDB195" w:rsidR="00C13B3E" w:rsidRPr="004E5918" w:rsidRDefault="00C13B3E" w:rsidP="00DF1342">
            <w:pPr>
              <w:pStyle w:val="TableText0"/>
              <w:keepNext w:val="0"/>
            </w:pPr>
            <w:r w:rsidRPr="004E5918">
              <w:t>RESPONSE</w:t>
            </w:r>
          </w:p>
        </w:tc>
        <w:tc>
          <w:tcPr>
            <w:tcW w:w="306" w:type="pct"/>
            <w:tcBorders>
              <w:top w:val="single" w:sz="4" w:space="0" w:color="auto"/>
              <w:left w:val="single" w:sz="4" w:space="0" w:color="auto"/>
              <w:bottom w:val="single" w:sz="4" w:space="0" w:color="auto"/>
              <w:right w:val="single" w:sz="4" w:space="0" w:color="auto"/>
            </w:tcBorders>
            <w:vAlign w:val="center"/>
          </w:tcPr>
          <w:p w14:paraId="66B39919" w14:textId="76E9EFD8" w:rsidR="00C13B3E" w:rsidRPr="004E5918" w:rsidRDefault="00C13B3E" w:rsidP="00DF1342">
            <w:pPr>
              <w:pStyle w:val="TableText0"/>
              <w:keepNext w:val="0"/>
              <w:jc w:val="center"/>
              <w:rPr>
                <w:color w:val="000000"/>
              </w:rPr>
            </w:pPr>
            <w:r w:rsidRPr="004E5918">
              <w:rPr>
                <w:color w:val="000000"/>
              </w:rPr>
              <w:t>96</w:t>
            </w:r>
          </w:p>
        </w:tc>
        <w:tc>
          <w:tcPr>
            <w:tcW w:w="998" w:type="pct"/>
            <w:gridSpan w:val="2"/>
            <w:tcBorders>
              <w:top w:val="single" w:sz="4" w:space="0" w:color="auto"/>
              <w:left w:val="single" w:sz="4" w:space="0" w:color="auto"/>
              <w:bottom w:val="single" w:sz="4" w:space="0" w:color="auto"/>
              <w:right w:val="single" w:sz="4" w:space="0" w:color="auto"/>
            </w:tcBorders>
            <w:vAlign w:val="center"/>
          </w:tcPr>
          <w:p w14:paraId="13054886" w14:textId="61413ECA" w:rsidR="00C13B3E" w:rsidRPr="004E5918" w:rsidRDefault="00C13B3E" w:rsidP="00DF1342">
            <w:pPr>
              <w:pStyle w:val="TableText0"/>
              <w:keepNext w:val="0"/>
              <w:jc w:val="center"/>
              <w:rPr>
                <w:color w:val="000000"/>
              </w:rPr>
            </w:pPr>
            <w:r w:rsidRPr="004E5918">
              <w:rPr>
                <w:color w:val="000000"/>
              </w:rPr>
              <w:t>-2.3</w:t>
            </w: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4CBBFA7F" w14:textId="3BE8A245" w:rsidR="00C13B3E" w:rsidRPr="004E5918" w:rsidRDefault="00C13B3E" w:rsidP="00DF1342">
            <w:pPr>
              <w:pStyle w:val="TableText0"/>
              <w:keepNext w:val="0"/>
              <w:jc w:val="center"/>
              <w:rPr>
                <w:color w:val="000000"/>
              </w:rPr>
            </w:pPr>
            <w:r w:rsidRPr="004E5918">
              <w:rPr>
                <w:color w:val="000000"/>
              </w:rPr>
              <w:t>0.33</w:t>
            </w:r>
          </w:p>
        </w:tc>
        <w:tc>
          <w:tcPr>
            <w:tcW w:w="333" w:type="pct"/>
            <w:tcBorders>
              <w:top w:val="single" w:sz="4" w:space="0" w:color="auto"/>
              <w:left w:val="single" w:sz="4" w:space="0" w:color="auto"/>
              <w:bottom w:val="single" w:sz="4" w:space="0" w:color="auto"/>
              <w:right w:val="single" w:sz="4" w:space="0" w:color="auto"/>
            </w:tcBorders>
            <w:vAlign w:val="center"/>
          </w:tcPr>
          <w:p w14:paraId="6285AE5B" w14:textId="1800A47A" w:rsidR="00C13B3E" w:rsidRPr="004E5918" w:rsidRDefault="00C13B3E" w:rsidP="00DF1342">
            <w:pPr>
              <w:pStyle w:val="TableText0"/>
              <w:keepNext w:val="0"/>
              <w:jc w:val="center"/>
              <w:rPr>
                <w:color w:val="000000"/>
              </w:rPr>
            </w:pPr>
            <w:r w:rsidRPr="004E5918">
              <w:rPr>
                <w:color w:val="000000"/>
              </w:rPr>
              <w:t>46</w:t>
            </w:r>
          </w:p>
        </w:tc>
        <w:tc>
          <w:tcPr>
            <w:tcW w:w="933" w:type="pct"/>
            <w:gridSpan w:val="3"/>
            <w:tcBorders>
              <w:top w:val="single" w:sz="4" w:space="0" w:color="auto"/>
              <w:left w:val="single" w:sz="4" w:space="0" w:color="auto"/>
              <w:bottom w:val="single" w:sz="4" w:space="0" w:color="auto"/>
              <w:right w:val="single" w:sz="4" w:space="0" w:color="auto"/>
            </w:tcBorders>
            <w:vAlign w:val="center"/>
          </w:tcPr>
          <w:p w14:paraId="3D7EB931" w14:textId="56D48FAC" w:rsidR="00C13B3E" w:rsidRPr="004E5918" w:rsidRDefault="00C13B3E" w:rsidP="00DF1342">
            <w:pPr>
              <w:pStyle w:val="TableText0"/>
              <w:keepNext w:val="0"/>
              <w:jc w:val="center"/>
              <w:rPr>
                <w:color w:val="000000"/>
              </w:rPr>
            </w:pPr>
            <w:r w:rsidRPr="004E5918">
              <w:rPr>
                <w:color w:val="000000"/>
              </w:rPr>
              <w:t>0.1</w:t>
            </w:r>
          </w:p>
        </w:tc>
        <w:tc>
          <w:tcPr>
            <w:tcW w:w="474" w:type="pct"/>
            <w:tcBorders>
              <w:top w:val="single" w:sz="4" w:space="0" w:color="auto"/>
              <w:left w:val="single" w:sz="4" w:space="0" w:color="auto"/>
              <w:bottom w:val="single" w:sz="4" w:space="0" w:color="auto"/>
              <w:right w:val="single" w:sz="4" w:space="0" w:color="auto"/>
            </w:tcBorders>
            <w:vAlign w:val="center"/>
          </w:tcPr>
          <w:p w14:paraId="4193685D" w14:textId="2F29E619" w:rsidR="00C13B3E" w:rsidRPr="004E5918" w:rsidRDefault="00C13B3E" w:rsidP="00DF1342">
            <w:pPr>
              <w:pStyle w:val="TableText0"/>
              <w:keepNext w:val="0"/>
              <w:jc w:val="center"/>
              <w:rPr>
                <w:color w:val="000000"/>
              </w:rPr>
            </w:pPr>
            <w:r w:rsidRPr="004E5918">
              <w:rPr>
                <w:color w:val="000000"/>
              </w:rPr>
              <w:t>0.46</w:t>
            </w:r>
          </w:p>
        </w:tc>
        <w:tc>
          <w:tcPr>
            <w:tcW w:w="934" w:type="pct"/>
            <w:tcBorders>
              <w:top w:val="single" w:sz="4" w:space="0" w:color="auto"/>
              <w:left w:val="single" w:sz="4" w:space="0" w:color="auto"/>
              <w:bottom w:val="single" w:sz="4" w:space="0" w:color="auto"/>
              <w:right w:val="single" w:sz="4" w:space="0" w:color="auto"/>
            </w:tcBorders>
            <w:vAlign w:val="center"/>
          </w:tcPr>
          <w:p w14:paraId="6BD52750" w14:textId="77777777" w:rsidR="00C13B3E" w:rsidRPr="004E5918" w:rsidRDefault="00C13B3E" w:rsidP="00DF1342">
            <w:pPr>
              <w:keepLines/>
              <w:jc w:val="center"/>
              <w:rPr>
                <w:rFonts w:ascii="Arial Narrow" w:hAnsi="Arial Narrow"/>
                <w:b/>
                <w:sz w:val="20"/>
                <w:szCs w:val="18"/>
              </w:rPr>
            </w:pPr>
            <w:r w:rsidRPr="004E5918">
              <w:rPr>
                <w:rFonts w:ascii="Arial Narrow" w:hAnsi="Arial Narrow"/>
                <w:b/>
                <w:sz w:val="20"/>
                <w:szCs w:val="18"/>
              </w:rPr>
              <w:t xml:space="preserve">-2.3 </w:t>
            </w:r>
          </w:p>
          <w:p w14:paraId="4F179046" w14:textId="0A66FD15" w:rsidR="00C13B3E" w:rsidRPr="004E5918" w:rsidRDefault="00C13B3E" w:rsidP="00DF1342">
            <w:pPr>
              <w:keepLines/>
              <w:jc w:val="center"/>
              <w:rPr>
                <w:rFonts w:ascii="Arial Narrow" w:hAnsi="Arial Narrow"/>
                <w:b/>
                <w:sz w:val="20"/>
                <w:szCs w:val="18"/>
              </w:rPr>
            </w:pPr>
            <w:r w:rsidRPr="004E5918">
              <w:rPr>
                <w:rFonts w:ascii="Arial Narrow" w:hAnsi="Arial Narrow"/>
                <w:b/>
                <w:sz w:val="20"/>
                <w:szCs w:val="18"/>
              </w:rPr>
              <w:t>(-3.4, -1.2)</w:t>
            </w:r>
          </w:p>
        </w:tc>
      </w:tr>
      <w:tr w:rsidR="00E009F4" w:rsidRPr="004E5918" w14:paraId="44E97D9B" w14:textId="77777777" w:rsidTr="00260755">
        <w:trPr>
          <w:cantSplit/>
        </w:trPr>
        <w:tc>
          <w:tcPr>
            <w:tcW w:w="5000" w:type="pct"/>
            <w:gridSpan w:val="12"/>
            <w:tcBorders>
              <w:top w:val="double" w:sz="4" w:space="0" w:color="auto"/>
              <w:left w:val="single" w:sz="4" w:space="0" w:color="auto"/>
              <w:bottom w:val="single" w:sz="4" w:space="0" w:color="auto"/>
              <w:right w:val="single" w:sz="4" w:space="0" w:color="auto"/>
            </w:tcBorders>
            <w:vAlign w:val="center"/>
          </w:tcPr>
          <w:p w14:paraId="35F9A2DB" w14:textId="77777777" w:rsidR="00E009F4" w:rsidRPr="004E5918" w:rsidRDefault="00E009F4" w:rsidP="00DF1342">
            <w:pPr>
              <w:pStyle w:val="In-tableHeading"/>
              <w:rPr>
                <w:lang w:val="en-AU"/>
              </w:rPr>
            </w:pPr>
            <w:r w:rsidRPr="004E5918">
              <w:rPr>
                <w:lang w:val="en-AU"/>
              </w:rPr>
              <w:t xml:space="preserve">Harms </w:t>
            </w:r>
          </w:p>
        </w:tc>
      </w:tr>
      <w:tr w:rsidR="00FA0F8C" w:rsidRPr="004E5918" w14:paraId="6EA0F150" w14:textId="77777777" w:rsidTr="00FA0F8C">
        <w:trPr>
          <w:cantSplit/>
          <w:trHeight w:val="70"/>
        </w:trPr>
        <w:tc>
          <w:tcPr>
            <w:tcW w:w="556" w:type="pct"/>
            <w:vMerge w:val="restart"/>
            <w:tcBorders>
              <w:top w:val="single" w:sz="4" w:space="0" w:color="auto"/>
              <w:left w:val="single" w:sz="4" w:space="0" w:color="auto"/>
              <w:bottom w:val="single" w:sz="4" w:space="0" w:color="auto"/>
              <w:right w:val="single" w:sz="4" w:space="0" w:color="auto"/>
            </w:tcBorders>
            <w:vAlign w:val="center"/>
          </w:tcPr>
          <w:p w14:paraId="4C84792D" w14:textId="77777777" w:rsidR="00E009F4" w:rsidRPr="004E5918" w:rsidRDefault="00E009F4" w:rsidP="00DF1342">
            <w:pPr>
              <w:pStyle w:val="In-tableHeading"/>
              <w:rPr>
                <w:lang w:val="en-AU"/>
              </w:rPr>
            </w:pPr>
          </w:p>
        </w:tc>
        <w:tc>
          <w:tcPr>
            <w:tcW w:w="760" w:type="pct"/>
            <w:gridSpan w:val="2"/>
            <w:vMerge w:val="restart"/>
            <w:tcBorders>
              <w:top w:val="single" w:sz="4" w:space="0" w:color="auto"/>
              <w:left w:val="single" w:sz="4" w:space="0" w:color="auto"/>
              <w:bottom w:val="single" w:sz="4" w:space="0" w:color="auto"/>
              <w:right w:val="single" w:sz="4" w:space="0" w:color="auto"/>
            </w:tcBorders>
            <w:vAlign w:val="center"/>
          </w:tcPr>
          <w:p w14:paraId="11299355" w14:textId="70D91AD9" w:rsidR="00E009F4" w:rsidRPr="004E5918" w:rsidRDefault="004478BF" w:rsidP="00DF1342">
            <w:pPr>
              <w:pStyle w:val="In-tableHeading"/>
              <w:jc w:val="center"/>
              <w:rPr>
                <w:lang w:val="en-AU"/>
              </w:rPr>
            </w:pPr>
            <w:r w:rsidRPr="004E5918">
              <w:rPr>
                <w:lang w:val="en-AU"/>
              </w:rPr>
              <w:t>Seladelpar</w:t>
            </w:r>
            <w:r w:rsidR="00C13B3E">
              <w:rPr>
                <w:lang w:val="en-AU"/>
              </w:rPr>
              <w:t>, n/N</w:t>
            </w:r>
          </w:p>
        </w:tc>
        <w:tc>
          <w:tcPr>
            <w:tcW w:w="808" w:type="pct"/>
            <w:gridSpan w:val="2"/>
            <w:vMerge w:val="restart"/>
            <w:tcBorders>
              <w:top w:val="single" w:sz="4" w:space="0" w:color="auto"/>
              <w:left w:val="single" w:sz="4" w:space="0" w:color="auto"/>
              <w:bottom w:val="single" w:sz="4" w:space="0" w:color="auto"/>
              <w:right w:val="single" w:sz="4" w:space="0" w:color="auto"/>
            </w:tcBorders>
            <w:vAlign w:val="center"/>
          </w:tcPr>
          <w:p w14:paraId="160EC299" w14:textId="502281B8" w:rsidR="00E009F4" w:rsidRPr="004E5918" w:rsidRDefault="00C13B3E" w:rsidP="00DF1342">
            <w:pPr>
              <w:pStyle w:val="In-tableHeading"/>
              <w:jc w:val="center"/>
              <w:rPr>
                <w:lang w:val="en-AU"/>
              </w:rPr>
            </w:pPr>
            <w:r>
              <w:rPr>
                <w:lang w:val="en-AU"/>
              </w:rPr>
              <w:t>Placebo, n/N</w:t>
            </w:r>
          </w:p>
        </w:tc>
        <w:tc>
          <w:tcPr>
            <w:tcW w:w="761" w:type="pct"/>
            <w:gridSpan w:val="3"/>
            <w:vMerge w:val="restart"/>
            <w:tcBorders>
              <w:top w:val="single" w:sz="4" w:space="0" w:color="auto"/>
              <w:left w:val="single" w:sz="4" w:space="0" w:color="auto"/>
              <w:bottom w:val="single" w:sz="4" w:space="0" w:color="auto"/>
              <w:right w:val="single" w:sz="4" w:space="0" w:color="auto"/>
            </w:tcBorders>
            <w:vAlign w:val="center"/>
          </w:tcPr>
          <w:p w14:paraId="4F4C2E2B" w14:textId="122729F7" w:rsidR="00E009F4" w:rsidRPr="004E5918" w:rsidRDefault="00180625" w:rsidP="00DF1342">
            <w:pPr>
              <w:pStyle w:val="In-tableHeading"/>
              <w:jc w:val="center"/>
              <w:rPr>
                <w:lang w:val="en-AU"/>
              </w:rPr>
            </w:pPr>
            <w:r w:rsidRPr="004E5918">
              <w:rPr>
                <w:lang w:val="en-AU"/>
              </w:rPr>
              <w:t>RR</w:t>
            </w:r>
          </w:p>
          <w:p w14:paraId="3893F626" w14:textId="77777777" w:rsidR="00E009F4" w:rsidRPr="004E5918" w:rsidRDefault="00E009F4" w:rsidP="00DF1342">
            <w:pPr>
              <w:pStyle w:val="In-tableHeading"/>
              <w:jc w:val="center"/>
              <w:rPr>
                <w:lang w:val="en-AU"/>
              </w:rPr>
            </w:pPr>
            <w:r w:rsidRPr="004E5918">
              <w:rPr>
                <w:lang w:val="en-AU"/>
              </w:rPr>
              <w:t>(95% CI)</w:t>
            </w:r>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1F56D112" w14:textId="7833EB1A" w:rsidR="00E009F4" w:rsidRPr="004E5918" w:rsidRDefault="00E009F4" w:rsidP="00DF1342">
            <w:pPr>
              <w:pStyle w:val="In-tableHeading"/>
              <w:jc w:val="center"/>
              <w:rPr>
                <w:lang w:val="en-AU"/>
              </w:rPr>
            </w:pPr>
            <w:r w:rsidRPr="004E5918">
              <w:rPr>
                <w:lang w:val="en-AU"/>
              </w:rPr>
              <w:t>Event rate/100 patients</w:t>
            </w:r>
            <w:r w:rsidR="00E0507E" w:rsidRPr="004E5918">
              <w:rPr>
                <w:vertAlign w:val="superscript"/>
                <w:lang w:val="en-AU"/>
              </w:rPr>
              <w:t>a</w:t>
            </w:r>
          </w:p>
        </w:tc>
        <w:tc>
          <w:tcPr>
            <w:tcW w:w="934" w:type="pct"/>
            <w:vMerge w:val="restart"/>
            <w:tcBorders>
              <w:top w:val="single" w:sz="4" w:space="0" w:color="auto"/>
              <w:left w:val="single" w:sz="4" w:space="0" w:color="auto"/>
              <w:bottom w:val="single" w:sz="4" w:space="0" w:color="auto"/>
              <w:right w:val="single" w:sz="4" w:space="0" w:color="auto"/>
            </w:tcBorders>
            <w:vAlign w:val="center"/>
          </w:tcPr>
          <w:p w14:paraId="609F5B08" w14:textId="77777777" w:rsidR="00E009F4" w:rsidRPr="004E5918" w:rsidRDefault="00E009F4" w:rsidP="00DF1342">
            <w:pPr>
              <w:pStyle w:val="In-tableHeading"/>
              <w:jc w:val="center"/>
              <w:rPr>
                <w:lang w:val="en-AU"/>
              </w:rPr>
            </w:pPr>
            <w:r w:rsidRPr="004E5918">
              <w:rPr>
                <w:lang w:val="en-AU"/>
              </w:rPr>
              <w:t>RD</w:t>
            </w:r>
          </w:p>
          <w:p w14:paraId="5C742449" w14:textId="77777777" w:rsidR="00E009F4" w:rsidRPr="004E5918" w:rsidRDefault="00E009F4" w:rsidP="00DF1342">
            <w:pPr>
              <w:pStyle w:val="In-tableHeading"/>
              <w:jc w:val="center"/>
              <w:rPr>
                <w:lang w:val="en-AU"/>
              </w:rPr>
            </w:pPr>
            <w:r w:rsidRPr="004E5918">
              <w:rPr>
                <w:lang w:val="en-AU"/>
              </w:rPr>
              <w:t>(95% CI)</w:t>
            </w:r>
          </w:p>
        </w:tc>
      </w:tr>
      <w:tr w:rsidR="0000724A" w:rsidRPr="004E5918" w14:paraId="2F34B2D7" w14:textId="77777777" w:rsidTr="00FA0F8C">
        <w:trPr>
          <w:cantSplit/>
          <w:trHeight w:val="390"/>
        </w:trPr>
        <w:tc>
          <w:tcPr>
            <w:tcW w:w="556" w:type="pct"/>
            <w:vMerge/>
            <w:tcBorders>
              <w:top w:val="single" w:sz="4" w:space="0" w:color="auto"/>
              <w:left w:val="single" w:sz="4" w:space="0" w:color="auto"/>
              <w:bottom w:val="single" w:sz="4" w:space="0" w:color="auto"/>
              <w:right w:val="single" w:sz="4" w:space="0" w:color="auto"/>
            </w:tcBorders>
            <w:vAlign w:val="center"/>
          </w:tcPr>
          <w:p w14:paraId="2F568060" w14:textId="77777777" w:rsidR="00E009F4" w:rsidRPr="004E5918" w:rsidRDefault="00E009F4" w:rsidP="00DF1342">
            <w:pPr>
              <w:pStyle w:val="In-tableHeading"/>
              <w:rPr>
                <w:lang w:val="en-AU"/>
              </w:rPr>
            </w:pPr>
          </w:p>
        </w:tc>
        <w:tc>
          <w:tcPr>
            <w:tcW w:w="760" w:type="pct"/>
            <w:gridSpan w:val="2"/>
            <w:vMerge/>
            <w:tcBorders>
              <w:top w:val="single" w:sz="4" w:space="0" w:color="auto"/>
              <w:left w:val="single" w:sz="4" w:space="0" w:color="auto"/>
              <w:bottom w:val="single" w:sz="4" w:space="0" w:color="auto"/>
              <w:right w:val="single" w:sz="4" w:space="0" w:color="auto"/>
            </w:tcBorders>
            <w:vAlign w:val="center"/>
          </w:tcPr>
          <w:p w14:paraId="2487B586" w14:textId="77777777" w:rsidR="00E009F4" w:rsidRPr="004E5918" w:rsidRDefault="00E009F4" w:rsidP="00DF1342">
            <w:pPr>
              <w:pStyle w:val="In-tableHeading"/>
              <w:jc w:val="center"/>
              <w:rPr>
                <w:lang w:val="en-AU"/>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tcPr>
          <w:p w14:paraId="054B9692" w14:textId="77777777" w:rsidR="00E009F4" w:rsidRPr="004E5918" w:rsidRDefault="00E009F4" w:rsidP="00DF1342">
            <w:pPr>
              <w:pStyle w:val="In-tableHeading"/>
              <w:jc w:val="center"/>
              <w:rPr>
                <w:lang w:val="en-AU"/>
              </w:rPr>
            </w:pPr>
          </w:p>
        </w:tc>
        <w:tc>
          <w:tcPr>
            <w:tcW w:w="761" w:type="pct"/>
            <w:gridSpan w:val="3"/>
            <w:vMerge/>
            <w:tcBorders>
              <w:top w:val="single" w:sz="4" w:space="0" w:color="auto"/>
              <w:left w:val="single" w:sz="4" w:space="0" w:color="auto"/>
              <w:bottom w:val="single" w:sz="4" w:space="0" w:color="auto"/>
              <w:right w:val="single" w:sz="4" w:space="0" w:color="auto"/>
            </w:tcBorders>
            <w:vAlign w:val="center"/>
          </w:tcPr>
          <w:p w14:paraId="3FDC1E0E" w14:textId="77777777" w:rsidR="00E009F4" w:rsidRPr="004E5918" w:rsidRDefault="00E009F4" w:rsidP="00DF1342">
            <w:pPr>
              <w:pStyle w:val="In-tableHeading"/>
              <w:jc w:val="center"/>
              <w:rPr>
                <w:lang w:val="en-AU"/>
              </w:rPr>
            </w:pPr>
          </w:p>
        </w:tc>
        <w:tc>
          <w:tcPr>
            <w:tcW w:w="587" w:type="pct"/>
            <w:tcBorders>
              <w:top w:val="single" w:sz="4" w:space="0" w:color="auto"/>
              <w:left w:val="single" w:sz="4" w:space="0" w:color="auto"/>
              <w:bottom w:val="single" w:sz="4" w:space="0" w:color="auto"/>
              <w:right w:val="single" w:sz="4" w:space="0" w:color="auto"/>
            </w:tcBorders>
            <w:vAlign w:val="center"/>
          </w:tcPr>
          <w:p w14:paraId="7A79CFB5" w14:textId="5AD0C412" w:rsidR="00E009F4" w:rsidRPr="004E5918" w:rsidRDefault="004478BF" w:rsidP="00DF1342">
            <w:pPr>
              <w:pStyle w:val="In-tableHeading"/>
              <w:jc w:val="center"/>
              <w:rPr>
                <w:lang w:val="en-AU"/>
              </w:rPr>
            </w:pPr>
            <w:r w:rsidRPr="004E5918">
              <w:rPr>
                <w:lang w:val="en-AU"/>
              </w:rPr>
              <w:t>Seladelpar</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72A4F77A" w14:textId="56D75931" w:rsidR="00E009F4" w:rsidRPr="004E5918" w:rsidRDefault="00C13B3E" w:rsidP="00DF1342">
            <w:pPr>
              <w:pStyle w:val="In-tableHeading"/>
              <w:jc w:val="center"/>
              <w:rPr>
                <w:lang w:val="en-AU"/>
              </w:rPr>
            </w:pPr>
            <w:r>
              <w:rPr>
                <w:lang w:val="en-AU"/>
              </w:rPr>
              <w:t>Placebo</w:t>
            </w:r>
          </w:p>
        </w:tc>
        <w:tc>
          <w:tcPr>
            <w:tcW w:w="934" w:type="pct"/>
            <w:vMerge/>
            <w:tcBorders>
              <w:top w:val="single" w:sz="4" w:space="0" w:color="auto"/>
              <w:left w:val="single" w:sz="4" w:space="0" w:color="auto"/>
              <w:bottom w:val="single" w:sz="4" w:space="0" w:color="auto"/>
              <w:right w:val="single" w:sz="4" w:space="0" w:color="auto"/>
            </w:tcBorders>
            <w:vAlign w:val="center"/>
          </w:tcPr>
          <w:p w14:paraId="3DB6F729" w14:textId="77777777" w:rsidR="00E009F4" w:rsidRPr="004E5918" w:rsidRDefault="00E009F4" w:rsidP="00DF1342">
            <w:pPr>
              <w:pStyle w:val="In-tableHeading"/>
              <w:rPr>
                <w:lang w:val="en-AU"/>
              </w:rPr>
            </w:pPr>
          </w:p>
        </w:tc>
      </w:tr>
      <w:tr w:rsidR="00E009F4" w:rsidRPr="004E5918" w14:paraId="71501F8A" w14:textId="77777777" w:rsidTr="00260755">
        <w:trPr>
          <w:cantSplit/>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13BDBEDF" w14:textId="6C5DA3D8" w:rsidR="00E009F4" w:rsidRPr="004E5918" w:rsidRDefault="00180625" w:rsidP="00DF1342">
            <w:pPr>
              <w:pStyle w:val="In-tableHeading"/>
              <w:rPr>
                <w:lang w:val="en-AU"/>
              </w:rPr>
            </w:pPr>
            <w:r w:rsidRPr="004E5918">
              <w:rPr>
                <w:lang w:val="en-AU"/>
              </w:rPr>
              <w:t xml:space="preserve">Serious </w:t>
            </w:r>
            <w:r w:rsidR="005C6C3D" w:rsidRPr="004E5918">
              <w:rPr>
                <w:lang w:val="en-AU"/>
              </w:rPr>
              <w:t>adverse events</w:t>
            </w:r>
          </w:p>
        </w:tc>
      </w:tr>
      <w:tr w:rsidR="0098581E" w:rsidRPr="004E5918" w14:paraId="71ADA837" w14:textId="77777777" w:rsidTr="00FA0F8C">
        <w:trPr>
          <w:cantSplit/>
        </w:trPr>
        <w:tc>
          <w:tcPr>
            <w:tcW w:w="556" w:type="pct"/>
            <w:tcBorders>
              <w:top w:val="single" w:sz="4" w:space="0" w:color="auto"/>
              <w:left w:val="single" w:sz="4" w:space="0" w:color="auto"/>
              <w:bottom w:val="single" w:sz="4" w:space="0" w:color="auto"/>
              <w:right w:val="single" w:sz="4" w:space="0" w:color="auto"/>
            </w:tcBorders>
            <w:vAlign w:val="center"/>
          </w:tcPr>
          <w:p w14:paraId="25E5CA9A" w14:textId="2812C119" w:rsidR="00C13B3E" w:rsidRPr="004E5918" w:rsidRDefault="00C13B3E" w:rsidP="00DF1342">
            <w:pPr>
              <w:pStyle w:val="TableText0"/>
            </w:pPr>
            <w:r w:rsidRPr="004E5918">
              <w:t>RESPONSE</w:t>
            </w: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7B9A3BB3" w14:textId="532EDEA5" w:rsidR="00C13B3E" w:rsidRPr="004E5918" w:rsidRDefault="00C13B3E" w:rsidP="00DF1342">
            <w:pPr>
              <w:pStyle w:val="TableText0"/>
              <w:jc w:val="center"/>
            </w:pPr>
            <w:r w:rsidRPr="004E5918">
              <w:t>9/128</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66F14659" w14:textId="7A4FD51C" w:rsidR="00C13B3E" w:rsidRPr="004E5918" w:rsidRDefault="00C13B3E" w:rsidP="00DF1342">
            <w:pPr>
              <w:pStyle w:val="TableText0"/>
              <w:jc w:val="center"/>
            </w:pPr>
            <w:r w:rsidRPr="004E5918">
              <w:t>4/65</w:t>
            </w:r>
          </w:p>
        </w:tc>
        <w:tc>
          <w:tcPr>
            <w:tcW w:w="761" w:type="pct"/>
            <w:gridSpan w:val="3"/>
            <w:tcBorders>
              <w:top w:val="single" w:sz="4" w:space="0" w:color="auto"/>
              <w:left w:val="single" w:sz="4" w:space="0" w:color="auto"/>
              <w:bottom w:val="single" w:sz="4" w:space="0" w:color="auto"/>
              <w:right w:val="single" w:sz="4" w:space="0" w:color="auto"/>
            </w:tcBorders>
            <w:vAlign w:val="center"/>
          </w:tcPr>
          <w:p w14:paraId="5124BC24" w14:textId="150BC769" w:rsidR="00C13B3E" w:rsidRPr="004E5918" w:rsidRDefault="00C13B3E" w:rsidP="00DF1342">
            <w:pPr>
              <w:pStyle w:val="TableText0"/>
              <w:jc w:val="center"/>
              <w:rPr>
                <w:bCs w:val="0"/>
              </w:rPr>
            </w:pPr>
            <w:r w:rsidRPr="004E5918">
              <w:rPr>
                <w:bCs w:val="0"/>
              </w:rPr>
              <w:t xml:space="preserve">1.14 </w:t>
            </w:r>
            <w:r w:rsidRPr="004E5918">
              <w:rPr>
                <w:bCs w:val="0"/>
              </w:rPr>
              <w:br/>
              <w:t>(0.37, 3.57)</w:t>
            </w:r>
          </w:p>
        </w:tc>
        <w:tc>
          <w:tcPr>
            <w:tcW w:w="587" w:type="pct"/>
            <w:tcBorders>
              <w:top w:val="single" w:sz="4" w:space="0" w:color="auto"/>
              <w:left w:val="single" w:sz="4" w:space="0" w:color="auto"/>
              <w:bottom w:val="single" w:sz="4" w:space="0" w:color="auto"/>
              <w:right w:val="single" w:sz="4" w:space="0" w:color="auto"/>
            </w:tcBorders>
            <w:vAlign w:val="center"/>
          </w:tcPr>
          <w:p w14:paraId="09529BEE" w14:textId="7E6087B9" w:rsidR="00C13B3E" w:rsidRPr="004E5918" w:rsidRDefault="00C13B3E" w:rsidP="00DF1342">
            <w:pPr>
              <w:pStyle w:val="TableText0"/>
              <w:jc w:val="center"/>
            </w:pPr>
            <w:r w:rsidRPr="004E5918">
              <w:t>7</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4134ADB0" w14:textId="3AFDBCD3" w:rsidR="00C13B3E" w:rsidRPr="004E5918" w:rsidRDefault="00C13B3E" w:rsidP="00DF1342">
            <w:pPr>
              <w:pStyle w:val="TableText0"/>
              <w:jc w:val="center"/>
            </w:pPr>
            <w:r w:rsidRPr="004E5918">
              <w:t>6</w:t>
            </w:r>
          </w:p>
        </w:tc>
        <w:tc>
          <w:tcPr>
            <w:tcW w:w="934" w:type="pct"/>
            <w:tcBorders>
              <w:top w:val="single" w:sz="4" w:space="0" w:color="auto"/>
              <w:left w:val="single" w:sz="4" w:space="0" w:color="auto"/>
              <w:bottom w:val="single" w:sz="4" w:space="0" w:color="auto"/>
              <w:right w:val="single" w:sz="4" w:space="0" w:color="auto"/>
            </w:tcBorders>
            <w:vAlign w:val="center"/>
          </w:tcPr>
          <w:p w14:paraId="1CF80392" w14:textId="7211068E" w:rsidR="00C13B3E" w:rsidRPr="004E5918" w:rsidRDefault="00C13B3E" w:rsidP="00DF1342">
            <w:pPr>
              <w:pStyle w:val="TableText0"/>
              <w:jc w:val="center"/>
            </w:pPr>
            <w:r w:rsidRPr="004E5918">
              <w:t xml:space="preserve">0.01 </w:t>
            </w:r>
            <w:r w:rsidRPr="004E5918">
              <w:br/>
              <w:t>(-0.06, 0.08)</w:t>
            </w:r>
          </w:p>
        </w:tc>
      </w:tr>
      <w:tr w:rsidR="007A54A9" w:rsidRPr="004E5918" w14:paraId="0D6C8203" w14:textId="77777777" w:rsidTr="00260755">
        <w:trPr>
          <w:cantSplit/>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12E8F0D9" w14:textId="3E0998C1" w:rsidR="007A54A9" w:rsidRPr="004E5918" w:rsidRDefault="007A54A9" w:rsidP="00DF1342">
            <w:pPr>
              <w:pStyle w:val="In-tableHeading"/>
              <w:rPr>
                <w:lang w:val="en-AU"/>
              </w:rPr>
            </w:pPr>
            <w:r w:rsidRPr="004E5918">
              <w:rPr>
                <w:lang w:val="en-AU"/>
              </w:rPr>
              <w:t>Pruritus adverse events</w:t>
            </w:r>
          </w:p>
        </w:tc>
      </w:tr>
      <w:tr w:rsidR="0098581E" w:rsidRPr="004E5918" w14:paraId="32D15159" w14:textId="77777777" w:rsidTr="00FA0F8C">
        <w:trPr>
          <w:cantSplit/>
        </w:trPr>
        <w:tc>
          <w:tcPr>
            <w:tcW w:w="556" w:type="pct"/>
            <w:tcBorders>
              <w:top w:val="single" w:sz="4" w:space="0" w:color="auto"/>
              <w:left w:val="single" w:sz="4" w:space="0" w:color="auto"/>
              <w:bottom w:val="single" w:sz="4" w:space="0" w:color="auto"/>
              <w:right w:val="single" w:sz="4" w:space="0" w:color="auto"/>
            </w:tcBorders>
            <w:vAlign w:val="center"/>
          </w:tcPr>
          <w:p w14:paraId="16C46404" w14:textId="580EBA06" w:rsidR="00C13B3E" w:rsidRPr="004E5918" w:rsidRDefault="00C13B3E" w:rsidP="00DF1342">
            <w:pPr>
              <w:pStyle w:val="TableText0"/>
            </w:pPr>
            <w:r w:rsidRPr="004E5918">
              <w:t>RESPONSE</w:t>
            </w: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073DA667" w14:textId="165F0062" w:rsidR="00C13B3E" w:rsidRPr="004E5918" w:rsidRDefault="00C13B3E" w:rsidP="00DF1342">
            <w:pPr>
              <w:pStyle w:val="TableText0"/>
              <w:jc w:val="center"/>
            </w:pPr>
            <w:r w:rsidRPr="004E5918">
              <w:t>6/128</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632572B1" w14:textId="725A8800" w:rsidR="00C13B3E" w:rsidRPr="004E5918" w:rsidRDefault="00C13B3E" w:rsidP="00DF1342">
            <w:pPr>
              <w:pStyle w:val="TableText0"/>
              <w:jc w:val="center"/>
            </w:pPr>
            <w:r w:rsidRPr="004E5918">
              <w:t>10/65</w:t>
            </w:r>
          </w:p>
        </w:tc>
        <w:tc>
          <w:tcPr>
            <w:tcW w:w="761" w:type="pct"/>
            <w:gridSpan w:val="3"/>
            <w:tcBorders>
              <w:top w:val="single" w:sz="4" w:space="0" w:color="auto"/>
              <w:left w:val="single" w:sz="4" w:space="0" w:color="auto"/>
              <w:bottom w:val="single" w:sz="4" w:space="0" w:color="auto"/>
              <w:right w:val="single" w:sz="4" w:space="0" w:color="auto"/>
            </w:tcBorders>
            <w:vAlign w:val="center"/>
          </w:tcPr>
          <w:p w14:paraId="655CE0DD" w14:textId="77777777" w:rsidR="00C13B3E" w:rsidRPr="004E5918" w:rsidRDefault="00C13B3E" w:rsidP="00DF1342">
            <w:pPr>
              <w:pStyle w:val="TableText0"/>
              <w:jc w:val="center"/>
              <w:rPr>
                <w:b/>
                <w:bCs w:val="0"/>
              </w:rPr>
            </w:pPr>
            <w:r w:rsidRPr="004E5918">
              <w:rPr>
                <w:b/>
                <w:bCs w:val="0"/>
              </w:rPr>
              <w:t xml:space="preserve">0.27 </w:t>
            </w:r>
          </w:p>
          <w:p w14:paraId="5D082F0D" w14:textId="18A0AA1B" w:rsidR="00C13B3E" w:rsidRPr="004E5918" w:rsidRDefault="00C13B3E" w:rsidP="00DF1342">
            <w:pPr>
              <w:pStyle w:val="TableText0"/>
              <w:jc w:val="center"/>
              <w:rPr>
                <w:b/>
                <w:bCs w:val="0"/>
              </w:rPr>
            </w:pPr>
            <w:r w:rsidRPr="004E5918">
              <w:rPr>
                <w:b/>
                <w:bCs w:val="0"/>
              </w:rPr>
              <w:t>(0.09, 0.78)</w:t>
            </w:r>
          </w:p>
        </w:tc>
        <w:tc>
          <w:tcPr>
            <w:tcW w:w="587" w:type="pct"/>
            <w:tcBorders>
              <w:top w:val="single" w:sz="4" w:space="0" w:color="auto"/>
              <w:left w:val="single" w:sz="4" w:space="0" w:color="auto"/>
              <w:bottom w:val="single" w:sz="4" w:space="0" w:color="auto"/>
              <w:right w:val="single" w:sz="4" w:space="0" w:color="auto"/>
            </w:tcBorders>
            <w:vAlign w:val="center"/>
          </w:tcPr>
          <w:p w14:paraId="1E01DCF1" w14:textId="5275EDA4" w:rsidR="00C13B3E" w:rsidRPr="004E5918" w:rsidRDefault="00C13B3E" w:rsidP="00DF1342">
            <w:pPr>
              <w:pStyle w:val="TableText0"/>
              <w:jc w:val="center"/>
            </w:pPr>
            <w:r w:rsidRPr="004E5918">
              <w:t>5</w:t>
            </w:r>
          </w:p>
        </w:tc>
        <w:tc>
          <w:tcPr>
            <w:tcW w:w="594" w:type="pct"/>
            <w:gridSpan w:val="2"/>
            <w:tcBorders>
              <w:top w:val="single" w:sz="4" w:space="0" w:color="auto"/>
              <w:left w:val="single" w:sz="4" w:space="0" w:color="auto"/>
              <w:bottom w:val="single" w:sz="4" w:space="0" w:color="auto"/>
              <w:right w:val="single" w:sz="4" w:space="0" w:color="auto"/>
            </w:tcBorders>
            <w:vAlign w:val="center"/>
          </w:tcPr>
          <w:p w14:paraId="4885CD83" w14:textId="602D4DBD" w:rsidR="00C13B3E" w:rsidRPr="004E5918" w:rsidRDefault="00C13B3E" w:rsidP="00DF1342">
            <w:pPr>
              <w:pStyle w:val="TableText0"/>
              <w:jc w:val="center"/>
            </w:pPr>
            <w:r w:rsidRPr="004E5918">
              <w:t>15</w:t>
            </w:r>
          </w:p>
        </w:tc>
        <w:tc>
          <w:tcPr>
            <w:tcW w:w="934" w:type="pct"/>
            <w:tcBorders>
              <w:top w:val="single" w:sz="4" w:space="0" w:color="auto"/>
              <w:left w:val="single" w:sz="4" w:space="0" w:color="auto"/>
              <w:bottom w:val="single" w:sz="4" w:space="0" w:color="auto"/>
              <w:right w:val="single" w:sz="4" w:space="0" w:color="auto"/>
            </w:tcBorders>
            <w:vAlign w:val="center"/>
          </w:tcPr>
          <w:p w14:paraId="47EC6BE4" w14:textId="77777777" w:rsidR="00C13B3E" w:rsidRPr="004E5918" w:rsidRDefault="00C13B3E" w:rsidP="00DF1342">
            <w:pPr>
              <w:pStyle w:val="TableText0"/>
              <w:jc w:val="center"/>
              <w:rPr>
                <w:b/>
                <w:bCs w:val="0"/>
              </w:rPr>
            </w:pPr>
            <w:r w:rsidRPr="004E5918">
              <w:rPr>
                <w:b/>
                <w:bCs w:val="0"/>
              </w:rPr>
              <w:t xml:space="preserve">-0.11 </w:t>
            </w:r>
          </w:p>
          <w:p w14:paraId="73202250" w14:textId="20C886E9" w:rsidR="00C13B3E" w:rsidRPr="004E5918" w:rsidRDefault="00C13B3E" w:rsidP="00DF1342">
            <w:pPr>
              <w:pStyle w:val="TableText0"/>
              <w:jc w:val="center"/>
              <w:rPr>
                <w:b/>
                <w:bCs w:val="0"/>
              </w:rPr>
            </w:pPr>
            <w:r w:rsidRPr="004E5918">
              <w:rPr>
                <w:b/>
                <w:bCs w:val="0"/>
              </w:rPr>
              <w:t>(-0.20, -0.01)</w:t>
            </w:r>
          </w:p>
        </w:tc>
      </w:tr>
    </w:tbl>
    <w:p w14:paraId="12FC7B4C" w14:textId="27340FDE" w:rsidR="00620C25" w:rsidRPr="00627502" w:rsidRDefault="00620C25" w:rsidP="00DF1342">
      <w:pPr>
        <w:pStyle w:val="FooterTableFigure"/>
        <w:keepNext/>
        <w:keepLines/>
        <w:rPr>
          <w:i/>
          <w:iCs/>
          <w:sz w:val="20"/>
        </w:rPr>
      </w:pPr>
      <w:r w:rsidRPr="00627502">
        <w:t>Source: Table</w:t>
      </w:r>
      <w:r w:rsidR="00627502">
        <w:t>s</w:t>
      </w:r>
      <w:r w:rsidR="00622125">
        <w:t xml:space="preserve"> 29, 30</w:t>
      </w:r>
      <w:r w:rsidRPr="00627502">
        <w:t>,</w:t>
      </w:r>
      <w:r w:rsidR="00622125">
        <w:t xml:space="preserve"> 33,</w:t>
      </w:r>
      <w:r w:rsidRPr="00627502">
        <w:t xml:space="preserve"> </w:t>
      </w:r>
      <w:r w:rsidR="00622125">
        <w:t xml:space="preserve">34, 35-38, 46, 49, 55-59,  </w:t>
      </w:r>
      <w:r w:rsidRPr="00627502">
        <w:t>pp</w:t>
      </w:r>
      <w:r w:rsidR="00622125">
        <w:t>94, 96, 100, 101, 104-106, 115, 118, 132-134</w:t>
      </w:r>
      <w:r w:rsidRPr="00627502">
        <w:t xml:space="preserve"> of the submission</w:t>
      </w:r>
      <w:r w:rsidR="00622125">
        <w:t>; Attachment 7 of the submission</w:t>
      </w:r>
      <w:r w:rsidRPr="00627502">
        <w:t>.</w:t>
      </w:r>
      <w:r w:rsidR="00491299" w:rsidRPr="00627502">
        <w:t xml:space="preserve"> </w:t>
      </w:r>
    </w:p>
    <w:p w14:paraId="7B12DAB0" w14:textId="672D4E52" w:rsidR="00620C25" w:rsidRPr="0098262F" w:rsidRDefault="00627502" w:rsidP="00DF1342">
      <w:pPr>
        <w:pStyle w:val="FooterTableFigure"/>
        <w:keepNext/>
        <w:keepLines/>
      </w:pPr>
      <w:r>
        <w:t xml:space="preserve">ALP = alkaline phosphatase; CI = confidence interval; </w:t>
      </w:r>
      <w:r w:rsidR="003F0676" w:rsidRPr="00627502">
        <w:t>LS = least squares;</w:t>
      </w:r>
      <w:r>
        <w:t xml:space="preserve"> n = number of participants with event; N = number of participants in arm; </w:t>
      </w:r>
      <w:r w:rsidR="00060CEC">
        <w:t xml:space="preserve">NR = not reported; </w:t>
      </w:r>
      <w:r>
        <w:t>OR = odds ratio;</w:t>
      </w:r>
      <w:r w:rsidR="003F0676" w:rsidRPr="00627502">
        <w:t xml:space="preserve"> </w:t>
      </w:r>
      <w:r>
        <w:t xml:space="preserve">PBC = primary biliary cholangitis; </w:t>
      </w:r>
      <w:r w:rsidR="00620C25" w:rsidRPr="00627502">
        <w:t>PBO = placebo; RD = risk difference; RR = risk ratio</w:t>
      </w:r>
      <w:r w:rsidR="003F0676" w:rsidRPr="00627502">
        <w:t>; SE = standard error.</w:t>
      </w:r>
    </w:p>
    <w:p w14:paraId="1D5C881A" w14:textId="5959A4CD" w:rsidR="00620C25" w:rsidRDefault="00E0507E" w:rsidP="00DF1342">
      <w:pPr>
        <w:pStyle w:val="FooterTableFigure"/>
        <w:keepNext/>
      </w:pPr>
      <w:r w:rsidRPr="00E0507E">
        <w:rPr>
          <w:vertAlign w:val="superscript"/>
        </w:rPr>
        <w:t>a</w:t>
      </w:r>
      <w:r w:rsidR="00620C25" w:rsidRPr="0098262F">
        <w:t xml:space="preserve"> </w:t>
      </w:r>
      <w:r>
        <w:t>Over the 12-month trial duration.</w:t>
      </w:r>
    </w:p>
    <w:p w14:paraId="3637705C" w14:textId="533B461B" w:rsidR="00940E80" w:rsidRPr="0098262F" w:rsidRDefault="00940E80" w:rsidP="00DF1342">
      <w:pPr>
        <w:pStyle w:val="FooterTableFigure"/>
        <w:keepNext/>
      </w:pPr>
      <w:r>
        <w:t xml:space="preserve">Bold text indicates </w:t>
      </w:r>
      <w:r w:rsidR="00BB7C57">
        <w:t>statistically significant results. However, t</w:t>
      </w:r>
      <w:r w:rsidR="00BB7C57" w:rsidRPr="00BB7C57">
        <w:t xml:space="preserve">he statistical analysis of adverse events was not pre-planned, so results </w:t>
      </w:r>
      <w:r w:rsidR="00BB7C57">
        <w:t>should be interpreted with caution</w:t>
      </w:r>
      <w:r w:rsidR="00BB7C57" w:rsidRPr="00BB7C57">
        <w:t>.</w:t>
      </w:r>
    </w:p>
    <w:bookmarkEnd w:id="63"/>
    <w:p w14:paraId="2720AC53" w14:textId="2FCCD3CB" w:rsidR="00FC1884" w:rsidRPr="0098262F" w:rsidRDefault="00EC00C9" w:rsidP="00E9094A">
      <w:pPr>
        <w:pStyle w:val="3-BodyText"/>
      </w:pPr>
      <w:r w:rsidRPr="0098262F">
        <w:t>On the basis of direct</w:t>
      </w:r>
      <w:r w:rsidR="00E0507E">
        <w:t xml:space="preserve"> ev</w:t>
      </w:r>
      <w:r w:rsidRPr="0098262F">
        <w:t xml:space="preserve">idence presented by the submission, for every 100 patients treated with </w:t>
      </w:r>
      <w:r w:rsidR="00E0507E">
        <w:t>seladelpar</w:t>
      </w:r>
      <w:r w:rsidRPr="0098262F">
        <w:t xml:space="preserve"> in comparison </w:t>
      </w:r>
      <w:r w:rsidR="006D68FB" w:rsidRPr="0098262F">
        <w:t xml:space="preserve">with </w:t>
      </w:r>
      <w:r w:rsidR="00E0507E">
        <w:t>BSC</w:t>
      </w:r>
      <w:r w:rsidR="00422260" w:rsidRPr="0098262F">
        <w:t xml:space="preserve"> over a </w:t>
      </w:r>
      <w:r w:rsidR="001C2A9B" w:rsidRPr="0098262F">
        <w:t xml:space="preserve">duration of exposure of </w:t>
      </w:r>
      <w:r w:rsidR="00E0507E">
        <w:t>12</w:t>
      </w:r>
      <w:r w:rsidR="001C2A9B" w:rsidRPr="0098262F">
        <w:t xml:space="preserve"> months:</w:t>
      </w:r>
    </w:p>
    <w:p w14:paraId="1D93E2C6" w14:textId="25667D7A" w:rsidR="00FC1884" w:rsidRDefault="00FC1884" w:rsidP="000F0786">
      <w:pPr>
        <w:pStyle w:val="ListParagraph"/>
      </w:pPr>
      <w:r w:rsidRPr="0098262F">
        <w:t xml:space="preserve">Approximately </w:t>
      </w:r>
      <w:r w:rsidR="00E0507E">
        <w:t>42</w:t>
      </w:r>
      <w:r w:rsidRPr="0098262F">
        <w:t xml:space="preserve"> additional patients would </w:t>
      </w:r>
      <w:r w:rsidR="00E0507E">
        <w:t>achieve biochemical response.</w:t>
      </w:r>
    </w:p>
    <w:p w14:paraId="3C8606FA" w14:textId="21B872BD" w:rsidR="00E0507E" w:rsidRDefault="00E0507E" w:rsidP="000F0786">
      <w:pPr>
        <w:pStyle w:val="ListParagraph"/>
      </w:pPr>
      <w:r>
        <w:t>Approximately 25 additional patients would achieve ALP normalisation.</w:t>
      </w:r>
    </w:p>
    <w:p w14:paraId="0C242D15" w14:textId="53E2A46A" w:rsidR="00BB03AC" w:rsidRDefault="00BB03AC" w:rsidP="000F0786">
      <w:pPr>
        <w:pStyle w:val="ListParagraph"/>
      </w:pPr>
      <w:r>
        <w:t>Approximately one more patient would experience a serious adverse event.</w:t>
      </w:r>
    </w:p>
    <w:p w14:paraId="0BEB22D1" w14:textId="63F01360" w:rsidR="00B60939" w:rsidRPr="0098262F" w:rsidRDefault="00FC1884" w:rsidP="000F0786">
      <w:pPr>
        <w:pStyle w:val="ListParagraph"/>
      </w:pPr>
      <w:r w:rsidRPr="0098262F">
        <w:t>Approximately</w:t>
      </w:r>
      <w:r w:rsidR="001C2A9B" w:rsidRPr="0098262F">
        <w:t xml:space="preserve"> </w:t>
      </w:r>
      <w:r w:rsidR="00C84CD2">
        <w:t>11 fewer</w:t>
      </w:r>
      <w:r w:rsidR="001C2A9B" w:rsidRPr="0098262F">
        <w:t xml:space="preserve"> </w:t>
      </w:r>
      <w:r w:rsidR="00C41768" w:rsidRPr="0098262F">
        <w:t xml:space="preserve">patients would experience </w:t>
      </w:r>
      <w:r w:rsidR="00C84CD2">
        <w:t>pruritus</w:t>
      </w:r>
      <w:r w:rsidR="00E11340" w:rsidRPr="0098262F">
        <w:t xml:space="preserve"> (</w:t>
      </w:r>
      <w:r w:rsidR="00C84CD2">
        <w:t>itching</w:t>
      </w:r>
      <w:r w:rsidR="00E11340" w:rsidRPr="0098262F">
        <w:t>)</w:t>
      </w:r>
      <w:r w:rsidR="001C2A9B" w:rsidRPr="0098262F">
        <w:t>.</w:t>
      </w:r>
    </w:p>
    <w:p w14:paraId="181A135B" w14:textId="7AEF9FA6" w:rsidR="00FC1884" w:rsidRPr="0098262F" w:rsidRDefault="00FC1884" w:rsidP="00C84CD2">
      <w:pPr>
        <w:pStyle w:val="3-BodyText"/>
      </w:pPr>
      <w:r w:rsidRPr="0098262F">
        <w:t xml:space="preserve">On the basis of </w:t>
      </w:r>
      <w:r w:rsidR="00C84CD2">
        <w:t>direct</w:t>
      </w:r>
      <w:r w:rsidRPr="0098262F">
        <w:t xml:space="preserve"> evidence presented by the submission, the comparison of </w:t>
      </w:r>
      <w:r w:rsidR="00C84CD2">
        <w:t>seladelpar</w:t>
      </w:r>
      <w:r w:rsidRPr="0098262F">
        <w:t xml:space="preserve"> and </w:t>
      </w:r>
      <w:r w:rsidR="00587F9F">
        <w:t>BSC</w:t>
      </w:r>
      <w:r w:rsidR="00587F9F" w:rsidRPr="0098262F">
        <w:t xml:space="preserve"> </w:t>
      </w:r>
      <w:r w:rsidRPr="0098262F">
        <w:t>resulted in:</w:t>
      </w:r>
    </w:p>
    <w:p w14:paraId="3B653B96" w14:textId="5A2A6DB1" w:rsidR="00FC1884" w:rsidRPr="00C84CD2" w:rsidRDefault="003270E4" w:rsidP="000F0786">
      <w:pPr>
        <w:pStyle w:val="ListParagraph"/>
      </w:pPr>
      <w:r w:rsidRPr="0098262F">
        <w:rPr>
          <w:snapToGrid/>
        </w:rPr>
        <w:lastRenderedPageBreak/>
        <w:t>Approximately a 0.</w:t>
      </w:r>
      <w:r w:rsidR="00C84CD2">
        <w:rPr>
          <w:snapToGrid/>
        </w:rPr>
        <w:t>83</w:t>
      </w:r>
      <w:r w:rsidRPr="0098262F">
        <w:rPr>
          <w:snapToGrid/>
        </w:rPr>
        <w:t xml:space="preserve"> improvement in </w:t>
      </w:r>
      <w:r w:rsidR="00C84CD2">
        <w:rPr>
          <w:snapToGrid/>
        </w:rPr>
        <w:t xml:space="preserve">PBC-40 itch </w:t>
      </w:r>
      <w:r w:rsidRPr="0098262F">
        <w:rPr>
          <w:snapToGrid/>
        </w:rPr>
        <w:t xml:space="preserve">over a duration of exposure of </w:t>
      </w:r>
      <w:r w:rsidR="00C84CD2">
        <w:rPr>
          <w:snapToGrid/>
        </w:rPr>
        <w:t>12</w:t>
      </w:r>
      <w:r w:rsidRPr="0098262F">
        <w:rPr>
          <w:snapToGrid/>
        </w:rPr>
        <w:t xml:space="preserve"> months.</w:t>
      </w:r>
      <w:r w:rsidR="00BC591F" w:rsidRPr="0098262F">
        <w:rPr>
          <w:snapToGrid/>
        </w:rPr>
        <w:t xml:space="preserve"> </w:t>
      </w:r>
      <w:r w:rsidR="00AF64B2" w:rsidRPr="00AF64B2">
        <w:rPr>
          <w:snapToGrid/>
        </w:rPr>
        <w:t>The</w:t>
      </w:r>
      <w:r w:rsidRPr="00AF64B2">
        <w:rPr>
          <w:snapToGrid/>
        </w:rPr>
        <w:t xml:space="preserve"> submission did not indicate what difference in </w:t>
      </w:r>
      <w:r w:rsidR="00AF64B2" w:rsidRPr="00AF64B2">
        <w:rPr>
          <w:snapToGrid/>
        </w:rPr>
        <w:t xml:space="preserve">PBC-40 itch </w:t>
      </w:r>
      <w:r w:rsidRPr="00AF64B2">
        <w:rPr>
          <w:snapToGrid/>
        </w:rPr>
        <w:t>was considered to be clinically meaningful.</w:t>
      </w:r>
      <w:r w:rsidRPr="0098262F">
        <w:rPr>
          <w:snapToGrid/>
        </w:rPr>
        <w:t> </w:t>
      </w:r>
    </w:p>
    <w:p w14:paraId="2CC00820" w14:textId="003905A2" w:rsidR="00C84CD2" w:rsidRPr="00C84CD2" w:rsidRDefault="00C84CD2" w:rsidP="000F0786">
      <w:pPr>
        <w:pStyle w:val="ListParagraph"/>
      </w:pPr>
      <w:r w:rsidRPr="00AF64B2">
        <w:rPr>
          <w:snapToGrid/>
        </w:rPr>
        <w:t xml:space="preserve">Approximately a 2.30 improvement in 5-D itch over a duration of exposure of 12 months. </w:t>
      </w:r>
      <w:r w:rsidR="00AF64B2" w:rsidRPr="00AF64B2">
        <w:rPr>
          <w:snapToGrid/>
        </w:rPr>
        <w:t xml:space="preserve">The submission did not indicate what difference in </w:t>
      </w:r>
      <w:r w:rsidR="00AF64B2">
        <w:rPr>
          <w:snapToGrid/>
        </w:rPr>
        <w:t>5-D</w:t>
      </w:r>
      <w:r w:rsidR="00AF64B2" w:rsidRPr="00AF64B2">
        <w:rPr>
          <w:snapToGrid/>
        </w:rPr>
        <w:t xml:space="preserve"> itch was considered to be clinically meaningful.</w:t>
      </w:r>
      <w:r w:rsidR="00AF64B2" w:rsidRPr="0098262F">
        <w:rPr>
          <w:snapToGrid/>
        </w:rPr>
        <w:t> </w:t>
      </w:r>
    </w:p>
    <w:p w14:paraId="5F809B77" w14:textId="77777777" w:rsidR="001458AE" w:rsidRPr="00C9624D" w:rsidRDefault="001458AE" w:rsidP="001458AE">
      <w:pPr>
        <w:pStyle w:val="4-SubsectionHeading"/>
      </w:pPr>
      <w:bookmarkStart w:id="64" w:name="_Toc22897644"/>
      <w:bookmarkStart w:id="65" w:name="_Toc198561151"/>
      <w:r w:rsidRPr="00C9624D">
        <w:t>Clinical claim</w:t>
      </w:r>
      <w:bookmarkEnd w:id="64"/>
      <w:bookmarkEnd w:id="65"/>
    </w:p>
    <w:p w14:paraId="17FA3800" w14:textId="4419A5BE" w:rsidR="00AF64B2" w:rsidRPr="00E8442C" w:rsidRDefault="00AF64B2" w:rsidP="00E9094A">
      <w:pPr>
        <w:pStyle w:val="3-BodyText"/>
      </w:pPr>
      <w:r w:rsidRPr="00E8442C">
        <w:t>The submission made clinical claims v</w:t>
      </w:r>
      <w:r w:rsidR="00DE0F83">
        <w:t>ersu</w:t>
      </w:r>
      <w:r w:rsidRPr="00E8442C">
        <w:t>s the</w:t>
      </w:r>
      <w:r w:rsidR="002352D6" w:rsidRPr="00E8442C">
        <w:t xml:space="preserve"> 3</w:t>
      </w:r>
      <w:r w:rsidRPr="00E8442C">
        <w:t xml:space="preserve"> nominated comparators:</w:t>
      </w:r>
    </w:p>
    <w:p w14:paraId="09DDE8AE" w14:textId="77777777" w:rsidR="00AF64B2" w:rsidRPr="00E8442C" w:rsidRDefault="00AF64B2" w:rsidP="000F0786">
      <w:pPr>
        <w:pStyle w:val="ListParagraph"/>
      </w:pPr>
      <w:r w:rsidRPr="00E8442C">
        <w:t xml:space="preserve">The submission described seladelpar as superior in terms of efficacy compared with BSC and non-inferior in terms of safety compared to BSC. </w:t>
      </w:r>
    </w:p>
    <w:p w14:paraId="21340792" w14:textId="77777777" w:rsidR="00AF64B2" w:rsidRPr="00E8442C" w:rsidRDefault="00AF64B2" w:rsidP="000F0786">
      <w:pPr>
        <w:pStyle w:val="ListParagraph"/>
      </w:pPr>
      <w:r w:rsidRPr="00E8442C">
        <w:t>The submission described seladelpar as superior in terms of efficacy compared with OCA and superior in terms of safety with regards to pruritus compared to OCA.</w:t>
      </w:r>
    </w:p>
    <w:p w14:paraId="641333E5" w14:textId="77777777" w:rsidR="00AF64B2" w:rsidRPr="00E8442C" w:rsidRDefault="00AF64B2" w:rsidP="000F0786">
      <w:pPr>
        <w:pStyle w:val="ListParagraph"/>
      </w:pPr>
      <w:r w:rsidRPr="00E8442C">
        <w:t>The submission described seladelpar as non-inferior in terms of efficacy compared with elafibranor and non-inferior in terms of safety compared to elafibranor.</w:t>
      </w:r>
    </w:p>
    <w:p w14:paraId="4E2CFD3D" w14:textId="414F8870" w:rsidR="00AF64B2" w:rsidRPr="00E8442C" w:rsidRDefault="00AF64B2" w:rsidP="00E9094A">
      <w:pPr>
        <w:pStyle w:val="3-BodyText"/>
        <w:rPr>
          <w:rFonts w:eastAsia="Calibri"/>
        </w:rPr>
      </w:pPr>
      <w:bookmarkStart w:id="66" w:name="_Ref196414693"/>
      <w:r w:rsidRPr="00E8442C">
        <w:rPr>
          <w:rFonts w:eastAsia="Calibri"/>
        </w:rPr>
        <w:t xml:space="preserve">The submission acknowledged that a claim of non-inferior safety versus BSC may be considered inappropriate given patients are being exposed to an additional treatment (i.e. seladelpar), and all treatments will have a toxicity profile of some description. The submission stated that any additional adverse events associated with seladelpar relative to placebo could not be detected within the clinical trials program and as such, could not be used to inform the cost-utility analysis. </w:t>
      </w:r>
      <w:bookmarkEnd w:id="66"/>
    </w:p>
    <w:p w14:paraId="39D8F773" w14:textId="165E7149" w:rsidR="00AF64B2" w:rsidRPr="00E8442C" w:rsidRDefault="00AF64B2" w:rsidP="00E9094A">
      <w:pPr>
        <w:pStyle w:val="3-BodyText"/>
        <w:rPr>
          <w:rFonts w:eastAsia="Calibri"/>
        </w:rPr>
      </w:pPr>
      <w:r w:rsidRPr="00E8442C">
        <w:rPr>
          <w:rFonts w:eastAsia="Calibri"/>
        </w:rPr>
        <w:t xml:space="preserve">The </w:t>
      </w:r>
      <w:r w:rsidR="001609E7" w:rsidRPr="00E8442C">
        <w:rPr>
          <w:rFonts w:eastAsia="Calibri"/>
        </w:rPr>
        <w:t xml:space="preserve">ESC considered that </w:t>
      </w:r>
      <w:r w:rsidR="005154FD" w:rsidRPr="00E8442C">
        <w:rPr>
          <w:rFonts w:eastAsia="Calibri"/>
        </w:rPr>
        <w:t xml:space="preserve">the claim that seladelpar was superior compared to BSC </w:t>
      </w:r>
      <w:r w:rsidRPr="00E8442C">
        <w:rPr>
          <w:rFonts w:eastAsia="Calibri"/>
        </w:rPr>
        <w:t>in terms of efficacy was adequately supported by the evidence presented.</w:t>
      </w:r>
      <w:r w:rsidR="00000A91" w:rsidRPr="00E8442C">
        <w:rPr>
          <w:rFonts w:eastAsia="Calibri"/>
        </w:rPr>
        <w:t xml:space="preserve"> The </w:t>
      </w:r>
      <w:r w:rsidR="00076C95" w:rsidRPr="00E8442C">
        <w:rPr>
          <w:rFonts w:eastAsia="Calibri"/>
        </w:rPr>
        <w:t xml:space="preserve">ESC also considered that the </w:t>
      </w:r>
      <w:r w:rsidR="00FE1866" w:rsidRPr="00E8442C">
        <w:rPr>
          <w:rFonts w:eastAsia="Calibri"/>
        </w:rPr>
        <w:t xml:space="preserve">claim of non-inferior safety compared to BSC was </w:t>
      </w:r>
      <w:r w:rsidR="00000A91" w:rsidRPr="00E8442C">
        <w:rPr>
          <w:rFonts w:eastAsia="Calibri"/>
        </w:rPr>
        <w:t>reasonable based on the evidence and the context provided in para</w:t>
      </w:r>
      <w:r w:rsidR="008B0689" w:rsidRPr="00E8442C">
        <w:rPr>
          <w:rFonts w:eastAsia="Calibri"/>
        </w:rPr>
        <w:t>graph</w:t>
      </w:r>
      <w:r w:rsidR="00000A91" w:rsidRPr="00E8442C">
        <w:rPr>
          <w:rFonts w:eastAsia="Calibri"/>
        </w:rPr>
        <w:t xml:space="preserve"> </w:t>
      </w:r>
      <w:r w:rsidR="00000A91" w:rsidRPr="00E8442C">
        <w:rPr>
          <w:rFonts w:eastAsia="Calibri"/>
        </w:rPr>
        <w:fldChar w:fldCharType="begin"/>
      </w:r>
      <w:r w:rsidR="00000A91" w:rsidRPr="00E8442C">
        <w:rPr>
          <w:rFonts w:eastAsia="Calibri"/>
        </w:rPr>
        <w:instrText xml:space="preserve"> REF _Ref196414693 \r \h </w:instrText>
      </w:r>
      <w:r w:rsidR="00EB733D" w:rsidRPr="00E8442C">
        <w:rPr>
          <w:rFonts w:eastAsia="Calibri"/>
        </w:rPr>
        <w:instrText xml:space="preserve"> \* MERGEFORMAT </w:instrText>
      </w:r>
      <w:r w:rsidR="00000A91" w:rsidRPr="00E8442C">
        <w:rPr>
          <w:rFonts w:eastAsia="Calibri"/>
        </w:rPr>
      </w:r>
      <w:r w:rsidR="00000A91" w:rsidRPr="00E8442C">
        <w:rPr>
          <w:rFonts w:eastAsia="Calibri"/>
        </w:rPr>
        <w:fldChar w:fldCharType="separate"/>
      </w:r>
      <w:r w:rsidR="00333A5F">
        <w:rPr>
          <w:rFonts w:eastAsia="Calibri"/>
        </w:rPr>
        <w:t>6.50</w:t>
      </w:r>
      <w:r w:rsidR="00000A91" w:rsidRPr="00E8442C">
        <w:rPr>
          <w:rFonts w:eastAsia="Calibri"/>
        </w:rPr>
        <w:fldChar w:fldCharType="end"/>
      </w:r>
      <w:r w:rsidR="00000A91" w:rsidRPr="00E8442C">
        <w:rPr>
          <w:rFonts w:eastAsia="Calibri"/>
        </w:rPr>
        <w:t xml:space="preserve">. Although additional treatment increases the risk of toxicity, the proportion of participants experiencing TEAEs, serious TEAEs, severe TEAEs, and TEAEs leading to dose interruption, dose reduction, drug discontinuation, or study withdrawal were similar in the seladelpar and placebo arms of the RESPONSE trial. </w:t>
      </w:r>
      <w:bookmarkStart w:id="67" w:name="_Hlk196816571"/>
      <w:r w:rsidR="00000A91" w:rsidRPr="00E8442C">
        <w:rPr>
          <w:rFonts w:eastAsia="Calibri"/>
        </w:rPr>
        <w:t>Further, the types of adverse events were similar between arms</w:t>
      </w:r>
      <w:bookmarkEnd w:id="67"/>
      <w:r w:rsidR="00D44BB2" w:rsidRPr="00E8442C">
        <w:rPr>
          <w:rFonts w:eastAsia="Calibri"/>
        </w:rPr>
        <w:t xml:space="preserve"> (see para</w:t>
      </w:r>
      <w:r w:rsidR="008B0689" w:rsidRPr="00E8442C">
        <w:rPr>
          <w:rFonts w:eastAsia="Calibri"/>
        </w:rPr>
        <w:t>graph</w:t>
      </w:r>
      <w:r w:rsidR="00D44BB2" w:rsidRPr="00E8442C">
        <w:rPr>
          <w:rFonts w:eastAsia="Calibri"/>
        </w:rPr>
        <w:t xml:space="preserve"> </w:t>
      </w:r>
      <w:r w:rsidR="00D44BB2" w:rsidRPr="00E8442C">
        <w:rPr>
          <w:rFonts w:eastAsia="Calibri"/>
        </w:rPr>
        <w:fldChar w:fldCharType="begin"/>
      </w:r>
      <w:r w:rsidR="00D44BB2" w:rsidRPr="00E8442C">
        <w:rPr>
          <w:rFonts w:eastAsia="Calibri"/>
        </w:rPr>
        <w:instrText xml:space="preserve"> REF _Ref196816799 \r \h </w:instrText>
      </w:r>
      <w:r w:rsidR="00EB733D" w:rsidRPr="00E8442C">
        <w:rPr>
          <w:rFonts w:eastAsia="Calibri"/>
        </w:rPr>
        <w:instrText xml:space="preserve"> \* MERGEFORMAT </w:instrText>
      </w:r>
      <w:r w:rsidR="00D44BB2" w:rsidRPr="00E8442C">
        <w:rPr>
          <w:rFonts w:eastAsia="Calibri"/>
        </w:rPr>
      </w:r>
      <w:r w:rsidR="00D44BB2" w:rsidRPr="00E8442C">
        <w:rPr>
          <w:rFonts w:eastAsia="Calibri"/>
        </w:rPr>
        <w:fldChar w:fldCharType="separate"/>
      </w:r>
      <w:r w:rsidR="00333A5F">
        <w:rPr>
          <w:rFonts w:eastAsia="Calibri"/>
        </w:rPr>
        <w:t>6.37</w:t>
      </w:r>
      <w:r w:rsidR="00D44BB2" w:rsidRPr="00E8442C">
        <w:rPr>
          <w:rFonts w:eastAsia="Calibri"/>
        </w:rPr>
        <w:fldChar w:fldCharType="end"/>
      </w:r>
      <w:r w:rsidR="00D44BB2" w:rsidRPr="00E8442C">
        <w:rPr>
          <w:rFonts w:eastAsia="Calibri"/>
        </w:rPr>
        <w:t xml:space="preserve"> for discussion).</w:t>
      </w:r>
    </w:p>
    <w:p w14:paraId="72BC84CE" w14:textId="3CE91CFF" w:rsidR="00000A91" w:rsidRPr="00E8442C" w:rsidRDefault="00000A91" w:rsidP="00000A91">
      <w:pPr>
        <w:pStyle w:val="3-BodyText"/>
        <w:rPr>
          <w:rFonts w:eastAsia="Calibri"/>
        </w:rPr>
      </w:pPr>
      <w:r w:rsidRPr="00E8442C">
        <w:rPr>
          <w:rFonts w:eastAsia="Calibri"/>
        </w:rPr>
        <w:t>The</w:t>
      </w:r>
      <w:r w:rsidR="00E77FCF" w:rsidRPr="00E8442C">
        <w:rPr>
          <w:rFonts w:eastAsia="Calibri"/>
        </w:rPr>
        <w:t xml:space="preserve"> evaluation considered the</w:t>
      </w:r>
      <w:r w:rsidRPr="00E8442C">
        <w:rPr>
          <w:rFonts w:eastAsia="Calibri"/>
        </w:rPr>
        <w:t xml:space="preserve"> therapeutic conclusion presented in the submission v</w:t>
      </w:r>
      <w:r w:rsidR="00DE0F83">
        <w:rPr>
          <w:rFonts w:eastAsia="Calibri"/>
        </w:rPr>
        <w:t>ersu</w:t>
      </w:r>
      <w:r w:rsidRPr="00E8442C">
        <w:rPr>
          <w:rFonts w:eastAsia="Calibri"/>
        </w:rPr>
        <w:t>s OCA in terms of efficacy was not adequately supported because:</w:t>
      </w:r>
    </w:p>
    <w:p w14:paraId="453FBA3D" w14:textId="1080166E" w:rsidR="00000A91" w:rsidRPr="00E8442C" w:rsidRDefault="00000A91" w:rsidP="000F0786">
      <w:pPr>
        <w:pStyle w:val="ListParagraph"/>
      </w:pPr>
      <w:r w:rsidRPr="00E8442C">
        <w:t>There were differences across participants in the RESPONSE and POISE trials in terms of pruritus history, cirrhosis at baseline, baseline ALP and baseline TB</w:t>
      </w:r>
      <w:r w:rsidR="00372877" w:rsidRPr="00E8442C">
        <w:t xml:space="preserve"> (see para</w:t>
      </w:r>
      <w:r w:rsidR="008B0689" w:rsidRPr="00E8442C">
        <w:t>graph</w:t>
      </w:r>
      <w:r w:rsidR="00372877" w:rsidRPr="00E8442C">
        <w:t xml:space="preserve"> </w:t>
      </w:r>
      <w:r w:rsidR="00372877" w:rsidRPr="00E8442C">
        <w:fldChar w:fldCharType="begin"/>
      </w:r>
      <w:r w:rsidR="00372877" w:rsidRPr="00E8442C">
        <w:instrText xml:space="preserve"> REF _Ref196751342 \r \h </w:instrText>
      </w:r>
      <w:r w:rsidR="00EB733D" w:rsidRPr="00E8442C">
        <w:instrText xml:space="preserve"> \* MERGEFORMAT </w:instrText>
      </w:r>
      <w:r w:rsidR="00372877" w:rsidRPr="00E8442C">
        <w:fldChar w:fldCharType="separate"/>
      </w:r>
      <w:r w:rsidR="00333A5F">
        <w:t>6.13</w:t>
      </w:r>
      <w:r w:rsidR="00372877" w:rsidRPr="00E8442C">
        <w:fldChar w:fldCharType="end"/>
      </w:r>
      <w:r w:rsidR="00372877" w:rsidRPr="00E8442C">
        <w:t xml:space="preserve"> for discussion).</w:t>
      </w:r>
      <w:r w:rsidRPr="00E8442C">
        <w:t xml:space="preserve"> </w:t>
      </w:r>
      <w:r w:rsidR="00DF1342" w:rsidRPr="00E8442C">
        <w:t>The</w:t>
      </w:r>
      <w:r w:rsidRPr="00E8442C">
        <w:t xml:space="preserve"> submission presented Bucher and Bayesian NMA indirect treatment comparisons; however, neither approach controlled for baseline differences in </w:t>
      </w:r>
      <w:r w:rsidR="000D30EA" w:rsidRPr="00E8442C">
        <w:t xml:space="preserve">the </w:t>
      </w:r>
      <w:r w:rsidRPr="00E8442C">
        <w:t>participant population</w:t>
      </w:r>
      <w:r w:rsidR="000D30EA" w:rsidRPr="00E8442C">
        <w:t>s</w:t>
      </w:r>
      <w:r w:rsidRPr="00E8442C">
        <w:t>.</w:t>
      </w:r>
      <w:r w:rsidR="00C05D62" w:rsidRPr="00E8442C">
        <w:t xml:space="preserve"> </w:t>
      </w:r>
    </w:p>
    <w:p w14:paraId="38D8831D" w14:textId="77777777" w:rsidR="00000A91" w:rsidRPr="00E8442C" w:rsidRDefault="00000A91" w:rsidP="000F0786">
      <w:pPr>
        <w:pStyle w:val="ListParagraph"/>
      </w:pPr>
      <w:r w:rsidRPr="00E8442C">
        <w:lastRenderedPageBreak/>
        <w:t xml:space="preserve">The indirect treatment comparison based on the primary outcome of biochemical response at 12 months was not statistically significant, regardless of the statistical approach (Bucher or Bayesian NMA) or ULN threshold applied. </w:t>
      </w:r>
    </w:p>
    <w:p w14:paraId="652AB7EA" w14:textId="01FA50AD" w:rsidR="00000A91" w:rsidRPr="00E8442C" w:rsidRDefault="00000A91" w:rsidP="000F0786">
      <w:pPr>
        <w:pStyle w:val="ListParagraph"/>
      </w:pPr>
      <w:r w:rsidRPr="00E8442C">
        <w:t xml:space="preserve">The indirect treatment comparison based on the key secondary outcome of ALP normalisation at 12 months was statistically significant using an RD, but not OR </w:t>
      </w:r>
      <w:r w:rsidR="008B0689" w:rsidRPr="00E8442C">
        <w:t>n</w:t>
      </w:r>
      <w:r w:rsidRPr="00E8442C">
        <w:t>or RR, regardless of the statistical approach (Bucher or Bayesian NMA) or ULN threshold applied.</w:t>
      </w:r>
    </w:p>
    <w:p w14:paraId="78FEB3A4" w14:textId="58DC6D48" w:rsidR="00D54550" w:rsidRPr="00E8442C" w:rsidRDefault="00D54550" w:rsidP="00EB3022">
      <w:pPr>
        <w:ind w:left="720"/>
        <w:rPr>
          <w:rFonts w:eastAsia="Calibri"/>
        </w:rPr>
      </w:pPr>
      <w:r w:rsidRPr="00E8442C">
        <w:rPr>
          <w:rFonts w:eastAsia="Calibri"/>
        </w:rPr>
        <w:t xml:space="preserve">On the balance of probabilities, the ESC </w:t>
      </w:r>
      <w:r w:rsidR="00EB3022" w:rsidRPr="00E8442C">
        <w:rPr>
          <w:rFonts w:eastAsia="Calibri"/>
        </w:rPr>
        <w:t>considered</w:t>
      </w:r>
      <w:r w:rsidRPr="00E8442C">
        <w:rPr>
          <w:rFonts w:eastAsia="Calibri"/>
        </w:rPr>
        <w:t xml:space="preserve"> that </w:t>
      </w:r>
      <w:r w:rsidR="00E949E4" w:rsidRPr="00E8442C">
        <w:rPr>
          <w:rFonts w:eastAsia="Calibri"/>
        </w:rPr>
        <w:t>superiority</w:t>
      </w:r>
      <w:r w:rsidRPr="00E8442C">
        <w:rPr>
          <w:rFonts w:eastAsia="Calibri"/>
        </w:rPr>
        <w:t xml:space="preserve"> compar</w:t>
      </w:r>
      <w:r w:rsidR="00837622" w:rsidRPr="00E8442C">
        <w:rPr>
          <w:rFonts w:eastAsia="Calibri"/>
        </w:rPr>
        <w:t>ed</w:t>
      </w:r>
      <w:r w:rsidRPr="00E8442C">
        <w:rPr>
          <w:rFonts w:eastAsia="Calibri"/>
        </w:rPr>
        <w:t xml:space="preserve"> to OCA </w:t>
      </w:r>
      <w:r w:rsidR="00837622" w:rsidRPr="00E8442C">
        <w:rPr>
          <w:rFonts w:eastAsia="Calibri"/>
        </w:rPr>
        <w:t xml:space="preserve">was not </w:t>
      </w:r>
      <w:r w:rsidR="004C6B34" w:rsidRPr="00E8442C">
        <w:rPr>
          <w:rFonts w:eastAsia="Calibri"/>
        </w:rPr>
        <w:t xml:space="preserve">adequately </w:t>
      </w:r>
      <w:r w:rsidR="00837622" w:rsidRPr="00E8442C">
        <w:rPr>
          <w:rFonts w:eastAsia="Calibri"/>
        </w:rPr>
        <w:t>supported given</w:t>
      </w:r>
      <w:r w:rsidR="002B15F1" w:rsidRPr="00E8442C">
        <w:rPr>
          <w:rFonts w:eastAsia="Calibri"/>
        </w:rPr>
        <w:t xml:space="preserve"> </w:t>
      </w:r>
      <w:r w:rsidR="000263BB" w:rsidRPr="00E8442C">
        <w:rPr>
          <w:rFonts w:eastAsia="Calibri"/>
        </w:rPr>
        <w:t xml:space="preserve">there were </w:t>
      </w:r>
      <w:r w:rsidR="002B15F1" w:rsidRPr="00E8442C">
        <w:rPr>
          <w:rFonts w:eastAsia="Calibri"/>
        </w:rPr>
        <w:t>no significant differences in the primary outcome (</w:t>
      </w:r>
      <w:r w:rsidR="002F0691" w:rsidRPr="00E8442C">
        <w:rPr>
          <w:rFonts w:eastAsia="Calibri"/>
        </w:rPr>
        <w:t xml:space="preserve">see </w:t>
      </w:r>
      <w:r w:rsidR="002F0691" w:rsidRPr="00E8442C">
        <w:rPr>
          <w:rFonts w:eastAsia="Calibri"/>
        </w:rPr>
        <w:fldChar w:fldCharType="begin"/>
      </w:r>
      <w:r w:rsidR="002F0691" w:rsidRPr="00E8442C">
        <w:rPr>
          <w:rFonts w:eastAsia="Calibri"/>
        </w:rPr>
        <w:instrText xml:space="preserve"> REF _Ref196401962 \h  \* MERGEFORMAT </w:instrText>
      </w:r>
      <w:r w:rsidR="002F0691" w:rsidRPr="00E8442C">
        <w:rPr>
          <w:rFonts w:eastAsia="Calibri"/>
        </w:rPr>
      </w:r>
      <w:r w:rsidR="002F0691" w:rsidRPr="00E8442C">
        <w:rPr>
          <w:rFonts w:eastAsia="Calibri"/>
        </w:rPr>
        <w:fldChar w:fldCharType="separate"/>
      </w:r>
      <w:r w:rsidR="00333A5F">
        <w:t xml:space="preserve">Table </w:t>
      </w:r>
      <w:r w:rsidR="00333A5F">
        <w:rPr>
          <w:noProof/>
        </w:rPr>
        <w:t>5</w:t>
      </w:r>
      <w:r w:rsidR="002F0691" w:rsidRPr="00E8442C">
        <w:rPr>
          <w:rFonts w:eastAsia="Calibri"/>
        </w:rPr>
        <w:fldChar w:fldCharType="end"/>
      </w:r>
      <w:r w:rsidR="002B15F1" w:rsidRPr="00E8442C">
        <w:rPr>
          <w:rFonts w:eastAsia="Calibri"/>
        </w:rPr>
        <w:t xml:space="preserve">) and limited </w:t>
      </w:r>
      <w:r w:rsidR="004C6B34" w:rsidRPr="00E8442C">
        <w:rPr>
          <w:rFonts w:eastAsia="Calibri"/>
        </w:rPr>
        <w:t>significant differences in</w:t>
      </w:r>
      <w:r w:rsidR="0070699D" w:rsidRPr="00E8442C">
        <w:rPr>
          <w:rFonts w:eastAsia="Calibri"/>
        </w:rPr>
        <w:t xml:space="preserve"> </w:t>
      </w:r>
      <w:r w:rsidR="002B15F1" w:rsidRPr="00E8442C">
        <w:rPr>
          <w:rFonts w:eastAsia="Calibri"/>
        </w:rPr>
        <w:t>a</w:t>
      </w:r>
      <w:r w:rsidR="005F5C1F" w:rsidRPr="00E8442C">
        <w:rPr>
          <w:rFonts w:eastAsia="Calibri"/>
        </w:rPr>
        <w:t xml:space="preserve"> </w:t>
      </w:r>
      <w:r w:rsidR="002B15F1" w:rsidRPr="00E8442C">
        <w:rPr>
          <w:rFonts w:eastAsia="Calibri"/>
        </w:rPr>
        <w:t>secondary outcome (</w:t>
      </w:r>
      <w:r w:rsidR="00137DA1" w:rsidRPr="00E8442C">
        <w:rPr>
          <w:rFonts w:eastAsia="Calibri"/>
        </w:rPr>
        <w:fldChar w:fldCharType="begin"/>
      </w:r>
      <w:r w:rsidR="00137DA1" w:rsidRPr="00E8442C">
        <w:rPr>
          <w:rFonts w:eastAsia="Calibri"/>
        </w:rPr>
        <w:instrText xml:space="preserve"> REF _Ref196402067 \h  \* MERGEFORMAT </w:instrText>
      </w:r>
      <w:r w:rsidR="00137DA1" w:rsidRPr="00E8442C">
        <w:rPr>
          <w:rFonts w:eastAsia="Calibri"/>
        </w:rPr>
      </w:r>
      <w:r w:rsidR="00137DA1" w:rsidRPr="00E8442C">
        <w:rPr>
          <w:rFonts w:eastAsia="Calibri"/>
        </w:rPr>
        <w:fldChar w:fldCharType="separate"/>
      </w:r>
      <w:r w:rsidR="00333A5F">
        <w:t xml:space="preserve">Table </w:t>
      </w:r>
      <w:r w:rsidR="00333A5F">
        <w:rPr>
          <w:noProof/>
        </w:rPr>
        <w:t>6</w:t>
      </w:r>
      <w:r w:rsidR="00137DA1" w:rsidRPr="00E8442C">
        <w:rPr>
          <w:rFonts w:eastAsia="Calibri"/>
        </w:rPr>
        <w:fldChar w:fldCharType="end"/>
      </w:r>
      <w:r w:rsidR="002B15F1" w:rsidRPr="00E8442C">
        <w:rPr>
          <w:rFonts w:eastAsia="Calibri"/>
        </w:rPr>
        <w:t>)</w:t>
      </w:r>
      <w:r w:rsidR="00EB3022" w:rsidRPr="00E8442C">
        <w:rPr>
          <w:rFonts w:eastAsia="Calibri"/>
        </w:rPr>
        <w:t>, and that non-inferior efficacy compared to OCA was a more reasonable conclusion.</w:t>
      </w:r>
    </w:p>
    <w:p w14:paraId="00C6D1A4" w14:textId="6170F3A1" w:rsidR="00000A91" w:rsidRPr="00E8442C" w:rsidRDefault="00000A91" w:rsidP="00E9094A">
      <w:pPr>
        <w:pStyle w:val="3-BodyText"/>
        <w:rPr>
          <w:rFonts w:eastAsia="Calibri"/>
        </w:rPr>
      </w:pPr>
      <w:r w:rsidRPr="00E8442C">
        <w:rPr>
          <w:rFonts w:eastAsia="Calibri"/>
        </w:rPr>
        <w:t xml:space="preserve">The </w:t>
      </w:r>
      <w:r w:rsidR="00B70A28" w:rsidRPr="00E8442C">
        <w:rPr>
          <w:rFonts w:eastAsia="Calibri"/>
        </w:rPr>
        <w:t>ESC considered that the</w:t>
      </w:r>
      <w:r w:rsidR="00AB3BA5" w:rsidRPr="00E8442C">
        <w:rPr>
          <w:rFonts w:eastAsia="Calibri"/>
        </w:rPr>
        <w:t xml:space="preserve"> claim that seladelpar was </w:t>
      </w:r>
      <w:r w:rsidR="00BA16B0" w:rsidRPr="00E8442C">
        <w:rPr>
          <w:rFonts w:eastAsia="Calibri"/>
        </w:rPr>
        <w:t xml:space="preserve">superior compared to </w:t>
      </w:r>
      <w:r w:rsidRPr="00E8442C">
        <w:rPr>
          <w:rFonts w:eastAsia="Calibri"/>
        </w:rPr>
        <w:t xml:space="preserve">OCA in terms of safety was </w:t>
      </w:r>
      <w:r w:rsidR="006475F5" w:rsidRPr="00E8442C">
        <w:rPr>
          <w:rFonts w:eastAsia="Calibri"/>
        </w:rPr>
        <w:t xml:space="preserve">not </w:t>
      </w:r>
      <w:r w:rsidRPr="00E8442C">
        <w:rPr>
          <w:rFonts w:eastAsia="Calibri"/>
        </w:rPr>
        <w:t xml:space="preserve">adequately supported. </w:t>
      </w:r>
      <w:r w:rsidR="0043539C" w:rsidRPr="00E8442C">
        <w:rPr>
          <w:rFonts w:eastAsia="Calibri"/>
        </w:rPr>
        <w:t xml:space="preserve">The ESC noted that </w:t>
      </w:r>
      <w:r w:rsidR="003B0A7E" w:rsidRPr="00E8442C">
        <w:rPr>
          <w:rFonts w:eastAsia="Calibri"/>
        </w:rPr>
        <w:t xml:space="preserve">neither </w:t>
      </w:r>
      <w:r w:rsidR="0043539C" w:rsidRPr="00E8442C">
        <w:rPr>
          <w:rFonts w:eastAsia="Calibri"/>
        </w:rPr>
        <w:t xml:space="preserve">the </w:t>
      </w:r>
      <w:r w:rsidR="003B0A7E" w:rsidRPr="00E8442C">
        <w:rPr>
          <w:rFonts w:eastAsia="Calibri"/>
        </w:rPr>
        <w:t>Bucher indirect comparison no</w:t>
      </w:r>
      <w:r w:rsidR="00DE0F83">
        <w:rPr>
          <w:rFonts w:eastAsia="Calibri"/>
        </w:rPr>
        <w:t>r</w:t>
      </w:r>
      <w:r w:rsidR="003B0A7E" w:rsidRPr="00E8442C">
        <w:rPr>
          <w:rFonts w:eastAsia="Calibri"/>
        </w:rPr>
        <w:t xml:space="preserve"> the Bayesian NMA reported statistically significant differences between seladelpar and OCA in terms of any adverse event</w:t>
      </w:r>
      <w:r w:rsidR="00536957" w:rsidRPr="00E8442C">
        <w:rPr>
          <w:rFonts w:eastAsia="Calibri"/>
        </w:rPr>
        <w:t xml:space="preserve">. </w:t>
      </w:r>
      <w:r w:rsidR="00EB3022" w:rsidRPr="00E8442C">
        <w:rPr>
          <w:rFonts w:eastAsia="Calibri"/>
        </w:rPr>
        <w:t xml:space="preserve">Overall, the ESC considered that seladelpar was likely non-inferior compared to OCA. </w:t>
      </w:r>
      <w:r w:rsidR="00773C89" w:rsidRPr="00E8442C">
        <w:rPr>
          <w:rFonts w:eastAsia="Calibri"/>
        </w:rPr>
        <w:t>However, t</w:t>
      </w:r>
      <w:r w:rsidR="0043539C" w:rsidRPr="00E8442C">
        <w:rPr>
          <w:rFonts w:eastAsia="Calibri"/>
        </w:rPr>
        <w:t xml:space="preserve">he ESC, noting seladelpar </w:t>
      </w:r>
      <w:r w:rsidR="00C31FCF" w:rsidRPr="00E8442C">
        <w:rPr>
          <w:rFonts w:eastAsia="Calibri"/>
        </w:rPr>
        <w:t xml:space="preserve">patients reported </w:t>
      </w:r>
      <w:r w:rsidR="0043539C" w:rsidRPr="00E8442C">
        <w:rPr>
          <w:rFonts w:eastAsia="Calibri"/>
        </w:rPr>
        <w:t>symptom improvement</w:t>
      </w:r>
      <w:r w:rsidR="003F6FF4" w:rsidRPr="00E8442C">
        <w:rPr>
          <w:rFonts w:eastAsia="Calibri"/>
        </w:rPr>
        <w:t xml:space="preserve"> in the PBC-40 itch and 5-D itch scores</w:t>
      </w:r>
      <w:r w:rsidR="00674856" w:rsidRPr="00E8442C">
        <w:rPr>
          <w:rFonts w:eastAsia="Calibri"/>
        </w:rPr>
        <w:t xml:space="preserve"> and </w:t>
      </w:r>
      <w:r w:rsidR="0091629B" w:rsidRPr="00E8442C">
        <w:rPr>
          <w:rFonts w:eastAsia="Calibri"/>
        </w:rPr>
        <w:t xml:space="preserve">that seladelpar </w:t>
      </w:r>
      <w:r w:rsidR="00674856" w:rsidRPr="00E8442C">
        <w:rPr>
          <w:rFonts w:eastAsia="Calibri"/>
        </w:rPr>
        <w:t>was associated with significantly lower rates of pruritus-related adverse events</w:t>
      </w:r>
      <w:r w:rsidR="0043539C" w:rsidRPr="00E8442C">
        <w:rPr>
          <w:rFonts w:eastAsia="Calibri"/>
        </w:rPr>
        <w:t>, considered that seladelpar likely resulted in a significant reduction in pruritus compared to OCA.</w:t>
      </w:r>
    </w:p>
    <w:p w14:paraId="4293A94E" w14:textId="453D85B5" w:rsidR="00000A91" w:rsidRPr="00E8442C" w:rsidRDefault="00000A91" w:rsidP="00000A91">
      <w:pPr>
        <w:pStyle w:val="3-BodyText"/>
        <w:rPr>
          <w:rFonts w:eastAsia="Calibri"/>
        </w:rPr>
      </w:pPr>
      <w:r w:rsidRPr="00E8442C">
        <w:rPr>
          <w:rFonts w:eastAsia="Calibri"/>
        </w:rPr>
        <w:t xml:space="preserve">The </w:t>
      </w:r>
      <w:r w:rsidR="00D63ABA" w:rsidRPr="00E8442C">
        <w:rPr>
          <w:rFonts w:eastAsia="Calibri"/>
        </w:rPr>
        <w:t xml:space="preserve">ESC considered that the </w:t>
      </w:r>
      <w:r w:rsidR="00BA16B0" w:rsidRPr="00E8442C">
        <w:rPr>
          <w:rFonts w:eastAsia="Calibri"/>
        </w:rPr>
        <w:t xml:space="preserve">claims that </w:t>
      </w:r>
      <w:r w:rsidR="00CE2A07" w:rsidRPr="00E8442C">
        <w:rPr>
          <w:rFonts w:eastAsia="Calibri"/>
        </w:rPr>
        <w:t xml:space="preserve">seladelpar was non-inferior compared to </w:t>
      </w:r>
      <w:r w:rsidRPr="00E8442C">
        <w:rPr>
          <w:rFonts w:eastAsia="Calibri"/>
        </w:rPr>
        <w:t xml:space="preserve">elafibranor in terms of efficacy and safety were reasonable </w:t>
      </w:r>
      <w:r w:rsidR="00033B41" w:rsidRPr="00E8442C">
        <w:rPr>
          <w:rFonts w:eastAsia="Calibri"/>
        </w:rPr>
        <w:t>noting</w:t>
      </w:r>
      <w:r w:rsidRPr="00E8442C">
        <w:rPr>
          <w:rFonts w:eastAsia="Calibri"/>
        </w:rPr>
        <w:t>:</w:t>
      </w:r>
    </w:p>
    <w:p w14:paraId="35D2F82B" w14:textId="4BA532DE" w:rsidR="00000A91" w:rsidRPr="00E8442C" w:rsidRDefault="00000A91" w:rsidP="000F0786">
      <w:pPr>
        <w:pStyle w:val="ListParagraph"/>
      </w:pPr>
      <w:r w:rsidRPr="00E8442C">
        <w:t>There were differences</w:t>
      </w:r>
      <w:r w:rsidR="004F2BF4" w:rsidRPr="00E8442C">
        <w:t xml:space="preserve"> </w:t>
      </w:r>
      <w:r w:rsidRPr="00E8442C">
        <w:t>across participants in the RESPONSE and ELATIVE trials in terms of ALP, TB</w:t>
      </w:r>
      <w:r w:rsidR="004F2BF4" w:rsidRPr="00E8442C">
        <w:t>,</w:t>
      </w:r>
      <w:r w:rsidRPr="00E8442C">
        <w:t xml:space="preserve"> AST</w:t>
      </w:r>
      <w:r w:rsidR="004F2BF4" w:rsidRPr="00E8442C">
        <w:t xml:space="preserve">, </w:t>
      </w:r>
      <w:r w:rsidR="00372877" w:rsidRPr="00E8442C">
        <w:t xml:space="preserve">and </w:t>
      </w:r>
      <w:r w:rsidRPr="00E8442C">
        <w:t>GGT</w:t>
      </w:r>
      <w:r w:rsidR="00372877" w:rsidRPr="00E8442C">
        <w:t xml:space="preserve"> at baseline</w:t>
      </w:r>
      <w:r w:rsidR="004F2BF4" w:rsidRPr="00E8442C">
        <w:t xml:space="preserve">, and </w:t>
      </w:r>
      <w:r w:rsidR="00372877" w:rsidRPr="00E8442C">
        <w:t xml:space="preserve">the </w:t>
      </w:r>
      <w:r w:rsidR="004F2BF4" w:rsidRPr="00E8442C">
        <w:t>proportion of pa</w:t>
      </w:r>
      <w:r w:rsidR="00732CE9" w:rsidRPr="00E8442C">
        <w:t>rticipa</w:t>
      </w:r>
      <w:r w:rsidR="004F2BF4" w:rsidRPr="00E8442C">
        <w:t>nts with cirrhosis</w:t>
      </w:r>
      <w:r w:rsidR="00372877" w:rsidRPr="00E8442C">
        <w:t xml:space="preserve"> at baseline</w:t>
      </w:r>
      <w:r w:rsidRPr="00E8442C">
        <w:t xml:space="preserve"> </w:t>
      </w:r>
      <w:r w:rsidR="004F2BF4" w:rsidRPr="00E8442C">
        <w:t>(see para</w:t>
      </w:r>
      <w:r w:rsidR="008B0689" w:rsidRPr="00E8442C">
        <w:t>graph</w:t>
      </w:r>
      <w:r w:rsidR="004F2BF4" w:rsidRPr="00E8442C">
        <w:t xml:space="preserve"> </w:t>
      </w:r>
      <w:r w:rsidR="004F2BF4" w:rsidRPr="00E8442C">
        <w:fldChar w:fldCharType="begin"/>
      </w:r>
      <w:r w:rsidR="004F2BF4" w:rsidRPr="00E8442C">
        <w:instrText xml:space="preserve"> REF _Ref196751342 \r \h </w:instrText>
      </w:r>
      <w:r w:rsidR="00EB733D" w:rsidRPr="00E8442C">
        <w:instrText xml:space="preserve"> \* MERGEFORMAT </w:instrText>
      </w:r>
      <w:r w:rsidR="004F2BF4" w:rsidRPr="00E8442C">
        <w:fldChar w:fldCharType="separate"/>
      </w:r>
      <w:r w:rsidR="00333A5F">
        <w:t>6.13</w:t>
      </w:r>
      <w:r w:rsidR="004F2BF4" w:rsidRPr="00E8442C">
        <w:fldChar w:fldCharType="end"/>
      </w:r>
      <w:r w:rsidR="004F2BF4" w:rsidRPr="00E8442C">
        <w:t xml:space="preserve"> for discussion)</w:t>
      </w:r>
      <w:r w:rsidRPr="00E8442C">
        <w:t xml:space="preserve">. </w:t>
      </w:r>
      <w:r w:rsidR="004F2BF4" w:rsidRPr="00E8442C">
        <w:t>The</w:t>
      </w:r>
      <w:r w:rsidRPr="00E8442C">
        <w:t xml:space="preserve"> submission identified age, ALP, TB, and cirrhosis at baseline as treatment effect modifiers for PB</w:t>
      </w:r>
      <w:r w:rsidR="004F2BF4" w:rsidRPr="00E8442C">
        <w:t xml:space="preserve">C. </w:t>
      </w:r>
      <w:r w:rsidR="0091629B" w:rsidRPr="00E8442C">
        <w:t>Although t</w:t>
      </w:r>
      <w:r w:rsidR="00E034DD" w:rsidRPr="00E8442C">
        <w:t xml:space="preserve">he submission presented Bucher indirect comparisons that did not control </w:t>
      </w:r>
      <w:r w:rsidR="00835E14" w:rsidRPr="00E8442C">
        <w:t xml:space="preserve">for baseline differences in the participant populations, </w:t>
      </w:r>
      <w:r w:rsidR="0091629B" w:rsidRPr="00E8442C">
        <w:t>it presented</w:t>
      </w:r>
      <w:r w:rsidR="00835E14" w:rsidRPr="00E8442C">
        <w:t xml:space="preserve"> a</w:t>
      </w:r>
      <w:r w:rsidR="004F2BF4" w:rsidRPr="00E8442C">
        <w:t>nchored</w:t>
      </w:r>
      <w:r w:rsidRPr="00E8442C">
        <w:t xml:space="preserve"> MAICs</w:t>
      </w:r>
      <w:r w:rsidR="004F2BF4" w:rsidRPr="00E8442C">
        <w:t xml:space="preserve"> for the primary and key secondary outcomes</w:t>
      </w:r>
      <w:r w:rsidRPr="00E8442C">
        <w:t xml:space="preserve"> that adjusted for the 4 treatment effect modifiers.</w:t>
      </w:r>
    </w:p>
    <w:p w14:paraId="579B3316" w14:textId="72D436B3" w:rsidR="00000A91" w:rsidRPr="00E8442C" w:rsidRDefault="00000A91" w:rsidP="000F0786">
      <w:pPr>
        <w:pStyle w:val="ListParagraph"/>
      </w:pPr>
      <w:r w:rsidRPr="00E8442C">
        <w:t xml:space="preserve">There </w:t>
      </w:r>
      <w:r w:rsidR="00495375" w:rsidRPr="00E8442C">
        <w:t>was only one</w:t>
      </w:r>
      <w:r w:rsidRPr="00E8442C">
        <w:t xml:space="preserve"> statistically significant difference between seladelpar and elafibranor based on the primary outcome of biochemical response</w:t>
      </w:r>
      <w:r w:rsidR="00631004" w:rsidRPr="00E8442C">
        <w:t xml:space="preserve"> (RR, when  calculated using the individual trial thresholds). </w:t>
      </w:r>
      <w:r w:rsidR="00EB5F50" w:rsidRPr="00E8442C">
        <w:t xml:space="preserve">None of the other ITCs for </w:t>
      </w:r>
      <w:r w:rsidR="00A724C3" w:rsidRPr="00E8442C">
        <w:t>biochemical response or any of the ITCS for the</w:t>
      </w:r>
      <w:r w:rsidRPr="00E8442C">
        <w:t xml:space="preserve"> key secondary outcome of ALP response, regardless of the statistical approach (Bucher or MAIC) or ULN threshold applied</w:t>
      </w:r>
      <w:r w:rsidR="00DF4952" w:rsidRPr="00E8442C">
        <w:t xml:space="preserve"> demonstrated a statistically significant difference</w:t>
      </w:r>
      <w:r w:rsidRPr="00E8442C">
        <w:t>. When presented, the p-values were large.</w:t>
      </w:r>
    </w:p>
    <w:p w14:paraId="3F4C8196" w14:textId="6B506319" w:rsidR="00000A91" w:rsidRPr="00B15919" w:rsidRDefault="00000A91" w:rsidP="000F0786">
      <w:pPr>
        <w:pStyle w:val="ListParagraph"/>
      </w:pPr>
      <w:r w:rsidRPr="00E8442C">
        <w:t>The indirect comparisons (Bayesian NMA) between seladelpar and elafibranor on the patient</w:t>
      </w:r>
      <w:r w:rsidR="000D30EA" w:rsidRPr="00E8442C">
        <w:t>-</w:t>
      </w:r>
      <w:r w:rsidRPr="00E8442C">
        <w:t xml:space="preserve">reported outcomes </w:t>
      </w:r>
      <w:r w:rsidR="00835E14" w:rsidRPr="00E8442C">
        <w:t xml:space="preserve">favoured seladelpar for </w:t>
      </w:r>
      <w:r w:rsidRPr="00E8442C">
        <w:t>Pruritus NRS and 5-</w:t>
      </w:r>
      <w:r w:rsidRPr="00E8442C">
        <w:lastRenderedPageBreak/>
        <w:t xml:space="preserve">D </w:t>
      </w:r>
      <w:r w:rsidR="00FA1D0C" w:rsidRPr="00E8442C">
        <w:t>itch but</w:t>
      </w:r>
      <w:r w:rsidR="00835E14" w:rsidRPr="00E8442C">
        <w:t xml:space="preserve"> favoured elafibranor for PBC-40 itch domain (</w:t>
      </w:r>
      <w:r w:rsidR="00835E14" w:rsidRPr="00E8442C">
        <w:fldChar w:fldCharType="begin"/>
      </w:r>
      <w:r w:rsidR="00835E14" w:rsidRPr="00E8442C">
        <w:instrText xml:space="preserve"> REF _Ref196402236 \h  \* MERGEFORMAT </w:instrText>
      </w:r>
      <w:r w:rsidR="00835E14" w:rsidRPr="00E8442C">
        <w:fldChar w:fldCharType="separate"/>
      </w:r>
      <w:r w:rsidR="00333A5F">
        <w:t xml:space="preserve">Table </w:t>
      </w:r>
      <w:r w:rsidR="00333A5F">
        <w:rPr>
          <w:noProof/>
        </w:rPr>
        <w:t>7</w:t>
      </w:r>
      <w:r w:rsidR="00835E14" w:rsidRPr="00E8442C">
        <w:fldChar w:fldCharType="end"/>
      </w:r>
      <w:r w:rsidR="00835E14" w:rsidRPr="00E8442C">
        <w:t>)</w:t>
      </w:r>
      <w:r w:rsidRPr="00E8442C">
        <w:t xml:space="preserve">. </w:t>
      </w:r>
      <w:r w:rsidR="00835E14" w:rsidRPr="00E8442C">
        <w:t xml:space="preserve">None of the differences </w:t>
      </w:r>
      <w:r w:rsidR="00835E14" w:rsidRPr="00B15919">
        <w:t>were statistically significant.</w:t>
      </w:r>
    </w:p>
    <w:p w14:paraId="07511D4A" w14:textId="71B0F11E" w:rsidR="00000A91" w:rsidRPr="00B15919" w:rsidRDefault="00000A91" w:rsidP="000F0786">
      <w:pPr>
        <w:pStyle w:val="ListParagraph"/>
      </w:pPr>
      <w:r w:rsidRPr="00B15919">
        <w:t xml:space="preserve">The indirect comparisons (Bucher and MAIC) did not identify significant differences between seladelpar and elafibranor in terms of </w:t>
      </w:r>
      <w:r w:rsidR="00536957" w:rsidRPr="00B15919">
        <w:t>any adverse events</w:t>
      </w:r>
      <w:r w:rsidRPr="00B15919">
        <w:t xml:space="preserve"> or pruritus TEAEs.</w:t>
      </w:r>
    </w:p>
    <w:p w14:paraId="1AC4B4E0" w14:textId="5A719D12" w:rsidR="009E2C12" w:rsidRPr="00B15919" w:rsidRDefault="009E2C12" w:rsidP="009E2C12">
      <w:pPr>
        <w:pStyle w:val="3-BodyText"/>
        <w:rPr>
          <w:snapToGrid w:val="0"/>
        </w:rPr>
      </w:pPr>
      <w:bookmarkStart w:id="68" w:name="_Hlk76376200"/>
      <w:r w:rsidRPr="00B15919">
        <w:rPr>
          <w:iCs/>
          <w:snapToGrid w:val="0"/>
        </w:rPr>
        <w:t>The</w:t>
      </w:r>
      <w:r w:rsidRPr="00B15919">
        <w:rPr>
          <w:snapToGrid w:val="0"/>
        </w:rPr>
        <w:t xml:space="preserve"> PBAC considered that </w:t>
      </w:r>
      <w:r w:rsidR="00DE0F83" w:rsidRPr="00B15919">
        <w:rPr>
          <w:snapToGrid w:val="0"/>
        </w:rPr>
        <w:t xml:space="preserve">seladelpar was superior in terms of efficacy compared to BSC and non-inferior compared to OCA and elafibranor. </w:t>
      </w:r>
    </w:p>
    <w:p w14:paraId="075BB06C" w14:textId="556EFA7A" w:rsidR="009E2C12" w:rsidRPr="00B15919" w:rsidRDefault="009E2C12" w:rsidP="009E2C12">
      <w:pPr>
        <w:pStyle w:val="3-BodyText"/>
        <w:rPr>
          <w:snapToGrid w:val="0"/>
        </w:rPr>
      </w:pPr>
      <w:r w:rsidRPr="00B15919">
        <w:rPr>
          <w:snapToGrid w:val="0"/>
        </w:rPr>
        <w:t xml:space="preserve">The PBAC considered that </w:t>
      </w:r>
      <w:r w:rsidR="00DE0F83" w:rsidRPr="00B15919">
        <w:rPr>
          <w:snapToGrid w:val="0"/>
        </w:rPr>
        <w:t xml:space="preserve">seladelpar </w:t>
      </w:r>
      <w:r w:rsidR="00FE0D88" w:rsidRPr="00B15919">
        <w:rPr>
          <w:snapToGrid w:val="0"/>
        </w:rPr>
        <w:t xml:space="preserve">had a different safety profile and </w:t>
      </w:r>
      <w:r w:rsidR="00DE0F83" w:rsidRPr="00B15919">
        <w:rPr>
          <w:snapToGrid w:val="0"/>
        </w:rPr>
        <w:t xml:space="preserve">was </w:t>
      </w:r>
      <w:r w:rsidR="00FE0D88" w:rsidRPr="00B15919">
        <w:rPr>
          <w:snapToGrid w:val="0"/>
        </w:rPr>
        <w:t xml:space="preserve">overall </w:t>
      </w:r>
      <w:r w:rsidR="00DE0F83" w:rsidRPr="00B15919">
        <w:rPr>
          <w:snapToGrid w:val="0"/>
        </w:rPr>
        <w:t>non-inferior in terms of</w:t>
      </w:r>
      <w:r w:rsidRPr="00B15919">
        <w:rPr>
          <w:snapToGrid w:val="0"/>
        </w:rPr>
        <w:t xml:space="preserve"> safety </w:t>
      </w:r>
      <w:r w:rsidR="00DE0F83" w:rsidRPr="00B15919">
        <w:rPr>
          <w:snapToGrid w:val="0"/>
        </w:rPr>
        <w:t>compared to BSC, OCA and elafibranor</w:t>
      </w:r>
      <w:r w:rsidR="00E17C52" w:rsidRPr="00B15919">
        <w:rPr>
          <w:snapToGrid w:val="0"/>
        </w:rPr>
        <w:t>, with notabl</w:t>
      </w:r>
      <w:r w:rsidR="00C103F2" w:rsidRPr="00B15919">
        <w:rPr>
          <w:snapToGrid w:val="0"/>
        </w:rPr>
        <w:t>y</w:t>
      </w:r>
      <w:r w:rsidR="002C38D6" w:rsidRPr="00B15919">
        <w:rPr>
          <w:snapToGrid w:val="0"/>
        </w:rPr>
        <w:t xml:space="preserve"> </w:t>
      </w:r>
      <w:r w:rsidR="00C103F2" w:rsidRPr="00B15919">
        <w:rPr>
          <w:snapToGrid w:val="0"/>
        </w:rPr>
        <w:t>fewer</w:t>
      </w:r>
      <w:r w:rsidR="002C38D6" w:rsidRPr="00B15919">
        <w:rPr>
          <w:snapToGrid w:val="0"/>
        </w:rPr>
        <w:t xml:space="preserve"> </w:t>
      </w:r>
      <w:r w:rsidR="002538D1" w:rsidRPr="00B15919">
        <w:rPr>
          <w:snapToGrid w:val="0"/>
        </w:rPr>
        <w:t>prurit</w:t>
      </w:r>
      <w:r w:rsidR="00B15919" w:rsidRPr="00B15919">
        <w:rPr>
          <w:snapToGrid w:val="0"/>
        </w:rPr>
        <w:t>us</w:t>
      </w:r>
      <w:r w:rsidR="002538D1" w:rsidRPr="00B15919">
        <w:rPr>
          <w:snapToGrid w:val="0"/>
        </w:rPr>
        <w:t>-related adverse events</w:t>
      </w:r>
      <w:r w:rsidR="002C38D6" w:rsidRPr="00B15919">
        <w:rPr>
          <w:snapToGrid w:val="0"/>
        </w:rPr>
        <w:t xml:space="preserve"> </w:t>
      </w:r>
      <w:r w:rsidR="002A2AF4" w:rsidRPr="00B15919">
        <w:rPr>
          <w:snapToGrid w:val="0"/>
        </w:rPr>
        <w:t>compared</w:t>
      </w:r>
      <w:r w:rsidR="002C38D6" w:rsidRPr="00B15919">
        <w:rPr>
          <w:snapToGrid w:val="0"/>
        </w:rPr>
        <w:t xml:space="preserve"> to </w:t>
      </w:r>
      <w:r w:rsidR="002A2AF4" w:rsidRPr="00B15919">
        <w:rPr>
          <w:snapToGrid w:val="0"/>
        </w:rPr>
        <w:t>BSC and OCA</w:t>
      </w:r>
      <w:r w:rsidRPr="00B15919">
        <w:rPr>
          <w:snapToGrid w:val="0"/>
        </w:rPr>
        <w:t>.</w:t>
      </w:r>
    </w:p>
    <w:p w14:paraId="4E807A67" w14:textId="77777777" w:rsidR="001458AE" w:rsidRPr="00B15919" w:rsidRDefault="001458AE" w:rsidP="001458AE">
      <w:pPr>
        <w:pStyle w:val="4-SubsectionHeading"/>
      </w:pPr>
      <w:bookmarkStart w:id="69" w:name="_Toc22897645"/>
      <w:bookmarkStart w:id="70" w:name="_Toc198561152"/>
      <w:bookmarkEnd w:id="68"/>
      <w:r w:rsidRPr="00B15919">
        <w:t>Economic analysis</w:t>
      </w:r>
      <w:bookmarkEnd w:id="69"/>
      <w:bookmarkEnd w:id="70"/>
      <w:r w:rsidRPr="00B15919">
        <w:t xml:space="preserve"> </w:t>
      </w:r>
    </w:p>
    <w:p w14:paraId="19C990CE" w14:textId="616EC649" w:rsidR="00460E74" w:rsidRPr="00E8442C" w:rsidRDefault="008E596C" w:rsidP="00460E74">
      <w:pPr>
        <w:pStyle w:val="3-BodyText"/>
        <w:rPr>
          <w:lang w:eastAsia="en-US"/>
        </w:rPr>
      </w:pPr>
      <w:bookmarkStart w:id="71" w:name="_Toc198561153"/>
      <w:r w:rsidRPr="00B15919">
        <w:t xml:space="preserve">The submission presented </w:t>
      </w:r>
      <w:r w:rsidRPr="00B15919">
        <w:rPr>
          <w:snapToGrid w:val="0"/>
          <w:lang w:val="en-GB"/>
        </w:rPr>
        <w:t>cost utility</w:t>
      </w:r>
      <w:r>
        <w:rPr>
          <w:snapToGrid w:val="0"/>
          <w:lang w:val="en-GB"/>
        </w:rPr>
        <w:t xml:space="preserve"> analyses comparing seladelpar </w:t>
      </w:r>
      <w:r>
        <w:rPr>
          <w:rFonts w:cstheme="minorHAnsi"/>
          <w:snapToGrid w:val="0"/>
          <w:lang w:val="en-GB"/>
        </w:rPr>
        <w:t>±</w:t>
      </w:r>
      <w:r>
        <w:rPr>
          <w:snapToGrid w:val="0"/>
          <w:lang w:val="en-GB"/>
        </w:rPr>
        <w:t xml:space="preserve"> UDCA with BSC </w:t>
      </w:r>
      <w:r>
        <w:rPr>
          <w:rFonts w:cstheme="minorHAnsi"/>
          <w:snapToGrid w:val="0"/>
          <w:lang w:val="en-GB"/>
        </w:rPr>
        <w:t>±</w:t>
      </w:r>
      <w:r>
        <w:rPr>
          <w:snapToGrid w:val="0"/>
          <w:lang w:val="en-GB"/>
        </w:rPr>
        <w:t xml:space="preserve"> UDCA and OCA </w:t>
      </w:r>
      <w:r>
        <w:rPr>
          <w:rFonts w:cstheme="minorHAnsi"/>
          <w:snapToGrid w:val="0"/>
          <w:lang w:val="en-GB"/>
        </w:rPr>
        <w:t>±</w:t>
      </w:r>
      <w:r>
        <w:rPr>
          <w:snapToGrid w:val="0"/>
          <w:lang w:val="en-GB"/>
        </w:rPr>
        <w:t xml:space="preserve"> UDCA.</w:t>
      </w:r>
      <w:r>
        <w:t xml:space="preserve"> </w:t>
      </w:r>
      <w:r w:rsidR="00460E74" w:rsidRPr="00E8442C">
        <w:t xml:space="preserve">Given that (i) the ESC considered that seladelpar was non-inferior compared to both OCA and elafibranor in terms of efficacy and safety, (ii) elafibranor was recommended by the PBAC in March 2025 on the basis of a cost-minimisation approach versus OCA (see paragraph </w:t>
      </w:r>
      <w:r w:rsidR="00460E74" w:rsidRPr="00E8442C">
        <w:fldChar w:fldCharType="begin"/>
      </w:r>
      <w:r w:rsidR="00460E74" w:rsidRPr="00E8442C">
        <w:instrText xml:space="preserve"> REF _Ref201070403 \r \h  \* MERGEFORMAT </w:instrText>
      </w:r>
      <w:r w:rsidR="00460E74" w:rsidRPr="00E8442C">
        <w:fldChar w:fldCharType="separate"/>
      </w:r>
      <w:r w:rsidR="00333A5F">
        <w:t>2.2</w:t>
      </w:r>
      <w:r w:rsidR="00460E74" w:rsidRPr="00E8442C">
        <w:fldChar w:fldCharType="end"/>
      </w:r>
      <w:r w:rsidR="00460E74" w:rsidRPr="00E8442C">
        <w:t xml:space="preserve">) and (iii) elafibranor was not yet listed on the PBS, the ESC considered that a cost minimisation approach between seladelpar and OCA would be the most appropriate way forward. The ESC noted that in March 2025 the PBAC considered that a price premium for elafibranor would be reasonable given the potential reduction in PBC-related pruritus compared to </w:t>
      </w:r>
      <w:r w:rsidR="0038586D">
        <w:t>OCA</w:t>
      </w:r>
      <w:r w:rsidR="00460E74" w:rsidRPr="00E8442C">
        <w:t>. The ESC considered that a similar approach could be applied to the cost minimisation between seladelpar and OCA.</w:t>
      </w:r>
    </w:p>
    <w:p w14:paraId="3021CCD6" w14:textId="7D054BF3" w:rsidR="00D042BF" w:rsidRPr="00D042BF" w:rsidRDefault="00D042BF" w:rsidP="00D042BF">
      <w:pPr>
        <w:pStyle w:val="5-SubsectionSubheading"/>
        <w:rPr>
          <w:lang w:eastAsia="en-US"/>
        </w:rPr>
      </w:pPr>
      <w:r>
        <w:rPr>
          <w:lang w:eastAsia="en-US"/>
        </w:rPr>
        <w:t xml:space="preserve">Cost utility analysis </w:t>
      </w:r>
      <w:r w:rsidR="00DE0F83">
        <w:rPr>
          <w:lang w:eastAsia="en-US"/>
        </w:rPr>
        <w:t xml:space="preserve">versus </w:t>
      </w:r>
      <w:r>
        <w:rPr>
          <w:lang w:eastAsia="en-US"/>
        </w:rPr>
        <w:t>BSC (</w:t>
      </w:r>
      <w:r w:rsidR="00466DCE">
        <w:rPr>
          <w:rFonts w:cstheme="minorHAnsi"/>
        </w:rPr>
        <w:t>±</w:t>
      </w:r>
      <w:r w:rsidR="00564988">
        <w:rPr>
          <w:rFonts w:cstheme="minorHAnsi"/>
        </w:rPr>
        <w:t xml:space="preserve"> </w:t>
      </w:r>
      <w:r>
        <w:rPr>
          <w:lang w:eastAsia="en-US"/>
        </w:rPr>
        <w:t>UDCA) and OCA (</w:t>
      </w:r>
      <w:r w:rsidR="00466DCE">
        <w:rPr>
          <w:rFonts w:cstheme="minorHAnsi"/>
        </w:rPr>
        <w:t>±</w:t>
      </w:r>
      <w:r w:rsidR="00564988">
        <w:rPr>
          <w:rFonts w:cstheme="minorHAnsi"/>
        </w:rPr>
        <w:t xml:space="preserve"> </w:t>
      </w:r>
      <w:r>
        <w:rPr>
          <w:lang w:eastAsia="en-US"/>
        </w:rPr>
        <w:t>UDCA)</w:t>
      </w:r>
      <w:bookmarkEnd w:id="71"/>
    </w:p>
    <w:p w14:paraId="49A014F3" w14:textId="2B889D84" w:rsidR="00D042BF" w:rsidRPr="00707F97" w:rsidRDefault="00D042BF" w:rsidP="00D042BF">
      <w:pPr>
        <w:pStyle w:val="3-BodyText"/>
        <w:rPr>
          <w:b/>
          <w:bCs/>
        </w:rPr>
      </w:pPr>
      <w:bookmarkStart w:id="72" w:name="_Toc22897646"/>
      <w:bookmarkStart w:id="73" w:name="_Ref104805102"/>
      <w:r w:rsidRPr="00F60921">
        <w:t>The submission presented a Markov cohort model for the comparison of seladelpar</w:t>
      </w:r>
      <w:r>
        <w:t xml:space="preserve"> </w:t>
      </w:r>
      <w:r w:rsidR="00466DCE">
        <w:rPr>
          <w:rFonts w:cstheme="minorHAnsi"/>
        </w:rPr>
        <w:t>±</w:t>
      </w:r>
      <w:r>
        <w:t xml:space="preserve"> </w:t>
      </w:r>
      <w:r w:rsidRPr="00F60921">
        <w:t>UDCA v</w:t>
      </w:r>
      <w:r w:rsidR="00DE0F83">
        <w:t>ersu</w:t>
      </w:r>
      <w:r w:rsidRPr="00F60921">
        <w:t>s BSC</w:t>
      </w:r>
      <w:r>
        <w:t xml:space="preserve"> </w:t>
      </w:r>
      <w:r w:rsidR="00466DCE">
        <w:rPr>
          <w:rFonts w:cstheme="minorHAnsi"/>
        </w:rPr>
        <w:t>±</w:t>
      </w:r>
      <w:r>
        <w:t xml:space="preserve"> </w:t>
      </w:r>
      <w:r w:rsidRPr="00F60921">
        <w:t>UDCA and v</w:t>
      </w:r>
      <w:r w:rsidR="00DE0F83">
        <w:t>ersu</w:t>
      </w:r>
      <w:r w:rsidRPr="00F60921">
        <w:t>s OCA</w:t>
      </w:r>
      <w:r>
        <w:t xml:space="preserve"> </w:t>
      </w:r>
      <w:r w:rsidR="00466DCE">
        <w:rPr>
          <w:rFonts w:cstheme="minorHAnsi"/>
        </w:rPr>
        <w:t xml:space="preserve">± </w:t>
      </w:r>
      <w:r w:rsidRPr="00F60921">
        <w:t>UDCA</w:t>
      </w:r>
      <w:r>
        <w:t xml:space="preserve"> (</w:t>
      </w:r>
      <w:r>
        <w:fldChar w:fldCharType="begin"/>
      </w:r>
      <w:r>
        <w:instrText xml:space="preserve"> REF _Ref197512174 \h </w:instrText>
      </w:r>
      <w:r>
        <w:fldChar w:fldCharType="separate"/>
      </w:r>
      <w:r w:rsidR="00333A5F">
        <w:t xml:space="preserve">Table </w:t>
      </w:r>
      <w:r w:rsidR="00333A5F">
        <w:rPr>
          <w:noProof/>
        </w:rPr>
        <w:t>13</w:t>
      </w:r>
      <w:r>
        <w:fldChar w:fldCharType="end"/>
      </w:r>
      <w:r>
        <w:t>)</w:t>
      </w:r>
      <w:r w:rsidRPr="00F60921">
        <w:t xml:space="preserve">. </w:t>
      </w:r>
      <w:r w:rsidR="00A417A9" w:rsidRPr="00F850E4">
        <w:rPr>
          <w:i/>
          <w:iCs/>
        </w:rPr>
        <w:t xml:space="preserve"> </w:t>
      </w:r>
    </w:p>
    <w:p w14:paraId="1D508B31" w14:textId="4BF11410" w:rsidR="00D042BF" w:rsidRPr="00F60921" w:rsidRDefault="00D042BF" w:rsidP="0097042E">
      <w:pPr>
        <w:pStyle w:val="Caption"/>
        <w:rPr>
          <w:rStyle w:val="CommentReference"/>
          <w:b/>
          <w:szCs w:val="24"/>
        </w:rPr>
      </w:pPr>
      <w:bookmarkStart w:id="74" w:name="_Ref197512174"/>
      <w:bookmarkStart w:id="75" w:name="_Hlk194571113"/>
      <w:r>
        <w:t xml:space="preserve">Table </w:t>
      </w:r>
      <w:r w:rsidR="00A24BC2">
        <w:fldChar w:fldCharType="begin"/>
      </w:r>
      <w:r w:rsidR="00A24BC2">
        <w:instrText xml:space="preserve"> SEQ Table \* ARABIC </w:instrText>
      </w:r>
      <w:r w:rsidR="00A24BC2">
        <w:fldChar w:fldCharType="separate"/>
      </w:r>
      <w:r w:rsidR="00333A5F">
        <w:rPr>
          <w:noProof/>
        </w:rPr>
        <w:t>13</w:t>
      </w:r>
      <w:r w:rsidR="00A24BC2">
        <w:rPr>
          <w:noProof/>
        </w:rPr>
        <w:fldChar w:fldCharType="end"/>
      </w:r>
      <w:bookmarkEnd w:id="74"/>
      <w:r w:rsidRPr="00F60921">
        <w:t>:</w:t>
      </w:r>
      <w:r w:rsidRPr="00F60921">
        <w:rPr>
          <w:rStyle w:val="CommentReference"/>
          <w:b/>
          <w:szCs w:val="24"/>
        </w:rPr>
        <w:t xml:space="preserve"> Summary of model structure, key inputs and rationale</w:t>
      </w:r>
    </w:p>
    <w:tbl>
      <w:tblPr>
        <w:tblStyle w:val="TableGrid"/>
        <w:tblW w:w="5000" w:type="pct"/>
        <w:tblLook w:val="04A0" w:firstRow="1" w:lastRow="0" w:firstColumn="1" w:lastColumn="0" w:noHBand="0" w:noVBand="1"/>
        <w:tblCaption w:val="Table 13: Summary of model structure, key inputs and rationale"/>
      </w:tblPr>
      <w:tblGrid>
        <w:gridCol w:w="1915"/>
        <w:gridCol w:w="7102"/>
      </w:tblGrid>
      <w:tr w:rsidR="00D042BF" w:rsidRPr="00F60921" w14:paraId="730A2C7F" w14:textId="77777777" w:rsidTr="00D72116">
        <w:trPr>
          <w:tblHeader/>
        </w:trPr>
        <w:tc>
          <w:tcPr>
            <w:tcW w:w="1062" w:type="pct"/>
          </w:tcPr>
          <w:bookmarkEnd w:id="75"/>
          <w:p w14:paraId="35F89345" w14:textId="77777777" w:rsidR="00D042BF" w:rsidRPr="00EB733D" w:rsidRDefault="00D042BF" w:rsidP="0097042E">
            <w:pPr>
              <w:pStyle w:val="TableText0"/>
              <w:jc w:val="center"/>
              <w:rPr>
                <w:b/>
                <w:bCs w:val="0"/>
              </w:rPr>
            </w:pPr>
            <w:r w:rsidRPr="00EB733D">
              <w:rPr>
                <w:b/>
                <w:bCs w:val="0"/>
              </w:rPr>
              <w:t>Component</w:t>
            </w:r>
          </w:p>
        </w:tc>
        <w:tc>
          <w:tcPr>
            <w:tcW w:w="3938" w:type="pct"/>
          </w:tcPr>
          <w:p w14:paraId="1C3687F3" w14:textId="77777777" w:rsidR="00D042BF" w:rsidRPr="00EB733D" w:rsidRDefault="00D042BF" w:rsidP="0097042E">
            <w:pPr>
              <w:pStyle w:val="TableText0"/>
              <w:jc w:val="center"/>
              <w:rPr>
                <w:b/>
                <w:bCs w:val="0"/>
              </w:rPr>
            </w:pPr>
            <w:r w:rsidRPr="00EB733D">
              <w:rPr>
                <w:b/>
                <w:bCs w:val="0"/>
              </w:rPr>
              <w:t>Summary</w:t>
            </w:r>
          </w:p>
        </w:tc>
      </w:tr>
      <w:tr w:rsidR="00D042BF" w:rsidRPr="00F60921" w14:paraId="5EE8DA64" w14:textId="77777777" w:rsidTr="00D72116">
        <w:tc>
          <w:tcPr>
            <w:tcW w:w="1062" w:type="pct"/>
          </w:tcPr>
          <w:p w14:paraId="7E0F4BB6" w14:textId="77777777" w:rsidR="00D042BF" w:rsidRPr="00EB733D" w:rsidRDefault="00D042BF" w:rsidP="0097042E">
            <w:pPr>
              <w:pStyle w:val="TableText0"/>
            </w:pPr>
            <w:r w:rsidRPr="00EB733D">
              <w:t>Time horizon</w:t>
            </w:r>
          </w:p>
        </w:tc>
        <w:tc>
          <w:tcPr>
            <w:tcW w:w="3938" w:type="pct"/>
          </w:tcPr>
          <w:p w14:paraId="2B405AD1" w14:textId="011F2492" w:rsidR="00D042BF" w:rsidRPr="00EB733D" w:rsidRDefault="00D042BF" w:rsidP="00CB3504">
            <w:pPr>
              <w:pStyle w:val="TableText0"/>
            </w:pPr>
            <w:r w:rsidRPr="00EB733D">
              <w:t>30 years</w:t>
            </w:r>
            <w:r w:rsidR="00CB3504">
              <w:t xml:space="preserve">. </w:t>
            </w:r>
            <w:r w:rsidRPr="00EB733D">
              <w:t>Same as the OCA PBAC submission and accepted by the PBAC (para 7.4, obeticholic acid PSD, Nov 2020 PBAC meeting).</w:t>
            </w:r>
          </w:p>
        </w:tc>
      </w:tr>
      <w:tr w:rsidR="00D042BF" w:rsidRPr="00F60921" w14:paraId="1DE55C1C" w14:textId="77777777" w:rsidTr="00D72116">
        <w:tc>
          <w:tcPr>
            <w:tcW w:w="1062" w:type="pct"/>
          </w:tcPr>
          <w:p w14:paraId="260F1FB2" w14:textId="77777777" w:rsidR="00D042BF" w:rsidRPr="00EB733D" w:rsidRDefault="00D042BF" w:rsidP="0097042E">
            <w:pPr>
              <w:pStyle w:val="TableText0"/>
            </w:pPr>
            <w:r w:rsidRPr="00EB733D">
              <w:t>Methods used to generate results</w:t>
            </w:r>
          </w:p>
        </w:tc>
        <w:tc>
          <w:tcPr>
            <w:tcW w:w="3938" w:type="pct"/>
          </w:tcPr>
          <w:p w14:paraId="2D3FC2B0" w14:textId="77777777" w:rsidR="00D042BF" w:rsidRPr="00EB733D" w:rsidRDefault="00D042BF" w:rsidP="0097042E">
            <w:pPr>
              <w:pStyle w:val="TableText0"/>
            </w:pPr>
            <w:r w:rsidRPr="00EB733D">
              <w:t>Markov cohort model.</w:t>
            </w:r>
          </w:p>
          <w:p w14:paraId="021C974F" w14:textId="0DFDA493" w:rsidR="00D042BF" w:rsidRPr="00EB733D" w:rsidRDefault="00D042BF" w:rsidP="0097042E">
            <w:pPr>
              <w:pStyle w:val="TableText0"/>
            </w:pPr>
          </w:p>
        </w:tc>
      </w:tr>
      <w:tr w:rsidR="00D042BF" w:rsidRPr="00F60921" w14:paraId="6A53E9AA" w14:textId="77777777" w:rsidTr="00D72116">
        <w:tc>
          <w:tcPr>
            <w:tcW w:w="1062" w:type="pct"/>
          </w:tcPr>
          <w:p w14:paraId="030B70AD" w14:textId="77777777" w:rsidR="00D042BF" w:rsidRPr="00EB733D" w:rsidRDefault="00D042BF" w:rsidP="0097042E">
            <w:pPr>
              <w:pStyle w:val="TableText0"/>
            </w:pPr>
            <w:r w:rsidRPr="00EB733D">
              <w:t>Treatments</w:t>
            </w:r>
          </w:p>
        </w:tc>
        <w:tc>
          <w:tcPr>
            <w:tcW w:w="3938" w:type="pct"/>
          </w:tcPr>
          <w:p w14:paraId="68EE4070" w14:textId="77777777" w:rsidR="00D042BF" w:rsidRPr="00EB733D" w:rsidRDefault="00D042BF" w:rsidP="0097042E">
            <w:pPr>
              <w:pStyle w:val="TableText0"/>
            </w:pPr>
            <w:r w:rsidRPr="00EB733D">
              <w:t>Intervention:</w:t>
            </w:r>
            <w:r w:rsidRPr="00EB733D">
              <w:tab/>
              <w:t>Seladelpar (+/- UDCA)</w:t>
            </w:r>
          </w:p>
          <w:p w14:paraId="172AED3F" w14:textId="77777777" w:rsidR="00D042BF" w:rsidRPr="00EB733D" w:rsidRDefault="00D042BF" w:rsidP="0097042E">
            <w:pPr>
              <w:pStyle w:val="TableText0"/>
            </w:pPr>
            <w:r w:rsidRPr="00EB733D">
              <w:t>Comparators:</w:t>
            </w:r>
            <w:r w:rsidRPr="00EB733D">
              <w:tab/>
              <w:t>OCA (+/- UDCA)</w:t>
            </w:r>
          </w:p>
          <w:p w14:paraId="723EB287" w14:textId="7A44CE8E" w:rsidR="00D042BF" w:rsidRPr="00EB733D" w:rsidRDefault="00D042BF" w:rsidP="0097042E">
            <w:pPr>
              <w:pStyle w:val="TableText0"/>
            </w:pPr>
            <w:r w:rsidRPr="00EB733D">
              <w:tab/>
            </w:r>
            <w:r w:rsidRPr="00EB733D">
              <w:tab/>
              <w:t>BSC (+/- UDCA)</w:t>
            </w:r>
          </w:p>
        </w:tc>
      </w:tr>
      <w:tr w:rsidR="00D042BF" w:rsidRPr="00F60921" w14:paraId="76906EA8" w14:textId="77777777" w:rsidTr="00D72116">
        <w:tc>
          <w:tcPr>
            <w:tcW w:w="1062" w:type="pct"/>
          </w:tcPr>
          <w:p w14:paraId="30380C14" w14:textId="77777777" w:rsidR="00D042BF" w:rsidRPr="00EB733D" w:rsidRDefault="00D042BF" w:rsidP="0097042E">
            <w:pPr>
              <w:pStyle w:val="TableText0"/>
            </w:pPr>
            <w:r w:rsidRPr="00EB733D">
              <w:t>Health states</w:t>
            </w:r>
          </w:p>
        </w:tc>
        <w:tc>
          <w:tcPr>
            <w:tcW w:w="3938" w:type="pct"/>
          </w:tcPr>
          <w:p w14:paraId="6BFD7C24" w14:textId="77777777" w:rsidR="00D042BF" w:rsidRPr="00EB733D" w:rsidRDefault="00D042BF" w:rsidP="0097042E">
            <w:pPr>
              <w:pStyle w:val="TableText0"/>
            </w:pPr>
            <w:r w:rsidRPr="00EB733D">
              <w:t>Similar structure and health states were used in the model presented in the OCA PBAC submissions (Table 7, obeticholic acid, PSD, November 2018 PBAC meeting) and the NICE elafibranor model (TA1016).</w:t>
            </w:r>
          </w:p>
        </w:tc>
      </w:tr>
      <w:tr w:rsidR="00D042BF" w:rsidRPr="00F60921" w14:paraId="092B2A3E" w14:textId="77777777" w:rsidTr="00D72116">
        <w:tc>
          <w:tcPr>
            <w:tcW w:w="1062" w:type="pct"/>
          </w:tcPr>
          <w:p w14:paraId="1DF20D5B" w14:textId="77777777" w:rsidR="00D042BF" w:rsidRPr="00EB733D" w:rsidRDefault="00D042BF">
            <w:pPr>
              <w:pStyle w:val="TableText0"/>
              <w:keepNext w:val="0"/>
            </w:pPr>
            <w:r w:rsidRPr="00EB733D">
              <w:t>Cycle length</w:t>
            </w:r>
          </w:p>
        </w:tc>
        <w:tc>
          <w:tcPr>
            <w:tcW w:w="3938" w:type="pct"/>
          </w:tcPr>
          <w:p w14:paraId="69F72C4E" w14:textId="77777777" w:rsidR="00D042BF" w:rsidRPr="00EB733D" w:rsidRDefault="00D042BF">
            <w:pPr>
              <w:pStyle w:val="TableText0"/>
              <w:keepNext w:val="0"/>
            </w:pPr>
            <w:r w:rsidRPr="00EB733D">
              <w:t>1</w:t>
            </w:r>
            <w:r w:rsidRPr="00EB733D">
              <w:rPr>
                <w:vertAlign w:val="superscript"/>
              </w:rPr>
              <w:t>st</w:t>
            </w:r>
            <w:r w:rsidRPr="00EB733D">
              <w:t xml:space="preserve"> cycle: 1 month</w:t>
            </w:r>
          </w:p>
          <w:p w14:paraId="4A6B9AC8" w14:textId="77777777" w:rsidR="00D042BF" w:rsidRPr="00EB733D" w:rsidRDefault="00D042BF">
            <w:pPr>
              <w:pStyle w:val="TableText0"/>
              <w:keepNext w:val="0"/>
            </w:pPr>
            <w:r w:rsidRPr="00EB733D">
              <w:t>2</w:t>
            </w:r>
            <w:r w:rsidRPr="00EB733D">
              <w:rPr>
                <w:vertAlign w:val="superscript"/>
              </w:rPr>
              <w:t>nd</w:t>
            </w:r>
            <w:r w:rsidRPr="00EB733D">
              <w:t xml:space="preserve"> cycle: 2 months</w:t>
            </w:r>
          </w:p>
          <w:p w14:paraId="1D1DBA75" w14:textId="77777777" w:rsidR="00D042BF" w:rsidRPr="00EB733D" w:rsidRDefault="00D042BF">
            <w:pPr>
              <w:pStyle w:val="TableText0"/>
              <w:keepNext w:val="0"/>
            </w:pPr>
            <w:r w:rsidRPr="00EB733D">
              <w:t>Subsequent cycles: 3 months</w:t>
            </w:r>
          </w:p>
          <w:p w14:paraId="1886DF24" w14:textId="77777777" w:rsidR="00D042BF" w:rsidRPr="00EB733D" w:rsidRDefault="00D042BF">
            <w:pPr>
              <w:pStyle w:val="TableText0"/>
              <w:keepNext w:val="0"/>
            </w:pPr>
            <w:r w:rsidRPr="00EB733D">
              <w:t>Length of 1</w:t>
            </w:r>
            <w:r w:rsidRPr="00EB733D">
              <w:rPr>
                <w:vertAlign w:val="superscript"/>
              </w:rPr>
              <w:t>st</w:t>
            </w:r>
            <w:r w:rsidRPr="00EB733D">
              <w:t xml:space="preserve"> and 2</w:t>
            </w:r>
            <w:r w:rsidRPr="00EB733D">
              <w:rPr>
                <w:vertAlign w:val="superscript"/>
              </w:rPr>
              <w:t>nd</w:t>
            </w:r>
            <w:r w:rsidRPr="00EB733D">
              <w:t xml:space="preserve"> cycles was aligned with the RESPONSE trial assessment visit interval. Subsequent cycle length was reasonable.</w:t>
            </w:r>
          </w:p>
        </w:tc>
      </w:tr>
      <w:tr w:rsidR="00D042BF" w:rsidRPr="00F60921" w14:paraId="1080D3F4" w14:textId="77777777" w:rsidTr="00D72116">
        <w:tc>
          <w:tcPr>
            <w:tcW w:w="1062" w:type="pct"/>
          </w:tcPr>
          <w:p w14:paraId="58004EE9" w14:textId="77777777" w:rsidR="00D042BF" w:rsidRPr="00EB733D" w:rsidRDefault="00D042BF">
            <w:pPr>
              <w:pStyle w:val="TableText0"/>
              <w:keepNext w:val="0"/>
            </w:pPr>
            <w:r w:rsidRPr="00EB733D">
              <w:t>Age at initiation of second-line treatment</w:t>
            </w:r>
          </w:p>
        </w:tc>
        <w:tc>
          <w:tcPr>
            <w:tcW w:w="3938" w:type="pct"/>
          </w:tcPr>
          <w:p w14:paraId="1EE017F0" w14:textId="77777777" w:rsidR="00D042BF" w:rsidRPr="00EB733D" w:rsidRDefault="00D042BF">
            <w:pPr>
              <w:pStyle w:val="TableText0"/>
              <w:keepNext w:val="0"/>
            </w:pPr>
            <w:r w:rsidRPr="00EB733D">
              <w:t>56.7 years</w:t>
            </w:r>
          </w:p>
          <w:p w14:paraId="16031D1E" w14:textId="7EEF17A7" w:rsidR="00D042BF" w:rsidRPr="00EB733D" w:rsidRDefault="00D042BF">
            <w:pPr>
              <w:pStyle w:val="TableText0"/>
              <w:keepNext w:val="0"/>
            </w:pPr>
            <w:r w:rsidRPr="00EB733D">
              <w:t>Consistent with the RESPONSE trial.</w:t>
            </w:r>
          </w:p>
        </w:tc>
      </w:tr>
      <w:tr w:rsidR="00D042BF" w:rsidRPr="00F60921" w14:paraId="7EE4D91A" w14:textId="77777777" w:rsidTr="00D72116">
        <w:tc>
          <w:tcPr>
            <w:tcW w:w="1062" w:type="pct"/>
          </w:tcPr>
          <w:p w14:paraId="394FF921" w14:textId="77777777" w:rsidR="00D042BF" w:rsidRPr="00EB733D" w:rsidRDefault="00D042BF">
            <w:pPr>
              <w:pStyle w:val="TableText0"/>
              <w:keepNext w:val="0"/>
            </w:pPr>
            <w:r w:rsidRPr="00EB733D">
              <w:t>% female patients</w:t>
            </w:r>
          </w:p>
        </w:tc>
        <w:tc>
          <w:tcPr>
            <w:tcW w:w="3938" w:type="pct"/>
          </w:tcPr>
          <w:p w14:paraId="4C153763" w14:textId="77777777" w:rsidR="00D042BF" w:rsidRPr="00EB733D" w:rsidRDefault="00D042BF">
            <w:pPr>
              <w:pStyle w:val="TableText0"/>
              <w:keepNext w:val="0"/>
            </w:pPr>
            <w:r w:rsidRPr="00EB733D">
              <w:t>94.82%</w:t>
            </w:r>
          </w:p>
          <w:p w14:paraId="64FAA6FB" w14:textId="356B628C" w:rsidR="00D042BF" w:rsidRPr="00EB733D" w:rsidRDefault="00D042BF">
            <w:pPr>
              <w:pStyle w:val="TableText0"/>
              <w:keepNext w:val="0"/>
            </w:pPr>
            <w:r w:rsidRPr="00EB733D">
              <w:lastRenderedPageBreak/>
              <w:t>Consistent with the RESPONSE trial.</w:t>
            </w:r>
          </w:p>
        </w:tc>
      </w:tr>
      <w:tr w:rsidR="00D042BF" w:rsidRPr="00F60921" w14:paraId="450CDD6B" w14:textId="77777777" w:rsidTr="00D72116">
        <w:tc>
          <w:tcPr>
            <w:tcW w:w="1062" w:type="pct"/>
          </w:tcPr>
          <w:p w14:paraId="2C69A632" w14:textId="77777777" w:rsidR="00D042BF" w:rsidRPr="00EB733D" w:rsidRDefault="00D042BF">
            <w:pPr>
              <w:pStyle w:val="TableText0"/>
              <w:keepNext w:val="0"/>
            </w:pPr>
            <w:r w:rsidRPr="00EB733D">
              <w:lastRenderedPageBreak/>
              <w:t>Baseline distribution across biochemical health states</w:t>
            </w:r>
          </w:p>
        </w:tc>
        <w:tc>
          <w:tcPr>
            <w:tcW w:w="3938" w:type="pct"/>
          </w:tcPr>
          <w:p w14:paraId="6C19876E" w14:textId="77777777" w:rsidR="00D042BF" w:rsidRPr="00EB733D" w:rsidRDefault="00D042BF">
            <w:pPr>
              <w:pStyle w:val="TableText0"/>
              <w:keepNext w:val="0"/>
            </w:pPr>
            <w:r w:rsidRPr="00EB733D">
              <w:t>0% ALP normalisation, 5.88% Mild ALP elevation, 71.66% high ALP elevation, CC or elevated bilirubin 22.46%.</w:t>
            </w:r>
          </w:p>
          <w:p w14:paraId="2A6D7ACD" w14:textId="73B05884" w:rsidR="00D042BF" w:rsidRPr="00EB733D" w:rsidRDefault="00D042BF">
            <w:pPr>
              <w:pStyle w:val="TableText0"/>
              <w:keepNext w:val="0"/>
            </w:pPr>
            <w:r w:rsidRPr="00EB733D">
              <w:t>Consistent with the RESPONSE trial.</w:t>
            </w:r>
          </w:p>
        </w:tc>
      </w:tr>
      <w:tr w:rsidR="00D042BF" w:rsidRPr="00F60921" w14:paraId="45F8F0F2" w14:textId="77777777" w:rsidTr="00D72116">
        <w:tc>
          <w:tcPr>
            <w:tcW w:w="1062" w:type="pct"/>
          </w:tcPr>
          <w:p w14:paraId="19972EA3" w14:textId="77777777" w:rsidR="00D042BF" w:rsidRPr="00EB733D" w:rsidRDefault="00D042BF">
            <w:pPr>
              <w:pStyle w:val="TableText0"/>
              <w:keepNext w:val="0"/>
            </w:pPr>
            <w:r w:rsidRPr="00EB733D">
              <w:t>Utility values</w:t>
            </w:r>
          </w:p>
        </w:tc>
        <w:tc>
          <w:tcPr>
            <w:tcW w:w="3938" w:type="pct"/>
          </w:tcPr>
          <w:p w14:paraId="077FAA2C" w14:textId="77777777" w:rsidR="00D042BF" w:rsidRPr="00EB733D" w:rsidRDefault="00D042BF">
            <w:pPr>
              <w:pStyle w:val="TableText0"/>
              <w:keepNext w:val="0"/>
            </w:pPr>
            <w:r w:rsidRPr="00EB733D">
              <w:t>In line with PBAC guidance, trial data was used where available.</w:t>
            </w:r>
          </w:p>
          <w:p w14:paraId="47AFFFE6" w14:textId="4B517DE0" w:rsidR="00D042BF" w:rsidRPr="00EB733D" w:rsidRDefault="00D042BF">
            <w:pPr>
              <w:pStyle w:val="TableText0"/>
              <w:keepNext w:val="0"/>
            </w:pPr>
            <w:r w:rsidRPr="00EB733D">
              <w:t xml:space="preserve">Utilities were reasonable except for the utility for post-liver transplant were given as 0.57 in NICE TA443, not 0.67 as in the submission. When 0.57 was used, the ICERs decreased by approximately </w:t>
            </w:r>
            <w:r w:rsidR="0013485D" w:rsidRPr="00333A5F">
              <w:rPr>
                <w:rFonts w:hint="eastAsia"/>
                <w:color w:val="000000"/>
                <w:w w:val="29"/>
                <w:shd w:val="solid" w:color="000000" w:fill="000000"/>
                <w:fitText w:val="130" w:id="-613240576"/>
                <w14:textFill>
                  <w14:solidFill>
                    <w14:srgbClr w14:val="000000">
                      <w14:alpha w14:val="100000"/>
                    </w14:srgbClr>
                  </w14:solidFill>
                </w14:textFill>
              </w:rPr>
              <w:t xml:space="preserve">　</w:t>
            </w:r>
            <w:r w:rsidR="0013485D" w:rsidRPr="00333A5F">
              <w:rPr>
                <w:color w:val="000000"/>
                <w:w w:val="29"/>
                <w:shd w:val="solid" w:color="000000" w:fill="000000"/>
                <w:fitText w:val="130" w:id="-613240576"/>
                <w14:textFill>
                  <w14:solidFill>
                    <w14:srgbClr w14:val="000000">
                      <w14:alpha w14:val="100000"/>
                    </w14:srgbClr>
                  </w14:solidFill>
                </w14:textFill>
              </w:rPr>
              <w:t>|</w:t>
            </w:r>
            <w:r w:rsidR="0013485D" w:rsidRPr="00333A5F">
              <w:rPr>
                <w:rFonts w:hint="eastAsia"/>
                <w:color w:val="000000"/>
                <w:w w:val="29"/>
                <w:shd w:val="solid" w:color="000000" w:fill="000000"/>
                <w:fitText w:val="130" w:id="-613240576"/>
                <w14:textFill>
                  <w14:solidFill>
                    <w14:srgbClr w14:val="000000">
                      <w14:alpha w14:val="100000"/>
                    </w14:srgbClr>
                  </w14:solidFill>
                </w14:textFill>
              </w:rPr>
              <w:t xml:space="preserve">　</w:t>
            </w:r>
            <w:r w:rsidRPr="00EB733D">
              <w:t>%.</w:t>
            </w:r>
          </w:p>
        </w:tc>
      </w:tr>
      <w:tr w:rsidR="00D042BF" w:rsidRPr="00F60921" w14:paraId="64806122" w14:textId="77777777" w:rsidTr="00D72116">
        <w:tc>
          <w:tcPr>
            <w:tcW w:w="1062" w:type="pct"/>
          </w:tcPr>
          <w:p w14:paraId="7A405E4F" w14:textId="77777777" w:rsidR="00D042BF" w:rsidRPr="00EB733D" w:rsidRDefault="00D042BF">
            <w:pPr>
              <w:pStyle w:val="TableText0"/>
              <w:keepNext w:val="0"/>
            </w:pPr>
            <w:r w:rsidRPr="00EB733D">
              <w:t>Health state costs</w:t>
            </w:r>
          </w:p>
        </w:tc>
        <w:tc>
          <w:tcPr>
            <w:tcW w:w="3938" w:type="pct"/>
          </w:tcPr>
          <w:p w14:paraId="126EFA35" w14:textId="4F2D0B73" w:rsidR="00D042BF" w:rsidRPr="00EB733D" w:rsidRDefault="00D042BF">
            <w:pPr>
              <w:pStyle w:val="TableText0"/>
              <w:keepNext w:val="0"/>
            </w:pPr>
            <w:bookmarkStart w:id="76" w:name="_Hlk194995654"/>
            <w:r w:rsidRPr="00EB733D">
              <w:t>Seladelpar drug costs were estimated based on the proposed placeholder price (i.e., $</w:t>
            </w:r>
            <w:r w:rsidR="006564A4" w:rsidRPr="00333A5F">
              <w:rPr>
                <w:color w:val="000000"/>
                <w:spacing w:val="51"/>
                <w:shd w:val="solid" w:color="000000" w:fill="000000"/>
                <w:fitText w:val="324" w:id="-629520895"/>
                <w14:textFill>
                  <w14:solidFill>
                    <w14:srgbClr w14:val="000000">
                      <w14:alpha w14:val="100000"/>
                    </w14:srgbClr>
                  </w14:solidFill>
                </w14:textFill>
              </w:rPr>
              <w:t>|||</w:t>
            </w:r>
            <w:r w:rsidR="006564A4" w:rsidRPr="00333A5F">
              <w:rPr>
                <w:color w:val="000000"/>
                <w:spacing w:val="1"/>
                <w:shd w:val="solid" w:color="000000" w:fill="000000"/>
                <w:fitText w:val="324" w:id="-629520895"/>
                <w14:textFill>
                  <w14:solidFill>
                    <w14:srgbClr w14:val="000000">
                      <w14:alpha w14:val="100000"/>
                    </w14:srgbClr>
                  </w14:solidFill>
                </w14:textFill>
              </w:rPr>
              <w:t>|</w:t>
            </w:r>
            <w:r w:rsidRPr="00EB733D">
              <w:t xml:space="preserve"> per model cycle).</w:t>
            </w:r>
          </w:p>
          <w:p w14:paraId="46818052" w14:textId="77777777" w:rsidR="00D042BF" w:rsidRPr="00EB733D" w:rsidRDefault="00D042BF">
            <w:pPr>
              <w:pStyle w:val="TableText0"/>
              <w:keepNext w:val="0"/>
            </w:pPr>
            <w:r w:rsidRPr="00EB733D">
              <w:t>OCA costs were estimated based on the published prices for PBS items 12623J, 12630R, 12645M, 12631T, and 12640G (i.e., $11,546.77 per cycle).</w:t>
            </w:r>
          </w:p>
          <w:p w14:paraId="7124A50D" w14:textId="5C386DF5" w:rsidR="00D042BF" w:rsidRPr="00EB733D" w:rsidRDefault="00D042BF">
            <w:pPr>
              <w:pStyle w:val="TableText0"/>
              <w:keepNext w:val="0"/>
            </w:pPr>
            <w:r w:rsidRPr="00EB733D">
              <w:t xml:space="preserve">UDCA costs were estimated based on PBS items 8448P / 11180K, weight-based dosing and a weight distribution based on the RESPONSE clinical trial. The monthly treatment cost was </w:t>
            </w:r>
            <w:r w:rsidR="003A412A">
              <w:t>A</w:t>
            </w:r>
            <w:r w:rsidRPr="00EB733D">
              <w:t>181.26.</w:t>
            </w:r>
          </w:p>
          <w:p w14:paraId="25DCC6B4" w14:textId="77777777" w:rsidR="00D042BF" w:rsidRPr="00EB733D" w:rsidRDefault="00D042BF">
            <w:pPr>
              <w:pStyle w:val="TableText0"/>
              <w:keepNext w:val="0"/>
            </w:pPr>
            <w:r w:rsidRPr="00EB733D">
              <w:t>BSC costs were assumed to be $0.</w:t>
            </w:r>
          </w:p>
          <w:p w14:paraId="21BFBF49" w14:textId="77777777" w:rsidR="00D042BF" w:rsidRPr="00EB733D" w:rsidRDefault="00D042BF">
            <w:pPr>
              <w:pStyle w:val="TableText0"/>
              <w:keepNext w:val="0"/>
            </w:pPr>
            <w:r w:rsidRPr="00EB733D">
              <w:t>Pruritus treatment costs were based on PBS item fees for relevant medicines and MBS item fees for relevant services ($53.69 for mild/moderate pruritus; $107.38 for severe pruritus per cycle).</w:t>
            </w:r>
          </w:p>
          <w:p w14:paraId="541A0978" w14:textId="77777777" w:rsidR="00D042BF" w:rsidRPr="00EB733D" w:rsidRDefault="00D042BF">
            <w:pPr>
              <w:pStyle w:val="TableText0"/>
              <w:keepNext w:val="0"/>
            </w:pPr>
            <w:r w:rsidRPr="00EB733D">
              <w:t>Liver transplant costs were based on the cost weight for AR-DRG code H09Z (i.e., $185,012 per liver transplant). $11,480 per 3-monthly cycle being associated with the pre-liver transplant health state. $2,226 per 3-monthly cycle for being in post-liver transplant health state.</w:t>
            </w:r>
          </w:p>
          <w:p w14:paraId="05EA120B" w14:textId="77777777" w:rsidR="00D042BF" w:rsidRPr="00EB733D" w:rsidRDefault="00D042BF">
            <w:pPr>
              <w:pStyle w:val="TableText0"/>
              <w:keepNext w:val="0"/>
            </w:pPr>
            <w:r w:rsidRPr="00EB733D">
              <w:t>Background health state costs were based on health state-specific HCRU and unit costs based on MBS item fees and cost weights for relevant AR-DRG codes.</w:t>
            </w:r>
          </w:p>
          <w:p w14:paraId="7529ED45" w14:textId="70A36A02" w:rsidR="00D042BF" w:rsidRPr="00EB733D" w:rsidRDefault="00D042BF">
            <w:pPr>
              <w:pStyle w:val="TableText0"/>
              <w:keepNext w:val="0"/>
            </w:pPr>
            <w:r w:rsidRPr="00EB733D">
              <w:t>Adverse event costs associated with seladelpar, OCA, UDCA and/or BSC treatment were based on MBS item fees and cost weights for relevant AR-DRG codes.</w:t>
            </w:r>
            <w:bookmarkEnd w:id="76"/>
          </w:p>
        </w:tc>
      </w:tr>
      <w:tr w:rsidR="00D042BF" w:rsidRPr="00F60921" w14:paraId="07B262B8" w14:textId="77777777" w:rsidTr="00D72116">
        <w:tc>
          <w:tcPr>
            <w:tcW w:w="1062" w:type="pct"/>
          </w:tcPr>
          <w:p w14:paraId="2C1B32F0" w14:textId="77777777" w:rsidR="00D042BF" w:rsidRPr="00EB733D" w:rsidRDefault="00D042BF">
            <w:pPr>
              <w:pStyle w:val="TableText0"/>
              <w:keepNext w:val="0"/>
            </w:pPr>
            <w:r w:rsidRPr="00EB733D">
              <w:t>Transition probabilities</w:t>
            </w:r>
          </w:p>
        </w:tc>
        <w:tc>
          <w:tcPr>
            <w:tcW w:w="3938" w:type="pct"/>
          </w:tcPr>
          <w:p w14:paraId="2A7DF602" w14:textId="77777777" w:rsidR="00D042BF" w:rsidRPr="00EB733D" w:rsidRDefault="00D042BF">
            <w:pPr>
              <w:pStyle w:val="TableText0"/>
              <w:keepNext w:val="0"/>
            </w:pPr>
            <w:r w:rsidRPr="00EB733D">
              <w:t>Transition probabilities within the biomarker component of the model (i.e., ALP normalisation, Mild ALP elevation, high ALP elevation, and CC/elevated TB health states) were derived from the RESPONSE trial. Transition probabilities for OCA +/- UDCA were estimated relative to seladelpar +/- UDCA based on a hazard ratio obtained via an indirect treatment comparison.</w:t>
            </w:r>
          </w:p>
          <w:p w14:paraId="3D5375E1" w14:textId="057F44BE" w:rsidR="00D042BF" w:rsidRPr="00EB733D" w:rsidRDefault="00D042BF">
            <w:pPr>
              <w:pStyle w:val="TableText0"/>
              <w:keepNext w:val="0"/>
            </w:pPr>
            <w:r w:rsidRPr="00EB733D">
              <w:t>For transition probabilities beyond 12 months, it was assumed that the treatment benefit at 12 months was maintained and, hence, the 9-12 months transition probabilities were applied repeatedly for the remainder of the model time horizon. For UDCA/BSC, transition probabilities from the last observed cycle were carried forward and adjusted so that no further improvements could occur, but some worsening may be experienced.</w:t>
            </w:r>
          </w:p>
          <w:p w14:paraId="748C9D26" w14:textId="77777777" w:rsidR="00D042BF" w:rsidRPr="00EB733D" w:rsidRDefault="00D042BF">
            <w:pPr>
              <w:pStyle w:val="TableText0"/>
              <w:keepNext w:val="0"/>
            </w:pPr>
          </w:p>
          <w:p w14:paraId="5175B2B0" w14:textId="1BD481F9" w:rsidR="00D042BF" w:rsidRPr="00EB733D" w:rsidRDefault="00D042BF">
            <w:pPr>
              <w:pStyle w:val="TableText0"/>
              <w:keepNext w:val="0"/>
            </w:pPr>
            <w:r w:rsidRPr="00EB733D">
              <w:t xml:space="preserve">For the model period of months 0-12, treatment discontinuation rates were derived from the relevant clinical trials. Discontinuation rates for seladelpar and OCA beyond month 12 were </w:t>
            </w:r>
            <w:r w:rsidR="00830A07">
              <w:t xml:space="preserve">based on the </w:t>
            </w:r>
            <w:r w:rsidR="002608CD">
              <w:t xml:space="preserve">ratio of Year 2 to Year 1 discontinuations in the </w:t>
            </w:r>
            <w:r w:rsidRPr="00EB733D">
              <w:t>ELATIVE trial.</w:t>
            </w:r>
          </w:p>
          <w:p w14:paraId="764AF194" w14:textId="77777777" w:rsidR="00D042BF" w:rsidRPr="00EB733D" w:rsidRDefault="00D042BF">
            <w:pPr>
              <w:pStyle w:val="TableText0"/>
              <w:keepNext w:val="0"/>
            </w:pPr>
          </w:p>
          <w:p w14:paraId="3422AC22" w14:textId="77777777" w:rsidR="00D042BF" w:rsidRPr="00EB733D" w:rsidRDefault="00D042BF">
            <w:pPr>
              <w:pStyle w:val="TableText0"/>
              <w:keepNext w:val="0"/>
            </w:pPr>
            <w:r w:rsidRPr="00EB733D">
              <w:t>The pruritus severity distribution for all treatments except OCA (seladelpar, UDCA, BSC) was derived from the RESPONSE trial population. For OCA, the pruritus severity distribution was based on the pruritus adverse event odds ratios from an indirect treatment comparison. The probability of pruritus beyond 12 months was assumed to stay constant at the probabilities as observed in the RESPONSE trial at month 12.</w:t>
            </w:r>
          </w:p>
          <w:p w14:paraId="75B76B1C" w14:textId="77777777" w:rsidR="00D042BF" w:rsidRPr="00EB733D" w:rsidRDefault="00D042BF">
            <w:pPr>
              <w:pStyle w:val="TableText0"/>
              <w:keepNext w:val="0"/>
            </w:pPr>
          </w:p>
          <w:p w14:paraId="18950431" w14:textId="77777777" w:rsidR="00D042BF" w:rsidRPr="00EB733D" w:rsidRDefault="00D042BF">
            <w:pPr>
              <w:pStyle w:val="TableText0"/>
              <w:keepNext w:val="0"/>
            </w:pPr>
            <w:bookmarkStart w:id="77" w:name="_Hlk194679851"/>
            <w:r w:rsidRPr="00EB733D">
              <w:t>Transition probabilities within the advanced liver disease component of the model, including liver-related excess mortality, were based on the OCA PBAC submissions and NICE OCA appraisal and were the same across all treatment arms. Where estimated, calibrated values were used.</w:t>
            </w:r>
          </w:p>
          <w:bookmarkEnd w:id="77"/>
          <w:p w14:paraId="36ED245D" w14:textId="077CB593" w:rsidR="00D042BF" w:rsidRPr="00EB733D" w:rsidRDefault="00D042BF">
            <w:pPr>
              <w:pStyle w:val="TableText0"/>
              <w:keepNext w:val="0"/>
            </w:pPr>
            <w:r w:rsidRPr="00EB733D">
              <w:t xml:space="preserve">The submission assumed an annual probability of 2.6% for transition from post-liver transplant to PBC recurrence. However, this value should have been 23%, according to the source (NICE TA443 (OCA in PBC). When the correct value was used, the ICERs increased by approximately </w:t>
            </w:r>
            <w:r w:rsidR="006564A4" w:rsidRPr="00333A5F">
              <w:rPr>
                <w:color w:val="000000"/>
                <w:spacing w:val="51"/>
                <w:shd w:val="solid" w:color="000000" w:fill="000000"/>
                <w:fitText w:val="324" w:id="-629520894"/>
                <w14:textFill>
                  <w14:solidFill>
                    <w14:srgbClr w14:val="000000">
                      <w14:alpha w14:val="100000"/>
                    </w14:srgbClr>
                  </w14:solidFill>
                </w14:textFill>
              </w:rPr>
              <w:t>|||</w:t>
            </w:r>
            <w:r w:rsidR="006564A4" w:rsidRPr="00333A5F">
              <w:rPr>
                <w:color w:val="000000"/>
                <w:spacing w:val="1"/>
                <w:shd w:val="solid" w:color="000000" w:fill="000000"/>
                <w:fitText w:val="324" w:id="-629520894"/>
                <w14:textFill>
                  <w14:solidFill>
                    <w14:srgbClr w14:val="000000">
                      <w14:alpha w14:val="100000"/>
                    </w14:srgbClr>
                  </w14:solidFill>
                </w14:textFill>
              </w:rPr>
              <w:t>|</w:t>
            </w:r>
            <w:r w:rsidRPr="00EB733D">
              <w:t>%.</w:t>
            </w:r>
          </w:p>
          <w:p w14:paraId="4298D8AE" w14:textId="77777777" w:rsidR="00D042BF" w:rsidRPr="00EB733D" w:rsidRDefault="00D042BF">
            <w:pPr>
              <w:pStyle w:val="TableText0"/>
              <w:keepNext w:val="0"/>
            </w:pPr>
          </w:p>
          <w:p w14:paraId="7CBD5D54" w14:textId="77777777" w:rsidR="00D042BF" w:rsidRPr="00EB733D" w:rsidRDefault="00D042BF">
            <w:pPr>
              <w:pStyle w:val="TableText0"/>
              <w:keepNext w:val="0"/>
            </w:pPr>
            <w:r w:rsidRPr="00EB733D">
              <w:t>Background mortality was based on Australian life tables.</w:t>
            </w:r>
          </w:p>
        </w:tc>
      </w:tr>
      <w:tr w:rsidR="00D042BF" w:rsidRPr="00F60921" w14:paraId="4E4BCC32" w14:textId="77777777" w:rsidTr="00D72116">
        <w:tc>
          <w:tcPr>
            <w:tcW w:w="1062" w:type="pct"/>
          </w:tcPr>
          <w:p w14:paraId="6181E26A" w14:textId="77777777" w:rsidR="00D042BF" w:rsidRPr="00EB733D" w:rsidRDefault="00D042BF">
            <w:pPr>
              <w:pStyle w:val="TableText0"/>
              <w:keepNext w:val="0"/>
            </w:pPr>
            <w:r w:rsidRPr="00EB733D">
              <w:lastRenderedPageBreak/>
              <w:t>Outcomes</w:t>
            </w:r>
          </w:p>
        </w:tc>
        <w:tc>
          <w:tcPr>
            <w:tcW w:w="3938" w:type="pct"/>
          </w:tcPr>
          <w:p w14:paraId="4ED7F7D7" w14:textId="77777777" w:rsidR="00D042BF" w:rsidRPr="00EB733D" w:rsidRDefault="00D042BF">
            <w:pPr>
              <w:pStyle w:val="TableText0"/>
              <w:keepNext w:val="0"/>
            </w:pPr>
            <w:r w:rsidRPr="00EB733D">
              <w:t>Life years gained, quality-adjusted life-years</w:t>
            </w:r>
          </w:p>
        </w:tc>
      </w:tr>
      <w:tr w:rsidR="00D042BF" w:rsidRPr="00F60921" w14:paraId="10A39495" w14:textId="77777777" w:rsidTr="00D72116">
        <w:tc>
          <w:tcPr>
            <w:tcW w:w="1062" w:type="pct"/>
          </w:tcPr>
          <w:p w14:paraId="4CE572E1" w14:textId="77777777" w:rsidR="00D042BF" w:rsidRPr="00EB733D" w:rsidRDefault="00D042BF">
            <w:pPr>
              <w:pStyle w:val="TableText0"/>
              <w:keepNext w:val="0"/>
            </w:pPr>
            <w:r w:rsidRPr="00EB733D">
              <w:t>Discount rate</w:t>
            </w:r>
          </w:p>
        </w:tc>
        <w:tc>
          <w:tcPr>
            <w:tcW w:w="3938" w:type="pct"/>
          </w:tcPr>
          <w:p w14:paraId="38402A4D" w14:textId="674C36B1" w:rsidR="00D042BF" w:rsidRPr="00EB733D" w:rsidRDefault="00D042BF">
            <w:pPr>
              <w:pStyle w:val="TableText0"/>
              <w:keepNext w:val="0"/>
            </w:pPr>
            <w:r w:rsidRPr="00327EBB">
              <w:t>5</w:t>
            </w:r>
            <w:r w:rsidRPr="00EB733D">
              <w:t>% p.a..</w:t>
            </w:r>
          </w:p>
        </w:tc>
      </w:tr>
      <w:tr w:rsidR="00D042BF" w:rsidRPr="00F60921" w14:paraId="76C9EA19" w14:textId="77777777" w:rsidTr="00D72116">
        <w:tc>
          <w:tcPr>
            <w:tcW w:w="1062" w:type="pct"/>
          </w:tcPr>
          <w:p w14:paraId="6E87CBFA" w14:textId="77777777" w:rsidR="00D042BF" w:rsidRPr="00EB733D" w:rsidRDefault="00D042BF">
            <w:pPr>
              <w:pStyle w:val="TableText0"/>
              <w:keepNext w:val="0"/>
            </w:pPr>
            <w:r w:rsidRPr="00EB733D">
              <w:t>Software package</w:t>
            </w:r>
          </w:p>
        </w:tc>
        <w:tc>
          <w:tcPr>
            <w:tcW w:w="3938" w:type="pct"/>
          </w:tcPr>
          <w:p w14:paraId="6AA92A55" w14:textId="77777777" w:rsidR="00D042BF" w:rsidRPr="00EB733D" w:rsidRDefault="00D042BF">
            <w:pPr>
              <w:pStyle w:val="TableText0"/>
              <w:keepNext w:val="0"/>
            </w:pPr>
            <w:r w:rsidRPr="00EB733D">
              <w:t>Microsoft Excel</w:t>
            </w:r>
          </w:p>
        </w:tc>
      </w:tr>
    </w:tbl>
    <w:p w14:paraId="3B26BE83" w14:textId="77777777" w:rsidR="00D042BF" w:rsidRPr="00F60921" w:rsidRDefault="00D042BF" w:rsidP="00D042BF">
      <w:pPr>
        <w:pStyle w:val="TableFigureFooter"/>
        <w:rPr>
          <w:b/>
          <w:bCs/>
        </w:rPr>
      </w:pPr>
      <w:r w:rsidRPr="00F60921">
        <w:t>Source: Table</w:t>
      </w:r>
      <w:r>
        <w:t>s</w:t>
      </w:r>
      <w:r w:rsidRPr="00F60921">
        <w:t xml:space="preserve"> 71</w:t>
      </w:r>
      <w:r>
        <w:t>, 79, 80, pp151-153, 175, 178</w:t>
      </w:r>
      <w:r w:rsidRPr="00F60921">
        <w:t xml:space="preserve"> of the submission. Comments in italics added during the evaluation.</w:t>
      </w:r>
    </w:p>
    <w:p w14:paraId="58678420" w14:textId="77777777" w:rsidR="00D042BF" w:rsidRPr="00F60921" w:rsidRDefault="00D042BF" w:rsidP="00D042BF">
      <w:pPr>
        <w:pStyle w:val="TableFigureFooter"/>
      </w:pPr>
      <w:r w:rsidRPr="00F60921">
        <w:t>ALP</w:t>
      </w:r>
      <w:r>
        <w:t xml:space="preserve"> = </w:t>
      </w:r>
      <w:r w:rsidRPr="00F60921">
        <w:t>alkaline phosphatase; AR-DRG</w:t>
      </w:r>
      <w:r>
        <w:t xml:space="preserve"> = </w:t>
      </w:r>
      <w:r w:rsidRPr="00F60921">
        <w:t>Australian Refined Diagnosis Related Group; BSC</w:t>
      </w:r>
      <w:r>
        <w:t xml:space="preserve"> = </w:t>
      </w:r>
      <w:r w:rsidRPr="00F60921">
        <w:t>best supportive care; DCC</w:t>
      </w:r>
      <w:r>
        <w:t xml:space="preserve"> = </w:t>
      </w:r>
      <w:r w:rsidRPr="00F60921">
        <w:t>decompensated cirrhosis; HCC</w:t>
      </w:r>
      <w:r>
        <w:t xml:space="preserve"> = </w:t>
      </w:r>
      <w:r w:rsidRPr="00F60921">
        <w:t>hepatocellular carcinoma; HCRU</w:t>
      </w:r>
      <w:r>
        <w:t xml:space="preserve"> = </w:t>
      </w:r>
      <w:r w:rsidRPr="00F60921">
        <w:t>healthcare resource utilisation; MBS</w:t>
      </w:r>
      <w:r>
        <w:t xml:space="preserve"> = </w:t>
      </w:r>
      <w:r w:rsidRPr="00F60921">
        <w:t>Medicare Benefits Schedule; NICE</w:t>
      </w:r>
      <w:r>
        <w:t xml:space="preserve"> = </w:t>
      </w:r>
      <w:r w:rsidRPr="00F60921">
        <w:t>National Institute of Health and Care Excellence; OCA</w:t>
      </w:r>
      <w:r>
        <w:t xml:space="preserve"> = </w:t>
      </w:r>
      <w:r w:rsidRPr="00F60921">
        <w:t>obeticholic acid; p.a.</w:t>
      </w:r>
      <w:r>
        <w:t xml:space="preserve"> = </w:t>
      </w:r>
      <w:r w:rsidRPr="00F60921">
        <w:t>per annum; PBAC</w:t>
      </w:r>
      <w:r>
        <w:t xml:space="preserve"> = </w:t>
      </w:r>
      <w:r w:rsidRPr="00F60921">
        <w:t>Pharmaceutical Benefits Advisory Committee; PBC</w:t>
      </w:r>
      <w:r>
        <w:t xml:space="preserve"> = </w:t>
      </w:r>
      <w:r w:rsidRPr="00F60921">
        <w:t>primary biliary cholangitis; PBS</w:t>
      </w:r>
      <w:r>
        <w:t xml:space="preserve"> = </w:t>
      </w:r>
      <w:r w:rsidRPr="00F60921">
        <w:t>Pharmaceutical Benefits Scheme; QALYs</w:t>
      </w:r>
      <w:r>
        <w:t xml:space="preserve"> = </w:t>
      </w:r>
      <w:r w:rsidRPr="00F60921">
        <w:t>quality-adjusted life-years; TA</w:t>
      </w:r>
      <w:r>
        <w:t xml:space="preserve"> = </w:t>
      </w:r>
      <w:r w:rsidRPr="00F60921">
        <w:t>technology appraisal; TB</w:t>
      </w:r>
      <w:r>
        <w:t xml:space="preserve"> = </w:t>
      </w:r>
      <w:r w:rsidRPr="00F60921">
        <w:t>total bilirubin; UDCA</w:t>
      </w:r>
      <w:r>
        <w:t xml:space="preserve"> = </w:t>
      </w:r>
      <w:r w:rsidRPr="00F60921">
        <w:t>ursodeoxycholic acid.</w:t>
      </w:r>
    </w:p>
    <w:p w14:paraId="1644A5FB" w14:textId="7B05F76C" w:rsidR="00D042BF" w:rsidRPr="00F60921" w:rsidRDefault="00D042BF" w:rsidP="00D042BF">
      <w:pPr>
        <w:pStyle w:val="3-BodyText"/>
      </w:pPr>
      <w:r w:rsidRPr="00F60921">
        <w:t xml:space="preserve">The model diagram is given in </w:t>
      </w:r>
      <w:r w:rsidRPr="00F60921">
        <w:fldChar w:fldCharType="begin"/>
      </w:r>
      <w:r w:rsidRPr="00F60921">
        <w:instrText xml:space="preserve"> REF _Ref194574339 \h </w:instrText>
      </w:r>
      <w:r w:rsidRPr="00F60921">
        <w:fldChar w:fldCharType="separate"/>
      </w:r>
      <w:r w:rsidR="00333A5F" w:rsidRPr="00F60921">
        <w:t xml:space="preserve">Figure </w:t>
      </w:r>
      <w:r w:rsidR="00333A5F">
        <w:rPr>
          <w:noProof/>
        </w:rPr>
        <w:t>1</w:t>
      </w:r>
      <w:r w:rsidRPr="00F60921">
        <w:fldChar w:fldCharType="end"/>
      </w:r>
      <w:r w:rsidRPr="00F60921">
        <w:t>.</w:t>
      </w:r>
    </w:p>
    <w:p w14:paraId="62A0464E" w14:textId="66201A2C" w:rsidR="00D042BF" w:rsidRPr="00F60921" w:rsidRDefault="00D042BF" w:rsidP="00D042BF">
      <w:pPr>
        <w:pStyle w:val="Caption"/>
      </w:pPr>
      <w:bookmarkStart w:id="78" w:name="_Ref194574339"/>
      <w:r w:rsidRPr="00F60921">
        <w:t xml:space="preserve">Figure </w:t>
      </w:r>
      <w:r w:rsidR="00A24BC2">
        <w:fldChar w:fldCharType="begin"/>
      </w:r>
      <w:r w:rsidR="00A24BC2">
        <w:instrText xml:space="preserve"> SEQ Figure \* ARABIC </w:instrText>
      </w:r>
      <w:r w:rsidR="00A24BC2">
        <w:fldChar w:fldCharType="separate"/>
      </w:r>
      <w:r w:rsidR="00333A5F">
        <w:rPr>
          <w:noProof/>
        </w:rPr>
        <w:t>1</w:t>
      </w:r>
      <w:r w:rsidR="00A24BC2">
        <w:rPr>
          <w:noProof/>
        </w:rPr>
        <w:fldChar w:fldCharType="end"/>
      </w:r>
      <w:bookmarkEnd w:id="78"/>
      <w:r w:rsidR="00805289">
        <w:rPr>
          <w:noProof/>
        </w:rPr>
        <w:t>:</w:t>
      </w:r>
      <w:r w:rsidRPr="00F60921">
        <w:t xml:space="preserve"> Model structure</w:t>
      </w:r>
    </w:p>
    <w:p w14:paraId="39B5FA0D" w14:textId="77777777" w:rsidR="00D042BF" w:rsidRDefault="00D042BF" w:rsidP="00D042BF">
      <w:pPr>
        <w:pStyle w:val="3-BodyText"/>
        <w:numPr>
          <w:ilvl w:val="0"/>
          <w:numId w:val="0"/>
        </w:numPr>
        <w:ind w:left="720" w:hanging="720"/>
        <w:jc w:val="left"/>
      </w:pPr>
      <w:r w:rsidRPr="00BF35DD">
        <w:rPr>
          <w:noProof/>
        </w:rPr>
        <w:drawing>
          <wp:inline distT="0" distB="0" distL="0" distR="0" wp14:anchorId="1C98F750" wp14:editId="00FA81F3">
            <wp:extent cx="5192973" cy="2744349"/>
            <wp:effectExtent l="0" t="0" r="8255" b="0"/>
            <wp:docPr id="1804164234" name="Picture 1"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64234" name="Picture 1" descr="Figure 1: Model structure"/>
                    <pic:cNvPicPr/>
                  </pic:nvPicPr>
                  <pic:blipFill>
                    <a:blip r:embed="rId11"/>
                    <a:stretch>
                      <a:fillRect/>
                    </a:stretch>
                  </pic:blipFill>
                  <pic:spPr>
                    <a:xfrm>
                      <a:off x="0" y="0"/>
                      <a:ext cx="5232227" cy="2765094"/>
                    </a:xfrm>
                    <a:prstGeom prst="rect">
                      <a:avLst/>
                    </a:prstGeom>
                  </pic:spPr>
                </pic:pic>
              </a:graphicData>
            </a:graphic>
          </wp:inline>
        </w:drawing>
      </w:r>
    </w:p>
    <w:p w14:paraId="154684CA" w14:textId="77777777" w:rsidR="00D042BF" w:rsidRPr="00F60921" w:rsidRDefault="00D042BF" w:rsidP="00D042BF">
      <w:pPr>
        <w:pStyle w:val="TableFigureFooter"/>
      </w:pPr>
      <w:r w:rsidRPr="00F60921">
        <w:t>Source: Figure 32, p168 of the submission</w:t>
      </w:r>
    </w:p>
    <w:p w14:paraId="4D60F879" w14:textId="77777777" w:rsidR="00D042BF" w:rsidRPr="00F60921" w:rsidRDefault="00D042BF" w:rsidP="00D042BF">
      <w:pPr>
        <w:pStyle w:val="TableFigureFooter"/>
      </w:pPr>
      <w:r w:rsidRPr="00F60921">
        <w:t>ALP</w:t>
      </w:r>
      <w:r>
        <w:t xml:space="preserve"> = </w:t>
      </w:r>
      <w:r w:rsidRPr="00F60921">
        <w:t>alkaline phosphatase; CC</w:t>
      </w:r>
      <w:r>
        <w:t xml:space="preserve"> = </w:t>
      </w:r>
      <w:r w:rsidRPr="00F60921">
        <w:t>compensated cirrhosis; PBC</w:t>
      </w:r>
      <w:r>
        <w:t xml:space="preserve"> = </w:t>
      </w:r>
      <w:r w:rsidRPr="00F60921">
        <w:t>primary biliary cholangitis; TB</w:t>
      </w:r>
      <w:r>
        <w:t xml:space="preserve"> = </w:t>
      </w:r>
      <w:r w:rsidRPr="00F60921">
        <w:t>total bilirubin; ULN</w:t>
      </w:r>
      <w:r>
        <w:t xml:space="preserve"> = </w:t>
      </w:r>
      <w:r w:rsidRPr="00F60921">
        <w:t>upper limit of normal</w:t>
      </w:r>
    </w:p>
    <w:p w14:paraId="1C29118D" w14:textId="77777777" w:rsidR="00D042BF" w:rsidRPr="00EB733D" w:rsidRDefault="00D042BF" w:rsidP="00D042BF">
      <w:pPr>
        <w:pStyle w:val="3-BodyText"/>
      </w:pPr>
      <w:r w:rsidRPr="00EB733D">
        <w:t>The model structure was divided into 2 core components: a PBC biomarker component (i.e., biochemical health states) and an advanced liver disease component. Health states in the PBC biomarker component captured the effects of treatment on key markers of disease status, while the advanced liver disease states reflected the clinical consequences of disease progression.</w:t>
      </w:r>
    </w:p>
    <w:p w14:paraId="6E930EA9" w14:textId="4F3F9566" w:rsidR="00D042BF" w:rsidRPr="00EB733D" w:rsidRDefault="00D042BF" w:rsidP="00D042BF">
      <w:pPr>
        <w:pStyle w:val="3-BodyText"/>
      </w:pPr>
      <w:r w:rsidRPr="00EB733D">
        <w:t>The health states for the current submission of seladelpar were the same as for the OCA model</w:t>
      </w:r>
      <w:r w:rsidR="007F79AD" w:rsidRPr="00EB733D">
        <w:t xml:space="preserve"> which has been previously assessed by the PBAC</w:t>
      </w:r>
      <w:r w:rsidRPr="00EB733D">
        <w:t xml:space="preserve"> with the exception of an additional health state for the seladelpar model: ALP normalisation. The ALP normalisation state was considered appropriate for capturing the expected benefits of treatment. </w:t>
      </w:r>
    </w:p>
    <w:p w14:paraId="5D19DDB9" w14:textId="12E33D63" w:rsidR="00762670" w:rsidRPr="00EB733D" w:rsidRDefault="005B08EE" w:rsidP="00D042BF">
      <w:pPr>
        <w:pStyle w:val="3-BodyText"/>
      </w:pPr>
      <w:r w:rsidRPr="00EB733D">
        <w:t xml:space="preserve">Patient movement through the health states </w:t>
      </w:r>
      <w:r w:rsidR="00396E4E" w:rsidRPr="00EB733D">
        <w:t>was based on the RESPONSE trial individual patient data evaluated at different time points, including at baseline, Month 1, Month 3, Month 6, Month 9, and Month 12.</w:t>
      </w:r>
    </w:p>
    <w:p w14:paraId="4CDFABB6" w14:textId="2243927B" w:rsidR="00D042BF" w:rsidRPr="00EB733D" w:rsidRDefault="00D042BF" w:rsidP="00D042BF">
      <w:pPr>
        <w:pStyle w:val="3-BodyText"/>
      </w:pPr>
      <w:r w:rsidRPr="00EB733D">
        <w:lastRenderedPageBreak/>
        <w:t xml:space="preserve">Patients were assumed to discontinue seladelpar or OCA treatment upon progression into the advanced liver disease health states; however, it was assumed that all UDCA-tolerant patients </w:t>
      </w:r>
      <w:r w:rsidR="00107FC0">
        <w:t>would</w:t>
      </w:r>
      <w:r w:rsidRPr="00EB733D">
        <w:t xml:space="preserve"> continue UDCA monotherapy and that all UDCA-intolerant patients </w:t>
      </w:r>
      <w:r w:rsidR="00107FC0">
        <w:t xml:space="preserve">would </w:t>
      </w:r>
      <w:r w:rsidRPr="00EB733D">
        <w:t xml:space="preserve">receive BSC in all health states except for post-liver transplant in line with clinical practice. </w:t>
      </w:r>
    </w:p>
    <w:p w14:paraId="3BCB427A" w14:textId="1557500E" w:rsidR="00D042BF" w:rsidRPr="00EB733D" w:rsidRDefault="00D042BF" w:rsidP="00D042BF">
      <w:pPr>
        <w:pStyle w:val="3-BodyText"/>
      </w:pPr>
      <w:r w:rsidRPr="00EB733D">
        <w:t>Pruritus was included within the economic model</w:t>
      </w:r>
      <w:r w:rsidR="00F27DD1" w:rsidRPr="00EB733D">
        <w:t xml:space="preserve">. Costs and disutilities were </w:t>
      </w:r>
      <w:r w:rsidR="004854A8" w:rsidRPr="00EB733D">
        <w:t>dependent on the severity of pruritus</w:t>
      </w:r>
      <w:r w:rsidRPr="00EB733D">
        <w:t xml:space="preserve">. </w:t>
      </w:r>
      <w:r w:rsidR="00722BF7" w:rsidRPr="00EB733D">
        <w:t>P</w:t>
      </w:r>
      <w:r w:rsidRPr="00EB733D">
        <w:t>ruritus was modelled in all health states except for post-liver transplant.</w:t>
      </w:r>
    </w:p>
    <w:p w14:paraId="7FC22898" w14:textId="2A3BD2FE" w:rsidR="00D042BF" w:rsidRPr="00EB733D" w:rsidRDefault="00D042BF" w:rsidP="00D042BF">
      <w:pPr>
        <w:pStyle w:val="3-BodyText"/>
      </w:pPr>
      <w:r w:rsidRPr="00EB733D">
        <w:t xml:space="preserve">The model time horizon was 30 years. This was long compared to the duration of follow-up, 1 year, in the RESPONSE trial. However, the time horizon was consistent with the OCA </w:t>
      </w:r>
      <w:r w:rsidR="00722BF7" w:rsidRPr="00EB733D">
        <w:t xml:space="preserve">model </w:t>
      </w:r>
      <w:r w:rsidRPr="00EB733D">
        <w:t>accepted by the PBAC (para</w:t>
      </w:r>
      <w:r w:rsidR="00722BF7" w:rsidRPr="00EB733D">
        <w:t>graph</w:t>
      </w:r>
      <w:r w:rsidRPr="00EB733D">
        <w:t xml:space="preserve"> 7.4, obeticholic acid, </w:t>
      </w:r>
      <w:r w:rsidR="00FE0D60" w:rsidRPr="00FE0D60">
        <w:t>Public Summary Document</w:t>
      </w:r>
      <w:r w:rsidR="00FE0D60">
        <w:t xml:space="preserve"> (</w:t>
      </w:r>
      <w:r w:rsidRPr="00EB733D">
        <w:t>PSD</w:t>
      </w:r>
      <w:r w:rsidR="00FE0D60">
        <w:t>)</w:t>
      </w:r>
      <w:r w:rsidRPr="00EB733D">
        <w:t>, November 2020 PBAC meeting).</w:t>
      </w:r>
    </w:p>
    <w:p w14:paraId="454697EA" w14:textId="51A6D49E" w:rsidR="00D042BF" w:rsidRPr="00EB733D" w:rsidRDefault="00D042BF" w:rsidP="00D042BF">
      <w:pPr>
        <w:pStyle w:val="3-BodyText"/>
      </w:pPr>
      <w:bookmarkStart w:id="79" w:name="_Ref205212154"/>
      <w:r w:rsidRPr="00EB733D">
        <w:t>Given that the sample size of the UDCA-intolerant subgroup was very small (n=11 across the seladelpar and placebo arms in the RESPONSE trial), data for all participants</w:t>
      </w:r>
      <w:r w:rsidR="00CC702D" w:rsidRPr="00EB733D">
        <w:t>,</w:t>
      </w:r>
      <w:r w:rsidRPr="00EB733D">
        <w:t xml:space="preserve"> regardless of UDCA-tolerance</w:t>
      </w:r>
      <w:r w:rsidR="00CC702D" w:rsidRPr="00EB733D">
        <w:t>,</w:t>
      </w:r>
      <w:r w:rsidRPr="00EB733D">
        <w:t xml:space="preserve"> was used to inform transition probabilities for both the UDCA-tolerant and UDCA-intolerant subgroups in the model. This mean</w:t>
      </w:r>
      <w:r w:rsidR="00CA40C3">
        <w:t>t</w:t>
      </w:r>
      <w:r w:rsidRPr="00EB733D">
        <w:t xml:space="preserve"> that the resulting ICERs for the UDCA-intolerant subgroup were uncertain.</w:t>
      </w:r>
      <w:bookmarkEnd w:id="79"/>
    </w:p>
    <w:p w14:paraId="403ED20F" w14:textId="50A14490" w:rsidR="00D042BF" w:rsidRPr="00EB733D" w:rsidRDefault="00D042BF" w:rsidP="00D042BF">
      <w:pPr>
        <w:pStyle w:val="3-BodyText"/>
      </w:pPr>
      <w:r w:rsidRPr="00EB733D">
        <w:t>The treatment effect for ALP normalisation was based on the Bayesian NMA comparison of seladelpar v</w:t>
      </w:r>
      <w:r w:rsidR="00DE0F83">
        <w:t>ersu</w:t>
      </w:r>
      <w:r w:rsidRPr="00EB733D">
        <w:t xml:space="preserve">s OCA, which indicated a </w:t>
      </w:r>
      <w:r w:rsidR="00DE0F83">
        <w:t>relative risk</w:t>
      </w:r>
      <w:r w:rsidR="00DE0F83" w:rsidRPr="00EB733D">
        <w:t xml:space="preserve"> </w:t>
      </w:r>
      <w:r w:rsidRPr="00EB733D">
        <w:t xml:space="preserve">of 16.62 and </w:t>
      </w:r>
      <w:r w:rsidR="00DE0F83">
        <w:t>hazard ra</w:t>
      </w:r>
      <w:r w:rsidR="00B15919">
        <w:t>t</w:t>
      </w:r>
      <w:r w:rsidR="00DE0F83">
        <w:t>io</w:t>
      </w:r>
      <w:r w:rsidR="00DE0F83" w:rsidRPr="00EB733D">
        <w:t xml:space="preserve"> </w:t>
      </w:r>
      <w:r w:rsidRPr="00EB733D">
        <w:t>of 1/16.62 = 0.06 (</w:t>
      </w:r>
      <w:r w:rsidR="003C4C10" w:rsidRPr="00EB733D">
        <w:fldChar w:fldCharType="begin"/>
      </w:r>
      <w:r w:rsidR="003C4C10" w:rsidRPr="00EB733D">
        <w:instrText xml:space="preserve"> REF _Ref196402067 \h </w:instrText>
      </w:r>
      <w:r w:rsidR="00EB733D" w:rsidRPr="00EB733D">
        <w:instrText xml:space="preserve"> \* MERGEFORMAT </w:instrText>
      </w:r>
      <w:r w:rsidR="003C4C10" w:rsidRPr="00EB733D">
        <w:fldChar w:fldCharType="separate"/>
      </w:r>
      <w:r w:rsidR="00333A5F">
        <w:t xml:space="preserve">Table </w:t>
      </w:r>
      <w:r w:rsidR="00333A5F">
        <w:rPr>
          <w:noProof/>
        </w:rPr>
        <w:t>6</w:t>
      </w:r>
      <w:r w:rsidR="003C4C10" w:rsidRPr="00EB733D">
        <w:fldChar w:fldCharType="end"/>
      </w:r>
      <w:r w:rsidRPr="00EB733D">
        <w:t>). The submission did not justify the use of this treatment effect over the use of the treatment effects from the Bucher indirect treatment comparisons for ALP normalisation for seladelpar v</w:t>
      </w:r>
      <w:r w:rsidR="00F517CC">
        <w:t>ersu</w:t>
      </w:r>
      <w:r w:rsidRPr="00EB733D">
        <w:t xml:space="preserve">s OCA. </w:t>
      </w:r>
    </w:p>
    <w:p w14:paraId="2FEB856F" w14:textId="389202AE" w:rsidR="00D042BF" w:rsidRPr="00E8442C" w:rsidRDefault="00D042BF" w:rsidP="00D042BF">
      <w:pPr>
        <w:pStyle w:val="3-BodyText"/>
      </w:pPr>
      <w:bookmarkStart w:id="80" w:name="_Hlk197002230"/>
      <w:r w:rsidRPr="00E8442C">
        <w:t xml:space="preserve">For the treatment effect of seladelpar </w:t>
      </w:r>
      <w:r w:rsidR="00D87D93" w:rsidRPr="00E8442C">
        <w:rPr>
          <w:rFonts w:cstheme="minorHAnsi"/>
        </w:rPr>
        <w:t>±</w:t>
      </w:r>
      <w:r w:rsidRPr="00E8442C">
        <w:t xml:space="preserve"> UDCA v</w:t>
      </w:r>
      <w:r w:rsidR="00F517CC" w:rsidRPr="00E8442C">
        <w:t>ersu</w:t>
      </w:r>
      <w:r w:rsidRPr="00E8442C">
        <w:t xml:space="preserve">s OCA </w:t>
      </w:r>
      <w:r w:rsidR="00D87D93" w:rsidRPr="00E8442C">
        <w:rPr>
          <w:rFonts w:cstheme="minorHAnsi"/>
        </w:rPr>
        <w:t>±</w:t>
      </w:r>
      <w:r w:rsidRPr="00E8442C">
        <w:t xml:space="preserve"> UDCA, the economic model used the ALP normalisation rate, a secondary outcome from the RESPONSE trial, and the Toronto I criteria (ALP</w:t>
      </w:r>
      <w:r w:rsidR="00F517CC" w:rsidRPr="00E8442C">
        <w:t xml:space="preserve"> </w:t>
      </w:r>
      <w:r w:rsidRPr="00E8442C">
        <w:t>&lt;</w:t>
      </w:r>
      <w:r w:rsidR="00F517CC" w:rsidRPr="00E8442C">
        <w:t xml:space="preserve"> </w:t>
      </w:r>
      <w:r w:rsidRPr="00E8442C">
        <w:t>1.67×ULN)</w:t>
      </w:r>
      <w:r w:rsidR="00DE0F83">
        <w:t xml:space="preserve">, not </w:t>
      </w:r>
      <w:r w:rsidRPr="00E8442C">
        <w:t xml:space="preserve"> the primary outcome from the RESPONSE trial, the rate of biochemical response. The treatment effect for ALP normalisation was significantly better for seladelpar </w:t>
      </w:r>
      <w:r w:rsidR="00D87D93" w:rsidRPr="00E8442C">
        <w:rPr>
          <w:rFonts w:cstheme="minorHAnsi"/>
        </w:rPr>
        <w:t>±</w:t>
      </w:r>
      <w:r w:rsidR="00DA4E2E" w:rsidRPr="00E8442C">
        <w:rPr>
          <w:rFonts w:cstheme="minorHAnsi"/>
        </w:rPr>
        <w:t xml:space="preserve"> </w:t>
      </w:r>
      <w:r w:rsidRPr="00E8442C">
        <w:t xml:space="preserve">UDCA compared to OCA </w:t>
      </w:r>
      <w:r w:rsidR="00D87D93" w:rsidRPr="00E8442C">
        <w:rPr>
          <w:rFonts w:cstheme="minorHAnsi"/>
        </w:rPr>
        <w:t>±</w:t>
      </w:r>
      <w:r w:rsidRPr="00E8442C">
        <w:t xml:space="preserve"> UDCA, based on risk differences, whereas the treatment effect for the rate of biochemical response was not significantly better. Therefore, the treatment effect, and hence the ICERs for seladelpar </w:t>
      </w:r>
      <w:r w:rsidR="00D87D93" w:rsidRPr="00E8442C">
        <w:rPr>
          <w:rFonts w:cstheme="minorHAnsi"/>
        </w:rPr>
        <w:t>±</w:t>
      </w:r>
      <w:r w:rsidRPr="00E8442C">
        <w:t xml:space="preserve"> UDCA versus OCA </w:t>
      </w:r>
      <w:r w:rsidR="00D87D93" w:rsidRPr="00E8442C">
        <w:rPr>
          <w:rFonts w:cstheme="minorHAnsi"/>
        </w:rPr>
        <w:t>±</w:t>
      </w:r>
      <w:r w:rsidRPr="00E8442C">
        <w:t xml:space="preserve"> UDCA, may be biased in favour of seladelpar </w:t>
      </w:r>
      <w:r w:rsidR="00D87D93" w:rsidRPr="00E8442C">
        <w:rPr>
          <w:rFonts w:cstheme="minorHAnsi"/>
        </w:rPr>
        <w:t>±</w:t>
      </w:r>
      <w:r w:rsidRPr="00E8442C">
        <w:t xml:space="preserve"> UDCA. It </w:t>
      </w:r>
      <w:r w:rsidR="006D5F81" w:rsidRPr="00E8442C">
        <w:t xml:space="preserve">was </w:t>
      </w:r>
      <w:r w:rsidRPr="00E8442C">
        <w:t>not possible to assess the impact of this issue on the ICERs without major structural changes to the model.</w:t>
      </w:r>
      <w:r w:rsidR="00560921" w:rsidRPr="00E8442C">
        <w:t xml:space="preserve"> The </w:t>
      </w:r>
      <w:r w:rsidR="002929E2" w:rsidRPr="002929E2">
        <w:t xml:space="preserve">Pre-Sub-Committee Response </w:t>
      </w:r>
      <w:r w:rsidR="002929E2">
        <w:t>(</w:t>
      </w:r>
      <w:r w:rsidR="00560921" w:rsidRPr="00E8442C">
        <w:t>PSCR</w:t>
      </w:r>
      <w:r w:rsidR="008D5C27">
        <w:t>)</w:t>
      </w:r>
      <w:r w:rsidR="00560921" w:rsidRPr="00E8442C">
        <w:t xml:space="preserve"> stated that both outcomes are valid and reliable surrogate endpoints which are crucial for predicting long-term clinical outcomes such as liver transplantation and mortality, but that ALP normalisation was a more stringent measure of response. The PSCR also states that biochemical response was developed specifically for inclusion in the POISE trial and there is less extensive long-term evidence modelling the relationship between biochemical response and clinical events.</w:t>
      </w:r>
    </w:p>
    <w:p w14:paraId="532C4D74" w14:textId="05B82920" w:rsidR="00D042BF" w:rsidRPr="00E8442C" w:rsidRDefault="00DE0F83" w:rsidP="00376D0C">
      <w:pPr>
        <w:pStyle w:val="3-BodyText"/>
      </w:pPr>
      <w:bookmarkStart w:id="81" w:name="_Ref198621519"/>
      <w:bookmarkEnd w:id="80"/>
      <w:r>
        <w:t>B</w:t>
      </w:r>
      <w:r w:rsidR="00D042BF" w:rsidRPr="00E8442C">
        <w:t xml:space="preserve">eyond month 12, </w:t>
      </w:r>
      <w:r w:rsidR="00E14904">
        <w:t xml:space="preserve">which was </w:t>
      </w:r>
      <w:r w:rsidR="00D042BF" w:rsidRPr="00E8442C">
        <w:t>the duration of the RESPONSE trial</w:t>
      </w:r>
      <w:r>
        <w:t xml:space="preserve">, </w:t>
      </w:r>
      <w:r w:rsidR="00D042BF" w:rsidRPr="00E8442C">
        <w:t xml:space="preserve"> it was assumed that the treatment benefit was maintained and, hence, the 9-12 month transition probabilities </w:t>
      </w:r>
      <w:r>
        <w:t xml:space="preserve">for seladelpar and OCA </w:t>
      </w:r>
      <w:r w:rsidR="00D042BF" w:rsidRPr="00E8442C">
        <w:t xml:space="preserve">were applied repeatedly for the remainder of the </w:t>
      </w:r>
      <w:r w:rsidR="00D042BF" w:rsidRPr="00E8442C">
        <w:lastRenderedPageBreak/>
        <w:t xml:space="preserve">model time horizon. </w:t>
      </w:r>
      <w:r w:rsidR="00011C71" w:rsidRPr="00E8442C">
        <w:t>F</w:t>
      </w:r>
      <w:r w:rsidR="00D042BF" w:rsidRPr="00E8442C">
        <w:t xml:space="preserve">or UDCA/BSC, transition probabilities from the last observed cycle were carried forward and adjusted so that no further improvements could occur, but some worsening may be experienced. </w:t>
      </w:r>
      <w:r w:rsidR="00376D0C" w:rsidRPr="00E8442C">
        <w:t xml:space="preserve">The </w:t>
      </w:r>
      <w:r w:rsidR="00D042BF" w:rsidRPr="00E8442C">
        <w:t>ICERs were very sensitive to these assumptions</w:t>
      </w:r>
      <w:r w:rsidR="00376D0C" w:rsidRPr="00E8442C">
        <w:t>.</w:t>
      </w:r>
      <w:r w:rsidR="00D042BF" w:rsidRPr="00E8442C">
        <w:t xml:space="preserve"> </w:t>
      </w:r>
      <w:bookmarkEnd w:id="81"/>
      <w:r w:rsidR="00843872" w:rsidRPr="00E8442C">
        <w:t xml:space="preserve"> The PSCR stated that data from the open-label extension of the RESPONSE trial, the ASSURE trial, demonstrated that the benefits of treatment with seladelpar in terms of achieving biochemical response are sustained and even improved upon for up to 2 years and therefore, it was reasonable to assume that the distribution of health states at 9</w:t>
      </w:r>
      <w:r w:rsidR="00A70595" w:rsidRPr="00E8442C">
        <w:sym w:font="Symbol" w:char="F02D"/>
      </w:r>
      <w:r w:rsidR="00843872" w:rsidRPr="00E8442C">
        <w:t>12 months would remain stable.</w:t>
      </w:r>
    </w:p>
    <w:p w14:paraId="65A43B59" w14:textId="33A4669B" w:rsidR="00D042BF" w:rsidRPr="00E8442C" w:rsidRDefault="00D042BF" w:rsidP="00D042BF">
      <w:pPr>
        <w:pStyle w:val="3-BodyText"/>
      </w:pPr>
      <w:r w:rsidRPr="00E8442C">
        <w:t xml:space="preserve">Treatment discontinuation for seladelpar and OCA was assumed for all patients upon progression into the advanced liver disease health states (patients remained on UDCA/BSC treatment in all health states except for post-liver transplant). For the model period of months 0-12, treatment discontinuation rates were derived from the relevant clinical trials. Discontinuation rates for seladelpar and OCA beyond month 12 were </w:t>
      </w:r>
      <w:r w:rsidR="00DF1447" w:rsidRPr="00E8442C">
        <w:t xml:space="preserve">calculated </w:t>
      </w:r>
      <w:r w:rsidR="00363F45" w:rsidRPr="00E8442C">
        <w:t xml:space="preserve">based on the ratio of </w:t>
      </w:r>
      <w:r w:rsidR="002B1F05" w:rsidRPr="00E8442C">
        <w:t>Year 2 to Year 1 discontinuations</w:t>
      </w:r>
      <w:r w:rsidR="00830A07" w:rsidRPr="00E8442C">
        <w:t xml:space="preserve"> in the ELATIVE trial</w:t>
      </w:r>
      <w:r w:rsidRPr="00E8442C">
        <w:t>.</w:t>
      </w:r>
    </w:p>
    <w:p w14:paraId="6885A7DC" w14:textId="579EDC71" w:rsidR="00D042BF" w:rsidRPr="00E8442C" w:rsidRDefault="00D042BF" w:rsidP="00D042BF">
      <w:pPr>
        <w:pStyle w:val="3-BodyText"/>
      </w:pPr>
      <w:r w:rsidRPr="00E8442C">
        <w:t xml:space="preserve">Transition probabilities within the advanced liver disease component of the model, including liver-related excess mortality, were based on the OCA PBAC submissions and NICE OCA appraisal and were the same across all treatment arms. </w:t>
      </w:r>
    </w:p>
    <w:p w14:paraId="6A859DA7" w14:textId="77777777" w:rsidR="00D042BF" w:rsidRPr="00E8442C" w:rsidRDefault="00D042BF" w:rsidP="00D042BF">
      <w:pPr>
        <w:pStyle w:val="3-BodyText"/>
      </w:pPr>
      <w:r w:rsidRPr="00E8442C">
        <w:t>Excess liver-related mortality risk was considered for the advanced liver disease health states (i.e., DCC, HCC, pre-liver transplant, liver transplant, post-liver transplant, and PBC re-emergence health states). Transition probabilities to liver-related death were sourced from the NICE appraisal for OCA (NICE TA443).</w:t>
      </w:r>
    </w:p>
    <w:p w14:paraId="4E1F2B2B" w14:textId="254C74B8" w:rsidR="00D042BF" w:rsidRPr="00E8442C" w:rsidRDefault="00D042BF" w:rsidP="00C057C9">
      <w:pPr>
        <w:pStyle w:val="3-BodyText"/>
      </w:pPr>
      <w:r w:rsidRPr="00E8442C">
        <w:t xml:space="preserve">The utilities for the liver disease health states were taken from the NICE TA443 OCA submission. The economic model included an option to apply age-related utility decrements. However, these were not included in the base case analysis. </w:t>
      </w:r>
    </w:p>
    <w:p w14:paraId="1CC7FF98" w14:textId="2F308785" w:rsidR="00D042BF" w:rsidRPr="00E8442C" w:rsidRDefault="00D042BF" w:rsidP="00D042BF">
      <w:pPr>
        <w:pStyle w:val="3-BodyText"/>
      </w:pPr>
      <w:r w:rsidRPr="00E8442C">
        <w:t xml:space="preserve">For the purposes of generating a base case result, the submission used a placeholder </w:t>
      </w:r>
      <w:r w:rsidR="00590AFE" w:rsidRPr="00E8442C">
        <w:t xml:space="preserve">DPMQ </w:t>
      </w:r>
      <w:r w:rsidRPr="00E8442C">
        <w:t xml:space="preserve"> of $</w:t>
      </w:r>
      <w:r w:rsidR="006564A4" w:rsidRPr="003A412A">
        <w:rPr>
          <w:color w:val="000000"/>
          <w:w w:val="15"/>
          <w:shd w:val="solid" w:color="000000" w:fill="000000"/>
          <w:fitText w:val="-20" w:id="-629520893"/>
          <w14:textFill>
            <w14:solidFill>
              <w14:srgbClr w14:val="000000">
                <w14:alpha w14:val="100000"/>
              </w14:srgbClr>
            </w14:solidFill>
          </w14:textFill>
        </w:rPr>
        <w:t xml:space="preserve">|  </w:t>
      </w:r>
      <w:r w:rsidR="006564A4" w:rsidRPr="003A412A">
        <w:rPr>
          <w:color w:val="000000"/>
          <w:spacing w:val="-69"/>
          <w:w w:val="15"/>
          <w:shd w:val="solid" w:color="000000" w:fill="000000"/>
          <w:fitText w:val="-20" w:id="-629520893"/>
          <w14:textFill>
            <w14:solidFill>
              <w14:srgbClr w14:val="000000">
                <w14:alpha w14:val="100000"/>
              </w14:srgbClr>
            </w14:solidFill>
          </w14:textFill>
        </w:rPr>
        <w:t>|</w:t>
      </w:r>
      <w:r w:rsidRPr="00E8442C">
        <w:t xml:space="preserve"> for seladelpar. </w:t>
      </w:r>
      <w:r w:rsidR="006D1FFD">
        <w:t xml:space="preserve">As noted in paragraph </w:t>
      </w:r>
      <w:r w:rsidR="006D1FFD">
        <w:fldChar w:fldCharType="begin"/>
      </w:r>
      <w:r w:rsidR="006D1FFD">
        <w:instrText xml:space="preserve"> REF _Ref205300042 \r \h </w:instrText>
      </w:r>
      <w:r w:rsidR="006D1FFD">
        <w:fldChar w:fldCharType="separate"/>
      </w:r>
      <w:r w:rsidR="00333A5F">
        <w:t>3.2</w:t>
      </w:r>
      <w:r w:rsidR="006D1FFD">
        <w:fldChar w:fldCharType="end"/>
      </w:r>
      <w:r w:rsidR="006D1FFD">
        <w:t xml:space="preserve">, this approach deliberately overestimated the ICER, making the uncertainty in the </w:t>
      </w:r>
      <w:r w:rsidR="002B470D">
        <w:t>ICER</w:t>
      </w:r>
      <w:r w:rsidR="00E20500">
        <w:t xml:space="preserve"> more difficult to assess.</w:t>
      </w:r>
      <w:r w:rsidR="006D1FFD">
        <w:t xml:space="preserve"> </w:t>
      </w:r>
    </w:p>
    <w:p w14:paraId="3FA51E12" w14:textId="5CB4F522" w:rsidR="00D042BF" w:rsidRPr="00E8442C" w:rsidRDefault="00D042BF" w:rsidP="00D042BF">
      <w:pPr>
        <w:pStyle w:val="3-BodyText"/>
      </w:pPr>
      <w:r w:rsidRPr="00E8442C">
        <w:t xml:space="preserve">Key model drivers are given in </w:t>
      </w:r>
      <w:r w:rsidRPr="00E8442C">
        <w:fldChar w:fldCharType="begin"/>
      </w:r>
      <w:r w:rsidRPr="00E8442C">
        <w:instrText xml:space="preserve"> REF _Ref104805122 \h  \* MERGEFORMAT </w:instrText>
      </w:r>
      <w:r w:rsidRPr="00E8442C">
        <w:fldChar w:fldCharType="separate"/>
      </w:r>
      <w:r w:rsidR="00333A5F" w:rsidRPr="00F60921">
        <w:t xml:space="preserve">Table </w:t>
      </w:r>
      <w:r w:rsidR="00333A5F">
        <w:t>14</w:t>
      </w:r>
      <w:r w:rsidRPr="00E8442C">
        <w:fldChar w:fldCharType="end"/>
      </w:r>
      <w:r w:rsidRPr="00E8442C">
        <w:t>. For simplicity, ICERs for UDCA-tolerant patients only are presented. ICERs were similar for UDCA-intolerant patients.</w:t>
      </w:r>
    </w:p>
    <w:p w14:paraId="7E935915" w14:textId="3520537E" w:rsidR="00D042BF" w:rsidRPr="00F60921" w:rsidRDefault="00D042BF" w:rsidP="00D042BF">
      <w:pPr>
        <w:pStyle w:val="Caption"/>
        <w:jc w:val="left"/>
        <w:rPr>
          <w:rStyle w:val="CommentReference"/>
          <w:b/>
          <w:szCs w:val="24"/>
        </w:rPr>
      </w:pPr>
      <w:bookmarkStart w:id="82" w:name="_Ref104805122"/>
      <w:r w:rsidRPr="00F60921">
        <w:lastRenderedPageBreak/>
        <w:t xml:space="preserve">Table </w:t>
      </w:r>
      <w:r w:rsidR="00A24BC2">
        <w:fldChar w:fldCharType="begin"/>
      </w:r>
      <w:r w:rsidR="00A24BC2">
        <w:instrText xml:space="preserve"> SEQ Table \* ARABIC </w:instrText>
      </w:r>
      <w:r w:rsidR="00A24BC2">
        <w:fldChar w:fldCharType="separate"/>
      </w:r>
      <w:r w:rsidR="00333A5F">
        <w:rPr>
          <w:noProof/>
        </w:rPr>
        <w:t>14</w:t>
      </w:r>
      <w:r w:rsidR="00A24BC2">
        <w:rPr>
          <w:noProof/>
        </w:rPr>
        <w:fldChar w:fldCharType="end"/>
      </w:r>
      <w:bookmarkEnd w:id="82"/>
      <w:r w:rsidRPr="00F60921">
        <w:t>:</w:t>
      </w:r>
      <w:r w:rsidRPr="00F60921">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128"/>
        <w:gridCol w:w="4536"/>
        <w:gridCol w:w="3353"/>
      </w:tblGrid>
      <w:tr w:rsidR="00D042BF" w:rsidRPr="00EB733D" w14:paraId="2A9045EF" w14:textId="77777777" w:rsidTr="00154FFC">
        <w:trPr>
          <w:tblHeader/>
        </w:trPr>
        <w:tc>
          <w:tcPr>
            <w:tcW w:w="626" w:type="pct"/>
            <w:vAlign w:val="center"/>
          </w:tcPr>
          <w:p w14:paraId="75CD7116" w14:textId="77777777" w:rsidR="00D042BF" w:rsidRPr="00EB733D" w:rsidRDefault="00D042BF">
            <w:pPr>
              <w:pStyle w:val="In-tableHeading"/>
              <w:jc w:val="center"/>
              <w:rPr>
                <w:lang w:val="en-AU"/>
              </w:rPr>
            </w:pPr>
            <w:r w:rsidRPr="00EB733D">
              <w:rPr>
                <w:lang w:val="en-AU"/>
              </w:rPr>
              <w:t>Description</w:t>
            </w:r>
          </w:p>
        </w:tc>
        <w:tc>
          <w:tcPr>
            <w:tcW w:w="2515" w:type="pct"/>
            <w:vAlign w:val="center"/>
          </w:tcPr>
          <w:p w14:paraId="65785FF0" w14:textId="77777777" w:rsidR="00D042BF" w:rsidRPr="00EB733D" w:rsidRDefault="00D042BF">
            <w:pPr>
              <w:pStyle w:val="In-tableHeading"/>
              <w:jc w:val="center"/>
              <w:rPr>
                <w:lang w:val="en-AU"/>
              </w:rPr>
            </w:pPr>
            <w:r w:rsidRPr="00EB733D">
              <w:t>Method/Value</w:t>
            </w:r>
          </w:p>
        </w:tc>
        <w:tc>
          <w:tcPr>
            <w:tcW w:w="1859" w:type="pct"/>
            <w:vAlign w:val="center"/>
          </w:tcPr>
          <w:p w14:paraId="56055945" w14:textId="77777777" w:rsidR="00D042BF" w:rsidRPr="00EB733D" w:rsidRDefault="00D042BF">
            <w:pPr>
              <w:pStyle w:val="In-tableHeading"/>
              <w:jc w:val="center"/>
            </w:pPr>
            <w:r w:rsidRPr="00EB733D">
              <w:t>Impact</w:t>
            </w:r>
          </w:p>
          <w:p w14:paraId="263E992A" w14:textId="2C5A2171" w:rsidR="00D042BF" w:rsidRPr="00EB733D" w:rsidRDefault="00D042BF">
            <w:pPr>
              <w:pStyle w:val="In-tableHeading"/>
              <w:jc w:val="center"/>
              <w:rPr>
                <w:rFonts w:cs="Arial"/>
                <w:szCs w:val="20"/>
                <w:lang w:val="en-AU"/>
              </w:rPr>
            </w:pPr>
            <w:r w:rsidRPr="00EB733D">
              <w:rPr>
                <w:rFonts w:cs="Arial"/>
                <w:szCs w:val="20"/>
                <w:lang w:val="en-AU"/>
              </w:rPr>
              <w:t>Base case</w:t>
            </w:r>
            <w:r w:rsidR="00684ADC" w:rsidRPr="00EB733D">
              <w:rPr>
                <w:rFonts w:cs="Arial"/>
                <w:szCs w:val="20"/>
                <w:lang w:val="en-AU"/>
              </w:rPr>
              <w:t xml:space="preserve"> for</w:t>
            </w:r>
            <w:r w:rsidRPr="00EB733D">
              <w:rPr>
                <w:rFonts w:cs="Arial"/>
                <w:szCs w:val="20"/>
                <w:lang w:val="en-AU"/>
              </w:rPr>
              <w:t xml:space="preserve"> UDCA-tolerant </w:t>
            </w:r>
            <w:r w:rsidR="00684ADC" w:rsidRPr="00EB733D">
              <w:rPr>
                <w:rFonts w:cs="Arial"/>
                <w:szCs w:val="20"/>
                <w:lang w:val="en-AU"/>
              </w:rPr>
              <w:br/>
            </w:r>
            <w:r w:rsidRPr="00EB733D">
              <w:rPr>
                <w:rFonts w:cs="Arial"/>
                <w:szCs w:val="20"/>
                <w:lang w:val="en-AU"/>
              </w:rPr>
              <w:t>vs UDCA: $</w:t>
            </w:r>
            <w:r w:rsidR="006564A4" w:rsidRPr="006564A4">
              <w:rPr>
                <w:rFonts w:cs="Arial"/>
                <w:color w:val="000000"/>
                <w:szCs w:val="20"/>
                <w:shd w:val="solid" w:color="000000" w:fill="000000"/>
                <w:lang w:val="en-AU"/>
                <w14:textFill>
                  <w14:solidFill>
                    <w14:srgbClr w14:val="000000">
                      <w14:alpha w14:val="100000"/>
                    </w14:srgbClr>
                  </w14:solidFill>
                </w14:textFill>
              </w:rPr>
              <w:t>|</w:t>
            </w:r>
            <w:r w:rsidR="009A7889" w:rsidRPr="009A7889">
              <w:rPr>
                <w:rFonts w:cs="Arial"/>
                <w:szCs w:val="20"/>
                <w:vertAlign w:val="superscript"/>
                <w:lang w:val="en-AU"/>
              </w:rPr>
              <w:t>1</w:t>
            </w:r>
            <w:r w:rsidRPr="00EB733D">
              <w:rPr>
                <w:rFonts w:cs="Arial"/>
                <w:szCs w:val="20"/>
                <w:lang w:val="en-AU"/>
              </w:rPr>
              <w:t>/QALY gained,</w:t>
            </w:r>
          </w:p>
          <w:p w14:paraId="4A86A5B7" w14:textId="2783FC27" w:rsidR="00D042BF" w:rsidRPr="00EB733D" w:rsidRDefault="00D042BF">
            <w:pPr>
              <w:pStyle w:val="In-tableHeading"/>
              <w:jc w:val="center"/>
              <w:rPr>
                <w:lang w:val="en-AU"/>
              </w:rPr>
            </w:pPr>
            <w:r w:rsidRPr="00EB733D">
              <w:rPr>
                <w:lang w:val="en-AU"/>
              </w:rPr>
              <w:t>vs OCA + UDCA</w:t>
            </w:r>
            <w:r w:rsidR="00684ADC" w:rsidRPr="00EB733D">
              <w:rPr>
                <w:lang w:val="en-AU"/>
              </w:rPr>
              <w:t>:</w:t>
            </w:r>
            <w:r w:rsidRPr="00EB733D">
              <w:rPr>
                <w:lang w:val="en-AU"/>
              </w:rPr>
              <w:t xml:space="preserve"> $</w:t>
            </w:r>
            <w:r w:rsidR="006564A4" w:rsidRPr="00333A5F">
              <w:rPr>
                <w:color w:val="000000"/>
                <w:spacing w:val="160"/>
                <w:shd w:val="solid" w:color="000000" w:fill="000000"/>
                <w:fitText w:val="252" w:id="-629520892"/>
                <w:lang w:val="en-AU"/>
                <w14:textFill>
                  <w14:solidFill>
                    <w14:srgbClr w14:val="000000">
                      <w14:alpha w14:val="100000"/>
                    </w14:srgbClr>
                  </w14:solidFill>
                </w14:textFill>
              </w:rPr>
              <w:t>|</w:t>
            </w:r>
            <w:r w:rsidR="006564A4" w:rsidRPr="00333A5F">
              <w:rPr>
                <w:color w:val="000000"/>
                <w:shd w:val="solid" w:color="000000" w:fill="000000"/>
                <w:fitText w:val="252" w:id="-629520892"/>
                <w:lang w:val="en-AU"/>
                <w14:textFill>
                  <w14:solidFill>
                    <w14:srgbClr w14:val="000000">
                      <w14:alpha w14:val="100000"/>
                    </w14:srgbClr>
                  </w14:solidFill>
                </w14:textFill>
              </w:rPr>
              <w:t>|</w:t>
            </w:r>
            <w:r w:rsidR="000552D5" w:rsidRPr="00AD4380">
              <w:rPr>
                <w:vertAlign w:val="superscript"/>
                <w:lang w:val="en-AU"/>
              </w:rPr>
              <w:t>2</w:t>
            </w:r>
            <w:r w:rsidRPr="00EB733D">
              <w:rPr>
                <w:lang w:val="en-AU"/>
              </w:rPr>
              <w:t>/</w:t>
            </w:r>
            <w:r w:rsidRPr="00EB733D">
              <w:rPr>
                <w:rFonts w:cs="Arial"/>
                <w:szCs w:val="20"/>
                <w:lang w:val="en-AU"/>
              </w:rPr>
              <w:t xml:space="preserve"> QALY gained</w:t>
            </w:r>
          </w:p>
        </w:tc>
      </w:tr>
      <w:tr w:rsidR="00D042BF" w:rsidRPr="00EB733D" w14:paraId="19AFC993" w14:textId="77777777" w:rsidTr="00154FFC">
        <w:tc>
          <w:tcPr>
            <w:tcW w:w="626" w:type="pct"/>
            <w:vAlign w:val="center"/>
          </w:tcPr>
          <w:p w14:paraId="7BD79D3D" w14:textId="77777777" w:rsidR="00D042BF" w:rsidRPr="00EB733D" w:rsidRDefault="00D042BF">
            <w:pPr>
              <w:pStyle w:val="TableText0"/>
            </w:pPr>
            <w:r w:rsidRPr="00EB733D">
              <w:t>Extrapolation</w:t>
            </w:r>
          </w:p>
        </w:tc>
        <w:tc>
          <w:tcPr>
            <w:tcW w:w="2515" w:type="pct"/>
            <w:vAlign w:val="center"/>
          </w:tcPr>
          <w:p w14:paraId="49ED77BE" w14:textId="7AF225BD" w:rsidR="00D042BF" w:rsidRPr="00EB733D" w:rsidRDefault="00D042BF">
            <w:pPr>
              <w:pStyle w:val="TableText0"/>
            </w:pPr>
            <w:r w:rsidRPr="00EB733D">
              <w:t xml:space="preserve">Distribution of patients across biochemical health states over the </w:t>
            </w:r>
            <w:r w:rsidR="00FA1D0C" w:rsidRPr="00EB733D">
              <w:t>30-year</w:t>
            </w:r>
            <w:r w:rsidRPr="00EB733D">
              <w:t xml:space="preserve"> time horizon of the model. </w:t>
            </w:r>
            <w:r w:rsidR="00DE0F83">
              <w:t>Transition probabilities for the first 12 months were derived from the RESPONSE trial. After 12-months it was assumed that the treatment benefit at 12 months was maintained with the transition probabilities from 9-12 months applied repeatedly. For BSC/UDCA patients, n</w:t>
            </w:r>
            <w:r w:rsidRPr="00EB733D">
              <w:t xml:space="preserve">o further improvement in health state </w:t>
            </w:r>
            <w:r w:rsidR="00DE0F83">
              <w:t>was</w:t>
            </w:r>
            <w:r w:rsidRPr="00EB733D">
              <w:t xml:space="preserve"> allowed. </w:t>
            </w:r>
          </w:p>
        </w:tc>
        <w:tc>
          <w:tcPr>
            <w:tcW w:w="1859" w:type="pct"/>
            <w:vAlign w:val="center"/>
          </w:tcPr>
          <w:p w14:paraId="3F205AAD" w14:textId="77777777" w:rsidR="00D042BF" w:rsidRPr="00EB733D" w:rsidRDefault="00D042BF">
            <w:pPr>
              <w:pStyle w:val="TableText0"/>
            </w:pPr>
          </w:p>
          <w:p w14:paraId="57436D5F" w14:textId="77777777" w:rsidR="00D042BF" w:rsidRPr="00EB733D" w:rsidRDefault="00D042BF">
            <w:pPr>
              <w:pStyle w:val="TableText0"/>
            </w:pPr>
            <w:r w:rsidRPr="00EB733D">
              <w:t>Very high, favours seladelpar.</w:t>
            </w:r>
          </w:p>
          <w:p w14:paraId="50C7BD23" w14:textId="72EDEA11" w:rsidR="00D042BF" w:rsidRPr="00EB733D" w:rsidRDefault="00D042BF">
            <w:pPr>
              <w:pStyle w:val="TableText0"/>
            </w:pPr>
            <w:r w:rsidRPr="00EB733D">
              <w:t xml:space="preserve">Use of alternative approach </w:t>
            </w:r>
            <w:r w:rsidR="00DE0F83">
              <w:t xml:space="preserve">in which some improvements in biochemical states in the BSC/UDCA arm were allowed </w:t>
            </w:r>
            <w:r w:rsidRPr="00EB733D">
              <w:t>increased the ICER vs UDCA to $</w:t>
            </w:r>
            <w:r w:rsidR="006564A4" w:rsidRPr="00333A5F">
              <w:rPr>
                <w:color w:val="000000"/>
                <w:spacing w:val="63"/>
                <w:w w:val="85"/>
                <w:shd w:val="solid" w:color="000000" w:fill="000000"/>
                <w:fitText w:val="336" w:id="-629520891"/>
                <w14:textFill>
                  <w14:solidFill>
                    <w14:srgbClr w14:val="000000">
                      <w14:alpha w14:val="100000"/>
                    </w14:srgbClr>
                  </w14:solidFill>
                </w14:textFill>
              </w:rPr>
              <w:t>|||</w:t>
            </w:r>
            <w:r w:rsidR="006564A4" w:rsidRPr="00333A5F">
              <w:rPr>
                <w:color w:val="000000"/>
                <w:spacing w:val="3"/>
                <w:w w:val="85"/>
                <w:shd w:val="solid" w:color="000000" w:fill="000000"/>
                <w:fitText w:val="336" w:id="-629520891"/>
                <w14:textFill>
                  <w14:solidFill>
                    <w14:srgbClr w14:val="000000">
                      <w14:alpha w14:val="100000"/>
                    </w14:srgbClr>
                  </w14:solidFill>
                </w14:textFill>
              </w:rPr>
              <w:t>|</w:t>
            </w:r>
            <w:r w:rsidR="00E02469" w:rsidRPr="00E02469">
              <w:rPr>
                <w:vertAlign w:val="superscript"/>
              </w:rPr>
              <w:t>3</w:t>
            </w:r>
            <w:r w:rsidRPr="00EB733D">
              <w:t>/QALY gained and vs OCA+UDCA to $</w:t>
            </w:r>
            <w:r w:rsidR="006564A4" w:rsidRPr="00333A5F">
              <w:rPr>
                <w:color w:val="000000"/>
                <w:spacing w:val="55"/>
                <w:shd w:val="solid" w:color="000000" w:fill="000000"/>
                <w:fitText w:val="336" w:id="-629520890"/>
                <w14:textFill>
                  <w14:solidFill>
                    <w14:srgbClr w14:val="000000">
                      <w14:alpha w14:val="100000"/>
                    </w14:srgbClr>
                  </w14:solidFill>
                </w14:textFill>
              </w:rPr>
              <w:t>|||</w:t>
            </w:r>
            <w:r w:rsidR="006564A4" w:rsidRPr="00333A5F">
              <w:rPr>
                <w:color w:val="000000"/>
                <w:spacing w:val="1"/>
                <w:shd w:val="solid" w:color="000000" w:fill="000000"/>
                <w:fitText w:val="336" w:id="-629520890"/>
                <w14:textFill>
                  <w14:solidFill>
                    <w14:srgbClr w14:val="000000">
                      <w14:alpha w14:val="100000"/>
                    </w14:srgbClr>
                  </w14:solidFill>
                </w14:textFill>
              </w:rPr>
              <w:t>|</w:t>
            </w:r>
            <w:r w:rsidR="00E02469" w:rsidRPr="00E02469">
              <w:rPr>
                <w:vertAlign w:val="superscript"/>
              </w:rPr>
              <w:t>3</w:t>
            </w:r>
            <w:r w:rsidRPr="00EB733D">
              <w:t>/QALY gained.</w:t>
            </w:r>
          </w:p>
        </w:tc>
      </w:tr>
      <w:tr w:rsidR="00D042BF" w:rsidRPr="00EB733D" w14:paraId="5DAB7A1C" w14:textId="77777777" w:rsidTr="00154FFC">
        <w:tc>
          <w:tcPr>
            <w:tcW w:w="626" w:type="pct"/>
            <w:vAlign w:val="center"/>
          </w:tcPr>
          <w:p w14:paraId="07D4C86C" w14:textId="77777777" w:rsidR="00D042BF" w:rsidRPr="00EB733D" w:rsidRDefault="00D042BF">
            <w:pPr>
              <w:pStyle w:val="TableText0"/>
            </w:pPr>
            <w:r w:rsidRPr="00EB733D">
              <w:t>Treatment effect</w:t>
            </w:r>
          </w:p>
        </w:tc>
        <w:tc>
          <w:tcPr>
            <w:tcW w:w="2515" w:type="pct"/>
            <w:vAlign w:val="center"/>
          </w:tcPr>
          <w:p w14:paraId="09199DAC" w14:textId="45A71673" w:rsidR="00D042BF" w:rsidRPr="00EB733D" w:rsidRDefault="00D042BF">
            <w:pPr>
              <w:pStyle w:val="TableText0"/>
            </w:pPr>
            <w:r w:rsidRPr="00EB733D">
              <w:t xml:space="preserve">For the treatment effect of seladelpar </w:t>
            </w:r>
            <w:r w:rsidR="00684ADC" w:rsidRPr="00EB733D">
              <w:t>±</w:t>
            </w:r>
            <w:r w:rsidRPr="00EB733D">
              <w:t xml:space="preserve"> UDCA with OCA </w:t>
            </w:r>
            <w:r w:rsidR="00684ADC" w:rsidRPr="00EB733D">
              <w:t>±</w:t>
            </w:r>
            <w:r w:rsidRPr="00EB733D">
              <w:t xml:space="preserve"> UDCA, the economic model used the ALP normalisation rate, a secondary outcome from the RESPONSE trial, and the Toronto I criteria (ALP&lt;1.67×ULN)</w:t>
            </w:r>
            <w:r w:rsidR="00DE0F83">
              <w:t xml:space="preserve">, </w:t>
            </w:r>
            <w:r w:rsidRPr="00EB733D">
              <w:t xml:space="preserve">not the primary outcome from the RESPONSE trial, the rate of biochemical response. The treatment effect for ALP normalisation was significantly better for seladelpar </w:t>
            </w:r>
            <w:r w:rsidR="00684ADC" w:rsidRPr="00EB733D">
              <w:t>±</w:t>
            </w:r>
            <w:r w:rsidRPr="00EB733D">
              <w:t xml:space="preserve"> UDCA compared to OCA </w:t>
            </w:r>
            <w:r w:rsidR="00684ADC" w:rsidRPr="00EB733D">
              <w:t xml:space="preserve">± </w:t>
            </w:r>
            <w:r w:rsidRPr="00EB733D">
              <w:t xml:space="preserve">UDCA, based on risk differences, whereas the treatment effect for the rate of biochemical response was not significantly better. </w:t>
            </w:r>
          </w:p>
        </w:tc>
        <w:tc>
          <w:tcPr>
            <w:tcW w:w="1859" w:type="pct"/>
            <w:vAlign w:val="center"/>
          </w:tcPr>
          <w:p w14:paraId="36C27912" w14:textId="77777777" w:rsidR="00D042BF" w:rsidRPr="00EB733D" w:rsidRDefault="00D042BF">
            <w:pPr>
              <w:pStyle w:val="TableText0"/>
            </w:pPr>
            <w:r w:rsidRPr="00EB733D">
              <w:t>Potentially high impact, favours seladelpar. Not possible to quantify impact without major structural changes to the model.</w:t>
            </w:r>
          </w:p>
        </w:tc>
      </w:tr>
      <w:tr w:rsidR="00D042BF" w:rsidRPr="00EB733D" w14:paraId="0C155B1A" w14:textId="77777777" w:rsidTr="00154FFC">
        <w:tc>
          <w:tcPr>
            <w:tcW w:w="626" w:type="pct"/>
            <w:vAlign w:val="center"/>
          </w:tcPr>
          <w:p w14:paraId="16786475" w14:textId="77777777" w:rsidR="00D042BF" w:rsidRPr="00EB733D" w:rsidRDefault="00D042BF">
            <w:pPr>
              <w:pStyle w:val="TableText0"/>
            </w:pPr>
            <w:r w:rsidRPr="00EB733D">
              <w:t>Utilities</w:t>
            </w:r>
          </w:p>
        </w:tc>
        <w:tc>
          <w:tcPr>
            <w:tcW w:w="2515" w:type="pct"/>
            <w:vAlign w:val="center"/>
          </w:tcPr>
          <w:p w14:paraId="23B29FA4" w14:textId="62A3FA4D" w:rsidR="00D042BF" w:rsidRPr="00EB733D" w:rsidRDefault="00D042BF">
            <w:pPr>
              <w:pStyle w:val="TableText0"/>
            </w:pPr>
            <w:r w:rsidRPr="00EB733D">
              <w:t xml:space="preserve">The economic model included an option to apply age-related utility decrements. However, these were not included in the base case analysis. </w:t>
            </w:r>
          </w:p>
        </w:tc>
        <w:tc>
          <w:tcPr>
            <w:tcW w:w="1859" w:type="pct"/>
            <w:vAlign w:val="center"/>
          </w:tcPr>
          <w:p w14:paraId="16A326D4" w14:textId="073CFCC5" w:rsidR="00D042BF" w:rsidRPr="00EB733D" w:rsidRDefault="00D042BF">
            <w:pPr>
              <w:pStyle w:val="TableText0"/>
            </w:pPr>
            <w:r w:rsidRPr="00EB733D">
              <w:t>Moderate impact, favours seladelpar. Use of age-related utility decrements</w:t>
            </w:r>
            <w:r w:rsidR="00DE0F83">
              <w:t xml:space="preserve"> </w:t>
            </w:r>
            <w:r w:rsidRPr="00EB733D">
              <w:t xml:space="preserve">increased </w:t>
            </w:r>
            <w:r w:rsidR="00DE0F83">
              <w:t xml:space="preserve">the </w:t>
            </w:r>
            <w:r w:rsidR="00DE0F83" w:rsidRPr="00EB733D">
              <w:t xml:space="preserve">ICER vs UDCA </w:t>
            </w:r>
            <w:r w:rsidRPr="00EB733D">
              <w:t xml:space="preserve">to </w:t>
            </w:r>
            <w:bookmarkStart w:id="83" w:name="_Hlk197004674"/>
            <w:r w:rsidRPr="00EB733D">
              <w:t>$</w:t>
            </w:r>
            <w:r w:rsidR="006564A4" w:rsidRPr="00333A5F">
              <w:rPr>
                <w:color w:val="000000"/>
                <w:spacing w:val="55"/>
                <w:shd w:val="solid" w:color="000000" w:fill="000000"/>
                <w:fitText w:val="336" w:id="-629520889"/>
                <w14:textFill>
                  <w14:solidFill>
                    <w14:srgbClr w14:val="000000">
                      <w14:alpha w14:val="100000"/>
                    </w14:srgbClr>
                  </w14:solidFill>
                </w14:textFill>
              </w:rPr>
              <w:t>|||</w:t>
            </w:r>
            <w:r w:rsidR="006564A4" w:rsidRPr="00333A5F">
              <w:rPr>
                <w:color w:val="000000"/>
                <w:spacing w:val="1"/>
                <w:shd w:val="solid" w:color="000000" w:fill="000000"/>
                <w:fitText w:val="336" w:id="-629520889"/>
                <w14:textFill>
                  <w14:solidFill>
                    <w14:srgbClr w14:val="000000">
                      <w14:alpha w14:val="100000"/>
                    </w14:srgbClr>
                  </w14:solidFill>
                </w14:textFill>
              </w:rPr>
              <w:t>|</w:t>
            </w:r>
            <w:r w:rsidR="000552D5" w:rsidRPr="009A7889">
              <w:rPr>
                <w:rFonts w:cs="Arial"/>
                <w:szCs w:val="20"/>
                <w:vertAlign w:val="superscript"/>
              </w:rPr>
              <w:t>1</w:t>
            </w:r>
            <w:r w:rsidRPr="00EB733D">
              <w:t xml:space="preserve">/QALY gained, and </w:t>
            </w:r>
            <w:r w:rsidR="00DE0F83">
              <w:t xml:space="preserve">the </w:t>
            </w:r>
            <w:r w:rsidRPr="00EB733D">
              <w:t>ICER vs OCA+UDCA increased to $</w:t>
            </w:r>
            <w:r w:rsidR="006564A4" w:rsidRPr="00333A5F">
              <w:rPr>
                <w:color w:val="000000"/>
                <w:spacing w:val="51"/>
                <w:shd w:val="solid" w:color="000000" w:fill="000000"/>
                <w:fitText w:val="324" w:id="-629520888"/>
                <w14:textFill>
                  <w14:solidFill>
                    <w14:srgbClr w14:val="000000">
                      <w14:alpha w14:val="100000"/>
                    </w14:srgbClr>
                  </w14:solidFill>
                </w14:textFill>
              </w:rPr>
              <w:t>|||</w:t>
            </w:r>
            <w:r w:rsidR="006564A4" w:rsidRPr="00333A5F">
              <w:rPr>
                <w:color w:val="000000"/>
                <w:spacing w:val="1"/>
                <w:shd w:val="solid" w:color="000000" w:fill="000000"/>
                <w:fitText w:val="324" w:id="-629520888"/>
                <w14:textFill>
                  <w14:solidFill>
                    <w14:srgbClr w14:val="000000">
                      <w14:alpha w14:val="100000"/>
                    </w14:srgbClr>
                  </w14:solidFill>
                </w14:textFill>
              </w:rPr>
              <w:t>|</w:t>
            </w:r>
            <w:r w:rsidR="004C54F0" w:rsidRPr="00AD4380">
              <w:rPr>
                <w:vertAlign w:val="superscript"/>
              </w:rPr>
              <w:t>2</w:t>
            </w:r>
            <w:r w:rsidRPr="00EB733D">
              <w:t>/QALY</w:t>
            </w:r>
            <w:bookmarkEnd w:id="83"/>
            <w:r w:rsidRPr="00EB733D">
              <w:t xml:space="preserve"> gained</w:t>
            </w:r>
          </w:p>
        </w:tc>
      </w:tr>
    </w:tbl>
    <w:p w14:paraId="2A549DE2" w14:textId="5CE4E1FC" w:rsidR="00D042BF" w:rsidRPr="00F60921" w:rsidRDefault="00D042BF" w:rsidP="00D042BF">
      <w:pPr>
        <w:pStyle w:val="TableFigureFooter"/>
      </w:pPr>
      <w:r w:rsidRPr="00F60921">
        <w:t xml:space="preserve">Source: pp181-182 of the submission, worksheet “settings” of economic model. </w:t>
      </w:r>
    </w:p>
    <w:p w14:paraId="24416309" w14:textId="77777777" w:rsidR="009A7889" w:rsidRDefault="00D042BF" w:rsidP="00D042BF">
      <w:pPr>
        <w:pStyle w:val="TableFigureFooter"/>
      </w:pPr>
      <w:r w:rsidRPr="00F60921">
        <w:t>ALP = alkaline phosphatase, BSC = best supportive care, ICER = incremental cost-effectiveness ratio, OCA = obeticholic acid, QALY = quality-adjusted life-year, UDCA = ursodeoxycholic acid, ULN = upper limit of normal.</w:t>
      </w:r>
      <w:r w:rsidR="009A7889" w:rsidRPr="009A7889">
        <w:t xml:space="preserve"> </w:t>
      </w:r>
    </w:p>
    <w:p w14:paraId="37231EE5" w14:textId="2AD41405" w:rsidR="000552D5" w:rsidRPr="00632E32" w:rsidRDefault="009A7889" w:rsidP="00D042BF">
      <w:pPr>
        <w:pStyle w:val="TableFigureFooter"/>
        <w:rPr>
          <w:i/>
          <w:iCs/>
        </w:rPr>
      </w:pPr>
      <w:r w:rsidRPr="00632E32">
        <w:rPr>
          <w:i/>
          <w:iCs/>
        </w:rPr>
        <w:t>The redacted values correspond to the following ranges:</w:t>
      </w:r>
    </w:p>
    <w:p w14:paraId="1793AF1A" w14:textId="77777777" w:rsidR="00E02469" w:rsidRPr="00632E32" w:rsidRDefault="003B651A" w:rsidP="00E02469">
      <w:pPr>
        <w:pStyle w:val="TableFigureFooter"/>
        <w:rPr>
          <w:i/>
          <w:iCs/>
        </w:rPr>
      </w:pPr>
      <w:r w:rsidRPr="00632E32">
        <w:rPr>
          <w:i/>
          <w:iCs/>
          <w:vertAlign w:val="superscript"/>
        </w:rPr>
        <w:t>1</w:t>
      </w:r>
      <w:r w:rsidR="000552D5" w:rsidRPr="00632E32">
        <w:rPr>
          <w:i/>
          <w:iCs/>
        </w:rPr>
        <w:t xml:space="preserve"> $155,000 to &lt; $255,000</w:t>
      </w:r>
      <w:r w:rsidRPr="00632E32">
        <w:rPr>
          <w:i/>
          <w:iCs/>
        </w:rPr>
        <w:t xml:space="preserve"> </w:t>
      </w:r>
    </w:p>
    <w:p w14:paraId="1531F314" w14:textId="767EA504" w:rsidR="00E02469" w:rsidRPr="00632E32" w:rsidRDefault="00E02469" w:rsidP="00E02469">
      <w:pPr>
        <w:pStyle w:val="TableFigureFooter"/>
        <w:rPr>
          <w:i/>
          <w:iCs/>
        </w:rPr>
      </w:pPr>
      <w:r w:rsidRPr="00632E32">
        <w:rPr>
          <w:i/>
          <w:iCs/>
          <w:vertAlign w:val="superscript"/>
        </w:rPr>
        <w:t>2</w:t>
      </w:r>
      <w:r w:rsidRPr="00632E32">
        <w:rPr>
          <w:i/>
          <w:iCs/>
        </w:rPr>
        <w:t xml:space="preserve"> </w:t>
      </w:r>
      <w:r w:rsidR="000171F5" w:rsidRPr="00632E32">
        <w:rPr>
          <w:i/>
          <w:iCs/>
        </w:rPr>
        <w:t>$</w:t>
      </w:r>
      <w:r w:rsidRPr="00632E32">
        <w:rPr>
          <w:i/>
          <w:iCs/>
        </w:rPr>
        <w:t>455,000 to &lt; $555,000</w:t>
      </w:r>
    </w:p>
    <w:p w14:paraId="0B39ABBD" w14:textId="43A1B87F" w:rsidR="00D042BF" w:rsidRPr="00632E32" w:rsidRDefault="00E02469" w:rsidP="00E02469">
      <w:pPr>
        <w:pStyle w:val="TableFigureFooter"/>
        <w:rPr>
          <w:i/>
          <w:iCs/>
        </w:rPr>
      </w:pPr>
      <w:r w:rsidRPr="00632E32">
        <w:rPr>
          <w:i/>
          <w:iCs/>
          <w:vertAlign w:val="superscript"/>
        </w:rPr>
        <w:t>3</w:t>
      </w:r>
      <w:r w:rsidRPr="00632E32">
        <w:rPr>
          <w:i/>
          <w:iCs/>
        </w:rPr>
        <w:t xml:space="preserve"> $555,000 to &lt; $655,000</w:t>
      </w:r>
    </w:p>
    <w:p w14:paraId="3E7E33D2" w14:textId="210D122F" w:rsidR="00D042BF" w:rsidRPr="00EB733D" w:rsidRDefault="00D042BF" w:rsidP="00D042BF">
      <w:pPr>
        <w:pStyle w:val="3-BodyText"/>
      </w:pPr>
      <w:r w:rsidRPr="00EB733D">
        <w:t xml:space="preserve">The results of the stepped economic evaluation are given in </w:t>
      </w:r>
      <w:r w:rsidRPr="00EB733D">
        <w:fldChar w:fldCharType="begin"/>
      </w:r>
      <w:r w:rsidRPr="00EB733D">
        <w:instrText xml:space="preserve"> REF _Ref197077001 \h </w:instrText>
      </w:r>
      <w:r w:rsidR="00EB733D" w:rsidRPr="00EB733D">
        <w:instrText xml:space="preserve"> \* MERGEFORMAT </w:instrText>
      </w:r>
      <w:r w:rsidRPr="00EB733D">
        <w:fldChar w:fldCharType="separate"/>
      </w:r>
      <w:r w:rsidR="00333A5F" w:rsidRPr="00F60921">
        <w:t xml:space="preserve">Table </w:t>
      </w:r>
      <w:r w:rsidR="00333A5F">
        <w:rPr>
          <w:noProof/>
        </w:rPr>
        <w:t>15</w:t>
      </w:r>
      <w:r w:rsidRPr="00EB733D">
        <w:fldChar w:fldCharType="end"/>
      </w:r>
      <w:r w:rsidRPr="00EB733D">
        <w:t xml:space="preserve">. The ICERs decreased substantially when costs and outcomes were modelled over the </w:t>
      </w:r>
      <w:r w:rsidR="00FA1D0C" w:rsidRPr="00EB733D">
        <w:t>30-year</w:t>
      </w:r>
      <w:r w:rsidRPr="00EB733D">
        <w:t xml:space="preserve"> time horizon.</w:t>
      </w:r>
    </w:p>
    <w:p w14:paraId="0A96E80B" w14:textId="77777777" w:rsidR="00D042BF" w:rsidRPr="00F60921" w:rsidRDefault="00D042BF" w:rsidP="00D042BF">
      <w:pPr>
        <w:pStyle w:val="3-BodyText"/>
        <w:numPr>
          <w:ilvl w:val="0"/>
          <w:numId w:val="0"/>
        </w:numPr>
        <w:ind w:left="720" w:hanging="720"/>
      </w:pPr>
    </w:p>
    <w:p w14:paraId="5A509EEC" w14:textId="77777777" w:rsidR="00D042BF" w:rsidRPr="00F60921" w:rsidRDefault="00D042BF" w:rsidP="00D042BF">
      <w:pPr>
        <w:pStyle w:val="3-BodyText"/>
        <w:numPr>
          <w:ilvl w:val="0"/>
          <w:numId w:val="0"/>
        </w:numPr>
        <w:ind w:left="720" w:hanging="720"/>
        <w:sectPr w:rsidR="00D042BF" w:rsidRPr="00F60921" w:rsidSect="00D042BF">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pPr>
    </w:p>
    <w:p w14:paraId="61EDB506" w14:textId="4908790D" w:rsidR="00D042BF" w:rsidRPr="00F60921" w:rsidRDefault="00D042BF" w:rsidP="00D042BF">
      <w:pPr>
        <w:pStyle w:val="Caption"/>
      </w:pPr>
      <w:bookmarkStart w:id="84" w:name="_Ref197077001"/>
      <w:r w:rsidRPr="00F60921">
        <w:lastRenderedPageBreak/>
        <w:t xml:space="preserve">Table </w:t>
      </w:r>
      <w:r w:rsidR="00A24BC2">
        <w:fldChar w:fldCharType="begin"/>
      </w:r>
      <w:r w:rsidR="00A24BC2">
        <w:instrText xml:space="preserve"> SEQ Table \* ARABIC </w:instrText>
      </w:r>
      <w:r w:rsidR="00A24BC2">
        <w:fldChar w:fldCharType="separate"/>
      </w:r>
      <w:r w:rsidR="00333A5F">
        <w:rPr>
          <w:noProof/>
        </w:rPr>
        <w:t>15</w:t>
      </w:r>
      <w:r w:rsidR="00A24BC2">
        <w:rPr>
          <w:noProof/>
        </w:rPr>
        <w:fldChar w:fldCharType="end"/>
      </w:r>
      <w:bookmarkEnd w:id="84"/>
      <w:r w:rsidRPr="00F60921">
        <w:t>:</w:t>
      </w:r>
      <w:r w:rsidRPr="00F60921">
        <w:rPr>
          <w:rStyle w:val="CommentReference"/>
          <w:b/>
          <w:szCs w:val="24"/>
        </w:rPr>
        <w:t xml:space="preserve"> Results of the stepped economic evaluation</w:t>
      </w:r>
    </w:p>
    <w:tbl>
      <w:tblPr>
        <w:tblStyle w:val="TableGrid"/>
        <w:tblW w:w="5000" w:type="pct"/>
        <w:tblLook w:val="04A0" w:firstRow="1" w:lastRow="0" w:firstColumn="1" w:lastColumn="0" w:noHBand="0" w:noVBand="1"/>
        <w:tblCaption w:val="Table 15: Results of the stepped economic evaluation"/>
      </w:tblPr>
      <w:tblGrid>
        <w:gridCol w:w="572"/>
        <w:gridCol w:w="1833"/>
        <w:gridCol w:w="1844"/>
        <w:gridCol w:w="3262"/>
        <w:gridCol w:w="988"/>
        <w:gridCol w:w="2519"/>
        <w:gridCol w:w="901"/>
        <w:gridCol w:w="901"/>
        <w:gridCol w:w="1130"/>
      </w:tblGrid>
      <w:tr w:rsidR="00D042BF" w:rsidRPr="00F60921" w14:paraId="3BDAA1F9" w14:textId="77777777" w:rsidTr="006564A4">
        <w:tc>
          <w:tcPr>
            <w:tcW w:w="205" w:type="pct"/>
            <w:vAlign w:val="center"/>
          </w:tcPr>
          <w:p w14:paraId="77469998" w14:textId="77777777" w:rsidR="00D042BF" w:rsidRPr="00F60921" w:rsidRDefault="00D042BF">
            <w:pPr>
              <w:pStyle w:val="In-tableHeading"/>
              <w:jc w:val="center"/>
            </w:pPr>
            <w:r w:rsidRPr="00F60921">
              <w:t>Step</w:t>
            </w:r>
          </w:p>
        </w:tc>
        <w:tc>
          <w:tcPr>
            <w:tcW w:w="657" w:type="pct"/>
            <w:vAlign w:val="center"/>
          </w:tcPr>
          <w:p w14:paraId="6A7F4411" w14:textId="77777777" w:rsidR="00D042BF" w:rsidRPr="00F60921" w:rsidRDefault="00D042BF">
            <w:pPr>
              <w:pStyle w:val="In-tableHeading"/>
              <w:jc w:val="center"/>
            </w:pPr>
            <w:r w:rsidRPr="00F60921">
              <w:t>Description</w:t>
            </w:r>
          </w:p>
        </w:tc>
        <w:tc>
          <w:tcPr>
            <w:tcW w:w="661" w:type="pct"/>
            <w:vAlign w:val="center"/>
          </w:tcPr>
          <w:p w14:paraId="2F633717" w14:textId="77777777" w:rsidR="00D042BF" w:rsidRPr="00F60921" w:rsidRDefault="00D042BF">
            <w:pPr>
              <w:pStyle w:val="In-tableHeading"/>
              <w:jc w:val="center"/>
            </w:pPr>
            <w:r w:rsidRPr="00F60921">
              <w:t>Cost</w:t>
            </w:r>
          </w:p>
        </w:tc>
        <w:tc>
          <w:tcPr>
            <w:tcW w:w="1169" w:type="pct"/>
            <w:vAlign w:val="center"/>
          </w:tcPr>
          <w:p w14:paraId="0C452AF3" w14:textId="77777777" w:rsidR="00D042BF" w:rsidRPr="00F60921" w:rsidRDefault="00D042BF">
            <w:pPr>
              <w:pStyle w:val="In-tableHeading"/>
              <w:jc w:val="center"/>
            </w:pPr>
            <w:r w:rsidRPr="00F60921">
              <w:t>Outcome</w:t>
            </w:r>
          </w:p>
        </w:tc>
        <w:tc>
          <w:tcPr>
            <w:tcW w:w="354" w:type="pct"/>
            <w:vAlign w:val="center"/>
          </w:tcPr>
          <w:p w14:paraId="548D6B97" w14:textId="77777777" w:rsidR="00D042BF" w:rsidRPr="00F60921" w:rsidRDefault="00D042BF">
            <w:pPr>
              <w:pStyle w:val="In-tableHeading"/>
              <w:jc w:val="center"/>
            </w:pPr>
            <w:r w:rsidRPr="00F60921">
              <w:t>Horizon</w:t>
            </w:r>
          </w:p>
        </w:tc>
        <w:tc>
          <w:tcPr>
            <w:tcW w:w="903" w:type="pct"/>
            <w:vAlign w:val="center"/>
          </w:tcPr>
          <w:p w14:paraId="50656C5A" w14:textId="77777777" w:rsidR="00D042BF" w:rsidRPr="00F60921" w:rsidRDefault="00D042BF">
            <w:pPr>
              <w:pStyle w:val="In-tableHeading"/>
              <w:jc w:val="center"/>
            </w:pPr>
            <w:r w:rsidRPr="00F60921">
              <w:t>Comparison</w:t>
            </w:r>
          </w:p>
        </w:tc>
        <w:tc>
          <w:tcPr>
            <w:tcW w:w="323" w:type="pct"/>
            <w:tcBorders>
              <w:bottom w:val="single" w:sz="4" w:space="0" w:color="auto"/>
            </w:tcBorders>
            <w:vAlign w:val="center"/>
          </w:tcPr>
          <w:p w14:paraId="5DFA9322" w14:textId="54227C2F" w:rsidR="00D042BF" w:rsidRPr="00F60921" w:rsidRDefault="00D042BF">
            <w:pPr>
              <w:pStyle w:val="In-tableHeading"/>
              <w:jc w:val="center"/>
            </w:pPr>
            <w:r w:rsidRPr="00F60921">
              <w:t>Incr. cost</w:t>
            </w:r>
            <w:r w:rsidR="00956089">
              <w:t xml:space="preserve"> ($)</w:t>
            </w:r>
          </w:p>
        </w:tc>
        <w:tc>
          <w:tcPr>
            <w:tcW w:w="323" w:type="pct"/>
            <w:vAlign w:val="center"/>
          </w:tcPr>
          <w:p w14:paraId="70EB6267" w14:textId="77777777" w:rsidR="00D042BF" w:rsidRPr="00F60921" w:rsidRDefault="00D042BF">
            <w:pPr>
              <w:pStyle w:val="In-tableHeading"/>
              <w:jc w:val="center"/>
            </w:pPr>
            <w:r w:rsidRPr="00F60921">
              <w:t>Incr. outcome</w:t>
            </w:r>
          </w:p>
        </w:tc>
        <w:tc>
          <w:tcPr>
            <w:tcW w:w="405" w:type="pct"/>
            <w:vAlign w:val="center"/>
          </w:tcPr>
          <w:p w14:paraId="112B0E92" w14:textId="77777777" w:rsidR="00D042BF" w:rsidRPr="00F60921" w:rsidRDefault="00D042BF">
            <w:pPr>
              <w:pStyle w:val="In-tableHeading"/>
              <w:jc w:val="center"/>
            </w:pPr>
            <w:r w:rsidRPr="00F60921">
              <w:t>ICER</w:t>
            </w:r>
          </w:p>
        </w:tc>
      </w:tr>
      <w:tr w:rsidR="00D042BF" w:rsidRPr="00F60921" w14:paraId="258E8B9F" w14:textId="77777777" w:rsidTr="006564A4">
        <w:tc>
          <w:tcPr>
            <w:tcW w:w="205" w:type="pct"/>
            <w:vAlign w:val="center"/>
          </w:tcPr>
          <w:p w14:paraId="4D84AA5E" w14:textId="77777777" w:rsidR="00D042BF" w:rsidRPr="00F60921" w:rsidRDefault="00D042BF">
            <w:pPr>
              <w:pStyle w:val="TableText0"/>
              <w:jc w:val="center"/>
            </w:pPr>
            <w:r w:rsidRPr="00F60921">
              <w:t>1</w:t>
            </w:r>
          </w:p>
        </w:tc>
        <w:tc>
          <w:tcPr>
            <w:tcW w:w="657" w:type="pct"/>
          </w:tcPr>
          <w:p w14:paraId="7588BAFA" w14:textId="77777777" w:rsidR="00D042BF" w:rsidRPr="00F60921" w:rsidRDefault="00D042BF">
            <w:pPr>
              <w:pStyle w:val="TableText0"/>
            </w:pPr>
            <w:r w:rsidRPr="00F60921">
              <w:t>Trial-based analysis</w:t>
            </w:r>
          </w:p>
        </w:tc>
        <w:tc>
          <w:tcPr>
            <w:tcW w:w="661" w:type="pct"/>
          </w:tcPr>
          <w:p w14:paraId="1979F911" w14:textId="77777777" w:rsidR="00D042BF" w:rsidRPr="00F60921" w:rsidRDefault="00D042BF">
            <w:pPr>
              <w:pStyle w:val="TableText0"/>
            </w:pPr>
            <w:r>
              <w:t>S</w:t>
            </w:r>
            <w:r w:rsidRPr="00F60921">
              <w:t>eladelpar costs only</w:t>
            </w:r>
          </w:p>
        </w:tc>
        <w:tc>
          <w:tcPr>
            <w:tcW w:w="1169" w:type="pct"/>
          </w:tcPr>
          <w:p w14:paraId="7754B88B" w14:textId="77777777" w:rsidR="00D042BF" w:rsidRPr="00F60921" w:rsidRDefault="00D042BF">
            <w:pPr>
              <w:pStyle w:val="TableText0"/>
            </w:pPr>
            <w:r w:rsidRPr="00F60921">
              <w:t>Patient who achieved ALP normalisation</w:t>
            </w:r>
          </w:p>
        </w:tc>
        <w:tc>
          <w:tcPr>
            <w:tcW w:w="354" w:type="pct"/>
          </w:tcPr>
          <w:p w14:paraId="0838B59E" w14:textId="77777777" w:rsidR="00D042BF" w:rsidRPr="00F60921" w:rsidRDefault="00D042BF">
            <w:pPr>
              <w:pStyle w:val="TableText0"/>
            </w:pPr>
            <w:r w:rsidRPr="00F60921">
              <w:t>12 months</w:t>
            </w:r>
          </w:p>
        </w:tc>
        <w:tc>
          <w:tcPr>
            <w:tcW w:w="903" w:type="pct"/>
          </w:tcPr>
          <w:p w14:paraId="029C3177" w14:textId="77777777" w:rsidR="00D042BF" w:rsidRPr="00F60921" w:rsidRDefault="00D042BF">
            <w:pPr>
              <w:pStyle w:val="TableText0"/>
            </w:pPr>
            <w:r w:rsidRPr="00F60921">
              <w:t> </w:t>
            </w:r>
          </w:p>
        </w:tc>
        <w:tc>
          <w:tcPr>
            <w:tcW w:w="323" w:type="pct"/>
            <w:tcBorders>
              <w:bottom w:val="single" w:sz="4" w:space="0" w:color="auto"/>
            </w:tcBorders>
            <w:shd w:val="solid" w:color="000000" w:fill="000000"/>
            <w:vAlign w:val="center"/>
          </w:tcPr>
          <w:p w14:paraId="3D224526" w14:textId="469C8CB3" w:rsidR="00D042BF" w:rsidRPr="00956089" w:rsidRDefault="006564A4">
            <w:pPr>
              <w:pStyle w:val="TableText0"/>
              <w:jc w:val="center"/>
              <w:rPr>
                <w:highlight w:val="darkGray"/>
              </w:rPr>
            </w:pPr>
            <w:r w:rsidRPr="00333A5F">
              <w:rPr>
                <w:color w:val="000000"/>
                <w:spacing w:val="44"/>
                <w:fitText w:val="216" w:id="-629520887"/>
                <w14:textFill>
                  <w14:solidFill>
                    <w14:srgbClr w14:val="000000">
                      <w14:alpha w14:val="100000"/>
                    </w14:srgbClr>
                  </w14:solidFill>
                </w14:textFill>
              </w:rPr>
              <w:t>||</w:t>
            </w:r>
            <w:r w:rsidRPr="00333A5F">
              <w:rPr>
                <w:color w:val="000000"/>
                <w:spacing w:val="1"/>
                <w:fitText w:val="216" w:id="-629520887"/>
                <w14:textFill>
                  <w14:solidFill>
                    <w14:srgbClr w14:val="000000">
                      <w14:alpha w14:val="100000"/>
                    </w14:srgbClr>
                  </w14:solidFill>
                </w14:textFill>
              </w:rPr>
              <w:t>|</w:t>
            </w:r>
          </w:p>
        </w:tc>
        <w:tc>
          <w:tcPr>
            <w:tcW w:w="323" w:type="pct"/>
            <w:vAlign w:val="center"/>
          </w:tcPr>
          <w:p w14:paraId="66C38F02" w14:textId="77777777" w:rsidR="00D042BF" w:rsidRPr="00F60921" w:rsidRDefault="00D042BF">
            <w:pPr>
              <w:pStyle w:val="TableText0"/>
              <w:jc w:val="center"/>
            </w:pPr>
            <w:r w:rsidRPr="00F60921">
              <w:t>0.2807</w:t>
            </w:r>
          </w:p>
        </w:tc>
        <w:tc>
          <w:tcPr>
            <w:tcW w:w="405" w:type="pct"/>
            <w:vAlign w:val="center"/>
          </w:tcPr>
          <w:p w14:paraId="77522627" w14:textId="2A110E5E"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6"/>
                <w14:textFill>
                  <w14:solidFill>
                    <w14:srgbClr w14:val="000000">
                      <w14:alpha w14:val="100000"/>
                    </w14:srgbClr>
                  </w14:solidFill>
                </w14:textFill>
              </w:rPr>
              <w:t xml:space="preserve">　</w:t>
            </w:r>
            <w:r w:rsidRPr="00333A5F">
              <w:rPr>
                <w:color w:val="000000"/>
                <w:w w:val="29"/>
                <w:shd w:val="solid" w:color="000000" w:fill="000000"/>
                <w:fitText w:val="132" w:id="-629520886"/>
                <w14:textFill>
                  <w14:solidFill>
                    <w14:srgbClr w14:val="000000">
                      <w14:alpha w14:val="100000"/>
                    </w14:srgbClr>
                  </w14:solidFill>
                </w14:textFill>
              </w:rPr>
              <w:t>|</w:t>
            </w:r>
            <w:r w:rsidRPr="00333A5F">
              <w:rPr>
                <w:rFonts w:hint="eastAsia"/>
                <w:color w:val="000000"/>
                <w:w w:val="29"/>
                <w:shd w:val="solid" w:color="000000" w:fill="000000"/>
                <w:fitText w:val="132" w:id="-629520886"/>
                <w14:textFill>
                  <w14:solidFill>
                    <w14:srgbClr w14:val="000000">
                      <w14:alpha w14:val="100000"/>
                    </w14:srgbClr>
                  </w14:solidFill>
                </w14:textFill>
              </w:rPr>
              <w:t xml:space="preserve">　</w:t>
            </w:r>
            <w:r w:rsidR="008716D6" w:rsidRPr="008716D6">
              <w:rPr>
                <w:vertAlign w:val="superscript"/>
              </w:rPr>
              <w:t>1</w:t>
            </w:r>
          </w:p>
        </w:tc>
      </w:tr>
      <w:tr w:rsidR="00D042BF" w:rsidRPr="00F60921" w14:paraId="6E8507FA" w14:textId="77777777" w:rsidTr="006564A4">
        <w:tc>
          <w:tcPr>
            <w:tcW w:w="205" w:type="pct"/>
            <w:vMerge w:val="restart"/>
            <w:vAlign w:val="center"/>
          </w:tcPr>
          <w:p w14:paraId="688F2A80" w14:textId="77777777" w:rsidR="00D042BF" w:rsidRPr="00F60921" w:rsidRDefault="00D042BF">
            <w:pPr>
              <w:pStyle w:val="TableText0"/>
              <w:jc w:val="center"/>
            </w:pPr>
            <w:r w:rsidRPr="00F60921">
              <w:t>2</w:t>
            </w:r>
          </w:p>
        </w:tc>
        <w:tc>
          <w:tcPr>
            <w:tcW w:w="657" w:type="pct"/>
            <w:vMerge w:val="restart"/>
            <w:vAlign w:val="center"/>
          </w:tcPr>
          <w:p w14:paraId="575E653D" w14:textId="77777777" w:rsidR="00D042BF" w:rsidRPr="00F60921" w:rsidRDefault="00D042BF">
            <w:pPr>
              <w:pStyle w:val="TableText0"/>
            </w:pPr>
            <w:r w:rsidRPr="00F60921">
              <w:t>Modelled analysis</w:t>
            </w:r>
          </w:p>
        </w:tc>
        <w:tc>
          <w:tcPr>
            <w:tcW w:w="661" w:type="pct"/>
            <w:vMerge w:val="restart"/>
            <w:vAlign w:val="center"/>
          </w:tcPr>
          <w:p w14:paraId="5B5EAED9" w14:textId="77777777" w:rsidR="00D042BF" w:rsidRPr="00F60921" w:rsidRDefault="00D042BF">
            <w:pPr>
              <w:pStyle w:val="TableText0"/>
            </w:pPr>
            <w:r>
              <w:t>S</w:t>
            </w:r>
            <w:r w:rsidRPr="00F60921">
              <w:t>eladelpar and UDCA costs only</w:t>
            </w:r>
          </w:p>
        </w:tc>
        <w:tc>
          <w:tcPr>
            <w:tcW w:w="1169" w:type="pct"/>
            <w:vMerge w:val="restart"/>
            <w:vAlign w:val="center"/>
          </w:tcPr>
          <w:p w14:paraId="5A66A4EE" w14:textId="77777777" w:rsidR="00D042BF" w:rsidRPr="00F60921" w:rsidRDefault="00D042BF">
            <w:pPr>
              <w:pStyle w:val="TableText0"/>
            </w:pPr>
            <w:r w:rsidRPr="00F60921">
              <w:t>Patient who achieved ALP normalisation (without half-cycle correction)</w:t>
            </w:r>
          </w:p>
        </w:tc>
        <w:tc>
          <w:tcPr>
            <w:tcW w:w="354" w:type="pct"/>
            <w:vMerge w:val="restart"/>
            <w:vAlign w:val="center"/>
          </w:tcPr>
          <w:p w14:paraId="2ED22018" w14:textId="77777777" w:rsidR="00D042BF" w:rsidRPr="00F60921" w:rsidRDefault="00D042BF">
            <w:pPr>
              <w:pStyle w:val="TableText0"/>
            </w:pPr>
            <w:r w:rsidRPr="00F60921">
              <w:t>12 months</w:t>
            </w:r>
          </w:p>
          <w:p w14:paraId="4E260632" w14:textId="77777777" w:rsidR="00D042BF" w:rsidRPr="00F60921" w:rsidRDefault="00D042BF">
            <w:pPr>
              <w:pStyle w:val="TableText0"/>
            </w:pPr>
            <w:r w:rsidRPr="00F60921">
              <w:t> </w:t>
            </w:r>
          </w:p>
        </w:tc>
        <w:tc>
          <w:tcPr>
            <w:tcW w:w="903" w:type="pct"/>
          </w:tcPr>
          <w:p w14:paraId="23C87EF6" w14:textId="77777777" w:rsidR="00D042BF" w:rsidRPr="00F60921" w:rsidRDefault="00D042BF">
            <w:pPr>
              <w:pStyle w:val="TableText0"/>
            </w:pPr>
            <w:r>
              <w:t>S</w:t>
            </w:r>
            <w:r w:rsidRPr="00F60921">
              <w:t>eladelpar + UDCA vs UDCA</w:t>
            </w:r>
          </w:p>
        </w:tc>
        <w:tc>
          <w:tcPr>
            <w:tcW w:w="323" w:type="pct"/>
            <w:tcBorders>
              <w:bottom w:val="single" w:sz="4" w:space="0" w:color="auto"/>
            </w:tcBorders>
            <w:shd w:val="solid" w:color="000000" w:fill="000000"/>
            <w:vAlign w:val="center"/>
          </w:tcPr>
          <w:p w14:paraId="5DBB7231" w14:textId="128CA6E2" w:rsidR="00D042BF" w:rsidRPr="00956089" w:rsidRDefault="006564A4">
            <w:pPr>
              <w:pStyle w:val="TableText0"/>
              <w:jc w:val="center"/>
              <w:rPr>
                <w:highlight w:val="darkGray"/>
              </w:rPr>
            </w:pPr>
            <w:r w:rsidRPr="00333A5F">
              <w:rPr>
                <w:color w:val="000000"/>
                <w:spacing w:val="44"/>
                <w:fitText w:val="216" w:id="-629520885"/>
                <w14:textFill>
                  <w14:solidFill>
                    <w14:srgbClr w14:val="000000">
                      <w14:alpha w14:val="100000"/>
                    </w14:srgbClr>
                  </w14:solidFill>
                </w14:textFill>
              </w:rPr>
              <w:t>||</w:t>
            </w:r>
            <w:r w:rsidRPr="00333A5F">
              <w:rPr>
                <w:color w:val="000000"/>
                <w:spacing w:val="1"/>
                <w:fitText w:val="216" w:id="-629520885"/>
                <w14:textFill>
                  <w14:solidFill>
                    <w14:srgbClr w14:val="000000">
                      <w14:alpha w14:val="100000"/>
                    </w14:srgbClr>
                  </w14:solidFill>
                </w14:textFill>
              </w:rPr>
              <w:t>|</w:t>
            </w:r>
          </w:p>
        </w:tc>
        <w:tc>
          <w:tcPr>
            <w:tcW w:w="323" w:type="pct"/>
            <w:vAlign w:val="center"/>
          </w:tcPr>
          <w:p w14:paraId="7B189EEF" w14:textId="77777777" w:rsidR="00D042BF" w:rsidRPr="00F60921" w:rsidRDefault="00D042BF">
            <w:pPr>
              <w:pStyle w:val="TableText0"/>
              <w:jc w:val="center"/>
            </w:pPr>
            <w:r w:rsidRPr="00F60921">
              <w:t>0.2824</w:t>
            </w:r>
          </w:p>
        </w:tc>
        <w:tc>
          <w:tcPr>
            <w:tcW w:w="405" w:type="pct"/>
            <w:vAlign w:val="center"/>
          </w:tcPr>
          <w:p w14:paraId="7A962E8E" w14:textId="30D57F0E"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4"/>
                <w14:textFill>
                  <w14:solidFill>
                    <w14:srgbClr w14:val="000000">
                      <w14:alpha w14:val="100000"/>
                    </w14:srgbClr>
                  </w14:solidFill>
                </w14:textFill>
              </w:rPr>
              <w:t xml:space="preserve">　</w:t>
            </w:r>
            <w:r w:rsidRPr="00333A5F">
              <w:rPr>
                <w:color w:val="000000"/>
                <w:w w:val="29"/>
                <w:shd w:val="solid" w:color="000000" w:fill="000000"/>
                <w:fitText w:val="132" w:id="-629520884"/>
                <w14:textFill>
                  <w14:solidFill>
                    <w14:srgbClr w14:val="000000">
                      <w14:alpha w14:val="100000"/>
                    </w14:srgbClr>
                  </w14:solidFill>
                </w14:textFill>
              </w:rPr>
              <w:t>|</w:t>
            </w:r>
            <w:r w:rsidRPr="00333A5F">
              <w:rPr>
                <w:rFonts w:hint="eastAsia"/>
                <w:color w:val="000000"/>
                <w:w w:val="29"/>
                <w:shd w:val="solid" w:color="000000" w:fill="000000"/>
                <w:fitText w:val="132" w:id="-629520884"/>
                <w14:textFill>
                  <w14:solidFill>
                    <w14:srgbClr w14:val="000000">
                      <w14:alpha w14:val="100000"/>
                    </w14:srgbClr>
                  </w14:solidFill>
                </w14:textFill>
              </w:rPr>
              <w:t xml:space="preserve">　</w:t>
            </w:r>
            <w:r w:rsidR="008716D6" w:rsidRPr="008716D6">
              <w:rPr>
                <w:vertAlign w:val="superscript"/>
              </w:rPr>
              <w:t>1</w:t>
            </w:r>
          </w:p>
        </w:tc>
      </w:tr>
      <w:tr w:rsidR="00D042BF" w:rsidRPr="00F60921" w14:paraId="04AA74F7" w14:textId="77777777" w:rsidTr="006564A4">
        <w:tc>
          <w:tcPr>
            <w:tcW w:w="205" w:type="pct"/>
            <w:vMerge/>
            <w:vAlign w:val="center"/>
          </w:tcPr>
          <w:p w14:paraId="008FEE8C" w14:textId="77777777" w:rsidR="00D042BF" w:rsidRPr="00F60921" w:rsidRDefault="00D042BF">
            <w:pPr>
              <w:pStyle w:val="TableText0"/>
              <w:jc w:val="center"/>
            </w:pPr>
          </w:p>
        </w:tc>
        <w:tc>
          <w:tcPr>
            <w:tcW w:w="657" w:type="pct"/>
            <w:vMerge/>
            <w:vAlign w:val="center"/>
          </w:tcPr>
          <w:p w14:paraId="2CBF138D" w14:textId="77777777" w:rsidR="00D042BF" w:rsidRPr="00F60921" w:rsidRDefault="00D042BF">
            <w:pPr>
              <w:pStyle w:val="TableText0"/>
            </w:pPr>
          </w:p>
        </w:tc>
        <w:tc>
          <w:tcPr>
            <w:tcW w:w="661" w:type="pct"/>
            <w:vMerge/>
            <w:vAlign w:val="center"/>
          </w:tcPr>
          <w:p w14:paraId="395DE5E3" w14:textId="77777777" w:rsidR="00D042BF" w:rsidRPr="00F60921" w:rsidRDefault="00D042BF">
            <w:pPr>
              <w:pStyle w:val="TableText0"/>
            </w:pPr>
          </w:p>
        </w:tc>
        <w:tc>
          <w:tcPr>
            <w:tcW w:w="1169" w:type="pct"/>
            <w:vMerge/>
            <w:vAlign w:val="center"/>
          </w:tcPr>
          <w:p w14:paraId="6248F663" w14:textId="77777777" w:rsidR="00D042BF" w:rsidRPr="00F60921" w:rsidRDefault="00D042BF">
            <w:pPr>
              <w:pStyle w:val="TableText0"/>
            </w:pPr>
          </w:p>
        </w:tc>
        <w:tc>
          <w:tcPr>
            <w:tcW w:w="354" w:type="pct"/>
            <w:vMerge/>
            <w:vAlign w:val="center"/>
          </w:tcPr>
          <w:p w14:paraId="2421300C" w14:textId="77777777" w:rsidR="00D042BF" w:rsidRPr="00F60921" w:rsidRDefault="00D042BF">
            <w:pPr>
              <w:pStyle w:val="TableText0"/>
            </w:pPr>
          </w:p>
        </w:tc>
        <w:tc>
          <w:tcPr>
            <w:tcW w:w="903" w:type="pct"/>
          </w:tcPr>
          <w:p w14:paraId="283D0E68" w14:textId="77777777" w:rsidR="00D042BF" w:rsidRPr="00F60921" w:rsidRDefault="00D042BF">
            <w:pPr>
              <w:pStyle w:val="TableText0"/>
            </w:pPr>
            <w:r>
              <w:t>S</w:t>
            </w:r>
            <w:r w:rsidRPr="00F60921">
              <w:t>eladelpar vs BSC</w:t>
            </w:r>
          </w:p>
        </w:tc>
        <w:tc>
          <w:tcPr>
            <w:tcW w:w="323" w:type="pct"/>
            <w:tcBorders>
              <w:bottom w:val="single" w:sz="4" w:space="0" w:color="auto"/>
            </w:tcBorders>
            <w:shd w:val="solid" w:color="000000" w:fill="000000"/>
            <w:vAlign w:val="center"/>
          </w:tcPr>
          <w:p w14:paraId="495E81A6" w14:textId="7684D33A" w:rsidR="00D042BF" w:rsidRPr="00956089" w:rsidRDefault="006564A4">
            <w:pPr>
              <w:pStyle w:val="TableText0"/>
              <w:jc w:val="center"/>
              <w:rPr>
                <w:highlight w:val="darkGray"/>
              </w:rPr>
            </w:pPr>
            <w:r w:rsidRPr="00333A5F">
              <w:rPr>
                <w:color w:val="000000"/>
                <w:spacing w:val="44"/>
                <w:fitText w:val="216" w:id="-629520883"/>
                <w14:textFill>
                  <w14:solidFill>
                    <w14:srgbClr w14:val="000000">
                      <w14:alpha w14:val="100000"/>
                    </w14:srgbClr>
                  </w14:solidFill>
                </w14:textFill>
              </w:rPr>
              <w:t>||</w:t>
            </w:r>
            <w:r w:rsidRPr="00333A5F">
              <w:rPr>
                <w:color w:val="000000"/>
                <w:spacing w:val="1"/>
                <w:fitText w:val="216" w:id="-629520883"/>
                <w14:textFill>
                  <w14:solidFill>
                    <w14:srgbClr w14:val="000000">
                      <w14:alpha w14:val="100000"/>
                    </w14:srgbClr>
                  </w14:solidFill>
                </w14:textFill>
              </w:rPr>
              <w:t>|</w:t>
            </w:r>
          </w:p>
        </w:tc>
        <w:tc>
          <w:tcPr>
            <w:tcW w:w="323" w:type="pct"/>
            <w:vAlign w:val="center"/>
          </w:tcPr>
          <w:p w14:paraId="49A09D4A" w14:textId="77777777" w:rsidR="00D042BF" w:rsidRPr="00F60921" w:rsidRDefault="00D042BF">
            <w:pPr>
              <w:pStyle w:val="TableText0"/>
              <w:jc w:val="center"/>
            </w:pPr>
            <w:r w:rsidRPr="00F60921">
              <w:t>0.2824</w:t>
            </w:r>
          </w:p>
        </w:tc>
        <w:tc>
          <w:tcPr>
            <w:tcW w:w="405" w:type="pct"/>
            <w:vAlign w:val="center"/>
          </w:tcPr>
          <w:p w14:paraId="31BEED82" w14:textId="288C1179"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2"/>
                <w14:textFill>
                  <w14:solidFill>
                    <w14:srgbClr w14:val="000000">
                      <w14:alpha w14:val="100000"/>
                    </w14:srgbClr>
                  </w14:solidFill>
                </w14:textFill>
              </w:rPr>
              <w:t xml:space="preserve">　</w:t>
            </w:r>
            <w:r w:rsidRPr="00333A5F">
              <w:rPr>
                <w:color w:val="000000"/>
                <w:w w:val="29"/>
                <w:shd w:val="solid" w:color="000000" w:fill="000000"/>
                <w:fitText w:val="132" w:id="-629520882"/>
                <w14:textFill>
                  <w14:solidFill>
                    <w14:srgbClr w14:val="000000">
                      <w14:alpha w14:val="100000"/>
                    </w14:srgbClr>
                  </w14:solidFill>
                </w14:textFill>
              </w:rPr>
              <w:t>|</w:t>
            </w:r>
            <w:r w:rsidRPr="00333A5F">
              <w:rPr>
                <w:rFonts w:hint="eastAsia"/>
                <w:color w:val="000000"/>
                <w:w w:val="29"/>
                <w:shd w:val="solid" w:color="000000" w:fill="000000"/>
                <w:fitText w:val="132" w:id="-629520882"/>
                <w14:textFill>
                  <w14:solidFill>
                    <w14:srgbClr w14:val="000000">
                      <w14:alpha w14:val="100000"/>
                    </w14:srgbClr>
                  </w14:solidFill>
                </w14:textFill>
              </w:rPr>
              <w:t xml:space="preserve">　</w:t>
            </w:r>
            <w:r w:rsidR="008716D6" w:rsidRPr="008716D6">
              <w:rPr>
                <w:vertAlign w:val="superscript"/>
              </w:rPr>
              <w:t>1</w:t>
            </w:r>
          </w:p>
        </w:tc>
      </w:tr>
      <w:tr w:rsidR="00D042BF" w:rsidRPr="00F60921" w14:paraId="5F79FF5D" w14:textId="77777777" w:rsidTr="006564A4">
        <w:tc>
          <w:tcPr>
            <w:tcW w:w="205" w:type="pct"/>
            <w:vMerge w:val="restart"/>
            <w:vAlign w:val="center"/>
          </w:tcPr>
          <w:p w14:paraId="1A55C7F4" w14:textId="77777777" w:rsidR="00D042BF" w:rsidRPr="00F60921" w:rsidRDefault="00D042BF">
            <w:pPr>
              <w:pStyle w:val="TableText0"/>
              <w:jc w:val="center"/>
            </w:pPr>
            <w:r w:rsidRPr="00F60921">
              <w:t>3</w:t>
            </w:r>
          </w:p>
        </w:tc>
        <w:tc>
          <w:tcPr>
            <w:tcW w:w="657" w:type="pct"/>
            <w:vMerge w:val="restart"/>
            <w:vAlign w:val="center"/>
          </w:tcPr>
          <w:p w14:paraId="67E49329" w14:textId="77777777" w:rsidR="00D042BF" w:rsidRPr="00F60921" w:rsidRDefault="00D042BF">
            <w:pPr>
              <w:pStyle w:val="TableText0"/>
            </w:pPr>
            <w:r w:rsidRPr="00F60921">
              <w:t>Introduce OCA as comparator</w:t>
            </w:r>
          </w:p>
        </w:tc>
        <w:tc>
          <w:tcPr>
            <w:tcW w:w="661" w:type="pct"/>
            <w:vMerge w:val="restart"/>
            <w:vAlign w:val="center"/>
          </w:tcPr>
          <w:p w14:paraId="46EE7C96" w14:textId="77777777" w:rsidR="00D042BF" w:rsidRPr="00F60921" w:rsidRDefault="00D042BF">
            <w:pPr>
              <w:pStyle w:val="TableText0"/>
            </w:pPr>
            <w:r>
              <w:t>S</w:t>
            </w:r>
            <w:r w:rsidRPr="00F60921">
              <w:t>eladelpar, UDCA and OCA costs only</w:t>
            </w:r>
          </w:p>
        </w:tc>
        <w:tc>
          <w:tcPr>
            <w:tcW w:w="1169" w:type="pct"/>
            <w:vMerge w:val="restart"/>
            <w:vAlign w:val="center"/>
          </w:tcPr>
          <w:p w14:paraId="462E6786" w14:textId="77777777" w:rsidR="00D042BF" w:rsidRPr="00F60921" w:rsidRDefault="00D042BF">
            <w:pPr>
              <w:pStyle w:val="TableText0"/>
            </w:pPr>
            <w:r w:rsidRPr="00F60921">
              <w:t>Patient who achieved ALP normalisation (without half-cycle correction)</w:t>
            </w:r>
          </w:p>
        </w:tc>
        <w:tc>
          <w:tcPr>
            <w:tcW w:w="354" w:type="pct"/>
            <w:vMerge w:val="restart"/>
            <w:vAlign w:val="center"/>
          </w:tcPr>
          <w:p w14:paraId="7D466222" w14:textId="77777777" w:rsidR="00D042BF" w:rsidRPr="00F60921" w:rsidRDefault="00D042BF">
            <w:pPr>
              <w:pStyle w:val="TableText0"/>
            </w:pPr>
            <w:r w:rsidRPr="00F60921">
              <w:t>12 months</w:t>
            </w:r>
          </w:p>
          <w:p w14:paraId="102FA61E" w14:textId="77777777" w:rsidR="00D042BF" w:rsidRPr="00F60921" w:rsidRDefault="00D042BF">
            <w:pPr>
              <w:pStyle w:val="TableText0"/>
            </w:pPr>
            <w:r w:rsidRPr="00F60921">
              <w:t> </w:t>
            </w:r>
          </w:p>
        </w:tc>
        <w:tc>
          <w:tcPr>
            <w:tcW w:w="903" w:type="pct"/>
          </w:tcPr>
          <w:p w14:paraId="0F0498CE" w14:textId="77777777" w:rsidR="00D042BF" w:rsidRPr="00F60921" w:rsidRDefault="00D042BF">
            <w:pPr>
              <w:pStyle w:val="TableText0"/>
            </w:pPr>
            <w:r>
              <w:t>S</w:t>
            </w:r>
            <w:r w:rsidRPr="00F60921">
              <w:t>eladelpar + UDCA vs OCA + UDCA</w:t>
            </w:r>
          </w:p>
        </w:tc>
        <w:tc>
          <w:tcPr>
            <w:tcW w:w="323" w:type="pct"/>
            <w:tcBorders>
              <w:bottom w:val="single" w:sz="4" w:space="0" w:color="auto"/>
            </w:tcBorders>
            <w:shd w:val="solid" w:color="000000" w:fill="000000"/>
            <w:vAlign w:val="center"/>
          </w:tcPr>
          <w:p w14:paraId="3E66CA63" w14:textId="10B028A8" w:rsidR="00D042BF" w:rsidRPr="00956089" w:rsidRDefault="006564A4">
            <w:pPr>
              <w:pStyle w:val="TableText0"/>
              <w:jc w:val="center"/>
              <w:rPr>
                <w:highlight w:val="darkGray"/>
              </w:rPr>
            </w:pPr>
            <w:r w:rsidRPr="00333A5F">
              <w:rPr>
                <w:color w:val="000000"/>
                <w:spacing w:val="44"/>
                <w:fitText w:val="216" w:id="-629520881"/>
                <w14:textFill>
                  <w14:solidFill>
                    <w14:srgbClr w14:val="000000">
                      <w14:alpha w14:val="100000"/>
                    </w14:srgbClr>
                  </w14:solidFill>
                </w14:textFill>
              </w:rPr>
              <w:t>||</w:t>
            </w:r>
            <w:r w:rsidRPr="00333A5F">
              <w:rPr>
                <w:color w:val="000000"/>
                <w:spacing w:val="1"/>
                <w:fitText w:val="216" w:id="-629520881"/>
                <w14:textFill>
                  <w14:solidFill>
                    <w14:srgbClr w14:val="000000">
                      <w14:alpha w14:val="100000"/>
                    </w14:srgbClr>
                  </w14:solidFill>
                </w14:textFill>
              </w:rPr>
              <w:t>|</w:t>
            </w:r>
          </w:p>
        </w:tc>
        <w:tc>
          <w:tcPr>
            <w:tcW w:w="323" w:type="pct"/>
            <w:vAlign w:val="center"/>
          </w:tcPr>
          <w:p w14:paraId="086F109C" w14:textId="77777777" w:rsidR="00D042BF" w:rsidRPr="00F60921" w:rsidRDefault="00D042BF">
            <w:pPr>
              <w:pStyle w:val="TableText0"/>
              <w:jc w:val="center"/>
            </w:pPr>
            <w:r w:rsidRPr="00F60921">
              <w:t>0.2582</w:t>
            </w:r>
          </w:p>
        </w:tc>
        <w:tc>
          <w:tcPr>
            <w:tcW w:w="405" w:type="pct"/>
            <w:vAlign w:val="center"/>
          </w:tcPr>
          <w:p w14:paraId="27DCDF94" w14:textId="3845B300"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0"/>
                <w14:textFill>
                  <w14:solidFill>
                    <w14:srgbClr w14:val="000000">
                      <w14:alpha w14:val="100000"/>
                    </w14:srgbClr>
                  </w14:solidFill>
                </w14:textFill>
              </w:rPr>
              <w:t xml:space="preserve">　</w:t>
            </w:r>
            <w:r w:rsidRPr="00333A5F">
              <w:rPr>
                <w:color w:val="000000"/>
                <w:w w:val="29"/>
                <w:shd w:val="solid" w:color="000000" w:fill="000000"/>
                <w:fitText w:val="132" w:id="-629520880"/>
                <w14:textFill>
                  <w14:solidFill>
                    <w14:srgbClr w14:val="000000">
                      <w14:alpha w14:val="100000"/>
                    </w14:srgbClr>
                  </w14:solidFill>
                </w14:textFill>
              </w:rPr>
              <w:t>|</w:t>
            </w:r>
            <w:r w:rsidRPr="00333A5F">
              <w:rPr>
                <w:rFonts w:hint="eastAsia"/>
                <w:color w:val="000000"/>
                <w:w w:val="29"/>
                <w:shd w:val="solid" w:color="000000" w:fill="000000"/>
                <w:fitText w:val="132" w:id="-629520880"/>
                <w14:textFill>
                  <w14:solidFill>
                    <w14:srgbClr w14:val="000000">
                      <w14:alpha w14:val="100000"/>
                    </w14:srgbClr>
                  </w14:solidFill>
                </w14:textFill>
              </w:rPr>
              <w:t xml:space="preserve">　</w:t>
            </w:r>
            <w:r w:rsidR="008716D6" w:rsidRPr="008716D6">
              <w:rPr>
                <w:vertAlign w:val="superscript"/>
              </w:rPr>
              <w:t>2</w:t>
            </w:r>
          </w:p>
        </w:tc>
      </w:tr>
      <w:tr w:rsidR="00D042BF" w:rsidRPr="00F60921" w14:paraId="7EB77E5B" w14:textId="77777777" w:rsidTr="006564A4">
        <w:tc>
          <w:tcPr>
            <w:tcW w:w="205" w:type="pct"/>
            <w:vMerge/>
            <w:vAlign w:val="center"/>
          </w:tcPr>
          <w:p w14:paraId="66468161" w14:textId="77777777" w:rsidR="00D042BF" w:rsidRPr="00F60921" w:rsidRDefault="00D042BF">
            <w:pPr>
              <w:pStyle w:val="TableText0"/>
              <w:jc w:val="center"/>
            </w:pPr>
          </w:p>
        </w:tc>
        <w:tc>
          <w:tcPr>
            <w:tcW w:w="657" w:type="pct"/>
            <w:vMerge/>
            <w:vAlign w:val="center"/>
          </w:tcPr>
          <w:p w14:paraId="39DE43F9" w14:textId="77777777" w:rsidR="00D042BF" w:rsidRPr="00F60921" w:rsidRDefault="00D042BF">
            <w:pPr>
              <w:pStyle w:val="TableText0"/>
            </w:pPr>
          </w:p>
        </w:tc>
        <w:tc>
          <w:tcPr>
            <w:tcW w:w="661" w:type="pct"/>
            <w:vMerge/>
            <w:vAlign w:val="center"/>
          </w:tcPr>
          <w:p w14:paraId="1EE28A37" w14:textId="77777777" w:rsidR="00D042BF" w:rsidRPr="00F60921" w:rsidRDefault="00D042BF">
            <w:pPr>
              <w:pStyle w:val="TableText0"/>
            </w:pPr>
          </w:p>
        </w:tc>
        <w:tc>
          <w:tcPr>
            <w:tcW w:w="1169" w:type="pct"/>
            <w:vMerge/>
            <w:vAlign w:val="center"/>
          </w:tcPr>
          <w:p w14:paraId="73DD22E3" w14:textId="77777777" w:rsidR="00D042BF" w:rsidRPr="00F60921" w:rsidRDefault="00D042BF">
            <w:pPr>
              <w:pStyle w:val="TableText0"/>
            </w:pPr>
          </w:p>
        </w:tc>
        <w:tc>
          <w:tcPr>
            <w:tcW w:w="354" w:type="pct"/>
            <w:vMerge/>
            <w:vAlign w:val="center"/>
          </w:tcPr>
          <w:p w14:paraId="0590668A" w14:textId="77777777" w:rsidR="00D042BF" w:rsidRPr="00F60921" w:rsidRDefault="00D042BF">
            <w:pPr>
              <w:pStyle w:val="TableText0"/>
            </w:pPr>
          </w:p>
        </w:tc>
        <w:tc>
          <w:tcPr>
            <w:tcW w:w="903" w:type="pct"/>
          </w:tcPr>
          <w:p w14:paraId="0FBA6A38" w14:textId="77777777" w:rsidR="00D042BF" w:rsidRPr="00F60921" w:rsidRDefault="00D042BF">
            <w:pPr>
              <w:pStyle w:val="TableText0"/>
            </w:pPr>
            <w:r>
              <w:t>S</w:t>
            </w:r>
            <w:r w:rsidRPr="00F60921">
              <w:t>eladelpar vs OCA</w:t>
            </w:r>
          </w:p>
        </w:tc>
        <w:tc>
          <w:tcPr>
            <w:tcW w:w="323" w:type="pct"/>
            <w:tcBorders>
              <w:bottom w:val="single" w:sz="4" w:space="0" w:color="auto"/>
            </w:tcBorders>
            <w:shd w:val="solid" w:color="000000" w:fill="000000"/>
            <w:vAlign w:val="center"/>
          </w:tcPr>
          <w:p w14:paraId="7D898EA7" w14:textId="2930C0CD" w:rsidR="00D042BF" w:rsidRPr="00956089" w:rsidRDefault="006564A4">
            <w:pPr>
              <w:pStyle w:val="TableText0"/>
              <w:jc w:val="center"/>
              <w:rPr>
                <w:highlight w:val="darkGray"/>
              </w:rPr>
            </w:pPr>
            <w:r w:rsidRPr="00333A5F">
              <w:rPr>
                <w:color w:val="000000"/>
                <w:spacing w:val="44"/>
                <w:fitText w:val="216" w:id="-629520896"/>
                <w14:textFill>
                  <w14:solidFill>
                    <w14:srgbClr w14:val="000000">
                      <w14:alpha w14:val="100000"/>
                    </w14:srgbClr>
                  </w14:solidFill>
                </w14:textFill>
              </w:rPr>
              <w:t>||</w:t>
            </w:r>
            <w:r w:rsidRPr="00333A5F">
              <w:rPr>
                <w:color w:val="000000"/>
                <w:spacing w:val="1"/>
                <w:fitText w:val="216" w:id="-629520896"/>
                <w14:textFill>
                  <w14:solidFill>
                    <w14:srgbClr w14:val="000000">
                      <w14:alpha w14:val="100000"/>
                    </w14:srgbClr>
                  </w14:solidFill>
                </w14:textFill>
              </w:rPr>
              <w:t>|</w:t>
            </w:r>
          </w:p>
        </w:tc>
        <w:tc>
          <w:tcPr>
            <w:tcW w:w="323" w:type="pct"/>
            <w:vAlign w:val="center"/>
          </w:tcPr>
          <w:p w14:paraId="2132923C" w14:textId="77777777" w:rsidR="00D042BF" w:rsidRPr="00F60921" w:rsidRDefault="00D042BF">
            <w:pPr>
              <w:pStyle w:val="TableText0"/>
              <w:jc w:val="center"/>
            </w:pPr>
            <w:r w:rsidRPr="00F60921">
              <w:t>0.2582</w:t>
            </w:r>
          </w:p>
        </w:tc>
        <w:tc>
          <w:tcPr>
            <w:tcW w:w="405" w:type="pct"/>
            <w:vAlign w:val="center"/>
          </w:tcPr>
          <w:p w14:paraId="2C20BB20" w14:textId="70410713" w:rsidR="00D042BF" w:rsidRPr="008716D6" w:rsidRDefault="006564A4">
            <w:pPr>
              <w:pStyle w:val="TableText0"/>
              <w:jc w:val="center"/>
              <w:rPr>
                <w:highlight w:val="darkGray"/>
              </w:rPr>
            </w:pPr>
            <w:r w:rsidRPr="00333A5F">
              <w:rPr>
                <w:rFonts w:hint="eastAsia"/>
                <w:color w:val="000000"/>
                <w:w w:val="29"/>
                <w:shd w:val="solid" w:color="000000" w:fill="000000"/>
                <w:fitText w:val="132" w:id="-629520895"/>
                <w14:textFill>
                  <w14:solidFill>
                    <w14:srgbClr w14:val="000000">
                      <w14:alpha w14:val="100000"/>
                    </w14:srgbClr>
                  </w14:solidFill>
                </w14:textFill>
              </w:rPr>
              <w:t xml:space="preserve">　</w:t>
            </w:r>
            <w:r w:rsidRPr="00333A5F">
              <w:rPr>
                <w:color w:val="000000"/>
                <w:w w:val="29"/>
                <w:shd w:val="solid" w:color="000000" w:fill="000000"/>
                <w:fitText w:val="132" w:id="-629520895"/>
                <w14:textFill>
                  <w14:solidFill>
                    <w14:srgbClr w14:val="000000">
                      <w14:alpha w14:val="100000"/>
                    </w14:srgbClr>
                  </w14:solidFill>
                </w14:textFill>
              </w:rPr>
              <w:t>|</w:t>
            </w:r>
            <w:r w:rsidRPr="00333A5F">
              <w:rPr>
                <w:rFonts w:hint="eastAsia"/>
                <w:color w:val="000000"/>
                <w:w w:val="29"/>
                <w:shd w:val="solid" w:color="000000" w:fill="000000"/>
                <w:fitText w:val="132" w:id="-629520895"/>
                <w14:textFill>
                  <w14:solidFill>
                    <w14:srgbClr w14:val="000000">
                      <w14:alpha w14:val="100000"/>
                    </w14:srgbClr>
                  </w14:solidFill>
                </w14:textFill>
              </w:rPr>
              <w:t xml:space="preserve">　</w:t>
            </w:r>
            <w:r w:rsidR="007B235E" w:rsidRPr="008716D6">
              <w:rPr>
                <w:vertAlign w:val="superscript"/>
              </w:rPr>
              <w:t>2</w:t>
            </w:r>
          </w:p>
        </w:tc>
      </w:tr>
      <w:tr w:rsidR="00D042BF" w:rsidRPr="00F60921" w14:paraId="2A514F32" w14:textId="77777777" w:rsidTr="006564A4">
        <w:tc>
          <w:tcPr>
            <w:tcW w:w="205" w:type="pct"/>
            <w:vMerge w:val="restart"/>
            <w:vAlign w:val="center"/>
          </w:tcPr>
          <w:p w14:paraId="6077710D" w14:textId="77777777" w:rsidR="00D042BF" w:rsidRPr="00F60921" w:rsidRDefault="00D042BF">
            <w:pPr>
              <w:pStyle w:val="TableText0"/>
              <w:jc w:val="center"/>
            </w:pPr>
            <w:r w:rsidRPr="00F60921">
              <w:t>4</w:t>
            </w:r>
          </w:p>
        </w:tc>
        <w:tc>
          <w:tcPr>
            <w:tcW w:w="657" w:type="pct"/>
            <w:vMerge w:val="restart"/>
            <w:vAlign w:val="center"/>
          </w:tcPr>
          <w:p w14:paraId="6138F3A3" w14:textId="77777777" w:rsidR="00D042BF" w:rsidRPr="00F60921" w:rsidRDefault="00D042BF">
            <w:pPr>
              <w:pStyle w:val="TableText0"/>
            </w:pPr>
            <w:r w:rsidRPr="00F60921">
              <w:t>Transform to QALYs</w:t>
            </w:r>
          </w:p>
        </w:tc>
        <w:tc>
          <w:tcPr>
            <w:tcW w:w="661" w:type="pct"/>
            <w:vMerge w:val="restart"/>
            <w:vAlign w:val="center"/>
          </w:tcPr>
          <w:p w14:paraId="60E78DFA" w14:textId="77777777" w:rsidR="00D042BF" w:rsidRPr="00F60921" w:rsidRDefault="00D042BF">
            <w:pPr>
              <w:pStyle w:val="TableText0"/>
            </w:pPr>
            <w:r>
              <w:t>S</w:t>
            </w:r>
            <w:r w:rsidRPr="00F60921">
              <w:t>eladelpar, UDCA and OCA costs only</w:t>
            </w:r>
          </w:p>
        </w:tc>
        <w:tc>
          <w:tcPr>
            <w:tcW w:w="1169" w:type="pct"/>
            <w:vMerge w:val="restart"/>
            <w:vAlign w:val="center"/>
          </w:tcPr>
          <w:p w14:paraId="2E3EA0E3" w14:textId="77777777" w:rsidR="00D042BF" w:rsidRPr="00F60921" w:rsidRDefault="00D042BF">
            <w:pPr>
              <w:pStyle w:val="TableText0"/>
            </w:pPr>
            <w:r w:rsidRPr="00F60921">
              <w:t>QALYs</w:t>
            </w:r>
          </w:p>
        </w:tc>
        <w:tc>
          <w:tcPr>
            <w:tcW w:w="354" w:type="pct"/>
            <w:vMerge w:val="restart"/>
            <w:vAlign w:val="center"/>
          </w:tcPr>
          <w:p w14:paraId="33AF01FA" w14:textId="77777777" w:rsidR="00D042BF" w:rsidRPr="00F60921" w:rsidRDefault="00D042BF">
            <w:pPr>
              <w:pStyle w:val="TableText0"/>
            </w:pPr>
            <w:r w:rsidRPr="00F60921">
              <w:t>12 months</w:t>
            </w:r>
          </w:p>
          <w:p w14:paraId="5BEBA1AB" w14:textId="77777777" w:rsidR="00D042BF" w:rsidRPr="00F60921" w:rsidRDefault="00D042BF">
            <w:pPr>
              <w:pStyle w:val="TableText0"/>
            </w:pPr>
            <w:r w:rsidRPr="00F60921">
              <w:t> </w:t>
            </w:r>
          </w:p>
        </w:tc>
        <w:tc>
          <w:tcPr>
            <w:tcW w:w="903" w:type="pct"/>
          </w:tcPr>
          <w:p w14:paraId="79A612C1" w14:textId="77777777" w:rsidR="00D042BF" w:rsidRPr="00F60921" w:rsidRDefault="00D042BF">
            <w:pPr>
              <w:pStyle w:val="TableText0"/>
            </w:pPr>
            <w:r>
              <w:t>S</w:t>
            </w:r>
            <w:r w:rsidRPr="00F60921">
              <w:t>eladelpar + UDCA vs UDCA</w:t>
            </w:r>
          </w:p>
        </w:tc>
        <w:tc>
          <w:tcPr>
            <w:tcW w:w="323" w:type="pct"/>
            <w:tcBorders>
              <w:bottom w:val="single" w:sz="4" w:space="0" w:color="auto"/>
            </w:tcBorders>
            <w:shd w:val="solid" w:color="000000" w:fill="000000"/>
            <w:vAlign w:val="center"/>
          </w:tcPr>
          <w:p w14:paraId="732A7D0E" w14:textId="09396553" w:rsidR="00D042BF" w:rsidRPr="00956089" w:rsidRDefault="006564A4">
            <w:pPr>
              <w:pStyle w:val="TableText0"/>
              <w:jc w:val="center"/>
              <w:rPr>
                <w:highlight w:val="darkGray"/>
              </w:rPr>
            </w:pPr>
            <w:r w:rsidRPr="00333A5F">
              <w:rPr>
                <w:color w:val="000000"/>
                <w:spacing w:val="44"/>
                <w:fitText w:val="216" w:id="-629520894"/>
                <w14:textFill>
                  <w14:solidFill>
                    <w14:srgbClr w14:val="000000">
                      <w14:alpha w14:val="100000"/>
                    </w14:srgbClr>
                  </w14:solidFill>
                </w14:textFill>
              </w:rPr>
              <w:t>||</w:t>
            </w:r>
            <w:r w:rsidRPr="00333A5F">
              <w:rPr>
                <w:color w:val="000000"/>
                <w:spacing w:val="1"/>
                <w:fitText w:val="216" w:id="-629520894"/>
                <w14:textFill>
                  <w14:solidFill>
                    <w14:srgbClr w14:val="000000">
                      <w14:alpha w14:val="100000"/>
                    </w14:srgbClr>
                  </w14:solidFill>
                </w14:textFill>
              </w:rPr>
              <w:t>|</w:t>
            </w:r>
          </w:p>
        </w:tc>
        <w:tc>
          <w:tcPr>
            <w:tcW w:w="323" w:type="pct"/>
            <w:vAlign w:val="center"/>
          </w:tcPr>
          <w:p w14:paraId="400C8789" w14:textId="77777777" w:rsidR="00D042BF" w:rsidRPr="00F60921" w:rsidRDefault="00D042BF">
            <w:pPr>
              <w:pStyle w:val="TableText0"/>
              <w:jc w:val="center"/>
            </w:pPr>
            <w:r w:rsidRPr="00F60921">
              <w:t>0.0030</w:t>
            </w:r>
          </w:p>
        </w:tc>
        <w:tc>
          <w:tcPr>
            <w:tcW w:w="405" w:type="pct"/>
            <w:vAlign w:val="center"/>
          </w:tcPr>
          <w:p w14:paraId="3BB85994" w14:textId="0BD2F97F" w:rsidR="00D042BF" w:rsidRPr="008716D6" w:rsidRDefault="006564A4">
            <w:pPr>
              <w:pStyle w:val="TableText0"/>
              <w:jc w:val="center"/>
              <w:rPr>
                <w:highlight w:val="darkGray"/>
              </w:rPr>
            </w:pPr>
            <w:r w:rsidRPr="00333A5F">
              <w:rPr>
                <w:rFonts w:hint="eastAsia"/>
                <w:color w:val="000000"/>
                <w:w w:val="29"/>
                <w:shd w:val="solid" w:color="000000" w:fill="000000"/>
                <w:fitText w:val="132" w:id="-629520893"/>
                <w14:textFill>
                  <w14:solidFill>
                    <w14:srgbClr w14:val="000000">
                      <w14:alpha w14:val="100000"/>
                    </w14:srgbClr>
                  </w14:solidFill>
                </w14:textFill>
              </w:rPr>
              <w:t xml:space="preserve">　</w:t>
            </w:r>
            <w:r w:rsidRPr="00333A5F">
              <w:rPr>
                <w:color w:val="000000"/>
                <w:w w:val="29"/>
                <w:shd w:val="solid" w:color="000000" w:fill="000000"/>
                <w:fitText w:val="132" w:id="-629520893"/>
                <w14:textFill>
                  <w14:solidFill>
                    <w14:srgbClr w14:val="000000">
                      <w14:alpha w14:val="100000"/>
                    </w14:srgbClr>
                  </w14:solidFill>
                </w14:textFill>
              </w:rPr>
              <w:t>|</w:t>
            </w:r>
            <w:r w:rsidRPr="00333A5F">
              <w:rPr>
                <w:rFonts w:hint="eastAsia"/>
                <w:color w:val="000000"/>
                <w:w w:val="29"/>
                <w:shd w:val="solid" w:color="000000" w:fill="000000"/>
                <w:fitText w:val="132" w:id="-629520893"/>
                <w14:textFill>
                  <w14:solidFill>
                    <w14:srgbClr w14:val="000000">
                      <w14:alpha w14:val="100000"/>
                    </w14:srgbClr>
                  </w14:solidFill>
                </w14:textFill>
              </w:rPr>
              <w:t xml:space="preserve">　</w:t>
            </w:r>
            <w:r w:rsidR="0058533B" w:rsidRPr="0058533B">
              <w:rPr>
                <w:vertAlign w:val="superscript"/>
              </w:rPr>
              <w:t>3</w:t>
            </w:r>
          </w:p>
        </w:tc>
      </w:tr>
      <w:tr w:rsidR="00D042BF" w:rsidRPr="00F60921" w14:paraId="47E9359C" w14:textId="77777777" w:rsidTr="006564A4">
        <w:tc>
          <w:tcPr>
            <w:tcW w:w="205" w:type="pct"/>
            <w:vMerge/>
            <w:vAlign w:val="center"/>
          </w:tcPr>
          <w:p w14:paraId="0C57EF22" w14:textId="77777777" w:rsidR="00D042BF" w:rsidRPr="00F60921" w:rsidRDefault="00D042BF">
            <w:pPr>
              <w:pStyle w:val="TableText0"/>
              <w:jc w:val="center"/>
            </w:pPr>
          </w:p>
        </w:tc>
        <w:tc>
          <w:tcPr>
            <w:tcW w:w="657" w:type="pct"/>
            <w:vMerge/>
            <w:vAlign w:val="center"/>
          </w:tcPr>
          <w:p w14:paraId="247DA725" w14:textId="77777777" w:rsidR="00D042BF" w:rsidRPr="00F60921" w:rsidRDefault="00D042BF">
            <w:pPr>
              <w:pStyle w:val="TableText0"/>
            </w:pPr>
          </w:p>
        </w:tc>
        <w:tc>
          <w:tcPr>
            <w:tcW w:w="661" w:type="pct"/>
            <w:vMerge/>
            <w:vAlign w:val="center"/>
          </w:tcPr>
          <w:p w14:paraId="03820E56" w14:textId="77777777" w:rsidR="00D042BF" w:rsidRPr="00F60921" w:rsidRDefault="00D042BF">
            <w:pPr>
              <w:pStyle w:val="TableText0"/>
            </w:pPr>
          </w:p>
        </w:tc>
        <w:tc>
          <w:tcPr>
            <w:tcW w:w="1169" w:type="pct"/>
            <w:vMerge/>
            <w:vAlign w:val="center"/>
          </w:tcPr>
          <w:p w14:paraId="2F6CAF31" w14:textId="77777777" w:rsidR="00D042BF" w:rsidRPr="00F60921" w:rsidRDefault="00D042BF">
            <w:pPr>
              <w:pStyle w:val="TableText0"/>
            </w:pPr>
          </w:p>
        </w:tc>
        <w:tc>
          <w:tcPr>
            <w:tcW w:w="354" w:type="pct"/>
            <w:vMerge/>
            <w:vAlign w:val="center"/>
          </w:tcPr>
          <w:p w14:paraId="7789BC3F" w14:textId="77777777" w:rsidR="00D042BF" w:rsidRPr="00F60921" w:rsidRDefault="00D042BF">
            <w:pPr>
              <w:pStyle w:val="TableText0"/>
            </w:pPr>
          </w:p>
        </w:tc>
        <w:tc>
          <w:tcPr>
            <w:tcW w:w="903" w:type="pct"/>
          </w:tcPr>
          <w:p w14:paraId="7A07A7BB" w14:textId="77777777" w:rsidR="00D042BF" w:rsidRPr="00F60921" w:rsidRDefault="00D042BF">
            <w:pPr>
              <w:pStyle w:val="TableText0"/>
            </w:pPr>
            <w:r>
              <w:t>S</w:t>
            </w:r>
            <w:r w:rsidRPr="00F60921">
              <w:t>eladelpar + UDCA vs OCA + UDCA</w:t>
            </w:r>
          </w:p>
        </w:tc>
        <w:tc>
          <w:tcPr>
            <w:tcW w:w="323" w:type="pct"/>
            <w:tcBorders>
              <w:bottom w:val="single" w:sz="4" w:space="0" w:color="auto"/>
            </w:tcBorders>
            <w:shd w:val="solid" w:color="000000" w:fill="000000"/>
            <w:vAlign w:val="center"/>
          </w:tcPr>
          <w:p w14:paraId="12BAB20A" w14:textId="358AD755" w:rsidR="00D042BF" w:rsidRPr="00956089" w:rsidRDefault="006564A4">
            <w:pPr>
              <w:pStyle w:val="TableText0"/>
              <w:jc w:val="center"/>
              <w:rPr>
                <w:highlight w:val="darkGray"/>
              </w:rPr>
            </w:pPr>
            <w:r w:rsidRPr="00333A5F">
              <w:rPr>
                <w:color w:val="000000"/>
                <w:spacing w:val="44"/>
                <w:fitText w:val="216" w:id="-629520892"/>
                <w14:textFill>
                  <w14:solidFill>
                    <w14:srgbClr w14:val="000000">
                      <w14:alpha w14:val="100000"/>
                    </w14:srgbClr>
                  </w14:solidFill>
                </w14:textFill>
              </w:rPr>
              <w:t>||</w:t>
            </w:r>
            <w:r w:rsidRPr="00333A5F">
              <w:rPr>
                <w:color w:val="000000"/>
                <w:spacing w:val="1"/>
                <w:fitText w:val="216" w:id="-629520892"/>
                <w14:textFill>
                  <w14:solidFill>
                    <w14:srgbClr w14:val="000000">
                      <w14:alpha w14:val="100000"/>
                    </w14:srgbClr>
                  </w14:solidFill>
                </w14:textFill>
              </w:rPr>
              <w:t>|</w:t>
            </w:r>
          </w:p>
        </w:tc>
        <w:tc>
          <w:tcPr>
            <w:tcW w:w="323" w:type="pct"/>
            <w:vAlign w:val="center"/>
          </w:tcPr>
          <w:p w14:paraId="1F4CDBE9" w14:textId="77777777" w:rsidR="00D042BF" w:rsidRPr="00F60921" w:rsidRDefault="00D042BF">
            <w:pPr>
              <w:pStyle w:val="TableText0"/>
              <w:jc w:val="center"/>
            </w:pPr>
            <w:r w:rsidRPr="00F60921">
              <w:t>0.0060</w:t>
            </w:r>
          </w:p>
        </w:tc>
        <w:tc>
          <w:tcPr>
            <w:tcW w:w="405" w:type="pct"/>
            <w:vAlign w:val="center"/>
          </w:tcPr>
          <w:p w14:paraId="629D4EE9" w14:textId="7506A357" w:rsidR="00D042BF" w:rsidRPr="008716D6" w:rsidRDefault="006564A4">
            <w:pPr>
              <w:pStyle w:val="TableText0"/>
              <w:jc w:val="center"/>
              <w:rPr>
                <w:highlight w:val="darkGray"/>
              </w:rPr>
            </w:pPr>
            <w:r w:rsidRPr="00333A5F">
              <w:rPr>
                <w:rFonts w:hint="eastAsia"/>
                <w:color w:val="000000"/>
                <w:w w:val="29"/>
                <w:shd w:val="solid" w:color="000000" w:fill="000000"/>
                <w:fitText w:val="132" w:id="-629520891"/>
                <w14:textFill>
                  <w14:solidFill>
                    <w14:srgbClr w14:val="000000">
                      <w14:alpha w14:val="100000"/>
                    </w14:srgbClr>
                  </w14:solidFill>
                </w14:textFill>
              </w:rPr>
              <w:t xml:space="preserve">　</w:t>
            </w:r>
            <w:r w:rsidRPr="00333A5F">
              <w:rPr>
                <w:color w:val="000000"/>
                <w:w w:val="29"/>
                <w:shd w:val="solid" w:color="000000" w:fill="000000"/>
                <w:fitText w:val="132" w:id="-629520891"/>
                <w14:textFill>
                  <w14:solidFill>
                    <w14:srgbClr w14:val="000000">
                      <w14:alpha w14:val="100000"/>
                    </w14:srgbClr>
                  </w14:solidFill>
                </w14:textFill>
              </w:rPr>
              <w:t>|</w:t>
            </w:r>
            <w:r w:rsidRPr="00333A5F">
              <w:rPr>
                <w:rFonts w:hint="eastAsia"/>
                <w:color w:val="000000"/>
                <w:w w:val="29"/>
                <w:shd w:val="solid" w:color="000000" w:fill="000000"/>
                <w:fitText w:val="132" w:id="-629520891"/>
                <w14:textFill>
                  <w14:solidFill>
                    <w14:srgbClr w14:val="000000">
                      <w14:alpha w14:val="100000"/>
                    </w14:srgbClr>
                  </w14:solidFill>
                </w14:textFill>
              </w:rPr>
              <w:t xml:space="preserve">　</w:t>
            </w:r>
            <w:r w:rsidR="0058533B" w:rsidRPr="0058533B">
              <w:rPr>
                <w:vertAlign w:val="superscript"/>
              </w:rPr>
              <w:t>3</w:t>
            </w:r>
          </w:p>
        </w:tc>
      </w:tr>
      <w:tr w:rsidR="00D042BF" w:rsidRPr="00F60921" w14:paraId="44D994AD" w14:textId="77777777" w:rsidTr="006564A4">
        <w:tc>
          <w:tcPr>
            <w:tcW w:w="205" w:type="pct"/>
            <w:vMerge/>
            <w:vAlign w:val="center"/>
          </w:tcPr>
          <w:p w14:paraId="58BA69E7" w14:textId="77777777" w:rsidR="00D042BF" w:rsidRPr="00F60921" w:rsidRDefault="00D042BF">
            <w:pPr>
              <w:pStyle w:val="TableText0"/>
              <w:jc w:val="center"/>
            </w:pPr>
          </w:p>
        </w:tc>
        <w:tc>
          <w:tcPr>
            <w:tcW w:w="657" w:type="pct"/>
            <w:vMerge/>
            <w:vAlign w:val="center"/>
          </w:tcPr>
          <w:p w14:paraId="027DA0A8" w14:textId="77777777" w:rsidR="00D042BF" w:rsidRPr="00F60921" w:rsidRDefault="00D042BF">
            <w:pPr>
              <w:pStyle w:val="TableText0"/>
            </w:pPr>
          </w:p>
        </w:tc>
        <w:tc>
          <w:tcPr>
            <w:tcW w:w="661" w:type="pct"/>
            <w:vMerge/>
            <w:vAlign w:val="center"/>
          </w:tcPr>
          <w:p w14:paraId="2889096D" w14:textId="77777777" w:rsidR="00D042BF" w:rsidRPr="00F60921" w:rsidRDefault="00D042BF">
            <w:pPr>
              <w:pStyle w:val="TableText0"/>
            </w:pPr>
          </w:p>
        </w:tc>
        <w:tc>
          <w:tcPr>
            <w:tcW w:w="1169" w:type="pct"/>
            <w:vMerge/>
            <w:vAlign w:val="center"/>
          </w:tcPr>
          <w:p w14:paraId="2C3B5D83" w14:textId="77777777" w:rsidR="00D042BF" w:rsidRPr="00F60921" w:rsidRDefault="00D042BF">
            <w:pPr>
              <w:pStyle w:val="TableText0"/>
            </w:pPr>
          </w:p>
        </w:tc>
        <w:tc>
          <w:tcPr>
            <w:tcW w:w="354" w:type="pct"/>
            <w:vMerge/>
            <w:vAlign w:val="center"/>
          </w:tcPr>
          <w:p w14:paraId="7C7F3CEF" w14:textId="77777777" w:rsidR="00D042BF" w:rsidRPr="00F60921" w:rsidRDefault="00D042BF">
            <w:pPr>
              <w:pStyle w:val="TableText0"/>
            </w:pPr>
          </w:p>
        </w:tc>
        <w:tc>
          <w:tcPr>
            <w:tcW w:w="903" w:type="pct"/>
          </w:tcPr>
          <w:p w14:paraId="38518E91" w14:textId="77777777" w:rsidR="00D042BF" w:rsidRPr="00F60921" w:rsidRDefault="00D042BF">
            <w:pPr>
              <w:pStyle w:val="TableText0"/>
            </w:pPr>
            <w:r>
              <w:t>S</w:t>
            </w:r>
            <w:r w:rsidRPr="00F60921">
              <w:t>eladelpar vs BSC</w:t>
            </w:r>
          </w:p>
        </w:tc>
        <w:tc>
          <w:tcPr>
            <w:tcW w:w="323" w:type="pct"/>
            <w:tcBorders>
              <w:bottom w:val="single" w:sz="4" w:space="0" w:color="auto"/>
            </w:tcBorders>
            <w:shd w:val="solid" w:color="000000" w:fill="000000"/>
            <w:vAlign w:val="center"/>
          </w:tcPr>
          <w:p w14:paraId="2BD72053" w14:textId="3F873ECE" w:rsidR="00D042BF" w:rsidRPr="00956089" w:rsidRDefault="006564A4">
            <w:pPr>
              <w:pStyle w:val="TableText0"/>
              <w:jc w:val="center"/>
              <w:rPr>
                <w:highlight w:val="darkGray"/>
              </w:rPr>
            </w:pPr>
            <w:r w:rsidRPr="00333A5F">
              <w:rPr>
                <w:color w:val="000000"/>
                <w:spacing w:val="44"/>
                <w:fitText w:val="216" w:id="-629520890"/>
                <w14:textFill>
                  <w14:solidFill>
                    <w14:srgbClr w14:val="000000">
                      <w14:alpha w14:val="100000"/>
                    </w14:srgbClr>
                  </w14:solidFill>
                </w14:textFill>
              </w:rPr>
              <w:t>||</w:t>
            </w:r>
            <w:r w:rsidRPr="00333A5F">
              <w:rPr>
                <w:color w:val="000000"/>
                <w:spacing w:val="1"/>
                <w:fitText w:val="216" w:id="-629520890"/>
                <w14:textFill>
                  <w14:solidFill>
                    <w14:srgbClr w14:val="000000">
                      <w14:alpha w14:val="100000"/>
                    </w14:srgbClr>
                  </w14:solidFill>
                </w14:textFill>
              </w:rPr>
              <w:t>|</w:t>
            </w:r>
          </w:p>
        </w:tc>
        <w:tc>
          <w:tcPr>
            <w:tcW w:w="323" w:type="pct"/>
            <w:vAlign w:val="center"/>
          </w:tcPr>
          <w:p w14:paraId="76FFED36" w14:textId="77777777" w:rsidR="00D042BF" w:rsidRPr="00F60921" w:rsidRDefault="00D042BF">
            <w:pPr>
              <w:pStyle w:val="TableText0"/>
              <w:jc w:val="center"/>
            </w:pPr>
            <w:r w:rsidRPr="00F60921">
              <w:t>0.2070</w:t>
            </w:r>
          </w:p>
        </w:tc>
        <w:tc>
          <w:tcPr>
            <w:tcW w:w="405" w:type="pct"/>
            <w:vAlign w:val="center"/>
          </w:tcPr>
          <w:p w14:paraId="533C2162" w14:textId="4A69FA1B"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9"/>
                <w14:textFill>
                  <w14:solidFill>
                    <w14:srgbClr w14:val="000000">
                      <w14:alpha w14:val="100000"/>
                    </w14:srgbClr>
                  </w14:solidFill>
                </w14:textFill>
              </w:rPr>
              <w:t xml:space="preserve">　</w:t>
            </w:r>
            <w:r w:rsidRPr="00333A5F">
              <w:rPr>
                <w:color w:val="000000"/>
                <w:w w:val="29"/>
                <w:shd w:val="solid" w:color="000000" w:fill="000000"/>
                <w:fitText w:val="132" w:id="-629520889"/>
                <w14:textFill>
                  <w14:solidFill>
                    <w14:srgbClr w14:val="000000">
                      <w14:alpha w14:val="100000"/>
                    </w14:srgbClr>
                  </w14:solidFill>
                </w14:textFill>
              </w:rPr>
              <w:t>|</w:t>
            </w:r>
            <w:r w:rsidRPr="00333A5F">
              <w:rPr>
                <w:rFonts w:hint="eastAsia"/>
                <w:color w:val="000000"/>
                <w:w w:val="29"/>
                <w:shd w:val="solid" w:color="000000" w:fill="000000"/>
                <w:fitText w:val="132" w:id="-629520889"/>
                <w14:textFill>
                  <w14:solidFill>
                    <w14:srgbClr w14:val="000000">
                      <w14:alpha w14:val="100000"/>
                    </w14:srgbClr>
                  </w14:solidFill>
                </w14:textFill>
              </w:rPr>
              <w:t xml:space="preserve">　</w:t>
            </w:r>
            <w:r w:rsidR="00CC4CA6" w:rsidRPr="00CC4CA6">
              <w:rPr>
                <w:vertAlign w:val="superscript"/>
              </w:rPr>
              <w:t>4</w:t>
            </w:r>
          </w:p>
        </w:tc>
      </w:tr>
      <w:tr w:rsidR="00D042BF" w:rsidRPr="00F60921" w14:paraId="46ACC15A" w14:textId="77777777" w:rsidTr="006564A4">
        <w:tc>
          <w:tcPr>
            <w:tcW w:w="205" w:type="pct"/>
            <w:vMerge/>
            <w:vAlign w:val="center"/>
          </w:tcPr>
          <w:p w14:paraId="6A299626" w14:textId="77777777" w:rsidR="00D042BF" w:rsidRPr="00F60921" w:rsidRDefault="00D042BF">
            <w:pPr>
              <w:pStyle w:val="TableText0"/>
              <w:jc w:val="center"/>
            </w:pPr>
          </w:p>
        </w:tc>
        <w:tc>
          <w:tcPr>
            <w:tcW w:w="657" w:type="pct"/>
            <w:vMerge/>
            <w:vAlign w:val="center"/>
          </w:tcPr>
          <w:p w14:paraId="58721FD2" w14:textId="77777777" w:rsidR="00D042BF" w:rsidRPr="00F60921" w:rsidRDefault="00D042BF">
            <w:pPr>
              <w:pStyle w:val="TableText0"/>
            </w:pPr>
          </w:p>
        </w:tc>
        <w:tc>
          <w:tcPr>
            <w:tcW w:w="661" w:type="pct"/>
            <w:vMerge/>
            <w:vAlign w:val="center"/>
          </w:tcPr>
          <w:p w14:paraId="2D3BAA56" w14:textId="77777777" w:rsidR="00D042BF" w:rsidRPr="00F60921" w:rsidRDefault="00D042BF">
            <w:pPr>
              <w:pStyle w:val="TableText0"/>
            </w:pPr>
          </w:p>
        </w:tc>
        <w:tc>
          <w:tcPr>
            <w:tcW w:w="1169" w:type="pct"/>
            <w:vMerge/>
            <w:vAlign w:val="center"/>
          </w:tcPr>
          <w:p w14:paraId="6502600F" w14:textId="77777777" w:rsidR="00D042BF" w:rsidRPr="00F60921" w:rsidRDefault="00D042BF">
            <w:pPr>
              <w:pStyle w:val="TableText0"/>
            </w:pPr>
          </w:p>
        </w:tc>
        <w:tc>
          <w:tcPr>
            <w:tcW w:w="354" w:type="pct"/>
            <w:vMerge/>
            <w:vAlign w:val="center"/>
          </w:tcPr>
          <w:p w14:paraId="272C0FD8" w14:textId="77777777" w:rsidR="00D042BF" w:rsidRPr="00F60921" w:rsidRDefault="00D042BF">
            <w:pPr>
              <w:pStyle w:val="TableText0"/>
            </w:pPr>
          </w:p>
        </w:tc>
        <w:tc>
          <w:tcPr>
            <w:tcW w:w="903" w:type="pct"/>
          </w:tcPr>
          <w:p w14:paraId="606896A0" w14:textId="77777777" w:rsidR="00D042BF" w:rsidRPr="00F60921" w:rsidRDefault="00D042BF">
            <w:pPr>
              <w:pStyle w:val="TableText0"/>
            </w:pPr>
            <w:r>
              <w:t>S</w:t>
            </w:r>
            <w:r w:rsidRPr="00F60921">
              <w:t>eladelpar vs OCA</w:t>
            </w:r>
          </w:p>
        </w:tc>
        <w:tc>
          <w:tcPr>
            <w:tcW w:w="323" w:type="pct"/>
            <w:tcBorders>
              <w:bottom w:val="single" w:sz="4" w:space="0" w:color="auto"/>
            </w:tcBorders>
            <w:shd w:val="solid" w:color="000000" w:fill="000000"/>
            <w:vAlign w:val="center"/>
          </w:tcPr>
          <w:p w14:paraId="27676B11" w14:textId="7DC541C5" w:rsidR="00D042BF" w:rsidRPr="00956089" w:rsidRDefault="006564A4">
            <w:pPr>
              <w:pStyle w:val="TableText0"/>
              <w:jc w:val="center"/>
              <w:rPr>
                <w:highlight w:val="darkGray"/>
              </w:rPr>
            </w:pPr>
            <w:r w:rsidRPr="00333A5F">
              <w:rPr>
                <w:color w:val="000000"/>
                <w:spacing w:val="44"/>
                <w:fitText w:val="216" w:id="-629520888"/>
                <w14:textFill>
                  <w14:solidFill>
                    <w14:srgbClr w14:val="000000">
                      <w14:alpha w14:val="100000"/>
                    </w14:srgbClr>
                  </w14:solidFill>
                </w14:textFill>
              </w:rPr>
              <w:t>||</w:t>
            </w:r>
            <w:r w:rsidRPr="00333A5F">
              <w:rPr>
                <w:color w:val="000000"/>
                <w:spacing w:val="1"/>
                <w:fitText w:val="216" w:id="-629520888"/>
                <w14:textFill>
                  <w14:solidFill>
                    <w14:srgbClr w14:val="000000">
                      <w14:alpha w14:val="100000"/>
                    </w14:srgbClr>
                  </w14:solidFill>
                </w14:textFill>
              </w:rPr>
              <w:t>|</w:t>
            </w:r>
          </w:p>
        </w:tc>
        <w:tc>
          <w:tcPr>
            <w:tcW w:w="323" w:type="pct"/>
            <w:vAlign w:val="center"/>
          </w:tcPr>
          <w:p w14:paraId="45833714" w14:textId="77777777" w:rsidR="00D042BF" w:rsidRPr="00F60921" w:rsidRDefault="00D042BF">
            <w:pPr>
              <w:pStyle w:val="TableText0"/>
              <w:jc w:val="center"/>
            </w:pPr>
            <w:r w:rsidRPr="00F60921">
              <w:t>0.0090</w:t>
            </w:r>
          </w:p>
        </w:tc>
        <w:tc>
          <w:tcPr>
            <w:tcW w:w="405" w:type="pct"/>
            <w:vAlign w:val="center"/>
          </w:tcPr>
          <w:p w14:paraId="55E4D42E" w14:textId="3A694ABB"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7"/>
                <w14:textFill>
                  <w14:solidFill>
                    <w14:srgbClr w14:val="000000">
                      <w14:alpha w14:val="100000"/>
                    </w14:srgbClr>
                  </w14:solidFill>
                </w14:textFill>
              </w:rPr>
              <w:t xml:space="preserve">　</w:t>
            </w:r>
            <w:r w:rsidRPr="00333A5F">
              <w:rPr>
                <w:color w:val="000000"/>
                <w:w w:val="29"/>
                <w:shd w:val="solid" w:color="000000" w:fill="000000"/>
                <w:fitText w:val="132" w:id="-629520887"/>
                <w14:textFill>
                  <w14:solidFill>
                    <w14:srgbClr w14:val="000000">
                      <w14:alpha w14:val="100000"/>
                    </w14:srgbClr>
                  </w14:solidFill>
                </w14:textFill>
              </w:rPr>
              <w:t>|</w:t>
            </w:r>
            <w:r w:rsidRPr="00333A5F">
              <w:rPr>
                <w:rFonts w:hint="eastAsia"/>
                <w:color w:val="000000"/>
                <w:w w:val="29"/>
                <w:shd w:val="solid" w:color="000000" w:fill="000000"/>
                <w:fitText w:val="132" w:id="-629520887"/>
                <w14:textFill>
                  <w14:solidFill>
                    <w14:srgbClr w14:val="000000">
                      <w14:alpha w14:val="100000"/>
                    </w14:srgbClr>
                  </w14:solidFill>
                </w14:textFill>
              </w:rPr>
              <w:t xml:space="preserve">　</w:t>
            </w:r>
            <w:r w:rsidR="0058533B" w:rsidRPr="0058533B">
              <w:rPr>
                <w:vertAlign w:val="superscript"/>
              </w:rPr>
              <w:t>3</w:t>
            </w:r>
          </w:p>
        </w:tc>
      </w:tr>
      <w:tr w:rsidR="00D042BF" w:rsidRPr="00F60921" w14:paraId="7B486973" w14:textId="77777777" w:rsidTr="006564A4">
        <w:tc>
          <w:tcPr>
            <w:tcW w:w="205" w:type="pct"/>
            <w:vMerge w:val="restart"/>
            <w:vAlign w:val="center"/>
          </w:tcPr>
          <w:p w14:paraId="6C826EF6" w14:textId="77777777" w:rsidR="00D042BF" w:rsidRPr="00F60921" w:rsidRDefault="00D042BF">
            <w:pPr>
              <w:pStyle w:val="TableText0"/>
              <w:jc w:val="center"/>
            </w:pPr>
            <w:r w:rsidRPr="00F60921">
              <w:t>5</w:t>
            </w:r>
          </w:p>
        </w:tc>
        <w:tc>
          <w:tcPr>
            <w:tcW w:w="657" w:type="pct"/>
            <w:vMerge w:val="restart"/>
            <w:vAlign w:val="center"/>
          </w:tcPr>
          <w:p w14:paraId="62E7C854" w14:textId="77777777" w:rsidR="00D042BF" w:rsidRPr="00F60921" w:rsidRDefault="00D042BF">
            <w:pPr>
              <w:pStyle w:val="TableText0"/>
            </w:pPr>
            <w:r w:rsidRPr="00F60921">
              <w:t>Introduce AE impacts; introduce background health state costs</w:t>
            </w:r>
          </w:p>
        </w:tc>
        <w:tc>
          <w:tcPr>
            <w:tcW w:w="661" w:type="pct"/>
            <w:vMerge w:val="restart"/>
            <w:vAlign w:val="center"/>
          </w:tcPr>
          <w:p w14:paraId="70FD2D2F" w14:textId="77777777" w:rsidR="00D042BF" w:rsidRPr="00F60921" w:rsidRDefault="00D042BF">
            <w:pPr>
              <w:pStyle w:val="TableText0"/>
            </w:pPr>
            <w:r>
              <w:t>S</w:t>
            </w:r>
            <w:r w:rsidRPr="00F60921">
              <w:t>eladelpar, UDCA, OCA, AE, and background health state costs</w:t>
            </w:r>
          </w:p>
        </w:tc>
        <w:tc>
          <w:tcPr>
            <w:tcW w:w="1169" w:type="pct"/>
            <w:vMerge w:val="restart"/>
            <w:vAlign w:val="center"/>
          </w:tcPr>
          <w:p w14:paraId="3BBB48C7" w14:textId="77777777" w:rsidR="00D042BF" w:rsidRPr="00F60921" w:rsidRDefault="00D042BF">
            <w:pPr>
              <w:pStyle w:val="TableText0"/>
            </w:pPr>
            <w:r w:rsidRPr="00F60921">
              <w:t>QALYs</w:t>
            </w:r>
          </w:p>
        </w:tc>
        <w:tc>
          <w:tcPr>
            <w:tcW w:w="354" w:type="pct"/>
            <w:vMerge w:val="restart"/>
            <w:vAlign w:val="center"/>
          </w:tcPr>
          <w:p w14:paraId="1AE3D8EE" w14:textId="77777777" w:rsidR="00D042BF" w:rsidRPr="00F60921" w:rsidRDefault="00D042BF">
            <w:pPr>
              <w:pStyle w:val="TableText0"/>
            </w:pPr>
            <w:r w:rsidRPr="00F60921">
              <w:t>12 months</w:t>
            </w:r>
          </w:p>
          <w:p w14:paraId="3205E5BF" w14:textId="77777777" w:rsidR="00D042BF" w:rsidRPr="00F60921" w:rsidRDefault="00D042BF">
            <w:pPr>
              <w:pStyle w:val="TableText0"/>
            </w:pPr>
            <w:r w:rsidRPr="00F60921">
              <w:t> </w:t>
            </w:r>
          </w:p>
        </w:tc>
        <w:tc>
          <w:tcPr>
            <w:tcW w:w="903" w:type="pct"/>
          </w:tcPr>
          <w:p w14:paraId="274BAE93" w14:textId="77777777" w:rsidR="00D042BF" w:rsidRPr="00F60921" w:rsidRDefault="00D042BF">
            <w:pPr>
              <w:pStyle w:val="TableText0"/>
            </w:pPr>
            <w:r>
              <w:t>S</w:t>
            </w:r>
            <w:r w:rsidRPr="00F60921">
              <w:t>eladelpar + UDCA vs UDCA</w:t>
            </w:r>
          </w:p>
        </w:tc>
        <w:tc>
          <w:tcPr>
            <w:tcW w:w="323" w:type="pct"/>
            <w:tcBorders>
              <w:bottom w:val="single" w:sz="4" w:space="0" w:color="auto"/>
            </w:tcBorders>
            <w:shd w:val="solid" w:color="000000" w:fill="000000"/>
            <w:vAlign w:val="center"/>
          </w:tcPr>
          <w:p w14:paraId="1D74FD3E" w14:textId="699B82EB" w:rsidR="00D042BF" w:rsidRPr="00956089" w:rsidRDefault="006564A4">
            <w:pPr>
              <w:pStyle w:val="TableText0"/>
              <w:jc w:val="center"/>
              <w:rPr>
                <w:highlight w:val="darkGray"/>
              </w:rPr>
            </w:pPr>
            <w:r w:rsidRPr="00333A5F">
              <w:rPr>
                <w:color w:val="000000"/>
                <w:spacing w:val="44"/>
                <w:fitText w:val="216" w:id="-629520886"/>
                <w14:textFill>
                  <w14:solidFill>
                    <w14:srgbClr w14:val="000000">
                      <w14:alpha w14:val="100000"/>
                    </w14:srgbClr>
                  </w14:solidFill>
                </w14:textFill>
              </w:rPr>
              <w:t>||</w:t>
            </w:r>
            <w:r w:rsidRPr="00333A5F">
              <w:rPr>
                <w:color w:val="000000"/>
                <w:spacing w:val="1"/>
                <w:fitText w:val="216" w:id="-629520886"/>
                <w14:textFill>
                  <w14:solidFill>
                    <w14:srgbClr w14:val="000000">
                      <w14:alpha w14:val="100000"/>
                    </w14:srgbClr>
                  </w14:solidFill>
                </w14:textFill>
              </w:rPr>
              <w:t>|</w:t>
            </w:r>
          </w:p>
        </w:tc>
        <w:tc>
          <w:tcPr>
            <w:tcW w:w="323" w:type="pct"/>
            <w:vAlign w:val="center"/>
          </w:tcPr>
          <w:p w14:paraId="2C240413" w14:textId="77777777" w:rsidR="00D042BF" w:rsidRPr="00F60921" w:rsidRDefault="00D042BF">
            <w:pPr>
              <w:pStyle w:val="TableText0"/>
              <w:jc w:val="center"/>
            </w:pPr>
            <w:r w:rsidRPr="00F60921">
              <w:t>0.0030</w:t>
            </w:r>
          </w:p>
        </w:tc>
        <w:tc>
          <w:tcPr>
            <w:tcW w:w="405" w:type="pct"/>
            <w:vAlign w:val="center"/>
          </w:tcPr>
          <w:p w14:paraId="7CBD0A7D" w14:textId="6294D69D"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5"/>
                <w14:textFill>
                  <w14:solidFill>
                    <w14:srgbClr w14:val="000000">
                      <w14:alpha w14:val="100000"/>
                    </w14:srgbClr>
                  </w14:solidFill>
                </w14:textFill>
              </w:rPr>
              <w:t xml:space="preserve">　</w:t>
            </w:r>
            <w:r w:rsidRPr="00333A5F">
              <w:rPr>
                <w:color w:val="000000"/>
                <w:w w:val="29"/>
                <w:shd w:val="solid" w:color="000000" w:fill="000000"/>
                <w:fitText w:val="132" w:id="-629520885"/>
                <w14:textFill>
                  <w14:solidFill>
                    <w14:srgbClr w14:val="000000">
                      <w14:alpha w14:val="100000"/>
                    </w14:srgbClr>
                  </w14:solidFill>
                </w14:textFill>
              </w:rPr>
              <w:t>|</w:t>
            </w:r>
            <w:r w:rsidRPr="00333A5F">
              <w:rPr>
                <w:rFonts w:hint="eastAsia"/>
                <w:color w:val="000000"/>
                <w:w w:val="29"/>
                <w:shd w:val="solid" w:color="000000" w:fill="000000"/>
                <w:fitText w:val="132" w:id="-629520885"/>
                <w14:textFill>
                  <w14:solidFill>
                    <w14:srgbClr w14:val="000000">
                      <w14:alpha w14:val="100000"/>
                    </w14:srgbClr>
                  </w14:solidFill>
                </w14:textFill>
              </w:rPr>
              <w:t xml:space="preserve">　</w:t>
            </w:r>
            <w:r w:rsidR="00F873D9" w:rsidRPr="0058533B">
              <w:rPr>
                <w:vertAlign w:val="superscript"/>
              </w:rPr>
              <w:t>3</w:t>
            </w:r>
          </w:p>
        </w:tc>
      </w:tr>
      <w:tr w:rsidR="00D042BF" w:rsidRPr="00F60921" w14:paraId="5C4F5879" w14:textId="77777777" w:rsidTr="006564A4">
        <w:tc>
          <w:tcPr>
            <w:tcW w:w="205" w:type="pct"/>
            <w:vMerge/>
            <w:vAlign w:val="center"/>
          </w:tcPr>
          <w:p w14:paraId="24024D5A" w14:textId="77777777" w:rsidR="00D042BF" w:rsidRPr="00F60921" w:rsidRDefault="00D042BF">
            <w:pPr>
              <w:pStyle w:val="TableText0"/>
              <w:jc w:val="center"/>
            </w:pPr>
          </w:p>
        </w:tc>
        <w:tc>
          <w:tcPr>
            <w:tcW w:w="657" w:type="pct"/>
            <w:vMerge/>
            <w:vAlign w:val="center"/>
          </w:tcPr>
          <w:p w14:paraId="075E30D1" w14:textId="77777777" w:rsidR="00D042BF" w:rsidRPr="00F60921" w:rsidRDefault="00D042BF">
            <w:pPr>
              <w:pStyle w:val="TableText0"/>
            </w:pPr>
          </w:p>
        </w:tc>
        <w:tc>
          <w:tcPr>
            <w:tcW w:w="661" w:type="pct"/>
            <w:vMerge/>
            <w:vAlign w:val="center"/>
          </w:tcPr>
          <w:p w14:paraId="43838177" w14:textId="77777777" w:rsidR="00D042BF" w:rsidRPr="00F60921" w:rsidRDefault="00D042BF">
            <w:pPr>
              <w:pStyle w:val="TableText0"/>
            </w:pPr>
          </w:p>
        </w:tc>
        <w:tc>
          <w:tcPr>
            <w:tcW w:w="1169" w:type="pct"/>
            <w:vMerge/>
            <w:vAlign w:val="center"/>
          </w:tcPr>
          <w:p w14:paraId="270A8D45" w14:textId="77777777" w:rsidR="00D042BF" w:rsidRPr="00F60921" w:rsidRDefault="00D042BF">
            <w:pPr>
              <w:pStyle w:val="TableText0"/>
            </w:pPr>
          </w:p>
        </w:tc>
        <w:tc>
          <w:tcPr>
            <w:tcW w:w="354" w:type="pct"/>
            <w:vMerge/>
            <w:vAlign w:val="center"/>
          </w:tcPr>
          <w:p w14:paraId="5ADA5E24" w14:textId="77777777" w:rsidR="00D042BF" w:rsidRPr="00F60921" w:rsidRDefault="00D042BF">
            <w:pPr>
              <w:pStyle w:val="TableText0"/>
            </w:pPr>
          </w:p>
        </w:tc>
        <w:tc>
          <w:tcPr>
            <w:tcW w:w="903" w:type="pct"/>
          </w:tcPr>
          <w:p w14:paraId="065A6F43" w14:textId="77777777" w:rsidR="00D042BF" w:rsidRPr="00F60921" w:rsidRDefault="00D042BF">
            <w:pPr>
              <w:pStyle w:val="TableText0"/>
            </w:pPr>
            <w:r>
              <w:t>S</w:t>
            </w:r>
            <w:r w:rsidRPr="00F60921">
              <w:t>eladelpar + UDCA vs OCA + UDCA</w:t>
            </w:r>
          </w:p>
        </w:tc>
        <w:tc>
          <w:tcPr>
            <w:tcW w:w="323" w:type="pct"/>
            <w:tcBorders>
              <w:bottom w:val="single" w:sz="4" w:space="0" w:color="auto"/>
            </w:tcBorders>
            <w:shd w:val="solid" w:color="000000" w:fill="000000"/>
            <w:vAlign w:val="center"/>
          </w:tcPr>
          <w:p w14:paraId="566B0B32" w14:textId="3DBE690D" w:rsidR="00D042BF" w:rsidRPr="00956089" w:rsidRDefault="006564A4">
            <w:pPr>
              <w:pStyle w:val="TableText0"/>
              <w:jc w:val="center"/>
              <w:rPr>
                <w:highlight w:val="darkGray"/>
              </w:rPr>
            </w:pPr>
            <w:r w:rsidRPr="00333A5F">
              <w:rPr>
                <w:color w:val="000000"/>
                <w:spacing w:val="44"/>
                <w:fitText w:val="216" w:id="-629520884"/>
                <w14:textFill>
                  <w14:solidFill>
                    <w14:srgbClr w14:val="000000">
                      <w14:alpha w14:val="100000"/>
                    </w14:srgbClr>
                  </w14:solidFill>
                </w14:textFill>
              </w:rPr>
              <w:t>||</w:t>
            </w:r>
            <w:r w:rsidRPr="00333A5F">
              <w:rPr>
                <w:color w:val="000000"/>
                <w:spacing w:val="1"/>
                <w:fitText w:val="216" w:id="-629520884"/>
                <w14:textFill>
                  <w14:solidFill>
                    <w14:srgbClr w14:val="000000">
                      <w14:alpha w14:val="100000"/>
                    </w14:srgbClr>
                  </w14:solidFill>
                </w14:textFill>
              </w:rPr>
              <w:t>|</w:t>
            </w:r>
          </w:p>
        </w:tc>
        <w:tc>
          <w:tcPr>
            <w:tcW w:w="323" w:type="pct"/>
            <w:vAlign w:val="center"/>
          </w:tcPr>
          <w:p w14:paraId="63995D4C" w14:textId="77777777" w:rsidR="00D042BF" w:rsidRPr="00F60921" w:rsidRDefault="00D042BF">
            <w:pPr>
              <w:pStyle w:val="TableText0"/>
              <w:jc w:val="center"/>
            </w:pPr>
            <w:r w:rsidRPr="00F60921">
              <w:t>0.0060</w:t>
            </w:r>
          </w:p>
        </w:tc>
        <w:tc>
          <w:tcPr>
            <w:tcW w:w="405" w:type="pct"/>
            <w:vAlign w:val="center"/>
          </w:tcPr>
          <w:p w14:paraId="0D9D082D" w14:textId="05948D9A"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3"/>
                <w14:textFill>
                  <w14:solidFill>
                    <w14:srgbClr w14:val="000000">
                      <w14:alpha w14:val="100000"/>
                    </w14:srgbClr>
                  </w14:solidFill>
                </w14:textFill>
              </w:rPr>
              <w:t xml:space="preserve">　</w:t>
            </w:r>
            <w:r w:rsidRPr="00333A5F">
              <w:rPr>
                <w:color w:val="000000"/>
                <w:w w:val="29"/>
                <w:shd w:val="solid" w:color="000000" w:fill="000000"/>
                <w:fitText w:val="132" w:id="-629520883"/>
                <w14:textFill>
                  <w14:solidFill>
                    <w14:srgbClr w14:val="000000">
                      <w14:alpha w14:val="100000"/>
                    </w14:srgbClr>
                  </w14:solidFill>
                </w14:textFill>
              </w:rPr>
              <w:t>|</w:t>
            </w:r>
            <w:r w:rsidRPr="00333A5F">
              <w:rPr>
                <w:rFonts w:hint="eastAsia"/>
                <w:color w:val="000000"/>
                <w:w w:val="29"/>
                <w:shd w:val="solid" w:color="000000" w:fill="000000"/>
                <w:fitText w:val="132" w:id="-629520883"/>
                <w14:textFill>
                  <w14:solidFill>
                    <w14:srgbClr w14:val="000000">
                      <w14:alpha w14:val="100000"/>
                    </w14:srgbClr>
                  </w14:solidFill>
                </w14:textFill>
              </w:rPr>
              <w:t xml:space="preserve">　</w:t>
            </w:r>
            <w:r w:rsidR="0058533B" w:rsidRPr="0058533B">
              <w:rPr>
                <w:vertAlign w:val="superscript"/>
              </w:rPr>
              <w:t>3</w:t>
            </w:r>
          </w:p>
        </w:tc>
      </w:tr>
      <w:tr w:rsidR="00D042BF" w:rsidRPr="00F60921" w14:paraId="3F2DD631" w14:textId="77777777" w:rsidTr="006564A4">
        <w:tc>
          <w:tcPr>
            <w:tcW w:w="205" w:type="pct"/>
            <w:vMerge/>
            <w:vAlign w:val="center"/>
          </w:tcPr>
          <w:p w14:paraId="6B0207A6" w14:textId="77777777" w:rsidR="00D042BF" w:rsidRPr="00F60921" w:rsidRDefault="00D042BF">
            <w:pPr>
              <w:pStyle w:val="TableText0"/>
              <w:jc w:val="center"/>
            </w:pPr>
          </w:p>
        </w:tc>
        <w:tc>
          <w:tcPr>
            <w:tcW w:w="657" w:type="pct"/>
            <w:vMerge/>
            <w:vAlign w:val="center"/>
          </w:tcPr>
          <w:p w14:paraId="47EC6882" w14:textId="77777777" w:rsidR="00D042BF" w:rsidRPr="00F60921" w:rsidRDefault="00D042BF">
            <w:pPr>
              <w:pStyle w:val="TableText0"/>
            </w:pPr>
          </w:p>
        </w:tc>
        <w:tc>
          <w:tcPr>
            <w:tcW w:w="661" w:type="pct"/>
            <w:vMerge/>
            <w:vAlign w:val="center"/>
          </w:tcPr>
          <w:p w14:paraId="53723125" w14:textId="77777777" w:rsidR="00D042BF" w:rsidRPr="00F60921" w:rsidRDefault="00D042BF">
            <w:pPr>
              <w:pStyle w:val="TableText0"/>
            </w:pPr>
          </w:p>
        </w:tc>
        <w:tc>
          <w:tcPr>
            <w:tcW w:w="1169" w:type="pct"/>
            <w:vMerge/>
            <w:vAlign w:val="center"/>
          </w:tcPr>
          <w:p w14:paraId="5ED44430" w14:textId="77777777" w:rsidR="00D042BF" w:rsidRPr="00F60921" w:rsidRDefault="00D042BF">
            <w:pPr>
              <w:pStyle w:val="TableText0"/>
            </w:pPr>
          </w:p>
        </w:tc>
        <w:tc>
          <w:tcPr>
            <w:tcW w:w="354" w:type="pct"/>
            <w:vMerge/>
            <w:vAlign w:val="center"/>
          </w:tcPr>
          <w:p w14:paraId="1048C6EC" w14:textId="77777777" w:rsidR="00D042BF" w:rsidRPr="00F60921" w:rsidRDefault="00D042BF">
            <w:pPr>
              <w:pStyle w:val="TableText0"/>
            </w:pPr>
          </w:p>
        </w:tc>
        <w:tc>
          <w:tcPr>
            <w:tcW w:w="903" w:type="pct"/>
          </w:tcPr>
          <w:p w14:paraId="53040B46" w14:textId="77777777" w:rsidR="00D042BF" w:rsidRPr="00F60921" w:rsidRDefault="00D042BF">
            <w:pPr>
              <w:pStyle w:val="TableText0"/>
            </w:pPr>
            <w:r>
              <w:t>S</w:t>
            </w:r>
            <w:r w:rsidRPr="00F60921">
              <w:t>eladelpar vs BSC</w:t>
            </w:r>
          </w:p>
        </w:tc>
        <w:tc>
          <w:tcPr>
            <w:tcW w:w="323" w:type="pct"/>
            <w:tcBorders>
              <w:bottom w:val="single" w:sz="4" w:space="0" w:color="auto"/>
            </w:tcBorders>
            <w:shd w:val="solid" w:color="000000" w:fill="000000"/>
            <w:vAlign w:val="center"/>
          </w:tcPr>
          <w:p w14:paraId="5D315777" w14:textId="0071C613" w:rsidR="00D042BF" w:rsidRPr="00956089" w:rsidRDefault="006564A4">
            <w:pPr>
              <w:pStyle w:val="TableText0"/>
              <w:jc w:val="center"/>
              <w:rPr>
                <w:highlight w:val="darkGray"/>
              </w:rPr>
            </w:pPr>
            <w:r w:rsidRPr="00333A5F">
              <w:rPr>
                <w:color w:val="000000"/>
                <w:spacing w:val="44"/>
                <w:fitText w:val="216" w:id="-629520882"/>
                <w14:textFill>
                  <w14:solidFill>
                    <w14:srgbClr w14:val="000000">
                      <w14:alpha w14:val="100000"/>
                    </w14:srgbClr>
                  </w14:solidFill>
                </w14:textFill>
              </w:rPr>
              <w:t>||</w:t>
            </w:r>
            <w:r w:rsidRPr="00333A5F">
              <w:rPr>
                <w:color w:val="000000"/>
                <w:spacing w:val="1"/>
                <w:fitText w:val="216" w:id="-629520882"/>
                <w14:textFill>
                  <w14:solidFill>
                    <w14:srgbClr w14:val="000000">
                      <w14:alpha w14:val="100000"/>
                    </w14:srgbClr>
                  </w14:solidFill>
                </w14:textFill>
              </w:rPr>
              <w:t>|</w:t>
            </w:r>
          </w:p>
        </w:tc>
        <w:tc>
          <w:tcPr>
            <w:tcW w:w="323" w:type="pct"/>
            <w:vAlign w:val="center"/>
          </w:tcPr>
          <w:p w14:paraId="48F564AB" w14:textId="77777777" w:rsidR="00D042BF" w:rsidRPr="00F60921" w:rsidRDefault="00D042BF">
            <w:pPr>
              <w:pStyle w:val="TableText0"/>
              <w:jc w:val="center"/>
            </w:pPr>
            <w:r w:rsidRPr="00F60921">
              <w:t>0.2070</w:t>
            </w:r>
          </w:p>
        </w:tc>
        <w:tc>
          <w:tcPr>
            <w:tcW w:w="405" w:type="pct"/>
            <w:vAlign w:val="center"/>
          </w:tcPr>
          <w:p w14:paraId="0923D84E" w14:textId="737BCEF3" w:rsidR="00D042BF" w:rsidRPr="008716D6" w:rsidRDefault="006564A4">
            <w:pPr>
              <w:pStyle w:val="TableText0"/>
              <w:jc w:val="center"/>
              <w:rPr>
                <w:highlight w:val="darkGray"/>
              </w:rPr>
            </w:pPr>
            <w:r w:rsidRPr="00333A5F">
              <w:rPr>
                <w:rFonts w:hint="eastAsia"/>
                <w:color w:val="000000"/>
                <w:w w:val="29"/>
                <w:shd w:val="solid" w:color="000000" w:fill="000000"/>
                <w:fitText w:val="132" w:id="-629520881"/>
                <w14:textFill>
                  <w14:solidFill>
                    <w14:srgbClr w14:val="000000">
                      <w14:alpha w14:val="100000"/>
                    </w14:srgbClr>
                  </w14:solidFill>
                </w14:textFill>
              </w:rPr>
              <w:t xml:space="preserve">　</w:t>
            </w:r>
            <w:r w:rsidRPr="00333A5F">
              <w:rPr>
                <w:color w:val="000000"/>
                <w:w w:val="29"/>
                <w:shd w:val="solid" w:color="000000" w:fill="000000"/>
                <w:fitText w:val="132" w:id="-629520881"/>
                <w14:textFill>
                  <w14:solidFill>
                    <w14:srgbClr w14:val="000000">
                      <w14:alpha w14:val="100000"/>
                    </w14:srgbClr>
                  </w14:solidFill>
                </w14:textFill>
              </w:rPr>
              <w:t>|</w:t>
            </w:r>
            <w:r w:rsidRPr="00333A5F">
              <w:rPr>
                <w:rFonts w:hint="eastAsia"/>
                <w:color w:val="000000"/>
                <w:w w:val="29"/>
                <w:shd w:val="solid" w:color="000000" w:fill="000000"/>
                <w:fitText w:val="132" w:id="-629520881"/>
                <w14:textFill>
                  <w14:solidFill>
                    <w14:srgbClr w14:val="000000">
                      <w14:alpha w14:val="100000"/>
                    </w14:srgbClr>
                  </w14:solidFill>
                </w14:textFill>
              </w:rPr>
              <w:t xml:space="preserve">　</w:t>
            </w:r>
            <w:r w:rsidR="00F873D9" w:rsidRPr="00CC4CA6">
              <w:rPr>
                <w:vertAlign w:val="superscript"/>
              </w:rPr>
              <w:t>4</w:t>
            </w:r>
          </w:p>
        </w:tc>
      </w:tr>
      <w:tr w:rsidR="00D042BF" w:rsidRPr="00F60921" w14:paraId="73D43994" w14:textId="77777777" w:rsidTr="006564A4">
        <w:tc>
          <w:tcPr>
            <w:tcW w:w="205" w:type="pct"/>
            <w:vMerge/>
            <w:vAlign w:val="center"/>
          </w:tcPr>
          <w:p w14:paraId="5C7EF5EF" w14:textId="77777777" w:rsidR="00D042BF" w:rsidRPr="00F60921" w:rsidRDefault="00D042BF">
            <w:pPr>
              <w:pStyle w:val="TableText0"/>
              <w:jc w:val="center"/>
            </w:pPr>
          </w:p>
        </w:tc>
        <w:tc>
          <w:tcPr>
            <w:tcW w:w="657" w:type="pct"/>
            <w:vMerge/>
            <w:vAlign w:val="center"/>
          </w:tcPr>
          <w:p w14:paraId="0DADAD64" w14:textId="77777777" w:rsidR="00D042BF" w:rsidRPr="00F60921" w:rsidRDefault="00D042BF">
            <w:pPr>
              <w:pStyle w:val="TableText0"/>
            </w:pPr>
          </w:p>
        </w:tc>
        <w:tc>
          <w:tcPr>
            <w:tcW w:w="661" w:type="pct"/>
            <w:vMerge/>
            <w:vAlign w:val="center"/>
          </w:tcPr>
          <w:p w14:paraId="5AE18774" w14:textId="77777777" w:rsidR="00D042BF" w:rsidRPr="00F60921" w:rsidRDefault="00D042BF">
            <w:pPr>
              <w:pStyle w:val="TableText0"/>
            </w:pPr>
          </w:p>
        </w:tc>
        <w:tc>
          <w:tcPr>
            <w:tcW w:w="1169" w:type="pct"/>
            <w:vMerge/>
            <w:vAlign w:val="center"/>
          </w:tcPr>
          <w:p w14:paraId="19165AD7" w14:textId="77777777" w:rsidR="00D042BF" w:rsidRPr="00F60921" w:rsidRDefault="00D042BF">
            <w:pPr>
              <w:pStyle w:val="TableText0"/>
            </w:pPr>
          </w:p>
        </w:tc>
        <w:tc>
          <w:tcPr>
            <w:tcW w:w="354" w:type="pct"/>
            <w:vMerge/>
            <w:vAlign w:val="center"/>
          </w:tcPr>
          <w:p w14:paraId="09A79A96" w14:textId="77777777" w:rsidR="00D042BF" w:rsidRPr="00F60921" w:rsidRDefault="00D042BF">
            <w:pPr>
              <w:pStyle w:val="TableText0"/>
            </w:pPr>
          </w:p>
        </w:tc>
        <w:tc>
          <w:tcPr>
            <w:tcW w:w="903" w:type="pct"/>
          </w:tcPr>
          <w:p w14:paraId="7DE233F8" w14:textId="77777777" w:rsidR="00D042BF" w:rsidRPr="00F60921" w:rsidRDefault="00D042BF">
            <w:pPr>
              <w:pStyle w:val="TableText0"/>
            </w:pPr>
            <w:r>
              <w:t>S</w:t>
            </w:r>
            <w:r w:rsidRPr="00F60921">
              <w:t>eladelpar vs OCA</w:t>
            </w:r>
          </w:p>
        </w:tc>
        <w:tc>
          <w:tcPr>
            <w:tcW w:w="323" w:type="pct"/>
            <w:tcBorders>
              <w:bottom w:val="single" w:sz="4" w:space="0" w:color="auto"/>
            </w:tcBorders>
            <w:shd w:val="solid" w:color="000000" w:fill="000000"/>
            <w:vAlign w:val="center"/>
          </w:tcPr>
          <w:p w14:paraId="69F0BC3C" w14:textId="661056A5" w:rsidR="00D042BF" w:rsidRPr="00956089" w:rsidRDefault="006564A4">
            <w:pPr>
              <w:pStyle w:val="TableText0"/>
              <w:jc w:val="center"/>
              <w:rPr>
                <w:highlight w:val="darkGray"/>
              </w:rPr>
            </w:pPr>
            <w:r w:rsidRPr="00333A5F">
              <w:rPr>
                <w:color w:val="000000"/>
                <w:spacing w:val="44"/>
                <w:fitText w:val="216" w:id="-629520880"/>
                <w14:textFill>
                  <w14:solidFill>
                    <w14:srgbClr w14:val="000000">
                      <w14:alpha w14:val="100000"/>
                    </w14:srgbClr>
                  </w14:solidFill>
                </w14:textFill>
              </w:rPr>
              <w:t>||</w:t>
            </w:r>
            <w:r w:rsidRPr="00333A5F">
              <w:rPr>
                <w:color w:val="000000"/>
                <w:spacing w:val="1"/>
                <w:fitText w:val="216" w:id="-629520880"/>
                <w14:textFill>
                  <w14:solidFill>
                    <w14:srgbClr w14:val="000000">
                      <w14:alpha w14:val="100000"/>
                    </w14:srgbClr>
                  </w14:solidFill>
                </w14:textFill>
              </w:rPr>
              <w:t>|</w:t>
            </w:r>
          </w:p>
        </w:tc>
        <w:tc>
          <w:tcPr>
            <w:tcW w:w="323" w:type="pct"/>
            <w:vAlign w:val="center"/>
          </w:tcPr>
          <w:p w14:paraId="53722F79" w14:textId="77777777" w:rsidR="00D042BF" w:rsidRPr="00F60921" w:rsidRDefault="00D042BF">
            <w:pPr>
              <w:pStyle w:val="TableText0"/>
              <w:jc w:val="center"/>
            </w:pPr>
            <w:r w:rsidRPr="00F60921">
              <w:t>0.0090</w:t>
            </w:r>
          </w:p>
        </w:tc>
        <w:tc>
          <w:tcPr>
            <w:tcW w:w="405" w:type="pct"/>
            <w:vAlign w:val="center"/>
          </w:tcPr>
          <w:p w14:paraId="5E942174" w14:textId="5E563D44" w:rsidR="00D042BF" w:rsidRPr="008716D6" w:rsidRDefault="006564A4">
            <w:pPr>
              <w:pStyle w:val="TableText0"/>
              <w:jc w:val="center"/>
              <w:rPr>
                <w:highlight w:val="darkGray"/>
              </w:rPr>
            </w:pPr>
            <w:r w:rsidRPr="00333A5F">
              <w:rPr>
                <w:rFonts w:hint="eastAsia"/>
                <w:color w:val="000000"/>
                <w:w w:val="29"/>
                <w:shd w:val="solid" w:color="000000" w:fill="000000"/>
                <w:fitText w:val="132" w:id="-629520896"/>
                <w14:textFill>
                  <w14:solidFill>
                    <w14:srgbClr w14:val="000000">
                      <w14:alpha w14:val="100000"/>
                    </w14:srgbClr>
                  </w14:solidFill>
                </w14:textFill>
              </w:rPr>
              <w:t xml:space="preserve">　</w:t>
            </w:r>
            <w:r w:rsidRPr="00333A5F">
              <w:rPr>
                <w:color w:val="000000"/>
                <w:w w:val="29"/>
                <w:shd w:val="solid" w:color="000000" w:fill="000000"/>
                <w:fitText w:val="132" w:id="-629520896"/>
                <w14:textFill>
                  <w14:solidFill>
                    <w14:srgbClr w14:val="000000">
                      <w14:alpha w14:val="100000"/>
                    </w14:srgbClr>
                  </w14:solidFill>
                </w14:textFill>
              </w:rPr>
              <w:t>|</w:t>
            </w:r>
            <w:r w:rsidRPr="00333A5F">
              <w:rPr>
                <w:rFonts w:hint="eastAsia"/>
                <w:color w:val="000000"/>
                <w:w w:val="29"/>
                <w:shd w:val="solid" w:color="000000" w:fill="000000"/>
                <w:fitText w:val="132" w:id="-629520896"/>
                <w14:textFill>
                  <w14:solidFill>
                    <w14:srgbClr w14:val="000000">
                      <w14:alpha w14:val="100000"/>
                    </w14:srgbClr>
                  </w14:solidFill>
                </w14:textFill>
              </w:rPr>
              <w:t xml:space="preserve">　</w:t>
            </w:r>
            <w:r w:rsidR="0058533B" w:rsidRPr="0058533B">
              <w:rPr>
                <w:vertAlign w:val="superscript"/>
              </w:rPr>
              <w:t>3</w:t>
            </w:r>
          </w:p>
        </w:tc>
      </w:tr>
      <w:tr w:rsidR="00D042BF" w:rsidRPr="00F60921" w14:paraId="7DDB2E69" w14:textId="77777777" w:rsidTr="006564A4">
        <w:tc>
          <w:tcPr>
            <w:tcW w:w="205" w:type="pct"/>
            <w:vMerge w:val="restart"/>
            <w:vAlign w:val="center"/>
          </w:tcPr>
          <w:p w14:paraId="2FB1C5D2" w14:textId="77777777" w:rsidR="00D042BF" w:rsidRPr="00F60921" w:rsidRDefault="00D042BF">
            <w:pPr>
              <w:pStyle w:val="TableText0"/>
              <w:jc w:val="center"/>
            </w:pPr>
            <w:r w:rsidRPr="00F60921">
              <w:t>6</w:t>
            </w:r>
          </w:p>
        </w:tc>
        <w:tc>
          <w:tcPr>
            <w:tcW w:w="657" w:type="pct"/>
            <w:vMerge w:val="restart"/>
            <w:vAlign w:val="center"/>
          </w:tcPr>
          <w:p w14:paraId="51FEE839" w14:textId="77777777" w:rsidR="00D042BF" w:rsidRPr="00F60921" w:rsidRDefault="00D042BF">
            <w:pPr>
              <w:pStyle w:val="TableText0"/>
            </w:pPr>
            <w:r w:rsidRPr="00F60921">
              <w:t>Extrapolate to 30-year time horizon</w:t>
            </w:r>
          </w:p>
        </w:tc>
        <w:tc>
          <w:tcPr>
            <w:tcW w:w="661" w:type="pct"/>
            <w:vMerge w:val="restart"/>
            <w:vAlign w:val="center"/>
          </w:tcPr>
          <w:p w14:paraId="3B1FB1DE" w14:textId="77777777" w:rsidR="00D042BF" w:rsidRPr="00F60921" w:rsidRDefault="00D042BF">
            <w:pPr>
              <w:pStyle w:val="TableText0"/>
            </w:pPr>
            <w:r>
              <w:t>S</w:t>
            </w:r>
            <w:r w:rsidRPr="00F60921">
              <w:t>eladelpar, UDCA, OCA, AE, and background health state costs</w:t>
            </w:r>
          </w:p>
        </w:tc>
        <w:tc>
          <w:tcPr>
            <w:tcW w:w="1169" w:type="pct"/>
            <w:vMerge w:val="restart"/>
            <w:vAlign w:val="center"/>
          </w:tcPr>
          <w:p w14:paraId="49F75F59" w14:textId="77777777" w:rsidR="00D042BF" w:rsidRPr="00F60921" w:rsidRDefault="00D042BF">
            <w:pPr>
              <w:pStyle w:val="TableText0"/>
            </w:pPr>
            <w:r w:rsidRPr="00F60921">
              <w:t>QALYs</w:t>
            </w:r>
          </w:p>
        </w:tc>
        <w:tc>
          <w:tcPr>
            <w:tcW w:w="354" w:type="pct"/>
            <w:vMerge w:val="restart"/>
            <w:vAlign w:val="center"/>
          </w:tcPr>
          <w:p w14:paraId="3211C109" w14:textId="77777777" w:rsidR="00D042BF" w:rsidRPr="00F60921" w:rsidRDefault="00D042BF">
            <w:pPr>
              <w:pStyle w:val="TableText0"/>
            </w:pPr>
            <w:r w:rsidRPr="00F60921">
              <w:t>30 years</w:t>
            </w:r>
          </w:p>
          <w:p w14:paraId="6E2738BA" w14:textId="77777777" w:rsidR="00D042BF" w:rsidRPr="00F60921" w:rsidRDefault="00D042BF">
            <w:pPr>
              <w:pStyle w:val="TableText0"/>
            </w:pPr>
            <w:r w:rsidRPr="00F60921">
              <w:t> </w:t>
            </w:r>
          </w:p>
        </w:tc>
        <w:tc>
          <w:tcPr>
            <w:tcW w:w="903" w:type="pct"/>
          </w:tcPr>
          <w:p w14:paraId="71B83C31" w14:textId="77777777" w:rsidR="00D042BF" w:rsidRPr="00F60921" w:rsidRDefault="00D042BF">
            <w:pPr>
              <w:pStyle w:val="TableText0"/>
            </w:pPr>
            <w:r>
              <w:t>S</w:t>
            </w:r>
            <w:r w:rsidRPr="00F60921">
              <w:t>eladelpar + UDCA vs UDCA</w:t>
            </w:r>
          </w:p>
        </w:tc>
        <w:tc>
          <w:tcPr>
            <w:tcW w:w="323" w:type="pct"/>
            <w:tcBorders>
              <w:bottom w:val="single" w:sz="4" w:space="0" w:color="auto"/>
            </w:tcBorders>
            <w:shd w:val="solid" w:color="000000" w:fill="000000"/>
            <w:vAlign w:val="center"/>
          </w:tcPr>
          <w:p w14:paraId="43EA111F" w14:textId="1046DACB" w:rsidR="00D042BF" w:rsidRPr="00956089" w:rsidRDefault="006564A4">
            <w:pPr>
              <w:pStyle w:val="TableText0"/>
              <w:jc w:val="center"/>
              <w:rPr>
                <w:highlight w:val="darkGray"/>
              </w:rPr>
            </w:pPr>
            <w:r w:rsidRPr="00333A5F">
              <w:rPr>
                <w:color w:val="000000"/>
                <w:spacing w:val="44"/>
                <w:fitText w:val="216" w:id="-629520895"/>
                <w14:textFill>
                  <w14:solidFill>
                    <w14:srgbClr w14:val="000000">
                      <w14:alpha w14:val="100000"/>
                    </w14:srgbClr>
                  </w14:solidFill>
                </w14:textFill>
              </w:rPr>
              <w:t>||</w:t>
            </w:r>
            <w:r w:rsidRPr="00333A5F">
              <w:rPr>
                <w:color w:val="000000"/>
                <w:spacing w:val="1"/>
                <w:fitText w:val="216" w:id="-629520895"/>
                <w14:textFill>
                  <w14:solidFill>
                    <w14:srgbClr w14:val="000000">
                      <w14:alpha w14:val="100000"/>
                    </w14:srgbClr>
                  </w14:solidFill>
                </w14:textFill>
              </w:rPr>
              <w:t>|</w:t>
            </w:r>
          </w:p>
        </w:tc>
        <w:tc>
          <w:tcPr>
            <w:tcW w:w="323" w:type="pct"/>
            <w:vAlign w:val="center"/>
          </w:tcPr>
          <w:p w14:paraId="059FACB4" w14:textId="77777777" w:rsidR="00D042BF" w:rsidRPr="00F60921" w:rsidRDefault="00D042BF">
            <w:pPr>
              <w:pStyle w:val="TableText0"/>
              <w:jc w:val="center"/>
            </w:pPr>
            <w:r w:rsidRPr="00F60921">
              <w:t>2.767</w:t>
            </w:r>
          </w:p>
        </w:tc>
        <w:tc>
          <w:tcPr>
            <w:tcW w:w="405" w:type="pct"/>
            <w:vAlign w:val="center"/>
          </w:tcPr>
          <w:p w14:paraId="59B13215" w14:textId="75176025" w:rsidR="00D042BF" w:rsidRPr="008716D6" w:rsidRDefault="006564A4">
            <w:pPr>
              <w:pStyle w:val="TableText0"/>
              <w:jc w:val="center"/>
              <w:rPr>
                <w:b/>
                <w:bCs w:val="0"/>
                <w:highlight w:val="darkGray"/>
              </w:rPr>
            </w:pPr>
            <w:r w:rsidRPr="00333A5F">
              <w:rPr>
                <w:b/>
                <w:bCs w:val="0"/>
                <w:color w:val="000000"/>
                <w:spacing w:val="64"/>
                <w:shd w:val="solid" w:color="000000" w:fill="000000"/>
                <w:fitText w:val="156" w:id="-629520894"/>
                <w14:textFill>
                  <w14:solidFill>
                    <w14:srgbClr w14:val="000000">
                      <w14:alpha w14:val="100000"/>
                    </w14:srgbClr>
                  </w14:solidFill>
                </w14:textFill>
              </w:rPr>
              <w:t>|</w:t>
            </w:r>
            <w:r w:rsidRPr="00333A5F">
              <w:rPr>
                <w:b/>
                <w:bCs w:val="0"/>
                <w:color w:val="000000"/>
                <w:shd w:val="solid" w:color="000000" w:fill="000000"/>
                <w:fitText w:val="156" w:id="-629520894"/>
                <w14:textFill>
                  <w14:solidFill>
                    <w14:srgbClr w14:val="000000">
                      <w14:alpha w14:val="100000"/>
                    </w14:srgbClr>
                  </w14:solidFill>
                </w14:textFill>
              </w:rPr>
              <w:t>|</w:t>
            </w:r>
            <w:r w:rsidR="008716D6" w:rsidRPr="008716D6">
              <w:rPr>
                <w:vertAlign w:val="superscript"/>
              </w:rPr>
              <w:t>1</w:t>
            </w:r>
          </w:p>
        </w:tc>
      </w:tr>
      <w:tr w:rsidR="00D042BF" w:rsidRPr="00F60921" w14:paraId="62EDFB3D" w14:textId="77777777" w:rsidTr="006564A4">
        <w:tc>
          <w:tcPr>
            <w:tcW w:w="205" w:type="pct"/>
            <w:vMerge/>
          </w:tcPr>
          <w:p w14:paraId="5C9069BB" w14:textId="77777777" w:rsidR="00D042BF" w:rsidRPr="00F60921" w:rsidRDefault="00D042BF">
            <w:pPr>
              <w:pStyle w:val="TableText0"/>
            </w:pPr>
          </w:p>
        </w:tc>
        <w:tc>
          <w:tcPr>
            <w:tcW w:w="657" w:type="pct"/>
            <w:vMerge/>
          </w:tcPr>
          <w:p w14:paraId="2B3500E1" w14:textId="77777777" w:rsidR="00D042BF" w:rsidRPr="00F60921" w:rsidRDefault="00D042BF">
            <w:pPr>
              <w:pStyle w:val="TableText0"/>
            </w:pPr>
          </w:p>
        </w:tc>
        <w:tc>
          <w:tcPr>
            <w:tcW w:w="661" w:type="pct"/>
            <w:vMerge/>
          </w:tcPr>
          <w:p w14:paraId="2B6F7854" w14:textId="77777777" w:rsidR="00D042BF" w:rsidRPr="00F60921" w:rsidRDefault="00D042BF">
            <w:pPr>
              <w:pStyle w:val="TableText0"/>
            </w:pPr>
          </w:p>
        </w:tc>
        <w:tc>
          <w:tcPr>
            <w:tcW w:w="1169" w:type="pct"/>
            <w:vMerge/>
          </w:tcPr>
          <w:p w14:paraId="6E67F805" w14:textId="77777777" w:rsidR="00D042BF" w:rsidRPr="00F60921" w:rsidRDefault="00D042BF">
            <w:pPr>
              <w:pStyle w:val="TableText0"/>
            </w:pPr>
          </w:p>
        </w:tc>
        <w:tc>
          <w:tcPr>
            <w:tcW w:w="354" w:type="pct"/>
            <w:vMerge/>
          </w:tcPr>
          <w:p w14:paraId="25A2B8ED" w14:textId="77777777" w:rsidR="00D042BF" w:rsidRPr="00F60921" w:rsidRDefault="00D042BF">
            <w:pPr>
              <w:pStyle w:val="TableText0"/>
            </w:pPr>
          </w:p>
        </w:tc>
        <w:tc>
          <w:tcPr>
            <w:tcW w:w="903" w:type="pct"/>
          </w:tcPr>
          <w:p w14:paraId="6E9D1F28" w14:textId="77777777" w:rsidR="00D042BF" w:rsidRPr="00F60921" w:rsidRDefault="00D042BF">
            <w:pPr>
              <w:pStyle w:val="TableText0"/>
            </w:pPr>
            <w:r>
              <w:t>S</w:t>
            </w:r>
            <w:r w:rsidRPr="00F60921">
              <w:t>eladelpar + UDCA vs OCA + UDCA</w:t>
            </w:r>
          </w:p>
        </w:tc>
        <w:tc>
          <w:tcPr>
            <w:tcW w:w="323" w:type="pct"/>
            <w:tcBorders>
              <w:bottom w:val="single" w:sz="4" w:space="0" w:color="auto"/>
            </w:tcBorders>
            <w:shd w:val="solid" w:color="000000" w:fill="000000"/>
            <w:vAlign w:val="center"/>
          </w:tcPr>
          <w:p w14:paraId="1CC1312D" w14:textId="43BCD75A" w:rsidR="00D042BF" w:rsidRPr="00956089" w:rsidRDefault="006564A4">
            <w:pPr>
              <w:pStyle w:val="TableText0"/>
              <w:jc w:val="center"/>
              <w:rPr>
                <w:highlight w:val="darkGray"/>
              </w:rPr>
            </w:pPr>
            <w:r w:rsidRPr="00333A5F">
              <w:rPr>
                <w:color w:val="000000"/>
                <w:spacing w:val="44"/>
                <w:fitText w:val="216" w:id="-629520893"/>
                <w14:textFill>
                  <w14:solidFill>
                    <w14:srgbClr w14:val="000000">
                      <w14:alpha w14:val="100000"/>
                    </w14:srgbClr>
                  </w14:solidFill>
                </w14:textFill>
              </w:rPr>
              <w:t>||</w:t>
            </w:r>
            <w:r w:rsidRPr="00333A5F">
              <w:rPr>
                <w:color w:val="000000"/>
                <w:spacing w:val="1"/>
                <w:fitText w:val="216" w:id="-629520893"/>
                <w14:textFill>
                  <w14:solidFill>
                    <w14:srgbClr w14:val="000000">
                      <w14:alpha w14:val="100000"/>
                    </w14:srgbClr>
                  </w14:solidFill>
                </w14:textFill>
              </w:rPr>
              <w:t>|</w:t>
            </w:r>
          </w:p>
        </w:tc>
        <w:tc>
          <w:tcPr>
            <w:tcW w:w="323" w:type="pct"/>
            <w:vAlign w:val="center"/>
          </w:tcPr>
          <w:p w14:paraId="3A8857B3" w14:textId="77777777" w:rsidR="00D042BF" w:rsidRPr="00F60921" w:rsidRDefault="00D042BF">
            <w:pPr>
              <w:pStyle w:val="TableText0"/>
              <w:jc w:val="center"/>
            </w:pPr>
            <w:r w:rsidRPr="00F60921">
              <w:t>0.327</w:t>
            </w:r>
          </w:p>
        </w:tc>
        <w:tc>
          <w:tcPr>
            <w:tcW w:w="405" w:type="pct"/>
            <w:vAlign w:val="center"/>
          </w:tcPr>
          <w:p w14:paraId="1B994B64" w14:textId="73983BCF" w:rsidR="00D042BF" w:rsidRPr="008716D6" w:rsidRDefault="006564A4">
            <w:pPr>
              <w:pStyle w:val="TableText0"/>
              <w:jc w:val="center"/>
              <w:rPr>
                <w:b/>
                <w:bCs w:val="0"/>
                <w:highlight w:val="darkGray"/>
              </w:rPr>
            </w:pPr>
            <w:r w:rsidRPr="00333A5F">
              <w:rPr>
                <w:b/>
                <w:bCs w:val="0"/>
                <w:color w:val="000000"/>
                <w:spacing w:val="64"/>
                <w:shd w:val="solid" w:color="000000" w:fill="000000"/>
                <w:fitText w:val="156" w:id="-629520892"/>
                <w14:textFill>
                  <w14:solidFill>
                    <w14:srgbClr w14:val="000000">
                      <w14:alpha w14:val="100000"/>
                    </w14:srgbClr>
                  </w14:solidFill>
                </w14:textFill>
              </w:rPr>
              <w:t>|</w:t>
            </w:r>
            <w:r w:rsidRPr="00333A5F">
              <w:rPr>
                <w:b/>
                <w:bCs w:val="0"/>
                <w:color w:val="000000"/>
                <w:shd w:val="solid" w:color="000000" w:fill="000000"/>
                <w:fitText w:val="156" w:id="-629520892"/>
                <w14:textFill>
                  <w14:solidFill>
                    <w14:srgbClr w14:val="000000">
                      <w14:alpha w14:val="100000"/>
                    </w14:srgbClr>
                  </w14:solidFill>
                </w14:textFill>
              </w:rPr>
              <w:t>|</w:t>
            </w:r>
            <w:r w:rsidR="00F873D9" w:rsidRPr="00F873D9">
              <w:rPr>
                <w:b/>
                <w:bCs w:val="0"/>
                <w:vertAlign w:val="superscript"/>
              </w:rPr>
              <w:t>5</w:t>
            </w:r>
          </w:p>
        </w:tc>
      </w:tr>
      <w:tr w:rsidR="00D042BF" w:rsidRPr="00F60921" w14:paraId="41865E38" w14:textId="77777777" w:rsidTr="006564A4">
        <w:tc>
          <w:tcPr>
            <w:tcW w:w="205" w:type="pct"/>
            <w:vMerge/>
          </w:tcPr>
          <w:p w14:paraId="5ECC510A" w14:textId="77777777" w:rsidR="00D042BF" w:rsidRPr="00F60921" w:rsidRDefault="00D042BF">
            <w:pPr>
              <w:pStyle w:val="TableText0"/>
            </w:pPr>
          </w:p>
        </w:tc>
        <w:tc>
          <w:tcPr>
            <w:tcW w:w="657" w:type="pct"/>
            <w:vMerge/>
          </w:tcPr>
          <w:p w14:paraId="5F4DCC77" w14:textId="77777777" w:rsidR="00D042BF" w:rsidRPr="00F60921" w:rsidRDefault="00D042BF">
            <w:pPr>
              <w:pStyle w:val="TableText0"/>
            </w:pPr>
          </w:p>
        </w:tc>
        <w:tc>
          <w:tcPr>
            <w:tcW w:w="661" w:type="pct"/>
            <w:vMerge/>
          </w:tcPr>
          <w:p w14:paraId="46A9D748" w14:textId="77777777" w:rsidR="00D042BF" w:rsidRPr="00F60921" w:rsidRDefault="00D042BF">
            <w:pPr>
              <w:pStyle w:val="TableText0"/>
            </w:pPr>
          </w:p>
        </w:tc>
        <w:tc>
          <w:tcPr>
            <w:tcW w:w="1169" w:type="pct"/>
            <w:vMerge/>
          </w:tcPr>
          <w:p w14:paraId="7CB4CE21" w14:textId="77777777" w:rsidR="00D042BF" w:rsidRPr="00F60921" w:rsidRDefault="00D042BF">
            <w:pPr>
              <w:pStyle w:val="TableText0"/>
            </w:pPr>
          </w:p>
        </w:tc>
        <w:tc>
          <w:tcPr>
            <w:tcW w:w="354" w:type="pct"/>
            <w:vMerge/>
          </w:tcPr>
          <w:p w14:paraId="3F54B42F" w14:textId="77777777" w:rsidR="00D042BF" w:rsidRPr="00F60921" w:rsidRDefault="00D042BF">
            <w:pPr>
              <w:pStyle w:val="TableText0"/>
            </w:pPr>
          </w:p>
        </w:tc>
        <w:tc>
          <w:tcPr>
            <w:tcW w:w="903" w:type="pct"/>
          </w:tcPr>
          <w:p w14:paraId="2F915401" w14:textId="77777777" w:rsidR="00D042BF" w:rsidRPr="00F60921" w:rsidRDefault="00D042BF">
            <w:pPr>
              <w:pStyle w:val="TableText0"/>
            </w:pPr>
            <w:r>
              <w:t>S</w:t>
            </w:r>
            <w:r w:rsidRPr="00F60921">
              <w:t>eladelpar vs BSC</w:t>
            </w:r>
          </w:p>
        </w:tc>
        <w:tc>
          <w:tcPr>
            <w:tcW w:w="323" w:type="pct"/>
            <w:tcBorders>
              <w:bottom w:val="single" w:sz="4" w:space="0" w:color="auto"/>
            </w:tcBorders>
            <w:shd w:val="solid" w:color="000000" w:fill="000000"/>
            <w:vAlign w:val="center"/>
          </w:tcPr>
          <w:p w14:paraId="75507789" w14:textId="5B826BE2" w:rsidR="00D042BF" w:rsidRPr="00956089" w:rsidRDefault="006564A4">
            <w:pPr>
              <w:pStyle w:val="TableText0"/>
              <w:jc w:val="center"/>
              <w:rPr>
                <w:highlight w:val="darkGray"/>
              </w:rPr>
            </w:pPr>
            <w:r w:rsidRPr="00333A5F">
              <w:rPr>
                <w:color w:val="000000"/>
                <w:spacing w:val="44"/>
                <w:fitText w:val="216" w:id="-629520891"/>
                <w14:textFill>
                  <w14:solidFill>
                    <w14:srgbClr w14:val="000000">
                      <w14:alpha w14:val="100000"/>
                    </w14:srgbClr>
                  </w14:solidFill>
                </w14:textFill>
              </w:rPr>
              <w:t>||</w:t>
            </w:r>
            <w:r w:rsidRPr="00333A5F">
              <w:rPr>
                <w:color w:val="000000"/>
                <w:spacing w:val="1"/>
                <w:fitText w:val="216" w:id="-629520891"/>
                <w14:textFill>
                  <w14:solidFill>
                    <w14:srgbClr w14:val="000000">
                      <w14:alpha w14:val="100000"/>
                    </w14:srgbClr>
                  </w14:solidFill>
                </w14:textFill>
              </w:rPr>
              <w:t>|</w:t>
            </w:r>
          </w:p>
        </w:tc>
        <w:tc>
          <w:tcPr>
            <w:tcW w:w="323" w:type="pct"/>
            <w:vAlign w:val="center"/>
          </w:tcPr>
          <w:p w14:paraId="2B06C66C" w14:textId="77777777" w:rsidR="00D042BF" w:rsidRPr="00F60921" w:rsidRDefault="00D042BF">
            <w:pPr>
              <w:pStyle w:val="TableText0"/>
              <w:jc w:val="center"/>
            </w:pPr>
            <w:r w:rsidRPr="00F60921">
              <w:t>2.984</w:t>
            </w:r>
          </w:p>
        </w:tc>
        <w:tc>
          <w:tcPr>
            <w:tcW w:w="405" w:type="pct"/>
            <w:vAlign w:val="center"/>
          </w:tcPr>
          <w:p w14:paraId="3DF6D641" w14:textId="7F69D5E3" w:rsidR="00D042BF" w:rsidRPr="008716D6" w:rsidRDefault="006564A4">
            <w:pPr>
              <w:pStyle w:val="TableText0"/>
              <w:jc w:val="center"/>
              <w:rPr>
                <w:b/>
                <w:bCs w:val="0"/>
                <w:highlight w:val="darkGray"/>
              </w:rPr>
            </w:pPr>
            <w:r w:rsidRPr="00333A5F">
              <w:rPr>
                <w:b/>
                <w:bCs w:val="0"/>
                <w:color w:val="000000"/>
                <w:spacing w:val="64"/>
                <w:shd w:val="solid" w:color="000000" w:fill="000000"/>
                <w:fitText w:val="156" w:id="-629520890"/>
                <w14:textFill>
                  <w14:solidFill>
                    <w14:srgbClr w14:val="000000">
                      <w14:alpha w14:val="100000"/>
                    </w14:srgbClr>
                  </w14:solidFill>
                </w14:textFill>
              </w:rPr>
              <w:t>|</w:t>
            </w:r>
            <w:r w:rsidRPr="00333A5F">
              <w:rPr>
                <w:b/>
                <w:bCs w:val="0"/>
                <w:color w:val="000000"/>
                <w:shd w:val="solid" w:color="000000" w:fill="000000"/>
                <w:fitText w:val="156" w:id="-629520890"/>
                <w14:textFill>
                  <w14:solidFill>
                    <w14:srgbClr w14:val="000000">
                      <w14:alpha w14:val="100000"/>
                    </w14:srgbClr>
                  </w14:solidFill>
                </w14:textFill>
              </w:rPr>
              <w:t>|</w:t>
            </w:r>
            <w:r w:rsidR="008716D6" w:rsidRPr="008716D6">
              <w:rPr>
                <w:vertAlign w:val="superscript"/>
              </w:rPr>
              <w:t>1</w:t>
            </w:r>
          </w:p>
        </w:tc>
      </w:tr>
      <w:tr w:rsidR="00D042BF" w:rsidRPr="00F60921" w14:paraId="59D1F880" w14:textId="77777777" w:rsidTr="006564A4">
        <w:tc>
          <w:tcPr>
            <w:tcW w:w="205" w:type="pct"/>
            <w:vMerge/>
          </w:tcPr>
          <w:p w14:paraId="5AD965AE" w14:textId="77777777" w:rsidR="00D042BF" w:rsidRPr="00F60921" w:rsidRDefault="00D042BF">
            <w:pPr>
              <w:pStyle w:val="TableText0"/>
            </w:pPr>
          </w:p>
        </w:tc>
        <w:tc>
          <w:tcPr>
            <w:tcW w:w="657" w:type="pct"/>
            <w:vMerge/>
          </w:tcPr>
          <w:p w14:paraId="611EAE28" w14:textId="77777777" w:rsidR="00D042BF" w:rsidRPr="00F60921" w:rsidRDefault="00D042BF">
            <w:pPr>
              <w:pStyle w:val="TableText0"/>
            </w:pPr>
          </w:p>
        </w:tc>
        <w:tc>
          <w:tcPr>
            <w:tcW w:w="661" w:type="pct"/>
            <w:vMerge/>
          </w:tcPr>
          <w:p w14:paraId="710C2E96" w14:textId="77777777" w:rsidR="00D042BF" w:rsidRPr="00F60921" w:rsidRDefault="00D042BF">
            <w:pPr>
              <w:pStyle w:val="TableText0"/>
            </w:pPr>
          </w:p>
        </w:tc>
        <w:tc>
          <w:tcPr>
            <w:tcW w:w="1169" w:type="pct"/>
            <w:vMerge/>
          </w:tcPr>
          <w:p w14:paraId="7B642C92" w14:textId="77777777" w:rsidR="00D042BF" w:rsidRPr="00F60921" w:rsidRDefault="00D042BF">
            <w:pPr>
              <w:pStyle w:val="TableText0"/>
            </w:pPr>
          </w:p>
        </w:tc>
        <w:tc>
          <w:tcPr>
            <w:tcW w:w="354" w:type="pct"/>
            <w:vMerge/>
          </w:tcPr>
          <w:p w14:paraId="4D0ED573" w14:textId="77777777" w:rsidR="00D042BF" w:rsidRPr="00F60921" w:rsidRDefault="00D042BF">
            <w:pPr>
              <w:pStyle w:val="TableText0"/>
            </w:pPr>
          </w:p>
        </w:tc>
        <w:tc>
          <w:tcPr>
            <w:tcW w:w="903" w:type="pct"/>
          </w:tcPr>
          <w:p w14:paraId="4D1F72B8" w14:textId="77777777" w:rsidR="00D042BF" w:rsidRPr="00F60921" w:rsidRDefault="00D042BF">
            <w:pPr>
              <w:pStyle w:val="TableText0"/>
            </w:pPr>
            <w:r>
              <w:t>S</w:t>
            </w:r>
            <w:r w:rsidRPr="00F60921">
              <w:t>eladelpar vs OCA</w:t>
            </w:r>
          </w:p>
        </w:tc>
        <w:tc>
          <w:tcPr>
            <w:tcW w:w="323" w:type="pct"/>
            <w:shd w:val="solid" w:color="000000" w:fill="000000"/>
            <w:vAlign w:val="center"/>
          </w:tcPr>
          <w:p w14:paraId="4A80E3CB" w14:textId="3AE50AF5" w:rsidR="00D042BF" w:rsidRPr="00956089" w:rsidRDefault="006564A4">
            <w:pPr>
              <w:pStyle w:val="TableText0"/>
              <w:jc w:val="center"/>
              <w:rPr>
                <w:highlight w:val="darkGray"/>
              </w:rPr>
            </w:pPr>
            <w:r w:rsidRPr="00333A5F">
              <w:rPr>
                <w:color w:val="000000"/>
                <w:spacing w:val="44"/>
                <w:fitText w:val="216" w:id="-629520889"/>
                <w14:textFill>
                  <w14:solidFill>
                    <w14:srgbClr w14:val="000000">
                      <w14:alpha w14:val="100000"/>
                    </w14:srgbClr>
                  </w14:solidFill>
                </w14:textFill>
              </w:rPr>
              <w:t>||</w:t>
            </w:r>
            <w:r w:rsidRPr="00333A5F">
              <w:rPr>
                <w:color w:val="000000"/>
                <w:spacing w:val="1"/>
                <w:fitText w:val="216" w:id="-629520889"/>
                <w14:textFill>
                  <w14:solidFill>
                    <w14:srgbClr w14:val="000000">
                      <w14:alpha w14:val="100000"/>
                    </w14:srgbClr>
                  </w14:solidFill>
                </w14:textFill>
              </w:rPr>
              <w:t>|</w:t>
            </w:r>
          </w:p>
        </w:tc>
        <w:tc>
          <w:tcPr>
            <w:tcW w:w="323" w:type="pct"/>
            <w:vAlign w:val="center"/>
          </w:tcPr>
          <w:p w14:paraId="4DAFD29D" w14:textId="77777777" w:rsidR="00D042BF" w:rsidRPr="00F60921" w:rsidRDefault="00D042BF">
            <w:pPr>
              <w:pStyle w:val="TableText0"/>
              <w:jc w:val="center"/>
            </w:pPr>
            <w:r w:rsidRPr="00F60921">
              <w:t>0.339</w:t>
            </w:r>
          </w:p>
        </w:tc>
        <w:tc>
          <w:tcPr>
            <w:tcW w:w="405" w:type="pct"/>
            <w:vAlign w:val="center"/>
          </w:tcPr>
          <w:p w14:paraId="6D2FB224" w14:textId="5BF0627F" w:rsidR="00D042BF" w:rsidRPr="008716D6" w:rsidRDefault="006564A4">
            <w:pPr>
              <w:pStyle w:val="TableText0"/>
              <w:jc w:val="center"/>
              <w:rPr>
                <w:b/>
                <w:bCs w:val="0"/>
                <w:highlight w:val="darkGray"/>
              </w:rPr>
            </w:pPr>
            <w:r w:rsidRPr="00333A5F">
              <w:rPr>
                <w:b/>
                <w:bCs w:val="0"/>
                <w:color w:val="000000"/>
                <w:spacing w:val="64"/>
                <w:shd w:val="solid" w:color="000000" w:fill="000000"/>
                <w:fitText w:val="156" w:id="-629520888"/>
                <w14:textFill>
                  <w14:solidFill>
                    <w14:srgbClr w14:val="000000">
                      <w14:alpha w14:val="100000"/>
                    </w14:srgbClr>
                  </w14:solidFill>
                </w14:textFill>
              </w:rPr>
              <w:t>|</w:t>
            </w:r>
            <w:r w:rsidRPr="00333A5F">
              <w:rPr>
                <w:b/>
                <w:bCs w:val="0"/>
                <w:color w:val="000000"/>
                <w:shd w:val="solid" w:color="000000" w:fill="000000"/>
                <w:fitText w:val="156" w:id="-629520888"/>
                <w14:textFill>
                  <w14:solidFill>
                    <w14:srgbClr w14:val="000000">
                      <w14:alpha w14:val="100000"/>
                    </w14:srgbClr>
                  </w14:solidFill>
                </w14:textFill>
              </w:rPr>
              <w:t>|</w:t>
            </w:r>
            <w:r w:rsidR="00542CCC" w:rsidRPr="00F873D9">
              <w:rPr>
                <w:b/>
                <w:bCs w:val="0"/>
                <w:vertAlign w:val="superscript"/>
              </w:rPr>
              <w:t>5</w:t>
            </w:r>
          </w:p>
        </w:tc>
      </w:tr>
    </w:tbl>
    <w:p w14:paraId="67373637" w14:textId="77777777" w:rsidR="00D042BF" w:rsidRPr="00F60921" w:rsidRDefault="00D042BF" w:rsidP="00D042BF">
      <w:pPr>
        <w:pStyle w:val="TableFigureFooter"/>
        <w:rPr>
          <w:sz w:val="20"/>
        </w:rPr>
      </w:pPr>
      <w:r w:rsidRPr="00F60921">
        <w:t>Source: Table 116, p220 of the submission.</w:t>
      </w:r>
    </w:p>
    <w:p w14:paraId="706F35DE" w14:textId="77777777" w:rsidR="008716D6" w:rsidRDefault="00D042BF" w:rsidP="008716D6">
      <w:pPr>
        <w:pStyle w:val="TableFigureFooter"/>
      </w:pPr>
      <w:r w:rsidRPr="00F60921">
        <w:t>AE</w:t>
      </w:r>
      <w:r>
        <w:t xml:space="preserve"> = </w:t>
      </w:r>
      <w:r w:rsidRPr="00F60921">
        <w:t>adverse event; ALP</w:t>
      </w:r>
      <w:r>
        <w:t xml:space="preserve"> = </w:t>
      </w:r>
      <w:r w:rsidRPr="00F60921">
        <w:t>alkaline phosphatase; BSC</w:t>
      </w:r>
      <w:r>
        <w:t xml:space="preserve"> = </w:t>
      </w:r>
      <w:r w:rsidRPr="00F60921">
        <w:t>best supportive care; ICER</w:t>
      </w:r>
      <w:r>
        <w:t xml:space="preserve"> = </w:t>
      </w:r>
      <w:r w:rsidRPr="00F60921">
        <w:t>incremental cost-effectiveness ratio; incr.</w:t>
      </w:r>
      <w:r>
        <w:t xml:space="preserve"> = </w:t>
      </w:r>
      <w:r w:rsidRPr="00F60921">
        <w:t>incremental; OCA</w:t>
      </w:r>
      <w:r>
        <w:t xml:space="preserve"> = </w:t>
      </w:r>
      <w:r w:rsidRPr="00F60921">
        <w:t>obeticholic acid; QALYs</w:t>
      </w:r>
      <w:r>
        <w:t xml:space="preserve"> = </w:t>
      </w:r>
      <w:r w:rsidRPr="00F60921">
        <w:t>quality-adjusted life-years; UDCA</w:t>
      </w:r>
      <w:r>
        <w:t xml:space="preserve"> = </w:t>
      </w:r>
      <w:r w:rsidRPr="00F60921">
        <w:t>ursodeoxycholic acid.</w:t>
      </w:r>
      <w:r w:rsidR="008716D6" w:rsidRPr="008716D6">
        <w:t xml:space="preserve"> </w:t>
      </w:r>
    </w:p>
    <w:p w14:paraId="7D5B6219" w14:textId="044F5D7A" w:rsidR="008716D6" w:rsidRPr="00632E32" w:rsidRDefault="008716D6" w:rsidP="008716D6">
      <w:pPr>
        <w:pStyle w:val="TableFigureFooter"/>
        <w:rPr>
          <w:i/>
          <w:iCs/>
        </w:rPr>
      </w:pPr>
      <w:r w:rsidRPr="00632E32">
        <w:rPr>
          <w:i/>
          <w:iCs/>
        </w:rPr>
        <w:t>The redacted values correspond to the following ranges:</w:t>
      </w:r>
    </w:p>
    <w:p w14:paraId="35CF50AB" w14:textId="77777777" w:rsidR="008716D6" w:rsidRPr="00632E32" w:rsidRDefault="008716D6" w:rsidP="008716D6">
      <w:pPr>
        <w:pStyle w:val="TableFigureFooter"/>
        <w:rPr>
          <w:i/>
          <w:iCs/>
        </w:rPr>
      </w:pPr>
      <w:r w:rsidRPr="00632E32">
        <w:rPr>
          <w:i/>
          <w:iCs/>
          <w:vertAlign w:val="superscript"/>
        </w:rPr>
        <w:t>1</w:t>
      </w:r>
      <w:r w:rsidRPr="00632E32">
        <w:rPr>
          <w:i/>
          <w:iCs/>
        </w:rPr>
        <w:t xml:space="preserve"> $155,000 to &lt; $255,000 </w:t>
      </w:r>
    </w:p>
    <w:p w14:paraId="0A8502A8" w14:textId="77777777" w:rsidR="00B93EA4" w:rsidRPr="00632E32" w:rsidRDefault="008716D6" w:rsidP="008716D6">
      <w:pPr>
        <w:pStyle w:val="TableFigureFooter"/>
        <w:rPr>
          <w:i/>
          <w:iCs/>
        </w:rPr>
      </w:pPr>
      <w:r w:rsidRPr="00632E32">
        <w:rPr>
          <w:i/>
          <w:iCs/>
          <w:vertAlign w:val="superscript"/>
        </w:rPr>
        <w:t>2</w:t>
      </w:r>
      <w:r w:rsidRPr="00632E32">
        <w:rPr>
          <w:i/>
          <w:iCs/>
        </w:rPr>
        <w:t xml:space="preserve"> </w:t>
      </w:r>
      <w:r w:rsidR="007B235E" w:rsidRPr="00632E32">
        <w:rPr>
          <w:i/>
          <w:iCs/>
        </w:rPr>
        <w:t xml:space="preserve">$55,000 to &lt; $75,000 </w:t>
      </w:r>
    </w:p>
    <w:p w14:paraId="5394171C" w14:textId="77777777" w:rsidR="007E46B2" w:rsidRPr="00632E32" w:rsidRDefault="00B93EA4" w:rsidP="008716D6">
      <w:pPr>
        <w:pStyle w:val="TableFigureFooter"/>
        <w:rPr>
          <w:i/>
          <w:iCs/>
        </w:rPr>
      </w:pPr>
      <w:r w:rsidRPr="00632E32">
        <w:rPr>
          <w:i/>
          <w:iCs/>
          <w:vertAlign w:val="superscript"/>
        </w:rPr>
        <w:t>3</w:t>
      </w:r>
      <w:r w:rsidRPr="00632E32">
        <w:rPr>
          <w:i/>
          <w:iCs/>
        </w:rPr>
        <w:t xml:space="preserve"> &gt; $1,055,000</w:t>
      </w:r>
      <w:r w:rsidR="007E46B2" w:rsidRPr="00632E32">
        <w:rPr>
          <w:i/>
          <w:iCs/>
        </w:rPr>
        <w:t xml:space="preserve"> </w:t>
      </w:r>
    </w:p>
    <w:p w14:paraId="71EBCA2C" w14:textId="632312C6" w:rsidR="007B235E" w:rsidRPr="00632E32" w:rsidRDefault="007E46B2" w:rsidP="008716D6">
      <w:pPr>
        <w:pStyle w:val="TableFigureFooter"/>
        <w:rPr>
          <w:i/>
          <w:iCs/>
        </w:rPr>
      </w:pPr>
      <w:r w:rsidRPr="00632E32">
        <w:rPr>
          <w:i/>
          <w:iCs/>
          <w:vertAlign w:val="superscript"/>
        </w:rPr>
        <w:t>4</w:t>
      </w:r>
      <w:r w:rsidRPr="00632E32">
        <w:rPr>
          <w:i/>
          <w:iCs/>
        </w:rPr>
        <w:t xml:space="preserve"> $255,000 to &lt; $355,000</w:t>
      </w:r>
    </w:p>
    <w:p w14:paraId="6D568610" w14:textId="7B09ADF9" w:rsidR="008716D6" w:rsidRPr="00632E32" w:rsidRDefault="000171F5" w:rsidP="008716D6">
      <w:pPr>
        <w:pStyle w:val="TableFigureFooter"/>
        <w:rPr>
          <w:i/>
          <w:iCs/>
        </w:rPr>
      </w:pPr>
      <w:r w:rsidRPr="00632E32">
        <w:rPr>
          <w:i/>
          <w:iCs/>
          <w:vertAlign w:val="superscript"/>
        </w:rPr>
        <w:t>5</w:t>
      </w:r>
      <w:r w:rsidRPr="00632E32">
        <w:rPr>
          <w:i/>
          <w:iCs/>
        </w:rPr>
        <w:t xml:space="preserve"> $</w:t>
      </w:r>
      <w:r w:rsidR="008716D6" w:rsidRPr="00632E32">
        <w:rPr>
          <w:i/>
          <w:iCs/>
        </w:rPr>
        <w:t>455,000 to &lt; $555,000</w:t>
      </w:r>
    </w:p>
    <w:p w14:paraId="0DEB1A3B" w14:textId="77777777" w:rsidR="00D042BF" w:rsidRPr="004D5493" w:rsidRDefault="00D042BF" w:rsidP="00D042BF">
      <w:pPr>
        <w:sectPr w:rsidR="00D042BF" w:rsidRPr="004D5493" w:rsidSect="00D042BF">
          <w:pgSz w:w="16840" w:h="11907" w:orient="landscape" w:code="9"/>
          <w:pgMar w:top="1440" w:right="1440" w:bottom="1440" w:left="1440" w:header="1440" w:footer="1440" w:gutter="0"/>
          <w:cols w:space="708"/>
          <w:docGrid w:linePitch="360"/>
        </w:sectPr>
      </w:pPr>
    </w:p>
    <w:p w14:paraId="11A88842" w14:textId="310C3123" w:rsidR="00D042BF" w:rsidRPr="002C13E2" w:rsidRDefault="00D042BF" w:rsidP="00D042BF">
      <w:pPr>
        <w:pStyle w:val="5-SubsectionSubheading"/>
      </w:pPr>
      <w:bookmarkStart w:id="85" w:name="_Toc198561154"/>
      <w:r>
        <w:lastRenderedPageBreak/>
        <w:t>Cost minimisation approach v</w:t>
      </w:r>
      <w:r w:rsidR="00DE0F83">
        <w:t>ersu</w:t>
      </w:r>
      <w:r>
        <w:t>s elafibranor</w:t>
      </w:r>
      <w:bookmarkEnd w:id="85"/>
    </w:p>
    <w:p w14:paraId="26976667" w14:textId="77777777" w:rsidR="0030593F" w:rsidRPr="00EB733D" w:rsidRDefault="00D042BF" w:rsidP="00D042BF">
      <w:pPr>
        <w:pStyle w:val="3-BodyText"/>
      </w:pPr>
      <w:bookmarkStart w:id="86" w:name="_Hlk197006856"/>
      <w:bookmarkStart w:id="87" w:name="_Ref197448571"/>
      <w:r w:rsidRPr="00EB733D">
        <w:t xml:space="preserve">The submission presented a cost-minimisation approach between seladelpar and elafibranor. </w:t>
      </w:r>
    </w:p>
    <w:p w14:paraId="1AAA1B10" w14:textId="19FF7C2A" w:rsidR="0030593F" w:rsidRPr="00EB733D" w:rsidRDefault="00D042BF" w:rsidP="00D042BF">
      <w:pPr>
        <w:pStyle w:val="3-BodyText"/>
      </w:pPr>
      <w:r w:rsidRPr="00EB733D">
        <w:t>The equi-effective doses were estimated as</w:t>
      </w:r>
      <w:r w:rsidR="0030593F" w:rsidRPr="00EB733D">
        <w:t xml:space="preserve">: </w:t>
      </w:r>
    </w:p>
    <w:p w14:paraId="00211027" w14:textId="2CB27687" w:rsidR="005D45CD" w:rsidRPr="00EB733D" w:rsidRDefault="00CB76D2" w:rsidP="00CB76D2">
      <w:pPr>
        <w:pStyle w:val="3-BodyText"/>
        <w:numPr>
          <w:ilvl w:val="0"/>
          <w:numId w:val="0"/>
        </w:numPr>
        <w:ind w:left="720" w:firstLine="720"/>
      </w:pPr>
      <w:r w:rsidRPr="00EB733D">
        <w:t>s</w:t>
      </w:r>
      <w:r w:rsidR="00D042BF" w:rsidRPr="00EB733D">
        <w:t>eladelpar 10</w:t>
      </w:r>
      <w:r w:rsidR="0030593F" w:rsidRPr="00EB733D">
        <w:t xml:space="preserve"> </w:t>
      </w:r>
      <w:r w:rsidR="00D042BF" w:rsidRPr="00EB733D">
        <w:t xml:space="preserve">mg </w:t>
      </w:r>
      <w:r w:rsidR="005D45CD" w:rsidRPr="00EB733D">
        <w:t xml:space="preserve">daily = </w:t>
      </w:r>
      <w:r w:rsidR="00D042BF" w:rsidRPr="00EB733D">
        <w:t xml:space="preserve">elafibranor 80 mg </w:t>
      </w:r>
      <w:r w:rsidR="005D45CD" w:rsidRPr="00EB733D">
        <w:t>daily</w:t>
      </w:r>
      <w:r w:rsidR="00D042BF" w:rsidRPr="00EB733D">
        <w:t xml:space="preserve">. </w:t>
      </w:r>
    </w:p>
    <w:p w14:paraId="09800094" w14:textId="1A00F331" w:rsidR="00D042BF" w:rsidRPr="00EB733D" w:rsidRDefault="00D042BF" w:rsidP="005D45CD">
      <w:pPr>
        <w:pStyle w:val="3-BodyText"/>
      </w:pPr>
      <w:r w:rsidRPr="00EB733D">
        <w:t xml:space="preserve">The equi-effective doses were taken from the RESPONSE trial for seladelpar (which was consistent with the draft seladelpar TGA Product Information) and the ELATIVE trial for elafibranor (consistent with the elafibranor Product Information). </w:t>
      </w:r>
      <w:bookmarkEnd w:id="86"/>
      <w:bookmarkEnd w:id="87"/>
    </w:p>
    <w:p w14:paraId="5BD100CA" w14:textId="32567699" w:rsidR="00D042BF" w:rsidRPr="00EB733D" w:rsidRDefault="00D042BF" w:rsidP="003C4C10">
      <w:pPr>
        <w:pStyle w:val="3-BodyText"/>
        <w:rPr>
          <w:color w:val="0066FF"/>
        </w:rPr>
      </w:pPr>
      <w:r w:rsidRPr="00EB733D">
        <w:t>The submission proposed that the price of seladelpar could be set so that the total daily cost of seladelpar and elafibranor is equal. The submission proposed no cost offsets for administration or adverse events (e.g. prurit</w:t>
      </w:r>
      <w:r w:rsidR="003C4C10" w:rsidRPr="00EB733D">
        <w:t>u</w:t>
      </w:r>
      <w:r w:rsidRPr="00EB733D">
        <w:t xml:space="preserve">s). </w:t>
      </w:r>
    </w:p>
    <w:p w14:paraId="38BE3DE5" w14:textId="617A4490" w:rsidR="001458AE" w:rsidRDefault="001458AE" w:rsidP="001458AE">
      <w:pPr>
        <w:pStyle w:val="4-SubsectionHeading"/>
        <w:rPr>
          <w:lang w:eastAsia="en-AU"/>
        </w:rPr>
      </w:pPr>
      <w:bookmarkStart w:id="88" w:name="_Toc198561155"/>
      <w:r w:rsidRPr="002C2775">
        <w:rPr>
          <w:lang w:eastAsia="en-AU"/>
        </w:rPr>
        <w:t>Drug cost/patient/</w:t>
      </w:r>
      <w:r w:rsidR="003C4C10">
        <w:rPr>
          <w:lang w:eastAsia="en-AU"/>
        </w:rPr>
        <w:t>y</w:t>
      </w:r>
      <w:r w:rsidRPr="002C2775">
        <w:rPr>
          <w:lang w:eastAsia="en-AU"/>
        </w:rPr>
        <w:t>ear</w:t>
      </w:r>
      <w:bookmarkEnd w:id="72"/>
      <w:bookmarkEnd w:id="88"/>
    </w:p>
    <w:p w14:paraId="7F8903D5" w14:textId="72DCAD99" w:rsidR="003C4C10" w:rsidRPr="00EB733D" w:rsidRDefault="003C4C10" w:rsidP="003C4C10">
      <w:pPr>
        <w:pStyle w:val="3-BodyText"/>
      </w:pPr>
      <w:r w:rsidRPr="00EB733D">
        <w:t xml:space="preserve">The drug cost per patient for seladelpar versus OCA, using the published price of OCA, is </w:t>
      </w:r>
      <w:r w:rsidR="00BF3099" w:rsidRPr="00EB733D">
        <w:t xml:space="preserve">presented </w:t>
      </w:r>
      <w:r w:rsidRPr="00EB733D">
        <w:t xml:space="preserve">in </w:t>
      </w:r>
      <w:r w:rsidRPr="00EB733D">
        <w:fldChar w:fldCharType="begin"/>
      </w:r>
      <w:r w:rsidRPr="00EB733D">
        <w:instrText xml:space="preserve"> REF _Ref195020362 \h </w:instrText>
      </w:r>
      <w:r w:rsidR="00EB733D" w:rsidRPr="00EB733D">
        <w:instrText xml:space="preserve"> \* MERGEFORMAT </w:instrText>
      </w:r>
      <w:r w:rsidRPr="00EB733D">
        <w:fldChar w:fldCharType="separate"/>
      </w:r>
      <w:r w:rsidR="00333A5F" w:rsidRPr="00F60921">
        <w:t xml:space="preserve">Table </w:t>
      </w:r>
      <w:r w:rsidR="00333A5F">
        <w:rPr>
          <w:noProof/>
        </w:rPr>
        <w:t>16</w:t>
      </w:r>
      <w:r w:rsidRPr="00EB733D">
        <w:fldChar w:fldCharType="end"/>
      </w:r>
      <w:r w:rsidRPr="00EB733D">
        <w:t>.</w:t>
      </w:r>
    </w:p>
    <w:p w14:paraId="4664EC1A" w14:textId="3705F20B" w:rsidR="003C4C10" w:rsidRPr="00F60921" w:rsidRDefault="003C4C10" w:rsidP="003C4C10">
      <w:pPr>
        <w:pStyle w:val="Caption"/>
        <w:rPr>
          <w:rStyle w:val="CommentReference"/>
          <w:b/>
          <w:szCs w:val="24"/>
        </w:rPr>
      </w:pPr>
      <w:bookmarkStart w:id="89" w:name="_Ref195020362"/>
      <w:r w:rsidRPr="00F60921">
        <w:t xml:space="preserve">Table </w:t>
      </w:r>
      <w:r w:rsidR="00A24BC2">
        <w:fldChar w:fldCharType="begin"/>
      </w:r>
      <w:r w:rsidR="00A24BC2">
        <w:instrText xml:space="preserve"> SEQ Table \* ARABIC </w:instrText>
      </w:r>
      <w:r w:rsidR="00A24BC2">
        <w:fldChar w:fldCharType="separate"/>
      </w:r>
      <w:r w:rsidR="00333A5F">
        <w:rPr>
          <w:noProof/>
        </w:rPr>
        <w:t>16</w:t>
      </w:r>
      <w:r w:rsidR="00A24BC2">
        <w:rPr>
          <w:noProof/>
        </w:rPr>
        <w:fldChar w:fldCharType="end"/>
      </w:r>
      <w:bookmarkEnd w:id="89"/>
      <w:r w:rsidRPr="00F60921">
        <w:t>:</w:t>
      </w:r>
      <w:r w:rsidRPr="00F60921">
        <w:rPr>
          <w:rStyle w:val="CommentReference"/>
          <w:b/>
          <w:szCs w:val="24"/>
        </w:rPr>
        <w:t xml:space="preserve"> Drug cost per patient for seladelpar versus OCA using the published price of OCA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Drug cost per patient for seladelpar versus OCA using the published price of OCA"/>
      </w:tblPr>
      <w:tblGrid>
        <w:gridCol w:w="977"/>
        <w:gridCol w:w="1172"/>
        <w:gridCol w:w="1322"/>
        <w:gridCol w:w="1562"/>
        <w:gridCol w:w="1201"/>
        <w:gridCol w:w="1561"/>
        <w:gridCol w:w="1222"/>
      </w:tblGrid>
      <w:tr w:rsidR="00F55E65" w:rsidRPr="00D7540E" w14:paraId="49FECEDF" w14:textId="77777777" w:rsidTr="00F55E65">
        <w:trPr>
          <w:cantSplit/>
          <w:tblHeader/>
          <w:jc w:val="center"/>
        </w:trPr>
        <w:tc>
          <w:tcPr>
            <w:tcW w:w="0" w:type="auto"/>
            <w:vAlign w:val="center"/>
          </w:tcPr>
          <w:p w14:paraId="142CA248" w14:textId="77777777" w:rsidR="00F55E65" w:rsidRPr="00900B81" w:rsidRDefault="00F55E65">
            <w:pPr>
              <w:pStyle w:val="In-tableHeading"/>
              <w:jc w:val="center"/>
              <w:rPr>
                <w:lang w:val="en-AU"/>
              </w:rPr>
            </w:pPr>
          </w:p>
        </w:tc>
        <w:tc>
          <w:tcPr>
            <w:tcW w:w="4056" w:type="dxa"/>
            <w:gridSpan w:val="3"/>
            <w:vAlign w:val="center"/>
          </w:tcPr>
          <w:p w14:paraId="027056C5" w14:textId="7E395176" w:rsidR="00F55E65" w:rsidRPr="00900B81" w:rsidRDefault="00F55E65">
            <w:pPr>
              <w:pStyle w:val="In-tableHeading"/>
              <w:jc w:val="center"/>
              <w:rPr>
                <w:lang w:val="en-AU"/>
              </w:rPr>
            </w:pPr>
            <w:r w:rsidRPr="00900B81">
              <w:rPr>
                <w:lang w:val="en-AU"/>
              </w:rPr>
              <w:t>Seladelpar</w:t>
            </w:r>
          </w:p>
        </w:tc>
        <w:tc>
          <w:tcPr>
            <w:tcW w:w="3984" w:type="dxa"/>
            <w:gridSpan w:val="3"/>
            <w:vAlign w:val="center"/>
          </w:tcPr>
          <w:p w14:paraId="4FF375E6" w14:textId="2F771FA9" w:rsidR="00F55E65" w:rsidRPr="00900B81" w:rsidRDefault="00F55E65">
            <w:pPr>
              <w:pStyle w:val="In-tableHeading"/>
              <w:jc w:val="center"/>
              <w:rPr>
                <w:lang w:val="en-AU"/>
              </w:rPr>
            </w:pPr>
            <w:r w:rsidRPr="00900B81">
              <w:rPr>
                <w:lang w:val="en-AU"/>
              </w:rPr>
              <w:t>OCA</w:t>
            </w:r>
          </w:p>
        </w:tc>
      </w:tr>
      <w:tr w:rsidR="00F55E65" w:rsidRPr="00D7540E" w14:paraId="0625EA5B" w14:textId="77777777" w:rsidTr="00F830E2">
        <w:trPr>
          <w:cantSplit/>
          <w:tblHeader/>
          <w:jc w:val="center"/>
        </w:trPr>
        <w:tc>
          <w:tcPr>
            <w:tcW w:w="0" w:type="auto"/>
            <w:vAlign w:val="center"/>
          </w:tcPr>
          <w:p w14:paraId="28C286AD" w14:textId="77777777" w:rsidR="003C4C10" w:rsidRPr="00900B81" w:rsidRDefault="003C4C10">
            <w:pPr>
              <w:pStyle w:val="In-tableHeading"/>
              <w:jc w:val="center"/>
              <w:rPr>
                <w:lang w:val="en-AU"/>
              </w:rPr>
            </w:pPr>
          </w:p>
        </w:tc>
        <w:tc>
          <w:tcPr>
            <w:tcW w:w="1172" w:type="dxa"/>
            <w:vAlign w:val="center"/>
          </w:tcPr>
          <w:p w14:paraId="4DD21D92" w14:textId="77777777" w:rsidR="003C4C10" w:rsidRPr="00900B81" w:rsidRDefault="003C4C10">
            <w:pPr>
              <w:pStyle w:val="In-tableHeading"/>
              <w:jc w:val="center"/>
              <w:rPr>
                <w:lang w:val="en-AU"/>
              </w:rPr>
            </w:pPr>
            <w:r w:rsidRPr="00900B81">
              <w:rPr>
                <w:lang w:val="en-AU"/>
              </w:rPr>
              <w:t>Trial dose and duration</w:t>
            </w:r>
          </w:p>
        </w:tc>
        <w:tc>
          <w:tcPr>
            <w:tcW w:w="1322" w:type="dxa"/>
            <w:vAlign w:val="center"/>
          </w:tcPr>
          <w:p w14:paraId="7BD53461" w14:textId="3A08D5E4" w:rsidR="003C4C10" w:rsidRPr="00900B81" w:rsidRDefault="00F55E65">
            <w:pPr>
              <w:pStyle w:val="In-tableHeading"/>
              <w:jc w:val="center"/>
              <w:rPr>
                <w:lang w:val="en-AU"/>
              </w:rPr>
            </w:pPr>
            <w:r w:rsidRPr="00900B81">
              <w:rPr>
                <w:lang w:val="en-AU"/>
              </w:rPr>
              <w:t xml:space="preserve"> Economic </w:t>
            </w:r>
            <w:r w:rsidR="003C4C10" w:rsidRPr="00900B81">
              <w:rPr>
                <w:lang w:val="en-AU"/>
              </w:rPr>
              <w:t>Model</w:t>
            </w:r>
          </w:p>
        </w:tc>
        <w:tc>
          <w:tcPr>
            <w:tcW w:w="1562" w:type="dxa"/>
            <w:vAlign w:val="center"/>
          </w:tcPr>
          <w:p w14:paraId="783B7A00" w14:textId="77777777" w:rsidR="003C4C10" w:rsidRPr="00900B81" w:rsidRDefault="003C4C10">
            <w:pPr>
              <w:pStyle w:val="In-tableHeading"/>
              <w:jc w:val="center"/>
              <w:rPr>
                <w:lang w:val="en-AU"/>
              </w:rPr>
            </w:pPr>
            <w:r w:rsidRPr="00900B81">
              <w:rPr>
                <w:lang w:val="en-AU"/>
              </w:rPr>
              <w:t>Financial estimates</w:t>
            </w:r>
          </w:p>
        </w:tc>
        <w:tc>
          <w:tcPr>
            <w:tcW w:w="1201" w:type="dxa"/>
            <w:vAlign w:val="center"/>
          </w:tcPr>
          <w:p w14:paraId="2F762A89" w14:textId="77777777" w:rsidR="003C4C10" w:rsidRPr="00900B81" w:rsidRDefault="003C4C10">
            <w:pPr>
              <w:pStyle w:val="In-tableHeading"/>
              <w:jc w:val="center"/>
              <w:rPr>
                <w:lang w:val="en-AU"/>
              </w:rPr>
            </w:pPr>
            <w:r w:rsidRPr="00900B81">
              <w:rPr>
                <w:lang w:val="en-AU"/>
              </w:rPr>
              <w:t>Trial dose and duration</w:t>
            </w:r>
          </w:p>
        </w:tc>
        <w:tc>
          <w:tcPr>
            <w:tcW w:w="1561" w:type="dxa"/>
            <w:vAlign w:val="center"/>
          </w:tcPr>
          <w:p w14:paraId="4211823B" w14:textId="6E45CE70" w:rsidR="003C4C10" w:rsidRPr="00900B81" w:rsidRDefault="00F55E65">
            <w:pPr>
              <w:pStyle w:val="In-tableHeading"/>
              <w:jc w:val="center"/>
              <w:rPr>
                <w:lang w:val="en-AU"/>
              </w:rPr>
            </w:pPr>
            <w:r w:rsidRPr="00900B81">
              <w:rPr>
                <w:lang w:val="en-AU"/>
              </w:rPr>
              <w:t xml:space="preserve"> Economic </w:t>
            </w:r>
            <w:r w:rsidR="003C4C10" w:rsidRPr="00900B81">
              <w:rPr>
                <w:lang w:val="en-AU"/>
              </w:rPr>
              <w:t>Model</w:t>
            </w:r>
          </w:p>
        </w:tc>
        <w:tc>
          <w:tcPr>
            <w:tcW w:w="1222" w:type="dxa"/>
          </w:tcPr>
          <w:p w14:paraId="756D88CC" w14:textId="77777777" w:rsidR="003C4C10" w:rsidRPr="00900B81" w:rsidRDefault="003C4C10">
            <w:pPr>
              <w:pStyle w:val="In-tableHeading"/>
              <w:jc w:val="center"/>
              <w:rPr>
                <w:lang w:val="en-AU"/>
              </w:rPr>
            </w:pPr>
            <w:r w:rsidRPr="00900B81">
              <w:rPr>
                <w:lang w:val="en-AU"/>
              </w:rPr>
              <w:t>Financial estimates</w:t>
            </w:r>
          </w:p>
        </w:tc>
      </w:tr>
      <w:tr w:rsidR="00F830E2" w:rsidRPr="00D7540E" w14:paraId="7E6ECA36" w14:textId="77777777" w:rsidTr="00154FFC">
        <w:trPr>
          <w:cantSplit/>
          <w:jc w:val="center"/>
        </w:trPr>
        <w:tc>
          <w:tcPr>
            <w:tcW w:w="0" w:type="auto"/>
            <w:vAlign w:val="center"/>
          </w:tcPr>
          <w:p w14:paraId="779C5C6D" w14:textId="77777777" w:rsidR="00F830E2" w:rsidRPr="00900B81" w:rsidRDefault="00F830E2">
            <w:pPr>
              <w:pStyle w:val="TableText0"/>
            </w:pPr>
            <w:r w:rsidRPr="00900B81">
              <w:rPr>
                <w:lang w:val="en-US"/>
              </w:rPr>
              <w:t>Dose</w:t>
            </w:r>
          </w:p>
        </w:tc>
        <w:tc>
          <w:tcPr>
            <w:tcW w:w="4056" w:type="dxa"/>
            <w:gridSpan w:val="3"/>
            <w:vAlign w:val="center"/>
          </w:tcPr>
          <w:p w14:paraId="61D7088F" w14:textId="70C2F232" w:rsidR="00F830E2" w:rsidRPr="00900B81" w:rsidRDefault="00F830E2" w:rsidP="009D51F1">
            <w:pPr>
              <w:pStyle w:val="TableText0"/>
              <w:jc w:val="center"/>
              <w:rPr>
                <w:bCs w:val="0"/>
              </w:rPr>
            </w:pPr>
            <w:r w:rsidRPr="00900B81">
              <w:rPr>
                <w:bCs w:val="0"/>
              </w:rPr>
              <w:t>10 mg/day</w:t>
            </w:r>
          </w:p>
        </w:tc>
        <w:tc>
          <w:tcPr>
            <w:tcW w:w="2762" w:type="dxa"/>
            <w:gridSpan w:val="2"/>
            <w:vAlign w:val="center"/>
          </w:tcPr>
          <w:p w14:paraId="6E915D75" w14:textId="32236426" w:rsidR="00F830E2" w:rsidRPr="00900B81" w:rsidRDefault="00F830E2" w:rsidP="009D51F1">
            <w:pPr>
              <w:pStyle w:val="TableText0"/>
              <w:jc w:val="center"/>
              <w:rPr>
                <w:b/>
              </w:rPr>
            </w:pPr>
            <w:bookmarkStart w:id="90" w:name="_Hlk195173235"/>
            <w:r w:rsidRPr="00900B81">
              <w:t xml:space="preserve">5 mg/day (6 months); titrated to </w:t>
            </w:r>
            <w:r w:rsidRPr="00900B81">
              <w:br/>
              <w:t>10 mg/day if required</w:t>
            </w:r>
            <w:bookmarkEnd w:id="90"/>
          </w:p>
        </w:tc>
        <w:tc>
          <w:tcPr>
            <w:tcW w:w="1222" w:type="dxa"/>
            <w:vAlign w:val="center"/>
          </w:tcPr>
          <w:p w14:paraId="59BB3861" w14:textId="77777777" w:rsidR="00F830E2" w:rsidRPr="00900B81" w:rsidRDefault="00F830E2">
            <w:pPr>
              <w:pStyle w:val="TableText0"/>
              <w:jc w:val="center"/>
              <w:rPr>
                <w:bCs w:val="0"/>
              </w:rPr>
            </w:pPr>
            <w:r w:rsidRPr="00900B81">
              <w:rPr>
                <w:bCs w:val="0"/>
              </w:rPr>
              <w:t>5 - 10 mg/day</w:t>
            </w:r>
          </w:p>
        </w:tc>
      </w:tr>
      <w:tr w:rsidR="00F55E65" w:rsidRPr="00D7540E" w14:paraId="6767E19F" w14:textId="77777777" w:rsidTr="00F830E2">
        <w:trPr>
          <w:cantSplit/>
          <w:jc w:val="center"/>
        </w:trPr>
        <w:tc>
          <w:tcPr>
            <w:tcW w:w="0" w:type="auto"/>
            <w:vAlign w:val="center"/>
          </w:tcPr>
          <w:p w14:paraId="7B5065CF" w14:textId="77777777" w:rsidR="003C4C10" w:rsidRPr="00900B81" w:rsidRDefault="003C4C10">
            <w:pPr>
              <w:pStyle w:val="TableText0"/>
              <w:rPr>
                <w:lang w:val="en-US"/>
              </w:rPr>
            </w:pPr>
            <w:r w:rsidRPr="00900B81">
              <w:rPr>
                <w:lang w:val="en-US"/>
              </w:rPr>
              <w:t>Compliance rate</w:t>
            </w:r>
          </w:p>
        </w:tc>
        <w:tc>
          <w:tcPr>
            <w:tcW w:w="1172" w:type="dxa"/>
            <w:vAlign w:val="center"/>
          </w:tcPr>
          <w:p w14:paraId="565EC17D" w14:textId="77777777" w:rsidR="003C4C10" w:rsidRPr="00900B81" w:rsidRDefault="003C4C10">
            <w:pPr>
              <w:pStyle w:val="TableText0"/>
              <w:jc w:val="center"/>
              <w:rPr>
                <w:bCs w:val="0"/>
              </w:rPr>
            </w:pPr>
            <w:r w:rsidRPr="00900B81">
              <w:rPr>
                <w:bCs w:val="0"/>
              </w:rPr>
              <w:t>92.19%</w:t>
            </w:r>
          </w:p>
        </w:tc>
        <w:tc>
          <w:tcPr>
            <w:tcW w:w="1322" w:type="dxa"/>
            <w:vAlign w:val="center"/>
          </w:tcPr>
          <w:p w14:paraId="0C31CC07" w14:textId="77777777" w:rsidR="003C4C10" w:rsidRPr="00900B81" w:rsidRDefault="003C4C10">
            <w:pPr>
              <w:pStyle w:val="TableText0"/>
              <w:jc w:val="center"/>
              <w:rPr>
                <w:bCs w:val="0"/>
              </w:rPr>
            </w:pPr>
            <w:r w:rsidRPr="00900B81">
              <w:rPr>
                <w:bCs w:val="0"/>
              </w:rPr>
              <w:t>Year 1: 92.19%</w:t>
            </w:r>
          </w:p>
          <w:p w14:paraId="6D6CE66E" w14:textId="77777777" w:rsidR="003C4C10" w:rsidRPr="00900B81" w:rsidRDefault="003C4C10">
            <w:pPr>
              <w:pStyle w:val="TableText0"/>
              <w:jc w:val="center"/>
              <w:rPr>
                <w:bCs w:val="0"/>
              </w:rPr>
            </w:pPr>
            <w:r w:rsidRPr="00900B81">
              <w:rPr>
                <w:bCs w:val="0"/>
              </w:rPr>
              <w:t xml:space="preserve">Years 2+ 97.81% </w:t>
            </w:r>
          </w:p>
        </w:tc>
        <w:tc>
          <w:tcPr>
            <w:tcW w:w="1562" w:type="dxa"/>
            <w:vAlign w:val="center"/>
          </w:tcPr>
          <w:p w14:paraId="05D10B84" w14:textId="77777777" w:rsidR="003C4C10" w:rsidRPr="00900B81" w:rsidRDefault="003C4C10">
            <w:pPr>
              <w:pStyle w:val="TableText0"/>
              <w:jc w:val="center"/>
              <w:rPr>
                <w:bCs w:val="0"/>
              </w:rPr>
            </w:pPr>
            <w:r w:rsidRPr="00900B81">
              <w:rPr>
                <w:bCs w:val="0"/>
              </w:rPr>
              <w:t>Month 0-6: 100%</w:t>
            </w:r>
          </w:p>
          <w:p w14:paraId="3FB37CAD" w14:textId="77777777" w:rsidR="003C4C10" w:rsidRPr="00900B81" w:rsidRDefault="003C4C10">
            <w:pPr>
              <w:pStyle w:val="TableText0"/>
              <w:jc w:val="center"/>
              <w:rPr>
                <w:bCs w:val="0"/>
              </w:rPr>
            </w:pPr>
            <w:r w:rsidRPr="00900B81">
              <w:rPr>
                <w:bCs w:val="0"/>
              </w:rPr>
              <w:t xml:space="preserve">Month 7-12: 93.98% </w:t>
            </w:r>
          </w:p>
          <w:p w14:paraId="63C2DBC0" w14:textId="77777777" w:rsidR="003C4C10" w:rsidRPr="00900B81" w:rsidRDefault="003C4C10">
            <w:pPr>
              <w:pStyle w:val="TableText0"/>
              <w:jc w:val="center"/>
              <w:rPr>
                <w:bCs w:val="0"/>
              </w:rPr>
            </w:pPr>
            <w:r w:rsidRPr="00900B81">
              <w:rPr>
                <w:bCs w:val="0"/>
              </w:rPr>
              <w:t>Years 2+: 97.81%</w:t>
            </w:r>
          </w:p>
        </w:tc>
        <w:tc>
          <w:tcPr>
            <w:tcW w:w="1201" w:type="dxa"/>
            <w:vAlign w:val="center"/>
          </w:tcPr>
          <w:p w14:paraId="45754BF6" w14:textId="77777777" w:rsidR="003C4C10" w:rsidRPr="00900B81" w:rsidRDefault="003C4C10">
            <w:pPr>
              <w:pStyle w:val="TableText0"/>
              <w:jc w:val="center"/>
            </w:pPr>
            <w:r w:rsidRPr="00900B81">
              <w:t>88.9%</w:t>
            </w:r>
          </w:p>
        </w:tc>
        <w:tc>
          <w:tcPr>
            <w:tcW w:w="1561" w:type="dxa"/>
            <w:vAlign w:val="center"/>
          </w:tcPr>
          <w:p w14:paraId="3FEFF5D5" w14:textId="77777777" w:rsidR="003C4C10" w:rsidRPr="00900B81" w:rsidRDefault="003C4C10">
            <w:pPr>
              <w:pStyle w:val="TableText0"/>
              <w:jc w:val="center"/>
              <w:rPr>
                <w:bCs w:val="0"/>
              </w:rPr>
            </w:pPr>
            <w:r w:rsidRPr="00900B81">
              <w:rPr>
                <w:bCs w:val="0"/>
              </w:rPr>
              <w:t>Year 1:88.9%,</w:t>
            </w:r>
          </w:p>
          <w:p w14:paraId="73B6C192" w14:textId="77777777" w:rsidR="003C4C10" w:rsidRPr="00900B81" w:rsidRDefault="003C4C10">
            <w:pPr>
              <w:pStyle w:val="TableText0"/>
              <w:jc w:val="center"/>
              <w:rPr>
                <w:bCs w:val="0"/>
              </w:rPr>
            </w:pPr>
            <w:r w:rsidRPr="00900B81">
              <w:rPr>
                <w:bCs w:val="0"/>
              </w:rPr>
              <w:t>Years 2+: 97.81%</w:t>
            </w:r>
          </w:p>
        </w:tc>
        <w:tc>
          <w:tcPr>
            <w:tcW w:w="1222" w:type="dxa"/>
            <w:vAlign w:val="center"/>
          </w:tcPr>
          <w:p w14:paraId="452CEC09" w14:textId="77777777" w:rsidR="003C4C10" w:rsidRPr="00900B81" w:rsidRDefault="003C4C10">
            <w:pPr>
              <w:pStyle w:val="TableText0"/>
              <w:jc w:val="center"/>
              <w:rPr>
                <w:bCs w:val="0"/>
              </w:rPr>
            </w:pPr>
            <w:r w:rsidRPr="00900B81">
              <w:rPr>
                <w:bCs w:val="0"/>
              </w:rPr>
              <w:t>Not stated</w:t>
            </w:r>
          </w:p>
        </w:tc>
      </w:tr>
      <w:tr w:rsidR="00F55E65" w:rsidRPr="00D7540E" w14:paraId="0B92316E" w14:textId="77777777" w:rsidTr="00F830E2">
        <w:trPr>
          <w:cantSplit/>
          <w:jc w:val="center"/>
        </w:trPr>
        <w:tc>
          <w:tcPr>
            <w:tcW w:w="0" w:type="auto"/>
            <w:vAlign w:val="center"/>
          </w:tcPr>
          <w:p w14:paraId="17476E20" w14:textId="77777777" w:rsidR="003C4C10" w:rsidRPr="00900B81" w:rsidRDefault="003C4C10">
            <w:pPr>
              <w:pStyle w:val="TableText0"/>
            </w:pPr>
            <w:r w:rsidRPr="00900B81">
              <w:t>Mean duration</w:t>
            </w:r>
          </w:p>
        </w:tc>
        <w:tc>
          <w:tcPr>
            <w:tcW w:w="1172" w:type="dxa"/>
            <w:vAlign w:val="center"/>
          </w:tcPr>
          <w:p w14:paraId="2A58818A" w14:textId="77777777" w:rsidR="003C4C10" w:rsidRPr="00900B81" w:rsidRDefault="003C4C10">
            <w:pPr>
              <w:pStyle w:val="TableText0"/>
              <w:jc w:val="center"/>
              <w:rPr>
                <w:bCs w:val="0"/>
              </w:rPr>
            </w:pPr>
            <w:r w:rsidRPr="00900B81">
              <w:rPr>
                <w:bCs w:val="0"/>
              </w:rPr>
              <w:t>1 year</w:t>
            </w:r>
          </w:p>
        </w:tc>
        <w:tc>
          <w:tcPr>
            <w:tcW w:w="1322" w:type="dxa"/>
            <w:vAlign w:val="center"/>
          </w:tcPr>
          <w:p w14:paraId="206E62A7" w14:textId="77777777" w:rsidR="003C4C10" w:rsidRPr="00900B81" w:rsidRDefault="003C4C10">
            <w:pPr>
              <w:pStyle w:val="TableText0"/>
              <w:jc w:val="center"/>
              <w:rPr>
                <w:bCs w:val="0"/>
              </w:rPr>
            </w:pPr>
            <w:r w:rsidRPr="00900B81">
              <w:rPr>
                <w:bCs w:val="0"/>
              </w:rPr>
              <w:t>15.785 years</w:t>
            </w:r>
          </w:p>
        </w:tc>
        <w:tc>
          <w:tcPr>
            <w:tcW w:w="1562" w:type="dxa"/>
            <w:vAlign w:val="center"/>
          </w:tcPr>
          <w:p w14:paraId="45CB5A23" w14:textId="77777777" w:rsidR="003C4C10" w:rsidRPr="00900B81" w:rsidRDefault="003C4C10">
            <w:pPr>
              <w:pStyle w:val="TableText0"/>
              <w:jc w:val="center"/>
              <w:rPr>
                <w:b/>
              </w:rPr>
            </w:pPr>
            <w:r w:rsidRPr="00900B81">
              <w:rPr>
                <w:bCs w:val="0"/>
              </w:rPr>
              <w:t>Not stated</w:t>
            </w:r>
          </w:p>
        </w:tc>
        <w:tc>
          <w:tcPr>
            <w:tcW w:w="1201" w:type="dxa"/>
            <w:vAlign w:val="center"/>
          </w:tcPr>
          <w:p w14:paraId="254DD6C5" w14:textId="77777777" w:rsidR="003C4C10" w:rsidRPr="00900B81" w:rsidRDefault="003C4C10">
            <w:pPr>
              <w:pStyle w:val="TableText0"/>
              <w:jc w:val="center"/>
              <w:rPr>
                <w:bCs w:val="0"/>
              </w:rPr>
            </w:pPr>
            <w:r w:rsidRPr="00900B81">
              <w:rPr>
                <w:bCs w:val="0"/>
              </w:rPr>
              <w:t>1 year</w:t>
            </w:r>
          </w:p>
        </w:tc>
        <w:tc>
          <w:tcPr>
            <w:tcW w:w="1561" w:type="dxa"/>
            <w:vAlign w:val="center"/>
          </w:tcPr>
          <w:p w14:paraId="3635062E" w14:textId="77777777" w:rsidR="003C4C10" w:rsidRPr="00900B81" w:rsidRDefault="003C4C10">
            <w:pPr>
              <w:pStyle w:val="TableText0"/>
              <w:jc w:val="center"/>
              <w:rPr>
                <w:b/>
              </w:rPr>
            </w:pPr>
            <w:r w:rsidRPr="00900B81">
              <w:t>14.695 years</w:t>
            </w:r>
          </w:p>
        </w:tc>
        <w:tc>
          <w:tcPr>
            <w:tcW w:w="1222" w:type="dxa"/>
            <w:vAlign w:val="center"/>
          </w:tcPr>
          <w:p w14:paraId="2B3AD88C" w14:textId="77777777" w:rsidR="003C4C10" w:rsidRPr="00900B81" w:rsidRDefault="003C4C10">
            <w:pPr>
              <w:pStyle w:val="TableText0"/>
              <w:jc w:val="center"/>
              <w:rPr>
                <w:b/>
              </w:rPr>
            </w:pPr>
            <w:r w:rsidRPr="00900B81">
              <w:rPr>
                <w:bCs w:val="0"/>
              </w:rPr>
              <w:t>Not stated</w:t>
            </w:r>
          </w:p>
        </w:tc>
      </w:tr>
      <w:tr w:rsidR="00F55E65" w:rsidRPr="00D7540E" w14:paraId="569A8A70" w14:textId="77777777" w:rsidTr="00F830E2">
        <w:trPr>
          <w:cantSplit/>
          <w:jc w:val="center"/>
        </w:trPr>
        <w:tc>
          <w:tcPr>
            <w:tcW w:w="0" w:type="auto"/>
            <w:vAlign w:val="center"/>
          </w:tcPr>
          <w:p w14:paraId="027EEFC7" w14:textId="77777777" w:rsidR="003C4C10" w:rsidRPr="00900B81" w:rsidRDefault="003C4C10">
            <w:pPr>
              <w:pStyle w:val="TableText0"/>
            </w:pPr>
            <w:r w:rsidRPr="00900B81">
              <w:t>Cost/patient/ month</w:t>
            </w:r>
          </w:p>
        </w:tc>
        <w:tc>
          <w:tcPr>
            <w:tcW w:w="1172" w:type="dxa"/>
            <w:vAlign w:val="center"/>
          </w:tcPr>
          <w:p w14:paraId="5AC15C37" w14:textId="634C9F3A" w:rsidR="003C4C10" w:rsidRPr="00900B81" w:rsidRDefault="003C4C10">
            <w:pPr>
              <w:pStyle w:val="TableText0"/>
              <w:jc w:val="center"/>
            </w:pPr>
            <w:r w:rsidRPr="00900B81">
              <w:t>$</w:t>
            </w:r>
            <w:r w:rsidR="006564A4" w:rsidRPr="00333A5F">
              <w:rPr>
                <w:rFonts w:hint="eastAsia"/>
                <w:color w:val="000000"/>
                <w:w w:val="15"/>
                <w:shd w:val="solid" w:color="000000" w:fill="000000"/>
                <w:fitText w:val="60" w:id="-629520887"/>
                <w14:textFill>
                  <w14:solidFill>
                    <w14:srgbClr w14:val="000000">
                      <w14:alpha w14:val="100000"/>
                    </w14:srgbClr>
                  </w14:solidFill>
                </w14:textFill>
              </w:rPr>
              <w:t xml:space="preserve">　</w:t>
            </w:r>
            <w:r w:rsidR="006564A4" w:rsidRPr="00333A5F">
              <w:rPr>
                <w:color w:val="000000"/>
                <w:w w:val="15"/>
                <w:shd w:val="solid" w:color="000000" w:fill="000000"/>
                <w:fitText w:val="60" w:id="-629520887"/>
                <w14:textFill>
                  <w14:solidFill>
                    <w14:srgbClr w14:val="000000">
                      <w14:alpha w14:val="100000"/>
                    </w14:srgbClr>
                  </w14:solidFill>
                </w14:textFill>
              </w:rPr>
              <w:t>|</w:t>
            </w:r>
            <w:r w:rsidR="006564A4" w:rsidRPr="00333A5F">
              <w:rPr>
                <w:rFonts w:hint="eastAsia"/>
                <w:color w:val="000000"/>
                <w:w w:val="15"/>
                <w:shd w:val="solid" w:color="000000" w:fill="000000"/>
                <w:fitText w:val="60" w:id="-629520887"/>
                <w14:textFill>
                  <w14:solidFill>
                    <w14:srgbClr w14:val="000000">
                      <w14:alpha w14:val="100000"/>
                    </w14:srgbClr>
                  </w14:solidFill>
                </w14:textFill>
              </w:rPr>
              <w:t xml:space="preserve">　</w:t>
            </w:r>
            <w:r w:rsidRPr="00900B81">
              <w:rPr>
                <w:vertAlign w:val="superscript"/>
              </w:rPr>
              <w:t>a</w:t>
            </w:r>
          </w:p>
        </w:tc>
        <w:tc>
          <w:tcPr>
            <w:tcW w:w="1322" w:type="dxa"/>
            <w:vAlign w:val="center"/>
          </w:tcPr>
          <w:p w14:paraId="46FB894B" w14:textId="1D6BB3FB" w:rsidR="003C4C10" w:rsidRPr="00900B81" w:rsidRDefault="003C4C10">
            <w:pPr>
              <w:pStyle w:val="TableText0"/>
              <w:jc w:val="center"/>
            </w:pPr>
            <w:r w:rsidRPr="00900B81">
              <w:t>$</w:t>
            </w:r>
            <w:r w:rsidR="006564A4" w:rsidRPr="006564A4">
              <w:rPr>
                <w:color w:val="000000"/>
                <w:shd w:val="solid" w:color="000000" w:fill="000000"/>
                <w14:textFill>
                  <w14:solidFill>
                    <w14:srgbClr w14:val="000000">
                      <w14:alpha w14:val="100000"/>
                    </w14:srgbClr>
                  </w14:solidFill>
                </w14:textFill>
              </w:rPr>
              <w:t>|</w:t>
            </w:r>
            <w:r w:rsidRPr="00900B81">
              <w:rPr>
                <w:vertAlign w:val="superscript"/>
              </w:rPr>
              <w:t>b</w:t>
            </w:r>
          </w:p>
          <w:p w14:paraId="3ACECE86" w14:textId="77777777" w:rsidR="003C4C10" w:rsidRPr="00900B81" w:rsidRDefault="003C4C10">
            <w:pPr>
              <w:pStyle w:val="TableText0"/>
              <w:jc w:val="center"/>
            </w:pPr>
            <w:r w:rsidRPr="00900B81">
              <w:t>In Month 1</w:t>
            </w:r>
          </w:p>
        </w:tc>
        <w:tc>
          <w:tcPr>
            <w:tcW w:w="1562" w:type="dxa"/>
            <w:vAlign w:val="center"/>
          </w:tcPr>
          <w:p w14:paraId="2AD5C113" w14:textId="7E9DFD66" w:rsidR="003C4C10" w:rsidRPr="00900B81" w:rsidRDefault="003C4C10">
            <w:pPr>
              <w:pStyle w:val="TableText0"/>
              <w:jc w:val="center"/>
            </w:pPr>
            <w:r w:rsidRPr="00900B81">
              <w:t>$</w:t>
            </w:r>
            <w:r w:rsidR="006564A4" w:rsidRPr="006564A4">
              <w:rPr>
                <w:color w:val="000000"/>
                <w:shd w:val="solid" w:color="000000" w:fill="000000"/>
                <w14:textFill>
                  <w14:solidFill>
                    <w14:srgbClr w14:val="000000">
                      <w14:alpha w14:val="100000"/>
                    </w14:srgbClr>
                  </w14:solidFill>
                </w14:textFill>
              </w:rPr>
              <w:t>|</w:t>
            </w:r>
            <w:r w:rsidRPr="00900B81">
              <w:rPr>
                <w:vertAlign w:val="superscript"/>
              </w:rPr>
              <w:t>b</w:t>
            </w:r>
          </w:p>
        </w:tc>
        <w:tc>
          <w:tcPr>
            <w:tcW w:w="1201" w:type="dxa"/>
            <w:vAlign w:val="center"/>
          </w:tcPr>
          <w:p w14:paraId="655CB9EF" w14:textId="77777777" w:rsidR="003C4C10" w:rsidRPr="00900B81" w:rsidRDefault="003C4C10">
            <w:pPr>
              <w:pStyle w:val="TableText0"/>
              <w:jc w:val="center"/>
            </w:pPr>
            <w:r w:rsidRPr="00900B81">
              <w:t>$3,422</w:t>
            </w:r>
            <w:r w:rsidRPr="00900B81">
              <w:rPr>
                <w:vertAlign w:val="superscript"/>
              </w:rPr>
              <w:t>c</w:t>
            </w:r>
          </w:p>
        </w:tc>
        <w:tc>
          <w:tcPr>
            <w:tcW w:w="1561" w:type="dxa"/>
            <w:vAlign w:val="center"/>
          </w:tcPr>
          <w:p w14:paraId="31560355" w14:textId="77777777" w:rsidR="003C4C10" w:rsidRPr="00900B81" w:rsidRDefault="003C4C10">
            <w:pPr>
              <w:pStyle w:val="TableText0"/>
              <w:jc w:val="center"/>
            </w:pPr>
            <w:r w:rsidRPr="00900B81">
              <w:t>$3,849</w:t>
            </w:r>
            <w:r w:rsidRPr="00900B81">
              <w:rPr>
                <w:vertAlign w:val="superscript"/>
              </w:rPr>
              <w:t>d</w:t>
            </w:r>
          </w:p>
          <w:p w14:paraId="4BCA90DF" w14:textId="77777777" w:rsidR="003C4C10" w:rsidRPr="00900B81" w:rsidRDefault="003C4C10">
            <w:pPr>
              <w:pStyle w:val="TableText0"/>
              <w:jc w:val="center"/>
            </w:pPr>
            <w:r w:rsidRPr="00900B81">
              <w:t>In Month 1</w:t>
            </w:r>
          </w:p>
        </w:tc>
        <w:tc>
          <w:tcPr>
            <w:tcW w:w="1222" w:type="dxa"/>
            <w:vAlign w:val="center"/>
          </w:tcPr>
          <w:p w14:paraId="35248F4F" w14:textId="77777777" w:rsidR="003C4C10" w:rsidRPr="00900B81" w:rsidRDefault="003C4C10">
            <w:pPr>
              <w:pStyle w:val="TableText0"/>
              <w:jc w:val="center"/>
            </w:pPr>
            <w:r w:rsidRPr="00900B81">
              <w:t>$3,849</w:t>
            </w:r>
            <w:r w:rsidRPr="00900B81">
              <w:rPr>
                <w:vertAlign w:val="superscript"/>
              </w:rPr>
              <w:t>d</w:t>
            </w:r>
          </w:p>
        </w:tc>
      </w:tr>
      <w:tr w:rsidR="00F55E65" w:rsidRPr="00D7540E" w14:paraId="64E38AE1" w14:textId="77777777" w:rsidTr="00F830E2">
        <w:trPr>
          <w:cantSplit/>
          <w:jc w:val="center"/>
        </w:trPr>
        <w:tc>
          <w:tcPr>
            <w:tcW w:w="0" w:type="auto"/>
            <w:vAlign w:val="center"/>
          </w:tcPr>
          <w:p w14:paraId="01BDC222" w14:textId="77777777" w:rsidR="003C4C10" w:rsidRPr="00900B81" w:rsidRDefault="003C4C10">
            <w:pPr>
              <w:pStyle w:val="TableText0"/>
            </w:pPr>
            <w:r w:rsidRPr="00900B81">
              <w:t>Cost/patient/ year</w:t>
            </w:r>
          </w:p>
        </w:tc>
        <w:tc>
          <w:tcPr>
            <w:tcW w:w="1172" w:type="dxa"/>
            <w:vAlign w:val="center"/>
          </w:tcPr>
          <w:p w14:paraId="67CD44DA" w14:textId="7AB8E12D" w:rsidR="003C4C10" w:rsidRPr="00900B81" w:rsidRDefault="003C4C10">
            <w:pPr>
              <w:pStyle w:val="TableText0"/>
              <w:jc w:val="center"/>
            </w:pPr>
            <w:r w:rsidRPr="00900B81">
              <w:t>$</w:t>
            </w:r>
            <w:r w:rsidR="006564A4" w:rsidRPr="00333A5F">
              <w:rPr>
                <w:rFonts w:hint="eastAsia"/>
                <w:color w:val="000000"/>
                <w:w w:val="15"/>
                <w:shd w:val="solid" w:color="000000" w:fill="000000"/>
                <w:fitText w:val="48" w:id="-629520886"/>
                <w14:textFill>
                  <w14:solidFill>
                    <w14:srgbClr w14:val="000000">
                      <w14:alpha w14:val="100000"/>
                    </w14:srgbClr>
                  </w14:solidFill>
                </w14:textFill>
              </w:rPr>
              <w:t xml:space="preserve">　</w:t>
            </w:r>
            <w:r w:rsidR="006564A4" w:rsidRPr="00333A5F">
              <w:rPr>
                <w:color w:val="000000"/>
                <w:w w:val="15"/>
                <w:shd w:val="solid" w:color="000000" w:fill="000000"/>
                <w:fitText w:val="48" w:id="-629520886"/>
                <w14:textFill>
                  <w14:solidFill>
                    <w14:srgbClr w14:val="000000">
                      <w14:alpha w14:val="100000"/>
                    </w14:srgbClr>
                  </w14:solidFill>
                </w14:textFill>
              </w:rPr>
              <w:t>|</w:t>
            </w:r>
            <w:r w:rsidR="006564A4" w:rsidRPr="00333A5F">
              <w:rPr>
                <w:rFonts w:hint="eastAsia"/>
                <w:color w:val="000000"/>
                <w:spacing w:val="-17"/>
                <w:w w:val="15"/>
                <w:shd w:val="solid" w:color="000000" w:fill="000000"/>
                <w:fitText w:val="48" w:id="-629520886"/>
                <w14:textFill>
                  <w14:solidFill>
                    <w14:srgbClr w14:val="000000">
                      <w14:alpha w14:val="100000"/>
                    </w14:srgbClr>
                  </w14:solidFill>
                </w14:textFill>
              </w:rPr>
              <w:t xml:space="preserve">　</w:t>
            </w:r>
          </w:p>
          <w:p w14:paraId="48D7495F" w14:textId="17144140" w:rsidR="003C4C10" w:rsidRPr="00900B81" w:rsidRDefault="003C4C10">
            <w:pPr>
              <w:pStyle w:val="TableText0"/>
              <w:jc w:val="center"/>
            </w:pPr>
          </w:p>
        </w:tc>
        <w:tc>
          <w:tcPr>
            <w:tcW w:w="1322" w:type="dxa"/>
            <w:vAlign w:val="center"/>
          </w:tcPr>
          <w:p w14:paraId="06269AC1" w14:textId="1E356047" w:rsidR="003C4C10" w:rsidRPr="00900B81" w:rsidRDefault="003C4C10">
            <w:pPr>
              <w:pStyle w:val="TableText0"/>
              <w:jc w:val="center"/>
            </w:pPr>
            <w:r w:rsidRPr="00900B81">
              <w:t>Year 1:$</w:t>
            </w:r>
            <w:r w:rsidR="006564A4" w:rsidRPr="00333A5F">
              <w:rPr>
                <w:color w:val="000000"/>
                <w:spacing w:val="178"/>
                <w:shd w:val="solid" w:color="000000" w:fill="000000"/>
                <w:fitText w:val="264" w:id="-629520885"/>
                <w14:textFill>
                  <w14:solidFill>
                    <w14:srgbClr w14:val="000000">
                      <w14:alpha w14:val="100000"/>
                    </w14:srgbClr>
                  </w14:solidFill>
                </w14:textFill>
              </w:rPr>
              <w:t>|</w:t>
            </w:r>
            <w:r w:rsidR="006564A4" w:rsidRPr="00333A5F">
              <w:rPr>
                <w:color w:val="000000"/>
                <w:shd w:val="solid" w:color="000000" w:fill="000000"/>
                <w:fitText w:val="264" w:id="-629520885"/>
                <w14:textFill>
                  <w14:solidFill>
                    <w14:srgbClr w14:val="000000">
                      <w14:alpha w14:val="100000"/>
                    </w14:srgbClr>
                  </w14:solidFill>
                </w14:textFill>
              </w:rPr>
              <w:t>|</w:t>
            </w:r>
            <w:r w:rsidRPr="00900B81">
              <w:rPr>
                <w:vertAlign w:val="superscript"/>
              </w:rPr>
              <w:t xml:space="preserve"> e</w:t>
            </w:r>
            <w:r w:rsidRPr="00900B81">
              <w:t xml:space="preserve"> </w:t>
            </w:r>
          </w:p>
          <w:p w14:paraId="120B9E68" w14:textId="48639A11" w:rsidR="003C4C10" w:rsidRPr="00900B81" w:rsidRDefault="003C4C10">
            <w:pPr>
              <w:pStyle w:val="TableText0"/>
              <w:jc w:val="center"/>
            </w:pPr>
            <w:r w:rsidRPr="00900B81">
              <w:t>Year 2:$</w:t>
            </w:r>
            <w:r w:rsidR="006564A4" w:rsidRPr="00333A5F">
              <w:rPr>
                <w:color w:val="000000"/>
                <w:spacing w:val="166"/>
                <w:shd w:val="solid" w:color="000000" w:fill="000000"/>
                <w:fitText w:val="252" w:id="-629520884"/>
                <w14:textFill>
                  <w14:solidFill>
                    <w14:srgbClr w14:val="000000">
                      <w14:alpha w14:val="100000"/>
                    </w14:srgbClr>
                  </w14:solidFill>
                </w14:textFill>
              </w:rPr>
              <w:t>|</w:t>
            </w:r>
            <w:r w:rsidR="006564A4" w:rsidRPr="00333A5F">
              <w:rPr>
                <w:color w:val="000000"/>
                <w:shd w:val="solid" w:color="000000" w:fill="000000"/>
                <w:fitText w:val="252" w:id="-629520884"/>
                <w14:textFill>
                  <w14:solidFill>
                    <w14:srgbClr w14:val="000000">
                      <w14:alpha w14:val="100000"/>
                    </w14:srgbClr>
                  </w14:solidFill>
                </w14:textFill>
              </w:rPr>
              <w:t>|</w:t>
            </w:r>
            <w:r w:rsidRPr="00900B81">
              <w:rPr>
                <w:vertAlign w:val="superscript"/>
              </w:rPr>
              <w:t>f</w:t>
            </w:r>
          </w:p>
        </w:tc>
        <w:tc>
          <w:tcPr>
            <w:tcW w:w="1562" w:type="dxa"/>
            <w:vAlign w:val="center"/>
          </w:tcPr>
          <w:p w14:paraId="62C8A969" w14:textId="6C05E548" w:rsidR="003C4C10" w:rsidRPr="00900B81" w:rsidRDefault="003C4C10">
            <w:pPr>
              <w:pStyle w:val="TableText0"/>
              <w:jc w:val="center"/>
            </w:pPr>
            <w:r w:rsidRPr="00900B81">
              <w:t>Year 1:$</w:t>
            </w:r>
            <w:r w:rsidR="006564A4" w:rsidRPr="00333A5F">
              <w:rPr>
                <w:rFonts w:hint="eastAsia"/>
                <w:color w:val="000000"/>
                <w:w w:val="29"/>
                <w:shd w:val="solid" w:color="000000" w:fill="000000"/>
                <w:fitText w:val="132" w:id="-629520883"/>
                <w14:textFill>
                  <w14:solidFill>
                    <w14:srgbClr w14:val="000000">
                      <w14:alpha w14:val="100000"/>
                    </w14:srgbClr>
                  </w14:solidFill>
                </w14:textFill>
              </w:rPr>
              <w:t xml:space="preserve">　</w:t>
            </w:r>
            <w:r w:rsidR="006564A4" w:rsidRPr="00333A5F">
              <w:rPr>
                <w:color w:val="000000"/>
                <w:w w:val="29"/>
                <w:shd w:val="solid" w:color="000000" w:fill="000000"/>
                <w:fitText w:val="132" w:id="-629520883"/>
                <w14:textFill>
                  <w14:solidFill>
                    <w14:srgbClr w14:val="000000">
                      <w14:alpha w14:val="100000"/>
                    </w14:srgbClr>
                  </w14:solidFill>
                </w14:textFill>
              </w:rPr>
              <w:t>|</w:t>
            </w:r>
            <w:r w:rsidR="006564A4" w:rsidRPr="00333A5F">
              <w:rPr>
                <w:rFonts w:hint="eastAsia"/>
                <w:color w:val="000000"/>
                <w:w w:val="29"/>
                <w:shd w:val="solid" w:color="000000" w:fill="000000"/>
                <w:fitText w:val="132" w:id="-629520883"/>
                <w14:textFill>
                  <w14:solidFill>
                    <w14:srgbClr w14:val="000000">
                      <w14:alpha w14:val="100000"/>
                    </w14:srgbClr>
                  </w14:solidFill>
                </w14:textFill>
              </w:rPr>
              <w:t xml:space="preserve">　</w:t>
            </w:r>
            <w:r w:rsidRPr="00900B81">
              <w:rPr>
                <w:vertAlign w:val="superscript"/>
              </w:rPr>
              <w:t>g</w:t>
            </w:r>
          </w:p>
          <w:p w14:paraId="471812BC" w14:textId="78ACC553" w:rsidR="003C4C10" w:rsidRPr="00900B81" w:rsidRDefault="003C4C10">
            <w:pPr>
              <w:pStyle w:val="TableText0"/>
              <w:jc w:val="center"/>
            </w:pPr>
            <w:r w:rsidRPr="00900B81">
              <w:t>Years 2+:$</w:t>
            </w:r>
            <w:r w:rsidR="006564A4" w:rsidRPr="00333A5F">
              <w:rPr>
                <w:color w:val="000000"/>
                <w:spacing w:val="50"/>
                <w:shd w:val="solid" w:color="000000" w:fill="000000"/>
                <w:fitText w:val="228" w:id="-629520882"/>
                <w14:textFill>
                  <w14:solidFill>
                    <w14:srgbClr w14:val="000000">
                      <w14:alpha w14:val="100000"/>
                    </w14:srgbClr>
                  </w14:solidFill>
                </w14:textFill>
              </w:rPr>
              <w:t>||</w:t>
            </w:r>
            <w:r w:rsidR="006564A4" w:rsidRPr="00333A5F">
              <w:rPr>
                <w:color w:val="000000"/>
                <w:spacing w:val="1"/>
                <w:shd w:val="solid" w:color="000000" w:fill="000000"/>
                <w:fitText w:val="228" w:id="-629520882"/>
                <w14:textFill>
                  <w14:solidFill>
                    <w14:srgbClr w14:val="000000">
                      <w14:alpha w14:val="100000"/>
                    </w14:srgbClr>
                  </w14:solidFill>
                </w14:textFill>
              </w:rPr>
              <w:t>|</w:t>
            </w:r>
            <w:r w:rsidRPr="00900B81">
              <w:rPr>
                <w:vertAlign w:val="superscript"/>
              </w:rPr>
              <w:t>h</w:t>
            </w:r>
          </w:p>
        </w:tc>
        <w:tc>
          <w:tcPr>
            <w:tcW w:w="1201" w:type="dxa"/>
            <w:vAlign w:val="center"/>
          </w:tcPr>
          <w:p w14:paraId="01939E3A" w14:textId="77777777" w:rsidR="003C4C10" w:rsidRPr="00900B81" w:rsidRDefault="003C4C10">
            <w:pPr>
              <w:pStyle w:val="TableText0"/>
              <w:jc w:val="center"/>
            </w:pPr>
            <w:r w:rsidRPr="00900B81">
              <w:t xml:space="preserve">$41,060 </w:t>
            </w:r>
          </w:p>
          <w:p w14:paraId="1729C814" w14:textId="7F1802FF" w:rsidR="003C4C10" w:rsidRPr="00900B81" w:rsidRDefault="003C4C10">
            <w:pPr>
              <w:pStyle w:val="TableText0"/>
              <w:jc w:val="center"/>
            </w:pPr>
          </w:p>
        </w:tc>
        <w:tc>
          <w:tcPr>
            <w:tcW w:w="1561" w:type="dxa"/>
            <w:vAlign w:val="center"/>
          </w:tcPr>
          <w:p w14:paraId="38ED52CD" w14:textId="198F0358" w:rsidR="003C4C10" w:rsidRPr="00900B81" w:rsidRDefault="00F55E65">
            <w:pPr>
              <w:pStyle w:val="TableText0"/>
              <w:jc w:val="center"/>
            </w:pPr>
            <w:r w:rsidRPr="00900B81">
              <w:t>Year 1</w:t>
            </w:r>
            <w:r w:rsidRPr="00900B81">
              <w:rPr>
                <w:vertAlign w:val="superscript"/>
              </w:rPr>
              <w:t>e</w:t>
            </w:r>
            <w:r w:rsidRPr="00900B81">
              <w:t xml:space="preserve">: </w:t>
            </w:r>
            <w:r w:rsidR="003C4C10" w:rsidRPr="00900B81">
              <w:t xml:space="preserve">$44,281 </w:t>
            </w:r>
          </w:p>
          <w:p w14:paraId="038E55E9" w14:textId="309D833B" w:rsidR="003C4C10" w:rsidRPr="00900B81" w:rsidRDefault="00F55E65">
            <w:pPr>
              <w:pStyle w:val="TableText0"/>
              <w:jc w:val="center"/>
            </w:pPr>
            <w:r w:rsidRPr="00900B81">
              <w:t>Year 2+</w:t>
            </w:r>
            <w:r w:rsidRPr="00900B81">
              <w:rPr>
                <w:vertAlign w:val="superscript"/>
              </w:rPr>
              <w:t>f</w:t>
            </w:r>
            <w:r w:rsidRPr="00900B81">
              <w:t>:</w:t>
            </w:r>
            <w:r w:rsidRPr="00900B81">
              <w:rPr>
                <w:vertAlign w:val="superscript"/>
              </w:rPr>
              <w:t xml:space="preserve"> </w:t>
            </w:r>
            <w:r w:rsidR="003C4C10" w:rsidRPr="00900B81">
              <w:t xml:space="preserve">$39,690 </w:t>
            </w:r>
          </w:p>
        </w:tc>
        <w:tc>
          <w:tcPr>
            <w:tcW w:w="1222" w:type="dxa"/>
            <w:vAlign w:val="center"/>
          </w:tcPr>
          <w:p w14:paraId="068275C2" w14:textId="77777777" w:rsidR="003C4C10" w:rsidRPr="00900B81" w:rsidRDefault="003C4C10">
            <w:pPr>
              <w:pStyle w:val="TableText0"/>
              <w:jc w:val="center"/>
            </w:pPr>
            <w:r w:rsidRPr="00900B81">
              <w:t>$46,187</w:t>
            </w:r>
          </w:p>
          <w:p w14:paraId="55EC4A19" w14:textId="5737ED2B" w:rsidR="003C4C10" w:rsidRPr="00900B81" w:rsidRDefault="003C4C10">
            <w:pPr>
              <w:pStyle w:val="TableText0"/>
              <w:jc w:val="center"/>
            </w:pPr>
          </w:p>
        </w:tc>
      </w:tr>
    </w:tbl>
    <w:p w14:paraId="0853C5DD" w14:textId="77777777" w:rsidR="003C4C10" w:rsidRPr="00D7540E" w:rsidRDefault="003C4C10" w:rsidP="003C4C10">
      <w:pPr>
        <w:pStyle w:val="FooterTableFigure"/>
      </w:pPr>
      <w:r w:rsidRPr="00D7540E">
        <w:t>Source: Complied during the evaluation from p26, p185 of the submission</w:t>
      </w:r>
      <w:r>
        <w:t>, pp246-247 of the submission</w:t>
      </w:r>
      <w:r w:rsidRPr="00D7540E">
        <w:t>, worksheet “clinical” of the economic model.</w:t>
      </w:r>
    </w:p>
    <w:p w14:paraId="10DA66E3" w14:textId="77777777" w:rsidR="003C4C10" w:rsidRPr="00D7540E" w:rsidRDefault="003C4C10" w:rsidP="003C4C10">
      <w:pPr>
        <w:pStyle w:val="FooterTableFigure"/>
      </w:pPr>
      <w:r w:rsidRPr="00D7540E">
        <w:t>NR = not reported, OCA = obeticholic acid.</w:t>
      </w:r>
    </w:p>
    <w:p w14:paraId="25A9BD67" w14:textId="4482955A" w:rsidR="003C4C10" w:rsidRPr="00D7540E" w:rsidRDefault="003C4C10" w:rsidP="003C4C10">
      <w:pPr>
        <w:pStyle w:val="FooterTableFigure"/>
      </w:pPr>
      <w:r w:rsidRPr="00D7540E">
        <w:rPr>
          <w:vertAlign w:val="superscript"/>
        </w:rPr>
        <w:t>a</w:t>
      </w:r>
      <w:r w:rsidRPr="00D7540E">
        <w:t xml:space="preserve"> = $</w:t>
      </w:r>
      <w:r w:rsidR="006564A4" w:rsidRPr="00333A5F">
        <w:rPr>
          <w:color w:val="000000"/>
          <w:spacing w:val="36"/>
          <w:shd w:val="solid" w:color="000000" w:fill="000000"/>
          <w:fitText w:val="268" w:id="-629520881"/>
          <w14:textFill>
            <w14:solidFill>
              <w14:srgbClr w14:val="000000">
                <w14:alpha w14:val="100000"/>
              </w14:srgbClr>
            </w14:solidFill>
          </w14:textFill>
        </w:rPr>
        <w:t xml:space="preserve">|  </w:t>
      </w:r>
      <w:r w:rsidR="006564A4" w:rsidRPr="00333A5F">
        <w:rPr>
          <w:color w:val="000000"/>
          <w:spacing w:val="2"/>
          <w:shd w:val="solid" w:color="000000" w:fill="000000"/>
          <w:fitText w:val="268" w:id="-629520881"/>
          <w14:textFill>
            <w14:solidFill>
              <w14:srgbClr w14:val="000000">
                <w14:alpha w14:val="100000"/>
              </w14:srgbClr>
            </w14:solidFill>
          </w14:textFill>
        </w:rPr>
        <w:t>|</w:t>
      </w:r>
      <w:r w:rsidRPr="00D7540E">
        <w:t xml:space="preserve"> * (365.25/12) / 30 * 92.19% as DPMQ is $</w:t>
      </w:r>
      <w:r w:rsidR="006564A4" w:rsidRPr="00333A5F">
        <w:rPr>
          <w:color w:val="000000"/>
          <w:spacing w:val="8"/>
          <w:shd w:val="solid" w:color="000000" w:fill="000000"/>
          <w:fitText w:val="280" w:id="-629520880"/>
          <w14:textFill>
            <w14:solidFill>
              <w14:srgbClr w14:val="000000">
                <w14:alpha w14:val="100000"/>
              </w14:srgbClr>
            </w14:solidFill>
          </w14:textFill>
        </w:rPr>
        <w:t>||  |</w:t>
      </w:r>
      <w:r w:rsidR="006564A4" w:rsidRPr="00333A5F">
        <w:rPr>
          <w:color w:val="000000"/>
          <w:spacing w:val="5"/>
          <w:shd w:val="solid" w:color="000000" w:fill="000000"/>
          <w:fitText w:val="280" w:id="-629520880"/>
          <w14:textFill>
            <w14:solidFill>
              <w14:srgbClr w14:val="000000">
                <w14:alpha w14:val="100000"/>
              </w14:srgbClr>
            </w14:solidFill>
          </w14:textFill>
        </w:rPr>
        <w:t>|</w:t>
      </w:r>
      <w:r w:rsidRPr="00D7540E">
        <w:t xml:space="preserve"> per 30 days.</w:t>
      </w:r>
    </w:p>
    <w:p w14:paraId="7BD3CEF6" w14:textId="0090C15A" w:rsidR="003C4C10" w:rsidRDefault="003C4C10" w:rsidP="003C4C10">
      <w:pPr>
        <w:pStyle w:val="FooterTableFigure"/>
      </w:pPr>
      <w:r w:rsidRPr="00D7540E">
        <w:rPr>
          <w:vertAlign w:val="superscript"/>
        </w:rPr>
        <w:t xml:space="preserve">b </w:t>
      </w:r>
      <w:r w:rsidRPr="00D7540E">
        <w:t>= $</w:t>
      </w:r>
      <w:r w:rsidR="006564A4" w:rsidRPr="00333A5F">
        <w:rPr>
          <w:color w:val="000000"/>
          <w:spacing w:val="40"/>
          <w:shd w:val="solid" w:color="000000" w:fill="000000"/>
          <w:fitText w:val="280" w:id="-629520896"/>
          <w14:textFill>
            <w14:solidFill>
              <w14:srgbClr w14:val="000000">
                <w14:alpha w14:val="100000"/>
              </w14:srgbClr>
            </w14:solidFill>
          </w14:textFill>
        </w:rPr>
        <w:t xml:space="preserve">|  </w:t>
      </w:r>
      <w:r w:rsidR="006564A4" w:rsidRPr="00333A5F">
        <w:rPr>
          <w:color w:val="000000"/>
          <w:spacing w:val="2"/>
          <w:shd w:val="solid" w:color="000000" w:fill="000000"/>
          <w:fitText w:val="280" w:id="-629520896"/>
          <w14:textFill>
            <w14:solidFill>
              <w14:srgbClr w14:val="000000">
                <w14:alpha w14:val="100000"/>
              </w14:srgbClr>
            </w14:solidFill>
          </w14:textFill>
        </w:rPr>
        <w:t>|</w:t>
      </w:r>
      <w:r w:rsidRPr="00D7540E">
        <w:t xml:space="preserve"> * (365.25/12) / 30.</w:t>
      </w:r>
    </w:p>
    <w:p w14:paraId="07B7BC91" w14:textId="77777777" w:rsidR="003C4C10" w:rsidRDefault="003C4C10" w:rsidP="003C4C10">
      <w:pPr>
        <w:pStyle w:val="FooterTableFigure"/>
      </w:pPr>
      <w:r>
        <w:rPr>
          <w:vertAlign w:val="superscript"/>
        </w:rPr>
        <w:t>c</w:t>
      </w:r>
      <w:r w:rsidRPr="00D7540E">
        <w:rPr>
          <w:vertAlign w:val="superscript"/>
        </w:rPr>
        <w:t xml:space="preserve"> </w:t>
      </w:r>
      <w:r w:rsidRPr="00D7540E">
        <w:t>= $3,793.60 * (365.25/12) / 30 * 88.9% as DPMQ is $3,793.60 per 30 days.</w:t>
      </w:r>
    </w:p>
    <w:p w14:paraId="2EC9AA45" w14:textId="77777777" w:rsidR="003C4C10" w:rsidRPr="00D7540E" w:rsidRDefault="003C4C10" w:rsidP="003C4C10">
      <w:pPr>
        <w:pStyle w:val="FooterTableFigure"/>
      </w:pPr>
      <w:r w:rsidRPr="002A0EF3">
        <w:rPr>
          <w:vertAlign w:val="superscript"/>
        </w:rPr>
        <w:t>d</w:t>
      </w:r>
      <w:r>
        <w:t xml:space="preserve"> = $3,739.60 * (365.25/12) / 30.</w:t>
      </w:r>
    </w:p>
    <w:p w14:paraId="0995D743" w14:textId="17926044" w:rsidR="003C4C10" w:rsidRDefault="003C4C10" w:rsidP="003C4C10">
      <w:pPr>
        <w:pStyle w:val="FooterTableFigure"/>
      </w:pPr>
      <w:r>
        <w:rPr>
          <w:vertAlign w:val="superscript"/>
        </w:rPr>
        <w:t>e</w:t>
      </w:r>
      <w:r>
        <w:t xml:space="preserve"> in </w:t>
      </w:r>
      <w:r w:rsidR="00900B81">
        <w:t xml:space="preserve">CUA </w:t>
      </w:r>
      <w:r>
        <w:t xml:space="preserve">model, sum cells MP18:MP22, sheet engine (4) for seladelpar and sheet engine (6) for OCA. </w:t>
      </w:r>
    </w:p>
    <w:p w14:paraId="546FCFAC" w14:textId="6583DBC8" w:rsidR="003C4C10" w:rsidRDefault="003C4C10" w:rsidP="003C4C10">
      <w:pPr>
        <w:pStyle w:val="FooterTableFigure"/>
      </w:pPr>
      <w:r>
        <w:rPr>
          <w:vertAlign w:val="superscript"/>
        </w:rPr>
        <w:t>f</w:t>
      </w:r>
      <w:r>
        <w:t xml:space="preserve"> in </w:t>
      </w:r>
      <w:r w:rsidR="00900B81">
        <w:t>CUA</w:t>
      </w:r>
      <w:r>
        <w:t xml:space="preserve"> model, sum cells MP23:MP26, sheet engine (4) for seladelpar and sheet engine (6) for OCA.</w:t>
      </w:r>
    </w:p>
    <w:p w14:paraId="607EEB60" w14:textId="69182418" w:rsidR="003C4C10" w:rsidRPr="002A0EF3" w:rsidRDefault="003C4C10" w:rsidP="003C4C10">
      <w:pPr>
        <w:pStyle w:val="FooterTableFigure"/>
      </w:pPr>
      <w:r w:rsidRPr="002A0EF3">
        <w:rPr>
          <w:vertAlign w:val="superscript"/>
        </w:rPr>
        <w:t>g</w:t>
      </w:r>
      <w:r>
        <w:t xml:space="preserve"> = $</w:t>
      </w:r>
      <w:r w:rsidR="006564A4" w:rsidRPr="00333A5F">
        <w:rPr>
          <w:color w:val="000000"/>
          <w:spacing w:val="36"/>
          <w:shd w:val="solid" w:color="000000" w:fill="000000"/>
          <w:fitText w:val="268" w:id="-629520895"/>
          <w14:textFill>
            <w14:solidFill>
              <w14:srgbClr w14:val="000000">
                <w14:alpha w14:val="100000"/>
              </w14:srgbClr>
            </w14:solidFill>
          </w14:textFill>
        </w:rPr>
        <w:t xml:space="preserve">|  </w:t>
      </w:r>
      <w:r w:rsidR="006564A4" w:rsidRPr="00333A5F">
        <w:rPr>
          <w:color w:val="000000"/>
          <w:spacing w:val="2"/>
          <w:shd w:val="solid" w:color="000000" w:fill="000000"/>
          <w:fitText w:val="268" w:id="-629520895"/>
          <w14:textFill>
            <w14:solidFill>
              <w14:srgbClr w14:val="000000">
                <w14:alpha w14:val="100000"/>
              </w14:srgbClr>
            </w14:solidFill>
          </w14:textFill>
        </w:rPr>
        <w:t>|</w:t>
      </w:r>
      <w:r>
        <w:t xml:space="preserve"> * 7 + $</w:t>
      </w:r>
      <w:r w:rsidR="006564A4" w:rsidRPr="00333A5F">
        <w:rPr>
          <w:color w:val="000000"/>
          <w:spacing w:val="40"/>
          <w:shd w:val="solid" w:color="000000" w:fill="000000"/>
          <w:fitText w:val="280" w:id="-629520894"/>
          <w14:textFill>
            <w14:solidFill>
              <w14:srgbClr w14:val="000000">
                <w14:alpha w14:val="100000"/>
              </w14:srgbClr>
            </w14:solidFill>
          </w14:textFill>
        </w:rPr>
        <w:t xml:space="preserve">|  </w:t>
      </w:r>
      <w:r w:rsidR="006564A4" w:rsidRPr="00333A5F">
        <w:rPr>
          <w:color w:val="000000"/>
          <w:spacing w:val="2"/>
          <w:shd w:val="solid" w:color="000000" w:fill="000000"/>
          <w:fitText w:val="280" w:id="-629520894"/>
          <w14:textFill>
            <w14:solidFill>
              <w14:srgbClr w14:val="000000">
                <w14:alpha w14:val="100000"/>
              </w14:srgbClr>
            </w14:solidFill>
          </w14:textFill>
        </w:rPr>
        <w:t>|</w:t>
      </w:r>
      <w:r>
        <w:t xml:space="preserve"> * 5.13 * 93.98%</w:t>
      </w:r>
    </w:p>
    <w:p w14:paraId="00189F51" w14:textId="7A0A2DEA" w:rsidR="003C4C10" w:rsidRPr="002A0EF3" w:rsidRDefault="003C4C10" w:rsidP="003C4C10">
      <w:pPr>
        <w:pStyle w:val="FooterTableFigure"/>
      </w:pPr>
      <w:r w:rsidRPr="002A0EF3">
        <w:rPr>
          <w:vertAlign w:val="superscript"/>
        </w:rPr>
        <w:t>h</w:t>
      </w:r>
      <w:r>
        <w:rPr>
          <w:vertAlign w:val="superscript"/>
        </w:rPr>
        <w:t xml:space="preserve"> </w:t>
      </w:r>
      <w:r>
        <w:t>= $</w:t>
      </w:r>
      <w:r w:rsidR="006564A4" w:rsidRPr="00333A5F">
        <w:rPr>
          <w:color w:val="000000"/>
          <w:spacing w:val="47"/>
          <w:w w:val="87"/>
          <w:shd w:val="solid" w:color="000000" w:fill="000000"/>
          <w:fitText w:val="280" w:id="-629520893"/>
          <w14:textFill>
            <w14:solidFill>
              <w14:srgbClr w14:val="000000">
                <w14:alpha w14:val="100000"/>
              </w14:srgbClr>
            </w14:solidFill>
          </w14:textFill>
        </w:rPr>
        <w:t xml:space="preserve">|  </w:t>
      </w:r>
      <w:r w:rsidR="006564A4" w:rsidRPr="00333A5F">
        <w:rPr>
          <w:color w:val="000000"/>
          <w:spacing w:val="2"/>
          <w:w w:val="87"/>
          <w:shd w:val="solid" w:color="000000" w:fill="000000"/>
          <w:fitText w:val="280" w:id="-629520893"/>
          <w14:textFill>
            <w14:solidFill>
              <w14:srgbClr w14:val="000000">
                <w14:alpha w14:val="100000"/>
              </w14:srgbClr>
            </w14:solidFill>
          </w14:textFill>
        </w:rPr>
        <w:t>|</w:t>
      </w:r>
      <w:r>
        <w:t xml:space="preserve"> * 12.13 * 97.81%</w:t>
      </w:r>
    </w:p>
    <w:p w14:paraId="4BA486F2" w14:textId="77777777" w:rsidR="003C4C10" w:rsidRDefault="003C4C10" w:rsidP="003C4C10">
      <w:pPr>
        <w:pStyle w:val="3-BodyText"/>
      </w:pPr>
      <w:r>
        <w:t>In the economic model, s</w:t>
      </w:r>
      <w:r w:rsidRPr="002A0EF3">
        <w:t xml:space="preserve">eladelpar and OCA costs per cycle were </w:t>
      </w:r>
      <w:r>
        <w:t>equal to the</w:t>
      </w:r>
      <w:r w:rsidRPr="002A0EF3">
        <w:t xml:space="preserve"> monthly cost of treatment</w:t>
      </w:r>
      <w:r>
        <w:t>, multiplied by the</w:t>
      </w:r>
      <w:r w:rsidRPr="002A0EF3">
        <w:t xml:space="preserve"> proportion of participants in the PBC biomarker component of the model (i.e., not dead or with advanced liver disease) and remaining on treatment.</w:t>
      </w:r>
      <w:r>
        <w:t xml:space="preserve"> The e</w:t>
      </w:r>
      <w:r w:rsidRPr="002A0EF3">
        <w:t>stimated annual treatment costs</w:t>
      </w:r>
      <w:r>
        <w:t xml:space="preserve"> therefore</w:t>
      </w:r>
      <w:r w:rsidRPr="002A0EF3">
        <w:t xml:space="preserve"> decline</w:t>
      </w:r>
      <w:r>
        <w:t>d</w:t>
      </w:r>
      <w:r w:rsidRPr="002A0EF3">
        <w:t xml:space="preserve"> each</w:t>
      </w:r>
      <w:r>
        <w:t xml:space="preserve"> modelled</w:t>
      </w:r>
      <w:r w:rsidRPr="002A0EF3">
        <w:t xml:space="preserve"> year.</w:t>
      </w:r>
    </w:p>
    <w:p w14:paraId="01D9C551" w14:textId="7B093CE7" w:rsidR="003C4C10" w:rsidRPr="00EB733D" w:rsidRDefault="003C4C10" w:rsidP="003C4C10">
      <w:pPr>
        <w:pStyle w:val="3-BodyText"/>
      </w:pPr>
      <w:r w:rsidRPr="00EB733D">
        <w:lastRenderedPageBreak/>
        <w:t>In Year 1, the total cost per patient per year with seladelpar was $</w:t>
      </w:r>
      <w:r w:rsidR="006564A4" w:rsidRPr="00333A5F">
        <w:rPr>
          <w:color w:val="000000"/>
          <w:w w:val="61"/>
          <w:shd w:val="solid" w:color="000000" w:fill="000000"/>
          <w:fitText w:val="472" w:id="-629520892"/>
          <w14:textFill>
            <w14:solidFill>
              <w14:srgbClr w14:val="000000">
                <w14:alpha w14:val="100000"/>
              </w14:srgbClr>
            </w14:solidFill>
          </w14:textFill>
        </w:rPr>
        <w:t>|||  |||</w:t>
      </w:r>
      <w:r w:rsidRPr="00EB733D">
        <w:t xml:space="preserve"> in the economic model and </w:t>
      </w:r>
      <w:r w:rsidR="00F8273B" w:rsidRPr="00EB733D">
        <w:t>$</w:t>
      </w:r>
      <w:r w:rsidR="006564A4" w:rsidRPr="003A412A">
        <w:rPr>
          <w:color w:val="000000"/>
          <w:w w:val="15"/>
          <w:shd w:val="solid" w:color="000000" w:fill="000000"/>
          <w:fitText w:val="-20" w:id="-629520891"/>
          <w14:textFill>
            <w14:solidFill>
              <w14:srgbClr w14:val="000000">
                <w14:alpha w14:val="100000"/>
              </w14:srgbClr>
            </w14:solidFill>
          </w14:textFill>
        </w:rPr>
        <w:t xml:space="preserve">|  </w:t>
      </w:r>
      <w:r w:rsidR="006564A4" w:rsidRPr="003A412A">
        <w:rPr>
          <w:color w:val="000000"/>
          <w:spacing w:val="-69"/>
          <w:w w:val="15"/>
          <w:shd w:val="solid" w:color="000000" w:fill="000000"/>
          <w:fitText w:val="-20" w:id="-629520891"/>
          <w14:textFill>
            <w14:solidFill>
              <w14:srgbClr w14:val="000000">
                <w14:alpha w14:val="100000"/>
              </w14:srgbClr>
            </w14:solidFill>
          </w14:textFill>
        </w:rPr>
        <w:t>|</w:t>
      </w:r>
      <w:r w:rsidRPr="00EB733D">
        <w:t xml:space="preserve"> in the financial estimates. The difference was because patients in the economic model were excluded from the treatment cost calculation upon death or disease progression, which was not accounted for in the financial estimates. Further, the economic model and financial estimates applied different compliance rates. </w:t>
      </w:r>
    </w:p>
    <w:p w14:paraId="6C3B93A4" w14:textId="3F26A90A" w:rsidR="00A55AF1" w:rsidRDefault="00A55AF1" w:rsidP="00A55AF1">
      <w:pPr>
        <w:pStyle w:val="4-SubsectionHeading"/>
        <w:rPr>
          <w:lang w:eastAsia="en-AU"/>
        </w:rPr>
      </w:pPr>
      <w:bookmarkStart w:id="91" w:name="_Toc22897647"/>
      <w:bookmarkStart w:id="92" w:name="_Toc198561156"/>
      <w:bookmarkEnd w:id="73"/>
      <w:r w:rsidRPr="00C9624D">
        <w:rPr>
          <w:lang w:eastAsia="en-AU"/>
        </w:rPr>
        <w:t>Estimated PBS usage &amp; financial implications</w:t>
      </w:r>
      <w:bookmarkEnd w:id="91"/>
      <w:bookmarkEnd w:id="92"/>
    </w:p>
    <w:p w14:paraId="19F845C0" w14:textId="2BD4B05F" w:rsidR="00F50005" w:rsidRPr="0052156D" w:rsidRDefault="00F50005" w:rsidP="00F50005">
      <w:pPr>
        <w:pStyle w:val="3-BodyText"/>
        <w:rPr>
          <w:color w:val="0066FF"/>
        </w:rPr>
      </w:pPr>
      <w:r>
        <w:t xml:space="preserve">This submission </w:t>
      </w:r>
      <w:r w:rsidR="00900B81">
        <w:t>was not</w:t>
      </w:r>
      <w:r>
        <w:t xml:space="preserve"> considered by DUSC</w:t>
      </w:r>
      <w:r w:rsidRPr="00B50DB8">
        <w:rPr>
          <w:color w:val="0070C0"/>
        </w:rPr>
        <w:t>.</w:t>
      </w:r>
      <w:r>
        <w:rPr>
          <w:color w:val="0070C0"/>
        </w:rPr>
        <w:t xml:space="preserve"> </w:t>
      </w:r>
    </w:p>
    <w:p w14:paraId="6498A306" w14:textId="3782AF1F" w:rsidR="00F50005" w:rsidRDefault="00F50005" w:rsidP="00F50005">
      <w:pPr>
        <w:pStyle w:val="3-BodyText"/>
        <w:rPr>
          <w:color w:val="000000" w:themeColor="text1"/>
        </w:rPr>
      </w:pPr>
      <w:r w:rsidRPr="007469DC">
        <w:rPr>
          <w:color w:val="000000" w:themeColor="text1"/>
        </w:rPr>
        <w:t xml:space="preserve">The submission used a mixed market share and epidemiological approach. </w:t>
      </w:r>
      <w:r w:rsidRPr="000E14A4">
        <w:rPr>
          <w:color w:val="000000" w:themeColor="text1"/>
        </w:rPr>
        <w:t xml:space="preserve">The budget impact model used data from the DUSC Secretariat to estimate the proportion of UDCA use for PBC, incorporated UDCA intolerance rates from the RESPONSE trial, and </w:t>
      </w:r>
      <w:r>
        <w:rPr>
          <w:color w:val="000000" w:themeColor="text1"/>
        </w:rPr>
        <w:t xml:space="preserve">used </w:t>
      </w:r>
      <w:r w:rsidRPr="000E14A4">
        <w:rPr>
          <w:color w:val="000000" w:themeColor="text1"/>
        </w:rPr>
        <w:t xml:space="preserve">published literature to estimate inadequate UDCA response—together determining the proportion of patients eligible under the </w:t>
      </w:r>
      <w:r w:rsidRPr="00EB733D">
        <w:rPr>
          <w:color w:val="000000" w:themeColor="text1"/>
        </w:rPr>
        <w:t xml:space="preserve">proposed PBS criteria. </w:t>
      </w:r>
    </w:p>
    <w:p w14:paraId="55BD187B" w14:textId="0E6F955B" w:rsidR="001F4620" w:rsidRPr="00E8442C" w:rsidRDefault="001F4620" w:rsidP="00F50005">
      <w:pPr>
        <w:pStyle w:val="3-BodyText"/>
        <w:rPr>
          <w:color w:val="000000" w:themeColor="text1"/>
        </w:rPr>
      </w:pPr>
      <w:r w:rsidRPr="00E8442C">
        <w:rPr>
          <w:color w:val="000000" w:themeColor="text1"/>
        </w:rPr>
        <w:t>The ESC advised that seladel</w:t>
      </w:r>
      <w:r w:rsidR="001E070F" w:rsidRPr="00E8442C">
        <w:rPr>
          <w:color w:val="000000" w:themeColor="text1"/>
        </w:rPr>
        <w:t>par</w:t>
      </w:r>
      <w:r w:rsidRPr="00E8442C">
        <w:rPr>
          <w:color w:val="000000" w:themeColor="text1"/>
        </w:rPr>
        <w:t xml:space="preserve"> would be expected to</w:t>
      </w:r>
      <w:r w:rsidR="002827FB" w:rsidRPr="00E8442C">
        <w:rPr>
          <w:color w:val="000000" w:themeColor="text1"/>
        </w:rPr>
        <w:t xml:space="preserve"> displace OCA and elafibranor (</w:t>
      </w:r>
      <w:r w:rsidR="009C1289" w:rsidRPr="00E8442C">
        <w:rPr>
          <w:color w:val="000000" w:themeColor="text1"/>
        </w:rPr>
        <w:t>if</w:t>
      </w:r>
      <w:r w:rsidR="002827FB" w:rsidRPr="00E8442C">
        <w:rPr>
          <w:color w:val="000000" w:themeColor="text1"/>
        </w:rPr>
        <w:t xml:space="preserve"> PBS listed).</w:t>
      </w:r>
    </w:p>
    <w:p w14:paraId="4EB319EF" w14:textId="656DB8A1" w:rsidR="00F50005" w:rsidRPr="00EB733D" w:rsidRDefault="00F50005" w:rsidP="00F50005">
      <w:pPr>
        <w:pStyle w:val="3-BodyText"/>
        <w:rPr>
          <w:color w:val="000000" w:themeColor="text1"/>
        </w:rPr>
      </w:pPr>
      <w:r w:rsidRPr="00EB733D">
        <w:rPr>
          <w:color w:val="000000" w:themeColor="text1"/>
        </w:rPr>
        <w:fldChar w:fldCharType="begin"/>
      </w:r>
      <w:r w:rsidRPr="00EB733D">
        <w:rPr>
          <w:color w:val="000000" w:themeColor="text1"/>
        </w:rPr>
        <w:instrText xml:space="preserve"> REF _Ref104805262 \h  \* MERGEFORMAT </w:instrText>
      </w:r>
      <w:r w:rsidRPr="00EB733D">
        <w:rPr>
          <w:color w:val="000000" w:themeColor="text1"/>
        </w:rPr>
      </w:r>
      <w:r w:rsidRPr="00EB733D">
        <w:rPr>
          <w:color w:val="000000" w:themeColor="text1"/>
        </w:rPr>
        <w:fldChar w:fldCharType="separate"/>
      </w:r>
      <w:r w:rsidR="00333A5F" w:rsidRPr="00333A5F">
        <w:rPr>
          <w:color w:val="000000" w:themeColor="text1"/>
        </w:rPr>
        <w:t>Table 17</w:t>
      </w:r>
      <w:r w:rsidRPr="00EB733D">
        <w:rPr>
          <w:color w:val="000000" w:themeColor="text1"/>
        </w:rPr>
        <w:fldChar w:fldCharType="end"/>
      </w:r>
      <w:r w:rsidRPr="00EB733D">
        <w:rPr>
          <w:color w:val="000000" w:themeColor="text1"/>
        </w:rPr>
        <w:t xml:space="preserve"> outlines the key inputs in the financial estimates. </w:t>
      </w:r>
    </w:p>
    <w:p w14:paraId="47F6D039" w14:textId="24E92E84" w:rsidR="00F50005" w:rsidRPr="0098262F" w:rsidRDefault="00F50005" w:rsidP="00F50005">
      <w:pPr>
        <w:pStyle w:val="Caption"/>
        <w:rPr>
          <w:rStyle w:val="CommentReference"/>
          <w:b/>
          <w:szCs w:val="24"/>
        </w:rPr>
      </w:pPr>
      <w:bookmarkStart w:id="93" w:name="_Ref104805262"/>
      <w:r w:rsidRPr="0098262F">
        <w:t xml:space="preserve">Table </w:t>
      </w:r>
      <w:r w:rsidR="00A24BC2">
        <w:fldChar w:fldCharType="begin"/>
      </w:r>
      <w:r w:rsidR="00A24BC2">
        <w:instrText xml:space="preserve"> SEQ Table \* ARABIC </w:instrText>
      </w:r>
      <w:r w:rsidR="00A24BC2">
        <w:fldChar w:fldCharType="separate"/>
      </w:r>
      <w:r w:rsidR="00333A5F">
        <w:rPr>
          <w:noProof/>
        </w:rPr>
        <w:t>17</w:t>
      </w:r>
      <w:r w:rsidR="00A24BC2">
        <w:rPr>
          <w:noProof/>
        </w:rPr>
        <w:fldChar w:fldCharType="end"/>
      </w:r>
      <w:bookmarkEnd w:id="93"/>
      <w:r w:rsidRPr="0098262F">
        <w:t>:</w:t>
      </w:r>
      <w:r w:rsidRPr="0098262F">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Key inputs for financial estimates"/>
      </w:tblPr>
      <w:tblGrid>
        <w:gridCol w:w="2860"/>
        <w:gridCol w:w="2596"/>
        <w:gridCol w:w="3724"/>
      </w:tblGrid>
      <w:tr w:rsidR="00F50005" w:rsidRPr="00EB733D" w14:paraId="1AFE1B0A" w14:textId="77777777" w:rsidTr="009D51F1">
        <w:trPr>
          <w:cantSplit/>
          <w:tblHeader/>
        </w:trPr>
        <w:tc>
          <w:tcPr>
            <w:tcW w:w="2860" w:type="dxa"/>
            <w:vAlign w:val="center"/>
          </w:tcPr>
          <w:p w14:paraId="629EF1D9" w14:textId="77777777" w:rsidR="00F50005" w:rsidRPr="00EB733D" w:rsidRDefault="00F50005">
            <w:pPr>
              <w:pStyle w:val="In-tableHeading"/>
              <w:jc w:val="center"/>
            </w:pPr>
            <w:r w:rsidRPr="00EB733D">
              <w:t>Data</w:t>
            </w:r>
          </w:p>
        </w:tc>
        <w:tc>
          <w:tcPr>
            <w:tcW w:w="2596" w:type="dxa"/>
            <w:vAlign w:val="center"/>
          </w:tcPr>
          <w:p w14:paraId="06B0F531" w14:textId="77777777" w:rsidR="00F50005" w:rsidRPr="00EB733D" w:rsidRDefault="00F50005">
            <w:pPr>
              <w:pStyle w:val="In-tableHeading"/>
              <w:jc w:val="center"/>
            </w:pPr>
            <w:r w:rsidRPr="00EB733D">
              <w:t>Value applied and source</w:t>
            </w:r>
          </w:p>
        </w:tc>
        <w:tc>
          <w:tcPr>
            <w:tcW w:w="3724" w:type="dxa"/>
            <w:vAlign w:val="center"/>
          </w:tcPr>
          <w:p w14:paraId="4DBB06BB" w14:textId="77777777" w:rsidR="00F50005" w:rsidRPr="00EB733D" w:rsidRDefault="00F50005">
            <w:pPr>
              <w:pStyle w:val="In-tableHeading"/>
              <w:jc w:val="center"/>
            </w:pPr>
            <w:r w:rsidRPr="00EB733D">
              <w:t>Comment</w:t>
            </w:r>
          </w:p>
        </w:tc>
      </w:tr>
      <w:tr w:rsidR="00F50005" w:rsidRPr="00EB733D" w14:paraId="7AE1C1FB" w14:textId="77777777" w:rsidTr="009D51F1">
        <w:trPr>
          <w:cantSplit/>
        </w:trPr>
        <w:tc>
          <w:tcPr>
            <w:tcW w:w="9180" w:type="dxa"/>
            <w:gridSpan w:val="3"/>
            <w:vAlign w:val="center"/>
          </w:tcPr>
          <w:p w14:paraId="215FFFB7" w14:textId="77777777" w:rsidR="00F50005" w:rsidRPr="00EB733D" w:rsidRDefault="00F50005">
            <w:pPr>
              <w:pStyle w:val="In-tableHeading"/>
              <w:widowControl w:val="0"/>
              <w:rPr>
                <w:lang w:val="en-AU"/>
              </w:rPr>
            </w:pPr>
            <w:r w:rsidRPr="00EB733D">
              <w:rPr>
                <w:lang w:val="en-AU"/>
              </w:rPr>
              <w:t>Eligible population</w:t>
            </w:r>
          </w:p>
        </w:tc>
      </w:tr>
      <w:tr w:rsidR="00F50005" w:rsidRPr="00EB733D" w14:paraId="792A483D" w14:textId="77777777" w:rsidTr="009D51F1">
        <w:trPr>
          <w:cantSplit/>
        </w:trPr>
        <w:tc>
          <w:tcPr>
            <w:tcW w:w="2860" w:type="dxa"/>
            <w:vAlign w:val="center"/>
          </w:tcPr>
          <w:p w14:paraId="41DBA45B" w14:textId="77777777" w:rsidR="00F50005" w:rsidRPr="00EB733D" w:rsidRDefault="00F50005">
            <w:pPr>
              <w:pStyle w:val="TableText0"/>
              <w:keepNext w:val="0"/>
              <w:widowControl w:val="0"/>
            </w:pPr>
            <w:r w:rsidRPr="00EB733D">
              <w:t>Prevalent patients who were treated with UDCA</w:t>
            </w:r>
          </w:p>
        </w:tc>
        <w:tc>
          <w:tcPr>
            <w:tcW w:w="2596" w:type="dxa"/>
            <w:vAlign w:val="center"/>
          </w:tcPr>
          <w:p w14:paraId="223D1FBC" w14:textId="77777777" w:rsidR="00F50005" w:rsidRPr="00EB733D" w:rsidRDefault="00F50005">
            <w:pPr>
              <w:pStyle w:val="TableText0"/>
              <w:keepNext w:val="0"/>
              <w:widowControl w:val="0"/>
            </w:pPr>
            <w:r w:rsidRPr="00EB733D">
              <w:t>14,030 in Yr 1, increasing to 15,489 in Yr 6</w:t>
            </w:r>
          </w:p>
          <w:p w14:paraId="1DF73F9F" w14:textId="77777777" w:rsidR="00F50005" w:rsidRPr="00EB733D" w:rsidRDefault="00F50005">
            <w:pPr>
              <w:pStyle w:val="TableText0"/>
              <w:keepNext w:val="0"/>
              <w:widowControl w:val="0"/>
            </w:pPr>
            <w:r w:rsidRPr="00EB733D">
              <w:t>Estimated from past data provided by the DUSC Secretariat.</w:t>
            </w:r>
          </w:p>
        </w:tc>
        <w:tc>
          <w:tcPr>
            <w:tcW w:w="3724" w:type="dxa"/>
            <w:vAlign w:val="center"/>
          </w:tcPr>
          <w:p w14:paraId="315085D0" w14:textId="25C278BC" w:rsidR="00F50005" w:rsidRPr="00EB733D" w:rsidRDefault="00DE0F83">
            <w:pPr>
              <w:pStyle w:val="TableText0"/>
              <w:keepNext w:val="0"/>
              <w:widowControl w:val="0"/>
            </w:pPr>
            <w:r>
              <w:t>T</w:t>
            </w:r>
            <w:r w:rsidR="00F50005" w:rsidRPr="00EB733D">
              <w:t xml:space="preserve">he </w:t>
            </w:r>
            <w:r w:rsidR="00502BF0" w:rsidRPr="00EB733D">
              <w:t>increase from Yr 1 to Yr 6</w:t>
            </w:r>
            <w:r w:rsidR="006A2AE6" w:rsidRPr="00EB733D">
              <w:t xml:space="preserve">, at </w:t>
            </w:r>
            <w:r w:rsidR="00B818BB" w:rsidRPr="00EB733D">
              <w:t>2.0</w:t>
            </w:r>
            <w:r w:rsidR="006A2AE6" w:rsidRPr="00EB733D">
              <w:t>% p.a.</w:t>
            </w:r>
            <w:r w:rsidR="0006196B" w:rsidRPr="00EB733D">
              <w:t>,</w:t>
            </w:r>
            <w:r w:rsidR="00F50005" w:rsidRPr="00EB733D">
              <w:t xml:space="preserve"> was not justified.</w:t>
            </w:r>
          </w:p>
        </w:tc>
      </w:tr>
      <w:tr w:rsidR="00F50005" w:rsidRPr="00EB733D" w14:paraId="468FB2F0" w14:textId="77777777" w:rsidTr="009D51F1">
        <w:trPr>
          <w:cantSplit/>
        </w:trPr>
        <w:tc>
          <w:tcPr>
            <w:tcW w:w="2860" w:type="dxa"/>
            <w:vAlign w:val="center"/>
          </w:tcPr>
          <w:p w14:paraId="66223788" w14:textId="77777777" w:rsidR="00F50005" w:rsidRPr="00EB733D" w:rsidRDefault="00F50005">
            <w:pPr>
              <w:pStyle w:val="TableText0"/>
              <w:keepNext w:val="0"/>
              <w:widowControl w:val="0"/>
            </w:pPr>
            <w:r w:rsidRPr="00EB733D">
              <w:t>Proportion of patients on UDCA treatment who are being treated for PBC</w:t>
            </w:r>
          </w:p>
        </w:tc>
        <w:tc>
          <w:tcPr>
            <w:tcW w:w="2596" w:type="dxa"/>
            <w:vAlign w:val="center"/>
          </w:tcPr>
          <w:p w14:paraId="49B9417C" w14:textId="77777777" w:rsidR="00F50005" w:rsidRPr="00EB733D" w:rsidRDefault="00F50005">
            <w:pPr>
              <w:pStyle w:val="TableText0"/>
              <w:keepNext w:val="0"/>
              <w:widowControl w:val="0"/>
            </w:pPr>
            <w:r w:rsidRPr="00EB733D">
              <w:t>60%. Assumption</w:t>
            </w:r>
          </w:p>
        </w:tc>
        <w:tc>
          <w:tcPr>
            <w:tcW w:w="3724" w:type="dxa"/>
            <w:vAlign w:val="center"/>
          </w:tcPr>
          <w:p w14:paraId="63120D28" w14:textId="6C5C79EA" w:rsidR="00F50005" w:rsidRPr="00EB733D" w:rsidRDefault="00F50005">
            <w:pPr>
              <w:pStyle w:val="TableText0"/>
              <w:keepNext w:val="0"/>
              <w:widowControl w:val="0"/>
            </w:pPr>
            <w:r w:rsidRPr="00EB733D">
              <w:t xml:space="preserve">This assumption was uncertain, as it implied that 40% of the UDCA prescriptions for PBC were </w:t>
            </w:r>
            <w:r w:rsidR="00FA1D0C" w:rsidRPr="00EB733D">
              <w:t>off label</w:t>
            </w:r>
            <w:r w:rsidRPr="00EB733D">
              <w:t xml:space="preserve">, a notably high proportion for a medicine with an Authority Required listing. </w:t>
            </w:r>
          </w:p>
        </w:tc>
      </w:tr>
      <w:tr w:rsidR="00F50005" w:rsidRPr="00EB733D" w14:paraId="5BE01B91" w14:textId="77777777" w:rsidTr="009D51F1">
        <w:trPr>
          <w:cantSplit/>
        </w:trPr>
        <w:tc>
          <w:tcPr>
            <w:tcW w:w="2860" w:type="dxa"/>
            <w:vAlign w:val="center"/>
          </w:tcPr>
          <w:p w14:paraId="11D08140" w14:textId="77777777" w:rsidR="00F50005" w:rsidRPr="00EB733D" w:rsidRDefault="00F50005">
            <w:pPr>
              <w:pStyle w:val="TableText0"/>
              <w:keepNext w:val="0"/>
              <w:widowControl w:val="0"/>
            </w:pPr>
            <w:r w:rsidRPr="00EB733D">
              <w:t xml:space="preserve">Proportion of PBC patients who are intolerant to UDCA treatment </w:t>
            </w:r>
          </w:p>
        </w:tc>
        <w:tc>
          <w:tcPr>
            <w:tcW w:w="2596" w:type="dxa"/>
            <w:vAlign w:val="center"/>
          </w:tcPr>
          <w:p w14:paraId="06FB227C" w14:textId="77777777" w:rsidR="00F50005" w:rsidRPr="00EB733D" w:rsidRDefault="00F50005">
            <w:pPr>
              <w:pStyle w:val="TableText0"/>
              <w:keepNext w:val="0"/>
              <w:widowControl w:val="0"/>
            </w:pPr>
            <w:r w:rsidRPr="00EB733D">
              <w:t xml:space="preserve">6.2%. The RESPONSE trial </w:t>
            </w:r>
          </w:p>
        </w:tc>
        <w:tc>
          <w:tcPr>
            <w:tcW w:w="3724" w:type="dxa"/>
            <w:vAlign w:val="center"/>
          </w:tcPr>
          <w:p w14:paraId="6B66A54B" w14:textId="309E94FF" w:rsidR="00F50005" w:rsidRPr="00EB733D" w:rsidRDefault="00F50005">
            <w:pPr>
              <w:pStyle w:val="TableText0"/>
              <w:keepNext w:val="0"/>
              <w:widowControl w:val="0"/>
            </w:pPr>
            <w:r w:rsidRPr="00EB733D">
              <w:t>Invernizzi (2017)</w:t>
            </w:r>
            <w:r w:rsidRPr="00EB733D">
              <w:rPr>
                <w:rStyle w:val="FootnoteReference"/>
              </w:rPr>
              <w:footnoteReference w:id="6"/>
            </w:r>
            <w:r w:rsidRPr="00EB733D">
              <w:t xml:space="preserve"> indicated that 3 to 5% of PBC patients were intolerant to UDCA. </w:t>
            </w:r>
          </w:p>
        </w:tc>
      </w:tr>
      <w:tr w:rsidR="00F50005" w:rsidRPr="00EB733D" w14:paraId="21E2CECD" w14:textId="77777777" w:rsidTr="009D51F1">
        <w:trPr>
          <w:cantSplit/>
        </w:trPr>
        <w:tc>
          <w:tcPr>
            <w:tcW w:w="2860" w:type="dxa"/>
            <w:vAlign w:val="center"/>
          </w:tcPr>
          <w:p w14:paraId="3F8E641D" w14:textId="77777777" w:rsidR="00F50005" w:rsidRPr="00EB733D" w:rsidRDefault="00F50005">
            <w:pPr>
              <w:pStyle w:val="TableText0"/>
              <w:keepNext w:val="0"/>
              <w:widowControl w:val="0"/>
            </w:pPr>
            <w:r w:rsidRPr="00EB733D">
              <w:t>Proportion of PBC patients on UDCA treatment &gt; 1 year</w:t>
            </w:r>
          </w:p>
        </w:tc>
        <w:tc>
          <w:tcPr>
            <w:tcW w:w="2596" w:type="dxa"/>
            <w:vAlign w:val="center"/>
          </w:tcPr>
          <w:p w14:paraId="54A38F97" w14:textId="77777777" w:rsidR="00F50005" w:rsidRPr="00EB733D" w:rsidRDefault="00F50005">
            <w:pPr>
              <w:pStyle w:val="TableText0"/>
              <w:keepNext w:val="0"/>
              <w:widowControl w:val="0"/>
            </w:pPr>
            <w:r w:rsidRPr="00EB733D">
              <w:t>23.44%. Data provided by the DUSC Secretariat</w:t>
            </w:r>
          </w:p>
        </w:tc>
        <w:tc>
          <w:tcPr>
            <w:tcW w:w="3724" w:type="dxa"/>
            <w:vAlign w:val="center"/>
          </w:tcPr>
          <w:p w14:paraId="21C872A4" w14:textId="4EC6C62A" w:rsidR="00F50005" w:rsidRPr="00EB733D" w:rsidRDefault="00DE0F83">
            <w:pPr>
              <w:pStyle w:val="TableText0"/>
              <w:keepNext w:val="0"/>
              <w:widowControl w:val="0"/>
            </w:pPr>
            <w:r>
              <w:t>-</w:t>
            </w:r>
          </w:p>
        </w:tc>
      </w:tr>
      <w:tr w:rsidR="00F50005" w:rsidRPr="00EB733D" w14:paraId="3FD17A9E" w14:textId="77777777" w:rsidTr="009D51F1">
        <w:trPr>
          <w:cantSplit/>
        </w:trPr>
        <w:tc>
          <w:tcPr>
            <w:tcW w:w="2860" w:type="dxa"/>
            <w:vAlign w:val="center"/>
          </w:tcPr>
          <w:p w14:paraId="1524646B" w14:textId="77777777" w:rsidR="00F50005" w:rsidRPr="00EB733D" w:rsidRDefault="00F50005">
            <w:pPr>
              <w:pStyle w:val="TableText0"/>
              <w:keepNext w:val="0"/>
              <w:widowControl w:val="0"/>
            </w:pPr>
            <w:r w:rsidRPr="00EB733D">
              <w:t>Proportion of PBC patients on UDCA treatment &gt; 1 year and who are UDCA-intolerant or have an incomplete response to UDCA</w:t>
            </w:r>
          </w:p>
        </w:tc>
        <w:tc>
          <w:tcPr>
            <w:tcW w:w="2596" w:type="dxa"/>
            <w:vAlign w:val="center"/>
          </w:tcPr>
          <w:p w14:paraId="302D1D76" w14:textId="77777777" w:rsidR="00F50005" w:rsidRPr="00EB733D" w:rsidRDefault="00F50005">
            <w:pPr>
              <w:pStyle w:val="TableText0"/>
              <w:keepNext w:val="0"/>
              <w:widowControl w:val="0"/>
            </w:pPr>
            <w:r w:rsidRPr="00EB733D">
              <w:t>40%. A literature search by the submission.</w:t>
            </w:r>
          </w:p>
        </w:tc>
        <w:tc>
          <w:tcPr>
            <w:tcW w:w="3724" w:type="dxa"/>
            <w:vAlign w:val="center"/>
          </w:tcPr>
          <w:p w14:paraId="4DD0015F" w14:textId="2C839FDE" w:rsidR="00F50005" w:rsidRPr="00EB733D" w:rsidRDefault="00F50005">
            <w:pPr>
              <w:pStyle w:val="TableText0"/>
              <w:keepNext w:val="0"/>
              <w:widowControl w:val="0"/>
            </w:pPr>
            <w:r w:rsidRPr="00EB733D">
              <w:t xml:space="preserve">This was uncertain and not adequately justified. Assuming that 40% of PBC patients had an inadequate response to UDCA treatment may have overestimated the eligible population, as previous studies have reported a range of </w:t>
            </w:r>
            <w:r w:rsidR="00B023EA">
              <w:t>30</w:t>
            </w:r>
            <w:r w:rsidRPr="00EB733D">
              <w:t xml:space="preserve">% to 40%, with 40% representing the upper bound. The submission also did not provide adequate justification for counting the UDCA-intolerant patients as part of the cohort treated with UDCA for &gt;1 year. </w:t>
            </w:r>
          </w:p>
        </w:tc>
      </w:tr>
      <w:tr w:rsidR="00F50005" w:rsidRPr="00EB733D" w14:paraId="2E45AFEF" w14:textId="77777777" w:rsidTr="009D51F1">
        <w:trPr>
          <w:cantSplit/>
        </w:trPr>
        <w:tc>
          <w:tcPr>
            <w:tcW w:w="9180" w:type="dxa"/>
            <w:gridSpan w:val="3"/>
            <w:vAlign w:val="center"/>
          </w:tcPr>
          <w:p w14:paraId="6259E8D2" w14:textId="77777777" w:rsidR="00F50005" w:rsidRPr="00EB733D" w:rsidRDefault="00F50005">
            <w:pPr>
              <w:pStyle w:val="TableText0"/>
              <w:keepNext w:val="0"/>
              <w:widowControl w:val="0"/>
              <w:rPr>
                <w:b/>
              </w:rPr>
            </w:pPr>
            <w:r w:rsidRPr="00EB733D">
              <w:rPr>
                <w:b/>
              </w:rPr>
              <w:t>Treatment utilisation</w:t>
            </w:r>
          </w:p>
        </w:tc>
      </w:tr>
      <w:tr w:rsidR="00F50005" w:rsidRPr="00EB733D" w14:paraId="40A7EF7B" w14:textId="77777777" w:rsidTr="009D51F1">
        <w:trPr>
          <w:cantSplit/>
        </w:trPr>
        <w:tc>
          <w:tcPr>
            <w:tcW w:w="2860" w:type="dxa"/>
            <w:vAlign w:val="center"/>
          </w:tcPr>
          <w:p w14:paraId="427B3007" w14:textId="77777777" w:rsidR="00F50005" w:rsidRPr="00EB733D" w:rsidRDefault="00F50005">
            <w:pPr>
              <w:pStyle w:val="TableText0"/>
              <w:keepNext w:val="0"/>
              <w:widowControl w:val="0"/>
            </w:pPr>
            <w:r w:rsidRPr="00EB733D">
              <w:lastRenderedPageBreak/>
              <w:t>Uptake rate</w:t>
            </w:r>
          </w:p>
        </w:tc>
        <w:tc>
          <w:tcPr>
            <w:tcW w:w="2596" w:type="dxa"/>
            <w:vAlign w:val="center"/>
          </w:tcPr>
          <w:p w14:paraId="0AEE4BF8" w14:textId="113A5710" w:rsidR="00F50005" w:rsidRPr="00EB733D" w:rsidRDefault="00F50005">
            <w:pPr>
              <w:pStyle w:val="TableText0"/>
              <w:keepNext w:val="0"/>
              <w:widowControl w:val="0"/>
            </w:pPr>
            <w:r w:rsidRPr="00EB733D">
              <w:t xml:space="preserve">Yr 1 = </w:t>
            </w:r>
            <w:r w:rsidR="006564A4" w:rsidRPr="00333A5F">
              <w:rPr>
                <w:color w:val="000000"/>
                <w:spacing w:val="51"/>
                <w:shd w:val="solid" w:color="000000" w:fill="000000"/>
                <w:fitText w:val="324" w:id="-629520890"/>
                <w14:textFill>
                  <w14:solidFill>
                    <w14:srgbClr w14:val="000000">
                      <w14:alpha w14:val="100000"/>
                    </w14:srgbClr>
                  </w14:solidFill>
                </w14:textFill>
              </w:rPr>
              <w:t>|||</w:t>
            </w:r>
            <w:r w:rsidR="006564A4" w:rsidRPr="00333A5F">
              <w:rPr>
                <w:color w:val="000000"/>
                <w:spacing w:val="1"/>
                <w:shd w:val="solid" w:color="000000" w:fill="000000"/>
                <w:fitText w:val="324" w:id="-629520890"/>
                <w14:textFill>
                  <w14:solidFill>
                    <w14:srgbClr w14:val="000000">
                      <w14:alpha w14:val="100000"/>
                    </w14:srgbClr>
                  </w14:solidFill>
                </w14:textFill>
              </w:rPr>
              <w:t>|</w:t>
            </w:r>
            <w:r w:rsidRPr="00EB733D">
              <w:t xml:space="preserve">% and growing by </w:t>
            </w:r>
            <w:r w:rsidR="006564A4" w:rsidRPr="00333A5F">
              <w:rPr>
                <w:color w:val="000000"/>
                <w:spacing w:val="51"/>
                <w:shd w:val="solid" w:color="000000" w:fill="000000"/>
                <w:fitText w:val="324" w:id="-629520889"/>
                <w14:textFill>
                  <w14:solidFill>
                    <w14:srgbClr w14:val="000000">
                      <w14:alpha w14:val="100000"/>
                    </w14:srgbClr>
                  </w14:solidFill>
                </w14:textFill>
              </w:rPr>
              <w:t>|||</w:t>
            </w:r>
            <w:r w:rsidR="006564A4" w:rsidRPr="00333A5F">
              <w:rPr>
                <w:color w:val="000000"/>
                <w:spacing w:val="1"/>
                <w:shd w:val="solid" w:color="000000" w:fill="000000"/>
                <w:fitText w:val="324" w:id="-629520889"/>
                <w14:textFill>
                  <w14:solidFill>
                    <w14:srgbClr w14:val="000000">
                      <w14:alpha w14:val="100000"/>
                    </w14:srgbClr>
                  </w14:solidFill>
                </w14:textFill>
              </w:rPr>
              <w:t>|</w:t>
            </w:r>
            <w:r w:rsidRPr="00EB733D">
              <w:t>% each year.</w:t>
            </w:r>
          </w:p>
          <w:p w14:paraId="72E5313F" w14:textId="77777777" w:rsidR="00F50005" w:rsidRPr="00EB733D" w:rsidRDefault="00F50005">
            <w:pPr>
              <w:pStyle w:val="TableText0"/>
              <w:keepNext w:val="0"/>
              <w:widowControl w:val="0"/>
            </w:pPr>
            <w:r w:rsidRPr="00EB733D">
              <w:t>Assumption.</w:t>
            </w:r>
          </w:p>
        </w:tc>
        <w:tc>
          <w:tcPr>
            <w:tcW w:w="3724" w:type="dxa"/>
            <w:vAlign w:val="center"/>
          </w:tcPr>
          <w:p w14:paraId="5D9F3B04" w14:textId="2BFC4E47" w:rsidR="00F50005" w:rsidRPr="00EB733D" w:rsidRDefault="00F50005">
            <w:pPr>
              <w:pStyle w:val="TableText0"/>
              <w:keepNext w:val="0"/>
              <w:widowControl w:val="0"/>
            </w:pPr>
            <w:r w:rsidRPr="00EB733D">
              <w:t xml:space="preserve">This was uncertain and not adequately justified. However, seladelpar was superior in efficacy compared to BSC, which may justify a higher uptake rate. This parameter is dependent upon the future availability of elafibranor for PBC. </w:t>
            </w:r>
          </w:p>
        </w:tc>
      </w:tr>
      <w:tr w:rsidR="00F50005" w:rsidRPr="00EB733D" w14:paraId="57502CE7" w14:textId="77777777" w:rsidTr="009D51F1">
        <w:trPr>
          <w:cantSplit/>
        </w:trPr>
        <w:tc>
          <w:tcPr>
            <w:tcW w:w="2860" w:type="dxa"/>
            <w:vAlign w:val="center"/>
          </w:tcPr>
          <w:p w14:paraId="059B1229" w14:textId="77777777" w:rsidR="00F50005" w:rsidRPr="00EB733D" w:rsidRDefault="00F50005">
            <w:pPr>
              <w:pStyle w:val="TableText0"/>
              <w:keepNext w:val="0"/>
              <w:widowControl w:val="0"/>
            </w:pPr>
            <w:r w:rsidRPr="00EB733D">
              <w:t>Discontinuation rate of seladelpar for any reason (e.g., adverse events)</w:t>
            </w:r>
          </w:p>
        </w:tc>
        <w:tc>
          <w:tcPr>
            <w:tcW w:w="2596" w:type="dxa"/>
            <w:vAlign w:val="center"/>
          </w:tcPr>
          <w:p w14:paraId="29146585" w14:textId="77777777" w:rsidR="00F50005" w:rsidRPr="00EB733D" w:rsidRDefault="00F50005">
            <w:pPr>
              <w:pStyle w:val="TableText0"/>
              <w:keepNext w:val="0"/>
              <w:widowControl w:val="0"/>
            </w:pPr>
            <w:r w:rsidRPr="00EB733D">
              <w:t>7.81% in Yr 1 and 2.19% in the subsequent years</w:t>
            </w:r>
          </w:p>
          <w:p w14:paraId="0E8762C1" w14:textId="77777777" w:rsidR="00F50005" w:rsidRPr="00EB733D" w:rsidRDefault="00F50005">
            <w:pPr>
              <w:pStyle w:val="TableText0"/>
              <w:keepNext w:val="0"/>
              <w:widowControl w:val="0"/>
            </w:pPr>
            <w:r w:rsidRPr="00EB733D">
              <w:t>The ELATIVE trial and applied to the RESPONSE trial discontinuation rate</w:t>
            </w:r>
          </w:p>
        </w:tc>
        <w:tc>
          <w:tcPr>
            <w:tcW w:w="3724" w:type="dxa"/>
            <w:vAlign w:val="center"/>
          </w:tcPr>
          <w:p w14:paraId="7AE44BDE" w14:textId="77777777" w:rsidR="00F50005" w:rsidRPr="00EB733D" w:rsidRDefault="00F50005">
            <w:pPr>
              <w:pStyle w:val="TableText0"/>
              <w:keepNext w:val="0"/>
              <w:widowControl w:val="0"/>
            </w:pPr>
            <w:r w:rsidRPr="00EB733D">
              <w:t>This was uncertain. The submission stated that the annual discontinuation rate for seladelpar was 7.81% in Year 1. However, it does not specify when the discontinuation occurred—whether it happened within the first 6 months, before the 6-month mark, or between 6 and 12 months.</w:t>
            </w:r>
          </w:p>
          <w:p w14:paraId="233F87F9" w14:textId="77777777" w:rsidR="00F50005" w:rsidRPr="00EB733D" w:rsidRDefault="00F50005">
            <w:pPr>
              <w:pStyle w:val="TableText0"/>
              <w:keepNext w:val="0"/>
              <w:widowControl w:val="0"/>
            </w:pPr>
            <w:r w:rsidRPr="00EB733D">
              <w:t xml:space="preserve">In addition, combining elafibranor and seladelpar data presented uncertainty, as there were differences between the ELATIVE and RESPONSE trial populations. </w:t>
            </w:r>
          </w:p>
        </w:tc>
      </w:tr>
      <w:tr w:rsidR="00F50005" w:rsidRPr="00EB733D" w14:paraId="3F1B5954" w14:textId="77777777" w:rsidTr="009D51F1">
        <w:trPr>
          <w:cantSplit/>
        </w:trPr>
        <w:tc>
          <w:tcPr>
            <w:tcW w:w="2860" w:type="dxa"/>
            <w:vAlign w:val="center"/>
          </w:tcPr>
          <w:p w14:paraId="39D784C4" w14:textId="77777777" w:rsidR="00F50005" w:rsidRPr="00EB733D" w:rsidRDefault="00F50005">
            <w:pPr>
              <w:pStyle w:val="TableText0"/>
              <w:keepNext w:val="0"/>
              <w:widowControl w:val="0"/>
            </w:pPr>
            <w:r w:rsidRPr="00EB733D">
              <w:t>Scripts (initial and continuing)</w:t>
            </w:r>
          </w:p>
        </w:tc>
        <w:tc>
          <w:tcPr>
            <w:tcW w:w="2596" w:type="dxa"/>
            <w:vAlign w:val="center"/>
          </w:tcPr>
          <w:p w14:paraId="1C0D2DCB" w14:textId="65F1E377" w:rsidR="00F50005" w:rsidRPr="00EB733D" w:rsidRDefault="00F50005">
            <w:pPr>
              <w:pStyle w:val="TableText0"/>
              <w:keepNext w:val="0"/>
              <w:widowControl w:val="0"/>
            </w:pPr>
            <w:r w:rsidRPr="00EB733D">
              <w:t xml:space="preserve">Initiation: </w:t>
            </w:r>
            <w:r w:rsidR="006564A4" w:rsidRPr="00333A5F">
              <w:rPr>
                <w:color w:val="000000"/>
                <w:spacing w:val="51"/>
                <w:shd w:val="solid" w:color="000000" w:fill="000000"/>
                <w:fitText w:val="324" w:id="-629520888"/>
                <w14:textFill>
                  <w14:solidFill>
                    <w14:srgbClr w14:val="000000">
                      <w14:alpha w14:val="100000"/>
                    </w14:srgbClr>
                  </w14:solidFill>
                </w14:textFill>
              </w:rPr>
              <w:t>|||</w:t>
            </w:r>
            <w:r w:rsidR="006564A4" w:rsidRPr="00333A5F">
              <w:rPr>
                <w:color w:val="000000"/>
                <w:spacing w:val="1"/>
                <w:shd w:val="solid" w:color="000000" w:fill="000000"/>
                <w:fitText w:val="324" w:id="-629520888"/>
                <w14:textFill>
                  <w14:solidFill>
                    <w14:srgbClr w14:val="000000">
                      <w14:alpha w14:val="100000"/>
                    </w14:srgbClr>
                  </w14:solidFill>
                </w14:textFill>
              </w:rPr>
              <w:t>|</w:t>
            </w:r>
            <w:r w:rsidR="00EB7D5A" w:rsidRPr="00EB7D5A">
              <w:rPr>
                <w:vertAlign w:val="superscript"/>
              </w:rPr>
              <w:t>1</w:t>
            </w:r>
            <w:r w:rsidRPr="00EB733D">
              <w:t xml:space="preserve"> scripts</w:t>
            </w:r>
          </w:p>
          <w:p w14:paraId="40A28F60" w14:textId="5906DC25" w:rsidR="00F50005" w:rsidRPr="00EB733D" w:rsidRDefault="00F50005">
            <w:pPr>
              <w:pStyle w:val="TableText0"/>
              <w:keepNext w:val="0"/>
              <w:widowControl w:val="0"/>
            </w:pPr>
            <w:r w:rsidRPr="00EB733D">
              <w:t>Continuation (1</w:t>
            </w:r>
            <w:r w:rsidRPr="00EB733D">
              <w:rPr>
                <w:vertAlign w:val="superscript"/>
              </w:rPr>
              <w:t>st</w:t>
            </w:r>
            <w:r w:rsidRPr="00EB733D">
              <w:t xml:space="preserve"> year after initiation): </w:t>
            </w:r>
            <w:r w:rsidR="006564A4" w:rsidRPr="00333A5F">
              <w:rPr>
                <w:color w:val="000000"/>
                <w:spacing w:val="55"/>
                <w:shd w:val="solid" w:color="000000" w:fill="000000"/>
                <w:fitText w:val="336" w:id="-629520887"/>
                <w14:textFill>
                  <w14:solidFill>
                    <w14:srgbClr w14:val="000000">
                      <w14:alpha w14:val="100000"/>
                    </w14:srgbClr>
                  </w14:solidFill>
                </w14:textFill>
              </w:rPr>
              <w:t>|||</w:t>
            </w:r>
            <w:r w:rsidR="006564A4" w:rsidRPr="00333A5F">
              <w:rPr>
                <w:color w:val="000000"/>
                <w:spacing w:val="1"/>
                <w:shd w:val="solid" w:color="000000" w:fill="000000"/>
                <w:fitText w:val="336" w:id="-629520887"/>
                <w14:textFill>
                  <w14:solidFill>
                    <w14:srgbClr w14:val="000000">
                      <w14:alpha w14:val="100000"/>
                    </w14:srgbClr>
                  </w14:solidFill>
                </w14:textFill>
              </w:rPr>
              <w:t>|</w:t>
            </w:r>
            <w:r w:rsidR="00EB7D5A" w:rsidRPr="00EB7D5A">
              <w:rPr>
                <w:vertAlign w:val="superscript"/>
              </w:rPr>
              <w:t>1</w:t>
            </w:r>
          </w:p>
          <w:p w14:paraId="37632C6B" w14:textId="4391503A" w:rsidR="00F50005" w:rsidRPr="00EB733D" w:rsidRDefault="00F50005">
            <w:pPr>
              <w:pStyle w:val="TableText0"/>
              <w:keepNext w:val="0"/>
              <w:widowControl w:val="0"/>
            </w:pPr>
            <w:r w:rsidRPr="00EB733D">
              <w:t>Continuation (2</w:t>
            </w:r>
            <w:r w:rsidRPr="00EB733D">
              <w:rPr>
                <w:vertAlign w:val="superscript"/>
              </w:rPr>
              <w:t>nd</w:t>
            </w:r>
            <w:r w:rsidRPr="00EB733D">
              <w:t xml:space="preserve"> year after initiation): </w:t>
            </w:r>
            <w:r w:rsidR="006564A4" w:rsidRPr="00333A5F">
              <w:rPr>
                <w:color w:val="000000"/>
                <w:spacing w:val="55"/>
                <w:shd w:val="solid" w:color="000000" w:fill="000000"/>
                <w:fitText w:val="336" w:id="-629520886"/>
                <w14:textFill>
                  <w14:solidFill>
                    <w14:srgbClr w14:val="000000">
                      <w14:alpha w14:val="100000"/>
                    </w14:srgbClr>
                  </w14:solidFill>
                </w14:textFill>
              </w:rPr>
              <w:t>|||</w:t>
            </w:r>
            <w:r w:rsidR="006564A4" w:rsidRPr="00333A5F">
              <w:rPr>
                <w:color w:val="000000"/>
                <w:spacing w:val="1"/>
                <w:shd w:val="solid" w:color="000000" w:fill="000000"/>
                <w:fitText w:val="336" w:id="-629520886"/>
                <w14:textFill>
                  <w14:solidFill>
                    <w14:srgbClr w14:val="000000">
                      <w14:alpha w14:val="100000"/>
                    </w14:srgbClr>
                  </w14:solidFill>
                </w14:textFill>
              </w:rPr>
              <w:t>|</w:t>
            </w:r>
            <w:r w:rsidRPr="00EB733D">
              <w:t xml:space="preserve"> </w:t>
            </w:r>
            <w:r w:rsidR="00EB7D5A" w:rsidRPr="00EB7D5A">
              <w:rPr>
                <w:vertAlign w:val="superscript"/>
              </w:rPr>
              <w:t>1</w:t>
            </w:r>
          </w:p>
          <w:p w14:paraId="72ABD6D7" w14:textId="77777777" w:rsidR="00F50005" w:rsidRPr="00EB733D" w:rsidRDefault="00F50005">
            <w:pPr>
              <w:pStyle w:val="TableText0"/>
              <w:keepNext w:val="0"/>
              <w:widowControl w:val="0"/>
            </w:pPr>
            <w:r w:rsidRPr="00EB733D">
              <w:t>Using the mean compliance of 97.8% from the RESPONSE trial and a 3.91% (7.81%/2) discontinuation rate.</w:t>
            </w:r>
          </w:p>
        </w:tc>
        <w:tc>
          <w:tcPr>
            <w:tcW w:w="3724" w:type="dxa"/>
            <w:vAlign w:val="center"/>
          </w:tcPr>
          <w:p w14:paraId="455DEB5E" w14:textId="18A3AEEA" w:rsidR="00F50005" w:rsidRPr="00EB733D" w:rsidRDefault="00F50005">
            <w:pPr>
              <w:pStyle w:val="TableText0"/>
              <w:keepNext w:val="0"/>
              <w:widowControl w:val="0"/>
            </w:pPr>
            <w:r w:rsidRPr="00EB733D">
              <w:t xml:space="preserve">These values were uncertain. The model's initial script count </w:t>
            </w:r>
            <w:r w:rsidR="00DE0F83">
              <w:t>(</w:t>
            </w:r>
            <w:r w:rsidR="006564A4" w:rsidRPr="00333A5F">
              <w:rPr>
                <w:color w:val="000000"/>
                <w:spacing w:val="55"/>
                <w:shd w:val="solid" w:color="000000" w:fill="000000"/>
                <w:fitText w:val="336" w:id="-629520885"/>
                <w14:textFill>
                  <w14:solidFill>
                    <w14:srgbClr w14:val="000000">
                      <w14:alpha w14:val="100000"/>
                    </w14:srgbClr>
                  </w14:solidFill>
                </w14:textFill>
              </w:rPr>
              <w:t>|||</w:t>
            </w:r>
            <w:r w:rsidR="006564A4" w:rsidRPr="00333A5F">
              <w:rPr>
                <w:color w:val="000000"/>
                <w:spacing w:val="1"/>
                <w:shd w:val="solid" w:color="000000" w:fill="000000"/>
                <w:fitText w:val="336" w:id="-629520885"/>
                <w14:textFill>
                  <w14:solidFill>
                    <w14:srgbClr w14:val="000000">
                      <w14:alpha w14:val="100000"/>
                    </w14:srgbClr>
                  </w14:solidFill>
                </w14:textFill>
              </w:rPr>
              <w:t>|</w:t>
            </w:r>
            <w:r w:rsidR="00EB7D5A" w:rsidRPr="00EB7D5A">
              <w:rPr>
                <w:vertAlign w:val="superscript"/>
              </w:rPr>
              <w:t>1</w:t>
            </w:r>
            <w:r w:rsidR="00DE0F83">
              <w:t>)</w:t>
            </w:r>
            <w:r w:rsidRPr="00EB733D">
              <w:t xml:space="preserve"> and discontinuation rate used (to calculate continuing scripts) were not adequately supported or justified, leading to uncertainty. </w:t>
            </w:r>
          </w:p>
        </w:tc>
      </w:tr>
      <w:tr w:rsidR="00F50005" w:rsidRPr="00EB733D" w14:paraId="4BBBF251" w14:textId="77777777" w:rsidTr="009D51F1">
        <w:trPr>
          <w:cantSplit/>
        </w:trPr>
        <w:tc>
          <w:tcPr>
            <w:tcW w:w="2860" w:type="dxa"/>
            <w:vAlign w:val="center"/>
          </w:tcPr>
          <w:p w14:paraId="173EBFBD" w14:textId="77777777" w:rsidR="00F50005" w:rsidRPr="00EB733D" w:rsidRDefault="00F50005">
            <w:pPr>
              <w:pStyle w:val="TableText0"/>
              <w:keepNext w:val="0"/>
              <w:widowControl w:val="0"/>
            </w:pPr>
            <w:r w:rsidRPr="00EB733D">
              <w:t>Total scripts dispensed</w:t>
            </w:r>
          </w:p>
        </w:tc>
        <w:tc>
          <w:tcPr>
            <w:tcW w:w="2596" w:type="dxa"/>
            <w:vAlign w:val="center"/>
          </w:tcPr>
          <w:p w14:paraId="5D4E6F6E" w14:textId="4AA9F11C" w:rsidR="00F50005" w:rsidRPr="00EB733D" w:rsidRDefault="006564A4">
            <w:pPr>
              <w:pStyle w:val="TableText0"/>
              <w:keepNext w:val="0"/>
              <w:widowControl w:val="0"/>
            </w:pPr>
            <w:r w:rsidRPr="00333A5F">
              <w:rPr>
                <w:color w:val="000000"/>
                <w:spacing w:val="51"/>
                <w:shd w:val="solid" w:color="000000" w:fill="000000"/>
                <w:fitText w:val="324" w:id="-629520884"/>
                <w14:textFill>
                  <w14:solidFill>
                    <w14:srgbClr w14:val="000000">
                      <w14:alpha w14:val="100000"/>
                    </w14:srgbClr>
                  </w14:solidFill>
                </w14:textFill>
              </w:rPr>
              <w:t>|||</w:t>
            </w:r>
            <w:r w:rsidRPr="00333A5F">
              <w:rPr>
                <w:color w:val="000000"/>
                <w:spacing w:val="1"/>
                <w:shd w:val="solid" w:color="000000" w:fill="000000"/>
                <w:fitText w:val="324" w:id="-629520884"/>
                <w14:textFill>
                  <w14:solidFill>
                    <w14:srgbClr w14:val="000000">
                      <w14:alpha w14:val="100000"/>
                    </w14:srgbClr>
                  </w14:solidFill>
                </w14:textFill>
              </w:rPr>
              <w:t>|</w:t>
            </w:r>
            <w:r w:rsidR="00AE3552" w:rsidRPr="00AE3552">
              <w:rPr>
                <w:vertAlign w:val="superscript"/>
              </w:rPr>
              <w:t>2</w:t>
            </w:r>
            <w:r w:rsidR="00F50005" w:rsidRPr="00EB733D">
              <w:t xml:space="preserve"> in Yr 1, increasing to </w:t>
            </w:r>
            <w:r w:rsidRPr="00333A5F">
              <w:rPr>
                <w:color w:val="000000"/>
                <w:spacing w:val="51"/>
                <w:shd w:val="solid" w:color="000000" w:fill="000000"/>
                <w:fitText w:val="324" w:id="-629520883"/>
                <w14:textFill>
                  <w14:solidFill>
                    <w14:srgbClr w14:val="000000">
                      <w14:alpha w14:val="100000"/>
                    </w14:srgbClr>
                  </w14:solidFill>
                </w14:textFill>
              </w:rPr>
              <w:t>|||</w:t>
            </w:r>
            <w:r w:rsidRPr="00333A5F">
              <w:rPr>
                <w:color w:val="000000"/>
                <w:spacing w:val="1"/>
                <w:shd w:val="solid" w:color="000000" w:fill="000000"/>
                <w:fitText w:val="324" w:id="-629520883"/>
                <w14:textFill>
                  <w14:solidFill>
                    <w14:srgbClr w14:val="000000">
                      <w14:alpha w14:val="100000"/>
                    </w14:srgbClr>
                  </w14:solidFill>
                </w14:textFill>
              </w:rPr>
              <w:t>|</w:t>
            </w:r>
            <w:r w:rsidR="00AE3552" w:rsidRPr="00AE3552">
              <w:rPr>
                <w:vertAlign w:val="superscript"/>
              </w:rPr>
              <w:t>3</w:t>
            </w:r>
            <w:r w:rsidR="00F50005" w:rsidRPr="00EB733D">
              <w:t xml:space="preserve"> in Yr 6.</w:t>
            </w:r>
          </w:p>
          <w:p w14:paraId="2515AA86" w14:textId="1D6A33B8" w:rsidR="00F50005" w:rsidRPr="00EB733D" w:rsidRDefault="00F50005">
            <w:pPr>
              <w:pStyle w:val="TableText0"/>
              <w:keepNext w:val="0"/>
              <w:widowControl w:val="0"/>
            </w:pPr>
            <w:r w:rsidRPr="00EB733D">
              <w:t xml:space="preserve">Submission calculation using </w:t>
            </w:r>
            <w:r w:rsidR="006564A4" w:rsidRPr="00333A5F">
              <w:rPr>
                <w:color w:val="000000"/>
                <w:spacing w:val="51"/>
                <w:shd w:val="solid" w:color="000000" w:fill="000000"/>
                <w:fitText w:val="324" w:id="-629520882"/>
                <w14:textFill>
                  <w14:solidFill>
                    <w14:srgbClr w14:val="000000">
                      <w14:alpha w14:val="100000"/>
                    </w14:srgbClr>
                  </w14:solidFill>
                </w14:textFill>
              </w:rPr>
              <w:t>|||</w:t>
            </w:r>
            <w:r w:rsidR="006564A4" w:rsidRPr="00333A5F">
              <w:rPr>
                <w:color w:val="000000"/>
                <w:spacing w:val="1"/>
                <w:shd w:val="solid" w:color="000000" w:fill="000000"/>
                <w:fitText w:val="324" w:id="-629520882"/>
                <w14:textFill>
                  <w14:solidFill>
                    <w14:srgbClr w14:val="000000">
                      <w14:alpha w14:val="100000"/>
                    </w14:srgbClr>
                  </w14:solidFill>
                </w14:textFill>
              </w:rPr>
              <w:t>|</w:t>
            </w:r>
            <w:r w:rsidRPr="00EB733D">
              <w:t xml:space="preserve"> scripts (for initiating patients) and the RESPONSE trial discontinuation rate</w:t>
            </w:r>
          </w:p>
        </w:tc>
        <w:tc>
          <w:tcPr>
            <w:tcW w:w="3724" w:type="dxa"/>
            <w:vAlign w:val="center"/>
          </w:tcPr>
          <w:p w14:paraId="4B3BAF2B" w14:textId="09094C9E" w:rsidR="00F50005" w:rsidRPr="00EB733D" w:rsidRDefault="00F50005">
            <w:pPr>
              <w:pStyle w:val="TableText0"/>
              <w:keepNext w:val="0"/>
              <w:widowControl w:val="0"/>
            </w:pPr>
            <w:r w:rsidRPr="00EB733D">
              <w:t xml:space="preserve">The use of </w:t>
            </w:r>
            <w:r w:rsidR="006564A4" w:rsidRPr="00333A5F">
              <w:rPr>
                <w:color w:val="000000"/>
                <w:spacing w:val="51"/>
                <w:shd w:val="solid" w:color="000000" w:fill="000000"/>
                <w:fitText w:val="324" w:id="-629520881"/>
                <w14:textFill>
                  <w14:solidFill>
                    <w14:srgbClr w14:val="000000">
                      <w14:alpha w14:val="100000"/>
                    </w14:srgbClr>
                  </w14:solidFill>
                </w14:textFill>
              </w:rPr>
              <w:t>|||</w:t>
            </w:r>
            <w:r w:rsidR="006564A4" w:rsidRPr="00333A5F">
              <w:rPr>
                <w:color w:val="000000"/>
                <w:spacing w:val="1"/>
                <w:shd w:val="solid" w:color="000000" w:fill="000000"/>
                <w:fitText w:val="324" w:id="-629520881"/>
                <w14:textFill>
                  <w14:solidFill>
                    <w14:srgbClr w14:val="000000">
                      <w14:alpha w14:val="100000"/>
                    </w14:srgbClr>
                  </w14:solidFill>
                </w14:textFill>
              </w:rPr>
              <w:t>|</w:t>
            </w:r>
            <w:r w:rsidRPr="00EB733D">
              <w:t xml:space="preserve"> scripts for initiating patients was uncertain due to inconsistencies with the proposed restrictions. The calculation was uncertain due to a potential double-counting of patient discontinuations.</w:t>
            </w:r>
          </w:p>
        </w:tc>
      </w:tr>
      <w:tr w:rsidR="00F50005" w:rsidRPr="00EB733D" w14:paraId="6E80F28C" w14:textId="77777777" w:rsidTr="009D51F1">
        <w:trPr>
          <w:cantSplit/>
        </w:trPr>
        <w:tc>
          <w:tcPr>
            <w:tcW w:w="9180" w:type="dxa"/>
            <w:gridSpan w:val="3"/>
            <w:vAlign w:val="center"/>
          </w:tcPr>
          <w:p w14:paraId="044BE446" w14:textId="77777777" w:rsidR="00F50005" w:rsidRPr="00EB733D" w:rsidRDefault="00F50005">
            <w:pPr>
              <w:pStyle w:val="TableText0"/>
              <w:keepNext w:val="0"/>
              <w:widowControl w:val="0"/>
              <w:rPr>
                <w:b/>
              </w:rPr>
            </w:pPr>
            <w:r w:rsidRPr="00EB733D">
              <w:rPr>
                <w:b/>
              </w:rPr>
              <w:t>Costs</w:t>
            </w:r>
          </w:p>
        </w:tc>
      </w:tr>
      <w:tr w:rsidR="00F50005" w:rsidRPr="00EB733D" w14:paraId="61863369" w14:textId="77777777" w:rsidTr="009D51F1">
        <w:trPr>
          <w:cantSplit/>
        </w:trPr>
        <w:tc>
          <w:tcPr>
            <w:tcW w:w="2860" w:type="dxa"/>
            <w:vAlign w:val="center"/>
          </w:tcPr>
          <w:p w14:paraId="63E5C9A3" w14:textId="77777777" w:rsidR="00F50005" w:rsidRPr="00EB733D" w:rsidRDefault="00F50005">
            <w:pPr>
              <w:pStyle w:val="TableText0"/>
              <w:keepNext w:val="0"/>
              <w:widowControl w:val="0"/>
            </w:pPr>
            <w:r w:rsidRPr="00EB733D">
              <w:t>Seladelpar</w:t>
            </w:r>
          </w:p>
        </w:tc>
        <w:tc>
          <w:tcPr>
            <w:tcW w:w="2596" w:type="dxa"/>
            <w:vAlign w:val="center"/>
          </w:tcPr>
          <w:p w14:paraId="017557E6" w14:textId="10688B27" w:rsidR="00F50005" w:rsidRPr="00EB733D" w:rsidRDefault="00F50005">
            <w:pPr>
              <w:pStyle w:val="TableText0"/>
              <w:keepNext w:val="0"/>
              <w:widowControl w:val="0"/>
            </w:pPr>
            <w:r w:rsidRPr="00EB733D">
              <w:t>$</w:t>
            </w:r>
            <w:r w:rsidR="006564A4" w:rsidRPr="00333A5F">
              <w:rPr>
                <w:color w:val="000000"/>
                <w:spacing w:val="51"/>
                <w:shd w:val="solid" w:color="000000" w:fill="000000"/>
                <w:fitText w:val="324" w:id="-629520880"/>
                <w14:textFill>
                  <w14:solidFill>
                    <w14:srgbClr w14:val="000000">
                      <w14:alpha w14:val="100000"/>
                    </w14:srgbClr>
                  </w14:solidFill>
                </w14:textFill>
              </w:rPr>
              <w:t>|||</w:t>
            </w:r>
            <w:r w:rsidR="006564A4" w:rsidRPr="00333A5F">
              <w:rPr>
                <w:color w:val="000000"/>
                <w:spacing w:val="1"/>
                <w:shd w:val="solid" w:color="000000" w:fill="000000"/>
                <w:fitText w:val="324" w:id="-629520880"/>
                <w14:textFill>
                  <w14:solidFill>
                    <w14:srgbClr w14:val="000000">
                      <w14:alpha w14:val="100000"/>
                    </w14:srgbClr>
                  </w14:solidFill>
                </w14:textFill>
              </w:rPr>
              <w:t>|</w:t>
            </w:r>
          </w:p>
          <w:p w14:paraId="0DB9B254" w14:textId="77777777" w:rsidR="00F50005" w:rsidRPr="00EB733D" w:rsidRDefault="00F50005">
            <w:pPr>
              <w:pStyle w:val="TableText0"/>
              <w:keepNext w:val="0"/>
              <w:widowControl w:val="0"/>
            </w:pPr>
            <w:r w:rsidRPr="00EB733D">
              <w:t>Placeholder price: DPMQ</w:t>
            </w:r>
          </w:p>
        </w:tc>
        <w:tc>
          <w:tcPr>
            <w:tcW w:w="3724" w:type="dxa"/>
            <w:vAlign w:val="center"/>
          </w:tcPr>
          <w:p w14:paraId="27FAF498" w14:textId="5562D6D0" w:rsidR="00F50005" w:rsidRPr="00EB733D" w:rsidRDefault="00DE0F83">
            <w:pPr>
              <w:pStyle w:val="TableText0"/>
              <w:keepNext w:val="0"/>
              <w:widowControl w:val="0"/>
            </w:pPr>
            <w:r>
              <w:t>-</w:t>
            </w:r>
          </w:p>
        </w:tc>
      </w:tr>
      <w:tr w:rsidR="00F50005" w:rsidRPr="00EB733D" w14:paraId="04B35776" w14:textId="77777777" w:rsidTr="009D51F1">
        <w:trPr>
          <w:cantSplit/>
        </w:trPr>
        <w:tc>
          <w:tcPr>
            <w:tcW w:w="2860" w:type="dxa"/>
            <w:vAlign w:val="center"/>
          </w:tcPr>
          <w:p w14:paraId="746F3093" w14:textId="77777777" w:rsidR="00F50005" w:rsidRPr="00EB733D" w:rsidRDefault="00F50005">
            <w:pPr>
              <w:pStyle w:val="TableText0"/>
              <w:keepNext w:val="0"/>
              <w:widowControl w:val="0"/>
            </w:pPr>
            <w:r w:rsidRPr="00EB733D">
              <w:t>OCA</w:t>
            </w:r>
          </w:p>
        </w:tc>
        <w:tc>
          <w:tcPr>
            <w:tcW w:w="2596" w:type="dxa"/>
            <w:vAlign w:val="center"/>
          </w:tcPr>
          <w:p w14:paraId="68A76F6F" w14:textId="77777777" w:rsidR="00F50005" w:rsidRPr="00EB733D" w:rsidRDefault="00F50005">
            <w:pPr>
              <w:pStyle w:val="TableText0"/>
              <w:keepNext w:val="0"/>
              <w:widowControl w:val="0"/>
            </w:pPr>
            <w:r w:rsidRPr="00EB733D">
              <w:t>$3,793.60</w:t>
            </w:r>
          </w:p>
          <w:p w14:paraId="7A6AF539" w14:textId="77777777" w:rsidR="00F50005" w:rsidRPr="00EB733D" w:rsidRDefault="00F50005">
            <w:pPr>
              <w:pStyle w:val="TableText0"/>
              <w:keepNext w:val="0"/>
              <w:widowControl w:val="0"/>
            </w:pPr>
            <w:r w:rsidRPr="00EB733D">
              <w:t>Published DPMQ</w:t>
            </w:r>
          </w:p>
        </w:tc>
        <w:tc>
          <w:tcPr>
            <w:tcW w:w="3724" w:type="dxa"/>
            <w:vAlign w:val="center"/>
          </w:tcPr>
          <w:p w14:paraId="744E8E3B" w14:textId="3AAD16B2" w:rsidR="00F50005" w:rsidRPr="00EB733D" w:rsidRDefault="00DE0F83">
            <w:pPr>
              <w:pStyle w:val="TableText0"/>
              <w:keepNext w:val="0"/>
              <w:widowControl w:val="0"/>
            </w:pPr>
            <w:r>
              <w:t>-</w:t>
            </w:r>
          </w:p>
        </w:tc>
      </w:tr>
    </w:tbl>
    <w:p w14:paraId="6F2EFE3D" w14:textId="77777777" w:rsidR="00F50005" w:rsidRDefault="00F50005" w:rsidP="00F50005">
      <w:pPr>
        <w:pStyle w:val="FooterTableFigure"/>
        <w:widowControl w:val="0"/>
      </w:pPr>
      <w:r w:rsidRPr="0098262F">
        <w:t xml:space="preserve">Source: </w:t>
      </w:r>
      <w:r>
        <w:t xml:space="preserve">Table 127, p237 of the submission, Table 129, p238 of the submission, Table 130, p239 of the submission, Table 131, p330 of the submission, Table 133, p240 of the submission, Table 134, p242 of the submission, Table 136, p244 of the submission, Table 137, p245 of the submission, Table 139, p246 of the submission, Table 140, p246 of the submission, Table 141, p247 of the submission, Table 142, p247 of the submission and Table 143, p248 of the submission.  </w:t>
      </w:r>
    </w:p>
    <w:p w14:paraId="78DC6916" w14:textId="77777777" w:rsidR="00F50005" w:rsidRDefault="00F50005" w:rsidP="00F50005">
      <w:pPr>
        <w:pStyle w:val="FooterTableFigure"/>
        <w:widowControl w:val="0"/>
      </w:pPr>
      <w:r>
        <w:t xml:space="preserve">BSC = </w:t>
      </w:r>
      <w:r w:rsidRPr="00112C89">
        <w:t>Best supportive care</w:t>
      </w:r>
      <w:r>
        <w:t>; CSR = clinical study report; DUSC=</w:t>
      </w:r>
      <w:r w:rsidRPr="00815558">
        <w:t xml:space="preserve"> Drug Utilisation Sub-Committee</w:t>
      </w:r>
      <w:r>
        <w:t>;</w:t>
      </w:r>
      <w:r w:rsidRPr="00815558">
        <w:t xml:space="preserve"> </w:t>
      </w:r>
      <w:r w:rsidRPr="00220239">
        <w:t>DPMQ = Dispensed Price for Maximum Quantity</w:t>
      </w:r>
      <w:r>
        <w:t>;</w:t>
      </w:r>
      <w:r w:rsidRPr="00220239">
        <w:t xml:space="preserve"> </w:t>
      </w:r>
      <w:r>
        <w:t xml:space="preserve">No.= number; </w:t>
      </w:r>
      <w:r w:rsidRPr="00220239">
        <w:t>OCA = Obeticholic acid</w:t>
      </w:r>
      <w:r>
        <w:t>;</w:t>
      </w:r>
      <w:r w:rsidRPr="00220239">
        <w:t xml:space="preserve"> </w:t>
      </w:r>
      <w:r>
        <w:t>PBAC = Pharmaceutical Benefits Advisory Committee; PBC=</w:t>
      </w:r>
      <w:r w:rsidRPr="00B845F2">
        <w:t>Primary Biliary Cholangitis</w:t>
      </w:r>
      <w:r>
        <w:t xml:space="preserve">; MBS = Medicare Benefits Schedule; </w:t>
      </w:r>
      <w:r w:rsidRPr="00220239">
        <w:t>PBS = Pharmaceutical Benefits Scheme</w:t>
      </w:r>
      <w:r>
        <w:t>;</w:t>
      </w:r>
      <w:r w:rsidRPr="00220239">
        <w:t xml:space="preserve"> RPBS = Repatriation Pharmaceutical Benefits Scheme</w:t>
      </w:r>
      <w:r>
        <w:t>; Yr = year;</w:t>
      </w:r>
      <w:r w:rsidRPr="00220239">
        <w:t xml:space="preserve"> UDCA = Ursodeoxycholic acid.</w:t>
      </w:r>
    </w:p>
    <w:p w14:paraId="40171C3E" w14:textId="77777777" w:rsidR="009468B2" w:rsidRDefault="00F50005" w:rsidP="00F50005">
      <w:pPr>
        <w:pStyle w:val="FooterTableFigure"/>
        <w:widowControl w:val="0"/>
        <w:jc w:val="left"/>
      </w:pPr>
      <w:r>
        <w:rPr>
          <w:vertAlign w:val="superscript"/>
        </w:rPr>
        <w:t xml:space="preserve">a </w:t>
      </w:r>
      <w:r w:rsidRPr="00CD0D70">
        <w:t>Pharmaceutical Benefits</w:t>
      </w:r>
      <w:r>
        <w:t xml:space="preserve">: </w:t>
      </w:r>
      <w:r w:rsidRPr="0034232E">
        <w:t>Fees, Patient Contributions and Safety Net Thresholds</w:t>
      </w:r>
      <w:r>
        <w:t xml:space="preserve">. Available from: </w:t>
      </w:r>
      <w:hyperlink r:id="rId18" w:history="1">
        <w:r w:rsidRPr="00BA4F7A">
          <w:rPr>
            <w:rStyle w:val="Hyperlink"/>
          </w:rPr>
          <w:t>https://www.pbs.gov.au/info/healthpro/explanatory-notes/front/fee</w:t>
        </w:r>
      </w:hyperlink>
      <w:r>
        <w:t xml:space="preserve">. </w:t>
      </w:r>
    </w:p>
    <w:p w14:paraId="1B819210" w14:textId="3DBD631C" w:rsidR="00980D88" w:rsidRPr="000B06A3" w:rsidRDefault="009468B2" w:rsidP="00F50005">
      <w:pPr>
        <w:pStyle w:val="FooterTableFigure"/>
        <w:widowControl w:val="0"/>
        <w:jc w:val="left"/>
        <w:rPr>
          <w:i/>
          <w:iCs/>
        </w:rPr>
      </w:pPr>
      <w:r w:rsidRPr="000B06A3">
        <w:rPr>
          <w:i/>
          <w:iCs/>
        </w:rPr>
        <w:t>The redacted values correspond to the following ranges:</w:t>
      </w:r>
    </w:p>
    <w:p w14:paraId="7495BE1C" w14:textId="77777777" w:rsidR="00980D88" w:rsidRPr="000B06A3" w:rsidRDefault="00980D88" w:rsidP="00980D88">
      <w:pPr>
        <w:pStyle w:val="FooterTableFigure"/>
        <w:widowControl w:val="0"/>
        <w:jc w:val="left"/>
        <w:rPr>
          <w:i/>
          <w:iCs/>
        </w:rPr>
      </w:pPr>
      <w:r w:rsidRPr="000B06A3">
        <w:rPr>
          <w:i/>
          <w:iCs/>
          <w:vertAlign w:val="superscript"/>
        </w:rPr>
        <w:t>1</w:t>
      </w:r>
      <w:r w:rsidRPr="000B06A3">
        <w:rPr>
          <w:i/>
          <w:iCs/>
        </w:rPr>
        <w:t xml:space="preserve"> &lt;500 </w:t>
      </w:r>
    </w:p>
    <w:p w14:paraId="444BB430" w14:textId="742E598B" w:rsidR="00980D88" w:rsidRPr="000B06A3" w:rsidRDefault="00980D88" w:rsidP="00980D88">
      <w:pPr>
        <w:pStyle w:val="FooterTableFigure"/>
        <w:widowControl w:val="0"/>
        <w:jc w:val="left"/>
        <w:rPr>
          <w:i/>
          <w:iCs/>
        </w:rPr>
      </w:pPr>
      <w:r w:rsidRPr="000B06A3">
        <w:rPr>
          <w:i/>
          <w:iCs/>
          <w:vertAlign w:val="superscript"/>
        </w:rPr>
        <w:t>2</w:t>
      </w:r>
      <w:r w:rsidRPr="000B06A3">
        <w:rPr>
          <w:i/>
          <w:iCs/>
        </w:rPr>
        <w:t xml:space="preserve"> 20,000 to &lt; 30,000</w:t>
      </w:r>
    </w:p>
    <w:p w14:paraId="3AB865CE" w14:textId="35784E31" w:rsidR="00F50005" w:rsidRPr="000B06A3" w:rsidRDefault="00980D88" w:rsidP="00980D88">
      <w:pPr>
        <w:pStyle w:val="FooterTableFigure"/>
        <w:widowControl w:val="0"/>
        <w:jc w:val="left"/>
        <w:rPr>
          <w:i/>
          <w:iCs/>
        </w:rPr>
      </w:pPr>
      <w:r w:rsidRPr="000B06A3">
        <w:rPr>
          <w:i/>
          <w:iCs/>
          <w:vertAlign w:val="superscript"/>
        </w:rPr>
        <w:t>3</w:t>
      </w:r>
      <w:r w:rsidRPr="000B06A3">
        <w:rPr>
          <w:i/>
          <w:iCs/>
        </w:rPr>
        <w:t xml:space="preserve"> 30,000 to &lt; 40,000</w:t>
      </w:r>
    </w:p>
    <w:p w14:paraId="79887463" w14:textId="471D559E" w:rsidR="00620332" w:rsidRPr="00EB733D" w:rsidRDefault="00F50005" w:rsidP="00620332">
      <w:pPr>
        <w:pStyle w:val="3-BodyText"/>
      </w:pPr>
      <w:r w:rsidRPr="00EB733D">
        <w:rPr>
          <w:color w:val="000000" w:themeColor="text1"/>
        </w:rPr>
        <w:fldChar w:fldCharType="begin"/>
      </w:r>
      <w:r w:rsidRPr="00EB733D">
        <w:rPr>
          <w:color w:val="000000" w:themeColor="text1"/>
        </w:rPr>
        <w:instrText xml:space="preserve"> REF _Ref104805295 \h  \* MERGEFORMAT </w:instrText>
      </w:r>
      <w:r w:rsidRPr="00EB733D">
        <w:rPr>
          <w:color w:val="000000" w:themeColor="text1"/>
        </w:rPr>
      </w:r>
      <w:r w:rsidRPr="00EB733D">
        <w:rPr>
          <w:color w:val="000000" w:themeColor="text1"/>
        </w:rPr>
        <w:fldChar w:fldCharType="separate"/>
      </w:r>
      <w:r w:rsidR="00333A5F" w:rsidRPr="00333A5F">
        <w:rPr>
          <w:color w:val="000000" w:themeColor="text1"/>
        </w:rPr>
        <w:t>Table 18</w:t>
      </w:r>
      <w:r w:rsidRPr="00EB733D">
        <w:rPr>
          <w:color w:val="000000" w:themeColor="text1"/>
        </w:rPr>
        <w:fldChar w:fldCharType="end"/>
      </w:r>
      <w:r w:rsidRPr="00EB733D">
        <w:rPr>
          <w:color w:val="000000" w:themeColor="text1"/>
        </w:rPr>
        <w:t xml:space="preserve"> presents the estimated use and financial implications, using the placeholder price of seladelpar and published price of OCA.</w:t>
      </w:r>
      <w:r w:rsidR="00620332" w:rsidRPr="00EB733D">
        <w:rPr>
          <w:color w:val="000000" w:themeColor="text1"/>
        </w:rPr>
        <w:t xml:space="preserve"> </w:t>
      </w:r>
    </w:p>
    <w:p w14:paraId="31634CA6" w14:textId="69E99AF2" w:rsidR="00F50005" w:rsidRPr="00606FBA" w:rsidRDefault="00F50005" w:rsidP="00F50005">
      <w:pPr>
        <w:pStyle w:val="Caption"/>
        <w:jc w:val="left"/>
      </w:pPr>
      <w:bookmarkStart w:id="94" w:name="_Ref104805295"/>
      <w:bookmarkStart w:id="95" w:name="_Hlk195092893"/>
      <w:r>
        <w:lastRenderedPageBreak/>
        <w:t xml:space="preserve">Table </w:t>
      </w:r>
      <w:r w:rsidR="00A24BC2">
        <w:fldChar w:fldCharType="begin"/>
      </w:r>
      <w:r w:rsidR="00A24BC2">
        <w:instrText xml:space="preserve"> SEQ Table \* ARABIC </w:instrText>
      </w:r>
      <w:r w:rsidR="00A24BC2">
        <w:fldChar w:fldCharType="separate"/>
      </w:r>
      <w:r w:rsidR="00333A5F">
        <w:rPr>
          <w:noProof/>
        </w:rPr>
        <w:t>18</w:t>
      </w:r>
      <w:r w:rsidR="00A24BC2">
        <w:rPr>
          <w:noProof/>
        </w:rPr>
        <w:fldChar w:fldCharType="end"/>
      </w:r>
      <w:bookmarkEnd w:id="94"/>
      <w:r>
        <w:t>:</w:t>
      </w:r>
      <w:r w:rsidRPr="00A55AF1">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F50005" w:rsidRPr="0098262F" w14:paraId="49DFD65C" w14:textId="77777777" w:rsidTr="00154FFC">
        <w:trPr>
          <w:tblHeader/>
        </w:trPr>
        <w:tc>
          <w:tcPr>
            <w:tcW w:w="1334" w:type="pct"/>
            <w:vAlign w:val="center"/>
          </w:tcPr>
          <w:p w14:paraId="498046A2" w14:textId="77777777" w:rsidR="00F50005" w:rsidRPr="00353B55" w:rsidRDefault="00F50005">
            <w:pPr>
              <w:pStyle w:val="In-tableHeading"/>
              <w:jc w:val="center"/>
              <w:rPr>
                <w:szCs w:val="20"/>
                <w:lang w:val="en-AU"/>
              </w:rPr>
            </w:pPr>
          </w:p>
        </w:tc>
        <w:tc>
          <w:tcPr>
            <w:tcW w:w="611" w:type="pct"/>
            <w:vAlign w:val="center"/>
          </w:tcPr>
          <w:p w14:paraId="592295E2" w14:textId="77777777" w:rsidR="00F50005" w:rsidRPr="00353B55" w:rsidRDefault="00F50005">
            <w:pPr>
              <w:pStyle w:val="In-tableHeading"/>
              <w:jc w:val="center"/>
              <w:rPr>
                <w:szCs w:val="20"/>
                <w:lang w:val="en-AU"/>
              </w:rPr>
            </w:pPr>
            <w:r w:rsidRPr="00353B55">
              <w:rPr>
                <w:szCs w:val="20"/>
                <w:lang w:val="en-AU"/>
              </w:rPr>
              <w:t>Year 1</w:t>
            </w:r>
          </w:p>
        </w:tc>
        <w:tc>
          <w:tcPr>
            <w:tcW w:w="611" w:type="pct"/>
            <w:vAlign w:val="center"/>
          </w:tcPr>
          <w:p w14:paraId="1EDCE18F" w14:textId="77777777" w:rsidR="00F50005" w:rsidRPr="00353B55" w:rsidRDefault="00F50005">
            <w:pPr>
              <w:pStyle w:val="In-tableHeading"/>
              <w:jc w:val="center"/>
              <w:rPr>
                <w:szCs w:val="20"/>
                <w:lang w:val="en-AU"/>
              </w:rPr>
            </w:pPr>
            <w:r w:rsidRPr="00353B55">
              <w:rPr>
                <w:szCs w:val="20"/>
                <w:lang w:val="en-AU"/>
              </w:rPr>
              <w:t>Year 2</w:t>
            </w:r>
          </w:p>
        </w:tc>
        <w:tc>
          <w:tcPr>
            <w:tcW w:w="611" w:type="pct"/>
            <w:vAlign w:val="center"/>
          </w:tcPr>
          <w:p w14:paraId="1AC5F85A" w14:textId="77777777" w:rsidR="00F50005" w:rsidRPr="00353B55" w:rsidRDefault="00F50005">
            <w:pPr>
              <w:pStyle w:val="In-tableHeading"/>
              <w:jc w:val="center"/>
              <w:rPr>
                <w:szCs w:val="20"/>
                <w:lang w:val="en-AU"/>
              </w:rPr>
            </w:pPr>
            <w:r w:rsidRPr="00353B55">
              <w:rPr>
                <w:szCs w:val="20"/>
                <w:lang w:val="en-AU"/>
              </w:rPr>
              <w:t>Year 3</w:t>
            </w:r>
          </w:p>
        </w:tc>
        <w:tc>
          <w:tcPr>
            <w:tcW w:w="611" w:type="pct"/>
            <w:vAlign w:val="center"/>
          </w:tcPr>
          <w:p w14:paraId="37D56086" w14:textId="77777777" w:rsidR="00F50005" w:rsidRPr="00353B55" w:rsidRDefault="00F50005">
            <w:pPr>
              <w:pStyle w:val="In-tableHeading"/>
              <w:jc w:val="center"/>
              <w:rPr>
                <w:szCs w:val="20"/>
                <w:lang w:val="en-AU"/>
              </w:rPr>
            </w:pPr>
            <w:r w:rsidRPr="00353B55">
              <w:rPr>
                <w:szCs w:val="20"/>
                <w:lang w:val="en-AU"/>
              </w:rPr>
              <w:t>Year 4</w:t>
            </w:r>
          </w:p>
        </w:tc>
        <w:tc>
          <w:tcPr>
            <w:tcW w:w="611" w:type="pct"/>
            <w:vAlign w:val="center"/>
          </w:tcPr>
          <w:p w14:paraId="0FE4C7A1" w14:textId="77777777" w:rsidR="00F50005" w:rsidRPr="00353B55" w:rsidRDefault="00F50005">
            <w:pPr>
              <w:pStyle w:val="In-tableHeading"/>
              <w:jc w:val="center"/>
              <w:rPr>
                <w:szCs w:val="20"/>
                <w:lang w:val="en-AU"/>
              </w:rPr>
            </w:pPr>
            <w:r w:rsidRPr="00353B55">
              <w:rPr>
                <w:szCs w:val="20"/>
                <w:lang w:val="en-AU"/>
              </w:rPr>
              <w:t>Year 5</w:t>
            </w:r>
          </w:p>
        </w:tc>
        <w:tc>
          <w:tcPr>
            <w:tcW w:w="611" w:type="pct"/>
            <w:vAlign w:val="center"/>
          </w:tcPr>
          <w:p w14:paraId="56CB21E3" w14:textId="77777777" w:rsidR="00F50005" w:rsidRPr="00353B55" w:rsidRDefault="00F50005">
            <w:pPr>
              <w:pStyle w:val="In-tableHeading"/>
              <w:jc w:val="center"/>
              <w:rPr>
                <w:szCs w:val="20"/>
                <w:lang w:val="en-AU"/>
              </w:rPr>
            </w:pPr>
            <w:r w:rsidRPr="00353B55">
              <w:rPr>
                <w:szCs w:val="20"/>
                <w:lang w:val="en-AU"/>
              </w:rPr>
              <w:t>Year 6</w:t>
            </w:r>
          </w:p>
        </w:tc>
      </w:tr>
      <w:tr w:rsidR="00F50005" w:rsidRPr="0098262F" w14:paraId="528B0655" w14:textId="77777777" w:rsidTr="00154FFC">
        <w:tc>
          <w:tcPr>
            <w:tcW w:w="5000" w:type="pct"/>
            <w:gridSpan w:val="7"/>
            <w:vAlign w:val="center"/>
          </w:tcPr>
          <w:p w14:paraId="2B2F598B" w14:textId="77777777" w:rsidR="00F50005" w:rsidRPr="00353B55" w:rsidRDefault="00F50005">
            <w:pPr>
              <w:pStyle w:val="In-tableHeading"/>
              <w:rPr>
                <w:bCs/>
                <w:color w:val="000000"/>
                <w:szCs w:val="20"/>
                <w:lang w:val="en-AU"/>
              </w:rPr>
            </w:pPr>
            <w:r w:rsidRPr="00353B55">
              <w:rPr>
                <w:bCs/>
                <w:color w:val="000000"/>
                <w:szCs w:val="20"/>
                <w:lang w:val="en-AU"/>
              </w:rPr>
              <w:t>Estimated extent of use</w:t>
            </w:r>
          </w:p>
        </w:tc>
      </w:tr>
      <w:tr w:rsidR="00F50005" w:rsidRPr="0098262F" w14:paraId="03B2556D" w14:textId="77777777" w:rsidTr="00154FFC">
        <w:tc>
          <w:tcPr>
            <w:tcW w:w="1334" w:type="pct"/>
            <w:vAlign w:val="center"/>
          </w:tcPr>
          <w:p w14:paraId="3A7EC6BE" w14:textId="77777777" w:rsidR="00F50005" w:rsidRPr="00353B55" w:rsidRDefault="00F50005">
            <w:pPr>
              <w:pStyle w:val="TableText0"/>
              <w:rPr>
                <w:rFonts w:ascii="Times" w:hAnsi="Times"/>
                <w:szCs w:val="20"/>
              </w:rPr>
            </w:pPr>
            <w:r w:rsidRPr="00353B55">
              <w:rPr>
                <w:szCs w:val="20"/>
              </w:rPr>
              <w:t>Number of patients treated</w:t>
            </w:r>
          </w:p>
        </w:tc>
        <w:tc>
          <w:tcPr>
            <w:tcW w:w="611" w:type="pct"/>
            <w:vAlign w:val="center"/>
          </w:tcPr>
          <w:p w14:paraId="2C9B3506" w14:textId="067F91A7"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6"/>
                <w14:textFill>
                  <w14:solidFill>
                    <w14:srgbClr w14:val="000000">
                      <w14:alpha w14:val="100000"/>
                    </w14:srgbClr>
                  </w14:solidFill>
                </w14:textFill>
              </w:rPr>
              <w:t xml:space="preserve">　</w:t>
            </w:r>
            <w:r w:rsidRPr="00333A5F">
              <w:rPr>
                <w:color w:val="000000"/>
                <w:w w:val="15"/>
                <w:szCs w:val="20"/>
                <w:shd w:val="solid" w:color="000000" w:fill="000000"/>
                <w:fitText w:val="48" w:id="-629520896"/>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6"/>
                <w14:textFill>
                  <w14:solidFill>
                    <w14:srgbClr w14:val="000000">
                      <w14:alpha w14:val="100000"/>
                    </w14:srgbClr>
                  </w14:solidFill>
                </w14:textFill>
              </w:rPr>
              <w:t xml:space="preserve">　</w:t>
            </w:r>
            <w:r w:rsidR="0034112D" w:rsidRPr="0034112D">
              <w:rPr>
                <w:szCs w:val="20"/>
                <w:vertAlign w:val="superscript"/>
              </w:rPr>
              <w:t>1</w:t>
            </w:r>
          </w:p>
        </w:tc>
        <w:tc>
          <w:tcPr>
            <w:tcW w:w="611" w:type="pct"/>
            <w:vAlign w:val="center"/>
          </w:tcPr>
          <w:p w14:paraId="594E0464" w14:textId="4D48D4FF"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5"/>
                <w14:textFill>
                  <w14:solidFill>
                    <w14:srgbClr w14:val="000000">
                      <w14:alpha w14:val="100000"/>
                    </w14:srgbClr>
                  </w14:solidFill>
                </w14:textFill>
              </w:rPr>
              <w:t xml:space="preserve">　</w:t>
            </w:r>
            <w:r w:rsidRPr="00333A5F">
              <w:rPr>
                <w:color w:val="000000"/>
                <w:w w:val="15"/>
                <w:szCs w:val="20"/>
                <w:shd w:val="solid" w:color="000000" w:fill="000000"/>
                <w:fitText w:val="48" w:id="-629520895"/>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5"/>
                <w14:textFill>
                  <w14:solidFill>
                    <w14:srgbClr w14:val="000000">
                      <w14:alpha w14:val="100000"/>
                    </w14:srgbClr>
                  </w14:solidFill>
                </w14:textFill>
              </w:rPr>
              <w:t xml:space="preserve">　</w:t>
            </w:r>
            <w:r w:rsidR="0034112D" w:rsidRPr="0034112D">
              <w:rPr>
                <w:szCs w:val="20"/>
                <w:vertAlign w:val="superscript"/>
              </w:rPr>
              <w:t>1</w:t>
            </w:r>
          </w:p>
        </w:tc>
        <w:tc>
          <w:tcPr>
            <w:tcW w:w="611" w:type="pct"/>
            <w:vAlign w:val="center"/>
          </w:tcPr>
          <w:p w14:paraId="210B48AC" w14:textId="2E668C26"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4"/>
                <w14:textFill>
                  <w14:solidFill>
                    <w14:srgbClr w14:val="000000">
                      <w14:alpha w14:val="100000"/>
                    </w14:srgbClr>
                  </w14:solidFill>
                </w14:textFill>
              </w:rPr>
              <w:t xml:space="preserve">　</w:t>
            </w:r>
            <w:r w:rsidRPr="00333A5F">
              <w:rPr>
                <w:color w:val="000000"/>
                <w:w w:val="15"/>
                <w:szCs w:val="20"/>
                <w:shd w:val="solid" w:color="000000" w:fill="000000"/>
                <w:fitText w:val="48" w:id="-629520894"/>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4"/>
                <w14:textFill>
                  <w14:solidFill>
                    <w14:srgbClr w14:val="000000">
                      <w14:alpha w14:val="100000"/>
                    </w14:srgbClr>
                  </w14:solidFill>
                </w14:textFill>
              </w:rPr>
              <w:t xml:space="preserve">　</w:t>
            </w:r>
            <w:r w:rsidR="0034112D" w:rsidRPr="0034112D">
              <w:rPr>
                <w:szCs w:val="20"/>
                <w:vertAlign w:val="superscript"/>
              </w:rPr>
              <w:t>1</w:t>
            </w:r>
          </w:p>
        </w:tc>
        <w:tc>
          <w:tcPr>
            <w:tcW w:w="611" w:type="pct"/>
            <w:vAlign w:val="center"/>
          </w:tcPr>
          <w:p w14:paraId="48EFA7E1" w14:textId="57572401"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3"/>
                <w14:textFill>
                  <w14:solidFill>
                    <w14:srgbClr w14:val="000000">
                      <w14:alpha w14:val="100000"/>
                    </w14:srgbClr>
                  </w14:solidFill>
                </w14:textFill>
              </w:rPr>
              <w:t xml:space="preserve">　</w:t>
            </w:r>
            <w:r w:rsidRPr="00333A5F">
              <w:rPr>
                <w:color w:val="000000"/>
                <w:w w:val="15"/>
                <w:szCs w:val="20"/>
                <w:shd w:val="solid" w:color="000000" w:fill="000000"/>
                <w:fitText w:val="48" w:id="-629520893"/>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3"/>
                <w14:textFill>
                  <w14:solidFill>
                    <w14:srgbClr w14:val="000000">
                      <w14:alpha w14:val="100000"/>
                    </w14:srgbClr>
                  </w14:solidFill>
                </w14:textFill>
              </w:rPr>
              <w:t xml:space="preserve">　</w:t>
            </w:r>
            <w:r w:rsidR="0034112D" w:rsidRPr="0034112D">
              <w:rPr>
                <w:szCs w:val="20"/>
                <w:vertAlign w:val="superscript"/>
              </w:rPr>
              <w:t>1</w:t>
            </w:r>
          </w:p>
        </w:tc>
        <w:tc>
          <w:tcPr>
            <w:tcW w:w="611" w:type="pct"/>
            <w:vAlign w:val="center"/>
          </w:tcPr>
          <w:p w14:paraId="2D0841D3" w14:textId="5CB502F4"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2"/>
                <w14:textFill>
                  <w14:solidFill>
                    <w14:srgbClr w14:val="000000">
                      <w14:alpha w14:val="100000"/>
                    </w14:srgbClr>
                  </w14:solidFill>
                </w14:textFill>
              </w:rPr>
              <w:t xml:space="preserve">　</w:t>
            </w:r>
            <w:r w:rsidRPr="00333A5F">
              <w:rPr>
                <w:color w:val="000000"/>
                <w:w w:val="15"/>
                <w:szCs w:val="20"/>
                <w:shd w:val="solid" w:color="000000" w:fill="000000"/>
                <w:fitText w:val="48" w:id="-629520892"/>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2"/>
                <w14:textFill>
                  <w14:solidFill>
                    <w14:srgbClr w14:val="000000">
                      <w14:alpha w14:val="100000"/>
                    </w14:srgbClr>
                  </w14:solidFill>
                </w14:textFill>
              </w:rPr>
              <w:t xml:space="preserve">　</w:t>
            </w:r>
            <w:r w:rsidR="0034112D" w:rsidRPr="0034112D">
              <w:rPr>
                <w:szCs w:val="20"/>
                <w:vertAlign w:val="superscript"/>
              </w:rPr>
              <w:t>1</w:t>
            </w:r>
          </w:p>
        </w:tc>
        <w:tc>
          <w:tcPr>
            <w:tcW w:w="611" w:type="pct"/>
            <w:vAlign w:val="center"/>
          </w:tcPr>
          <w:p w14:paraId="30D20263" w14:textId="41DB9FE4"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1"/>
                <w14:textFill>
                  <w14:solidFill>
                    <w14:srgbClr w14:val="000000">
                      <w14:alpha w14:val="100000"/>
                    </w14:srgbClr>
                  </w14:solidFill>
                </w14:textFill>
              </w:rPr>
              <w:t xml:space="preserve">　</w:t>
            </w:r>
            <w:r w:rsidRPr="00333A5F">
              <w:rPr>
                <w:color w:val="000000"/>
                <w:w w:val="15"/>
                <w:szCs w:val="20"/>
                <w:shd w:val="solid" w:color="000000" w:fill="000000"/>
                <w:fitText w:val="48" w:id="-629520891"/>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1"/>
                <w14:textFill>
                  <w14:solidFill>
                    <w14:srgbClr w14:val="000000">
                      <w14:alpha w14:val="100000"/>
                    </w14:srgbClr>
                  </w14:solidFill>
                </w14:textFill>
              </w:rPr>
              <w:t xml:space="preserve">　</w:t>
            </w:r>
            <w:r w:rsidR="0034112D" w:rsidRPr="0034112D">
              <w:rPr>
                <w:szCs w:val="20"/>
                <w:vertAlign w:val="superscript"/>
              </w:rPr>
              <w:t>1</w:t>
            </w:r>
          </w:p>
        </w:tc>
      </w:tr>
      <w:tr w:rsidR="00F50005" w:rsidRPr="0098262F" w14:paraId="6AD538E0" w14:textId="77777777" w:rsidTr="00154FFC">
        <w:tc>
          <w:tcPr>
            <w:tcW w:w="1334" w:type="pct"/>
            <w:vAlign w:val="center"/>
          </w:tcPr>
          <w:p w14:paraId="6B83F8AF" w14:textId="77777777" w:rsidR="00F50005" w:rsidRPr="00353B55" w:rsidRDefault="00F50005">
            <w:pPr>
              <w:pStyle w:val="TableText0"/>
              <w:rPr>
                <w:rFonts w:ascii="Times" w:hAnsi="Times"/>
                <w:szCs w:val="20"/>
              </w:rPr>
            </w:pPr>
            <w:r w:rsidRPr="00353B55">
              <w:rPr>
                <w:szCs w:val="20"/>
              </w:rPr>
              <w:t>Number of scripts dispensed</w:t>
            </w:r>
            <w:r w:rsidRPr="00353B55">
              <w:rPr>
                <w:szCs w:val="20"/>
                <w:vertAlign w:val="superscript"/>
              </w:rPr>
              <w:t>a</w:t>
            </w:r>
          </w:p>
        </w:tc>
        <w:tc>
          <w:tcPr>
            <w:tcW w:w="611" w:type="pct"/>
            <w:vAlign w:val="center"/>
          </w:tcPr>
          <w:p w14:paraId="40E8335B" w14:textId="34D6C7A0"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90"/>
                <w14:textFill>
                  <w14:solidFill>
                    <w14:srgbClr w14:val="000000">
                      <w14:alpha w14:val="100000"/>
                    </w14:srgbClr>
                  </w14:solidFill>
                </w14:textFill>
              </w:rPr>
              <w:t xml:space="preserve">　</w:t>
            </w:r>
            <w:r w:rsidRPr="00333A5F">
              <w:rPr>
                <w:color w:val="000000"/>
                <w:w w:val="15"/>
                <w:szCs w:val="20"/>
                <w:shd w:val="solid" w:color="000000" w:fill="000000"/>
                <w:fitText w:val="48" w:id="-629520890"/>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0"/>
                <w14:textFill>
                  <w14:solidFill>
                    <w14:srgbClr w14:val="000000">
                      <w14:alpha w14:val="100000"/>
                    </w14:srgbClr>
                  </w14:solidFill>
                </w14:textFill>
              </w:rPr>
              <w:t xml:space="preserve">　</w:t>
            </w:r>
            <w:r w:rsidR="0034112D" w:rsidRPr="0034112D">
              <w:rPr>
                <w:szCs w:val="20"/>
                <w:vertAlign w:val="superscript"/>
              </w:rPr>
              <w:t>2</w:t>
            </w:r>
          </w:p>
        </w:tc>
        <w:tc>
          <w:tcPr>
            <w:tcW w:w="611" w:type="pct"/>
            <w:vAlign w:val="center"/>
          </w:tcPr>
          <w:p w14:paraId="2707058C" w14:textId="6A30E806"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89"/>
                <w14:textFill>
                  <w14:solidFill>
                    <w14:srgbClr w14:val="000000">
                      <w14:alpha w14:val="100000"/>
                    </w14:srgbClr>
                  </w14:solidFill>
                </w14:textFill>
              </w:rPr>
              <w:t xml:space="preserve">　</w:t>
            </w:r>
            <w:r w:rsidRPr="00333A5F">
              <w:rPr>
                <w:color w:val="000000"/>
                <w:w w:val="15"/>
                <w:szCs w:val="20"/>
                <w:shd w:val="solid" w:color="000000" w:fill="000000"/>
                <w:fitText w:val="48" w:id="-629520889"/>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9"/>
                <w14:textFill>
                  <w14:solidFill>
                    <w14:srgbClr w14:val="000000">
                      <w14:alpha w14:val="100000"/>
                    </w14:srgbClr>
                  </w14:solidFill>
                </w14:textFill>
              </w:rPr>
              <w:t xml:space="preserve">　</w:t>
            </w:r>
            <w:r w:rsidR="0034112D" w:rsidRPr="0034112D">
              <w:rPr>
                <w:szCs w:val="20"/>
                <w:vertAlign w:val="superscript"/>
              </w:rPr>
              <w:t>2</w:t>
            </w:r>
          </w:p>
        </w:tc>
        <w:tc>
          <w:tcPr>
            <w:tcW w:w="611" w:type="pct"/>
            <w:vAlign w:val="center"/>
          </w:tcPr>
          <w:p w14:paraId="536C9D61" w14:textId="224EF5FD"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88"/>
                <w14:textFill>
                  <w14:solidFill>
                    <w14:srgbClr w14:val="000000">
                      <w14:alpha w14:val="100000"/>
                    </w14:srgbClr>
                  </w14:solidFill>
                </w14:textFill>
              </w:rPr>
              <w:t xml:space="preserve">　</w:t>
            </w:r>
            <w:r w:rsidRPr="00333A5F">
              <w:rPr>
                <w:color w:val="000000"/>
                <w:w w:val="15"/>
                <w:szCs w:val="20"/>
                <w:shd w:val="solid" w:color="000000" w:fill="000000"/>
                <w:fitText w:val="48" w:id="-629520888"/>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8"/>
                <w14:textFill>
                  <w14:solidFill>
                    <w14:srgbClr w14:val="000000">
                      <w14:alpha w14:val="100000"/>
                    </w14:srgbClr>
                  </w14:solidFill>
                </w14:textFill>
              </w:rPr>
              <w:t xml:space="preserve">　</w:t>
            </w:r>
            <w:r w:rsidR="0034112D" w:rsidRPr="0034112D">
              <w:rPr>
                <w:szCs w:val="20"/>
                <w:vertAlign w:val="superscript"/>
              </w:rPr>
              <w:t>3</w:t>
            </w:r>
          </w:p>
        </w:tc>
        <w:tc>
          <w:tcPr>
            <w:tcW w:w="611" w:type="pct"/>
            <w:vAlign w:val="center"/>
          </w:tcPr>
          <w:p w14:paraId="08DE840F" w14:textId="51FC2261"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87"/>
                <w14:textFill>
                  <w14:solidFill>
                    <w14:srgbClr w14:val="000000">
                      <w14:alpha w14:val="100000"/>
                    </w14:srgbClr>
                  </w14:solidFill>
                </w14:textFill>
              </w:rPr>
              <w:t xml:space="preserve">　</w:t>
            </w:r>
            <w:r w:rsidRPr="00333A5F">
              <w:rPr>
                <w:color w:val="000000"/>
                <w:w w:val="15"/>
                <w:szCs w:val="20"/>
                <w:shd w:val="solid" w:color="000000" w:fill="000000"/>
                <w:fitText w:val="48" w:id="-629520887"/>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7"/>
                <w14:textFill>
                  <w14:solidFill>
                    <w14:srgbClr w14:val="000000">
                      <w14:alpha w14:val="100000"/>
                    </w14:srgbClr>
                  </w14:solidFill>
                </w14:textFill>
              </w:rPr>
              <w:t xml:space="preserve">　</w:t>
            </w:r>
            <w:r w:rsidR="00516F68" w:rsidRPr="0034112D">
              <w:rPr>
                <w:szCs w:val="20"/>
                <w:vertAlign w:val="superscript"/>
              </w:rPr>
              <w:t>3</w:t>
            </w:r>
          </w:p>
        </w:tc>
        <w:tc>
          <w:tcPr>
            <w:tcW w:w="611" w:type="pct"/>
            <w:vAlign w:val="center"/>
          </w:tcPr>
          <w:p w14:paraId="5B7CE38D" w14:textId="2232FC0D"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86"/>
                <w14:textFill>
                  <w14:solidFill>
                    <w14:srgbClr w14:val="000000">
                      <w14:alpha w14:val="100000"/>
                    </w14:srgbClr>
                  </w14:solidFill>
                </w14:textFill>
              </w:rPr>
              <w:t xml:space="preserve">　</w:t>
            </w:r>
            <w:r w:rsidRPr="00333A5F">
              <w:rPr>
                <w:color w:val="000000"/>
                <w:w w:val="15"/>
                <w:szCs w:val="20"/>
                <w:shd w:val="solid" w:color="000000" w:fill="000000"/>
                <w:fitText w:val="48" w:id="-629520886"/>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6"/>
                <w14:textFill>
                  <w14:solidFill>
                    <w14:srgbClr w14:val="000000">
                      <w14:alpha w14:val="100000"/>
                    </w14:srgbClr>
                  </w14:solidFill>
                </w14:textFill>
              </w:rPr>
              <w:t xml:space="preserve">　</w:t>
            </w:r>
            <w:r w:rsidR="00516F68" w:rsidRPr="0034112D">
              <w:rPr>
                <w:szCs w:val="20"/>
                <w:vertAlign w:val="superscript"/>
              </w:rPr>
              <w:t>3</w:t>
            </w:r>
          </w:p>
        </w:tc>
        <w:tc>
          <w:tcPr>
            <w:tcW w:w="611" w:type="pct"/>
            <w:vAlign w:val="center"/>
          </w:tcPr>
          <w:p w14:paraId="61328996" w14:textId="18A6C77E" w:rsidR="00F50005" w:rsidRPr="008A3A78" w:rsidRDefault="006564A4">
            <w:pPr>
              <w:pStyle w:val="TableText0"/>
              <w:jc w:val="center"/>
              <w:rPr>
                <w:color w:val="000000"/>
                <w:szCs w:val="20"/>
                <w:highlight w:val="darkGray"/>
              </w:rPr>
            </w:pPr>
            <w:r w:rsidRPr="00333A5F">
              <w:rPr>
                <w:rFonts w:hint="eastAsia"/>
                <w:color w:val="000000"/>
                <w:w w:val="15"/>
                <w:szCs w:val="20"/>
                <w:shd w:val="solid" w:color="000000" w:fill="000000"/>
                <w:fitText w:val="48" w:id="-629520885"/>
                <w14:textFill>
                  <w14:solidFill>
                    <w14:srgbClr w14:val="000000">
                      <w14:alpha w14:val="100000"/>
                    </w14:srgbClr>
                  </w14:solidFill>
                </w14:textFill>
              </w:rPr>
              <w:t xml:space="preserve">　</w:t>
            </w:r>
            <w:r w:rsidRPr="00333A5F">
              <w:rPr>
                <w:color w:val="000000"/>
                <w:w w:val="15"/>
                <w:szCs w:val="20"/>
                <w:shd w:val="solid" w:color="000000" w:fill="000000"/>
                <w:fitText w:val="48" w:id="-629520885"/>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5"/>
                <w14:textFill>
                  <w14:solidFill>
                    <w14:srgbClr w14:val="000000">
                      <w14:alpha w14:val="100000"/>
                    </w14:srgbClr>
                  </w14:solidFill>
                </w14:textFill>
              </w:rPr>
              <w:t xml:space="preserve">　</w:t>
            </w:r>
            <w:r w:rsidR="00516F68" w:rsidRPr="0034112D">
              <w:rPr>
                <w:szCs w:val="20"/>
                <w:vertAlign w:val="superscript"/>
              </w:rPr>
              <w:t>3</w:t>
            </w:r>
          </w:p>
        </w:tc>
      </w:tr>
      <w:tr w:rsidR="00F50005" w:rsidRPr="0098262F" w14:paraId="741055A7" w14:textId="77777777" w:rsidTr="00154FFC">
        <w:tc>
          <w:tcPr>
            <w:tcW w:w="5000" w:type="pct"/>
            <w:gridSpan w:val="7"/>
            <w:vAlign w:val="center"/>
          </w:tcPr>
          <w:p w14:paraId="10F3CD1C" w14:textId="77777777" w:rsidR="00F50005" w:rsidRPr="00353B55" w:rsidRDefault="00F50005">
            <w:pPr>
              <w:pStyle w:val="In-tableHeading"/>
              <w:rPr>
                <w:szCs w:val="20"/>
                <w:lang w:val="en-AU"/>
              </w:rPr>
            </w:pPr>
            <w:r w:rsidRPr="00353B55">
              <w:rPr>
                <w:szCs w:val="20"/>
              </w:rPr>
              <w:t>Estimated financial implications of seladelpar</w:t>
            </w:r>
          </w:p>
        </w:tc>
      </w:tr>
      <w:tr w:rsidR="00F50005" w:rsidRPr="0098262F" w14:paraId="48862364" w14:textId="77777777" w:rsidTr="00154FFC">
        <w:tc>
          <w:tcPr>
            <w:tcW w:w="1334" w:type="pct"/>
            <w:vAlign w:val="center"/>
          </w:tcPr>
          <w:p w14:paraId="31B2E77F" w14:textId="77777777" w:rsidR="00F50005" w:rsidRPr="00353B55" w:rsidRDefault="00F50005">
            <w:pPr>
              <w:pStyle w:val="TableText0"/>
              <w:rPr>
                <w:szCs w:val="20"/>
              </w:rPr>
            </w:pPr>
            <w:r w:rsidRPr="00353B55">
              <w:rPr>
                <w:szCs w:val="20"/>
              </w:rPr>
              <w:t>Cost to PBS/RPBS less copayments</w:t>
            </w:r>
          </w:p>
        </w:tc>
        <w:tc>
          <w:tcPr>
            <w:tcW w:w="611" w:type="pct"/>
            <w:vAlign w:val="center"/>
          </w:tcPr>
          <w:p w14:paraId="3767C87B" w14:textId="37A51E59"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84"/>
                <w14:textFill>
                  <w14:solidFill>
                    <w14:srgbClr w14:val="000000">
                      <w14:alpha w14:val="100000"/>
                    </w14:srgbClr>
                  </w14:solidFill>
                </w14:textFill>
              </w:rPr>
              <w:t xml:space="preserve">　</w:t>
            </w:r>
            <w:r w:rsidRPr="00333A5F">
              <w:rPr>
                <w:color w:val="000000"/>
                <w:w w:val="15"/>
                <w:szCs w:val="20"/>
                <w:shd w:val="solid" w:color="000000" w:fill="000000"/>
                <w:fitText w:val="48" w:id="-629520884"/>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4"/>
                <w14:textFill>
                  <w14:solidFill>
                    <w14:srgbClr w14:val="000000">
                      <w14:alpha w14:val="100000"/>
                    </w14:srgbClr>
                  </w14:solidFill>
                </w14:textFill>
              </w:rPr>
              <w:t xml:space="preserve">　</w:t>
            </w:r>
            <w:r w:rsidR="00516F68" w:rsidRPr="00516F68">
              <w:rPr>
                <w:szCs w:val="20"/>
                <w:vertAlign w:val="superscript"/>
              </w:rPr>
              <w:t>4</w:t>
            </w:r>
          </w:p>
        </w:tc>
        <w:tc>
          <w:tcPr>
            <w:tcW w:w="611" w:type="pct"/>
            <w:vAlign w:val="center"/>
          </w:tcPr>
          <w:p w14:paraId="2382EC41" w14:textId="57FBED79"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83"/>
                <w14:textFill>
                  <w14:solidFill>
                    <w14:srgbClr w14:val="000000">
                      <w14:alpha w14:val="100000"/>
                    </w14:srgbClr>
                  </w14:solidFill>
                </w14:textFill>
              </w:rPr>
              <w:t xml:space="preserve">　</w:t>
            </w:r>
            <w:r w:rsidRPr="00333A5F">
              <w:rPr>
                <w:color w:val="000000"/>
                <w:w w:val="15"/>
                <w:szCs w:val="20"/>
                <w:shd w:val="solid" w:color="000000" w:fill="000000"/>
                <w:fitText w:val="48" w:id="-629520883"/>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3"/>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70AE3DB8" w14:textId="60C7C5F4"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82"/>
                <w14:textFill>
                  <w14:solidFill>
                    <w14:srgbClr w14:val="000000">
                      <w14:alpha w14:val="100000"/>
                    </w14:srgbClr>
                  </w14:solidFill>
                </w14:textFill>
              </w:rPr>
              <w:t xml:space="preserve">　</w:t>
            </w:r>
            <w:r w:rsidRPr="00333A5F">
              <w:rPr>
                <w:color w:val="000000"/>
                <w:w w:val="15"/>
                <w:szCs w:val="20"/>
                <w:shd w:val="solid" w:color="000000" w:fill="000000"/>
                <w:fitText w:val="48" w:id="-629520882"/>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2"/>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6782C051" w14:textId="764DB74A"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81"/>
                <w14:textFill>
                  <w14:solidFill>
                    <w14:srgbClr w14:val="000000">
                      <w14:alpha w14:val="100000"/>
                    </w14:srgbClr>
                  </w14:solidFill>
                </w14:textFill>
              </w:rPr>
              <w:t xml:space="preserve">　</w:t>
            </w:r>
            <w:r w:rsidRPr="00333A5F">
              <w:rPr>
                <w:color w:val="000000"/>
                <w:w w:val="15"/>
                <w:szCs w:val="20"/>
                <w:shd w:val="solid" w:color="000000" w:fill="000000"/>
                <w:fitText w:val="48" w:id="-629520881"/>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1"/>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1E18C2A9" w14:textId="7D6E5F89"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80"/>
                <w14:textFill>
                  <w14:solidFill>
                    <w14:srgbClr w14:val="000000">
                      <w14:alpha w14:val="100000"/>
                    </w14:srgbClr>
                  </w14:solidFill>
                </w14:textFill>
              </w:rPr>
              <w:t xml:space="preserve">　</w:t>
            </w:r>
            <w:r w:rsidRPr="00333A5F">
              <w:rPr>
                <w:color w:val="000000"/>
                <w:w w:val="15"/>
                <w:szCs w:val="20"/>
                <w:shd w:val="solid" w:color="000000" w:fill="000000"/>
                <w:fitText w:val="48" w:id="-629520880"/>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80"/>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36F0A210" w14:textId="60447C36"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6"/>
                <w14:textFill>
                  <w14:solidFill>
                    <w14:srgbClr w14:val="000000">
                      <w14:alpha w14:val="100000"/>
                    </w14:srgbClr>
                  </w14:solidFill>
                </w14:textFill>
              </w:rPr>
              <w:t xml:space="preserve">　</w:t>
            </w:r>
            <w:r w:rsidRPr="00333A5F">
              <w:rPr>
                <w:color w:val="000000"/>
                <w:w w:val="15"/>
                <w:szCs w:val="20"/>
                <w:shd w:val="solid" w:color="000000" w:fill="000000"/>
                <w:fitText w:val="48" w:id="-629520896"/>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6"/>
                <w14:textFill>
                  <w14:solidFill>
                    <w14:srgbClr w14:val="000000">
                      <w14:alpha w14:val="100000"/>
                    </w14:srgbClr>
                  </w14:solidFill>
                </w14:textFill>
              </w:rPr>
              <w:t xml:space="preserve">　</w:t>
            </w:r>
            <w:r w:rsidR="009B6507" w:rsidRPr="00516F68">
              <w:rPr>
                <w:szCs w:val="20"/>
                <w:vertAlign w:val="superscript"/>
              </w:rPr>
              <w:t>4</w:t>
            </w:r>
          </w:p>
        </w:tc>
      </w:tr>
      <w:tr w:rsidR="00F50005" w:rsidRPr="0098262F" w14:paraId="2E69C1C8" w14:textId="77777777" w:rsidTr="00154FFC">
        <w:tc>
          <w:tcPr>
            <w:tcW w:w="5000" w:type="pct"/>
            <w:gridSpan w:val="7"/>
            <w:vAlign w:val="center"/>
          </w:tcPr>
          <w:p w14:paraId="5D089C87" w14:textId="77777777" w:rsidR="00F50005" w:rsidRPr="00353B55" w:rsidRDefault="00F50005">
            <w:pPr>
              <w:pStyle w:val="TableText0"/>
              <w:rPr>
                <w:szCs w:val="20"/>
              </w:rPr>
            </w:pPr>
            <w:r w:rsidRPr="00353B55">
              <w:rPr>
                <w:szCs w:val="20"/>
              </w:rPr>
              <w:t>Estimated financial implications for OCA</w:t>
            </w:r>
          </w:p>
        </w:tc>
      </w:tr>
      <w:tr w:rsidR="00F50005" w:rsidRPr="0098262F" w14:paraId="6A388821" w14:textId="77777777" w:rsidTr="00154FFC">
        <w:tc>
          <w:tcPr>
            <w:tcW w:w="1334" w:type="pct"/>
            <w:vAlign w:val="center"/>
          </w:tcPr>
          <w:p w14:paraId="2A3BEE39" w14:textId="77777777" w:rsidR="00F50005" w:rsidRPr="00353B55" w:rsidRDefault="00F50005">
            <w:pPr>
              <w:pStyle w:val="TableText0"/>
              <w:rPr>
                <w:szCs w:val="20"/>
              </w:rPr>
            </w:pPr>
            <w:r w:rsidRPr="00353B55">
              <w:rPr>
                <w:szCs w:val="20"/>
              </w:rPr>
              <w:t>Cost to PBS/RPBS less copayments</w:t>
            </w:r>
          </w:p>
        </w:tc>
        <w:tc>
          <w:tcPr>
            <w:tcW w:w="611" w:type="pct"/>
            <w:vAlign w:val="center"/>
          </w:tcPr>
          <w:p w14:paraId="582ECF02" w14:textId="5633A264"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5"/>
                <w14:textFill>
                  <w14:solidFill>
                    <w14:srgbClr w14:val="000000">
                      <w14:alpha w14:val="100000"/>
                    </w14:srgbClr>
                  </w14:solidFill>
                </w14:textFill>
              </w:rPr>
              <w:t xml:space="preserve">　</w:t>
            </w:r>
            <w:r w:rsidRPr="00333A5F">
              <w:rPr>
                <w:color w:val="000000"/>
                <w:w w:val="15"/>
                <w:szCs w:val="20"/>
                <w:shd w:val="solid" w:color="000000" w:fill="000000"/>
                <w:fitText w:val="48" w:id="-629520895"/>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5"/>
                <w14:textFill>
                  <w14:solidFill>
                    <w14:srgbClr w14:val="000000">
                      <w14:alpha w14:val="100000"/>
                    </w14:srgbClr>
                  </w14:solidFill>
                </w14:textFill>
              </w:rPr>
              <w:t xml:space="preserve">　</w:t>
            </w:r>
            <w:r w:rsidR="008D181E" w:rsidRPr="008D181E">
              <w:rPr>
                <w:szCs w:val="20"/>
                <w:vertAlign w:val="superscript"/>
              </w:rPr>
              <w:t>5</w:t>
            </w:r>
          </w:p>
        </w:tc>
        <w:tc>
          <w:tcPr>
            <w:tcW w:w="611" w:type="pct"/>
            <w:vAlign w:val="center"/>
          </w:tcPr>
          <w:p w14:paraId="16C85273" w14:textId="20309533"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4"/>
                <w14:textFill>
                  <w14:solidFill>
                    <w14:srgbClr w14:val="000000">
                      <w14:alpha w14:val="100000"/>
                    </w14:srgbClr>
                  </w14:solidFill>
                </w14:textFill>
              </w:rPr>
              <w:t xml:space="preserve">　</w:t>
            </w:r>
            <w:r w:rsidRPr="00333A5F">
              <w:rPr>
                <w:color w:val="000000"/>
                <w:w w:val="15"/>
                <w:szCs w:val="20"/>
                <w:shd w:val="solid" w:color="000000" w:fill="000000"/>
                <w:fitText w:val="48" w:id="-629520894"/>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4"/>
                <w14:textFill>
                  <w14:solidFill>
                    <w14:srgbClr w14:val="000000">
                      <w14:alpha w14:val="100000"/>
                    </w14:srgbClr>
                  </w14:solidFill>
                </w14:textFill>
              </w:rPr>
              <w:t xml:space="preserve">　</w:t>
            </w:r>
            <w:r w:rsidR="00AF7701" w:rsidRPr="008D181E">
              <w:rPr>
                <w:szCs w:val="20"/>
                <w:vertAlign w:val="superscript"/>
              </w:rPr>
              <w:t>5</w:t>
            </w:r>
          </w:p>
        </w:tc>
        <w:tc>
          <w:tcPr>
            <w:tcW w:w="611" w:type="pct"/>
            <w:vAlign w:val="center"/>
          </w:tcPr>
          <w:p w14:paraId="1E0FCDA3" w14:textId="31F3AC15"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3"/>
                <w14:textFill>
                  <w14:solidFill>
                    <w14:srgbClr w14:val="000000">
                      <w14:alpha w14:val="100000"/>
                    </w14:srgbClr>
                  </w14:solidFill>
                </w14:textFill>
              </w:rPr>
              <w:t xml:space="preserve">　</w:t>
            </w:r>
            <w:r w:rsidRPr="00333A5F">
              <w:rPr>
                <w:color w:val="000000"/>
                <w:w w:val="15"/>
                <w:szCs w:val="20"/>
                <w:shd w:val="solid" w:color="000000" w:fill="000000"/>
                <w:fitText w:val="48" w:id="-629520893"/>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3"/>
                <w14:textFill>
                  <w14:solidFill>
                    <w14:srgbClr w14:val="000000">
                      <w14:alpha w14:val="100000"/>
                    </w14:srgbClr>
                  </w14:solidFill>
                </w14:textFill>
              </w:rPr>
              <w:t xml:space="preserve">　</w:t>
            </w:r>
            <w:r w:rsidR="00AF7701" w:rsidRPr="008D181E">
              <w:rPr>
                <w:szCs w:val="20"/>
                <w:vertAlign w:val="superscript"/>
              </w:rPr>
              <w:t>5</w:t>
            </w:r>
          </w:p>
        </w:tc>
        <w:tc>
          <w:tcPr>
            <w:tcW w:w="611" w:type="pct"/>
            <w:vAlign w:val="center"/>
          </w:tcPr>
          <w:p w14:paraId="5F50A11B" w14:textId="19E54B12"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2"/>
                <w14:textFill>
                  <w14:solidFill>
                    <w14:srgbClr w14:val="000000">
                      <w14:alpha w14:val="100000"/>
                    </w14:srgbClr>
                  </w14:solidFill>
                </w14:textFill>
              </w:rPr>
              <w:t xml:space="preserve">　</w:t>
            </w:r>
            <w:r w:rsidRPr="00333A5F">
              <w:rPr>
                <w:color w:val="000000"/>
                <w:w w:val="15"/>
                <w:szCs w:val="20"/>
                <w:shd w:val="solid" w:color="000000" w:fill="000000"/>
                <w:fitText w:val="48" w:id="-629520892"/>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2"/>
                <w14:textFill>
                  <w14:solidFill>
                    <w14:srgbClr w14:val="000000">
                      <w14:alpha w14:val="100000"/>
                    </w14:srgbClr>
                  </w14:solidFill>
                </w14:textFill>
              </w:rPr>
              <w:t xml:space="preserve">　</w:t>
            </w:r>
            <w:r w:rsidR="00AF7701" w:rsidRPr="008D181E">
              <w:rPr>
                <w:szCs w:val="20"/>
                <w:vertAlign w:val="superscript"/>
              </w:rPr>
              <w:t>5</w:t>
            </w:r>
          </w:p>
        </w:tc>
        <w:tc>
          <w:tcPr>
            <w:tcW w:w="611" w:type="pct"/>
            <w:vAlign w:val="center"/>
          </w:tcPr>
          <w:p w14:paraId="3341802C" w14:textId="02C5D606"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1"/>
                <w14:textFill>
                  <w14:solidFill>
                    <w14:srgbClr w14:val="000000">
                      <w14:alpha w14:val="100000"/>
                    </w14:srgbClr>
                  </w14:solidFill>
                </w14:textFill>
              </w:rPr>
              <w:t xml:space="preserve">　</w:t>
            </w:r>
            <w:r w:rsidRPr="00333A5F">
              <w:rPr>
                <w:color w:val="000000"/>
                <w:w w:val="15"/>
                <w:szCs w:val="20"/>
                <w:shd w:val="solid" w:color="000000" w:fill="000000"/>
                <w:fitText w:val="48" w:id="-629520891"/>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1"/>
                <w14:textFill>
                  <w14:solidFill>
                    <w14:srgbClr w14:val="000000">
                      <w14:alpha w14:val="100000"/>
                    </w14:srgbClr>
                  </w14:solidFill>
                </w14:textFill>
              </w:rPr>
              <w:t xml:space="preserve">　</w:t>
            </w:r>
            <w:r w:rsidR="00AF7701" w:rsidRPr="008D181E">
              <w:rPr>
                <w:szCs w:val="20"/>
                <w:vertAlign w:val="superscript"/>
              </w:rPr>
              <w:t>5</w:t>
            </w:r>
          </w:p>
        </w:tc>
        <w:tc>
          <w:tcPr>
            <w:tcW w:w="611" w:type="pct"/>
            <w:vAlign w:val="center"/>
          </w:tcPr>
          <w:p w14:paraId="72DED905" w14:textId="46FBCBB0"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890"/>
                <w14:textFill>
                  <w14:solidFill>
                    <w14:srgbClr w14:val="000000">
                      <w14:alpha w14:val="100000"/>
                    </w14:srgbClr>
                  </w14:solidFill>
                </w14:textFill>
              </w:rPr>
              <w:t xml:space="preserve">　</w:t>
            </w:r>
            <w:r w:rsidRPr="00333A5F">
              <w:rPr>
                <w:color w:val="000000"/>
                <w:w w:val="15"/>
                <w:szCs w:val="20"/>
                <w:shd w:val="solid" w:color="000000" w:fill="000000"/>
                <w:fitText w:val="48" w:id="-629520890"/>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890"/>
                <w14:textFill>
                  <w14:solidFill>
                    <w14:srgbClr w14:val="000000">
                      <w14:alpha w14:val="100000"/>
                    </w14:srgbClr>
                  </w14:solidFill>
                </w14:textFill>
              </w:rPr>
              <w:t xml:space="preserve">　</w:t>
            </w:r>
            <w:r w:rsidR="00AF7701" w:rsidRPr="008D181E">
              <w:rPr>
                <w:szCs w:val="20"/>
                <w:vertAlign w:val="superscript"/>
              </w:rPr>
              <w:t>5</w:t>
            </w:r>
          </w:p>
        </w:tc>
      </w:tr>
      <w:tr w:rsidR="00F50005" w:rsidRPr="0098262F" w14:paraId="32B4F97A" w14:textId="77777777" w:rsidTr="00154FFC">
        <w:tc>
          <w:tcPr>
            <w:tcW w:w="5000" w:type="pct"/>
            <w:gridSpan w:val="7"/>
            <w:vAlign w:val="center"/>
          </w:tcPr>
          <w:p w14:paraId="15CB48CF" w14:textId="77777777" w:rsidR="00F50005" w:rsidRPr="00353B55" w:rsidRDefault="00F50005">
            <w:pPr>
              <w:pStyle w:val="In-tableHeading"/>
              <w:rPr>
                <w:szCs w:val="20"/>
                <w:lang w:val="en-AU"/>
              </w:rPr>
            </w:pPr>
            <w:r w:rsidRPr="00353B55">
              <w:rPr>
                <w:szCs w:val="20"/>
              </w:rPr>
              <w:t xml:space="preserve">Net financial </w:t>
            </w:r>
            <w:r w:rsidRPr="00353B55">
              <w:rPr>
                <w:szCs w:val="20"/>
                <w:lang w:val="en-AU"/>
              </w:rPr>
              <w:t>implications</w:t>
            </w:r>
            <w:r w:rsidRPr="00353B55">
              <w:rPr>
                <w:color w:val="4BACC6" w:themeColor="accent5"/>
                <w:szCs w:val="20"/>
                <w:lang w:val="en-AU"/>
              </w:rPr>
              <w:t xml:space="preserve"> </w:t>
            </w:r>
          </w:p>
        </w:tc>
      </w:tr>
      <w:tr w:rsidR="00F50005" w:rsidRPr="00620332" w14:paraId="0212A09C" w14:textId="77777777" w:rsidTr="006564A4">
        <w:tc>
          <w:tcPr>
            <w:tcW w:w="1334" w:type="pct"/>
            <w:vAlign w:val="center"/>
          </w:tcPr>
          <w:p w14:paraId="63D393B6" w14:textId="77777777" w:rsidR="00F50005" w:rsidRPr="00353B55" w:rsidRDefault="00F50005">
            <w:pPr>
              <w:pStyle w:val="TableText0"/>
              <w:rPr>
                <w:b/>
                <w:bCs w:val="0"/>
                <w:szCs w:val="20"/>
              </w:rPr>
            </w:pPr>
            <w:r w:rsidRPr="00353B55">
              <w:rPr>
                <w:b/>
                <w:bCs w:val="0"/>
                <w:szCs w:val="20"/>
              </w:rPr>
              <w:t>Net cost to PBS/RPBS</w:t>
            </w:r>
          </w:p>
        </w:tc>
        <w:tc>
          <w:tcPr>
            <w:tcW w:w="611" w:type="pct"/>
            <w:tcBorders>
              <w:bottom w:val="single" w:sz="4" w:space="0" w:color="auto"/>
            </w:tcBorders>
            <w:vAlign w:val="center"/>
          </w:tcPr>
          <w:p w14:paraId="46D69784" w14:textId="15C123A9"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889"/>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889"/>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889"/>
                <w14:textFill>
                  <w14:solidFill>
                    <w14:srgbClr w14:val="000000">
                      <w14:alpha w14:val="100000"/>
                    </w14:srgbClr>
                  </w14:solidFill>
                </w14:textFill>
              </w:rPr>
              <w:t xml:space="preserve">　</w:t>
            </w:r>
            <w:r w:rsidR="009B6507" w:rsidRPr="00516F68">
              <w:rPr>
                <w:szCs w:val="20"/>
                <w:vertAlign w:val="superscript"/>
              </w:rPr>
              <w:t>4</w:t>
            </w:r>
          </w:p>
        </w:tc>
        <w:tc>
          <w:tcPr>
            <w:tcW w:w="611" w:type="pct"/>
            <w:tcBorders>
              <w:bottom w:val="single" w:sz="4" w:space="0" w:color="auto"/>
            </w:tcBorders>
            <w:vAlign w:val="center"/>
          </w:tcPr>
          <w:p w14:paraId="317F7A19" w14:textId="4C0A6CD9"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888"/>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888"/>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888"/>
                <w14:textFill>
                  <w14:solidFill>
                    <w14:srgbClr w14:val="000000">
                      <w14:alpha w14:val="100000"/>
                    </w14:srgbClr>
                  </w14:solidFill>
                </w14:textFill>
              </w:rPr>
              <w:t xml:space="preserve">　</w:t>
            </w:r>
            <w:r w:rsidR="009B6507" w:rsidRPr="00516F68">
              <w:rPr>
                <w:szCs w:val="20"/>
                <w:vertAlign w:val="superscript"/>
              </w:rPr>
              <w:t>4</w:t>
            </w:r>
          </w:p>
        </w:tc>
        <w:tc>
          <w:tcPr>
            <w:tcW w:w="611" w:type="pct"/>
            <w:tcBorders>
              <w:bottom w:val="single" w:sz="4" w:space="0" w:color="auto"/>
            </w:tcBorders>
            <w:vAlign w:val="center"/>
          </w:tcPr>
          <w:p w14:paraId="027BCE14" w14:textId="080640E8"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887"/>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887"/>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887"/>
                <w14:textFill>
                  <w14:solidFill>
                    <w14:srgbClr w14:val="000000">
                      <w14:alpha w14:val="100000"/>
                    </w14:srgbClr>
                  </w14:solidFill>
                </w14:textFill>
              </w:rPr>
              <w:t xml:space="preserve">　</w:t>
            </w:r>
            <w:r w:rsidR="009B6507" w:rsidRPr="00516F68">
              <w:rPr>
                <w:szCs w:val="20"/>
                <w:vertAlign w:val="superscript"/>
              </w:rPr>
              <w:t>4</w:t>
            </w:r>
          </w:p>
        </w:tc>
        <w:tc>
          <w:tcPr>
            <w:tcW w:w="611" w:type="pct"/>
            <w:tcBorders>
              <w:bottom w:val="single" w:sz="4" w:space="0" w:color="auto"/>
            </w:tcBorders>
            <w:vAlign w:val="center"/>
          </w:tcPr>
          <w:p w14:paraId="629D8332" w14:textId="2A7AA69A"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640"/>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640"/>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640"/>
                <w14:textFill>
                  <w14:solidFill>
                    <w14:srgbClr w14:val="000000">
                      <w14:alpha w14:val="100000"/>
                    </w14:srgbClr>
                  </w14:solidFill>
                </w14:textFill>
              </w:rPr>
              <w:t xml:space="preserve">　</w:t>
            </w:r>
            <w:r w:rsidR="009B6507" w:rsidRPr="00516F68">
              <w:rPr>
                <w:szCs w:val="20"/>
                <w:vertAlign w:val="superscript"/>
              </w:rPr>
              <w:t>4</w:t>
            </w:r>
          </w:p>
        </w:tc>
        <w:tc>
          <w:tcPr>
            <w:tcW w:w="611" w:type="pct"/>
            <w:tcBorders>
              <w:bottom w:val="single" w:sz="4" w:space="0" w:color="auto"/>
            </w:tcBorders>
            <w:vAlign w:val="center"/>
          </w:tcPr>
          <w:p w14:paraId="4FBEFC44" w14:textId="3F2A0833"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639"/>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639"/>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639"/>
                <w14:textFill>
                  <w14:solidFill>
                    <w14:srgbClr w14:val="000000">
                      <w14:alpha w14:val="100000"/>
                    </w14:srgbClr>
                  </w14:solidFill>
                </w14:textFill>
              </w:rPr>
              <w:t xml:space="preserve">　</w:t>
            </w:r>
            <w:r w:rsidR="009B6507" w:rsidRPr="00516F68">
              <w:rPr>
                <w:szCs w:val="20"/>
                <w:vertAlign w:val="superscript"/>
              </w:rPr>
              <w:t>4</w:t>
            </w:r>
          </w:p>
        </w:tc>
        <w:tc>
          <w:tcPr>
            <w:tcW w:w="611" w:type="pct"/>
            <w:tcBorders>
              <w:bottom w:val="single" w:sz="4" w:space="0" w:color="auto"/>
            </w:tcBorders>
            <w:vAlign w:val="center"/>
          </w:tcPr>
          <w:p w14:paraId="6CE0AB25" w14:textId="45986D78" w:rsidR="00F50005" w:rsidRPr="008A3A78" w:rsidRDefault="006564A4">
            <w:pPr>
              <w:pStyle w:val="TableText0"/>
              <w:jc w:val="center"/>
              <w:rPr>
                <w:b/>
                <w:bCs w:val="0"/>
                <w:szCs w:val="20"/>
                <w:highlight w:val="darkGray"/>
              </w:rPr>
            </w:pPr>
            <w:r w:rsidRPr="00333A5F">
              <w:rPr>
                <w:rFonts w:hint="eastAsia"/>
                <w:b/>
                <w:bCs w:val="0"/>
                <w:color w:val="000000"/>
                <w:w w:val="24"/>
                <w:szCs w:val="20"/>
                <w:shd w:val="solid" w:color="000000" w:fill="000000"/>
                <w:fitText w:val="108" w:id="-629520638"/>
                <w14:textFill>
                  <w14:solidFill>
                    <w14:srgbClr w14:val="000000">
                      <w14:alpha w14:val="100000"/>
                    </w14:srgbClr>
                  </w14:solidFill>
                </w14:textFill>
              </w:rPr>
              <w:t xml:space="preserve">　</w:t>
            </w:r>
            <w:r w:rsidRPr="00333A5F">
              <w:rPr>
                <w:b/>
                <w:bCs w:val="0"/>
                <w:color w:val="000000"/>
                <w:w w:val="24"/>
                <w:szCs w:val="20"/>
                <w:shd w:val="solid" w:color="000000" w:fill="000000"/>
                <w:fitText w:val="108" w:id="-629520638"/>
                <w14:textFill>
                  <w14:solidFill>
                    <w14:srgbClr w14:val="000000">
                      <w14:alpha w14:val="100000"/>
                    </w14:srgbClr>
                  </w14:solidFill>
                </w14:textFill>
              </w:rPr>
              <w:t>|</w:t>
            </w:r>
            <w:r w:rsidRPr="00333A5F">
              <w:rPr>
                <w:rFonts w:hint="eastAsia"/>
                <w:b/>
                <w:bCs w:val="0"/>
                <w:color w:val="000000"/>
                <w:w w:val="24"/>
                <w:szCs w:val="20"/>
                <w:shd w:val="solid" w:color="000000" w:fill="000000"/>
                <w:fitText w:val="108" w:id="-629520638"/>
                <w14:textFill>
                  <w14:solidFill>
                    <w14:srgbClr w14:val="000000">
                      <w14:alpha w14:val="100000"/>
                    </w14:srgbClr>
                  </w14:solidFill>
                </w14:textFill>
              </w:rPr>
              <w:t xml:space="preserve">　</w:t>
            </w:r>
            <w:r w:rsidR="009B6507" w:rsidRPr="00516F68">
              <w:rPr>
                <w:szCs w:val="20"/>
                <w:vertAlign w:val="superscript"/>
              </w:rPr>
              <w:t>4</w:t>
            </w:r>
          </w:p>
        </w:tc>
      </w:tr>
      <w:tr w:rsidR="00F50005" w:rsidRPr="0098262F" w14:paraId="2AA466DC" w14:textId="77777777" w:rsidTr="006564A4">
        <w:tc>
          <w:tcPr>
            <w:tcW w:w="1334" w:type="pct"/>
            <w:vAlign w:val="center"/>
          </w:tcPr>
          <w:p w14:paraId="1FA81F05" w14:textId="7F2AA731" w:rsidR="00F50005" w:rsidRPr="00353B55" w:rsidRDefault="00F50005">
            <w:pPr>
              <w:pStyle w:val="TableText0"/>
              <w:rPr>
                <w:rFonts w:ascii="Times" w:hAnsi="Times"/>
                <w:szCs w:val="20"/>
              </w:rPr>
            </w:pPr>
            <w:r w:rsidRPr="00353B55">
              <w:rPr>
                <w:szCs w:val="20"/>
              </w:rPr>
              <w:t>Net cost to MBS</w:t>
            </w:r>
          </w:p>
        </w:tc>
        <w:tc>
          <w:tcPr>
            <w:tcW w:w="611" w:type="pct"/>
            <w:shd w:val="solid" w:color="000000" w:fill="000000"/>
            <w:vAlign w:val="center"/>
          </w:tcPr>
          <w:p w14:paraId="0FBACBF4" w14:textId="69F26133" w:rsidR="00F50005" w:rsidRPr="008A3A78" w:rsidRDefault="006564A4">
            <w:pPr>
              <w:pStyle w:val="TableText0"/>
              <w:jc w:val="center"/>
              <w:rPr>
                <w:szCs w:val="20"/>
                <w:highlight w:val="darkGray"/>
              </w:rPr>
            </w:pPr>
            <w:r w:rsidRPr="00333A5F">
              <w:rPr>
                <w:rFonts w:hint="eastAsia"/>
                <w:color w:val="000000"/>
                <w:w w:val="15"/>
                <w:szCs w:val="20"/>
                <w:fitText w:val="36" w:id="-629520637"/>
                <w14:textFill>
                  <w14:solidFill>
                    <w14:srgbClr w14:val="000000">
                      <w14:alpha w14:val="100000"/>
                    </w14:srgbClr>
                  </w14:solidFill>
                </w14:textFill>
              </w:rPr>
              <w:t xml:space="preserve">　</w:t>
            </w:r>
            <w:r w:rsidRPr="00333A5F">
              <w:rPr>
                <w:color w:val="000000"/>
                <w:w w:val="15"/>
                <w:szCs w:val="20"/>
                <w:fitText w:val="36" w:id="-629520637"/>
                <w14:textFill>
                  <w14:solidFill>
                    <w14:srgbClr w14:val="000000">
                      <w14:alpha w14:val="100000"/>
                    </w14:srgbClr>
                  </w14:solidFill>
                </w14:textFill>
              </w:rPr>
              <w:t>|</w:t>
            </w:r>
            <w:r w:rsidRPr="00333A5F">
              <w:rPr>
                <w:rFonts w:hint="eastAsia"/>
                <w:color w:val="000000"/>
                <w:spacing w:val="-29"/>
                <w:w w:val="15"/>
                <w:szCs w:val="20"/>
                <w:fitText w:val="36" w:id="-629520637"/>
                <w14:textFill>
                  <w14:solidFill>
                    <w14:srgbClr w14:val="000000">
                      <w14:alpha w14:val="100000"/>
                    </w14:srgbClr>
                  </w14:solidFill>
                </w14:textFill>
              </w:rPr>
              <w:t xml:space="preserve">　</w:t>
            </w:r>
          </w:p>
        </w:tc>
        <w:tc>
          <w:tcPr>
            <w:tcW w:w="611" w:type="pct"/>
            <w:shd w:val="solid" w:color="000000" w:fill="000000"/>
            <w:vAlign w:val="center"/>
          </w:tcPr>
          <w:p w14:paraId="0C2EFE8D" w14:textId="51B61EBD" w:rsidR="00F50005" w:rsidRPr="008A3A78" w:rsidRDefault="006564A4">
            <w:pPr>
              <w:pStyle w:val="TableText0"/>
              <w:jc w:val="center"/>
              <w:rPr>
                <w:szCs w:val="20"/>
                <w:highlight w:val="darkGray"/>
              </w:rPr>
            </w:pPr>
            <w:r w:rsidRPr="00333A5F">
              <w:rPr>
                <w:rFonts w:hint="eastAsia"/>
                <w:color w:val="000000"/>
                <w:w w:val="15"/>
                <w:szCs w:val="20"/>
                <w:fitText w:val="36" w:id="-629520636"/>
                <w14:textFill>
                  <w14:solidFill>
                    <w14:srgbClr w14:val="000000">
                      <w14:alpha w14:val="100000"/>
                    </w14:srgbClr>
                  </w14:solidFill>
                </w14:textFill>
              </w:rPr>
              <w:t xml:space="preserve">　</w:t>
            </w:r>
            <w:r w:rsidRPr="00333A5F">
              <w:rPr>
                <w:color w:val="000000"/>
                <w:w w:val="15"/>
                <w:szCs w:val="20"/>
                <w:fitText w:val="36" w:id="-629520636"/>
                <w14:textFill>
                  <w14:solidFill>
                    <w14:srgbClr w14:val="000000">
                      <w14:alpha w14:val="100000"/>
                    </w14:srgbClr>
                  </w14:solidFill>
                </w14:textFill>
              </w:rPr>
              <w:t>|</w:t>
            </w:r>
            <w:r w:rsidRPr="00333A5F">
              <w:rPr>
                <w:rFonts w:hint="eastAsia"/>
                <w:color w:val="000000"/>
                <w:spacing w:val="-29"/>
                <w:w w:val="15"/>
                <w:szCs w:val="20"/>
                <w:fitText w:val="36" w:id="-629520636"/>
                <w14:textFill>
                  <w14:solidFill>
                    <w14:srgbClr w14:val="000000">
                      <w14:alpha w14:val="100000"/>
                    </w14:srgbClr>
                  </w14:solidFill>
                </w14:textFill>
              </w:rPr>
              <w:t xml:space="preserve">　</w:t>
            </w:r>
          </w:p>
        </w:tc>
        <w:tc>
          <w:tcPr>
            <w:tcW w:w="611" w:type="pct"/>
            <w:shd w:val="solid" w:color="000000" w:fill="000000"/>
            <w:vAlign w:val="center"/>
          </w:tcPr>
          <w:p w14:paraId="01E80F77" w14:textId="5462FE38" w:rsidR="00F50005" w:rsidRPr="008A3A78" w:rsidRDefault="006564A4">
            <w:pPr>
              <w:pStyle w:val="TableText0"/>
              <w:jc w:val="center"/>
              <w:rPr>
                <w:szCs w:val="20"/>
                <w:highlight w:val="darkGray"/>
              </w:rPr>
            </w:pPr>
            <w:r w:rsidRPr="00333A5F">
              <w:rPr>
                <w:rFonts w:hint="eastAsia"/>
                <w:color w:val="000000"/>
                <w:w w:val="15"/>
                <w:szCs w:val="20"/>
                <w:fitText w:val="36" w:id="-629520635"/>
                <w14:textFill>
                  <w14:solidFill>
                    <w14:srgbClr w14:val="000000">
                      <w14:alpha w14:val="100000"/>
                    </w14:srgbClr>
                  </w14:solidFill>
                </w14:textFill>
              </w:rPr>
              <w:t xml:space="preserve">　</w:t>
            </w:r>
            <w:r w:rsidRPr="00333A5F">
              <w:rPr>
                <w:color w:val="000000"/>
                <w:w w:val="15"/>
                <w:szCs w:val="20"/>
                <w:fitText w:val="36" w:id="-629520635"/>
                <w14:textFill>
                  <w14:solidFill>
                    <w14:srgbClr w14:val="000000">
                      <w14:alpha w14:val="100000"/>
                    </w14:srgbClr>
                  </w14:solidFill>
                </w14:textFill>
              </w:rPr>
              <w:t>|</w:t>
            </w:r>
            <w:r w:rsidRPr="00333A5F">
              <w:rPr>
                <w:rFonts w:hint="eastAsia"/>
                <w:color w:val="000000"/>
                <w:spacing w:val="-29"/>
                <w:w w:val="15"/>
                <w:szCs w:val="20"/>
                <w:fitText w:val="36" w:id="-629520635"/>
                <w14:textFill>
                  <w14:solidFill>
                    <w14:srgbClr w14:val="000000">
                      <w14:alpha w14:val="100000"/>
                    </w14:srgbClr>
                  </w14:solidFill>
                </w14:textFill>
              </w:rPr>
              <w:t xml:space="preserve">　</w:t>
            </w:r>
          </w:p>
        </w:tc>
        <w:tc>
          <w:tcPr>
            <w:tcW w:w="611" w:type="pct"/>
            <w:shd w:val="solid" w:color="000000" w:fill="000000"/>
            <w:vAlign w:val="center"/>
          </w:tcPr>
          <w:p w14:paraId="3EA5EA19" w14:textId="1A9765E8" w:rsidR="00F50005" w:rsidRPr="008A3A78" w:rsidRDefault="006564A4">
            <w:pPr>
              <w:pStyle w:val="TableText0"/>
              <w:jc w:val="center"/>
              <w:rPr>
                <w:szCs w:val="20"/>
                <w:highlight w:val="darkGray"/>
              </w:rPr>
            </w:pPr>
            <w:r w:rsidRPr="00333A5F">
              <w:rPr>
                <w:rFonts w:hint="eastAsia"/>
                <w:color w:val="000000"/>
                <w:w w:val="15"/>
                <w:szCs w:val="20"/>
                <w:fitText w:val="36" w:id="-629520634"/>
                <w14:textFill>
                  <w14:solidFill>
                    <w14:srgbClr w14:val="000000">
                      <w14:alpha w14:val="100000"/>
                    </w14:srgbClr>
                  </w14:solidFill>
                </w14:textFill>
              </w:rPr>
              <w:t xml:space="preserve">　</w:t>
            </w:r>
            <w:r w:rsidRPr="00333A5F">
              <w:rPr>
                <w:color w:val="000000"/>
                <w:w w:val="15"/>
                <w:szCs w:val="20"/>
                <w:fitText w:val="36" w:id="-629520634"/>
                <w14:textFill>
                  <w14:solidFill>
                    <w14:srgbClr w14:val="000000">
                      <w14:alpha w14:val="100000"/>
                    </w14:srgbClr>
                  </w14:solidFill>
                </w14:textFill>
              </w:rPr>
              <w:t>|</w:t>
            </w:r>
            <w:r w:rsidRPr="00333A5F">
              <w:rPr>
                <w:rFonts w:hint="eastAsia"/>
                <w:color w:val="000000"/>
                <w:spacing w:val="-29"/>
                <w:w w:val="15"/>
                <w:szCs w:val="20"/>
                <w:fitText w:val="36" w:id="-629520634"/>
                <w14:textFill>
                  <w14:solidFill>
                    <w14:srgbClr w14:val="000000">
                      <w14:alpha w14:val="100000"/>
                    </w14:srgbClr>
                  </w14:solidFill>
                </w14:textFill>
              </w:rPr>
              <w:t xml:space="preserve">　</w:t>
            </w:r>
          </w:p>
        </w:tc>
        <w:tc>
          <w:tcPr>
            <w:tcW w:w="611" w:type="pct"/>
            <w:shd w:val="solid" w:color="000000" w:fill="000000"/>
            <w:vAlign w:val="center"/>
          </w:tcPr>
          <w:p w14:paraId="7E129ED1" w14:textId="2C7D121A" w:rsidR="00F50005" w:rsidRPr="008A3A78" w:rsidRDefault="006564A4">
            <w:pPr>
              <w:pStyle w:val="TableText0"/>
              <w:jc w:val="center"/>
              <w:rPr>
                <w:szCs w:val="20"/>
                <w:highlight w:val="darkGray"/>
              </w:rPr>
            </w:pPr>
            <w:r w:rsidRPr="00333A5F">
              <w:rPr>
                <w:rFonts w:hint="eastAsia"/>
                <w:color w:val="000000"/>
                <w:w w:val="15"/>
                <w:szCs w:val="20"/>
                <w:fitText w:val="36" w:id="-629520633"/>
                <w14:textFill>
                  <w14:solidFill>
                    <w14:srgbClr w14:val="000000">
                      <w14:alpha w14:val="100000"/>
                    </w14:srgbClr>
                  </w14:solidFill>
                </w14:textFill>
              </w:rPr>
              <w:t xml:space="preserve">　</w:t>
            </w:r>
            <w:r w:rsidRPr="00333A5F">
              <w:rPr>
                <w:color w:val="000000"/>
                <w:w w:val="15"/>
                <w:szCs w:val="20"/>
                <w:fitText w:val="36" w:id="-629520633"/>
                <w14:textFill>
                  <w14:solidFill>
                    <w14:srgbClr w14:val="000000">
                      <w14:alpha w14:val="100000"/>
                    </w14:srgbClr>
                  </w14:solidFill>
                </w14:textFill>
              </w:rPr>
              <w:t>|</w:t>
            </w:r>
            <w:r w:rsidRPr="00333A5F">
              <w:rPr>
                <w:rFonts w:hint="eastAsia"/>
                <w:color w:val="000000"/>
                <w:spacing w:val="-29"/>
                <w:w w:val="15"/>
                <w:szCs w:val="20"/>
                <w:fitText w:val="36" w:id="-629520633"/>
                <w14:textFill>
                  <w14:solidFill>
                    <w14:srgbClr w14:val="000000">
                      <w14:alpha w14:val="100000"/>
                    </w14:srgbClr>
                  </w14:solidFill>
                </w14:textFill>
              </w:rPr>
              <w:t xml:space="preserve">　</w:t>
            </w:r>
          </w:p>
        </w:tc>
        <w:tc>
          <w:tcPr>
            <w:tcW w:w="611" w:type="pct"/>
            <w:shd w:val="solid" w:color="000000" w:fill="000000"/>
            <w:vAlign w:val="center"/>
          </w:tcPr>
          <w:p w14:paraId="2B63B1B0" w14:textId="2F5C0370" w:rsidR="00F50005" w:rsidRPr="008A3A78" w:rsidRDefault="006564A4">
            <w:pPr>
              <w:pStyle w:val="TableText0"/>
              <w:jc w:val="center"/>
              <w:rPr>
                <w:szCs w:val="20"/>
                <w:highlight w:val="darkGray"/>
              </w:rPr>
            </w:pPr>
            <w:r w:rsidRPr="00333A5F">
              <w:rPr>
                <w:rFonts w:hint="eastAsia"/>
                <w:color w:val="000000"/>
                <w:w w:val="15"/>
                <w:szCs w:val="20"/>
                <w:fitText w:val="36" w:id="-629520632"/>
                <w14:textFill>
                  <w14:solidFill>
                    <w14:srgbClr w14:val="000000">
                      <w14:alpha w14:val="100000"/>
                    </w14:srgbClr>
                  </w14:solidFill>
                </w14:textFill>
              </w:rPr>
              <w:t xml:space="preserve">　</w:t>
            </w:r>
            <w:r w:rsidRPr="00333A5F">
              <w:rPr>
                <w:color w:val="000000"/>
                <w:w w:val="15"/>
                <w:szCs w:val="20"/>
                <w:fitText w:val="36" w:id="-629520632"/>
                <w14:textFill>
                  <w14:solidFill>
                    <w14:srgbClr w14:val="000000">
                      <w14:alpha w14:val="100000"/>
                    </w14:srgbClr>
                  </w14:solidFill>
                </w14:textFill>
              </w:rPr>
              <w:t>|</w:t>
            </w:r>
            <w:r w:rsidRPr="00333A5F">
              <w:rPr>
                <w:rFonts w:hint="eastAsia"/>
                <w:color w:val="000000"/>
                <w:spacing w:val="-29"/>
                <w:w w:val="15"/>
                <w:szCs w:val="20"/>
                <w:fitText w:val="36" w:id="-629520632"/>
                <w14:textFill>
                  <w14:solidFill>
                    <w14:srgbClr w14:val="000000">
                      <w14:alpha w14:val="100000"/>
                    </w14:srgbClr>
                  </w14:solidFill>
                </w14:textFill>
              </w:rPr>
              <w:t xml:space="preserve">　</w:t>
            </w:r>
          </w:p>
        </w:tc>
      </w:tr>
      <w:tr w:rsidR="00F50005" w:rsidRPr="0098262F" w14:paraId="0DB9FAA5" w14:textId="77777777" w:rsidTr="00154FFC">
        <w:tc>
          <w:tcPr>
            <w:tcW w:w="1334" w:type="pct"/>
            <w:vAlign w:val="center"/>
          </w:tcPr>
          <w:p w14:paraId="000AC910" w14:textId="65600E13" w:rsidR="00F50005" w:rsidRPr="00353B55" w:rsidRDefault="00F50005">
            <w:pPr>
              <w:pStyle w:val="TableText0"/>
              <w:rPr>
                <w:szCs w:val="20"/>
              </w:rPr>
            </w:pPr>
            <w:r w:rsidRPr="00353B55">
              <w:rPr>
                <w:szCs w:val="20"/>
              </w:rPr>
              <w:t>Net cost to PBS/RPBS/MBS</w:t>
            </w:r>
            <w:r w:rsidR="001D6D97" w:rsidRPr="00353B55" w:rsidDel="001D6D97">
              <w:rPr>
                <w:szCs w:val="20"/>
              </w:rPr>
              <w:t xml:space="preserve"> </w:t>
            </w:r>
            <w:r w:rsidRPr="00353B55">
              <w:rPr>
                <w:szCs w:val="20"/>
                <w:vertAlign w:val="superscript"/>
              </w:rPr>
              <w:t>b</w:t>
            </w:r>
          </w:p>
        </w:tc>
        <w:tc>
          <w:tcPr>
            <w:tcW w:w="611" w:type="pct"/>
            <w:vAlign w:val="center"/>
          </w:tcPr>
          <w:p w14:paraId="38D014B3" w14:textId="45BEEFB4"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31"/>
                <w14:textFill>
                  <w14:solidFill>
                    <w14:srgbClr w14:val="000000">
                      <w14:alpha w14:val="100000"/>
                    </w14:srgbClr>
                  </w14:solidFill>
                </w14:textFill>
              </w:rPr>
              <w:t xml:space="preserve">　</w:t>
            </w:r>
            <w:r w:rsidRPr="00333A5F">
              <w:rPr>
                <w:color w:val="000000"/>
                <w:w w:val="15"/>
                <w:szCs w:val="20"/>
                <w:shd w:val="solid" w:color="000000" w:fill="000000"/>
                <w:fitText w:val="48" w:id="-629520631"/>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31"/>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21B6DF1D" w14:textId="276634DC"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30"/>
                <w14:textFill>
                  <w14:solidFill>
                    <w14:srgbClr w14:val="000000">
                      <w14:alpha w14:val="100000"/>
                    </w14:srgbClr>
                  </w14:solidFill>
                </w14:textFill>
              </w:rPr>
              <w:t xml:space="preserve">　</w:t>
            </w:r>
            <w:r w:rsidRPr="00333A5F">
              <w:rPr>
                <w:color w:val="000000"/>
                <w:w w:val="15"/>
                <w:szCs w:val="20"/>
                <w:shd w:val="solid" w:color="000000" w:fill="000000"/>
                <w:fitText w:val="48" w:id="-629520630"/>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30"/>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7F9A129B" w14:textId="40B398E2"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29"/>
                <w14:textFill>
                  <w14:solidFill>
                    <w14:srgbClr w14:val="000000">
                      <w14:alpha w14:val="100000"/>
                    </w14:srgbClr>
                  </w14:solidFill>
                </w14:textFill>
              </w:rPr>
              <w:t xml:space="preserve">　</w:t>
            </w:r>
            <w:r w:rsidRPr="00333A5F">
              <w:rPr>
                <w:color w:val="000000"/>
                <w:w w:val="15"/>
                <w:szCs w:val="20"/>
                <w:shd w:val="solid" w:color="000000" w:fill="000000"/>
                <w:fitText w:val="48" w:id="-629520629"/>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29"/>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54C8B18E" w14:textId="559E60B6"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28"/>
                <w14:textFill>
                  <w14:solidFill>
                    <w14:srgbClr w14:val="000000">
                      <w14:alpha w14:val="100000"/>
                    </w14:srgbClr>
                  </w14:solidFill>
                </w14:textFill>
              </w:rPr>
              <w:t xml:space="preserve">　</w:t>
            </w:r>
            <w:r w:rsidRPr="00333A5F">
              <w:rPr>
                <w:color w:val="000000"/>
                <w:w w:val="15"/>
                <w:szCs w:val="20"/>
                <w:shd w:val="solid" w:color="000000" w:fill="000000"/>
                <w:fitText w:val="48" w:id="-629520628"/>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28"/>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32506822" w14:textId="4415F367"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27"/>
                <w14:textFill>
                  <w14:solidFill>
                    <w14:srgbClr w14:val="000000">
                      <w14:alpha w14:val="100000"/>
                    </w14:srgbClr>
                  </w14:solidFill>
                </w14:textFill>
              </w:rPr>
              <w:t xml:space="preserve">　</w:t>
            </w:r>
            <w:r w:rsidRPr="00333A5F">
              <w:rPr>
                <w:color w:val="000000"/>
                <w:w w:val="15"/>
                <w:szCs w:val="20"/>
                <w:shd w:val="solid" w:color="000000" w:fill="000000"/>
                <w:fitText w:val="48" w:id="-629520627"/>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27"/>
                <w14:textFill>
                  <w14:solidFill>
                    <w14:srgbClr w14:val="000000">
                      <w14:alpha w14:val="100000"/>
                    </w14:srgbClr>
                  </w14:solidFill>
                </w14:textFill>
              </w:rPr>
              <w:t xml:space="preserve">　</w:t>
            </w:r>
            <w:r w:rsidR="009B6507" w:rsidRPr="00516F68">
              <w:rPr>
                <w:szCs w:val="20"/>
                <w:vertAlign w:val="superscript"/>
              </w:rPr>
              <w:t>4</w:t>
            </w:r>
          </w:p>
        </w:tc>
        <w:tc>
          <w:tcPr>
            <w:tcW w:w="611" w:type="pct"/>
            <w:vAlign w:val="center"/>
          </w:tcPr>
          <w:p w14:paraId="51B7A822" w14:textId="3AF246FA" w:rsidR="00F50005" w:rsidRPr="008A3A78" w:rsidRDefault="006564A4">
            <w:pPr>
              <w:pStyle w:val="TableText0"/>
              <w:jc w:val="center"/>
              <w:rPr>
                <w:szCs w:val="20"/>
                <w:highlight w:val="darkGray"/>
              </w:rPr>
            </w:pPr>
            <w:r w:rsidRPr="00333A5F">
              <w:rPr>
                <w:rFonts w:hint="eastAsia"/>
                <w:color w:val="000000"/>
                <w:w w:val="15"/>
                <w:szCs w:val="20"/>
                <w:shd w:val="solid" w:color="000000" w:fill="000000"/>
                <w:fitText w:val="48" w:id="-629520626"/>
                <w14:textFill>
                  <w14:solidFill>
                    <w14:srgbClr w14:val="000000">
                      <w14:alpha w14:val="100000"/>
                    </w14:srgbClr>
                  </w14:solidFill>
                </w14:textFill>
              </w:rPr>
              <w:t xml:space="preserve">　</w:t>
            </w:r>
            <w:r w:rsidRPr="00333A5F">
              <w:rPr>
                <w:color w:val="000000"/>
                <w:w w:val="15"/>
                <w:szCs w:val="20"/>
                <w:shd w:val="solid" w:color="000000" w:fill="000000"/>
                <w:fitText w:val="48" w:id="-629520626"/>
                <w14:textFill>
                  <w14:solidFill>
                    <w14:srgbClr w14:val="000000">
                      <w14:alpha w14:val="100000"/>
                    </w14:srgbClr>
                  </w14:solidFill>
                </w14:textFill>
              </w:rPr>
              <w:t>|</w:t>
            </w:r>
            <w:r w:rsidRPr="00333A5F">
              <w:rPr>
                <w:rFonts w:hint="eastAsia"/>
                <w:color w:val="000000"/>
                <w:spacing w:val="-17"/>
                <w:w w:val="15"/>
                <w:szCs w:val="20"/>
                <w:shd w:val="solid" w:color="000000" w:fill="000000"/>
                <w:fitText w:val="48" w:id="-629520626"/>
                <w14:textFill>
                  <w14:solidFill>
                    <w14:srgbClr w14:val="000000">
                      <w14:alpha w14:val="100000"/>
                    </w14:srgbClr>
                  </w14:solidFill>
                </w14:textFill>
              </w:rPr>
              <w:t xml:space="preserve">　</w:t>
            </w:r>
            <w:r w:rsidR="009B6507" w:rsidRPr="00516F68">
              <w:rPr>
                <w:szCs w:val="20"/>
                <w:vertAlign w:val="superscript"/>
              </w:rPr>
              <w:t>4</w:t>
            </w:r>
          </w:p>
        </w:tc>
      </w:tr>
    </w:tbl>
    <w:bookmarkEnd w:id="95"/>
    <w:p w14:paraId="32D13AB3" w14:textId="77777777" w:rsidR="00F50005" w:rsidRDefault="00F50005" w:rsidP="00F50005">
      <w:pPr>
        <w:pStyle w:val="FooterTableFigure"/>
      </w:pPr>
      <w:r w:rsidRPr="0098262F">
        <w:t xml:space="preserve">Source: </w:t>
      </w:r>
      <w:r w:rsidRPr="004238DC">
        <w:t>Table 145, p250 of the submission</w:t>
      </w:r>
      <w:r>
        <w:t xml:space="preserve">, </w:t>
      </w:r>
      <w:r w:rsidRPr="005E6EB6">
        <w:t xml:space="preserve">Table 148, p252 of the submission; sheet ‘5. Impact – net’ of the seladelpar BIM. </w:t>
      </w:r>
      <w:r w:rsidRPr="006F0EDC">
        <w:t>Compiled during the evaluation from the workbook Seladelpar BIM.xlsx, sheets ‘Seladelpar BIM’, ‘4a. Scripts-affected’ and ‘ ‘4b. Impact – affected (pub)’</w:t>
      </w:r>
      <w:r>
        <w:t xml:space="preserve"> and Compiled during the evaluation Seladelpar BIM.xlsx, sheet ‘Seladelpar BIM’.</w:t>
      </w:r>
    </w:p>
    <w:p w14:paraId="1FC5A5B1" w14:textId="77777777" w:rsidR="00F50005" w:rsidRDefault="00F50005" w:rsidP="00F50005">
      <w:pPr>
        <w:pStyle w:val="FooterTableFigure"/>
      </w:pPr>
      <w:r w:rsidRPr="00614899">
        <w:rPr>
          <w:rStyle w:val="CommentReference"/>
          <w:b w:val="0"/>
          <w:sz w:val="18"/>
          <w:szCs w:val="22"/>
        </w:rPr>
        <w:t>OCA = Obeticholic acid</w:t>
      </w:r>
      <w:r>
        <w:rPr>
          <w:rStyle w:val="CommentReference"/>
          <w:b w:val="0"/>
          <w:sz w:val="18"/>
          <w:szCs w:val="22"/>
        </w:rPr>
        <w:t xml:space="preserve">; </w:t>
      </w:r>
      <w:r>
        <w:rPr>
          <w:rStyle w:val="TableFigureFooterChar"/>
          <w:lang w:val="en-US"/>
        </w:rPr>
        <w:t xml:space="preserve">MBS= </w:t>
      </w:r>
      <w:r w:rsidRPr="0065716E">
        <w:rPr>
          <w:rStyle w:val="TableFigureFooterChar"/>
          <w:lang w:val="en-US"/>
        </w:rPr>
        <w:t>Medicare Benefits Schedule</w:t>
      </w:r>
      <w:r>
        <w:rPr>
          <w:rStyle w:val="TableFigureFooterChar"/>
          <w:lang w:val="en-US"/>
        </w:rPr>
        <w:t xml:space="preserve">; </w:t>
      </w:r>
      <w:r w:rsidRPr="00A34498">
        <w:t>PBS</w:t>
      </w:r>
      <w:r>
        <w:t>=</w:t>
      </w:r>
      <w:r w:rsidRPr="00A34498">
        <w:t xml:space="preserve"> Pharmaceutical Benefits Scheme; RPBS</w:t>
      </w:r>
      <w:r>
        <w:t>=</w:t>
      </w:r>
      <w:r w:rsidRPr="00A34498">
        <w:t xml:space="preserve"> Repatriation Pharmaceutical Benefits Scheme.</w:t>
      </w:r>
    </w:p>
    <w:p w14:paraId="7C7247C5" w14:textId="77777777" w:rsidR="00F50005" w:rsidRDefault="00F50005" w:rsidP="00F50005">
      <w:pPr>
        <w:pStyle w:val="FooterTableFigure"/>
      </w:pPr>
      <w:r w:rsidRPr="0098262F">
        <w:rPr>
          <w:vertAlign w:val="superscript"/>
        </w:rPr>
        <w:t>a</w:t>
      </w:r>
      <w:r w:rsidRPr="0098262F">
        <w:t xml:space="preserve"> Number of scripts per year as estimated by the submission.</w:t>
      </w:r>
    </w:p>
    <w:p w14:paraId="64B61CE0" w14:textId="77777777" w:rsidR="009B2E93" w:rsidRDefault="00F50005" w:rsidP="009B2E93">
      <w:pPr>
        <w:pStyle w:val="FooterTableFigure"/>
      </w:pPr>
      <w:r w:rsidRPr="00C2094D">
        <w:rPr>
          <w:vertAlign w:val="superscript"/>
        </w:rPr>
        <w:t>b</w:t>
      </w:r>
      <w:r>
        <w:t xml:space="preserve"> Values based on the PBAC Excel workbook, 5. Impact -net. These values differ very marginally from the submission ‘Seladelpar BIM’ worksheet. Calculation from the ‘Seladelpar BIM’ worksheet was presented in the seladelpar submission. </w:t>
      </w:r>
    </w:p>
    <w:p w14:paraId="5B1789CA" w14:textId="0ED48F7E" w:rsidR="009B2E93" w:rsidRPr="000B06A3" w:rsidRDefault="009B2E93" w:rsidP="009B2E93">
      <w:pPr>
        <w:pStyle w:val="FooterTableFigure"/>
        <w:rPr>
          <w:i/>
          <w:iCs/>
        </w:rPr>
      </w:pPr>
      <w:r w:rsidRPr="000B06A3">
        <w:rPr>
          <w:i/>
          <w:iCs/>
        </w:rPr>
        <w:t>The redacted values correspond to the following ranges:</w:t>
      </w:r>
    </w:p>
    <w:p w14:paraId="310DDFA7" w14:textId="1F6C5F05" w:rsidR="009B2E93" w:rsidRPr="000B06A3" w:rsidRDefault="009B2E93" w:rsidP="009B2E93">
      <w:pPr>
        <w:pStyle w:val="FooterTableFigure"/>
        <w:rPr>
          <w:i/>
          <w:iCs/>
        </w:rPr>
      </w:pPr>
      <w:r w:rsidRPr="000B06A3">
        <w:rPr>
          <w:i/>
          <w:iCs/>
          <w:vertAlign w:val="superscript"/>
        </w:rPr>
        <w:t>1</w:t>
      </w:r>
      <w:r w:rsidRPr="000B06A3">
        <w:rPr>
          <w:i/>
          <w:iCs/>
        </w:rPr>
        <w:t xml:space="preserve"> </w:t>
      </w:r>
      <w:r w:rsidR="0034112D" w:rsidRPr="000B06A3">
        <w:rPr>
          <w:i/>
          <w:iCs/>
        </w:rPr>
        <w:t>500 to &lt; 5,000</w:t>
      </w:r>
    </w:p>
    <w:p w14:paraId="7C49D844" w14:textId="77777777" w:rsidR="009B2E93" w:rsidRPr="000B06A3" w:rsidRDefault="009B2E93" w:rsidP="009B2E93">
      <w:pPr>
        <w:pStyle w:val="FooterTableFigure"/>
        <w:rPr>
          <w:i/>
          <w:iCs/>
        </w:rPr>
      </w:pPr>
      <w:r w:rsidRPr="000B06A3">
        <w:rPr>
          <w:i/>
          <w:iCs/>
          <w:vertAlign w:val="superscript"/>
        </w:rPr>
        <w:t>2</w:t>
      </w:r>
      <w:r w:rsidRPr="000B06A3">
        <w:rPr>
          <w:i/>
          <w:iCs/>
        </w:rPr>
        <w:t xml:space="preserve"> 20,000 to &lt; 30,000</w:t>
      </w:r>
    </w:p>
    <w:p w14:paraId="06E91A5B" w14:textId="77777777" w:rsidR="009B6507" w:rsidRPr="000B06A3" w:rsidRDefault="009B2E93" w:rsidP="009B2E93">
      <w:pPr>
        <w:pStyle w:val="FooterTableFigure"/>
        <w:rPr>
          <w:i/>
          <w:iCs/>
        </w:rPr>
      </w:pPr>
      <w:r w:rsidRPr="000B06A3">
        <w:rPr>
          <w:i/>
          <w:iCs/>
          <w:vertAlign w:val="superscript"/>
        </w:rPr>
        <w:t>3</w:t>
      </w:r>
      <w:r w:rsidRPr="000B06A3">
        <w:rPr>
          <w:i/>
          <w:iCs/>
        </w:rPr>
        <w:t xml:space="preserve"> 30,000 to &lt; 40,000</w:t>
      </w:r>
      <w:r w:rsidR="009B6507" w:rsidRPr="000B06A3">
        <w:rPr>
          <w:i/>
          <w:iCs/>
        </w:rPr>
        <w:t xml:space="preserve"> </w:t>
      </w:r>
    </w:p>
    <w:p w14:paraId="105E7DEE" w14:textId="77777777" w:rsidR="004514E0" w:rsidRPr="000B06A3" w:rsidRDefault="009B6507" w:rsidP="009B2E93">
      <w:pPr>
        <w:pStyle w:val="FooterTableFigure"/>
        <w:rPr>
          <w:i/>
          <w:iCs/>
        </w:rPr>
      </w:pPr>
      <w:r w:rsidRPr="000B06A3">
        <w:rPr>
          <w:i/>
          <w:iCs/>
          <w:vertAlign w:val="superscript"/>
        </w:rPr>
        <w:t>4</w:t>
      </w:r>
      <w:r w:rsidRPr="000B06A3">
        <w:rPr>
          <w:i/>
          <w:iCs/>
        </w:rPr>
        <w:t xml:space="preserve"> $100 million to &lt; $200 million</w:t>
      </w:r>
      <w:r w:rsidR="004514E0" w:rsidRPr="000B06A3">
        <w:rPr>
          <w:i/>
          <w:iCs/>
        </w:rPr>
        <w:t xml:space="preserve"> </w:t>
      </w:r>
    </w:p>
    <w:p w14:paraId="473853EA" w14:textId="6428E823" w:rsidR="00F50005" w:rsidRPr="000B06A3" w:rsidRDefault="004514E0" w:rsidP="009B2E93">
      <w:pPr>
        <w:pStyle w:val="FooterTableFigure"/>
        <w:rPr>
          <w:i/>
          <w:iCs/>
        </w:rPr>
      </w:pPr>
      <w:r w:rsidRPr="000B06A3">
        <w:rPr>
          <w:i/>
          <w:iCs/>
          <w:vertAlign w:val="superscript"/>
        </w:rPr>
        <w:t>5</w:t>
      </w:r>
      <w:r w:rsidRPr="000B06A3">
        <w:rPr>
          <w:i/>
          <w:iCs/>
        </w:rPr>
        <w:t xml:space="preserve"> net cost saving </w:t>
      </w:r>
    </w:p>
    <w:p w14:paraId="56F821E1" w14:textId="05DDB0B2" w:rsidR="00F50005" w:rsidRPr="00EB733D" w:rsidRDefault="00F50005" w:rsidP="00F50005">
      <w:pPr>
        <w:pStyle w:val="3-BodyText"/>
      </w:pPr>
      <w:r w:rsidRPr="00EB733D">
        <w:t xml:space="preserve">The total cost to the PBS/RPBS of listing seladelpar was estimated to be </w:t>
      </w:r>
      <w:r w:rsidR="00966EF8" w:rsidRPr="00966EF8">
        <w:t xml:space="preserve">$100 million to &lt; $200 million </w:t>
      </w:r>
      <w:r w:rsidR="00AE6F16">
        <w:t xml:space="preserve"> </w:t>
      </w:r>
      <w:r w:rsidRPr="00EB733D">
        <w:t xml:space="preserve">in Year 6, and a total of </w:t>
      </w:r>
      <w:r w:rsidR="003B36F9" w:rsidRPr="003B36F9">
        <w:t>$800 million to &lt; $900 million</w:t>
      </w:r>
      <w:r w:rsidR="00AE6F16">
        <w:t xml:space="preserve"> </w:t>
      </w:r>
      <w:r w:rsidRPr="00EB733D">
        <w:t xml:space="preserve">in the first 6 years of listing (using </w:t>
      </w:r>
      <w:r w:rsidR="009A5783">
        <w:t>the</w:t>
      </w:r>
      <w:r w:rsidR="009A5783" w:rsidRPr="00EB733D">
        <w:t xml:space="preserve"> </w:t>
      </w:r>
      <w:r w:rsidRPr="00EB733D">
        <w:t>placeholder price of seladelpar)</w:t>
      </w:r>
      <w:r w:rsidRPr="00EB733D">
        <w:rPr>
          <w:color w:val="3366FF"/>
        </w:rPr>
        <w:t xml:space="preserve">. </w:t>
      </w:r>
    </w:p>
    <w:p w14:paraId="0838A7D5" w14:textId="15EA677D" w:rsidR="00F50005" w:rsidRPr="00EB733D" w:rsidRDefault="007A058B" w:rsidP="00F50005">
      <w:pPr>
        <w:pStyle w:val="3-BodyText"/>
        <w:rPr>
          <w:color w:val="000000" w:themeColor="text1"/>
        </w:rPr>
      </w:pPr>
      <w:bookmarkStart w:id="96" w:name="_Ref205543830"/>
      <w:r>
        <w:rPr>
          <w:color w:val="000000" w:themeColor="text1"/>
        </w:rPr>
        <w:t>The ESC noted that m</w:t>
      </w:r>
      <w:r w:rsidR="00F50005" w:rsidRPr="00EB733D">
        <w:rPr>
          <w:color w:val="000000" w:themeColor="text1"/>
        </w:rPr>
        <w:t xml:space="preserve">any parameter inputs were not justified and uncertain, for example, the proportion of patients on UDCA treatment who are being treated for PBC, the proportion of PBC patients on UDCA treatment &gt; 1 year with an incomplete response to UDCA, assumed uptake rate for seladelpar, the discontinuation rates, and the number of scripts used </w:t>
      </w:r>
      <w:r w:rsidR="00FA1D0C" w:rsidRPr="00EB733D">
        <w:rPr>
          <w:color w:val="000000" w:themeColor="text1"/>
        </w:rPr>
        <w:t>were</w:t>
      </w:r>
      <w:r w:rsidR="00F50005" w:rsidRPr="00EB733D">
        <w:rPr>
          <w:color w:val="000000" w:themeColor="text1"/>
        </w:rPr>
        <w:t xml:space="preserve"> inconsistent with the proposed restrictions.</w:t>
      </w:r>
      <w:bookmarkEnd w:id="96"/>
    </w:p>
    <w:p w14:paraId="7A1D38D2" w14:textId="77777777" w:rsidR="00F50005" w:rsidRPr="00EB733D" w:rsidRDefault="00F50005" w:rsidP="00F50005">
      <w:pPr>
        <w:pStyle w:val="3-BodyText"/>
        <w:rPr>
          <w:color w:val="000000" w:themeColor="text1"/>
        </w:rPr>
      </w:pPr>
      <w:bookmarkStart w:id="97" w:name="_Ref205543885"/>
      <w:r w:rsidRPr="00EB733D">
        <w:rPr>
          <w:color w:val="000000" w:themeColor="text1"/>
        </w:rPr>
        <w:t>The estimated number of seladelpar scripts per year was uncertain due to a potential double-counting of patient discontinuations. The submission applied a 7.81% discontinuation rate in the first year (and 2.19% in subsequent years) to estimate the eligible patient population for seladelpar. However, it again applied the 7.81% discontinuation rate for seladelpar when calculating the annual number of scripts, which may lead to an underestimation of treatment use.</w:t>
      </w:r>
      <w:bookmarkEnd w:id="97"/>
      <w:r w:rsidRPr="00EB733D">
        <w:rPr>
          <w:color w:val="000000" w:themeColor="text1"/>
        </w:rPr>
        <w:t xml:space="preserve"> </w:t>
      </w:r>
    </w:p>
    <w:p w14:paraId="09B42E48" w14:textId="1A4C5062" w:rsidR="007A058B" w:rsidRPr="00E8442C" w:rsidRDefault="007A058B" w:rsidP="007A058B">
      <w:pPr>
        <w:pStyle w:val="3-BodyText"/>
      </w:pPr>
      <w:r w:rsidRPr="00E8442C">
        <w:t>The ESC considered that the financial impact of listing seladelpar would be reduced compared to the submission estimates when the price of seladelpar was cost-minimised to OCA</w:t>
      </w:r>
      <w:r w:rsidR="00A4285F" w:rsidRPr="00E8442C">
        <w:t>, in a similar manner to elafibranor</w:t>
      </w:r>
      <w:r w:rsidRPr="00E8442C">
        <w:t>.</w:t>
      </w:r>
    </w:p>
    <w:p w14:paraId="0FB7BB51" w14:textId="740FE0D2" w:rsidR="007A058B" w:rsidRPr="00E8442C" w:rsidRDefault="007A058B" w:rsidP="007A058B">
      <w:pPr>
        <w:pStyle w:val="3-BodyText"/>
      </w:pPr>
      <w:r w:rsidRPr="00E8442C">
        <w:t xml:space="preserve">The ESC considered that there would be three populations who would be treated with seladelpar: (i) prevalent patients who are intolerant of OCA; (ii) prevalent patients who </w:t>
      </w:r>
      <w:r w:rsidRPr="00E8442C">
        <w:lastRenderedPageBreak/>
        <w:t>are currently receiving OCA who may switch to seladelpar; and (iii) incident patients who require second-line treatment in addition to UDCA or are intolerant of UDCA.</w:t>
      </w:r>
    </w:p>
    <w:p w14:paraId="6015A395" w14:textId="2EDB6A4E" w:rsidR="00576972" w:rsidRPr="0098262F" w:rsidRDefault="00576972" w:rsidP="00606FBA">
      <w:pPr>
        <w:pStyle w:val="4-SubsectionHeading"/>
      </w:pPr>
      <w:bookmarkStart w:id="98" w:name="_Toc22897649"/>
      <w:bookmarkStart w:id="99" w:name="_Toc198561158"/>
      <w:r w:rsidRPr="0098262F">
        <w:t>Financial Management – Risk Sharing Arrangements</w:t>
      </w:r>
      <w:bookmarkEnd w:id="98"/>
      <w:bookmarkEnd w:id="99"/>
    </w:p>
    <w:p w14:paraId="6EBF04F0" w14:textId="0937F669" w:rsidR="00F50005" w:rsidRPr="00991E43" w:rsidRDefault="00F50005" w:rsidP="00F50005">
      <w:pPr>
        <w:pStyle w:val="3-BodyText"/>
        <w:rPr>
          <w:color w:val="000000" w:themeColor="text1"/>
        </w:rPr>
      </w:pPr>
      <w:bookmarkStart w:id="100" w:name="_Toc22897650"/>
      <w:r w:rsidRPr="00991E43">
        <w:rPr>
          <w:color w:val="000000" w:themeColor="text1"/>
        </w:rPr>
        <w:t xml:space="preserve">The submission indicated </w:t>
      </w:r>
      <w:r>
        <w:rPr>
          <w:color w:val="000000" w:themeColor="text1"/>
        </w:rPr>
        <w:t xml:space="preserve">a </w:t>
      </w:r>
      <w:r w:rsidRPr="00991E43">
        <w:rPr>
          <w:color w:val="000000" w:themeColor="text1"/>
        </w:rPr>
        <w:t xml:space="preserve">willingness to discuss an appropriately formulated and structured </w:t>
      </w:r>
      <w:r w:rsidRPr="00A80B50">
        <w:rPr>
          <w:color w:val="000000" w:themeColor="text1"/>
        </w:rPr>
        <w:t>risk sharing arrangement</w:t>
      </w:r>
      <w:r>
        <w:rPr>
          <w:color w:val="000000" w:themeColor="text1"/>
        </w:rPr>
        <w:t>.</w:t>
      </w:r>
    </w:p>
    <w:p w14:paraId="422AB1D5" w14:textId="43EA1595" w:rsidR="001E42F0" w:rsidRDefault="00F50005" w:rsidP="001E42F0">
      <w:pPr>
        <w:pStyle w:val="3-BodyText"/>
        <w:rPr>
          <w:color w:val="000000" w:themeColor="text1"/>
        </w:rPr>
      </w:pPr>
      <w:r w:rsidRPr="00EB733D">
        <w:rPr>
          <w:color w:val="000000" w:themeColor="text1"/>
        </w:rPr>
        <w:t xml:space="preserve">In the </w:t>
      </w:r>
      <w:r w:rsidR="002E2580" w:rsidRPr="00EB733D">
        <w:rPr>
          <w:color w:val="000000" w:themeColor="text1"/>
        </w:rPr>
        <w:t xml:space="preserve">March 2021 </w:t>
      </w:r>
      <w:r w:rsidRPr="00EB733D">
        <w:rPr>
          <w:color w:val="000000" w:themeColor="text1"/>
        </w:rPr>
        <w:t>OCA submission, the PBAC considered that the estimated ICER was acceptable when considered in conjunction with the estimated financial impact and proposed risk-sharing arrangement (para</w:t>
      </w:r>
      <w:r w:rsidR="00D4655E" w:rsidRPr="00EB733D">
        <w:rPr>
          <w:color w:val="000000" w:themeColor="text1"/>
        </w:rPr>
        <w:t>graph</w:t>
      </w:r>
      <w:r w:rsidRPr="00EB733D">
        <w:rPr>
          <w:color w:val="000000" w:themeColor="text1"/>
        </w:rPr>
        <w:t xml:space="preserve"> 6.1, obeticholic acid, PSD, March 2021 PBAC meeting). </w:t>
      </w:r>
    </w:p>
    <w:p w14:paraId="7F660E1D" w14:textId="2BBB72BE" w:rsidR="001E42F0" w:rsidRPr="00EB733D" w:rsidRDefault="001E42F0" w:rsidP="00DE0F83">
      <w:pPr>
        <w:pStyle w:val="3-BodyText"/>
        <w:numPr>
          <w:ilvl w:val="0"/>
          <w:numId w:val="0"/>
        </w:numPr>
        <w:ind w:left="720"/>
        <w:rPr>
          <w:color w:val="000000" w:themeColor="text1"/>
        </w:rPr>
      </w:pPr>
      <w:r w:rsidRPr="001E42F0">
        <w:rPr>
          <w:i/>
          <w:iCs/>
        </w:rPr>
        <w:t>For more detail on PBAC’s view, see section 7 PBAC outcome.</w:t>
      </w:r>
    </w:p>
    <w:p w14:paraId="3F06ECB9" w14:textId="77777777" w:rsidR="001A3C35" w:rsidRPr="0090150D" w:rsidRDefault="001A3C35" w:rsidP="001A3C35">
      <w:pPr>
        <w:pStyle w:val="2-SectionHeading"/>
        <w:numPr>
          <w:ilvl w:val="0"/>
          <w:numId w:val="1"/>
        </w:numPr>
      </w:pPr>
      <w:bookmarkStart w:id="101" w:name="_Hlk76381249"/>
      <w:bookmarkStart w:id="102" w:name="_Toc198561160"/>
      <w:bookmarkEnd w:id="100"/>
      <w:r w:rsidRPr="0090150D">
        <w:t>PBAC Outcome</w:t>
      </w:r>
    </w:p>
    <w:p w14:paraId="0457D63E" w14:textId="2A39B5A6" w:rsidR="006B0C4B" w:rsidRDefault="006B0C4B" w:rsidP="006B0C4B">
      <w:pPr>
        <w:widowControl w:val="0"/>
        <w:numPr>
          <w:ilvl w:val="1"/>
          <w:numId w:val="1"/>
        </w:numPr>
        <w:spacing w:after="120"/>
        <w:rPr>
          <w:rFonts w:asciiTheme="minorHAnsi" w:hAnsiTheme="minorHAnsi"/>
          <w:snapToGrid w:val="0"/>
          <w:lang w:val="en-GB"/>
        </w:rPr>
      </w:pPr>
      <w:bookmarkStart w:id="103" w:name="_Hlk111543188"/>
      <w:r>
        <w:rPr>
          <w:rFonts w:asciiTheme="minorHAnsi" w:hAnsiTheme="minorHAnsi"/>
          <w:snapToGrid w:val="0"/>
          <w:lang w:val="en-GB"/>
        </w:rPr>
        <w:t>The PBAC deferred</w:t>
      </w:r>
      <w:r w:rsidR="00B82BC2">
        <w:rPr>
          <w:rFonts w:asciiTheme="minorHAnsi" w:hAnsiTheme="minorHAnsi"/>
          <w:snapToGrid w:val="0"/>
          <w:lang w:val="en-GB"/>
        </w:rPr>
        <w:t xml:space="preserve"> </w:t>
      </w:r>
      <w:r w:rsidR="00B82BC2" w:rsidRPr="00B82BC2">
        <w:rPr>
          <w:rFonts w:asciiTheme="minorHAnsi" w:hAnsiTheme="minorHAnsi"/>
          <w:snapToGrid w:val="0"/>
        </w:rPr>
        <w:t>making a recommendation for the listing</w:t>
      </w:r>
      <w:r w:rsidR="00B82BC2">
        <w:rPr>
          <w:rFonts w:asciiTheme="minorHAnsi" w:hAnsiTheme="minorHAnsi"/>
          <w:snapToGrid w:val="0"/>
        </w:rPr>
        <w:t xml:space="preserve"> of</w:t>
      </w:r>
      <w:r>
        <w:rPr>
          <w:rFonts w:asciiTheme="minorHAnsi" w:hAnsiTheme="minorHAnsi"/>
          <w:snapToGrid w:val="0"/>
          <w:lang w:val="en-GB"/>
        </w:rPr>
        <w:t xml:space="preserve"> </w:t>
      </w:r>
      <w:r w:rsidR="00B82BC2">
        <w:rPr>
          <w:rFonts w:asciiTheme="minorHAnsi" w:hAnsiTheme="minorHAnsi"/>
          <w:snapToGrid w:val="0"/>
          <w:lang w:val="en-GB"/>
        </w:rPr>
        <w:t>seladelpar</w:t>
      </w:r>
      <w:r>
        <w:rPr>
          <w:rFonts w:asciiTheme="minorHAnsi" w:hAnsiTheme="minorHAnsi"/>
          <w:snapToGrid w:val="0"/>
          <w:lang w:val="en-GB"/>
        </w:rPr>
        <w:t xml:space="preserve"> for the treatment of primary biliary cholangitis (PBC). </w:t>
      </w:r>
      <w:r w:rsidR="00121EF7">
        <w:rPr>
          <w:rFonts w:asciiTheme="minorHAnsi" w:hAnsiTheme="minorHAnsi"/>
          <w:snapToGrid w:val="0"/>
        </w:rPr>
        <w:t>T</w:t>
      </w:r>
      <w:r w:rsidR="00DA3DF2" w:rsidRPr="00DA3DF2">
        <w:rPr>
          <w:rFonts w:asciiTheme="minorHAnsi" w:hAnsiTheme="minorHAnsi"/>
          <w:snapToGrid w:val="0"/>
        </w:rPr>
        <w:t xml:space="preserve">he PBAC was of a mind to recommend </w:t>
      </w:r>
      <w:r w:rsidR="00DA3DF2">
        <w:rPr>
          <w:rFonts w:asciiTheme="minorHAnsi" w:hAnsiTheme="minorHAnsi"/>
          <w:snapToGrid w:val="0"/>
        </w:rPr>
        <w:t>seladelpar</w:t>
      </w:r>
      <w:r w:rsidR="00DA3DF2" w:rsidRPr="00DA3DF2">
        <w:rPr>
          <w:rFonts w:asciiTheme="minorHAnsi" w:hAnsiTheme="minorHAnsi"/>
          <w:snapToGrid w:val="0"/>
        </w:rPr>
        <w:t xml:space="preserve">, </w:t>
      </w:r>
      <w:r w:rsidR="00121EF7" w:rsidRPr="00121EF7">
        <w:rPr>
          <w:rFonts w:asciiTheme="minorHAnsi" w:hAnsiTheme="minorHAnsi"/>
          <w:snapToGrid w:val="0"/>
        </w:rPr>
        <w:t>pending advice from the TGA Delegate</w:t>
      </w:r>
      <w:r w:rsidR="00DC50C0">
        <w:rPr>
          <w:rFonts w:asciiTheme="minorHAnsi" w:hAnsiTheme="minorHAnsi"/>
          <w:snapToGrid w:val="0"/>
        </w:rPr>
        <w:t xml:space="preserve">. </w:t>
      </w:r>
      <w:r>
        <w:rPr>
          <w:rFonts w:asciiTheme="minorHAnsi" w:hAnsiTheme="minorHAnsi"/>
          <w:snapToGrid w:val="0"/>
          <w:lang w:val="en-GB"/>
        </w:rPr>
        <w:t xml:space="preserve">The PBAC considered that </w:t>
      </w:r>
      <w:r w:rsidR="008D6342">
        <w:rPr>
          <w:rFonts w:asciiTheme="minorHAnsi" w:hAnsiTheme="minorHAnsi"/>
          <w:snapToGrid w:val="0"/>
          <w:lang w:val="en-GB"/>
        </w:rPr>
        <w:t>seladelpar</w:t>
      </w:r>
      <w:r>
        <w:rPr>
          <w:rFonts w:asciiTheme="minorHAnsi" w:hAnsiTheme="minorHAnsi"/>
          <w:snapToGrid w:val="0"/>
          <w:lang w:val="en-GB"/>
        </w:rPr>
        <w:t xml:space="preserve"> was non-inferior in terms of effectiveness and safety compared to obeticholic acid (OCA) and therefore</w:t>
      </w:r>
      <w:r w:rsidR="003065A1">
        <w:rPr>
          <w:rFonts w:asciiTheme="minorHAnsi" w:hAnsiTheme="minorHAnsi"/>
          <w:snapToGrid w:val="0"/>
          <w:lang w:val="en-GB"/>
        </w:rPr>
        <w:t>,</w:t>
      </w:r>
      <w:r>
        <w:rPr>
          <w:rFonts w:asciiTheme="minorHAnsi" w:hAnsiTheme="minorHAnsi"/>
          <w:snapToGrid w:val="0"/>
          <w:lang w:val="en-GB"/>
        </w:rPr>
        <w:t xml:space="preserve"> considered that a cost-minimisation approach versus OCA </w:t>
      </w:r>
      <w:r w:rsidR="003065A1">
        <w:rPr>
          <w:rFonts w:asciiTheme="minorHAnsi" w:hAnsiTheme="minorHAnsi"/>
          <w:snapToGrid w:val="0"/>
          <w:lang w:val="en-GB"/>
        </w:rPr>
        <w:t>was</w:t>
      </w:r>
      <w:r>
        <w:rPr>
          <w:rFonts w:asciiTheme="minorHAnsi" w:hAnsiTheme="minorHAnsi"/>
          <w:snapToGrid w:val="0"/>
          <w:lang w:val="en-GB"/>
        </w:rPr>
        <w:t xml:space="preserve"> appropriate. </w:t>
      </w:r>
      <w:r w:rsidR="00FD6FD9">
        <w:rPr>
          <w:rFonts w:asciiTheme="minorHAnsi" w:hAnsiTheme="minorHAnsi"/>
          <w:snapToGrid w:val="0"/>
          <w:lang w:val="en-GB"/>
        </w:rPr>
        <w:t xml:space="preserve">The PBAC also considered that seladelpar was non-inferior in terms of comparative effectiveness and safety to the near market comparator, elafibranor. </w:t>
      </w:r>
      <w:r w:rsidR="00F723D7">
        <w:rPr>
          <w:rFonts w:asciiTheme="minorHAnsi" w:hAnsiTheme="minorHAnsi"/>
          <w:snapToGrid w:val="0"/>
          <w:lang w:val="en-GB"/>
        </w:rPr>
        <w:t>T</w:t>
      </w:r>
      <w:r>
        <w:rPr>
          <w:rFonts w:asciiTheme="minorHAnsi" w:hAnsiTheme="minorHAnsi"/>
          <w:snapToGrid w:val="0"/>
          <w:lang w:val="en-GB"/>
        </w:rPr>
        <w:t xml:space="preserve">he PBAC considered that a price premium for </w:t>
      </w:r>
      <w:r w:rsidR="008D6342">
        <w:rPr>
          <w:rFonts w:asciiTheme="minorHAnsi" w:hAnsiTheme="minorHAnsi"/>
          <w:snapToGrid w:val="0"/>
          <w:lang w:val="en-GB"/>
        </w:rPr>
        <w:t>seladelpar</w:t>
      </w:r>
      <w:r w:rsidR="00C85188">
        <w:rPr>
          <w:rFonts w:asciiTheme="minorHAnsi" w:hAnsiTheme="minorHAnsi"/>
          <w:snapToGrid w:val="0"/>
          <w:lang w:val="en-GB"/>
        </w:rPr>
        <w:t xml:space="preserve"> over OCA</w:t>
      </w:r>
      <w:r w:rsidR="008D6342">
        <w:rPr>
          <w:rFonts w:asciiTheme="minorHAnsi" w:hAnsiTheme="minorHAnsi"/>
          <w:snapToGrid w:val="0"/>
          <w:lang w:val="en-GB"/>
        </w:rPr>
        <w:t xml:space="preserve">, </w:t>
      </w:r>
      <w:r w:rsidR="004D03E6">
        <w:rPr>
          <w:rFonts w:asciiTheme="minorHAnsi" w:hAnsiTheme="minorHAnsi"/>
          <w:snapToGrid w:val="0"/>
          <w:lang w:val="en-GB"/>
        </w:rPr>
        <w:t>consistent with</w:t>
      </w:r>
      <w:r w:rsidR="008D6342">
        <w:rPr>
          <w:rFonts w:asciiTheme="minorHAnsi" w:hAnsiTheme="minorHAnsi"/>
          <w:snapToGrid w:val="0"/>
          <w:lang w:val="en-GB"/>
        </w:rPr>
        <w:t xml:space="preserve"> </w:t>
      </w:r>
      <w:r w:rsidR="00213D64">
        <w:rPr>
          <w:rFonts w:asciiTheme="minorHAnsi" w:hAnsiTheme="minorHAnsi"/>
          <w:snapToGrid w:val="0"/>
          <w:lang w:val="en-GB"/>
        </w:rPr>
        <w:t xml:space="preserve">what was recommended for </w:t>
      </w:r>
      <w:r>
        <w:rPr>
          <w:rFonts w:asciiTheme="minorHAnsi" w:hAnsiTheme="minorHAnsi"/>
          <w:snapToGrid w:val="0"/>
          <w:lang w:val="en-GB"/>
        </w:rPr>
        <w:t xml:space="preserve">elafibranor </w:t>
      </w:r>
      <w:r w:rsidR="00213D64">
        <w:rPr>
          <w:rFonts w:asciiTheme="minorHAnsi" w:hAnsiTheme="minorHAnsi"/>
          <w:snapToGrid w:val="0"/>
          <w:lang w:val="en-GB"/>
        </w:rPr>
        <w:t xml:space="preserve">in March 2025, </w:t>
      </w:r>
      <w:r>
        <w:rPr>
          <w:rFonts w:asciiTheme="minorHAnsi" w:hAnsiTheme="minorHAnsi"/>
          <w:snapToGrid w:val="0"/>
          <w:lang w:val="en-GB"/>
        </w:rPr>
        <w:t>would be reasonable given the potential reduction in PBC-related pruritus</w:t>
      </w:r>
      <w:r>
        <w:t xml:space="preserve"> compared to OCA.</w:t>
      </w:r>
      <w:r>
        <w:rPr>
          <w:rFonts w:asciiTheme="minorHAnsi" w:hAnsiTheme="minorHAnsi"/>
          <w:snapToGrid w:val="0"/>
          <w:lang w:val="en-GB"/>
        </w:rPr>
        <w:t xml:space="preserve"> The PBAC considered that </w:t>
      </w:r>
      <w:r w:rsidR="00213D64">
        <w:rPr>
          <w:rFonts w:asciiTheme="minorHAnsi" w:hAnsiTheme="minorHAnsi"/>
          <w:snapToGrid w:val="0"/>
          <w:lang w:val="en-GB"/>
        </w:rPr>
        <w:t>seladelpar</w:t>
      </w:r>
      <w:r>
        <w:rPr>
          <w:rFonts w:asciiTheme="minorHAnsi" w:hAnsiTheme="minorHAnsi"/>
          <w:snapToGrid w:val="0"/>
          <w:lang w:val="en-GB"/>
        </w:rPr>
        <w:t xml:space="preserve"> should join the risk sharing arrangement (RSA) for OCA.</w:t>
      </w:r>
    </w:p>
    <w:p w14:paraId="17CB3067" w14:textId="7B775C0F" w:rsidR="00D27272" w:rsidRDefault="00F95F54" w:rsidP="00351573">
      <w:pPr>
        <w:widowControl w:val="0"/>
        <w:numPr>
          <w:ilvl w:val="1"/>
          <w:numId w:val="1"/>
        </w:numPr>
        <w:spacing w:after="120"/>
        <w:rPr>
          <w:rFonts w:asciiTheme="minorHAnsi" w:hAnsiTheme="minorHAnsi"/>
          <w:snapToGrid w:val="0"/>
          <w:lang w:val="en-GB"/>
        </w:rPr>
      </w:pPr>
      <w:r w:rsidRPr="004078FB">
        <w:rPr>
          <w:rFonts w:asciiTheme="minorHAnsi" w:hAnsiTheme="minorHAnsi"/>
          <w:snapToGrid w:val="0"/>
          <w:lang w:val="en-GB"/>
        </w:rPr>
        <w:t xml:space="preserve">The PBAC acknowledged the input </w:t>
      </w:r>
      <w:r w:rsidR="003619FB" w:rsidRPr="004078FB">
        <w:rPr>
          <w:rFonts w:asciiTheme="minorHAnsi" w:hAnsiTheme="minorHAnsi"/>
          <w:snapToGrid w:val="0"/>
          <w:lang w:val="en-GB"/>
        </w:rPr>
        <w:t xml:space="preserve">from the Liver Foundation </w:t>
      </w:r>
      <w:r w:rsidRPr="004078FB">
        <w:rPr>
          <w:rFonts w:asciiTheme="minorHAnsi" w:hAnsiTheme="minorHAnsi"/>
          <w:snapToGrid w:val="0"/>
          <w:lang w:val="en-GB"/>
        </w:rPr>
        <w:t>supporting the submission. The PBAC also noted the input provided during the Sponsor hearing, which highlighted the need for alternative treatments for patients who do not respond to first-line treatment with ursodeoxycholic acid (UD</w:t>
      </w:r>
      <w:r w:rsidR="00F723D7">
        <w:rPr>
          <w:rFonts w:asciiTheme="minorHAnsi" w:hAnsiTheme="minorHAnsi"/>
          <w:snapToGrid w:val="0"/>
          <w:lang w:val="en-GB"/>
        </w:rPr>
        <w:t>C</w:t>
      </w:r>
      <w:r w:rsidRPr="004078FB">
        <w:rPr>
          <w:rFonts w:asciiTheme="minorHAnsi" w:hAnsiTheme="minorHAnsi"/>
          <w:snapToGrid w:val="0"/>
          <w:lang w:val="en-GB"/>
        </w:rPr>
        <w:t>A)</w:t>
      </w:r>
      <w:r w:rsidR="00FB50EF">
        <w:rPr>
          <w:rFonts w:asciiTheme="minorHAnsi" w:hAnsiTheme="minorHAnsi"/>
          <w:snapToGrid w:val="0"/>
          <w:lang w:val="en-GB"/>
        </w:rPr>
        <w:t>.</w:t>
      </w:r>
      <w:r w:rsidR="004F0ED0" w:rsidRPr="004078FB">
        <w:rPr>
          <w:rFonts w:asciiTheme="minorHAnsi" w:hAnsiTheme="minorHAnsi"/>
          <w:snapToGrid w:val="0"/>
          <w:lang w:val="en-GB"/>
        </w:rPr>
        <w:t xml:space="preserve"> </w:t>
      </w:r>
      <w:r w:rsidR="00FB50EF" w:rsidRPr="004078FB">
        <w:rPr>
          <w:rFonts w:asciiTheme="minorHAnsi" w:hAnsiTheme="minorHAnsi"/>
          <w:snapToGrid w:val="0"/>
          <w:lang w:val="en-GB"/>
        </w:rPr>
        <w:t>The PBAC</w:t>
      </w:r>
      <w:r w:rsidR="00635447">
        <w:rPr>
          <w:rFonts w:asciiTheme="minorHAnsi" w:hAnsiTheme="minorHAnsi"/>
          <w:snapToGrid w:val="0"/>
          <w:lang w:val="en-GB"/>
        </w:rPr>
        <w:t xml:space="preserve"> </w:t>
      </w:r>
      <w:r w:rsidR="00BF2B69">
        <w:rPr>
          <w:rFonts w:asciiTheme="minorHAnsi" w:hAnsiTheme="minorHAnsi"/>
          <w:snapToGrid w:val="0"/>
          <w:lang w:val="en-GB"/>
        </w:rPr>
        <w:t xml:space="preserve">noted </w:t>
      </w:r>
      <w:r w:rsidR="00635447">
        <w:rPr>
          <w:rFonts w:asciiTheme="minorHAnsi" w:hAnsiTheme="minorHAnsi"/>
          <w:snapToGrid w:val="0"/>
          <w:lang w:val="en-GB"/>
        </w:rPr>
        <w:t xml:space="preserve">the </w:t>
      </w:r>
      <w:r w:rsidR="00635447">
        <w:rPr>
          <w:rFonts w:cs="Calibri"/>
        </w:rPr>
        <w:t xml:space="preserve">severity </w:t>
      </w:r>
      <w:r w:rsidR="007B56E7">
        <w:rPr>
          <w:rFonts w:cs="Calibri"/>
        </w:rPr>
        <w:t xml:space="preserve">of impairment before </w:t>
      </w:r>
      <w:r w:rsidR="00D27272">
        <w:rPr>
          <w:rFonts w:cs="Calibri"/>
        </w:rPr>
        <w:t xml:space="preserve">effective </w:t>
      </w:r>
      <w:r w:rsidR="007B56E7">
        <w:rPr>
          <w:rFonts w:cs="Calibri"/>
        </w:rPr>
        <w:t xml:space="preserve">medication </w:t>
      </w:r>
      <w:r w:rsidR="00D27272">
        <w:rPr>
          <w:rFonts w:cs="Calibri"/>
        </w:rPr>
        <w:t xml:space="preserve">was received, as </w:t>
      </w:r>
      <w:r w:rsidR="007B56E7">
        <w:rPr>
          <w:rFonts w:cs="Calibri"/>
        </w:rPr>
        <w:t xml:space="preserve">articulated from the </w:t>
      </w:r>
      <w:r w:rsidR="003619FB">
        <w:rPr>
          <w:rFonts w:cs="Calibri"/>
        </w:rPr>
        <w:t>patie</w:t>
      </w:r>
      <w:r w:rsidR="00A73A82">
        <w:rPr>
          <w:rFonts w:cs="Calibri"/>
        </w:rPr>
        <w:t>nt</w:t>
      </w:r>
      <w:r w:rsidR="007B56E7">
        <w:rPr>
          <w:rFonts w:cs="Calibri"/>
        </w:rPr>
        <w:t xml:space="preserve"> perspective</w:t>
      </w:r>
      <w:r w:rsidR="00BF2B69">
        <w:rPr>
          <w:rFonts w:cs="Calibri"/>
        </w:rPr>
        <w:t>,</w:t>
      </w:r>
      <w:r w:rsidR="00FB50EF" w:rsidRPr="004078FB">
        <w:rPr>
          <w:rFonts w:asciiTheme="minorHAnsi" w:hAnsiTheme="minorHAnsi"/>
          <w:snapToGrid w:val="0"/>
          <w:lang w:val="en-GB"/>
        </w:rPr>
        <w:t xml:space="preserve"> </w:t>
      </w:r>
      <w:r w:rsidR="00BF2B69">
        <w:rPr>
          <w:rFonts w:asciiTheme="minorHAnsi" w:hAnsiTheme="minorHAnsi"/>
          <w:snapToGrid w:val="0"/>
          <w:lang w:val="en-GB"/>
        </w:rPr>
        <w:t>and</w:t>
      </w:r>
      <w:r w:rsidR="00FB50EF" w:rsidRPr="004078FB">
        <w:rPr>
          <w:rFonts w:asciiTheme="minorHAnsi" w:hAnsiTheme="minorHAnsi"/>
          <w:snapToGrid w:val="0"/>
          <w:lang w:val="en-GB"/>
        </w:rPr>
        <w:t xml:space="preserve"> the </w:t>
      </w:r>
      <w:r w:rsidR="007B56E7">
        <w:rPr>
          <w:rFonts w:asciiTheme="minorHAnsi" w:hAnsiTheme="minorHAnsi"/>
          <w:snapToGrid w:val="0"/>
          <w:lang w:val="en-GB"/>
        </w:rPr>
        <w:t xml:space="preserve">individual’s </w:t>
      </w:r>
      <w:r w:rsidR="00330DB0" w:rsidRPr="004078FB">
        <w:rPr>
          <w:rFonts w:asciiTheme="minorHAnsi" w:hAnsiTheme="minorHAnsi"/>
          <w:snapToGrid w:val="0"/>
          <w:lang w:val="en-GB"/>
        </w:rPr>
        <w:t>positive</w:t>
      </w:r>
      <w:r w:rsidR="00330DB0">
        <w:rPr>
          <w:rFonts w:asciiTheme="minorHAnsi" w:hAnsiTheme="minorHAnsi"/>
          <w:snapToGrid w:val="0"/>
          <w:lang w:val="en-GB"/>
        </w:rPr>
        <w:t xml:space="preserve"> experience </w:t>
      </w:r>
      <w:r w:rsidR="00D9060A">
        <w:rPr>
          <w:rFonts w:asciiTheme="minorHAnsi" w:hAnsiTheme="minorHAnsi"/>
          <w:snapToGrid w:val="0"/>
          <w:lang w:val="en-GB"/>
        </w:rPr>
        <w:t xml:space="preserve">from the </w:t>
      </w:r>
      <w:r w:rsidR="00330DB0">
        <w:rPr>
          <w:rFonts w:asciiTheme="minorHAnsi" w:hAnsiTheme="minorHAnsi"/>
          <w:snapToGrid w:val="0"/>
          <w:lang w:val="en-GB"/>
        </w:rPr>
        <w:t>seladelpar trial</w:t>
      </w:r>
      <w:r w:rsidR="003619FB">
        <w:rPr>
          <w:rFonts w:asciiTheme="minorHAnsi" w:hAnsiTheme="minorHAnsi"/>
          <w:snapToGrid w:val="0"/>
          <w:lang w:val="en-GB"/>
        </w:rPr>
        <w:t xml:space="preserve"> (see paragraph</w:t>
      </w:r>
      <w:r w:rsidR="00DE0F83">
        <w:rPr>
          <w:rFonts w:asciiTheme="minorHAnsi" w:hAnsiTheme="minorHAnsi"/>
          <w:snapToGrid w:val="0"/>
          <w:lang w:val="en-GB"/>
        </w:rPr>
        <w:t xml:space="preserve"> </w:t>
      </w:r>
      <w:r w:rsidR="00DE0F83">
        <w:rPr>
          <w:rFonts w:asciiTheme="minorHAnsi" w:hAnsiTheme="minorHAnsi"/>
          <w:snapToGrid w:val="0"/>
          <w:lang w:val="en-GB"/>
        </w:rPr>
        <w:fldChar w:fldCharType="begin"/>
      </w:r>
      <w:r w:rsidR="00DE0F83">
        <w:rPr>
          <w:rFonts w:asciiTheme="minorHAnsi" w:hAnsiTheme="minorHAnsi"/>
          <w:snapToGrid w:val="0"/>
          <w:lang w:val="en-GB"/>
        </w:rPr>
        <w:instrText xml:space="preserve"> REF _Ref204004091 \r \h </w:instrText>
      </w:r>
      <w:r w:rsidR="00DE0F83">
        <w:rPr>
          <w:rFonts w:asciiTheme="minorHAnsi" w:hAnsiTheme="minorHAnsi"/>
          <w:snapToGrid w:val="0"/>
          <w:lang w:val="en-GB"/>
        </w:rPr>
      </w:r>
      <w:r w:rsidR="00DE0F83">
        <w:rPr>
          <w:rFonts w:asciiTheme="minorHAnsi" w:hAnsiTheme="minorHAnsi"/>
          <w:snapToGrid w:val="0"/>
          <w:lang w:val="en-GB"/>
        </w:rPr>
        <w:fldChar w:fldCharType="separate"/>
      </w:r>
      <w:r w:rsidR="00333A5F">
        <w:rPr>
          <w:rFonts w:asciiTheme="minorHAnsi" w:hAnsiTheme="minorHAnsi"/>
          <w:snapToGrid w:val="0"/>
          <w:lang w:val="en-GB"/>
        </w:rPr>
        <w:t>6.1</w:t>
      </w:r>
      <w:r w:rsidR="00DE0F83">
        <w:rPr>
          <w:rFonts w:asciiTheme="minorHAnsi" w:hAnsiTheme="minorHAnsi"/>
          <w:snapToGrid w:val="0"/>
          <w:lang w:val="en-GB"/>
        </w:rPr>
        <w:fldChar w:fldCharType="end"/>
      </w:r>
      <w:r w:rsidR="003619FB">
        <w:rPr>
          <w:rFonts w:asciiTheme="minorHAnsi" w:hAnsiTheme="minorHAnsi"/>
          <w:snapToGrid w:val="0"/>
          <w:lang w:val="en-GB"/>
        </w:rPr>
        <w:t xml:space="preserve">). </w:t>
      </w:r>
      <w:r w:rsidR="004078FB">
        <w:rPr>
          <w:rFonts w:asciiTheme="minorHAnsi" w:hAnsiTheme="minorHAnsi"/>
          <w:snapToGrid w:val="0"/>
          <w:lang w:val="en-GB"/>
        </w:rPr>
        <w:t xml:space="preserve"> </w:t>
      </w:r>
      <w:bookmarkEnd w:id="103"/>
    </w:p>
    <w:p w14:paraId="12FB73C4" w14:textId="5DB750BB" w:rsidR="00351573" w:rsidRPr="00254B76" w:rsidRDefault="00131697" w:rsidP="001A3C35">
      <w:pPr>
        <w:widowControl w:val="0"/>
        <w:numPr>
          <w:ilvl w:val="1"/>
          <w:numId w:val="1"/>
        </w:numPr>
        <w:spacing w:after="120"/>
        <w:rPr>
          <w:rFonts w:asciiTheme="minorHAnsi" w:hAnsiTheme="minorHAnsi"/>
          <w:snapToGrid w:val="0"/>
          <w:lang w:val="en-GB"/>
        </w:rPr>
      </w:pPr>
      <w:r w:rsidRPr="00131697">
        <w:rPr>
          <w:rFonts w:asciiTheme="minorHAnsi" w:hAnsiTheme="minorHAnsi"/>
          <w:snapToGrid w:val="0"/>
        </w:rPr>
        <w:t xml:space="preserve">The PBAC considered that </w:t>
      </w:r>
      <w:r>
        <w:rPr>
          <w:rFonts w:asciiTheme="minorHAnsi" w:hAnsiTheme="minorHAnsi"/>
          <w:snapToGrid w:val="0"/>
        </w:rPr>
        <w:t>seladelpar</w:t>
      </w:r>
      <w:r w:rsidR="00BB27C3">
        <w:rPr>
          <w:rFonts w:asciiTheme="minorHAnsi" w:hAnsiTheme="minorHAnsi"/>
          <w:snapToGrid w:val="0"/>
        </w:rPr>
        <w:t>, as an add-on to UDCA,</w:t>
      </w:r>
      <w:r w:rsidRPr="00131697">
        <w:rPr>
          <w:rFonts w:asciiTheme="minorHAnsi" w:hAnsiTheme="minorHAnsi"/>
          <w:snapToGrid w:val="0"/>
        </w:rPr>
        <w:t xml:space="preserve"> would be used as an alternative to OCA in the second line setting</w:t>
      </w:r>
      <w:r w:rsidR="00A477A5">
        <w:rPr>
          <w:rFonts w:asciiTheme="minorHAnsi" w:hAnsiTheme="minorHAnsi"/>
          <w:snapToGrid w:val="0"/>
        </w:rPr>
        <w:t xml:space="preserve"> </w:t>
      </w:r>
      <w:r w:rsidR="00DF1EF8">
        <w:rPr>
          <w:rFonts w:asciiTheme="minorHAnsi" w:hAnsiTheme="minorHAnsi"/>
          <w:snapToGrid w:val="0"/>
        </w:rPr>
        <w:t xml:space="preserve">for patients that had failed to achieve an adequate response after at least </w:t>
      </w:r>
      <w:r w:rsidR="00871ACC">
        <w:rPr>
          <w:rFonts w:asciiTheme="minorHAnsi" w:hAnsiTheme="minorHAnsi"/>
          <w:snapToGrid w:val="0"/>
        </w:rPr>
        <w:t>1</w:t>
      </w:r>
      <w:r w:rsidR="00DF1EF8">
        <w:rPr>
          <w:rFonts w:asciiTheme="minorHAnsi" w:hAnsiTheme="minorHAnsi"/>
          <w:snapToGrid w:val="0"/>
        </w:rPr>
        <w:t>2 months treatment</w:t>
      </w:r>
      <w:r w:rsidR="00BB27C3">
        <w:rPr>
          <w:rFonts w:asciiTheme="minorHAnsi" w:hAnsiTheme="minorHAnsi"/>
          <w:snapToGrid w:val="0"/>
        </w:rPr>
        <w:t xml:space="preserve"> with UDCA monotherapy</w:t>
      </w:r>
      <w:r w:rsidRPr="00131697">
        <w:rPr>
          <w:rFonts w:asciiTheme="minorHAnsi" w:hAnsiTheme="minorHAnsi"/>
          <w:snapToGrid w:val="0"/>
        </w:rPr>
        <w:t xml:space="preserve">. The PBAC considered that most </w:t>
      </w:r>
      <w:r w:rsidR="007B69F7">
        <w:rPr>
          <w:rFonts w:asciiTheme="minorHAnsi" w:hAnsiTheme="minorHAnsi"/>
          <w:snapToGrid w:val="0"/>
        </w:rPr>
        <w:t>seladelpar</w:t>
      </w:r>
      <w:r w:rsidRPr="00131697">
        <w:rPr>
          <w:rFonts w:asciiTheme="minorHAnsi" w:hAnsiTheme="minorHAnsi"/>
          <w:snapToGrid w:val="0"/>
        </w:rPr>
        <w:t xml:space="preserve"> use would be in combination with</w:t>
      </w:r>
      <w:r w:rsidR="00A477A5">
        <w:rPr>
          <w:rFonts w:asciiTheme="minorHAnsi" w:hAnsiTheme="minorHAnsi"/>
          <w:snapToGrid w:val="0"/>
        </w:rPr>
        <w:t xml:space="preserve"> UDCA</w:t>
      </w:r>
      <w:r w:rsidRPr="00131697">
        <w:rPr>
          <w:rFonts w:asciiTheme="minorHAnsi" w:hAnsiTheme="minorHAnsi"/>
          <w:snapToGrid w:val="0"/>
        </w:rPr>
        <w:t xml:space="preserve">, but noted that for those patients’ intolerant to UDCA, </w:t>
      </w:r>
      <w:r w:rsidR="002D1331">
        <w:rPr>
          <w:rFonts w:asciiTheme="minorHAnsi" w:hAnsiTheme="minorHAnsi"/>
          <w:snapToGrid w:val="0"/>
        </w:rPr>
        <w:t>seladelpar</w:t>
      </w:r>
      <w:r w:rsidRPr="00131697">
        <w:rPr>
          <w:rFonts w:asciiTheme="minorHAnsi" w:hAnsiTheme="minorHAnsi"/>
          <w:snapToGrid w:val="0"/>
        </w:rPr>
        <w:t xml:space="preserve"> would likely be used as monotherapy.</w:t>
      </w:r>
      <w:r w:rsidR="000D2023">
        <w:rPr>
          <w:rFonts w:asciiTheme="minorHAnsi" w:hAnsiTheme="minorHAnsi"/>
          <w:snapToGrid w:val="0"/>
        </w:rPr>
        <w:t xml:space="preserve"> The PBAC also considered that seladelpar should </w:t>
      </w:r>
      <w:r w:rsidR="00C81A7D">
        <w:rPr>
          <w:rFonts w:asciiTheme="minorHAnsi" w:hAnsiTheme="minorHAnsi"/>
          <w:snapToGrid w:val="0"/>
        </w:rPr>
        <w:t>be available for use in the third</w:t>
      </w:r>
      <w:r w:rsidR="003065A1">
        <w:rPr>
          <w:rFonts w:asciiTheme="minorHAnsi" w:hAnsiTheme="minorHAnsi"/>
          <w:snapToGrid w:val="0"/>
        </w:rPr>
        <w:t xml:space="preserve"> </w:t>
      </w:r>
      <w:r w:rsidR="00C81A7D">
        <w:rPr>
          <w:rFonts w:asciiTheme="minorHAnsi" w:hAnsiTheme="minorHAnsi"/>
          <w:snapToGrid w:val="0"/>
        </w:rPr>
        <w:t xml:space="preserve">line setting for patients who </w:t>
      </w:r>
      <w:r w:rsidR="003065A1">
        <w:rPr>
          <w:rFonts w:asciiTheme="minorHAnsi" w:hAnsiTheme="minorHAnsi"/>
          <w:snapToGrid w:val="0"/>
        </w:rPr>
        <w:t xml:space="preserve">have </w:t>
      </w:r>
      <w:r w:rsidR="00C81A7D">
        <w:rPr>
          <w:rFonts w:asciiTheme="minorHAnsi" w:hAnsiTheme="minorHAnsi"/>
          <w:snapToGrid w:val="0"/>
        </w:rPr>
        <w:t>an inadequate response to, or are intolerant of, OCA</w:t>
      </w:r>
      <w:r w:rsidR="00B30086">
        <w:rPr>
          <w:rFonts w:asciiTheme="minorHAnsi" w:hAnsiTheme="minorHAnsi"/>
          <w:snapToGrid w:val="0"/>
        </w:rPr>
        <w:t xml:space="preserve"> (and elafibranor if PBS listed), noting that there was minimal clinical evidence in this population.</w:t>
      </w:r>
    </w:p>
    <w:p w14:paraId="70BE6278" w14:textId="23A6E181" w:rsidR="00254B76" w:rsidRPr="00E15BA0" w:rsidRDefault="00254B76" w:rsidP="001A3C35">
      <w:pPr>
        <w:widowControl w:val="0"/>
        <w:numPr>
          <w:ilvl w:val="1"/>
          <w:numId w:val="1"/>
        </w:numPr>
        <w:spacing w:after="120"/>
        <w:rPr>
          <w:rFonts w:asciiTheme="minorHAnsi" w:hAnsiTheme="minorHAnsi"/>
          <w:snapToGrid w:val="0"/>
          <w:lang w:val="en-GB"/>
        </w:rPr>
      </w:pPr>
      <w:r>
        <w:rPr>
          <w:rFonts w:asciiTheme="minorHAnsi" w:hAnsiTheme="minorHAnsi"/>
          <w:snapToGrid w:val="0"/>
        </w:rPr>
        <w:lastRenderedPageBreak/>
        <w:t xml:space="preserve">The PBAC considered </w:t>
      </w:r>
      <w:r w:rsidR="00E3118A">
        <w:rPr>
          <w:rFonts w:asciiTheme="minorHAnsi" w:hAnsiTheme="minorHAnsi"/>
          <w:snapToGrid w:val="0"/>
        </w:rPr>
        <w:t>that</w:t>
      </w:r>
      <w:r w:rsidR="007F0C9D">
        <w:rPr>
          <w:rFonts w:asciiTheme="minorHAnsi" w:hAnsiTheme="minorHAnsi"/>
          <w:snapToGrid w:val="0"/>
        </w:rPr>
        <w:t xml:space="preserve"> an </w:t>
      </w:r>
      <w:r w:rsidR="007F0C9D" w:rsidRPr="007F0C9D">
        <w:rPr>
          <w:rFonts w:asciiTheme="minorHAnsi" w:hAnsiTheme="minorHAnsi"/>
          <w:snapToGrid w:val="0"/>
        </w:rPr>
        <w:t xml:space="preserve">Authority Required – immediate assessment (telephone/online) </w:t>
      </w:r>
      <w:r w:rsidR="003065A1">
        <w:rPr>
          <w:rFonts w:asciiTheme="minorHAnsi" w:hAnsiTheme="minorHAnsi"/>
          <w:snapToGrid w:val="0"/>
        </w:rPr>
        <w:t xml:space="preserve">listing </w:t>
      </w:r>
      <w:r w:rsidR="000173D5">
        <w:rPr>
          <w:rFonts w:asciiTheme="minorHAnsi" w:hAnsiTheme="minorHAnsi"/>
          <w:snapToGrid w:val="0"/>
        </w:rPr>
        <w:t>for initiation</w:t>
      </w:r>
      <w:r w:rsidR="007F0C9D">
        <w:rPr>
          <w:rFonts w:asciiTheme="minorHAnsi" w:hAnsiTheme="minorHAnsi"/>
          <w:snapToGrid w:val="0"/>
        </w:rPr>
        <w:t xml:space="preserve"> and </w:t>
      </w:r>
      <w:r w:rsidR="003065A1">
        <w:rPr>
          <w:rFonts w:asciiTheme="minorHAnsi" w:hAnsiTheme="minorHAnsi"/>
          <w:snapToGrid w:val="0"/>
        </w:rPr>
        <w:t xml:space="preserve">an </w:t>
      </w:r>
      <w:r w:rsidR="007F0C9D">
        <w:rPr>
          <w:rFonts w:asciiTheme="minorHAnsi" w:hAnsiTheme="minorHAnsi"/>
          <w:snapToGrid w:val="0"/>
        </w:rPr>
        <w:t>Authority required</w:t>
      </w:r>
      <w:r w:rsidR="000173D5">
        <w:rPr>
          <w:rFonts w:asciiTheme="minorHAnsi" w:hAnsiTheme="minorHAnsi"/>
          <w:snapToGrid w:val="0"/>
        </w:rPr>
        <w:t xml:space="preserve"> </w:t>
      </w:r>
      <w:r w:rsidR="007F0C9D" w:rsidRPr="007F0C9D">
        <w:rPr>
          <w:rFonts w:asciiTheme="minorHAnsi" w:hAnsiTheme="minorHAnsi"/>
          <w:snapToGrid w:val="0"/>
        </w:rPr>
        <w:t>(Streamlined)</w:t>
      </w:r>
      <w:r w:rsidR="000173D5">
        <w:rPr>
          <w:rFonts w:asciiTheme="minorHAnsi" w:hAnsiTheme="minorHAnsi"/>
          <w:snapToGrid w:val="0"/>
        </w:rPr>
        <w:t xml:space="preserve"> </w:t>
      </w:r>
      <w:r w:rsidR="003065A1">
        <w:rPr>
          <w:rFonts w:asciiTheme="minorHAnsi" w:hAnsiTheme="minorHAnsi"/>
          <w:snapToGrid w:val="0"/>
        </w:rPr>
        <w:t xml:space="preserve">listing </w:t>
      </w:r>
      <w:r w:rsidR="000173D5">
        <w:rPr>
          <w:rFonts w:asciiTheme="minorHAnsi" w:hAnsiTheme="minorHAnsi"/>
          <w:snapToGrid w:val="0"/>
        </w:rPr>
        <w:t>for continuing</w:t>
      </w:r>
      <w:r w:rsidR="003065A1">
        <w:rPr>
          <w:rFonts w:asciiTheme="minorHAnsi" w:hAnsiTheme="minorHAnsi"/>
          <w:snapToGrid w:val="0"/>
        </w:rPr>
        <w:t xml:space="preserve"> supply</w:t>
      </w:r>
      <w:r w:rsidR="000173D5">
        <w:rPr>
          <w:rFonts w:asciiTheme="minorHAnsi" w:hAnsiTheme="minorHAnsi"/>
          <w:snapToGrid w:val="0"/>
        </w:rPr>
        <w:t>, as was recommended for elafibranor, would be appropriate.</w:t>
      </w:r>
      <w:r w:rsidR="000A0310">
        <w:rPr>
          <w:rFonts w:asciiTheme="minorHAnsi" w:hAnsiTheme="minorHAnsi"/>
          <w:snapToGrid w:val="0"/>
        </w:rPr>
        <w:t xml:space="preserve"> </w:t>
      </w:r>
      <w:r w:rsidR="00E15BA0">
        <w:rPr>
          <w:rFonts w:asciiTheme="minorHAnsi" w:hAnsiTheme="minorHAnsi"/>
          <w:snapToGrid w:val="0"/>
        </w:rPr>
        <w:t>The PBAC</w:t>
      </w:r>
      <w:r w:rsidR="003065A1">
        <w:rPr>
          <w:rFonts w:asciiTheme="minorHAnsi" w:hAnsiTheme="minorHAnsi"/>
          <w:snapToGrid w:val="0"/>
        </w:rPr>
        <w:t xml:space="preserve">, noting that consistency with the </w:t>
      </w:r>
      <w:r w:rsidR="001158A5">
        <w:rPr>
          <w:rFonts w:asciiTheme="minorHAnsi" w:hAnsiTheme="minorHAnsi"/>
          <w:snapToGrid w:val="0"/>
        </w:rPr>
        <w:t>wording proposed for elafibranor at the Ma</w:t>
      </w:r>
      <w:r w:rsidR="00DE0F83">
        <w:rPr>
          <w:rFonts w:asciiTheme="minorHAnsi" w:hAnsiTheme="minorHAnsi"/>
          <w:snapToGrid w:val="0"/>
        </w:rPr>
        <w:t>r</w:t>
      </w:r>
      <w:r w:rsidR="001158A5">
        <w:rPr>
          <w:rFonts w:asciiTheme="minorHAnsi" w:hAnsiTheme="minorHAnsi"/>
          <w:snapToGrid w:val="0"/>
        </w:rPr>
        <w:t>ch 2025 meeting would be appropriate,</w:t>
      </w:r>
      <w:r w:rsidR="00E15BA0">
        <w:rPr>
          <w:rFonts w:asciiTheme="minorHAnsi" w:hAnsiTheme="minorHAnsi"/>
          <w:snapToGrid w:val="0"/>
        </w:rPr>
        <w:t xml:space="preserve"> agreed with other suggestions for the restriction</w:t>
      </w:r>
      <w:r w:rsidR="007F0166">
        <w:rPr>
          <w:rFonts w:asciiTheme="minorHAnsi" w:hAnsiTheme="minorHAnsi"/>
          <w:snapToGrid w:val="0"/>
        </w:rPr>
        <w:t>, including</w:t>
      </w:r>
      <w:r w:rsidR="00E15BA0">
        <w:rPr>
          <w:rFonts w:asciiTheme="minorHAnsi" w:hAnsiTheme="minorHAnsi"/>
          <w:snapToGrid w:val="0"/>
        </w:rPr>
        <w:t>:</w:t>
      </w:r>
    </w:p>
    <w:p w14:paraId="408AFA3E" w14:textId="77777777" w:rsidR="00D911D0" w:rsidRPr="00D911D0" w:rsidRDefault="000601E0" w:rsidP="00F6324B">
      <w:pPr>
        <w:widowControl w:val="0"/>
        <w:numPr>
          <w:ilvl w:val="1"/>
          <w:numId w:val="13"/>
        </w:numPr>
        <w:spacing w:after="120"/>
        <w:ind w:left="1080"/>
        <w:rPr>
          <w:rFonts w:asciiTheme="minorHAnsi" w:hAnsiTheme="minorHAnsi"/>
          <w:snapToGrid w:val="0"/>
          <w:lang w:val="en-GB"/>
        </w:rPr>
      </w:pPr>
      <w:r w:rsidRPr="000601E0">
        <w:rPr>
          <w:rFonts w:asciiTheme="minorHAnsi" w:hAnsiTheme="minorHAnsi"/>
          <w:snapToGrid w:val="0"/>
        </w:rPr>
        <w:t xml:space="preserve">The Administrative Advice should exclude use in patients with sclerosing cholangitis only (i.e. cholelithiasis can be deleted); </w:t>
      </w:r>
    </w:p>
    <w:p w14:paraId="6C50FE19" w14:textId="555DD439" w:rsidR="00DE0F83" w:rsidRPr="00DE0F83" w:rsidRDefault="000601E0" w:rsidP="00F6324B">
      <w:pPr>
        <w:widowControl w:val="0"/>
        <w:numPr>
          <w:ilvl w:val="1"/>
          <w:numId w:val="13"/>
        </w:numPr>
        <w:spacing w:after="120"/>
        <w:ind w:left="1080"/>
        <w:rPr>
          <w:rFonts w:asciiTheme="minorHAnsi" w:hAnsiTheme="minorHAnsi"/>
          <w:snapToGrid w:val="0"/>
          <w:lang w:val="en-GB"/>
        </w:rPr>
      </w:pPr>
      <w:r w:rsidRPr="000601E0">
        <w:rPr>
          <w:rFonts w:asciiTheme="minorHAnsi" w:hAnsiTheme="minorHAnsi"/>
          <w:snapToGrid w:val="0"/>
        </w:rPr>
        <w:t>A criterion should be added to each restriction excluding concomitant use with the alternative agent</w:t>
      </w:r>
      <w:r w:rsidR="00DE0F83">
        <w:rPr>
          <w:rFonts w:asciiTheme="minorHAnsi" w:hAnsiTheme="minorHAnsi"/>
          <w:snapToGrid w:val="0"/>
        </w:rPr>
        <w:t>; and</w:t>
      </w:r>
    </w:p>
    <w:p w14:paraId="45E9F72E" w14:textId="5425E5DB" w:rsidR="004F2E42" w:rsidRPr="004F2E42" w:rsidRDefault="00DE0F83" w:rsidP="00F6324B">
      <w:pPr>
        <w:widowControl w:val="0"/>
        <w:numPr>
          <w:ilvl w:val="1"/>
          <w:numId w:val="13"/>
        </w:numPr>
        <w:spacing w:after="120"/>
        <w:ind w:left="1080"/>
        <w:rPr>
          <w:rFonts w:asciiTheme="minorHAnsi" w:hAnsiTheme="minorHAnsi"/>
          <w:snapToGrid w:val="0"/>
          <w:lang w:val="en-GB"/>
        </w:rPr>
      </w:pPr>
      <w:r>
        <w:rPr>
          <w:rFonts w:asciiTheme="minorHAnsi" w:hAnsiTheme="minorHAnsi"/>
          <w:snapToGrid w:val="0"/>
        </w:rPr>
        <w:t>The initial restriction should prevent use in patients who have severe liver disease or who are immunocompromised</w:t>
      </w:r>
    </w:p>
    <w:p w14:paraId="107B69F4" w14:textId="7A3C15AE" w:rsidR="005B5453" w:rsidRDefault="00E11135" w:rsidP="001A3C3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nomination of </w:t>
      </w:r>
      <w:r w:rsidR="004D2FAE">
        <w:rPr>
          <w:rFonts w:asciiTheme="minorHAnsi" w:hAnsiTheme="minorHAnsi"/>
          <w:snapToGrid w:val="0"/>
          <w:lang w:val="en-GB"/>
        </w:rPr>
        <w:t xml:space="preserve">OCA as the main comparator was reasonable. </w:t>
      </w:r>
      <w:r w:rsidR="00FC6FFC">
        <w:rPr>
          <w:rFonts w:asciiTheme="minorHAnsi" w:hAnsiTheme="minorHAnsi"/>
          <w:snapToGrid w:val="0"/>
          <w:lang w:val="en-GB"/>
        </w:rPr>
        <w:t xml:space="preserve">The PBAC </w:t>
      </w:r>
      <w:r w:rsidR="00561F4C">
        <w:rPr>
          <w:rFonts w:asciiTheme="minorHAnsi" w:hAnsiTheme="minorHAnsi"/>
          <w:snapToGrid w:val="0"/>
          <w:lang w:val="en-GB"/>
        </w:rPr>
        <w:t xml:space="preserve">also </w:t>
      </w:r>
      <w:r w:rsidR="00FC6FFC">
        <w:rPr>
          <w:rFonts w:asciiTheme="minorHAnsi" w:hAnsiTheme="minorHAnsi"/>
          <w:snapToGrid w:val="0"/>
          <w:lang w:val="en-GB"/>
        </w:rPr>
        <w:t>considered the nomination</w:t>
      </w:r>
      <w:r w:rsidR="005B5453">
        <w:rPr>
          <w:rFonts w:asciiTheme="minorHAnsi" w:hAnsiTheme="minorHAnsi"/>
          <w:snapToGrid w:val="0"/>
          <w:lang w:val="en-GB"/>
        </w:rPr>
        <w:t>s</w:t>
      </w:r>
      <w:r w:rsidR="00FC6FFC">
        <w:rPr>
          <w:rFonts w:asciiTheme="minorHAnsi" w:hAnsiTheme="minorHAnsi"/>
          <w:snapToGrid w:val="0"/>
          <w:lang w:val="en-GB"/>
        </w:rPr>
        <w:t xml:space="preserve"> of best supportive care </w:t>
      </w:r>
      <w:r w:rsidR="00DE0F83">
        <w:rPr>
          <w:rFonts w:asciiTheme="minorHAnsi" w:hAnsiTheme="minorHAnsi"/>
          <w:snapToGrid w:val="0"/>
          <w:lang w:val="en-GB"/>
        </w:rPr>
        <w:t xml:space="preserve">(BSC), </w:t>
      </w:r>
      <w:r w:rsidR="00561F4C">
        <w:rPr>
          <w:rFonts w:asciiTheme="minorHAnsi" w:hAnsiTheme="minorHAnsi"/>
          <w:snapToGrid w:val="0"/>
          <w:lang w:val="en-GB"/>
        </w:rPr>
        <w:t xml:space="preserve">as a comparator for patients who </w:t>
      </w:r>
      <w:r w:rsidR="00DE0F83">
        <w:rPr>
          <w:rFonts w:asciiTheme="minorHAnsi" w:hAnsiTheme="minorHAnsi"/>
          <w:snapToGrid w:val="0"/>
          <w:lang w:val="en-GB"/>
        </w:rPr>
        <w:t>are</w:t>
      </w:r>
      <w:r w:rsidR="00561F4C">
        <w:rPr>
          <w:rFonts w:asciiTheme="minorHAnsi" w:hAnsiTheme="minorHAnsi"/>
          <w:snapToGrid w:val="0"/>
          <w:lang w:val="en-GB"/>
        </w:rPr>
        <w:t xml:space="preserve"> intolerant to OCA</w:t>
      </w:r>
      <w:r w:rsidR="00DE0F83">
        <w:rPr>
          <w:rFonts w:asciiTheme="minorHAnsi" w:hAnsiTheme="minorHAnsi"/>
          <w:snapToGrid w:val="0"/>
          <w:lang w:val="en-GB"/>
        </w:rPr>
        <w:t>,</w:t>
      </w:r>
      <w:r w:rsidR="00561F4C">
        <w:rPr>
          <w:rFonts w:asciiTheme="minorHAnsi" w:hAnsiTheme="minorHAnsi"/>
          <w:snapToGrid w:val="0"/>
          <w:lang w:val="en-GB"/>
        </w:rPr>
        <w:t xml:space="preserve"> </w:t>
      </w:r>
      <w:r w:rsidR="005B5453">
        <w:rPr>
          <w:rFonts w:asciiTheme="minorHAnsi" w:hAnsiTheme="minorHAnsi"/>
          <w:snapToGrid w:val="0"/>
          <w:lang w:val="en-GB"/>
        </w:rPr>
        <w:t>and of elafibranor</w:t>
      </w:r>
      <w:r w:rsidR="00DE0F83">
        <w:rPr>
          <w:rFonts w:asciiTheme="minorHAnsi" w:hAnsiTheme="minorHAnsi"/>
          <w:snapToGrid w:val="0"/>
          <w:lang w:val="en-GB"/>
        </w:rPr>
        <w:t>,</w:t>
      </w:r>
      <w:r w:rsidR="005B5453">
        <w:rPr>
          <w:rFonts w:asciiTheme="minorHAnsi" w:hAnsiTheme="minorHAnsi"/>
          <w:snapToGrid w:val="0"/>
          <w:lang w:val="en-GB"/>
        </w:rPr>
        <w:t xml:space="preserve"> as a near market comparator</w:t>
      </w:r>
      <w:r w:rsidR="00DE0F83">
        <w:rPr>
          <w:rFonts w:asciiTheme="minorHAnsi" w:hAnsiTheme="minorHAnsi"/>
          <w:snapToGrid w:val="0"/>
          <w:lang w:val="en-GB"/>
        </w:rPr>
        <w:t>,</w:t>
      </w:r>
      <w:r w:rsidR="005B5453">
        <w:rPr>
          <w:rFonts w:asciiTheme="minorHAnsi" w:hAnsiTheme="minorHAnsi"/>
          <w:snapToGrid w:val="0"/>
          <w:lang w:val="en-GB"/>
        </w:rPr>
        <w:t xml:space="preserve"> were</w:t>
      </w:r>
      <w:r w:rsidR="00561F4C">
        <w:rPr>
          <w:rFonts w:asciiTheme="minorHAnsi" w:hAnsiTheme="minorHAnsi"/>
          <w:snapToGrid w:val="0"/>
          <w:lang w:val="en-GB"/>
        </w:rPr>
        <w:t xml:space="preserve"> r</w:t>
      </w:r>
      <w:r w:rsidR="00CD45D4">
        <w:rPr>
          <w:rFonts w:asciiTheme="minorHAnsi" w:hAnsiTheme="minorHAnsi"/>
          <w:snapToGrid w:val="0"/>
          <w:lang w:val="en-GB"/>
        </w:rPr>
        <w:t>easonable.</w:t>
      </w:r>
    </w:p>
    <w:p w14:paraId="7611F047" w14:textId="08CA8E33" w:rsidR="005B5453" w:rsidRDefault="005B5453" w:rsidP="001A3C3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was based on indirect treatment comparisons between seladelpar</w:t>
      </w:r>
      <w:r w:rsidR="00A5147D">
        <w:rPr>
          <w:rFonts w:asciiTheme="minorHAnsi" w:hAnsiTheme="minorHAnsi"/>
          <w:snapToGrid w:val="0"/>
          <w:lang w:val="en-GB"/>
        </w:rPr>
        <w:t xml:space="preserve"> (data from the RESPONSE trial, N = 193)</w:t>
      </w:r>
      <w:r w:rsidR="008405B5">
        <w:rPr>
          <w:rFonts w:asciiTheme="minorHAnsi" w:hAnsiTheme="minorHAnsi"/>
          <w:snapToGrid w:val="0"/>
          <w:lang w:val="en-GB"/>
        </w:rPr>
        <w:t xml:space="preserve"> and OCA (data from the POISE trial, N = 144) and elafibranor (data from the ELATIVE trial, N = 161)</w:t>
      </w:r>
      <w:r w:rsidR="00533EF6">
        <w:rPr>
          <w:rFonts w:asciiTheme="minorHAnsi" w:hAnsiTheme="minorHAnsi"/>
          <w:snapToGrid w:val="0"/>
          <w:lang w:val="en-GB"/>
        </w:rPr>
        <w:t>, with placebo as the common comparator</w:t>
      </w:r>
      <w:r w:rsidR="00E237A0">
        <w:rPr>
          <w:rFonts w:asciiTheme="minorHAnsi" w:hAnsiTheme="minorHAnsi"/>
          <w:snapToGrid w:val="0"/>
          <w:lang w:val="en-GB"/>
        </w:rPr>
        <w:t>. The PBAC not</w:t>
      </w:r>
      <w:r w:rsidR="00076399">
        <w:rPr>
          <w:rFonts w:asciiTheme="minorHAnsi" w:hAnsiTheme="minorHAnsi"/>
          <w:snapToGrid w:val="0"/>
          <w:lang w:val="en-GB"/>
        </w:rPr>
        <w:t>ed</w:t>
      </w:r>
      <w:r w:rsidR="00E237A0">
        <w:rPr>
          <w:rFonts w:asciiTheme="minorHAnsi" w:hAnsiTheme="minorHAnsi"/>
          <w:snapToGrid w:val="0"/>
          <w:lang w:val="en-GB"/>
        </w:rPr>
        <w:t xml:space="preserve"> the transitivity issues between the trials outlined in paragraphs </w:t>
      </w:r>
      <w:r w:rsidR="002F4DD8">
        <w:rPr>
          <w:rFonts w:asciiTheme="minorHAnsi" w:hAnsiTheme="minorHAnsi"/>
          <w:snapToGrid w:val="0"/>
          <w:lang w:val="en-GB"/>
        </w:rPr>
        <w:fldChar w:fldCharType="begin"/>
      </w:r>
      <w:r w:rsidR="002F4DD8">
        <w:rPr>
          <w:rFonts w:asciiTheme="minorHAnsi" w:hAnsiTheme="minorHAnsi"/>
          <w:snapToGrid w:val="0"/>
          <w:lang w:val="en-GB"/>
        </w:rPr>
        <w:instrText xml:space="preserve"> REF _Ref204774064 \r \h </w:instrText>
      </w:r>
      <w:r w:rsidR="002F4DD8">
        <w:rPr>
          <w:rFonts w:asciiTheme="minorHAnsi" w:hAnsiTheme="minorHAnsi"/>
          <w:snapToGrid w:val="0"/>
          <w:lang w:val="en-GB"/>
        </w:rPr>
      </w:r>
      <w:r w:rsidR="002F4DD8">
        <w:rPr>
          <w:rFonts w:asciiTheme="minorHAnsi" w:hAnsiTheme="minorHAnsi"/>
          <w:snapToGrid w:val="0"/>
          <w:lang w:val="en-GB"/>
        </w:rPr>
        <w:fldChar w:fldCharType="separate"/>
      </w:r>
      <w:r w:rsidR="00333A5F">
        <w:rPr>
          <w:rFonts w:asciiTheme="minorHAnsi" w:hAnsiTheme="minorHAnsi"/>
          <w:snapToGrid w:val="0"/>
          <w:lang w:val="en-GB"/>
        </w:rPr>
        <w:t>6.11</w:t>
      </w:r>
      <w:r w:rsidR="002F4DD8">
        <w:rPr>
          <w:rFonts w:asciiTheme="minorHAnsi" w:hAnsiTheme="minorHAnsi"/>
          <w:snapToGrid w:val="0"/>
          <w:lang w:val="en-GB"/>
        </w:rPr>
        <w:fldChar w:fldCharType="end"/>
      </w:r>
      <w:r w:rsidR="00955BE7">
        <w:rPr>
          <w:rFonts w:asciiTheme="minorHAnsi" w:hAnsiTheme="minorHAnsi"/>
          <w:snapToGrid w:val="0"/>
          <w:lang w:val="en-GB"/>
        </w:rPr>
        <w:t xml:space="preserve"> to </w:t>
      </w:r>
      <w:r w:rsidR="00955BE7">
        <w:rPr>
          <w:rFonts w:asciiTheme="minorHAnsi" w:hAnsiTheme="minorHAnsi"/>
          <w:snapToGrid w:val="0"/>
          <w:lang w:val="en-GB"/>
        </w:rPr>
        <w:fldChar w:fldCharType="begin"/>
      </w:r>
      <w:r w:rsidR="00955BE7">
        <w:rPr>
          <w:rFonts w:asciiTheme="minorHAnsi" w:hAnsiTheme="minorHAnsi"/>
          <w:snapToGrid w:val="0"/>
          <w:lang w:val="en-GB"/>
        </w:rPr>
        <w:instrText xml:space="preserve"> REF _Ref204774089 \r \h </w:instrText>
      </w:r>
      <w:r w:rsidR="00955BE7">
        <w:rPr>
          <w:rFonts w:asciiTheme="minorHAnsi" w:hAnsiTheme="minorHAnsi"/>
          <w:snapToGrid w:val="0"/>
          <w:lang w:val="en-GB"/>
        </w:rPr>
      </w:r>
      <w:r w:rsidR="00955BE7">
        <w:rPr>
          <w:rFonts w:asciiTheme="minorHAnsi" w:hAnsiTheme="minorHAnsi"/>
          <w:snapToGrid w:val="0"/>
          <w:lang w:val="en-GB"/>
        </w:rPr>
        <w:fldChar w:fldCharType="separate"/>
      </w:r>
      <w:r w:rsidR="00333A5F">
        <w:rPr>
          <w:rFonts w:asciiTheme="minorHAnsi" w:hAnsiTheme="minorHAnsi"/>
          <w:snapToGrid w:val="0"/>
          <w:lang w:val="en-GB"/>
        </w:rPr>
        <w:t>6.14</w:t>
      </w:r>
      <w:r w:rsidR="00955BE7">
        <w:rPr>
          <w:rFonts w:asciiTheme="minorHAnsi" w:hAnsiTheme="minorHAnsi"/>
          <w:snapToGrid w:val="0"/>
          <w:lang w:val="en-GB"/>
        </w:rPr>
        <w:fldChar w:fldCharType="end"/>
      </w:r>
      <w:r w:rsidR="00955BE7">
        <w:rPr>
          <w:rFonts w:asciiTheme="minorHAnsi" w:hAnsiTheme="minorHAnsi"/>
          <w:snapToGrid w:val="0"/>
          <w:lang w:val="en-GB"/>
        </w:rPr>
        <w:t xml:space="preserve">, </w:t>
      </w:r>
      <w:r w:rsidR="00076399">
        <w:rPr>
          <w:rFonts w:asciiTheme="minorHAnsi" w:hAnsiTheme="minorHAnsi"/>
          <w:snapToGrid w:val="0"/>
          <w:lang w:val="en-GB"/>
        </w:rPr>
        <w:t xml:space="preserve">however </w:t>
      </w:r>
      <w:r w:rsidR="00955BE7">
        <w:rPr>
          <w:rFonts w:asciiTheme="minorHAnsi" w:hAnsiTheme="minorHAnsi"/>
          <w:snapToGrid w:val="0"/>
          <w:lang w:val="en-GB"/>
        </w:rPr>
        <w:t xml:space="preserve">considered that this approach was </w:t>
      </w:r>
      <w:r w:rsidR="0028195A">
        <w:rPr>
          <w:rFonts w:asciiTheme="minorHAnsi" w:hAnsiTheme="minorHAnsi"/>
          <w:snapToGrid w:val="0"/>
          <w:lang w:val="en-GB"/>
        </w:rPr>
        <w:t>reasonable.</w:t>
      </w:r>
    </w:p>
    <w:p w14:paraId="651D8424" w14:textId="3E41B7BC" w:rsidR="0028195A" w:rsidRDefault="009E29F2" w:rsidP="001A3C3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w:t>
      </w:r>
      <w:r w:rsidR="0066012D">
        <w:rPr>
          <w:rFonts w:asciiTheme="minorHAnsi" w:hAnsiTheme="minorHAnsi"/>
          <w:snapToGrid w:val="0"/>
          <w:lang w:val="en-GB"/>
        </w:rPr>
        <w:t xml:space="preserve">although the primary outcome in all three trials was cholestasis or biochemical response, </w:t>
      </w:r>
      <w:r w:rsidR="007C41BD">
        <w:rPr>
          <w:rFonts w:asciiTheme="minorHAnsi" w:hAnsiTheme="minorHAnsi"/>
          <w:snapToGrid w:val="0"/>
          <w:lang w:val="en-GB"/>
        </w:rPr>
        <w:t xml:space="preserve">defined as achieving an alkaline phosphatase (ALP) &lt; 1.67 x the upper limit of normal (ULN), a decrease in </w:t>
      </w:r>
      <w:r w:rsidR="006313E3">
        <w:rPr>
          <w:rFonts w:asciiTheme="minorHAnsi" w:hAnsiTheme="minorHAnsi"/>
          <w:snapToGrid w:val="0"/>
          <w:lang w:val="en-GB"/>
        </w:rPr>
        <w:t xml:space="preserve">ALP of </w:t>
      </w:r>
      <w:r w:rsidR="006313E3">
        <w:rPr>
          <w:rFonts w:asciiTheme="minorHAnsi" w:hAnsiTheme="minorHAnsi" w:cstheme="minorHAnsi"/>
          <w:snapToGrid w:val="0"/>
          <w:lang w:val="en-GB"/>
        </w:rPr>
        <w:t>≥</w:t>
      </w:r>
      <w:r w:rsidR="006313E3">
        <w:rPr>
          <w:rFonts w:asciiTheme="minorHAnsi" w:hAnsiTheme="minorHAnsi"/>
          <w:snapToGrid w:val="0"/>
          <w:lang w:val="en-GB"/>
        </w:rPr>
        <w:t xml:space="preserve"> 15% and total bilirubin (TB) </w:t>
      </w:r>
      <w:r w:rsidR="006313E3">
        <w:rPr>
          <w:rFonts w:asciiTheme="minorHAnsi" w:hAnsiTheme="minorHAnsi" w:cstheme="minorHAnsi"/>
          <w:snapToGrid w:val="0"/>
          <w:lang w:val="en-GB"/>
        </w:rPr>
        <w:t>≤</w:t>
      </w:r>
      <w:r w:rsidR="006313E3">
        <w:rPr>
          <w:rFonts w:asciiTheme="minorHAnsi" w:hAnsiTheme="minorHAnsi"/>
          <w:snapToGrid w:val="0"/>
          <w:lang w:val="en-GB"/>
        </w:rPr>
        <w:t xml:space="preserve"> ULN</w:t>
      </w:r>
      <w:r w:rsidR="003C37CE">
        <w:rPr>
          <w:rFonts w:asciiTheme="minorHAnsi" w:hAnsiTheme="minorHAnsi"/>
          <w:snapToGrid w:val="0"/>
          <w:lang w:val="en-GB"/>
        </w:rPr>
        <w:t xml:space="preserve">, the ULN thresholds differed between the trials (see </w:t>
      </w:r>
      <w:r w:rsidR="003C37CE">
        <w:rPr>
          <w:rFonts w:asciiTheme="minorHAnsi" w:hAnsiTheme="minorHAnsi"/>
          <w:snapToGrid w:val="0"/>
          <w:lang w:val="en-GB"/>
        </w:rPr>
        <w:fldChar w:fldCharType="begin"/>
      </w:r>
      <w:r w:rsidR="003C37CE">
        <w:rPr>
          <w:rFonts w:asciiTheme="minorHAnsi" w:hAnsiTheme="minorHAnsi"/>
          <w:snapToGrid w:val="0"/>
          <w:lang w:val="en-GB"/>
        </w:rPr>
        <w:instrText xml:space="preserve"> REF _Ref196394238 \h </w:instrText>
      </w:r>
      <w:r w:rsidR="003C37CE">
        <w:rPr>
          <w:rFonts w:asciiTheme="minorHAnsi" w:hAnsiTheme="minorHAnsi"/>
          <w:snapToGrid w:val="0"/>
          <w:lang w:val="en-GB"/>
        </w:rPr>
      </w:r>
      <w:r w:rsidR="003C37CE">
        <w:rPr>
          <w:rFonts w:asciiTheme="minorHAnsi" w:hAnsiTheme="minorHAnsi"/>
          <w:snapToGrid w:val="0"/>
          <w:lang w:val="en-GB"/>
        </w:rPr>
        <w:fldChar w:fldCharType="separate"/>
      </w:r>
      <w:r w:rsidR="00333A5F">
        <w:t xml:space="preserve">Table </w:t>
      </w:r>
      <w:r w:rsidR="00333A5F">
        <w:rPr>
          <w:noProof/>
        </w:rPr>
        <w:t>4</w:t>
      </w:r>
      <w:r w:rsidR="003C37CE">
        <w:rPr>
          <w:rFonts w:asciiTheme="minorHAnsi" w:hAnsiTheme="minorHAnsi"/>
          <w:snapToGrid w:val="0"/>
          <w:lang w:val="en-GB"/>
        </w:rPr>
        <w:fldChar w:fldCharType="end"/>
      </w:r>
      <w:r w:rsidR="003C37CE">
        <w:rPr>
          <w:rFonts w:asciiTheme="minorHAnsi" w:hAnsiTheme="minorHAnsi"/>
          <w:snapToGrid w:val="0"/>
          <w:lang w:val="en-GB"/>
        </w:rPr>
        <w:t xml:space="preserve">). </w:t>
      </w:r>
      <w:r w:rsidR="00193FAA">
        <w:rPr>
          <w:rFonts w:asciiTheme="minorHAnsi" w:hAnsiTheme="minorHAnsi"/>
          <w:snapToGrid w:val="0"/>
          <w:lang w:val="en-GB"/>
        </w:rPr>
        <w:t>Thus</w:t>
      </w:r>
      <w:r w:rsidR="001158A5">
        <w:rPr>
          <w:rFonts w:asciiTheme="minorHAnsi" w:hAnsiTheme="minorHAnsi"/>
          <w:snapToGrid w:val="0"/>
          <w:lang w:val="en-GB"/>
        </w:rPr>
        <w:t>,</w:t>
      </w:r>
      <w:r w:rsidR="00193FAA">
        <w:rPr>
          <w:rFonts w:asciiTheme="minorHAnsi" w:hAnsiTheme="minorHAnsi"/>
          <w:snapToGrid w:val="0"/>
          <w:lang w:val="en-GB"/>
        </w:rPr>
        <w:t xml:space="preserve"> the submission </w:t>
      </w:r>
      <w:r w:rsidR="009A5A38">
        <w:rPr>
          <w:rFonts w:asciiTheme="minorHAnsi" w:hAnsiTheme="minorHAnsi"/>
          <w:snapToGrid w:val="0"/>
          <w:lang w:val="en-GB"/>
        </w:rPr>
        <w:t xml:space="preserve">presented </w:t>
      </w:r>
      <w:r w:rsidR="00DE0F83">
        <w:rPr>
          <w:rFonts w:asciiTheme="minorHAnsi" w:hAnsiTheme="minorHAnsi"/>
          <w:snapToGrid w:val="0"/>
          <w:lang w:val="en-GB"/>
        </w:rPr>
        <w:t>indirect comparisons</w:t>
      </w:r>
      <w:r w:rsidR="009A5A38">
        <w:rPr>
          <w:rFonts w:asciiTheme="minorHAnsi" w:hAnsiTheme="minorHAnsi"/>
          <w:snapToGrid w:val="0"/>
          <w:lang w:val="en-GB"/>
        </w:rPr>
        <w:t xml:space="preserve"> based on recalculated response rates using individual pa</w:t>
      </w:r>
      <w:r w:rsidR="00BA7602">
        <w:rPr>
          <w:rFonts w:asciiTheme="minorHAnsi" w:hAnsiTheme="minorHAnsi"/>
          <w:snapToGrid w:val="0"/>
          <w:lang w:val="en-GB"/>
        </w:rPr>
        <w:t>tient data from the REPONSE trial and the thresholds defined in the POISE and ELATIVE trials.</w:t>
      </w:r>
    </w:p>
    <w:p w14:paraId="035F0B15" w14:textId="4640A463" w:rsidR="00AC0951" w:rsidRDefault="00EE17C6"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compared to placebo, seladelpar was associated with a significantly higher proportion of patients achieving </w:t>
      </w:r>
      <w:r w:rsidR="00A44B97">
        <w:rPr>
          <w:rFonts w:asciiTheme="minorHAnsi" w:hAnsiTheme="minorHAnsi"/>
          <w:snapToGrid w:val="0"/>
          <w:lang w:val="en-GB"/>
        </w:rPr>
        <w:t>cholestasis response (</w:t>
      </w:r>
      <w:r w:rsidR="00F811B6">
        <w:rPr>
          <w:rFonts w:asciiTheme="minorHAnsi" w:hAnsiTheme="minorHAnsi"/>
          <w:snapToGrid w:val="0"/>
          <w:lang w:val="en-GB"/>
        </w:rPr>
        <w:t>61.7%</w:t>
      </w:r>
      <w:r w:rsidR="00AD636F">
        <w:rPr>
          <w:rFonts w:asciiTheme="minorHAnsi" w:hAnsiTheme="minorHAnsi"/>
          <w:snapToGrid w:val="0"/>
          <w:lang w:val="en-GB"/>
        </w:rPr>
        <w:t xml:space="preserve"> of seladelpar patients versus 20.0% of placebo patients; RD = </w:t>
      </w:r>
      <w:r w:rsidR="00AC0951">
        <w:rPr>
          <w:rFonts w:asciiTheme="minorHAnsi" w:hAnsiTheme="minorHAnsi"/>
          <w:snapToGrid w:val="0"/>
          <w:lang w:val="en-GB"/>
        </w:rPr>
        <w:t>0.42; 95% CI: 0.29, 0.55) and ALP normalisation</w:t>
      </w:r>
      <w:r w:rsidR="003F7F90">
        <w:rPr>
          <w:rFonts w:asciiTheme="minorHAnsi" w:hAnsiTheme="minorHAnsi"/>
          <w:snapToGrid w:val="0"/>
          <w:lang w:val="en-GB"/>
        </w:rPr>
        <w:t xml:space="preserve"> (25.0% of seladelpar patients versus 0% of placebo patients; RD = 0.25; 95% CI: </w:t>
      </w:r>
      <w:r w:rsidR="0053689C">
        <w:rPr>
          <w:rFonts w:asciiTheme="minorHAnsi" w:hAnsiTheme="minorHAnsi"/>
          <w:snapToGrid w:val="0"/>
          <w:lang w:val="en-GB"/>
        </w:rPr>
        <w:t xml:space="preserve">0.17, 0.33) at </w:t>
      </w:r>
      <w:r w:rsidR="00EE4854">
        <w:rPr>
          <w:rFonts w:asciiTheme="minorHAnsi" w:hAnsiTheme="minorHAnsi"/>
          <w:snapToGrid w:val="0"/>
          <w:lang w:val="en-GB"/>
        </w:rPr>
        <w:t xml:space="preserve">12 months (see </w:t>
      </w:r>
      <w:r w:rsidR="00EE4854">
        <w:rPr>
          <w:rFonts w:asciiTheme="minorHAnsi" w:hAnsiTheme="minorHAnsi"/>
          <w:snapToGrid w:val="0"/>
          <w:lang w:val="en-GB"/>
        </w:rPr>
        <w:fldChar w:fldCharType="begin"/>
      </w:r>
      <w:r w:rsidR="00EE4854">
        <w:rPr>
          <w:rFonts w:asciiTheme="minorHAnsi" w:hAnsiTheme="minorHAnsi"/>
          <w:snapToGrid w:val="0"/>
          <w:lang w:val="en-GB"/>
        </w:rPr>
        <w:instrText xml:space="preserve"> REF _Ref196401962 \h </w:instrText>
      </w:r>
      <w:r w:rsidR="00EE4854">
        <w:rPr>
          <w:rFonts w:asciiTheme="minorHAnsi" w:hAnsiTheme="minorHAnsi"/>
          <w:snapToGrid w:val="0"/>
          <w:lang w:val="en-GB"/>
        </w:rPr>
      </w:r>
      <w:r w:rsidR="00EE4854">
        <w:rPr>
          <w:rFonts w:asciiTheme="minorHAnsi" w:hAnsiTheme="minorHAnsi"/>
          <w:snapToGrid w:val="0"/>
          <w:lang w:val="en-GB"/>
        </w:rPr>
        <w:fldChar w:fldCharType="separate"/>
      </w:r>
      <w:r w:rsidR="00333A5F">
        <w:t xml:space="preserve">Table </w:t>
      </w:r>
      <w:r w:rsidR="00333A5F">
        <w:rPr>
          <w:noProof/>
        </w:rPr>
        <w:t>5</w:t>
      </w:r>
      <w:r w:rsidR="00EE4854">
        <w:rPr>
          <w:rFonts w:asciiTheme="minorHAnsi" w:hAnsiTheme="minorHAnsi"/>
          <w:snapToGrid w:val="0"/>
          <w:lang w:val="en-GB"/>
        </w:rPr>
        <w:fldChar w:fldCharType="end"/>
      </w:r>
      <w:r w:rsidR="00EE4854">
        <w:rPr>
          <w:rFonts w:asciiTheme="minorHAnsi" w:hAnsiTheme="minorHAnsi"/>
          <w:snapToGrid w:val="0"/>
          <w:lang w:val="en-GB"/>
        </w:rPr>
        <w:t xml:space="preserve"> and </w:t>
      </w:r>
      <w:r w:rsidR="00EE4854">
        <w:rPr>
          <w:rFonts w:asciiTheme="minorHAnsi" w:hAnsiTheme="minorHAnsi"/>
          <w:snapToGrid w:val="0"/>
          <w:lang w:val="en-GB"/>
        </w:rPr>
        <w:fldChar w:fldCharType="begin"/>
      </w:r>
      <w:r w:rsidR="00EE4854">
        <w:rPr>
          <w:rFonts w:asciiTheme="minorHAnsi" w:hAnsiTheme="minorHAnsi"/>
          <w:snapToGrid w:val="0"/>
          <w:lang w:val="en-GB"/>
        </w:rPr>
        <w:instrText xml:space="preserve"> REF _Ref196402067 \h </w:instrText>
      </w:r>
      <w:r w:rsidR="00EE4854">
        <w:rPr>
          <w:rFonts w:asciiTheme="minorHAnsi" w:hAnsiTheme="minorHAnsi"/>
          <w:snapToGrid w:val="0"/>
          <w:lang w:val="en-GB"/>
        </w:rPr>
      </w:r>
      <w:r w:rsidR="00EE4854">
        <w:rPr>
          <w:rFonts w:asciiTheme="minorHAnsi" w:hAnsiTheme="minorHAnsi"/>
          <w:snapToGrid w:val="0"/>
          <w:lang w:val="en-GB"/>
        </w:rPr>
        <w:fldChar w:fldCharType="separate"/>
      </w:r>
      <w:r w:rsidR="00333A5F">
        <w:t xml:space="preserve">Table </w:t>
      </w:r>
      <w:r w:rsidR="00333A5F">
        <w:rPr>
          <w:noProof/>
        </w:rPr>
        <w:t>6</w:t>
      </w:r>
      <w:r w:rsidR="00EE4854">
        <w:rPr>
          <w:rFonts w:asciiTheme="minorHAnsi" w:hAnsiTheme="minorHAnsi"/>
          <w:snapToGrid w:val="0"/>
          <w:lang w:val="en-GB"/>
        </w:rPr>
        <w:fldChar w:fldCharType="end"/>
      </w:r>
      <w:r w:rsidR="00EE4854">
        <w:rPr>
          <w:rFonts w:asciiTheme="minorHAnsi" w:hAnsiTheme="minorHAnsi"/>
          <w:snapToGrid w:val="0"/>
          <w:lang w:val="en-GB"/>
        </w:rPr>
        <w:t>).</w:t>
      </w:r>
    </w:p>
    <w:p w14:paraId="4102E533" w14:textId="1B79D9EF" w:rsidR="00EE4854" w:rsidRDefault="00971DF0"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w:t>
      </w:r>
      <w:r w:rsidR="00DE0F83">
        <w:rPr>
          <w:rFonts w:asciiTheme="minorHAnsi" w:hAnsiTheme="minorHAnsi"/>
          <w:snapToGrid w:val="0"/>
          <w:lang w:val="en-GB"/>
        </w:rPr>
        <w:t>indirect treatment comparisons,</w:t>
      </w:r>
      <w:r>
        <w:rPr>
          <w:rFonts w:asciiTheme="minorHAnsi" w:hAnsiTheme="minorHAnsi"/>
          <w:snapToGrid w:val="0"/>
          <w:lang w:val="en-GB"/>
        </w:rPr>
        <w:t xml:space="preserve"> </w:t>
      </w:r>
      <w:r w:rsidR="00DE0F83">
        <w:rPr>
          <w:rFonts w:asciiTheme="minorHAnsi" w:hAnsiTheme="minorHAnsi"/>
          <w:snapToGrid w:val="0"/>
          <w:lang w:val="en-GB"/>
        </w:rPr>
        <w:t>with outcome measures of</w:t>
      </w:r>
      <w:r w:rsidR="00963C8D">
        <w:rPr>
          <w:rFonts w:asciiTheme="minorHAnsi" w:hAnsiTheme="minorHAnsi"/>
          <w:snapToGrid w:val="0"/>
          <w:lang w:val="en-GB"/>
        </w:rPr>
        <w:t xml:space="preserve"> odds ratio, relative risk and risk difference, </w:t>
      </w:r>
      <w:r>
        <w:rPr>
          <w:rFonts w:asciiTheme="minorHAnsi" w:hAnsiTheme="minorHAnsi"/>
          <w:snapToGrid w:val="0"/>
          <w:lang w:val="en-GB"/>
        </w:rPr>
        <w:t xml:space="preserve">comparing seladelpar with </w:t>
      </w:r>
      <w:r w:rsidR="00621B5E">
        <w:rPr>
          <w:rFonts w:asciiTheme="minorHAnsi" w:hAnsiTheme="minorHAnsi"/>
          <w:snapToGrid w:val="0"/>
          <w:lang w:val="en-GB"/>
        </w:rPr>
        <w:t xml:space="preserve">OCA and elafibranor </w:t>
      </w:r>
      <w:r w:rsidR="00DE0F83">
        <w:rPr>
          <w:rFonts w:asciiTheme="minorHAnsi" w:hAnsiTheme="minorHAnsi"/>
          <w:snapToGrid w:val="0"/>
          <w:lang w:val="en-GB"/>
        </w:rPr>
        <w:t>for</w:t>
      </w:r>
      <w:r w:rsidR="00621B5E">
        <w:rPr>
          <w:rFonts w:asciiTheme="minorHAnsi" w:hAnsiTheme="minorHAnsi"/>
          <w:snapToGrid w:val="0"/>
          <w:lang w:val="en-GB"/>
        </w:rPr>
        <w:t xml:space="preserve"> cholestasis response and ALP normalisation at </w:t>
      </w:r>
      <w:r w:rsidR="00043E0F">
        <w:rPr>
          <w:rFonts w:asciiTheme="minorHAnsi" w:hAnsiTheme="minorHAnsi"/>
          <w:snapToGrid w:val="0"/>
          <w:lang w:val="en-GB"/>
        </w:rPr>
        <w:t xml:space="preserve">12 months/52 weeks. </w:t>
      </w:r>
      <w:r w:rsidR="00981C98">
        <w:rPr>
          <w:rFonts w:asciiTheme="minorHAnsi" w:hAnsiTheme="minorHAnsi"/>
          <w:snapToGrid w:val="0"/>
          <w:lang w:val="en-GB"/>
        </w:rPr>
        <w:t>The PBAC noted that for the majority of the comparisons, there were no statistically significant differences between seladelpar and OCA and elafibranor</w:t>
      </w:r>
      <w:r w:rsidR="00DE0F83">
        <w:rPr>
          <w:rFonts w:asciiTheme="minorHAnsi" w:hAnsiTheme="minorHAnsi"/>
          <w:snapToGrid w:val="0"/>
          <w:lang w:val="en-GB"/>
        </w:rPr>
        <w:t xml:space="preserve"> (see </w:t>
      </w:r>
      <w:r w:rsidR="00DE0F83">
        <w:rPr>
          <w:rFonts w:asciiTheme="minorHAnsi" w:hAnsiTheme="minorHAnsi"/>
          <w:snapToGrid w:val="0"/>
          <w:lang w:val="en-GB"/>
        </w:rPr>
        <w:fldChar w:fldCharType="begin"/>
      </w:r>
      <w:r w:rsidR="00DE0F83">
        <w:rPr>
          <w:rFonts w:asciiTheme="minorHAnsi" w:hAnsiTheme="minorHAnsi"/>
          <w:snapToGrid w:val="0"/>
          <w:lang w:val="en-GB"/>
        </w:rPr>
        <w:instrText xml:space="preserve"> REF _Ref196401962 \h </w:instrText>
      </w:r>
      <w:r w:rsidR="00DE0F83">
        <w:rPr>
          <w:rFonts w:asciiTheme="minorHAnsi" w:hAnsiTheme="minorHAnsi"/>
          <w:snapToGrid w:val="0"/>
          <w:lang w:val="en-GB"/>
        </w:rPr>
      </w:r>
      <w:r w:rsidR="00DE0F83">
        <w:rPr>
          <w:rFonts w:asciiTheme="minorHAnsi" w:hAnsiTheme="minorHAnsi"/>
          <w:snapToGrid w:val="0"/>
          <w:lang w:val="en-GB"/>
        </w:rPr>
        <w:fldChar w:fldCharType="separate"/>
      </w:r>
      <w:r w:rsidR="00333A5F">
        <w:t xml:space="preserve">Table </w:t>
      </w:r>
      <w:r w:rsidR="00333A5F">
        <w:rPr>
          <w:noProof/>
        </w:rPr>
        <w:t>5</w:t>
      </w:r>
      <w:r w:rsidR="00DE0F83">
        <w:rPr>
          <w:rFonts w:asciiTheme="minorHAnsi" w:hAnsiTheme="minorHAnsi"/>
          <w:snapToGrid w:val="0"/>
          <w:lang w:val="en-GB"/>
        </w:rPr>
        <w:fldChar w:fldCharType="end"/>
      </w:r>
      <w:r w:rsidR="00DE0F83">
        <w:rPr>
          <w:rFonts w:asciiTheme="minorHAnsi" w:hAnsiTheme="minorHAnsi"/>
          <w:snapToGrid w:val="0"/>
          <w:lang w:val="en-GB"/>
        </w:rPr>
        <w:t xml:space="preserve"> and </w:t>
      </w:r>
      <w:r w:rsidR="00DE0F83">
        <w:rPr>
          <w:rFonts w:asciiTheme="minorHAnsi" w:hAnsiTheme="minorHAnsi"/>
          <w:snapToGrid w:val="0"/>
          <w:lang w:val="en-GB"/>
        </w:rPr>
        <w:fldChar w:fldCharType="begin"/>
      </w:r>
      <w:r w:rsidR="00DE0F83">
        <w:rPr>
          <w:rFonts w:asciiTheme="minorHAnsi" w:hAnsiTheme="minorHAnsi"/>
          <w:snapToGrid w:val="0"/>
          <w:lang w:val="en-GB"/>
        </w:rPr>
        <w:instrText xml:space="preserve"> REF _Ref196402067 \h </w:instrText>
      </w:r>
      <w:r w:rsidR="00DE0F83">
        <w:rPr>
          <w:rFonts w:asciiTheme="minorHAnsi" w:hAnsiTheme="minorHAnsi"/>
          <w:snapToGrid w:val="0"/>
          <w:lang w:val="en-GB"/>
        </w:rPr>
      </w:r>
      <w:r w:rsidR="00DE0F83">
        <w:rPr>
          <w:rFonts w:asciiTheme="minorHAnsi" w:hAnsiTheme="minorHAnsi"/>
          <w:snapToGrid w:val="0"/>
          <w:lang w:val="en-GB"/>
        </w:rPr>
        <w:fldChar w:fldCharType="separate"/>
      </w:r>
      <w:r w:rsidR="00333A5F">
        <w:t xml:space="preserve">Table </w:t>
      </w:r>
      <w:r w:rsidR="00333A5F">
        <w:rPr>
          <w:noProof/>
        </w:rPr>
        <w:t>6</w:t>
      </w:r>
      <w:r w:rsidR="00DE0F83">
        <w:rPr>
          <w:rFonts w:asciiTheme="minorHAnsi" w:hAnsiTheme="minorHAnsi"/>
          <w:snapToGrid w:val="0"/>
          <w:lang w:val="en-GB"/>
        </w:rPr>
        <w:fldChar w:fldCharType="end"/>
      </w:r>
      <w:r w:rsidR="00DE0F83">
        <w:rPr>
          <w:rFonts w:asciiTheme="minorHAnsi" w:hAnsiTheme="minorHAnsi"/>
          <w:snapToGrid w:val="0"/>
          <w:lang w:val="en-GB"/>
        </w:rPr>
        <w:t>)</w:t>
      </w:r>
      <w:r w:rsidR="00981C98">
        <w:rPr>
          <w:rFonts w:asciiTheme="minorHAnsi" w:hAnsiTheme="minorHAnsi"/>
          <w:snapToGrid w:val="0"/>
          <w:lang w:val="en-GB"/>
        </w:rPr>
        <w:t>.</w:t>
      </w:r>
    </w:p>
    <w:p w14:paraId="5ECCE3B6" w14:textId="13A23F03"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The PBAC noted that the submission also presented Bayesian network analyses for the comparisons between seladelpar and OCA and anchored matched adjusted indirect comparisons (MAICs) for the comparisons between seladelpar and elafibranor. No statistically significant differences in cholestasis response or ALP normalisation were observed (see</w:t>
      </w:r>
      <w:r>
        <w:rPr>
          <w:rFonts w:asciiTheme="minorHAnsi" w:hAnsiTheme="minorHAnsi"/>
          <w:snapToGrid w:val="0"/>
          <w:lang w:val="en-GB"/>
        </w:rPr>
        <w:fldChar w:fldCharType="begin"/>
      </w:r>
      <w:r>
        <w:rPr>
          <w:rFonts w:asciiTheme="minorHAnsi" w:hAnsiTheme="minorHAnsi"/>
          <w:snapToGrid w:val="0"/>
          <w:lang w:val="en-GB"/>
        </w:rPr>
        <w:instrText xml:space="preserve"> REF _Ref196401962 \h </w:instrText>
      </w:r>
      <w:r>
        <w:rPr>
          <w:rFonts w:asciiTheme="minorHAnsi" w:hAnsiTheme="minorHAnsi"/>
          <w:snapToGrid w:val="0"/>
          <w:lang w:val="en-GB"/>
        </w:rPr>
      </w:r>
      <w:r>
        <w:rPr>
          <w:rFonts w:asciiTheme="minorHAnsi" w:hAnsiTheme="minorHAnsi"/>
          <w:snapToGrid w:val="0"/>
          <w:lang w:val="en-GB"/>
        </w:rPr>
        <w:fldChar w:fldCharType="separate"/>
      </w:r>
      <w:r w:rsidR="00333A5F">
        <w:t xml:space="preserve">Table </w:t>
      </w:r>
      <w:r w:rsidR="00333A5F">
        <w:rPr>
          <w:noProof/>
        </w:rPr>
        <w:t>5</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r>
      <w:r>
        <w:rPr>
          <w:rFonts w:asciiTheme="minorHAnsi" w:hAnsiTheme="minorHAnsi"/>
          <w:snapToGrid w:val="0"/>
          <w:lang w:val="en-GB"/>
        </w:rPr>
        <w:instrText xml:space="preserve"> REF _Ref196402067 \h </w:instrText>
      </w:r>
      <w:r>
        <w:rPr>
          <w:rFonts w:asciiTheme="minorHAnsi" w:hAnsiTheme="minorHAnsi"/>
          <w:snapToGrid w:val="0"/>
          <w:lang w:val="en-GB"/>
        </w:rPr>
      </w:r>
      <w:r>
        <w:rPr>
          <w:rFonts w:asciiTheme="minorHAnsi" w:hAnsiTheme="minorHAnsi"/>
          <w:snapToGrid w:val="0"/>
          <w:lang w:val="en-GB"/>
        </w:rPr>
        <w:fldChar w:fldCharType="separate"/>
      </w:r>
      <w:r w:rsidR="00333A5F">
        <w:t xml:space="preserve">Table </w:t>
      </w:r>
      <w:r w:rsidR="00333A5F">
        <w:rPr>
          <w:noProof/>
        </w:rPr>
        <w:t>6</w:t>
      </w:r>
      <w:r>
        <w:rPr>
          <w:rFonts w:asciiTheme="minorHAnsi" w:hAnsiTheme="minorHAnsi"/>
          <w:snapToGrid w:val="0"/>
          <w:lang w:val="en-GB"/>
        </w:rPr>
        <w:fldChar w:fldCharType="end"/>
      </w:r>
      <w:r>
        <w:rPr>
          <w:rFonts w:asciiTheme="minorHAnsi" w:hAnsiTheme="minorHAnsi"/>
          <w:snapToGrid w:val="0"/>
          <w:lang w:val="en-GB"/>
        </w:rPr>
        <w:t>).</w:t>
      </w:r>
    </w:p>
    <w:p w14:paraId="27255E84" w14:textId="39E436C3"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the PBAC considered that seladelpar was superior in terms of efficacy compared to BSC and non-inferior compared to both OCA and elafibranor.</w:t>
      </w:r>
    </w:p>
    <w:p w14:paraId="0BCC4F06" w14:textId="0BB32FF2"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there were no statistically significant differences in the ITCs between seladelpar and OCA and seladelpar and elafibranor in terms of the outcome, any adverse event. Overall, the PBAC considered that seladelpar was non-inferior in terms of safety compared to BSC, OCA and elafibranor. </w:t>
      </w:r>
    </w:p>
    <w:p w14:paraId="074EBE8C" w14:textId="10B72FC2"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also noted that patients treated with seladelpar reported symptom improvement in the PBC-40 itch and 5-D itch scores and significantly lower rates of PBC-related pruritus compared to patients treated with OCA. The PBAC acknowledged that pruritus is a significant issue for patients with PBC. </w:t>
      </w:r>
    </w:p>
    <w:p w14:paraId="331EB924" w14:textId="190333DD"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cost utility analyses comparing seladelpar </w:t>
      </w:r>
      <w:r>
        <w:rPr>
          <w:rFonts w:asciiTheme="minorHAnsi" w:hAnsiTheme="minorHAnsi" w:cstheme="minorHAnsi"/>
          <w:snapToGrid w:val="0"/>
          <w:lang w:val="en-GB"/>
        </w:rPr>
        <w:t>±</w:t>
      </w:r>
      <w:r>
        <w:rPr>
          <w:rFonts w:asciiTheme="minorHAnsi" w:hAnsiTheme="minorHAnsi"/>
          <w:snapToGrid w:val="0"/>
          <w:lang w:val="en-GB"/>
        </w:rPr>
        <w:t xml:space="preserve"> UDCA with BSC </w:t>
      </w:r>
      <w:r>
        <w:rPr>
          <w:rFonts w:asciiTheme="minorHAnsi" w:hAnsiTheme="minorHAnsi" w:cstheme="minorHAnsi"/>
          <w:snapToGrid w:val="0"/>
          <w:lang w:val="en-GB"/>
        </w:rPr>
        <w:t>±</w:t>
      </w:r>
      <w:r>
        <w:rPr>
          <w:rFonts w:asciiTheme="minorHAnsi" w:hAnsiTheme="minorHAnsi"/>
          <w:snapToGrid w:val="0"/>
          <w:lang w:val="en-GB"/>
        </w:rPr>
        <w:t xml:space="preserve"> UDCA and OCA </w:t>
      </w:r>
      <w:r>
        <w:rPr>
          <w:rFonts w:asciiTheme="minorHAnsi" w:hAnsiTheme="minorHAnsi" w:cstheme="minorHAnsi"/>
          <w:snapToGrid w:val="0"/>
          <w:lang w:val="en-GB"/>
        </w:rPr>
        <w:t>±</w:t>
      </w:r>
      <w:r>
        <w:rPr>
          <w:rFonts w:asciiTheme="minorHAnsi" w:hAnsiTheme="minorHAnsi"/>
          <w:snapToGrid w:val="0"/>
          <w:lang w:val="en-GB"/>
        </w:rPr>
        <w:t xml:space="preserve"> UDCA. Although the PBAC considered that seladelpar was superior in terms of efficacy compared to BSC, it was noted that the resultant incremental cost effectiveness ratio (ICER) was uncertain (see paragraph </w:t>
      </w:r>
      <w:r>
        <w:rPr>
          <w:rFonts w:asciiTheme="minorHAnsi" w:hAnsiTheme="minorHAnsi"/>
          <w:snapToGrid w:val="0"/>
          <w:lang w:val="en-GB"/>
        </w:rPr>
        <w:fldChar w:fldCharType="begin"/>
      </w:r>
      <w:r>
        <w:rPr>
          <w:rFonts w:asciiTheme="minorHAnsi" w:hAnsiTheme="minorHAnsi"/>
          <w:snapToGrid w:val="0"/>
          <w:lang w:val="en-GB"/>
        </w:rPr>
        <w:instrText xml:space="preserve"> REF _Ref205212154 \r \h </w:instrText>
      </w:r>
      <w:r>
        <w:rPr>
          <w:rFonts w:asciiTheme="minorHAnsi" w:hAnsiTheme="minorHAnsi"/>
          <w:snapToGrid w:val="0"/>
          <w:lang w:val="en-GB"/>
        </w:rPr>
      </w:r>
      <w:r>
        <w:rPr>
          <w:rFonts w:asciiTheme="minorHAnsi" w:hAnsiTheme="minorHAnsi"/>
          <w:snapToGrid w:val="0"/>
          <w:lang w:val="en-GB"/>
        </w:rPr>
        <w:fldChar w:fldCharType="separate"/>
      </w:r>
      <w:r w:rsidR="00333A5F">
        <w:rPr>
          <w:rFonts w:asciiTheme="minorHAnsi" w:hAnsiTheme="minorHAnsi"/>
          <w:snapToGrid w:val="0"/>
          <w:lang w:val="en-GB"/>
        </w:rPr>
        <w:t>6.66</w:t>
      </w:r>
      <w:r>
        <w:rPr>
          <w:rFonts w:asciiTheme="minorHAnsi" w:hAnsiTheme="minorHAnsi"/>
          <w:snapToGrid w:val="0"/>
          <w:lang w:val="en-GB"/>
        </w:rPr>
        <w:fldChar w:fldCharType="end"/>
      </w:r>
      <w:r>
        <w:rPr>
          <w:rFonts w:asciiTheme="minorHAnsi" w:hAnsiTheme="minorHAnsi"/>
          <w:snapToGrid w:val="0"/>
          <w:lang w:val="en-GB"/>
        </w:rPr>
        <w:t>).</w:t>
      </w:r>
      <w:r w:rsidR="006D1FFD">
        <w:rPr>
          <w:rFonts w:asciiTheme="minorHAnsi" w:hAnsiTheme="minorHAnsi"/>
          <w:snapToGrid w:val="0"/>
          <w:lang w:val="en-GB"/>
        </w:rPr>
        <w:t xml:space="preserve"> In addition, the use of placeholder price in the CUA deliberately overestimated the ICER and made the overall uncertainty difficult to assess. </w:t>
      </w:r>
      <w:r>
        <w:rPr>
          <w:rFonts w:asciiTheme="minorHAnsi" w:hAnsiTheme="minorHAnsi"/>
          <w:snapToGrid w:val="0"/>
          <w:lang w:val="en-GB"/>
        </w:rPr>
        <w:t xml:space="preserve">Given that the PBAC considered that seladelpar was non-inferior compared to both OCA in terms of efficacy and safety, the PBAC considered that a cost-minimisation approach versus OCA, based on daily drug costs only, would be appropriate. Noting the significant effects of pruritus for PBC patients, the PBAC considered that if seladelpar was associated with a reduction in pruritus this could improve treatment adherence and persistence. The PBAC considered that a price premium could be applied to seladelpar in accordance with the PBAC Guidelines, September 2016 v5.0, which allow a price advantage over the comparator on the basis of reduced costs offsets, which in this case would be reduced costs associated with the management of pruritus. </w:t>
      </w:r>
    </w:p>
    <w:p w14:paraId="4E4CD012" w14:textId="7128586D"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equi-effective doses were:</w:t>
      </w:r>
    </w:p>
    <w:p w14:paraId="4541C48E" w14:textId="3090A701" w:rsidR="00DE0F83" w:rsidRDefault="00DE0F83" w:rsidP="00DE0F83">
      <w:pPr>
        <w:widowControl w:val="0"/>
        <w:spacing w:after="120"/>
        <w:ind w:left="1440"/>
        <w:rPr>
          <w:rFonts w:asciiTheme="minorHAnsi" w:hAnsiTheme="minorHAnsi"/>
          <w:snapToGrid w:val="0"/>
          <w:lang w:val="en-GB"/>
        </w:rPr>
      </w:pPr>
      <w:r>
        <w:rPr>
          <w:rFonts w:asciiTheme="minorHAnsi" w:hAnsiTheme="minorHAnsi"/>
          <w:snapToGrid w:val="0"/>
          <w:lang w:val="en-GB"/>
        </w:rPr>
        <w:t>Seladelpar 10 mg once daily = OCA 5 mg or 10 mg once daily</w:t>
      </w:r>
    </w:p>
    <w:p w14:paraId="13B40C73" w14:textId="36DE437B" w:rsidR="000A7529"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for the purpose of Section 101(3B) of the </w:t>
      </w:r>
      <w:r w:rsidRPr="00FF1A15">
        <w:rPr>
          <w:rFonts w:asciiTheme="minorHAnsi" w:hAnsiTheme="minorHAnsi"/>
          <w:i/>
          <w:iCs/>
          <w:snapToGrid w:val="0"/>
          <w:lang w:val="en-GB"/>
        </w:rPr>
        <w:t>National Health Act 1953</w:t>
      </w:r>
      <w:r>
        <w:rPr>
          <w:rFonts w:asciiTheme="minorHAnsi" w:hAnsiTheme="minorHAnsi"/>
          <w:snapToGrid w:val="0"/>
          <w:lang w:val="en-GB"/>
        </w:rPr>
        <w:t>, that seladelpar was an alternative therapy to elafibranor and does not provide a significant improvement in efficacy or a reduction in toxicity. The PBAC advised that therefore, the price of seladelpar should not be higher than the price of elafibranor</w:t>
      </w:r>
      <w:r w:rsidR="00EC6817">
        <w:rPr>
          <w:rFonts w:asciiTheme="minorHAnsi" w:hAnsiTheme="minorHAnsi"/>
          <w:snapToGrid w:val="0"/>
          <w:lang w:val="en-GB"/>
        </w:rPr>
        <w:t>,</w:t>
      </w:r>
      <w:r>
        <w:rPr>
          <w:rFonts w:asciiTheme="minorHAnsi" w:hAnsiTheme="minorHAnsi"/>
          <w:snapToGrid w:val="0"/>
          <w:lang w:val="en-GB"/>
        </w:rPr>
        <w:t xml:space="preserve"> </w:t>
      </w:r>
      <w:r w:rsidR="00840DBB">
        <w:rPr>
          <w:rFonts w:asciiTheme="minorHAnsi" w:hAnsiTheme="minorHAnsi"/>
          <w:snapToGrid w:val="0"/>
          <w:lang w:val="en-GB"/>
        </w:rPr>
        <w:t>should it be listed on the PBS</w:t>
      </w:r>
      <w:r w:rsidR="00EC6817">
        <w:rPr>
          <w:rFonts w:asciiTheme="minorHAnsi" w:hAnsiTheme="minorHAnsi"/>
          <w:snapToGrid w:val="0"/>
          <w:lang w:val="en-GB"/>
        </w:rPr>
        <w:t>,</w:t>
      </w:r>
      <w:r w:rsidR="00840DBB">
        <w:rPr>
          <w:rFonts w:asciiTheme="minorHAnsi" w:hAnsiTheme="minorHAnsi"/>
          <w:snapToGrid w:val="0"/>
          <w:lang w:val="en-GB"/>
        </w:rPr>
        <w:t xml:space="preserve"> for PBC. T</w:t>
      </w:r>
      <w:r w:rsidR="000A7529">
        <w:rPr>
          <w:rFonts w:asciiTheme="minorHAnsi" w:hAnsiTheme="minorHAnsi"/>
          <w:snapToGrid w:val="0"/>
          <w:lang w:val="en-GB"/>
        </w:rPr>
        <w:t>he equi-effective doses were:</w:t>
      </w:r>
    </w:p>
    <w:p w14:paraId="3B37C606" w14:textId="752C58DB" w:rsidR="00DE0F83" w:rsidRDefault="000A7529" w:rsidP="000A7529">
      <w:pPr>
        <w:widowControl w:val="0"/>
        <w:spacing w:after="120"/>
        <w:ind w:left="1440"/>
        <w:rPr>
          <w:rFonts w:asciiTheme="minorHAnsi" w:hAnsiTheme="minorHAnsi"/>
          <w:snapToGrid w:val="0"/>
          <w:lang w:val="en-GB"/>
        </w:rPr>
      </w:pPr>
      <w:r>
        <w:rPr>
          <w:rFonts w:asciiTheme="minorHAnsi" w:hAnsiTheme="minorHAnsi"/>
          <w:snapToGrid w:val="0"/>
          <w:lang w:val="en-GB"/>
        </w:rPr>
        <w:t>S</w:t>
      </w:r>
      <w:r w:rsidR="00DE0F83">
        <w:rPr>
          <w:rFonts w:asciiTheme="minorHAnsi" w:hAnsiTheme="minorHAnsi"/>
          <w:snapToGrid w:val="0"/>
          <w:lang w:val="en-GB"/>
        </w:rPr>
        <w:t xml:space="preserve">eladelpar 10 mg once daily </w:t>
      </w:r>
      <w:r>
        <w:rPr>
          <w:rFonts w:asciiTheme="minorHAnsi" w:hAnsiTheme="minorHAnsi"/>
          <w:snapToGrid w:val="0"/>
          <w:lang w:val="en-GB"/>
        </w:rPr>
        <w:t>=</w:t>
      </w:r>
      <w:r w:rsidR="00DE0F83">
        <w:rPr>
          <w:rFonts w:asciiTheme="minorHAnsi" w:hAnsiTheme="minorHAnsi"/>
          <w:snapToGrid w:val="0"/>
          <w:lang w:val="en-GB"/>
        </w:rPr>
        <w:t xml:space="preserve"> </w:t>
      </w:r>
      <w:r w:rsidR="00EC6817">
        <w:rPr>
          <w:rFonts w:asciiTheme="minorHAnsi" w:hAnsiTheme="minorHAnsi"/>
          <w:snapToGrid w:val="0"/>
          <w:lang w:val="en-GB"/>
        </w:rPr>
        <w:t>E</w:t>
      </w:r>
      <w:r w:rsidR="00DE0F83">
        <w:rPr>
          <w:rFonts w:asciiTheme="minorHAnsi" w:hAnsiTheme="minorHAnsi"/>
          <w:snapToGrid w:val="0"/>
          <w:lang w:val="en-GB"/>
        </w:rPr>
        <w:t>lafibranor 80</w:t>
      </w:r>
      <w:r w:rsidR="00840DBB">
        <w:rPr>
          <w:rFonts w:asciiTheme="minorHAnsi" w:hAnsiTheme="minorHAnsi"/>
          <w:snapToGrid w:val="0"/>
          <w:lang w:val="en-GB"/>
        </w:rPr>
        <w:t> m</w:t>
      </w:r>
      <w:r w:rsidR="00DE0F83">
        <w:rPr>
          <w:rFonts w:asciiTheme="minorHAnsi" w:hAnsiTheme="minorHAnsi"/>
          <w:snapToGrid w:val="0"/>
          <w:lang w:val="en-GB"/>
        </w:rPr>
        <w:t xml:space="preserve">g once daily </w:t>
      </w:r>
    </w:p>
    <w:p w14:paraId="1DC954F9" w14:textId="0EDA78D0"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there would be three populations who would be treated </w:t>
      </w:r>
      <w:r>
        <w:rPr>
          <w:rFonts w:asciiTheme="minorHAnsi" w:hAnsiTheme="minorHAnsi"/>
          <w:snapToGrid w:val="0"/>
          <w:lang w:val="en-GB"/>
        </w:rPr>
        <w:lastRenderedPageBreak/>
        <w:t>with seladelpar: (i) prevalent patients who are intolerant of OCA; (ii) prevalent patients who are currently receiving OCA who may switch to seladelpar; and (iii) incident patients who require-second line treatment in addition to UDCA or an intolerant of UDCA.</w:t>
      </w:r>
    </w:p>
    <w:p w14:paraId="0B100090" w14:textId="0C84E2EA" w:rsidR="00DE0F83"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831F04">
        <w:rPr>
          <w:rFonts w:asciiTheme="minorHAnsi" w:hAnsiTheme="minorHAnsi"/>
          <w:snapToGrid w:val="0"/>
          <w:lang w:val="en-GB"/>
        </w:rPr>
        <w:t>noted that there were a number of uncertainties with the proposed financial estimates (see paragraph</w:t>
      </w:r>
      <w:r w:rsidR="00B22092">
        <w:rPr>
          <w:rFonts w:asciiTheme="minorHAnsi" w:hAnsiTheme="minorHAnsi"/>
          <w:snapToGrid w:val="0"/>
          <w:lang w:val="en-GB"/>
        </w:rPr>
        <w:t>s</w:t>
      </w:r>
      <w:r w:rsidR="00831F04">
        <w:rPr>
          <w:rFonts w:asciiTheme="minorHAnsi" w:hAnsiTheme="minorHAnsi"/>
          <w:snapToGrid w:val="0"/>
          <w:lang w:val="en-GB"/>
        </w:rPr>
        <w:t xml:space="preserve"> </w:t>
      </w:r>
      <w:r w:rsidR="00831F04">
        <w:rPr>
          <w:rFonts w:asciiTheme="minorHAnsi" w:hAnsiTheme="minorHAnsi"/>
          <w:snapToGrid w:val="0"/>
          <w:lang w:val="en-GB"/>
        </w:rPr>
        <w:fldChar w:fldCharType="begin"/>
      </w:r>
      <w:r w:rsidR="00831F04">
        <w:rPr>
          <w:rFonts w:asciiTheme="minorHAnsi" w:hAnsiTheme="minorHAnsi"/>
          <w:snapToGrid w:val="0"/>
          <w:lang w:val="en-GB"/>
        </w:rPr>
        <w:instrText xml:space="preserve"> REF _Ref205543830 \r \h </w:instrText>
      </w:r>
      <w:r w:rsidR="00831F04">
        <w:rPr>
          <w:rFonts w:asciiTheme="minorHAnsi" w:hAnsiTheme="minorHAnsi"/>
          <w:snapToGrid w:val="0"/>
          <w:lang w:val="en-GB"/>
        </w:rPr>
      </w:r>
      <w:r w:rsidR="00831F04">
        <w:rPr>
          <w:rFonts w:asciiTheme="minorHAnsi" w:hAnsiTheme="minorHAnsi"/>
          <w:snapToGrid w:val="0"/>
          <w:lang w:val="en-GB"/>
        </w:rPr>
        <w:fldChar w:fldCharType="separate"/>
      </w:r>
      <w:r w:rsidR="00333A5F">
        <w:rPr>
          <w:rFonts w:asciiTheme="minorHAnsi" w:hAnsiTheme="minorHAnsi"/>
          <w:snapToGrid w:val="0"/>
          <w:lang w:val="en-GB"/>
        </w:rPr>
        <w:t>6.90</w:t>
      </w:r>
      <w:r w:rsidR="00831F04">
        <w:rPr>
          <w:rFonts w:asciiTheme="minorHAnsi" w:hAnsiTheme="minorHAnsi"/>
          <w:snapToGrid w:val="0"/>
          <w:lang w:val="en-GB"/>
        </w:rPr>
        <w:fldChar w:fldCharType="end"/>
      </w:r>
      <w:r w:rsidR="00B22092">
        <w:rPr>
          <w:rFonts w:asciiTheme="minorHAnsi" w:hAnsiTheme="minorHAnsi"/>
          <w:snapToGrid w:val="0"/>
          <w:lang w:val="en-GB"/>
        </w:rPr>
        <w:t xml:space="preserve"> and </w:t>
      </w:r>
      <w:r w:rsidR="00B22092">
        <w:rPr>
          <w:rFonts w:asciiTheme="minorHAnsi" w:hAnsiTheme="minorHAnsi"/>
          <w:snapToGrid w:val="0"/>
          <w:lang w:val="en-GB"/>
        </w:rPr>
        <w:fldChar w:fldCharType="begin"/>
      </w:r>
      <w:r w:rsidR="00B22092">
        <w:rPr>
          <w:rFonts w:asciiTheme="minorHAnsi" w:hAnsiTheme="minorHAnsi"/>
          <w:snapToGrid w:val="0"/>
          <w:lang w:val="en-GB"/>
        </w:rPr>
        <w:instrText xml:space="preserve"> REF _Ref205543885 \r \h </w:instrText>
      </w:r>
      <w:r w:rsidR="00B22092">
        <w:rPr>
          <w:rFonts w:asciiTheme="minorHAnsi" w:hAnsiTheme="minorHAnsi"/>
          <w:snapToGrid w:val="0"/>
          <w:lang w:val="en-GB"/>
        </w:rPr>
      </w:r>
      <w:r w:rsidR="00B22092">
        <w:rPr>
          <w:rFonts w:asciiTheme="minorHAnsi" w:hAnsiTheme="minorHAnsi"/>
          <w:snapToGrid w:val="0"/>
          <w:lang w:val="en-GB"/>
        </w:rPr>
        <w:fldChar w:fldCharType="separate"/>
      </w:r>
      <w:r w:rsidR="00333A5F">
        <w:rPr>
          <w:rFonts w:asciiTheme="minorHAnsi" w:hAnsiTheme="minorHAnsi"/>
          <w:snapToGrid w:val="0"/>
          <w:lang w:val="en-GB"/>
        </w:rPr>
        <w:t>6.91</w:t>
      </w:r>
      <w:r w:rsidR="00B22092">
        <w:rPr>
          <w:rFonts w:asciiTheme="minorHAnsi" w:hAnsiTheme="minorHAnsi"/>
          <w:snapToGrid w:val="0"/>
          <w:lang w:val="en-GB"/>
        </w:rPr>
        <w:fldChar w:fldCharType="end"/>
      </w:r>
      <w:r w:rsidR="00831F04">
        <w:rPr>
          <w:rFonts w:asciiTheme="minorHAnsi" w:hAnsiTheme="minorHAnsi"/>
          <w:snapToGrid w:val="0"/>
          <w:lang w:val="en-GB"/>
        </w:rPr>
        <w:t>)</w:t>
      </w:r>
      <w:r w:rsidR="00B22092">
        <w:rPr>
          <w:rFonts w:asciiTheme="minorHAnsi" w:hAnsiTheme="minorHAnsi"/>
          <w:snapToGrid w:val="0"/>
          <w:lang w:val="en-GB"/>
        </w:rPr>
        <w:t xml:space="preserve">. However, the PBAC considered </w:t>
      </w:r>
      <w:r>
        <w:rPr>
          <w:rFonts w:asciiTheme="minorHAnsi" w:hAnsiTheme="minorHAnsi"/>
          <w:snapToGrid w:val="0"/>
          <w:lang w:val="en-GB"/>
        </w:rPr>
        <w:t>that the financial impact of listing seladelpar would be reduced compared to the submission estimates when the price of seladelpar was cost-minimised to OCA.</w:t>
      </w:r>
    </w:p>
    <w:p w14:paraId="05838281" w14:textId="1EC88B67" w:rsidR="00DE0F83" w:rsidRPr="00AC0951" w:rsidRDefault="00DE0F83" w:rsidP="00AC0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there is an RSA in place for OCA and considered that seladelpar should join the OCA RSA, with no increase to the current expenditure caps.</w:t>
      </w:r>
    </w:p>
    <w:p w14:paraId="4897ADA7" w14:textId="77777777" w:rsidR="001A3C35" w:rsidRPr="00525B39" w:rsidRDefault="001A3C35" w:rsidP="001A3C3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DEDAD24" w14:textId="5FEC91A3" w:rsidR="001A3C35" w:rsidRPr="00525B39" w:rsidRDefault="001A3C35" w:rsidP="001A3C35">
      <w:pPr>
        <w:rPr>
          <w:rFonts w:asciiTheme="minorHAnsi" w:hAnsiTheme="minorHAnsi"/>
          <w:bCs/>
          <w:snapToGrid w:val="0"/>
          <w:lang w:val="en-GB"/>
        </w:rPr>
      </w:pPr>
      <w:r w:rsidRPr="00525B39">
        <w:rPr>
          <w:rFonts w:asciiTheme="minorHAnsi" w:hAnsiTheme="minorHAnsi"/>
          <w:bCs/>
          <w:snapToGrid w:val="0"/>
          <w:lang w:val="en-GB"/>
        </w:rPr>
        <w:t xml:space="preserve">Deferred </w:t>
      </w:r>
    </w:p>
    <w:bookmarkEnd w:id="101"/>
    <w:bookmarkEnd w:id="102"/>
    <w:p w14:paraId="6A3BA76C" w14:textId="77777777" w:rsidR="00200A5D" w:rsidRPr="00AD0A34" w:rsidRDefault="00200A5D" w:rsidP="00200A5D">
      <w:pPr>
        <w:pStyle w:val="2-SectionHeading"/>
        <w:numPr>
          <w:ilvl w:val="0"/>
          <w:numId w:val="1"/>
        </w:numPr>
      </w:pPr>
      <w:r w:rsidRPr="00AD0A34">
        <w:t>Context for Decision</w:t>
      </w:r>
    </w:p>
    <w:p w14:paraId="0D92D2F2" w14:textId="77777777" w:rsidR="00200A5D" w:rsidRPr="00AD0A34" w:rsidRDefault="00200A5D" w:rsidP="00200A5D">
      <w:pPr>
        <w:spacing w:after="120"/>
        <w:ind w:left="720"/>
        <w:rPr>
          <w:rFonts w:asciiTheme="minorHAnsi" w:hAnsiTheme="minorHAnsi"/>
          <w:bCs/>
          <w:lang w:val="en-GB"/>
        </w:rPr>
      </w:pPr>
      <w:r w:rsidRPr="00AD0A3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B3594A" w14:textId="77777777" w:rsidR="00200A5D" w:rsidRPr="00AD0A34" w:rsidRDefault="00200A5D" w:rsidP="00200A5D">
      <w:pPr>
        <w:pStyle w:val="2-SectionHeading"/>
        <w:numPr>
          <w:ilvl w:val="0"/>
          <w:numId w:val="1"/>
        </w:numPr>
      </w:pPr>
      <w:r w:rsidRPr="00AD0A34">
        <w:t>Sponsor’s Comment</w:t>
      </w:r>
    </w:p>
    <w:p w14:paraId="5533AB83" w14:textId="77777777" w:rsidR="00200A5D" w:rsidRPr="00AD0A34" w:rsidRDefault="00200A5D" w:rsidP="00200A5D">
      <w:pPr>
        <w:spacing w:after="120" w:line="276" w:lineRule="auto"/>
        <w:ind w:left="720"/>
        <w:rPr>
          <w:rFonts w:asciiTheme="minorHAnsi" w:eastAsiaTheme="minorHAnsi" w:hAnsiTheme="minorHAnsi"/>
          <w:bCs/>
          <w:szCs w:val="22"/>
          <w:lang w:eastAsia="en-US"/>
        </w:rPr>
      </w:pPr>
      <w:r w:rsidRPr="00AD0A34">
        <w:rPr>
          <w:rFonts w:asciiTheme="minorHAnsi" w:eastAsiaTheme="minorHAnsi" w:hAnsiTheme="minorHAnsi"/>
          <w:bCs/>
          <w:szCs w:val="22"/>
          <w:lang w:eastAsia="en-US"/>
        </w:rPr>
        <w:t>The sponsor had no comment.</w:t>
      </w:r>
    </w:p>
    <w:p w14:paraId="64B83116" w14:textId="77777777" w:rsidR="001C3021" w:rsidRDefault="001C3021">
      <w:pPr>
        <w:jc w:val="left"/>
        <w:rPr>
          <w:rFonts w:eastAsia="Calibri"/>
          <w:b/>
          <w:color w:val="FF0000"/>
          <w:sz w:val="32"/>
          <w:szCs w:val="28"/>
        </w:rPr>
      </w:pPr>
      <w:r>
        <w:rPr>
          <w:rFonts w:eastAsia="Calibri"/>
          <w:b/>
          <w:color w:val="FF0000"/>
          <w:sz w:val="32"/>
          <w:szCs w:val="28"/>
        </w:rPr>
        <w:br w:type="page"/>
      </w:r>
    </w:p>
    <w:p w14:paraId="17809911" w14:textId="0DD80517" w:rsidR="009742A6" w:rsidRPr="009742A6" w:rsidRDefault="009742A6" w:rsidP="009742A6">
      <w:pPr>
        <w:outlineLvl w:val="0"/>
        <w:rPr>
          <w:rFonts w:eastAsia="Calibri"/>
          <w:b/>
          <w:color w:val="FF0000"/>
          <w:sz w:val="32"/>
          <w:szCs w:val="28"/>
        </w:rPr>
      </w:pPr>
      <w:r w:rsidRPr="009742A6">
        <w:rPr>
          <w:rFonts w:eastAsia="Calibri"/>
          <w:b/>
          <w:color w:val="FF0000"/>
          <w:sz w:val="32"/>
          <w:szCs w:val="28"/>
        </w:rPr>
        <w:lastRenderedPageBreak/>
        <w:t xml:space="preserve">December </w:t>
      </w:r>
      <w:r w:rsidR="000F0786">
        <w:rPr>
          <w:rFonts w:eastAsia="Calibri"/>
          <w:b/>
          <w:color w:val="FF0000"/>
          <w:sz w:val="32"/>
          <w:szCs w:val="28"/>
        </w:rPr>
        <w:t xml:space="preserve">2025 </w:t>
      </w:r>
      <w:r w:rsidRPr="009742A6">
        <w:rPr>
          <w:rFonts w:eastAsia="Calibri"/>
          <w:b/>
          <w:color w:val="FF0000"/>
          <w:sz w:val="32"/>
          <w:szCs w:val="28"/>
        </w:rPr>
        <w:t xml:space="preserve">Addendum to the July 2025 PBAC </w:t>
      </w:r>
      <w:r w:rsidR="006F0D61" w:rsidRPr="006F0D61">
        <w:rPr>
          <w:rFonts w:eastAsia="Calibri"/>
          <w:b/>
          <w:color w:val="FF0000"/>
          <w:sz w:val="32"/>
          <w:szCs w:val="28"/>
        </w:rPr>
        <w:t>Public Summary Document</w:t>
      </w:r>
      <w:r w:rsidRPr="009742A6">
        <w:rPr>
          <w:rFonts w:eastAsia="Calibri"/>
          <w:b/>
          <w:color w:val="FF0000"/>
          <w:sz w:val="32"/>
          <w:szCs w:val="28"/>
        </w:rPr>
        <w:t>:</w:t>
      </w:r>
    </w:p>
    <w:p w14:paraId="1883CBD8" w14:textId="77777777" w:rsidR="009742A6" w:rsidRPr="009742A6" w:rsidRDefault="009742A6" w:rsidP="009742A6">
      <w:pPr>
        <w:keepNext/>
        <w:spacing w:before="120" w:after="160"/>
        <w:ind w:left="720" w:hanging="720"/>
        <w:jc w:val="left"/>
        <w:outlineLvl w:val="0"/>
        <w:rPr>
          <w:rFonts w:asciiTheme="minorHAnsi" w:eastAsia="Calibri" w:hAnsiTheme="minorHAnsi" w:cstheme="majorBidi"/>
          <w:b/>
          <w:spacing w:val="5"/>
          <w:kern w:val="28"/>
          <w:sz w:val="36"/>
          <w:szCs w:val="36"/>
          <w:lang w:eastAsia="en-US"/>
        </w:rPr>
      </w:pPr>
      <w:r w:rsidRPr="009742A6">
        <w:rPr>
          <w:rFonts w:asciiTheme="minorHAnsi" w:eastAsiaTheme="majorEastAsia" w:hAnsiTheme="minorHAnsi" w:cstheme="majorBidi"/>
          <w:b/>
          <w:spacing w:val="5"/>
          <w:kern w:val="28"/>
          <w:sz w:val="36"/>
          <w:szCs w:val="36"/>
        </w:rPr>
        <w:t>4.01 SELADELPAR,</w:t>
      </w:r>
      <w:r w:rsidRPr="009742A6">
        <w:rPr>
          <w:rFonts w:asciiTheme="minorHAnsi" w:eastAsiaTheme="majorEastAsia" w:hAnsiTheme="minorHAnsi" w:cstheme="majorBidi"/>
          <w:b/>
          <w:spacing w:val="5"/>
          <w:kern w:val="28"/>
          <w:sz w:val="36"/>
          <w:szCs w:val="36"/>
        </w:rPr>
        <w:br/>
        <w:t>Capsule 10 mg,</w:t>
      </w:r>
      <w:r w:rsidRPr="009742A6">
        <w:rPr>
          <w:rFonts w:asciiTheme="minorHAnsi" w:eastAsiaTheme="majorEastAsia" w:hAnsiTheme="minorHAnsi" w:cstheme="majorBidi"/>
          <w:b/>
          <w:spacing w:val="5"/>
          <w:kern w:val="28"/>
          <w:sz w:val="36"/>
          <w:szCs w:val="36"/>
        </w:rPr>
        <w:br/>
        <w:t>Livdelzi®,</w:t>
      </w:r>
      <w:r w:rsidRPr="009742A6">
        <w:rPr>
          <w:rFonts w:asciiTheme="minorHAnsi" w:eastAsiaTheme="majorEastAsia" w:hAnsiTheme="minorHAnsi" w:cstheme="majorBidi"/>
          <w:b/>
          <w:spacing w:val="5"/>
          <w:kern w:val="28"/>
          <w:sz w:val="36"/>
          <w:szCs w:val="36"/>
        </w:rPr>
        <w:br/>
        <w:t xml:space="preserve">Gilead Sciences Pty Ltd </w:t>
      </w:r>
    </w:p>
    <w:p w14:paraId="132FD7D7" w14:textId="77777777" w:rsidR="009742A6" w:rsidRPr="009742A6" w:rsidRDefault="009742A6" w:rsidP="00F6324B">
      <w:pPr>
        <w:keepNext/>
        <w:numPr>
          <w:ilvl w:val="0"/>
          <w:numId w:val="5"/>
        </w:numPr>
        <w:spacing w:before="240" w:after="120"/>
        <w:jc w:val="left"/>
        <w:outlineLvl w:val="0"/>
        <w:rPr>
          <w:rFonts w:asciiTheme="minorHAnsi" w:eastAsia="Calibri" w:hAnsiTheme="minorHAnsi"/>
          <w:b/>
          <w:snapToGrid w:val="0"/>
          <w:sz w:val="32"/>
          <w:szCs w:val="32"/>
        </w:rPr>
      </w:pPr>
      <w:r w:rsidRPr="009742A6">
        <w:rPr>
          <w:rFonts w:asciiTheme="minorHAnsi" w:hAnsiTheme="minorHAnsi"/>
          <w:b/>
          <w:snapToGrid w:val="0"/>
          <w:sz w:val="32"/>
          <w:szCs w:val="32"/>
        </w:rPr>
        <w:t>Purpose</w:t>
      </w:r>
    </w:p>
    <w:p w14:paraId="2D7819B0" w14:textId="77777777" w:rsidR="009742A6" w:rsidRPr="009742A6" w:rsidRDefault="009742A6" w:rsidP="005F25BF">
      <w:pPr>
        <w:pStyle w:val="3-BodyText"/>
      </w:pPr>
      <w:r w:rsidRPr="009742A6">
        <w:t xml:space="preserve">In July 2025, </w:t>
      </w:r>
      <w:r w:rsidRPr="009742A6">
        <w:rPr>
          <w:snapToGrid w:val="0"/>
        </w:rPr>
        <w:t>the PBAC was of a mind to recommend seladelpar for the treatment of primary biliary cholangitis (PBC), pending advice from the TGA Delegate. The Sponsor has provided the TGA Delegate’s Overview and also proposed further amendments to the restriction.</w:t>
      </w:r>
    </w:p>
    <w:p w14:paraId="737E52D2" w14:textId="77777777" w:rsidR="009742A6" w:rsidRPr="009742A6" w:rsidRDefault="009742A6" w:rsidP="00F6324B">
      <w:pPr>
        <w:keepNext/>
        <w:numPr>
          <w:ilvl w:val="0"/>
          <w:numId w:val="5"/>
        </w:numPr>
        <w:spacing w:before="240" w:after="120"/>
        <w:jc w:val="left"/>
        <w:outlineLvl w:val="0"/>
        <w:rPr>
          <w:rFonts w:asciiTheme="minorHAnsi" w:eastAsiaTheme="minorEastAsia" w:hAnsiTheme="minorHAnsi"/>
          <w:b/>
          <w:snapToGrid w:val="0"/>
          <w:sz w:val="32"/>
          <w:szCs w:val="32"/>
        </w:rPr>
      </w:pPr>
      <w:r w:rsidRPr="009742A6">
        <w:rPr>
          <w:rFonts w:asciiTheme="minorHAnsi" w:hAnsiTheme="minorHAnsi"/>
          <w:b/>
          <w:snapToGrid w:val="0"/>
          <w:sz w:val="32"/>
          <w:szCs w:val="32"/>
        </w:rPr>
        <w:t>Background</w:t>
      </w:r>
    </w:p>
    <w:p w14:paraId="503C32FB" w14:textId="77777777" w:rsidR="009742A6" w:rsidRPr="009742A6" w:rsidRDefault="009742A6" w:rsidP="005F25BF">
      <w:pPr>
        <w:pStyle w:val="3-BodyText"/>
      </w:pPr>
      <w:r w:rsidRPr="009742A6">
        <w:t>The TGA Delegate proposed to approve the registration of seladelpar, pending advice from the Advisory Committee for Medicines (ACM), for the following indication:</w:t>
      </w:r>
    </w:p>
    <w:p w14:paraId="307CA838" w14:textId="77777777" w:rsidR="009742A6" w:rsidRPr="009742A6" w:rsidRDefault="009742A6" w:rsidP="000F0786">
      <w:pPr>
        <w:spacing w:before="60" w:after="60"/>
        <w:ind w:left="993"/>
        <w:rPr>
          <w:rFonts w:asciiTheme="minorHAnsi" w:eastAsiaTheme="minorHAnsi" w:hAnsiTheme="minorHAnsi" w:cstheme="minorBidi"/>
          <w:szCs w:val="22"/>
        </w:rPr>
      </w:pPr>
      <w:r w:rsidRPr="009742A6">
        <w:rPr>
          <w:rFonts w:asciiTheme="minorHAnsi" w:eastAsiaTheme="minorHAnsi" w:hAnsiTheme="minorHAnsi" w:cstheme="minorBidi"/>
          <w:szCs w:val="22"/>
        </w:rPr>
        <w:t>‘For the treatment of primary biliary cholangitis (PBC), in adults in combination with ursodeoxycholic acid (UDCA) who have an inadequate response to UDCA alone, or as monotherapy in those unable to tolerate UDCA.’</w:t>
      </w:r>
    </w:p>
    <w:p w14:paraId="394E2870" w14:textId="77777777" w:rsidR="009742A6" w:rsidRPr="009742A6" w:rsidRDefault="009742A6" w:rsidP="00F6324B">
      <w:pPr>
        <w:keepNext/>
        <w:numPr>
          <w:ilvl w:val="0"/>
          <w:numId w:val="5"/>
        </w:numPr>
        <w:spacing w:before="240" w:after="120"/>
        <w:jc w:val="left"/>
        <w:outlineLvl w:val="0"/>
        <w:rPr>
          <w:rFonts w:asciiTheme="minorHAnsi" w:hAnsiTheme="minorHAnsi"/>
          <w:b/>
          <w:snapToGrid w:val="0"/>
          <w:sz w:val="32"/>
          <w:szCs w:val="32"/>
        </w:rPr>
      </w:pPr>
      <w:r w:rsidRPr="009742A6">
        <w:rPr>
          <w:rFonts w:asciiTheme="minorHAnsi" w:hAnsiTheme="minorHAnsi"/>
          <w:b/>
          <w:snapToGrid w:val="0"/>
          <w:sz w:val="32"/>
          <w:szCs w:val="32"/>
        </w:rPr>
        <w:t xml:space="preserve">Requested listing </w:t>
      </w:r>
    </w:p>
    <w:p w14:paraId="06721E18" w14:textId="77777777" w:rsidR="009742A6" w:rsidRPr="009742A6" w:rsidRDefault="009742A6" w:rsidP="005F25BF">
      <w:pPr>
        <w:pStyle w:val="3-BodyText"/>
      </w:pPr>
      <w:r w:rsidRPr="009742A6">
        <w:t xml:space="preserve">The deferral response has proposed amendments to the previously considered PBS restriction: </w:t>
      </w:r>
    </w:p>
    <w:p w14:paraId="62F9242E" w14:textId="77777777" w:rsidR="009742A6" w:rsidRPr="009742A6" w:rsidRDefault="009742A6" w:rsidP="000F0786">
      <w:pPr>
        <w:pStyle w:val="ListParagraph"/>
      </w:pPr>
      <w:r w:rsidRPr="009742A6">
        <w:rPr>
          <w:u w:val="single"/>
        </w:rPr>
        <w:t>Authority level</w:t>
      </w:r>
      <w:r w:rsidRPr="009742A6">
        <w:t>: The response stated that an Authority Required (STREAMLINED) was appropriate for the initial and grandfather listings. The corresponding listings for obeticholic acid (OCA) and elafibranor are Authority Required (</w:t>
      </w:r>
      <w:r w:rsidRPr="000F0786">
        <w:t>telephone</w:t>
      </w:r>
      <w:r w:rsidRPr="009742A6">
        <w:t>/online) for the initial and grandfather listings and Authority Required (STREAMLINED) for the continuing treatment phase.</w:t>
      </w:r>
    </w:p>
    <w:p w14:paraId="0AEDF206" w14:textId="77777777" w:rsidR="009742A6" w:rsidRPr="009742A6" w:rsidRDefault="009742A6" w:rsidP="000F0786">
      <w:pPr>
        <w:pStyle w:val="ListParagraph"/>
      </w:pPr>
      <w:r w:rsidRPr="009742A6">
        <w:rPr>
          <w:u w:val="single"/>
        </w:rPr>
        <w:t>Immunocompromised patients</w:t>
      </w:r>
      <w:r w:rsidRPr="009742A6">
        <w:t xml:space="preserve">: The initial and grandfather restrictions for OCA and elafibranor prevent use in patients who have severe liver disease or who are immunocompromised. The deferral response requests removal of ‘or who are immunocompromised’  as (i) the draft TGA Product Information (PI) for seladelpar does not exclude immunocompromised patients; (ii) immunocompromised patients were not broadly excluded from the RESPONSE trial; (iii) seladelpar does not increase the risk of infections; and (iv) seladelpar has a different mechanism of action compared to OCA that regulates bile acid metabolism, reduces inflammation, and has anti-inflammatory and antifibrotic </w:t>
      </w:r>
      <w:r w:rsidRPr="009742A6">
        <w:lastRenderedPageBreak/>
        <w:t>effects which actually supports its role in treating immunocompromised patients with PBC. It was noted that the PI for elafibranor also does not exclude immunocompromised patients.</w:t>
      </w:r>
    </w:p>
    <w:p w14:paraId="656A8693" w14:textId="77777777" w:rsidR="009742A6" w:rsidRPr="009742A6" w:rsidRDefault="009742A6" w:rsidP="000F0786">
      <w:pPr>
        <w:pStyle w:val="ListParagraph"/>
      </w:pPr>
      <w:r w:rsidRPr="009742A6">
        <w:rPr>
          <w:u w:val="single"/>
        </w:rPr>
        <w:t>Hepatic decompensation and failure</w:t>
      </w:r>
      <w:r w:rsidRPr="009742A6">
        <w:t>: The deferral response requested that the Caution that states “Hepatic decompensation and failure, in some cases fatal, have been reported in post-marketing reports in patients with moderate to severe hepatic impairment when dosed incorrectly” be removed. The response stated that this only applies to OCA as it reflects the black box warning in its TGA PI. The draft PI for seladelpar states ‘Monitor patients with cirrhosis for evidence of decompensation. Consider discontinuing if the patient progresses to moderate or severe hepatic impairment (Child-Pugh B or C)’.</w:t>
      </w:r>
      <w:r w:rsidRPr="009742A6">
        <w:rPr>
          <w:i/>
          <w:iCs/>
        </w:rPr>
        <w:t xml:space="preserve"> </w:t>
      </w:r>
      <w:r w:rsidRPr="009742A6">
        <w:t>The PI for elafibranor states ‘Use is not recommended in patients who have or develop decompensated cirrhosis (e.g. ascites, variceal bleeding, hepatic encephalopathy)’.</w:t>
      </w:r>
    </w:p>
    <w:p w14:paraId="42B9B0A9" w14:textId="77777777" w:rsidR="009742A6" w:rsidRPr="009742A6" w:rsidRDefault="009742A6" w:rsidP="000F0786">
      <w:pPr>
        <w:pStyle w:val="ListParagraph"/>
        <w:rPr>
          <w:i/>
          <w:iCs/>
        </w:rPr>
      </w:pPr>
      <w:r w:rsidRPr="009742A6">
        <w:rPr>
          <w:u w:val="single"/>
        </w:rPr>
        <w:t>Moderate-to-severe pruritus</w:t>
      </w:r>
      <w:r w:rsidRPr="009742A6">
        <w:t xml:space="preserve">: At the July 2025 meeting, the PBAC noted that patients treated with seladelpar reported symptom improvement in the PBC-40 itch and 5-D itch scores and significantly lower rates of PBC-related pruritus compared to patients treated with OCA. In response to this, the response proposed adding a clinical criterion allowing patients who have been treated with UDCA for at least 52 weeks and continue to experience moderate-to-severe pruritus (despite achieving a biochemical response) to access seladelpar. The response stated that this would apply to a small subset of patients, as the majority of these patients would already be eligible for seladelpar (i.e. under ALP or total bilirubin measures). </w:t>
      </w:r>
    </w:p>
    <w:p w14:paraId="68BB1584" w14:textId="77777777" w:rsidR="009742A6" w:rsidRPr="009742A6" w:rsidRDefault="009742A6" w:rsidP="000F0786">
      <w:pPr>
        <w:pStyle w:val="3-BodyText"/>
      </w:pPr>
      <w:r w:rsidRPr="009742A6">
        <w:t>The proposed amendments are presented in strikethrough and italics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563"/>
        <w:gridCol w:w="1444"/>
        <w:gridCol w:w="1217"/>
        <w:gridCol w:w="1984"/>
      </w:tblGrid>
      <w:tr w:rsidR="009742A6" w:rsidRPr="009742A6" w14:paraId="434232FC" w14:textId="77777777" w:rsidTr="00C616CD">
        <w:trPr>
          <w:cantSplit/>
          <w:trHeight w:val="471"/>
        </w:trPr>
        <w:tc>
          <w:tcPr>
            <w:tcW w:w="0" w:type="auto"/>
          </w:tcPr>
          <w:p w14:paraId="6C3545C9"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w:t>
            </w:r>
          </w:p>
          <w:p w14:paraId="52C3323E"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 pack</w:t>
            </w:r>
          </w:p>
        </w:tc>
        <w:tc>
          <w:tcPr>
            <w:tcW w:w="0" w:type="auto"/>
          </w:tcPr>
          <w:p w14:paraId="256B690A"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packs</w:t>
            </w:r>
          </w:p>
        </w:tc>
        <w:tc>
          <w:tcPr>
            <w:tcW w:w="0" w:type="auto"/>
          </w:tcPr>
          <w:p w14:paraId="24A9696B"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units</w:t>
            </w:r>
          </w:p>
        </w:tc>
        <w:tc>
          <w:tcPr>
            <w:tcW w:w="0" w:type="auto"/>
          </w:tcPr>
          <w:p w14:paraId="123DFDF9"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 of Rpts</w:t>
            </w:r>
          </w:p>
        </w:tc>
        <w:tc>
          <w:tcPr>
            <w:tcW w:w="0" w:type="auto"/>
          </w:tcPr>
          <w:p w14:paraId="6F44F399" w14:textId="77777777" w:rsidR="009742A6" w:rsidRPr="009742A6" w:rsidRDefault="009742A6" w:rsidP="009742A6">
            <w:pPr>
              <w:keepNext/>
              <w:rPr>
                <w:rFonts w:ascii="Arial Narrow" w:eastAsia="Aptos" w:hAnsi="Arial Narrow"/>
                <w:b/>
                <w:sz w:val="20"/>
                <w:szCs w:val="20"/>
                <w:lang w:val="fr-FR"/>
              </w:rPr>
            </w:pPr>
            <w:r w:rsidRPr="009742A6">
              <w:rPr>
                <w:rFonts w:ascii="Arial Narrow" w:eastAsia="Aptos" w:hAnsi="Arial Narrow"/>
                <w:b/>
                <w:sz w:val="20"/>
                <w:szCs w:val="20"/>
              </w:rPr>
              <w:t>Available brands</w:t>
            </w:r>
          </w:p>
        </w:tc>
      </w:tr>
      <w:tr w:rsidR="009742A6" w:rsidRPr="009742A6" w14:paraId="7E28562E" w14:textId="77777777" w:rsidTr="00C616CD">
        <w:trPr>
          <w:cantSplit/>
          <w:trHeight w:val="224"/>
        </w:trPr>
        <w:tc>
          <w:tcPr>
            <w:tcW w:w="0" w:type="auto"/>
            <w:gridSpan w:val="5"/>
          </w:tcPr>
          <w:p w14:paraId="5DAAD7DE" w14:textId="77777777" w:rsidR="009742A6" w:rsidRPr="009742A6" w:rsidRDefault="009742A6" w:rsidP="009742A6">
            <w:pPr>
              <w:keepNext/>
              <w:ind w:left="-57"/>
              <w:rPr>
                <w:rFonts w:ascii="Arial Narrow" w:eastAsia="Aptos" w:hAnsi="Arial Narrow"/>
                <w:sz w:val="20"/>
                <w:szCs w:val="20"/>
              </w:rPr>
            </w:pPr>
            <w:r w:rsidRPr="009742A6">
              <w:rPr>
                <w:rFonts w:ascii="Arial Narrow" w:eastAsia="Aptos" w:hAnsi="Arial Narrow"/>
                <w:sz w:val="20"/>
                <w:szCs w:val="20"/>
              </w:rPr>
              <w:t xml:space="preserve"> SELADELPAR</w:t>
            </w:r>
          </w:p>
        </w:tc>
      </w:tr>
      <w:tr w:rsidR="009742A6" w:rsidRPr="009742A6" w14:paraId="545FD82E" w14:textId="77777777" w:rsidTr="00C616CD">
        <w:trPr>
          <w:cantSplit/>
          <w:trHeight w:val="70"/>
        </w:trPr>
        <w:tc>
          <w:tcPr>
            <w:tcW w:w="0" w:type="auto"/>
          </w:tcPr>
          <w:p w14:paraId="6C7F308C"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seladelpar 10 mg capsule, 30</w:t>
            </w:r>
          </w:p>
        </w:tc>
        <w:tc>
          <w:tcPr>
            <w:tcW w:w="0" w:type="auto"/>
          </w:tcPr>
          <w:p w14:paraId="66766537"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1</w:t>
            </w:r>
          </w:p>
        </w:tc>
        <w:tc>
          <w:tcPr>
            <w:tcW w:w="0" w:type="auto"/>
          </w:tcPr>
          <w:p w14:paraId="6715E0A5"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30</w:t>
            </w:r>
          </w:p>
        </w:tc>
        <w:tc>
          <w:tcPr>
            <w:tcW w:w="0" w:type="auto"/>
          </w:tcPr>
          <w:p w14:paraId="4D5808D6"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5</w:t>
            </w:r>
          </w:p>
        </w:tc>
        <w:tc>
          <w:tcPr>
            <w:tcW w:w="0" w:type="auto"/>
            <w:vAlign w:val="center"/>
          </w:tcPr>
          <w:p w14:paraId="4557CCFD"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Livdelzi</w:t>
            </w:r>
          </w:p>
        </w:tc>
      </w:tr>
      <w:tr w:rsidR="009742A6" w:rsidRPr="009742A6" w14:paraId="0BC433AC" w14:textId="77777777" w:rsidTr="00C616CD">
        <w:trPr>
          <w:cantSplit/>
          <w:trHeight w:val="347"/>
        </w:trPr>
        <w:tc>
          <w:tcPr>
            <w:tcW w:w="0" w:type="auto"/>
            <w:gridSpan w:val="5"/>
          </w:tcPr>
          <w:p w14:paraId="7BF5477B" w14:textId="77777777" w:rsidR="009742A6" w:rsidRPr="009742A6" w:rsidRDefault="009742A6" w:rsidP="009742A6">
            <w:pPr>
              <w:keepNext/>
              <w:rPr>
                <w:rFonts w:ascii="Arial Narrow" w:eastAsia="Aptos" w:hAnsi="Arial Narrow"/>
                <w:sz w:val="20"/>
                <w:szCs w:val="20"/>
              </w:rPr>
            </w:pPr>
          </w:p>
        </w:tc>
      </w:tr>
      <w:tr w:rsidR="009742A6" w:rsidRPr="009742A6" w14:paraId="502B422E" w14:textId="77777777" w:rsidTr="00C616CD">
        <w:trPr>
          <w:cantSplit/>
          <w:trHeight w:val="70"/>
        </w:trPr>
        <w:tc>
          <w:tcPr>
            <w:tcW w:w="0" w:type="auto"/>
            <w:gridSpan w:val="5"/>
            <w:tcBorders>
              <w:top w:val="single" w:sz="4" w:space="0" w:color="auto"/>
              <w:left w:val="single" w:sz="4" w:space="0" w:color="auto"/>
              <w:bottom w:val="single" w:sz="4" w:space="0" w:color="auto"/>
              <w:right w:val="single" w:sz="4" w:space="0" w:color="auto"/>
            </w:tcBorders>
          </w:tcPr>
          <w:p w14:paraId="00FEF5E0"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Restriction Summary [1] / Treatment of Concept: [1A]</w:t>
            </w:r>
          </w:p>
        </w:tc>
      </w:tr>
      <w:tr w:rsidR="008A29AE" w:rsidRPr="009742A6" w14:paraId="384F1BDE" w14:textId="77777777" w:rsidTr="00C616CD">
        <w:tblPrEx>
          <w:tblCellMar>
            <w:top w:w="15" w:type="dxa"/>
            <w:left w:w="15" w:type="dxa"/>
            <w:bottom w:w="15" w:type="dxa"/>
            <w:right w:w="15" w:type="dxa"/>
          </w:tblCellMar>
        </w:tblPrEx>
        <w:trPr>
          <w:trHeight w:val="107"/>
        </w:trPr>
        <w:tc>
          <w:tcPr>
            <w:tcW w:w="0" w:type="auto"/>
            <w:gridSpan w:val="5"/>
            <w:tcBorders>
              <w:top w:val="single" w:sz="4" w:space="0" w:color="auto"/>
              <w:left w:val="single" w:sz="4" w:space="0" w:color="auto"/>
              <w:bottom w:val="single" w:sz="4" w:space="0" w:color="auto"/>
              <w:right w:val="single" w:sz="4" w:space="0" w:color="auto"/>
            </w:tcBorders>
          </w:tcPr>
          <w:p w14:paraId="60625B22" w14:textId="77777777" w:rsidR="008A29AE" w:rsidRPr="009742A6" w:rsidRDefault="008A29AE"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8A29AE" w:rsidRPr="009742A6" w14:paraId="062911BF" w14:textId="77777777" w:rsidTr="00C616CD">
        <w:tblPrEx>
          <w:tblCellMar>
            <w:top w:w="15" w:type="dxa"/>
            <w:left w:w="15" w:type="dxa"/>
            <w:bottom w:w="15" w:type="dxa"/>
            <w:right w:w="15" w:type="dxa"/>
          </w:tblCellMar>
        </w:tblPrEx>
        <w:trPr>
          <w:trHeight w:val="240"/>
        </w:trPr>
        <w:tc>
          <w:tcPr>
            <w:tcW w:w="0" w:type="auto"/>
            <w:gridSpan w:val="5"/>
            <w:tcBorders>
              <w:top w:val="single" w:sz="4" w:space="0" w:color="auto"/>
              <w:left w:val="single" w:sz="4" w:space="0" w:color="auto"/>
              <w:bottom w:val="single" w:sz="4" w:space="0" w:color="auto"/>
              <w:right w:val="single" w:sz="4" w:space="0" w:color="auto"/>
            </w:tcBorders>
          </w:tcPr>
          <w:p w14:paraId="1237EA6D" w14:textId="77777777" w:rsidR="008A29AE" w:rsidRPr="009742A6" w:rsidRDefault="008A29AE" w:rsidP="009742A6">
            <w:pPr>
              <w:rPr>
                <w:rFonts w:ascii="Arial Narrow" w:eastAsia="Aptos" w:hAnsi="Arial Narrow"/>
                <w:b/>
                <w:sz w:val="20"/>
                <w:szCs w:val="20"/>
              </w:rPr>
            </w:pPr>
            <w:r w:rsidRPr="009742A6">
              <w:rPr>
                <w:rFonts w:ascii="Arial Narrow" w:eastAsia="Aptos" w:hAnsi="Arial Narrow"/>
                <w:b/>
                <w:sz w:val="20"/>
                <w:szCs w:val="20"/>
              </w:rPr>
              <w:t>Prescriber type:</w:t>
            </w:r>
            <w:r w:rsidRPr="009742A6">
              <w:rPr>
                <w:rFonts w:ascii="Arial Narrow" w:eastAsia="Aptos" w:hAnsi="Arial Narrow"/>
                <w:sz w:val="20"/>
                <w:szCs w:val="20"/>
              </w:rPr>
              <w:t xml:space="preserv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w:t>
            </w:r>
          </w:p>
        </w:tc>
      </w:tr>
      <w:tr w:rsidR="008A29AE" w:rsidRPr="009742A6" w14:paraId="2FD22D2B"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1E3160F" w14:textId="77777777" w:rsidR="008A29AE" w:rsidRPr="009742A6" w:rsidRDefault="008A29AE" w:rsidP="009742A6">
            <w:pPr>
              <w:rPr>
                <w:rFonts w:ascii="Arial Narrow" w:eastAsia="Calibri" w:hAnsi="Arial Narrow"/>
                <w:color w:val="FF00FF"/>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w:t>
            </w:r>
            <w:r w:rsidRPr="009742A6">
              <w:rPr>
                <w:rFonts w:ascii="Arial Narrow" w:eastAsia="Calibri" w:hAnsi="Arial Narrow"/>
                <w:strike/>
                <w:sz w:val="20"/>
                <w:szCs w:val="20"/>
              </w:rPr>
              <w:t>Telephone/Online</w:t>
            </w:r>
            <w:r w:rsidRPr="009742A6">
              <w:rPr>
                <w:rFonts w:ascii="Arial Narrow" w:eastAsia="Calibri" w:hAnsi="Arial Narrow"/>
                <w:sz w:val="20"/>
                <w:szCs w:val="20"/>
              </w:rPr>
              <w:t xml:space="preserve"> </w:t>
            </w:r>
            <w:r w:rsidRPr="009742A6">
              <w:rPr>
                <w:rFonts w:ascii="Arial Narrow" w:eastAsia="Calibri" w:hAnsi="Arial Narrow"/>
                <w:i/>
                <w:iCs/>
                <w:sz w:val="20"/>
                <w:szCs w:val="20"/>
              </w:rPr>
              <w:t>Streamlined [new code]</w:t>
            </w:r>
          </w:p>
        </w:tc>
      </w:tr>
      <w:tr w:rsidR="008A29AE" w:rsidRPr="009742A6" w14:paraId="47C6DE7B" w14:textId="77777777" w:rsidTr="00C616CD">
        <w:tblPrEx>
          <w:tblCellMar>
            <w:top w:w="15" w:type="dxa"/>
            <w:left w:w="15" w:type="dxa"/>
            <w:bottom w:w="15" w:type="dxa"/>
            <w:right w:w="15" w:type="dxa"/>
          </w:tblCellMar>
        </w:tblPrEx>
        <w:trPr>
          <w:trHeight w:val="256"/>
        </w:trPr>
        <w:tc>
          <w:tcPr>
            <w:tcW w:w="0" w:type="auto"/>
            <w:gridSpan w:val="5"/>
            <w:tcBorders>
              <w:top w:val="single" w:sz="4" w:space="0" w:color="auto"/>
              <w:left w:val="single" w:sz="4" w:space="0" w:color="auto"/>
              <w:right w:val="single" w:sz="4" w:space="0" w:color="auto"/>
            </w:tcBorders>
          </w:tcPr>
          <w:p w14:paraId="433A1010"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25870490" w14:textId="77777777" w:rsidR="008A29AE" w:rsidRPr="009742A6" w:rsidRDefault="008A29AE" w:rsidP="009742A6">
            <w:pPr>
              <w:rPr>
                <w:rFonts w:ascii="Arial Narrow" w:hAnsi="Arial Narrow" w:cs="Open Sans"/>
                <w:b/>
                <w:bCs/>
                <w:i/>
                <w:iCs/>
                <w:color w:val="333333"/>
                <w:sz w:val="20"/>
                <w:szCs w:val="20"/>
                <w:bdr w:val="none" w:sz="0" w:space="0" w:color="auto" w:frame="1"/>
              </w:rPr>
            </w:pPr>
            <w:r w:rsidRPr="009742A6">
              <w:rPr>
                <w:rFonts w:ascii="Arial Narrow" w:eastAsia="Aptos" w:hAnsi="Arial Narrow" w:cs="Open Sans"/>
                <w:color w:val="333333"/>
                <w:sz w:val="20"/>
                <w:szCs w:val="20"/>
              </w:rPr>
              <w:t>Not for use in the treatment of sclerosing cholangitis</w:t>
            </w:r>
          </w:p>
        </w:tc>
      </w:tr>
      <w:tr w:rsidR="008A29AE" w:rsidRPr="009742A6" w14:paraId="207F28B2"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647C46D"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7A476874"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quantity or number of units may be authorised.</w:t>
            </w:r>
          </w:p>
        </w:tc>
      </w:tr>
      <w:tr w:rsidR="008A29AE" w:rsidRPr="009742A6" w14:paraId="43D5E00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DFD54BF"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7AA916A0"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number of repeats may be authorised.</w:t>
            </w:r>
          </w:p>
        </w:tc>
      </w:tr>
      <w:tr w:rsidR="008A29AE" w:rsidRPr="009742A6" w14:paraId="2BA9883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2499D96"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Administrative Advice:</w:t>
            </w:r>
          </w:p>
          <w:p w14:paraId="4D2F53AA" w14:textId="77777777" w:rsidR="008A29AE" w:rsidRPr="009742A6" w:rsidRDefault="008A29AE" w:rsidP="009742A6">
            <w:pPr>
              <w:textAlignment w:val="baseline"/>
              <w:rPr>
                <w:rFonts w:ascii="Arial Narrow" w:hAnsi="Arial Narrow" w:cs="Open Sans"/>
                <w:color w:val="333333"/>
                <w:sz w:val="20"/>
                <w:szCs w:val="20"/>
                <w:bdr w:val="none" w:sz="0" w:space="0" w:color="auto" w:frame="1"/>
              </w:rPr>
            </w:pPr>
            <w:r w:rsidRPr="009742A6">
              <w:rPr>
                <w:rFonts w:ascii="Arial Narrow" w:hAnsi="Arial Narrow" w:cs="Open Sans"/>
                <w:color w:val="333333"/>
                <w:sz w:val="20"/>
                <w:szCs w:val="20"/>
                <w:bdr w:val="none" w:sz="0" w:space="0" w:color="auto" w:frame="1"/>
              </w:rPr>
              <w:t>Special Pricing Arrangements apply.</w:t>
            </w:r>
          </w:p>
        </w:tc>
      </w:tr>
      <w:tr w:rsidR="008A29AE" w:rsidRPr="009742A6" w14:paraId="28A02D7E"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189F0C1B"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 xml:space="preserve">Indication: </w:t>
            </w:r>
            <w:r w:rsidRPr="009742A6">
              <w:rPr>
                <w:rFonts w:ascii="Arial Narrow" w:hAnsi="Arial Narrow" w:cs="Open Sans"/>
                <w:color w:val="333333"/>
                <w:sz w:val="20"/>
                <w:szCs w:val="20"/>
              </w:rPr>
              <w:t>Primary biliary cholangitis (previously known as Primary biliary cirrhosis)</w:t>
            </w:r>
          </w:p>
        </w:tc>
      </w:tr>
      <w:tr w:rsidR="008A29AE" w:rsidRPr="009742A6" w14:paraId="4139ED4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4FC619F" w14:textId="77777777" w:rsidR="008A29AE" w:rsidRPr="009742A6" w:rsidRDefault="008A29AE" w:rsidP="009742A6">
            <w:pPr>
              <w:textAlignment w:val="baseline"/>
              <w:rPr>
                <w:rFonts w:ascii="Arial Narrow" w:hAnsi="Arial Narrow" w:cs="Open San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Treatment Phase:</w:t>
            </w:r>
            <w:r w:rsidRPr="009742A6">
              <w:rPr>
                <w:rFonts w:ascii="Arial Narrow" w:hAnsi="Arial Narrow" w:cs="Open Sans"/>
                <w:color w:val="333333"/>
                <w:sz w:val="20"/>
                <w:szCs w:val="20"/>
                <w:bdr w:val="none" w:sz="0" w:space="0" w:color="auto" w:frame="1"/>
              </w:rPr>
              <w:t xml:space="preserve"> Initial treatment</w:t>
            </w:r>
          </w:p>
        </w:tc>
      </w:tr>
      <w:tr w:rsidR="008A29AE" w:rsidRPr="009742A6" w14:paraId="674067E8"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5B4E55DA"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lastRenderedPageBreak/>
              <w:t>Treatment criteria:</w:t>
            </w:r>
          </w:p>
        </w:tc>
      </w:tr>
      <w:tr w:rsidR="008A29AE" w:rsidRPr="009742A6" w14:paraId="020516D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0550A636"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 xml:space="preserve">Must be treated by a prescriber who is either: (i) a gastroenterologist, (ii) a hepatologist; </w:t>
            </w:r>
          </w:p>
        </w:tc>
      </w:tr>
      <w:tr w:rsidR="008A29AE" w:rsidRPr="009742A6" w14:paraId="47B829F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4038FFF"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8A29AE" w:rsidRPr="009742A6" w14:paraId="228A0F1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349D555"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Must be treated by a medical practitioner who has consulted at least one of the above mentioned specialist types</w:t>
            </w:r>
          </w:p>
        </w:tc>
      </w:tr>
      <w:tr w:rsidR="008A29AE" w:rsidRPr="009742A6" w14:paraId="1E109176"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023F23B"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AND</w:t>
            </w:r>
          </w:p>
        </w:tc>
      </w:tr>
      <w:tr w:rsidR="008A29AE" w:rsidRPr="009742A6" w14:paraId="7873E98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CB2F528"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Treatment criteria:</w:t>
            </w:r>
          </w:p>
        </w:tc>
      </w:tr>
      <w:tr w:rsidR="008A29AE" w:rsidRPr="009742A6" w14:paraId="063CA805"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049293CC"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Patient must be undergoing concurrent treatment with ursodeoxycholic acid</w:t>
            </w:r>
          </w:p>
        </w:tc>
      </w:tr>
      <w:tr w:rsidR="008A29AE" w:rsidRPr="009742A6" w14:paraId="5AA4AE2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2059150"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8A29AE" w:rsidRPr="009742A6" w14:paraId="603C6383"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55DED273"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Patient must be undergoing treatment with this drug as monotherapy because treatment with ursodeoxycholic acid is not tolerated/contraindicated</w:t>
            </w:r>
          </w:p>
        </w:tc>
      </w:tr>
      <w:tr w:rsidR="008A29AE" w:rsidRPr="009742A6" w14:paraId="44C8D43B"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B02C83E"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8A29AE" w:rsidRPr="009742A6" w14:paraId="34B5C6B5"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1BA2196A"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Treatment criteria:</w:t>
            </w:r>
          </w:p>
        </w:tc>
      </w:tr>
      <w:tr w:rsidR="008A29AE" w:rsidRPr="009742A6" w14:paraId="4D4E5D8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77CE448"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not be undergoing concurrent treatment with either of: (i) obeticholic acid (ii) elafibrinor</w:t>
            </w:r>
          </w:p>
        </w:tc>
      </w:tr>
      <w:tr w:rsidR="008A29AE" w:rsidRPr="009742A6" w14:paraId="75673400"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A3103AF"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8A29AE" w:rsidRPr="009742A6" w14:paraId="4DDFB95E"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08700E42"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8A29AE" w:rsidRPr="009742A6" w14:paraId="0E100F1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8CA2591"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8A29AE" w:rsidRPr="009742A6" w14:paraId="02C09123"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092C4786"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experienced an intolerance/contraindication to ursodeoxycholic acid of a severity requiring permanent treatment discontinuation, prior to initiating treatment with this drug</w:t>
            </w:r>
          </w:p>
        </w:tc>
      </w:tr>
      <w:tr w:rsidR="008A29AE" w:rsidRPr="009742A6" w14:paraId="27D2FCE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1D17743D"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8A29AE" w:rsidRPr="009742A6" w14:paraId="354DD13B"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1E8D7EFF"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Clinical criteria:</w:t>
            </w:r>
          </w:p>
        </w:tc>
      </w:tr>
      <w:tr w:rsidR="008A29AE" w:rsidRPr="009742A6" w14:paraId="47F1CDCA"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70F1050" w14:textId="77777777" w:rsidR="008A29AE" w:rsidRPr="009742A6" w:rsidRDefault="008A29AE"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 xml:space="preserve">Patient must not have </w:t>
            </w:r>
            <w:r w:rsidRPr="009742A6">
              <w:rPr>
                <w:rFonts w:ascii="Arial Narrow" w:hAnsi="Arial Narrow" w:cs="Open Sans"/>
                <w:strike/>
                <w:color w:val="333333"/>
                <w:sz w:val="20"/>
                <w:szCs w:val="20"/>
              </w:rPr>
              <w:t>each of (i)</w:t>
            </w:r>
            <w:r w:rsidRPr="009742A6">
              <w:rPr>
                <w:rFonts w:ascii="Arial Narrow" w:hAnsi="Arial Narrow" w:cs="Open Sans"/>
                <w:color w:val="333333"/>
                <w:sz w:val="20"/>
                <w:szCs w:val="20"/>
              </w:rPr>
              <w:t xml:space="preserve"> severe liver disease</w:t>
            </w:r>
            <w:r w:rsidRPr="009742A6">
              <w:rPr>
                <w:rFonts w:ascii="Arial Narrow" w:hAnsi="Arial Narrow" w:cs="Open Sans"/>
                <w:strike/>
                <w:color w:val="333333"/>
                <w:sz w:val="20"/>
                <w:szCs w:val="20"/>
              </w:rPr>
              <w:t>, (ii) immunocompromised</w:t>
            </w:r>
          </w:p>
        </w:tc>
      </w:tr>
      <w:tr w:rsidR="008A29AE" w:rsidRPr="009742A6" w14:paraId="1C658F5A"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54E2D080"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8A29AE" w:rsidRPr="009742A6" w14:paraId="5B1C950A"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DF8C14D"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8A29AE" w:rsidRPr="009742A6" w14:paraId="484AD67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3C2EEAA"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an alkaline phosphatase (ALP) level of at least 1.67 times the upper limit of normal (ULN) </w:t>
            </w:r>
            <w:r w:rsidRPr="009742A6">
              <w:rPr>
                <w:rFonts w:ascii="Arial Narrow" w:hAnsi="Arial Narrow" w:cs="Open Sans"/>
                <w:i/>
                <w:iCs/>
                <w:color w:val="333333"/>
                <w:sz w:val="20"/>
                <w:szCs w:val="20"/>
              </w:rPr>
              <w:t xml:space="preserve">prior to initiating treatment with this drug, </w:t>
            </w:r>
            <w:r w:rsidRPr="009742A6">
              <w:rPr>
                <w:rFonts w:ascii="Arial Narrow" w:hAnsi="Arial Narrow" w:cs="Open Sans"/>
                <w:color w:val="333333"/>
                <w:sz w:val="20"/>
                <w:szCs w:val="20"/>
              </w:rPr>
              <w:t xml:space="preserve">having accounted for each of: (i) age, (ii) gender, (iii) laboratory to laboratory variances in the definition of ‘normal’, despite treatment with ursodeoxycholic acid for at least 52 cumulative weeks; </w:t>
            </w:r>
          </w:p>
        </w:tc>
      </w:tr>
      <w:tr w:rsidR="008A29AE" w:rsidRPr="009742A6" w14:paraId="3983968A"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CD8F032"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8A29AE" w:rsidRPr="009742A6" w14:paraId="5CA772F4"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89E5173"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a total bilirubin level between 1 to 2 times the ULN</w:t>
            </w:r>
            <w:r w:rsidRPr="009742A6">
              <w:rPr>
                <w:rFonts w:ascii="Arial Narrow" w:hAnsi="Arial Narrow" w:cs="Open Sans"/>
                <w:i/>
                <w:iCs/>
                <w:color w:val="333333"/>
                <w:sz w:val="20"/>
                <w:szCs w:val="20"/>
              </w:rPr>
              <w:t xml:space="preserve"> prior to initiating treatment with this drug</w:t>
            </w:r>
            <w:r w:rsidRPr="009742A6">
              <w:rPr>
                <w:rFonts w:ascii="Arial Narrow" w:hAnsi="Arial Narrow" w:cs="Open Sans"/>
                <w:color w:val="333333"/>
                <w:sz w:val="20"/>
                <w:szCs w:val="20"/>
              </w:rPr>
              <w:t xml:space="preserve">, despite treatment with ursodeoxycholic acid for at least 52 cumulative weeks; </w:t>
            </w:r>
          </w:p>
        </w:tc>
      </w:tr>
      <w:tr w:rsidR="008A29AE" w:rsidRPr="009742A6" w14:paraId="626ABE4E"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32E4DC8" w14:textId="77777777" w:rsidR="008A29AE" w:rsidRPr="009742A6" w:rsidRDefault="008A29AE" w:rsidP="009742A6">
            <w:pPr>
              <w:textAlignment w:val="baseline"/>
              <w:rPr>
                <w:rFonts w:ascii="Arial Narrow" w:hAnsi="Arial Narrow" w:cs="Open Sans"/>
                <w:b/>
                <w:i/>
                <w:iCs/>
                <w:color w:val="333333"/>
                <w:sz w:val="20"/>
                <w:szCs w:val="20"/>
              </w:rPr>
            </w:pPr>
            <w:r w:rsidRPr="009742A6">
              <w:rPr>
                <w:rFonts w:ascii="Arial Narrow" w:hAnsi="Arial Narrow" w:cs="Open Sans"/>
                <w:b/>
                <w:i/>
                <w:iCs/>
                <w:color w:val="333333"/>
                <w:sz w:val="20"/>
                <w:szCs w:val="20"/>
              </w:rPr>
              <w:t>OR</w:t>
            </w:r>
          </w:p>
        </w:tc>
      </w:tr>
      <w:tr w:rsidR="008A29AE" w:rsidRPr="009742A6" w14:paraId="1A744965"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724349D4" w14:textId="77777777" w:rsidR="008A29AE" w:rsidRPr="009742A6" w:rsidRDefault="008A29AE" w:rsidP="009742A6">
            <w:pPr>
              <w:textAlignment w:val="baseline"/>
              <w:rPr>
                <w:rFonts w:ascii="Arial Narrow" w:hAnsi="Arial Narrow" w:cs="Open Sans"/>
                <w:i/>
                <w:iCs/>
                <w:color w:val="333333"/>
                <w:sz w:val="20"/>
                <w:szCs w:val="20"/>
              </w:rPr>
            </w:pPr>
            <w:r w:rsidRPr="009742A6">
              <w:rPr>
                <w:rFonts w:ascii="Arial Narrow" w:hAnsi="Arial Narrow" w:cs="Open Sans"/>
                <w:i/>
                <w:iCs/>
                <w:color w:val="333333"/>
                <w:sz w:val="20"/>
                <w:szCs w:val="20"/>
              </w:rPr>
              <w:t>Patient must have moderate to severe pruritus despite treatment with ursodeoxycholic acid for at least 52 cumulative weeks;</w:t>
            </w:r>
          </w:p>
        </w:tc>
      </w:tr>
      <w:tr w:rsidR="008A29AE" w:rsidRPr="009742A6" w14:paraId="5C4EFC9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0AF9E0C"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8A29AE" w:rsidRPr="009742A6" w14:paraId="2948266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BBDBEA9"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abnormal readings of at least one of: (i) alkaline phosphatase (ii) total bilirubin, or moderate-to-severe pruritus, in the presence of an intolerance/contraindication of a severity requiring treatment discontinuation with ursodeoxycholic acid</w:t>
            </w:r>
          </w:p>
        </w:tc>
      </w:tr>
      <w:tr w:rsidR="008A29AE" w:rsidRPr="009742A6" w14:paraId="6317891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A1357AE"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8A29AE" w:rsidRPr="009742A6" w14:paraId="14D06EB2" w14:textId="77777777" w:rsidTr="00C616CD">
        <w:tblPrEx>
          <w:tblCellMar>
            <w:top w:w="15" w:type="dxa"/>
            <w:left w:w="15" w:type="dxa"/>
            <w:bottom w:w="15" w:type="dxa"/>
            <w:right w:w="15" w:type="dxa"/>
          </w:tblCellMar>
        </w:tblPrEx>
        <w:tc>
          <w:tcPr>
            <w:tcW w:w="0" w:type="auto"/>
            <w:gridSpan w:val="5"/>
          </w:tcPr>
          <w:p w14:paraId="4D4CC28D"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i/>
                <w:iCs/>
                <w:sz w:val="20"/>
                <w:szCs w:val="20"/>
              </w:rPr>
              <w:t xml:space="preserve">Patient must have experienced an intolerance to either of (i) obeticholic acid (ii) elafibrinor, of a severity requiring treatment discontinuation, prior to initiating treatment with this drug; </w:t>
            </w:r>
          </w:p>
        </w:tc>
      </w:tr>
      <w:tr w:rsidR="008A29AE" w:rsidRPr="009742A6" w14:paraId="3D8D63AE" w14:textId="77777777" w:rsidTr="00C616CD">
        <w:tblPrEx>
          <w:tblCellMar>
            <w:top w:w="15" w:type="dxa"/>
            <w:left w:w="15" w:type="dxa"/>
            <w:bottom w:w="15" w:type="dxa"/>
            <w:right w:w="15" w:type="dxa"/>
          </w:tblCellMar>
        </w:tblPrEx>
        <w:tc>
          <w:tcPr>
            <w:tcW w:w="0" w:type="auto"/>
            <w:gridSpan w:val="5"/>
          </w:tcPr>
          <w:p w14:paraId="1D7C1DBB"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8A29AE" w:rsidRPr="009742A6" w14:paraId="46B7A9C1"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F3BDDC5"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i/>
                <w:iCs/>
                <w:sz w:val="20"/>
                <w:szCs w:val="20"/>
              </w:rPr>
              <w:t>Patient must have inadequately responded to treatment with (i) obeticholic acid (ii) elafibrinor, prior to initiating treatment with this drug</w:t>
            </w:r>
          </w:p>
        </w:tc>
      </w:tr>
      <w:tr w:rsidR="008A29AE" w:rsidRPr="009742A6" w14:paraId="1C6A694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1E8008F"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Population criteria:</w:t>
            </w:r>
          </w:p>
        </w:tc>
      </w:tr>
      <w:tr w:rsidR="008A29AE" w:rsidRPr="009742A6" w14:paraId="52147D2E"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AEFF19A"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be at least 18 years of age</w:t>
            </w:r>
          </w:p>
        </w:tc>
      </w:tr>
      <w:tr w:rsidR="008A29AE" w:rsidRPr="009742A6" w14:paraId="4A31377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8539631"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Prescribing Instructions:</w:t>
            </w:r>
          </w:p>
          <w:p w14:paraId="79B5B016"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Document and retain in the patient's medical records the qualifying baseline laboratory reading for the purpose of assessing response to treatment under the 'Continuing treatment' restriction.</w:t>
            </w:r>
          </w:p>
        </w:tc>
      </w:tr>
      <w:tr w:rsidR="008A29AE" w:rsidRPr="009742A6" w14:paraId="2F699146"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FE7AB05" w14:textId="77777777" w:rsidR="008A29AE" w:rsidRPr="009742A6" w:rsidRDefault="008A29AE"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Prescribing Instructions:</w:t>
            </w:r>
          </w:p>
          <w:p w14:paraId="6598BBCD" w14:textId="77777777" w:rsidR="008A29AE" w:rsidRPr="009742A6" w:rsidRDefault="008A29AE"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Moderate-to-severe pruritus is defined moderate or severe pruritus via the pruritus numeric rating scale</w:t>
            </w:r>
          </w:p>
        </w:tc>
      </w:tr>
      <w:tr w:rsidR="008A29AE" w:rsidRPr="009742A6" w14:paraId="1E57025A"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3F693F66"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lastRenderedPageBreak/>
              <w:t>Administrative Advice:</w:t>
            </w:r>
          </w:p>
          <w:p w14:paraId="43B1FD80" w14:textId="77777777" w:rsidR="008A29AE" w:rsidRPr="009742A6" w:rsidRDefault="008A29AE" w:rsidP="009742A6">
            <w:pPr>
              <w:textAlignment w:val="baseline"/>
              <w:rPr>
                <w:rFonts w:ascii="Arial Narrow" w:hAnsi="Arial Narrow" w:cs="Open Sans"/>
                <w:b/>
                <w:bCs/>
                <w:i/>
                <w:iCs/>
                <w:sz w:val="20"/>
                <w:szCs w:val="20"/>
                <w:bdr w:val="none" w:sz="0" w:space="0" w:color="auto" w:frame="1"/>
              </w:rPr>
            </w:pPr>
            <w:r w:rsidRPr="009742A6">
              <w:rPr>
                <w:rFonts w:ascii="Arial Narrow" w:hAnsi="Arial Narrow" w:cs="Open Sans"/>
                <w:sz w:val="20"/>
                <w:szCs w:val="20"/>
              </w:rPr>
              <w:t>Laboratory readings requested in this authority application must be no older than 52 weeks,</w:t>
            </w:r>
            <w:r w:rsidRPr="009742A6">
              <w:rPr>
                <w:rFonts w:ascii="Arial Narrow" w:hAnsi="Arial Narrow" w:cs="Open Sans"/>
                <w:i/>
                <w:iCs/>
                <w:sz w:val="20"/>
                <w:szCs w:val="20"/>
              </w:rPr>
              <w:t xml:space="preserve"> prior to starting either of (i) obeticholic acid (ii) elafibranor (iii) seladelpar, whichever is used first.</w:t>
            </w:r>
          </w:p>
        </w:tc>
      </w:tr>
      <w:tr w:rsidR="008A29AE" w:rsidRPr="009742A6" w14:paraId="3F68507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639E2A5C" w14:textId="77777777" w:rsidR="008A29AE" w:rsidRPr="009742A6" w:rsidRDefault="008A29AE" w:rsidP="009742A6">
            <w:pPr>
              <w:textAlignment w:val="baseline"/>
              <w:rPr>
                <w:rFonts w:ascii="Arial Narrow" w:hAnsi="Arial Narrow" w:cs="Open Sans"/>
                <w:b/>
                <w:bCs/>
                <w:strike/>
                <w:sz w:val="20"/>
                <w:szCs w:val="20"/>
                <w:bdr w:val="none" w:sz="0" w:space="0" w:color="auto" w:frame="1"/>
              </w:rPr>
            </w:pPr>
            <w:r w:rsidRPr="009742A6">
              <w:rPr>
                <w:rFonts w:ascii="Arial Narrow" w:hAnsi="Arial Narrow" w:cs="Open Sans"/>
                <w:b/>
                <w:bCs/>
                <w:strike/>
                <w:sz w:val="20"/>
                <w:szCs w:val="20"/>
                <w:bdr w:val="none" w:sz="0" w:space="0" w:color="auto" w:frame="1"/>
              </w:rPr>
              <w:t>Caution:</w:t>
            </w:r>
          </w:p>
          <w:p w14:paraId="45CC0854" w14:textId="77777777" w:rsidR="008A29AE" w:rsidRPr="009742A6" w:rsidRDefault="008A29AE" w:rsidP="009742A6">
            <w:pPr>
              <w:textAlignment w:val="baseline"/>
              <w:rPr>
                <w:rFonts w:ascii="Arial Narrow" w:hAnsi="Arial Narrow" w:cs="Open Sans"/>
                <w:sz w:val="20"/>
                <w:szCs w:val="20"/>
                <w:bdr w:val="none" w:sz="0" w:space="0" w:color="auto" w:frame="1"/>
              </w:rPr>
            </w:pPr>
            <w:r w:rsidRPr="009742A6">
              <w:rPr>
                <w:rFonts w:ascii="Arial Narrow" w:hAnsi="Arial Narrow" w:cs="Open Sans"/>
                <w:strike/>
                <w:sz w:val="20"/>
                <w:szCs w:val="20"/>
                <w:bdr w:val="none" w:sz="0" w:space="0" w:color="auto" w:frame="1"/>
              </w:rPr>
              <w:t>Hepatic decompensation and failure, in some cases fatal, have been reported in post-marketing reports in patients with moderate to severe hepatic impairment when doses incorrectly.</w:t>
            </w:r>
          </w:p>
        </w:tc>
      </w:tr>
      <w:tr w:rsidR="009742A6" w:rsidRPr="009742A6" w14:paraId="2000ACCE"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left w:val="single" w:sz="4" w:space="0" w:color="auto"/>
              <w:right w:val="single" w:sz="4" w:space="0" w:color="auto"/>
            </w:tcBorders>
          </w:tcPr>
          <w:p w14:paraId="1FE49A50" w14:textId="77777777" w:rsidR="009742A6" w:rsidRPr="009742A6" w:rsidRDefault="009742A6" w:rsidP="009742A6">
            <w:pPr>
              <w:textAlignment w:val="baseline"/>
              <w:rPr>
                <w:rFonts w:ascii="Arial Narrow" w:hAnsi="Arial Narrow" w:cs="Open Sans"/>
                <w:b/>
                <w:bCs/>
                <w:sz w:val="20"/>
                <w:szCs w:val="20"/>
                <w:bdr w:val="none" w:sz="0" w:space="0" w:color="auto" w:frame="1"/>
              </w:rPr>
            </w:pPr>
          </w:p>
        </w:tc>
      </w:tr>
      <w:tr w:rsidR="009742A6" w:rsidRPr="009742A6" w14:paraId="68F8B83E" w14:textId="77777777" w:rsidTr="00C616CD">
        <w:trPr>
          <w:cantSplit/>
          <w:trHeight w:val="347"/>
        </w:trPr>
        <w:tc>
          <w:tcPr>
            <w:tcW w:w="0" w:type="auto"/>
            <w:gridSpan w:val="5"/>
            <w:tcBorders>
              <w:top w:val="single" w:sz="4" w:space="0" w:color="auto"/>
              <w:left w:val="single" w:sz="4" w:space="0" w:color="auto"/>
              <w:bottom w:val="single" w:sz="4" w:space="0" w:color="auto"/>
              <w:right w:val="single" w:sz="4" w:space="0" w:color="auto"/>
            </w:tcBorders>
          </w:tcPr>
          <w:p w14:paraId="54F22816"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Restriction Summary [12138] / Treatment of Concept: [12138]</w:t>
            </w:r>
          </w:p>
        </w:tc>
      </w:tr>
      <w:tr w:rsidR="008A29AE" w:rsidRPr="009742A6" w14:paraId="17BFDCE3" w14:textId="77777777" w:rsidTr="00C616CD">
        <w:tblPrEx>
          <w:tblCellMar>
            <w:top w:w="15" w:type="dxa"/>
            <w:left w:w="15" w:type="dxa"/>
            <w:bottom w:w="15" w:type="dxa"/>
            <w:right w:w="15" w:type="dxa"/>
          </w:tblCellMar>
        </w:tblPrEx>
        <w:trPr>
          <w:trHeight w:val="119"/>
        </w:trPr>
        <w:tc>
          <w:tcPr>
            <w:tcW w:w="0" w:type="auto"/>
            <w:gridSpan w:val="5"/>
            <w:tcBorders>
              <w:top w:val="single" w:sz="4" w:space="0" w:color="auto"/>
              <w:left w:val="single" w:sz="4" w:space="0" w:color="auto"/>
              <w:bottom w:val="single" w:sz="4" w:space="0" w:color="auto"/>
              <w:right w:val="single" w:sz="4" w:space="0" w:color="auto"/>
            </w:tcBorders>
          </w:tcPr>
          <w:p w14:paraId="37D594F2" w14:textId="77777777" w:rsidR="008A29AE" w:rsidRPr="009742A6" w:rsidRDefault="008A29AE"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8A29AE" w:rsidRPr="009742A6" w14:paraId="7CFE0F30" w14:textId="77777777" w:rsidTr="00C616CD">
        <w:tblPrEx>
          <w:tblCellMar>
            <w:top w:w="15" w:type="dxa"/>
            <w:left w:w="15" w:type="dxa"/>
            <w:bottom w:w="15" w:type="dxa"/>
            <w:right w:w="15" w:type="dxa"/>
          </w:tblCellMar>
        </w:tblPrEx>
        <w:trPr>
          <w:trHeight w:val="240"/>
        </w:trPr>
        <w:tc>
          <w:tcPr>
            <w:tcW w:w="0" w:type="auto"/>
            <w:gridSpan w:val="5"/>
            <w:tcBorders>
              <w:top w:val="single" w:sz="4" w:space="0" w:color="auto"/>
              <w:left w:val="single" w:sz="4" w:space="0" w:color="auto"/>
              <w:bottom w:val="single" w:sz="4" w:space="0" w:color="auto"/>
              <w:right w:val="single" w:sz="4" w:space="0" w:color="auto"/>
            </w:tcBorders>
          </w:tcPr>
          <w:p w14:paraId="59466784" w14:textId="77777777" w:rsidR="008A29AE" w:rsidRPr="009742A6" w:rsidRDefault="008A29AE" w:rsidP="009742A6">
            <w:pPr>
              <w:rPr>
                <w:rFonts w:ascii="Arial Narrow" w:eastAsia="Aptos" w:hAnsi="Arial Narrow"/>
                <w:b/>
                <w:sz w:val="20"/>
                <w:szCs w:val="20"/>
              </w:rPr>
            </w:pPr>
            <w:r w:rsidRPr="009742A6">
              <w:rPr>
                <w:rFonts w:ascii="Arial Narrow" w:eastAsia="Aptos" w:hAnsi="Arial Narrow"/>
                <w:b/>
                <w:sz w:val="20"/>
                <w:szCs w:val="20"/>
              </w:rPr>
              <w:t>Prescriber type:</w:t>
            </w:r>
            <w:r w:rsidRPr="009742A6">
              <w:rPr>
                <w:rFonts w:ascii="Arial Narrow" w:eastAsia="Aptos" w:hAnsi="Arial Narrow"/>
                <w:sz w:val="20"/>
                <w:szCs w:val="20"/>
              </w:rPr>
              <w:t xml:space="preserv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 </w:t>
            </w:r>
            <w:r w:rsidRPr="009742A6">
              <w:rPr>
                <w:rFonts w:ascii="Arial Narrow" w:hAnsi="Arial Narrow"/>
                <w:i/>
                <w:iCs/>
                <w:sz w:val="20"/>
                <w:szCs w:val="20"/>
              </w:rPr>
              <w:fldChar w:fldCharType="begin">
                <w:ffData>
                  <w:name w:val=""/>
                  <w:enabled/>
                  <w:calcOnExit w:val="0"/>
                  <w:checkBox>
                    <w:sizeAuto/>
                    <w:default w:val="1"/>
                  </w:checkBox>
                </w:ffData>
              </w:fldChar>
            </w:r>
            <w:r w:rsidRPr="009742A6">
              <w:rPr>
                <w:rFonts w:ascii="Arial Narrow" w:hAnsi="Arial Narrow"/>
                <w:i/>
                <w:iCs/>
                <w:sz w:val="20"/>
                <w:szCs w:val="20"/>
              </w:rPr>
              <w:instrText xml:space="preserve"> FORMCHECKBOX </w:instrText>
            </w:r>
            <w:r w:rsidRPr="009742A6">
              <w:rPr>
                <w:rFonts w:ascii="Arial Narrow" w:hAnsi="Arial Narrow"/>
                <w:i/>
                <w:iCs/>
                <w:sz w:val="20"/>
                <w:szCs w:val="20"/>
              </w:rPr>
            </w:r>
            <w:r w:rsidRPr="009742A6">
              <w:rPr>
                <w:rFonts w:ascii="Arial Narrow" w:hAnsi="Arial Narrow"/>
                <w:i/>
                <w:iCs/>
                <w:sz w:val="20"/>
                <w:szCs w:val="20"/>
              </w:rPr>
              <w:fldChar w:fldCharType="separate"/>
            </w:r>
            <w:r w:rsidRPr="009742A6">
              <w:rPr>
                <w:rFonts w:ascii="Arial Narrow" w:hAnsi="Arial Narrow"/>
                <w:i/>
                <w:iCs/>
                <w:sz w:val="20"/>
                <w:szCs w:val="20"/>
              </w:rPr>
              <w:fldChar w:fldCharType="end"/>
            </w:r>
            <w:r w:rsidRPr="009742A6">
              <w:rPr>
                <w:rFonts w:ascii="Arial Narrow" w:hAnsi="Arial Narrow"/>
                <w:i/>
                <w:iCs/>
                <w:sz w:val="20"/>
                <w:szCs w:val="20"/>
              </w:rPr>
              <w:t xml:space="preserve"> Nurse Practitioners</w:t>
            </w:r>
          </w:p>
        </w:tc>
      </w:tr>
      <w:tr w:rsidR="008A29AE" w:rsidRPr="009742A6" w14:paraId="3A02D9CC"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5400B3E9" w14:textId="77777777" w:rsidR="008A29AE" w:rsidRPr="009742A6" w:rsidRDefault="008A29AE" w:rsidP="009742A6">
            <w:pPr>
              <w:rPr>
                <w:rFonts w:ascii="Arial Narrow" w:eastAsia="Calibri" w:hAnsi="Arial Narrow"/>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STREAMLINED</w:t>
            </w:r>
          </w:p>
        </w:tc>
      </w:tr>
      <w:tr w:rsidR="008A29AE" w:rsidRPr="009742A6" w14:paraId="2457EBC1"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64DDE59"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 xml:space="preserve">Indication: </w:t>
            </w:r>
            <w:r w:rsidRPr="009742A6">
              <w:rPr>
                <w:rFonts w:ascii="Arial Narrow" w:hAnsi="Arial Narrow" w:cs="Open Sans"/>
                <w:sz w:val="20"/>
                <w:szCs w:val="20"/>
              </w:rPr>
              <w:t>Primary biliary cholangitis (previously known as Primary biliary cirrhosis)</w:t>
            </w:r>
          </w:p>
        </w:tc>
      </w:tr>
      <w:tr w:rsidR="008A29AE" w:rsidRPr="009742A6" w14:paraId="659B6EB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DF831CD" w14:textId="77777777" w:rsidR="008A29AE" w:rsidRPr="009742A6" w:rsidRDefault="008A29AE" w:rsidP="009742A6">
            <w:pPr>
              <w:textAlignment w:val="baseline"/>
              <w:rPr>
                <w:rFonts w:ascii="Arial Narrow" w:hAnsi="Arial Narrow" w:cs="Open Sans"/>
                <w:sz w:val="20"/>
                <w:szCs w:val="20"/>
                <w:bdr w:val="none" w:sz="0" w:space="0" w:color="auto" w:frame="1"/>
              </w:rPr>
            </w:pPr>
            <w:r w:rsidRPr="009742A6">
              <w:rPr>
                <w:rFonts w:ascii="Arial Narrow" w:hAnsi="Arial Narrow" w:cs="Open Sans"/>
                <w:b/>
                <w:bCs/>
                <w:sz w:val="20"/>
                <w:szCs w:val="20"/>
                <w:bdr w:val="none" w:sz="0" w:space="0" w:color="auto" w:frame="1"/>
              </w:rPr>
              <w:t>Treatment Phase:</w:t>
            </w:r>
            <w:r w:rsidRPr="009742A6">
              <w:rPr>
                <w:rFonts w:ascii="Arial Narrow" w:hAnsi="Arial Narrow" w:cs="Open Sans"/>
                <w:sz w:val="20"/>
                <w:szCs w:val="20"/>
                <w:bdr w:val="none" w:sz="0" w:space="0" w:color="auto" w:frame="1"/>
              </w:rPr>
              <w:t xml:space="preserve"> Continuing treatment</w:t>
            </w:r>
          </w:p>
        </w:tc>
      </w:tr>
      <w:tr w:rsidR="008A29AE" w:rsidRPr="009742A6" w14:paraId="194B8BD3"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B8C8809" w14:textId="77777777" w:rsidR="008A29AE" w:rsidRPr="009742A6" w:rsidRDefault="008A29AE"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Treatment criteria:</w:t>
            </w:r>
          </w:p>
        </w:tc>
      </w:tr>
      <w:tr w:rsidR="008A29AE" w:rsidRPr="009742A6" w14:paraId="6D1939C8"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97CA029" w14:textId="77777777" w:rsidR="008A29AE" w:rsidRPr="009742A6" w:rsidRDefault="008A29AE"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 xml:space="preserve">Must be treated by a prescriber who is either: (i) a gastroenterologist, (ii) a hepatologist; </w:t>
            </w:r>
          </w:p>
        </w:tc>
      </w:tr>
      <w:tr w:rsidR="008A29AE" w:rsidRPr="009742A6" w14:paraId="21B58AB9"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9404576"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8A29AE" w:rsidRPr="009742A6" w14:paraId="775EFB94"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FED22DA" w14:textId="77777777" w:rsidR="008A29AE" w:rsidRPr="009742A6" w:rsidRDefault="008A29AE"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Must be treated by an eligible practitioner type who has consulted at least one of the above mentioned specialist types</w:t>
            </w:r>
          </w:p>
        </w:tc>
      </w:tr>
      <w:tr w:rsidR="008A29AE" w:rsidRPr="009742A6" w14:paraId="7247DBE6"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D7DE85B"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AND</w:t>
            </w:r>
          </w:p>
        </w:tc>
      </w:tr>
      <w:tr w:rsidR="008A29AE" w:rsidRPr="009742A6" w14:paraId="2980D23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096EFF8"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8A29AE" w:rsidRPr="009742A6" w14:paraId="58D1697E"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EA8B269"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Patient must be undergoing continuing PBS-subsidised treatment with this drug, with treatment having commenced through one of: (i) the ‘Initial treatment’ listing, (ii) ‘Grandfather’ arrangements, (iii) ‘Switching treatment’ listing</w:t>
            </w:r>
          </w:p>
        </w:tc>
      </w:tr>
      <w:tr w:rsidR="008A29AE" w:rsidRPr="009742A6" w14:paraId="2A6055B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5BC4DD08"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rPr>
              <w:t>AND</w:t>
            </w:r>
          </w:p>
        </w:tc>
      </w:tr>
      <w:tr w:rsidR="008A29AE" w:rsidRPr="009742A6" w14:paraId="0D792056"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F46E2D6"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8A29AE" w:rsidRPr="009742A6" w14:paraId="5521980C"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E559AD5"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 xml:space="preserve">Patient must be undergoing concurrent treatment with ursodeoxycholic acid </w:t>
            </w:r>
          </w:p>
        </w:tc>
      </w:tr>
      <w:tr w:rsidR="008A29AE" w:rsidRPr="009742A6" w14:paraId="1E1F3B58"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9EDAD54"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8A29AE" w:rsidRPr="009742A6" w14:paraId="2F5B2C76"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A02FAC6"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Patient must be undergoing treatment with this drug as monotherapy because combination treatment with ursodeoxycholic acid is not tolerated/contraindicated</w:t>
            </w:r>
          </w:p>
        </w:tc>
      </w:tr>
      <w:tr w:rsidR="008A29AE" w:rsidRPr="009742A6" w14:paraId="4099C54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E58D2BF" w14:textId="77777777" w:rsidR="008A29AE" w:rsidRPr="009742A6" w:rsidRDefault="008A29AE" w:rsidP="009742A6">
            <w:pPr>
              <w:textAlignment w:val="baseline"/>
              <w:rPr>
                <w:rFonts w:ascii="Arial Narrow" w:hAnsi="Arial Narrow" w:cs="Open Sans"/>
                <w:b/>
                <w:bCs/>
                <w:i/>
                <w:iCs/>
                <w:sz w:val="20"/>
                <w:szCs w:val="20"/>
              </w:rPr>
            </w:pPr>
            <w:r w:rsidRPr="009742A6">
              <w:rPr>
                <w:rFonts w:ascii="Arial Narrow" w:hAnsi="Arial Narrow" w:cs="Open Sans"/>
                <w:b/>
                <w:bCs/>
                <w:i/>
                <w:iCs/>
                <w:sz w:val="20"/>
                <w:szCs w:val="20"/>
              </w:rPr>
              <w:t>AND</w:t>
            </w:r>
          </w:p>
        </w:tc>
      </w:tr>
      <w:tr w:rsidR="008A29AE" w:rsidRPr="009742A6" w14:paraId="338DD135"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F63D275" w14:textId="77777777" w:rsidR="008A29AE" w:rsidRPr="009742A6" w:rsidRDefault="008A29AE" w:rsidP="009742A6">
            <w:pPr>
              <w:textAlignment w:val="baseline"/>
              <w:rPr>
                <w:rFonts w:ascii="Arial Narrow" w:hAnsi="Arial Narrow" w:cs="Open Sans"/>
                <w:b/>
                <w:bCs/>
                <w:sz w:val="20"/>
                <w:szCs w:val="20"/>
              </w:rPr>
            </w:pPr>
            <w:r w:rsidRPr="009742A6">
              <w:rPr>
                <w:rFonts w:ascii="Arial Narrow" w:hAnsi="Arial Narrow" w:cs="Open Sans"/>
                <w:b/>
                <w:bCs/>
                <w:sz w:val="20"/>
                <w:szCs w:val="20"/>
              </w:rPr>
              <w:t>Treatment criteria:</w:t>
            </w:r>
          </w:p>
        </w:tc>
      </w:tr>
      <w:tr w:rsidR="008A29AE" w:rsidRPr="009742A6" w14:paraId="780EE6F8"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54C380C"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Patient must not be undergoing concurrent treatment with either of: (i) obeticholic acid (ii)elafibranor</w:t>
            </w:r>
          </w:p>
        </w:tc>
      </w:tr>
      <w:tr w:rsidR="008A29AE" w:rsidRPr="009742A6" w14:paraId="4EAFEBD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90E8FD0"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Clinical criteria:</w:t>
            </w:r>
          </w:p>
        </w:tc>
      </w:tr>
      <w:tr w:rsidR="008A29AE" w:rsidRPr="009742A6" w14:paraId="407DEB8C"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206231E"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Patient must have achieved an adequate response to this drug, defined as having at least one of: (i) an alkaline phosphate (ALP) level less than 1.67 times the upper limit of normal (ULN), (ii) a reduction in the ALP reading of at least 15% compared to the baseline level provided with the initial authority application, (iii) a total bilirubin level within the normal reference range; or a reduction in pruritus to no or mild pruritus</w:t>
            </w:r>
          </w:p>
        </w:tc>
      </w:tr>
      <w:tr w:rsidR="008A29AE" w:rsidRPr="009742A6" w14:paraId="4AAED835"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A96BF14"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Prescribing Instructions:</w:t>
            </w:r>
          </w:p>
          <w:p w14:paraId="342D58A7"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sz w:val="20"/>
                <w:szCs w:val="20"/>
              </w:rPr>
              <w:t>The improvement in the qualifying laboratory reading(s) has/have been documented in the patient's medical records.</w:t>
            </w:r>
          </w:p>
        </w:tc>
      </w:tr>
      <w:tr w:rsidR="008A29AE" w:rsidRPr="009742A6" w14:paraId="58EC015A"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8D8DD61" w14:textId="77777777" w:rsidR="008A29AE" w:rsidRPr="009742A6" w:rsidRDefault="008A29AE"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62B1C554" w14:textId="77777777" w:rsidR="008A29AE" w:rsidRPr="009742A6" w:rsidRDefault="008A29AE"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Laboratory readings requested in this authority application must be no older than 52 weeks.</w:t>
            </w:r>
          </w:p>
        </w:tc>
      </w:tr>
      <w:tr w:rsidR="008A29AE" w:rsidRPr="009742A6" w14:paraId="0E6FE6DD"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E06CC53" w14:textId="77777777" w:rsidR="008A29AE" w:rsidRPr="009742A6" w:rsidRDefault="008A29AE" w:rsidP="009742A6">
            <w:pPr>
              <w:textAlignment w:val="baseline"/>
              <w:rPr>
                <w:rFonts w:ascii="Arial Narrow" w:hAnsi="Arial Narrow" w:cs="Open Sans"/>
                <w:b/>
                <w:bCs/>
                <w:strike/>
                <w:sz w:val="20"/>
                <w:szCs w:val="20"/>
                <w:bdr w:val="none" w:sz="0" w:space="0" w:color="auto" w:frame="1"/>
              </w:rPr>
            </w:pPr>
            <w:r w:rsidRPr="009742A6">
              <w:rPr>
                <w:rFonts w:ascii="Arial Narrow" w:hAnsi="Arial Narrow" w:cs="Open Sans"/>
                <w:b/>
                <w:bCs/>
                <w:strike/>
                <w:sz w:val="20"/>
                <w:szCs w:val="20"/>
                <w:bdr w:val="none" w:sz="0" w:space="0" w:color="auto" w:frame="1"/>
              </w:rPr>
              <w:t>Caution:</w:t>
            </w:r>
          </w:p>
          <w:p w14:paraId="55D95A74" w14:textId="77777777" w:rsidR="008A29AE" w:rsidRPr="009742A6" w:rsidRDefault="008A29AE" w:rsidP="009742A6">
            <w:pPr>
              <w:textAlignment w:val="baseline"/>
              <w:rPr>
                <w:rFonts w:ascii="Arial Narrow" w:hAnsi="Arial Narrow" w:cs="Open Sans"/>
                <w:sz w:val="20"/>
                <w:szCs w:val="20"/>
                <w:bdr w:val="none" w:sz="0" w:space="0" w:color="auto" w:frame="1"/>
              </w:rPr>
            </w:pPr>
            <w:r w:rsidRPr="009742A6">
              <w:rPr>
                <w:rFonts w:ascii="Arial Narrow" w:hAnsi="Arial Narrow" w:cs="Open Sans"/>
                <w:strike/>
                <w:sz w:val="20"/>
                <w:szCs w:val="20"/>
                <w:bdr w:val="none" w:sz="0" w:space="0" w:color="auto" w:frame="1"/>
              </w:rPr>
              <w:t>Hepatic decompensation and failure, in some cases fatal, have been reported in post-marketing reports in patients with moderate to severe hepatic impairment when doses incorrectly.</w:t>
            </w:r>
          </w:p>
        </w:tc>
      </w:tr>
      <w:tr w:rsidR="009742A6" w:rsidRPr="009742A6" w14:paraId="578C6A55"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left w:val="single" w:sz="4" w:space="0" w:color="auto"/>
              <w:right w:val="single" w:sz="4" w:space="0" w:color="auto"/>
            </w:tcBorders>
          </w:tcPr>
          <w:p w14:paraId="75F87423" w14:textId="77777777" w:rsidR="009742A6" w:rsidRPr="009742A6" w:rsidRDefault="009742A6" w:rsidP="009742A6">
            <w:pPr>
              <w:textAlignment w:val="baseline"/>
              <w:rPr>
                <w:rFonts w:ascii="Arial Narrow" w:hAnsi="Arial Narrow" w:cs="Open Sans"/>
                <w:b/>
                <w:bCs/>
                <w:sz w:val="20"/>
                <w:szCs w:val="20"/>
                <w:bdr w:val="none" w:sz="0" w:space="0" w:color="auto" w:frame="1"/>
              </w:rPr>
            </w:pPr>
          </w:p>
        </w:tc>
      </w:tr>
      <w:tr w:rsidR="009742A6" w:rsidRPr="009742A6" w14:paraId="41AB694E"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0D83664" w14:textId="77777777" w:rsidR="009742A6" w:rsidRPr="009742A6" w:rsidRDefault="009742A6" w:rsidP="009742A6">
            <w:pPr>
              <w:spacing w:before="100" w:beforeAutospacing="1"/>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Restriction Summary [NEW] / Treatment of Concept: [NEW]</w:t>
            </w:r>
          </w:p>
        </w:tc>
      </w:tr>
      <w:tr w:rsidR="008A29AE" w:rsidRPr="009742A6" w14:paraId="1AD1764D" w14:textId="77777777" w:rsidTr="00C616CD">
        <w:tblPrEx>
          <w:tblCellMar>
            <w:top w:w="15" w:type="dxa"/>
            <w:left w:w="15" w:type="dxa"/>
            <w:bottom w:w="15" w:type="dxa"/>
            <w:right w:w="15" w:type="dxa"/>
          </w:tblCellMar>
          <w:tblLook w:val="04A0" w:firstRow="1" w:lastRow="0" w:firstColumn="1" w:lastColumn="0" w:noHBand="0" w:noVBand="1"/>
        </w:tblPrEx>
        <w:trPr>
          <w:trHeight w:val="167"/>
        </w:trPr>
        <w:tc>
          <w:tcPr>
            <w:tcW w:w="0" w:type="auto"/>
            <w:gridSpan w:val="5"/>
            <w:tcBorders>
              <w:top w:val="single" w:sz="4" w:space="0" w:color="auto"/>
              <w:left w:val="single" w:sz="4" w:space="0" w:color="auto"/>
              <w:bottom w:val="single" w:sz="4" w:space="0" w:color="auto"/>
              <w:right w:val="single" w:sz="4" w:space="0" w:color="auto"/>
            </w:tcBorders>
          </w:tcPr>
          <w:p w14:paraId="767FAB09" w14:textId="77777777" w:rsidR="008A29AE" w:rsidRPr="009742A6" w:rsidRDefault="008A29AE"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8A29AE" w:rsidRPr="009742A6" w14:paraId="7705DC03" w14:textId="77777777" w:rsidTr="00C616CD">
        <w:tblPrEx>
          <w:tblCellMar>
            <w:top w:w="15" w:type="dxa"/>
            <w:left w:w="15" w:type="dxa"/>
            <w:bottom w:w="15" w:type="dxa"/>
            <w:right w:w="15" w:type="dxa"/>
          </w:tblCellMar>
          <w:tblLook w:val="04A0" w:firstRow="1" w:lastRow="0" w:firstColumn="1" w:lastColumn="0" w:noHBand="0" w:noVBand="1"/>
        </w:tblPrEx>
        <w:trPr>
          <w:trHeight w:val="240"/>
        </w:trPr>
        <w:tc>
          <w:tcPr>
            <w:tcW w:w="0" w:type="auto"/>
            <w:gridSpan w:val="5"/>
            <w:tcBorders>
              <w:top w:val="single" w:sz="4" w:space="0" w:color="auto"/>
              <w:left w:val="single" w:sz="4" w:space="0" w:color="auto"/>
              <w:bottom w:val="single" w:sz="4" w:space="0" w:color="auto"/>
              <w:right w:val="single" w:sz="4" w:space="0" w:color="auto"/>
            </w:tcBorders>
          </w:tcPr>
          <w:p w14:paraId="4B9039CA" w14:textId="77777777" w:rsidR="008A29AE" w:rsidRPr="009742A6" w:rsidRDefault="008A29AE" w:rsidP="009742A6">
            <w:pPr>
              <w:rPr>
                <w:rFonts w:ascii="Arial Narrow" w:eastAsia="Aptos" w:hAnsi="Arial Narrow"/>
                <w:b/>
                <w:sz w:val="20"/>
                <w:szCs w:val="20"/>
              </w:rPr>
            </w:pPr>
            <w:r w:rsidRPr="009742A6">
              <w:rPr>
                <w:rFonts w:ascii="Arial Narrow" w:eastAsia="Aptos" w:hAnsi="Arial Narrow"/>
                <w:b/>
                <w:sz w:val="20"/>
                <w:szCs w:val="20"/>
              </w:rPr>
              <w:t xml:space="preserve">Prescriber type: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 </w:t>
            </w:r>
            <w:r w:rsidRPr="009742A6">
              <w:rPr>
                <w:rFonts w:ascii="Arial Narrow" w:hAnsi="Arial Narrow"/>
                <w:i/>
                <w:iCs/>
                <w:strike/>
                <w:sz w:val="20"/>
                <w:szCs w:val="20"/>
              </w:rPr>
              <w:fldChar w:fldCharType="begin">
                <w:ffData>
                  <w:name w:val=""/>
                  <w:enabled/>
                  <w:calcOnExit w:val="0"/>
                  <w:checkBox>
                    <w:sizeAuto/>
                    <w:default w:val="1"/>
                  </w:checkBox>
                </w:ffData>
              </w:fldChar>
            </w:r>
            <w:r w:rsidRPr="009742A6">
              <w:rPr>
                <w:rFonts w:ascii="Arial Narrow" w:hAnsi="Arial Narrow"/>
                <w:i/>
                <w:iCs/>
                <w:strike/>
                <w:sz w:val="20"/>
                <w:szCs w:val="20"/>
              </w:rPr>
              <w:instrText xml:space="preserve"> FORMCHECKBOX </w:instrText>
            </w:r>
            <w:r w:rsidRPr="009742A6">
              <w:rPr>
                <w:rFonts w:ascii="Arial Narrow" w:hAnsi="Arial Narrow"/>
                <w:i/>
                <w:iCs/>
                <w:strike/>
                <w:sz w:val="20"/>
                <w:szCs w:val="20"/>
              </w:rPr>
            </w:r>
            <w:r w:rsidRPr="009742A6">
              <w:rPr>
                <w:rFonts w:ascii="Arial Narrow" w:hAnsi="Arial Narrow"/>
                <w:i/>
                <w:iCs/>
                <w:strike/>
                <w:sz w:val="20"/>
                <w:szCs w:val="20"/>
              </w:rPr>
              <w:fldChar w:fldCharType="separate"/>
            </w:r>
            <w:r w:rsidRPr="009742A6">
              <w:rPr>
                <w:rFonts w:ascii="Arial Narrow" w:hAnsi="Arial Narrow"/>
                <w:i/>
                <w:iCs/>
                <w:strike/>
                <w:sz w:val="20"/>
                <w:szCs w:val="20"/>
              </w:rPr>
              <w:fldChar w:fldCharType="end"/>
            </w:r>
            <w:r w:rsidRPr="009742A6">
              <w:rPr>
                <w:rFonts w:ascii="Arial Narrow" w:hAnsi="Arial Narrow"/>
                <w:i/>
                <w:iCs/>
                <w:sz w:val="20"/>
                <w:szCs w:val="20"/>
              </w:rPr>
              <w:t xml:space="preserve"> Nurse</w:t>
            </w:r>
            <w:r w:rsidRPr="009742A6">
              <w:rPr>
                <w:rFonts w:ascii="Arial Narrow" w:hAnsi="Arial Narrow"/>
                <w:i/>
                <w:iCs/>
                <w:strike/>
                <w:sz w:val="20"/>
                <w:szCs w:val="20"/>
              </w:rPr>
              <w:t xml:space="preserve"> </w:t>
            </w:r>
            <w:r w:rsidRPr="009742A6">
              <w:rPr>
                <w:rFonts w:ascii="Arial Narrow" w:hAnsi="Arial Narrow"/>
                <w:i/>
                <w:iCs/>
                <w:sz w:val="20"/>
                <w:szCs w:val="20"/>
              </w:rPr>
              <w:t>Practitioners</w:t>
            </w:r>
          </w:p>
        </w:tc>
      </w:tr>
      <w:tr w:rsidR="008A29AE" w:rsidRPr="009742A6" w14:paraId="25183D8B"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57384768" w14:textId="77777777" w:rsidR="008A29AE" w:rsidRPr="009742A6" w:rsidRDefault="008A29AE" w:rsidP="009742A6">
            <w:pPr>
              <w:rPr>
                <w:rFonts w:ascii="Arial Narrow" w:eastAsia="Calibri" w:hAnsi="Arial Narrow"/>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w:t>
            </w:r>
            <w:r w:rsidRPr="009742A6">
              <w:rPr>
                <w:rFonts w:ascii="Arial Narrow" w:eastAsia="Calibri" w:hAnsi="Arial Narrow"/>
                <w:strike/>
                <w:sz w:val="20"/>
                <w:szCs w:val="20"/>
              </w:rPr>
              <w:t>Telephone/Online</w:t>
            </w:r>
            <w:r w:rsidRPr="009742A6">
              <w:rPr>
                <w:rFonts w:ascii="Arial Narrow" w:eastAsia="Calibri" w:hAnsi="Arial Narrow"/>
                <w:sz w:val="20"/>
                <w:szCs w:val="20"/>
              </w:rPr>
              <w:t xml:space="preserve"> </w:t>
            </w:r>
            <w:r w:rsidRPr="009742A6">
              <w:rPr>
                <w:rFonts w:ascii="Arial Narrow" w:eastAsia="Calibri" w:hAnsi="Arial Narrow"/>
                <w:i/>
                <w:iCs/>
                <w:sz w:val="20"/>
                <w:szCs w:val="20"/>
              </w:rPr>
              <w:t>STREAMLINED</w:t>
            </w:r>
            <w:r w:rsidRPr="009742A6">
              <w:rPr>
                <w:rFonts w:ascii="Arial Narrow" w:eastAsia="Calibri" w:hAnsi="Arial Narrow"/>
                <w:sz w:val="20"/>
                <w:szCs w:val="20"/>
              </w:rPr>
              <w:t xml:space="preserve"> </w:t>
            </w:r>
          </w:p>
        </w:tc>
      </w:tr>
      <w:tr w:rsidR="00A8172B" w:rsidRPr="009742A6" w14:paraId="74652F82"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F42594D" w14:textId="77777777" w:rsidR="00A8172B" w:rsidRPr="009742A6" w:rsidRDefault="00A8172B" w:rsidP="00A8172B">
            <w:pPr>
              <w:keepNext/>
              <w:keepLines/>
              <w:jc w:val="left"/>
              <w:rPr>
                <w:rFonts w:ascii="Arial Narrow" w:eastAsiaTheme="majorEastAsia" w:hAnsi="Arial Narrow" w:cstheme="majorBidi"/>
                <w:b/>
                <w:bCs/>
                <w:i/>
                <w:iCs/>
                <w:sz w:val="20"/>
                <w:bdr w:val="none" w:sz="0" w:space="0" w:color="auto" w:frame="1"/>
              </w:rPr>
            </w:pPr>
            <w:r w:rsidRPr="009742A6">
              <w:rPr>
                <w:rFonts w:ascii="Arial Narrow" w:eastAsiaTheme="majorEastAsia" w:hAnsi="Arial Narrow" w:cs="Open Sans"/>
                <w:b/>
                <w:sz w:val="20"/>
                <w:bdr w:val="none" w:sz="0" w:space="0" w:color="auto" w:frame="1"/>
              </w:rPr>
              <w:lastRenderedPageBreak/>
              <w:t>Administrative Advice:</w:t>
            </w:r>
          </w:p>
          <w:p w14:paraId="785F2040" w14:textId="3F68CE9E" w:rsidR="00A8172B" w:rsidRPr="009742A6" w:rsidRDefault="00A8172B" w:rsidP="00A8172B">
            <w:pPr>
              <w:rPr>
                <w:rFonts w:ascii="Arial Narrow" w:eastAsia="Aptos" w:hAnsi="Arial Narrow"/>
                <w:b/>
                <w:sz w:val="20"/>
                <w:szCs w:val="20"/>
              </w:rPr>
            </w:pPr>
            <w:r w:rsidRPr="009742A6">
              <w:rPr>
                <w:rFonts w:ascii="Arial Narrow" w:eastAsiaTheme="majorEastAsia" w:hAnsi="Arial Narrow" w:cstheme="majorBidi"/>
                <w:bCs/>
                <w:sz w:val="20"/>
              </w:rPr>
              <w:t xml:space="preserve">Not for use in the treatment of sclerosing cholangitis </w:t>
            </w:r>
          </w:p>
        </w:tc>
      </w:tr>
      <w:tr w:rsidR="00A8172B" w:rsidRPr="009742A6" w14:paraId="2C8BF353"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2CB4F9A" w14:textId="77777777" w:rsidR="00A8172B" w:rsidRPr="009742A6" w:rsidRDefault="00A8172B" w:rsidP="00A8172B">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3CB9965F" w14:textId="77777777" w:rsidR="00A8172B" w:rsidRPr="009742A6" w:rsidRDefault="00A8172B" w:rsidP="00A8172B">
            <w:pPr>
              <w:keepNext/>
              <w:keepLines/>
              <w:jc w:val="left"/>
              <w:rPr>
                <w:rFonts w:ascii="Arial Narrow" w:eastAsiaTheme="majorEastAsia" w:hAnsi="Arial Narrow" w:cstheme="majorBidi"/>
                <w:bCs/>
                <w:sz w:val="20"/>
              </w:rPr>
            </w:pPr>
            <w:r w:rsidRPr="009742A6">
              <w:rPr>
                <w:rFonts w:ascii="Arial Narrow" w:eastAsiaTheme="majorEastAsia" w:hAnsi="Arial Narrow" w:cstheme="majorBidi"/>
                <w:b/>
                <w:bCs/>
                <w:sz w:val="20"/>
                <w:bdr w:val="none" w:sz="0" w:space="0" w:color="auto" w:frame="1"/>
              </w:rPr>
              <w:t>Continuing Therapy Only:</w:t>
            </w:r>
          </w:p>
          <w:p w14:paraId="402D7FC8" w14:textId="36CA82AB" w:rsidR="00A8172B" w:rsidRPr="009742A6" w:rsidRDefault="00A8172B" w:rsidP="00A8172B">
            <w:pPr>
              <w:rPr>
                <w:rFonts w:ascii="Arial Narrow" w:eastAsia="Aptos" w:hAnsi="Arial Narrow"/>
                <w:b/>
                <w:sz w:val="20"/>
                <w:szCs w:val="20"/>
              </w:rPr>
            </w:pPr>
            <w:r w:rsidRPr="009742A6">
              <w:rPr>
                <w:rFonts w:ascii="Arial Narrow" w:eastAsiaTheme="majorEastAsia" w:hAnsi="Arial Narrow" w:cstheme="majorBidi"/>
                <w:bCs/>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A8172B" w:rsidRPr="009742A6" w14:paraId="50F3D5F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203B0E4" w14:textId="77777777" w:rsidR="00A8172B" w:rsidRPr="009742A6" w:rsidRDefault="00A8172B" w:rsidP="00A8172B">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2875F990" w14:textId="32A5DB58" w:rsidR="00A8172B" w:rsidRPr="009742A6" w:rsidRDefault="00A8172B" w:rsidP="00A8172B">
            <w:pPr>
              <w:rPr>
                <w:rFonts w:ascii="Arial Narrow" w:eastAsia="Aptos" w:hAnsi="Arial Narrow"/>
                <w:b/>
                <w:sz w:val="20"/>
                <w:szCs w:val="20"/>
              </w:rPr>
            </w:pPr>
            <w:r w:rsidRPr="009742A6">
              <w:rPr>
                <w:rFonts w:ascii="Arial Narrow" w:eastAsiaTheme="majorEastAsia" w:hAnsi="Arial Narrow" w:cstheme="majorBidi"/>
                <w:bCs/>
                <w:sz w:val="20"/>
              </w:rPr>
              <w:t>No increase in the maximum quantity or number of units may be authorised.</w:t>
            </w:r>
          </w:p>
        </w:tc>
      </w:tr>
      <w:tr w:rsidR="00A8172B" w:rsidRPr="009742A6" w14:paraId="7199EC6C"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FDC8182" w14:textId="77777777" w:rsidR="00A8172B" w:rsidRPr="009742A6" w:rsidRDefault="00A8172B" w:rsidP="00A8172B">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1D200CDB" w14:textId="69611717" w:rsidR="00A8172B" w:rsidRPr="009742A6" w:rsidRDefault="00A8172B" w:rsidP="00A8172B">
            <w:pPr>
              <w:rPr>
                <w:rFonts w:ascii="Arial Narrow" w:eastAsia="Aptos" w:hAnsi="Arial Narrow"/>
                <w:b/>
                <w:sz w:val="20"/>
                <w:szCs w:val="20"/>
              </w:rPr>
            </w:pPr>
            <w:r w:rsidRPr="009742A6">
              <w:rPr>
                <w:rFonts w:ascii="Arial Narrow" w:eastAsiaTheme="majorEastAsia" w:hAnsi="Arial Narrow" w:cstheme="majorBidi"/>
                <w:bCs/>
                <w:sz w:val="20"/>
              </w:rPr>
              <w:t>No increase in the maximum number of repeats may be authorised.</w:t>
            </w:r>
          </w:p>
        </w:tc>
      </w:tr>
      <w:tr w:rsidR="00A8172B" w:rsidRPr="009742A6" w14:paraId="47DFB31C"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CBFB668" w14:textId="77777777" w:rsidR="00A8172B" w:rsidRPr="009742A6" w:rsidRDefault="00A8172B" w:rsidP="00A8172B">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73B37D6D" w14:textId="71C58094" w:rsidR="00A8172B" w:rsidRPr="009742A6" w:rsidRDefault="00A8172B" w:rsidP="00A8172B">
            <w:pPr>
              <w:rPr>
                <w:rFonts w:ascii="Arial Narrow" w:eastAsia="Aptos" w:hAnsi="Arial Narrow"/>
                <w:b/>
                <w:sz w:val="20"/>
                <w:szCs w:val="20"/>
              </w:rPr>
            </w:pPr>
            <w:r w:rsidRPr="009742A6">
              <w:rPr>
                <w:rFonts w:ascii="Arial Narrow" w:eastAsiaTheme="majorEastAsia" w:hAnsi="Arial Narrow" w:cstheme="majorBidi"/>
                <w:bCs/>
                <w:sz w:val="20"/>
              </w:rPr>
              <w:t>Special Pricing Arrangements apply.</w:t>
            </w:r>
          </w:p>
        </w:tc>
      </w:tr>
      <w:tr w:rsidR="00A8172B" w:rsidRPr="009742A6" w14:paraId="0D6F817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BD88B95" w14:textId="77777777" w:rsidR="00A8172B" w:rsidRPr="009742A6" w:rsidRDefault="00A8172B" w:rsidP="00A8172B">
            <w:pPr>
              <w:keepNext/>
              <w:keepLines/>
              <w:jc w:val="left"/>
              <w:rPr>
                <w:rFonts w:ascii="Arial Narrow" w:eastAsiaTheme="majorEastAsia" w:hAnsi="Arial Narrow" w:cs="Open Sans"/>
                <w:b/>
                <w:sz w:val="20"/>
                <w:bdr w:val="none" w:sz="0" w:space="0" w:color="auto" w:frame="1"/>
              </w:rPr>
            </w:pPr>
          </w:p>
        </w:tc>
      </w:tr>
      <w:tr w:rsidR="00C63E84" w:rsidRPr="009742A6" w14:paraId="1A9FA411"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E1D71B3"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 xml:space="preserve">Indication: </w:t>
            </w:r>
            <w:r w:rsidRPr="009742A6">
              <w:rPr>
                <w:rFonts w:ascii="Arial Narrow" w:hAnsi="Arial Narrow" w:cs="Open Sans"/>
                <w:sz w:val="20"/>
                <w:szCs w:val="20"/>
              </w:rPr>
              <w:t>Primary biliary cholangitis (previously known as Primary biliary cirrhosis)</w:t>
            </w:r>
          </w:p>
        </w:tc>
      </w:tr>
      <w:tr w:rsidR="00C63E84" w:rsidRPr="009742A6" w14:paraId="520E03F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965D0F3" w14:textId="77777777" w:rsidR="00C63E84" w:rsidRPr="009742A6" w:rsidRDefault="00C63E84" w:rsidP="00A20E1C">
            <w:pPr>
              <w:textAlignment w:val="baseline"/>
              <w:rPr>
                <w:rFonts w:ascii="Arial Narrow" w:hAnsi="Arial Narrow" w:cs="Open Sans"/>
                <w:sz w:val="20"/>
                <w:szCs w:val="20"/>
                <w:bdr w:val="none" w:sz="0" w:space="0" w:color="auto" w:frame="1"/>
              </w:rPr>
            </w:pPr>
            <w:r w:rsidRPr="009742A6">
              <w:rPr>
                <w:rFonts w:ascii="Arial Narrow" w:hAnsi="Arial Narrow" w:cs="Open Sans"/>
                <w:b/>
                <w:bCs/>
                <w:sz w:val="20"/>
                <w:szCs w:val="20"/>
                <w:bdr w:val="none" w:sz="0" w:space="0" w:color="auto" w:frame="1"/>
              </w:rPr>
              <w:t>Treatment Phase:</w:t>
            </w:r>
            <w:r w:rsidRPr="009742A6">
              <w:rPr>
                <w:rFonts w:ascii="Arial Narrow" w:hAnsi="Arial Narrow" w:cs="Open Sans"/>
                <w:sz w:val="20"/>
                <w:szCs w:val="20"/>
                <w:bdr w:val="none" w:sz="0" w:space="0" w:color="auto" w:frame="1"/>
              </w:rPr>
              <w:t xml:space="preserve"> Transitioning from non-PBS to PBS subsidised supply - Grandfather arrangements</w:t>
            </w:r>
          </w:p>
        </w:tc>
      </w:tr>
      <w:tr w:rsidR="00C63E84" w:rsidRPr="009742A6" w14:paraId="12744E4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EBC2214" w14:textId="77777777" w:rsidR="00C63E84" w:rsidRPr="009742A6" w:rsidRDefault="00C63E84" w:rsidP="00A20E1C">
            <w:pPr>
              <w:textAlignment w:val="baseline"/>
              <w:rPr>
                <w:rFonts w:ascii="Arial Narrow" w:hAnsi="Arial Narrow" w:cs="Open Sans"/>
                <w:b/>
                <w:bCs/>
                <w:i/>
                <w:iCs/>
                <w:sz w:val="20"/>
                <w:szCs w:val="20"/>
                <w:bdr w:val="none" w:sz="0" w:space="0" w:color="auto" w:frame="1"/>
              </w:rPr>
            </w:pPr>
            <w:r w:rsidRPr="009742A6">
              <w:rPr>
                <w:rFonts w:ascii="Arial Narrow" w:hAnsi="Arial Narrow" w:cs="Open Sans"/>
                <w:b/>
                <w:bCs/>
                <w:i/>
                <w:iCs/>
                <w:sz w:val="20"/>
                <w:szCs w:val="20"/>
                <w:bdr w:val="none" w:sz="0" w:space="0" w:color="auto" w:frame="1"/>
              </w:rPr>
              <w:t>Clinical criteria:</w:t>
            </w:r>
          </w:p>
        </w:tc>
      </w:tr>
      <w:tr w:rsidR="00C63E84" w:rsidRPr="009742A6" w14:paraId="22CE8221"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2ECD5B0" w14:textId="77777777" w:rsidR="00C63E84" w:rsidRPr="009742A6" w:rsidRDefault="00C63E84" w:rsidP="00A20E1C">
            <w:pPr>
              <w:textAlignment w:val="baseline"/>
              <w:rPr>
                <w:rFonts w:ascii="Arial Narrow" w:hAnsi="Arial Narrow" w:cs="Open Sans"/>
                <w:sz w:val="20"/>
                <w:szCs w:val="20"/>
                <w:bdr w:val="none" w:sz="0" w:space="0" w:color="auto" w:frame="1"/>
              </w:rPr>
            </w:pPr>
            <w:r w:rsidRPr="009742A6">
              <w:rPr>
                <w:rFonts w:ascii="Arial Narrow" w:hAnsi="Arial Narrow" w:cs="Open Sans"/>
                <w:sz w:val="20"/>
                <w:szCs w:val="20"/>
                <w:bdr w:val="none" w:sz="0" w:space="0" w:color="auto" w:frame="1"/>
              </w:rPr>
              <w:t>Patient must have received treatment with this drug for this PBS indication prior to [Date]</w:t>
            </w:r>
          </w:p>
        </w:tc>
      </w:tr>
      <w:tr w:rsidR="00C63E84" w:rsidRPr="009742A6" w14:paraId="574BE81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762E083"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Treatment criteria:</w:t>
            </w:r>
          </w:p>
        </w:tc>
      </w:tr>
      <w:tr w:rsidR="00C63E84" w:rsidRPr="009742A6" w14:paraId="0AF1F3C4"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613A6C8"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 xml:space="preserve">Must be treated by a prescriber who is either: (i) a gastroenterologist, (ii) a hepatologist; </w:t>
            </w:r>
          </w:p>
        </w:tc>
      </w:tr>
      <w:tr w:rsidR="00C63E84" w:rsidRPr="009742A6" w14:paraId="3F79E2D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F216703"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3D5DB01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2010D07"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Must be treated by an eligible practitioner type who has consulted at least one of the above mentioned specialist types</w:t>
            </w:r>
          </w:p>
        </w:tc>
      </w:tr>
      <w:tr w:rsidR="00C63E84" w:rsidRPr="009742A6" w14:paraId="06764871"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E39476F"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AND</w:t>
            </w:r>
          </w:p>
        </w:tc>
      </w:tr>
      <w:tr w:rsidR="00C63E84" w:rsidRPr="009742A6" w14:paraId="783F76F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2C5C5BC"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C63E84" w:rsidRPr="009742A6" w14:paraId="5874B243"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5C4C2DF"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 must be undergoing concurrent treatment with ursodeoxycholic acid</w:t>
            </w:r>
          </w:p>
        </w:tc>
      </w:tr>
      <w:tr w:rsidR="00C63E84" w:rsidRPr="009742A6" w14:paraId="42D5DA68"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FE79899"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2F207EA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128A3CC"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 must be undergoing treatment with this drug as monotherapy because combination treatment with ursodeoxycholic acid is not tolerated/contraindicated</w:t>
            </w:r>
          </w:p>
        </w:tc>
      </w:tr>
      <w:tr w:rsidR="00C63E84" w:rsidRPr="009742A6" w14:paraId="43EEB196"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CA8D48C" w14:textId="77777777" w:rsidR="00C63E84" w:rsidRPr="009742A6" w:rsidRDefault="00C63E84" w:rsidP="00A20E1C">
            <w:pPr>
              <w:textAlignment w:val="baseline"/>
              <w:rPr>
                <w:rFonts w:ascii="Arial Narrow" w:hAnsi="Arial Narrow" w:cs="Open Sans"/>
                <w:b/>
                <w:bCs/>
                <w:i/>
                <w:iCs/>
                <w:sz w:val="20"/>
                <w:szCs w:val="20"/>
              </w:rPr>
            </w:pPr>
            <w:r w:rsidRPr="009742A6">
              <w:rPr>
                <w:rFonts w:ascii="Arial Narrow" w:hAnsi="Arial Narrow" w:cs="Open Sans"/>
                <w:b/>
                <w:bCs/>
                <w:i/>
                <w:iCs/>
                <w:sz w:val="20"/>
                <w:szCs w:val="20"/>
              </w:rPr>
              <w:t>AND</w:t>
            </w:r>
          </w:p>
        </w:tc>
      </w:tr>
      <w:tr w:rsidR="00C63E84" w:rsidRPr="009742A6" w14:paraId="5351ED7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71FA035"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Treatment criteria:</w:t>
            </w:r>
          </w:p>
        </w:tc>
      </w:tr>
      <w:tr w:rsidR="00C63E84" w:rsidRPr="009742A6" w14:paraId="636C1738"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910C541"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 must not be undergoing concurrent treatment with either of: (i) obeticholic acid (ii) elafibranor</w:t>
            </w:r>
          </w:p>
        </w:tc>
      </w:tr>
      <w:tr w:rsidR="00C63E84" w:rsidRPr="009742A6" w14:paraId="1EE6D11A"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4C3998F"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AND</w:t>
            </w:r>
          </w:p>
        </w:tc>
      </w:tr>
      <w:tr w:rsidR="00C63E84" w:rsidRPr="009742A6" w14:paraId="03E68289"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7F0973B"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Clinical criteria:</w:t>
            </w:r>
          </w:p>
        </w:tc>
      </w:tr>
      <w:tr w:rsidR="00C63E84" w:rsidRPr="009742A6" w14:paraId="21E0980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D2A7BEA"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C63E84" w:rsidRPr="009742A6" w14:paraId="700F9FE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035EE9C"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07240702"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2753FF9"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 must have experienced an intolerance/contraindication to ursodeoxycholic acid of a severity requiring permanent treatment discontinuation, prior to initiating treatment with this drug</w:t>
            </w:r>
          </w:p>
        </w:tc>
      </w:tr>
      <w:tr w:rsidR="00C63E84" w:rsidRPr="009742A6" w14:paraId="478D5ABB"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C2D7926"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AND</w:t>
            </w:r>
          </w:p>
        </w:tc>
      </w:tr>
      <w:tr w:rsidR="00C63E84" w:rsidRPr="009742A6" w14:paraId="38D612C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4DE8D0E"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Clinical criteria:</w:t>
            </w:r>
          </w:p>
        </w:tc>
      </w:tr>
      <w:tr w:rsidR="00C63E84" w:rsidRPr="009742A6" w14:paraId="3ED307B2"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79A203A"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 xml:space="preserve">Patient must not have </w:t>
            </w:r>
            <w:r w:rsidRPr="009742A6">
              <w:rPr>
                <w:rFonts w:ascii="Arial Narrow" w:hAnsi="Arial Narrow" w:cs="Open Sans"/>
                <w:strike/>
                <w:sz w:val="20"/>
                <w:szCs w:val="20"/>
              </w:rPr>
              <w:t>each of (i)</w:t>
            </w:r>
            <w:r w:rsidRPr="009742A6">
              <w:rPr>
                <w:rFonts w:ascii="Arial Narrow" w:hAnsi="Arial Narrow" w:cs="Open Sans"/>
                <w:sz w:val="20"/>
                <w:szCs w:val="20"/>
              </w:rPr>
              <w:t xml:space="preserve"> severe liver disease</w:t>
            </w:r>
            <w:r w:rsidRPr="009742A6">
              <w:rPr>
                <w:rFonts w:ascii="Arial Narrow" w:hAnsi="Arial Narrow" w:cs="Open Sans"/>
                <w:strike/>
                <w:sz w:val="20"/>
                <w:szCs w:val="20"/>
              </w:rPr>
              <w:t>, (ii) immunocompromised</w:t>
            </w:r>
          </w:p>
        </w:tc>
      </w:tr>
      <w:tr w:rsidR="00C63E84" w:rsidRPr="009742A6" w14:paraId="2BDFDA35"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0DAFB1A"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b/>
                <w:bCs/>
                <w:sz w:val="20"/>
                <w:szCs w:val="20"/>
                <w:bdr w:val="none" w:sz="0" w:space="0" w:color="auto" w:frame="1"/>
              </w:rPr>
              <w:t>AND</w:t>
            </w:r>
          </w:p>
        </w:tc>
      </w:tr>
      <w:tr w:rsidR="00C63E84" w:rsidRPr="009742A6" w14:paraId="5F52AE7E"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5C2DADA"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b/>
                <w:bCs/>
                <w:sz w:val="20"/>
                <w:szCs w:val="20"/>
                <w:bdr w:val="none" w:sz="0" w:space="0" w:color="auto" w:frame="1"/>
              </w:rPr>
              <w:t>Clinical criteria:</w:t>
            </w:r>
          </w:p>
        </w:tc>
      </w:tr>
      <w:tr w:rsidR="00C63E84" w:rsidRPr="009742A6" w14:paraId="6043C06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1FCF4B0"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sz w:val="20"/>
                <w:szCs w:val="20"/>
              </w:rPr>
              <w:t xml:space="preserve">Patient must have had, prior to initiating treatment with this drug, an alkaline phosphatase (ALP) level of at least 1.67 times the upper limit of normal (ULN) having accounted for each of: (i) age, (ii) gender, (iii) laboratory to laboratory variances in the definition of ‘normal’, despite treatment with ursodeoxycholic acid for at least 52 cumulative weeks; </w:t>
            </w:r>
          </w:p>
        </w:tc>
      </w:tr>
      <w:tr w:rsidR="00C63E84" w:rsidRPr="009742A6" w14:paraId="04808AF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2391FAA"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627EA2F3"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5260B14C"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sz w:val="20"/>
                <w:szCs w:val="20"/>
              </w:rPr>
              <w:t xml:space="preserve">Patient must have had, prior to initiating treatment with this drug, a total bilirubin level between 1 to 2 times the ULN, despite treatment with ursodeoxycholic acid for at least 52 cumulative weeks; </w:t>
            </w:r>
          </w:p>
        </w:tc>
      </w:tr>
      <w:tr w:rsidR="00C63E84" w:rsidRPr="009742A6" w14:paraId="7E246A6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2F3E2529" w14:textId="77777777" w:rsidR="00C63E84" w:rsidRPr="009742A6" w:rsidRDefault="00C63E84" w:rsidP="00A20E1C">
            <w:pPr>
              <w:textAlignment w:val="baseline"/>
              <w:rPr>
                <w:rFonts w:ascii="Arial Narrow" w:hAnsi="Arial Narrow" w:cs="Open Sans"/>
                <w:b/>
                <w:i/>
                <w:iCs/>
                <w:sz w:val="20"/>
                <w:szCs w:val="20"/>
              </w:rPr>
            </w:pPr>
            <w:r w:rsidRPr="009742A6">
              <w:rPr>
                <w:rFonts w:ascii="Arial Narrow" w:hAnsi="Arial Narrow" w:cs="Open Sans"/>
                <w:b/>
                <w:i/>
                <w:iCs/>
                <w:sz w:val="20"/>
                <w:szCs w:val="20"/>
              </w:rPr>
              <w:lastRenderedPageBreak/>
              <w:t>OR</w:t>
            </w:r>
          </w:p>
        </w:tc>
      </w:tr>
      <w:tr w:rsidR="00C63E84" w:rsidRPr="009742A6" w14:paraId="3AAAB552"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56133A26"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i/>
                <w:iCs/>
                <w:sz w:val="20"/>
                <w:szCs w:val="20"/>
              </w:rPr>
              <w:t>Patient must have had, prior to initiating treatment with this drug, moderate to severe pruritus despite treatment with ursodeoxycholic acid for at least 52 cumulative weeks;</w:t>
            </w:r>
          </w:p>
        </w:tc>
      </w:tr>
      <w:tr w:rsidR="00C63E84" w:rsidRPr="009742A6" w14:paraId="5232D9E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1FAEBBF"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58B63E02"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03DD37E7" w14:textId="77777777" w:rsidR="00C63E84" w:rsidRPr="009742A6" w:rsidRDefault="00C63E84" w:rsidP="00A20E1C">
            <w:pPr>
              <w:textAlignment w:val="baseline"/>
              <w:rPr>
                <w:rFonts w:ascii="Arial Narrow" w:hAnsi="Arial Narrow" w:cs="Open Sans"/>
                <w:i/>
                <w:iCs/>
                <w:sz w:val="20"/>
                <w:szCs w:val="20"/>
              </w:rPr>
            </w:pPr>
            <w:r w:rsidRPr="009742A6">
              <w:rPr>
                <w:rFonts w:ascii="Arial Narrow" w:hAnsi="Arial Narrow" w:cs="Open Sans"/>
                <w:sz w:val="20"/>
                <w:szCs w:val="20"/>
              </w:rPr>
              <w:t>Patient must have had, prior to initiating treatment with this drug, abnormal readings of at least one of: (i) alkaline phosphatase (ii) total bilirubin, or moderate-to-severe pruritus in the presence of an intolerance/contraindication of a severity requiring treatment discontinuation with ursodeoxycholic acid</w:t>
            </w:r>
          </w:p>
        </w:tc>
      </w:tr>
      <w:tr w:rsidR="00C63E84" w:rsidRPr="009742A6" w14:paraId="56E8AE2B"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275A931"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C63E84" w:rsidRPr="009742A6" w14:paraId="2463C94F"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76E7AA4"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i/>
                <w:iCs/>
                <w:sz w:val="20"/>
                <w:szCs w:val="20"/>
              </w:rPr>
              <w:t xml:space="preserve">Patient must have experienced an intolerance to either of (i) obeticholic acid (ii) elafibrinor, of a severity requiring treatment discontinuation, prior to initiating treatment with this drug; </w:t>
            </w:r>
          </w:p>
        </w:tc>
      </w:tr>
      <w:tr w:rsidR="00C63E84" w:rsidRPr="009742A6" w14:paraId="509B7074"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32EAC79"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rPr>
              <w:t>OR</w:t>
            </w:r>
          </w:p>
        </w:tc>
      </w:tr>
      <w:tr w:rsidR="00C63E84" w:rsidRPr="009742A6" w14:paraId="0D96AEC4"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7635EB74" w14:textId="77777777" w:rsidR="00C63E84" w:rsidRPr="009742A6" w:rsidRDefault="00C63E84" w:rsidP="00A20E1C">
            <w:pPr>
              <w:textAlignment w:val="baseline"/>
              <w:rPr>
                <w:rFonts w:ascii="Arial Narrow" w:hAnsi="Arial Narrow" w:cs="Open Sans"/>
                <w:b/>
                <w:bCs/>
                <w:sz w:val="20"/>
                <w:szCs w:val="20"/>
                <w:bdr w:val="none" w:sz="0" w:space="0" w:color="auto" w:frame="1"/>
              </w:rPr>
            </w:pPr>
            <w:r w:rsidRPr="009742A6">
              <w:rPr>
                <w:rFonts w:ascii="Arial Narrow" w:hAnsi="Arial Narrow"/>
                <w:i/>
                <w:iCs/>
                <w:sz w:val="20"/>
                <w:szCs w:val="20"/>
              </w:rPr>
              <w:t>Patient must have inadequately responded to treatment with (i) obeticholic acid (ii) elafibrinor, prior to initiating treatment with this drug</w:t>
            </w:r>
          </w:p>
        </w:tc>
      </w:tr>
      <w:tr w:rsidR="00C63E84" w:rsidRPr="009742A6" w14:paraId="72649DF3"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8BB3EC9"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Population criteria:</w:t>
            </w:r>
          </w:p>
        </w:tc>
      </w:tr>
      <w:tr w:rsidR="00C63E84" w:rsidRPr="009742A6" w14:paraId="0EAE3C50"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190C79ED"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 must be at least 18 years of age</w:t>
            </w:r>
          </w:p>
        </w:tc>
      </w:tr>
      <w:tr w:rsidR="00C63E84" w:rsidRPr="009742A6" w14:paraId="0829BD0E"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4D4C79EA"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Prescribing Instructions:</w:t>
            </w:r>
          </w:p>
          <w:p w14:paraId="09EDF056"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Document and retain in the patient's medical records the qualifying baseline laboratory reading for the purpose of assessing response to treatment under the 'Continuing treatment' restriction.</w:t>
            </w:r>
          </w:p>
        </w:tc>
      </w:tr>
      <w:tr w:rsidR="00C63E84" w:rsidRPr="009742A6" w14:paraId="62717309" w14:textId="77777777" w:rsidTr="00C616CD">
        <w:tblPrEx>
          <w:tblCellMar>
            <w:top w:w="15" w:type="dxa"/>
            <w:left w:w="15" w:type="dxa"/>
            <w:bottom w:w="15" w:type="dxa"/>
            <w:right w:w="15" w:type="dxa"/>
          </w:tblCellMar>
        </w:tblPrEx>
        <w:tc>
          <w:tcPr>
            <w:tcW w:w="0" w:type="auto"/>
            <w:gridSpan w:val="5"/>
            <w:tcBorders>
              <w:top w:val="single" w:sz="4" w:space="0" w:color="auto"/>
              <w:left w:val="single" w:sz="4" w:space="0" w:color="auto"/>
              <w:bottom w:val="single" w:sz="4" w:space="0" w:color="auto"/>
              <w:right w:val="single" w:sz="4" w:space="0" w:color="auto"/>
            </w:tcBorders>
          </w:tcPr>
          <w:p w14:paraId="44468333" w14:textId="77777777" w:rsidR="00C63E84" w:rsidRPr="009742A6" w:rsidRDefault="00C63E84" w:rsidP="00A20E1C">
            <w:pPr>
              <w:textAlignment w:val="baseline"/>
              <w:rPr>
                <w:rFonts w:ascii="Arial Narrow" w:hAnsi="Arial Narrow" w:cs="Open Sans"/>
                <w:b/>
                <w:bCs/>
                <w:sz w:val="20"/>
                <w:szCs w:val="20"/>
              </w:rPr>
            </w:pPr>
            <w:r w:rsidRPr="009742A6">
              <w:rPr>
                <w:rFonts w:ascii="Arial Narrow" w:hAnsi="Arial Narrow" w:cs="Open Sans"/>
                <w:b/>
                <w:bCs/>
                <w:sz w:val="20"/>
                <w:szCs w:val="20"/>
              </w:rPr>
              <w:t>Prescribing Instructions:</w:t>
            </w:r>
          </w:p>
          <w:p w14:paraId="60240F72"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Moderate-to-severe pruritus is defined moderate or severe pruritus via the pruritus numeric rating scale</w:t>
            </w:r>
          </w:p>
        </w:tc>
      </w:tr>
      <w:tr w:rsidR="00C63E84" w:rsidRPr="009742A6" w14:paraId="41801C4A"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35570C51"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6780566A"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Patients may qualify for PBS-subsidised treatment under this restriction once only. For continuing PBS-subsidised treatment, a 'Grandfathered' patient must qualify under the 'Continuing treatment' criteria.</w:t>
            </w:r>
          </w:p>
        </w:tc>
      </w:tr>
      <w:tr w:rsidR="00C63E84" w:rsidRPr="009742A6" w14:paraId="72A79357"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6ACA1F6B"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67243239" w14:textId="77777777" w:rsidR="00C63E84" w:rsidRPr="009742A6" w:rsidRDefault="00C63E84" w:rsidP="00A20E1C">
            <w:pPr>
              <w:textAlignment w:val="baseline"/>
              <w:rPr>
                <w:rFonts w:ascii="Arial Narrow" w:hAnsi="Arial Narrow" w:cs="Open Sans"/>
                <w:sz w:val="20"/>
                <w:szCs w:val="20"/>
              </w:rPr>
            </w:pPr>
            <w:r w:rsidRPr="009742A6">
              <w:rPr>
                <w:rFonts w:ascii="Arial Narrow" w:hAnsi="Arial Narrow" w:cs="Open Sans"/>
                <w:sz w:val="20"/>
                <w:szCs w:val="20"/>
              </w:rPr>
              <w:t>This grandfather restriction will cease to operate from 12 months after the date specified in the clinical criteria.</w:t>
            </w:r>
          </w:p>
        </w:tc>
      </w:tr>
      <w:tr w:rsidR="00C63E84" w:rsidRPr="009742A6" w14:paraId="5B4E310D" w14:textId="77777777" w:rsidTr="00C616CD">
        <w:tblPrEx>
          <w:tblCellMar>
            <w:top w:w="15" w:type="dxa"/>
            <w:left w:w="15" w:type="dxa"/>
            <w:bottom w:w="15" w:type="dxa"/>
            <w:right w:w="15" w:type="dxa"/>
          </w:tblCellMar>
          <w:tblLook w:val="04A0" w:firstRow="1" w:lastRow="0" w:firstColumn="1" w:lastColumn="0" w:noHBand="0" w:noVBand="1"/>
        </w:tblPrEx>
        <w:tc>
          <w:tcPr>
            <w:tcW w:w="0" w:type="auto"/>
            <w:gridSpan w:val="5"/>
            <w:tcBorders>
              <w:top w:val="single" w:sz="4" w:space="0" w:color="auto"/>
              <w:left w:val="single" w:sz="4" w:space="0" w:color="auto"/>
              <w:bottom w:val="single" w:sz="4" w:space="0" w:color="auto"/>
              <w:right w:val="single" w:sz="4" w:space="0" w:color="auto"/>
            </w:tcBorders>
          </w:tcPr>
          <w:p w14:paraId="21CC5A42" w14:textId="77777777" w:rsidR="00C63E84" w:rsidRPr="009742A6" w:rsidRDefault="00C63E84" w:rsidP="00A20E1C">
            <w:pPr>
              <w:textAlignment w:val="baseline"/>
              <w:rPr>
                <w:rFonts w:ascii="Arial Narrow" w:hAnsi="Arial Narrow" w:cs="Open Sans"/>
                <w:b/>
                <w:bCs/>
                <w:strike/>
                <w:sz w:val="20"/>
                <w:szCs w:val="20"/>
                <w:bdr w:val="none" w:sz="0" w:space="0" w:color="auto" w:frame="1"/>
              </w:rPr>
            </w:pPr>
            <w:r w:rsidRPr="009742A6">
              <w:rPr>
                <w:rFonts w:ascii="Arial Narrow" w:hAnsi="Arial Narrow" w:cs="Open Sans"/>
                <w:b/>
                <w:bCs/>
                <w:strike/>
                <w:sz w:val="20"/>
                <w:szCs w:val="20"/>
                <w:bdr w:val="none" w:sz="0" w:space="0" w:color="auto" w:frame="1"/>
              </w:rPr>
              <w:t>Caution:</w:t>
            </w:r>
          </w:p>
          <w:p w14:paraId="37AF4DF3" w14:textId="77777777" w:rsidR="00C63E84" w:rsidRPr="009742A6" w:rsidRDefault="00C63E84" w:rsidP="00A20E1C">
            <w:pPr>
              <w:textAlignment w:val="baseline"/>
              <w:rPr>
                <w:rFonts w:ascii="Arial Narrow" w:hAnsi="Arial Narrow" w:cs="Open Sans"/>
                <w:strike/>
                <w:sz w:val="20"/>
                <w:szCs w:val="20"/>
                <w:bdr w:val="none" w:sz="0" w:space="0" w:color="auto" w:frame="1"/>
              </w:rPr>
            </w:pPr>
            <w:r w:rsidRPr="009742A6">
              <w:rPr>
                <w:rFonts w:ascii="Arial Narrow" w:hAnsi="Arial Narrow" w:cs="Open Sans"/>
                <w:strike/>
                <w:sz w:val="20"/>
                <w:szCs w:val="20"/>
                <w:bdr w:val="none" w:sz="0" w:space="0" w:color="auto" w:frame="1"/>
              </w:rPr>
              <w:t>Hepatic decompensation and failure, in some cases fatal, have been reported in post-marketing reports in patients with moderate to severe hepatic impairment when doses incorrectly.</w:t>
            </w:r>
          </w:p>
        </w:tc>
      </w:tr>
    </w:tbl>
    <w:p w14:paraId="06C247F8" w14:textId="77777777" w:rsidR="009742A6" w:rsidRPr="009742A6" w:rsidRDefault="009742A6" w:rsidP="009742A6">
      <w:pPr>
        <w:spacing w:before="60" w:after="60"/>
        <w:ind w:left="720"/>
        <w:rPr>
          <w:rFonts w:asciiTheme="minorHAnsi" w:eastAsiaTheme="minorHAnsi" w:hAnsiTheme="minorHAnsi" w:cstheme="minorBidi"/>
          <w:i/>
          <w:iCs/>
          <w:szCs w:val="22"/>
        </w:rPr>
      </w:pPr>
      <w:r w:rsidRPr="009742A6">
        <w:rPr>
          <w:rFonts w:asciiTheme="minorHAnsi" w:eastAsiaTheme="minorHAnsi" w:hAnsiTheme="minorHAnsi" w:cstheme="minorBidi"/>
          <w:i/>
          <w:iCs/>
          <w:szCs w:val="22"/>
        </w:rPr>
        <w:t>For more detail on PBAC’s view, see section 11 PBAC outcome.</w:t>
      </w:r>
    </w:p>
    <w:p w14:paraId="664FBA07" w14:textId="77777777" w:rsidR="009742A6" w:rsidRPr="009742A6" w:rsidRDefault="009742A6" w:rsidP="00F6324B">
      <w:pPr>
        <w:keepNext/>
        <w:numPr>
          <w:ilvl w:val="0"/>
          <w:numId w:val="5"/>
        </w:numPr>
        <w:spacing w:before="240" w:after="120"/>
        <w:jc w:val="left"/>
        <w:outlineLvl w:val="0"/>
        <w:rPr>
          <w:rFonts w:asciiTheme="minorHAnsi" w:hAnsiTheme="minorHAnsi"/>
          <w:b/>
          <w:snapToGrid w:val="0"/>
          <w:sz w:val="32"/>
          <w:szCs w:val="32"/>
        </w:rPr>
      </w:pPr>
      <w:r w:rsidRPr="009742A6">
        <w:rPr>
          <w:rFonts w:asciiTheme="minorHAnsi" w:hAnsiTheme="minorHAnsi"/>
          <w:b/>
          <w:snapToGrid w:val="0"/>
          <w:sz w:val="32"/>
          <w:szCs w:val="32"/>
        </w:rPr>
        <w:t>PBAC Outcome</w:t>
      </w:r>
    </w:p>
    <w:p w14:paraId="1BA07C95" w14:textId="77777777" w:rsidR="009742A6" w:rsidRPr="009742A6" w:rsidRDefault="009742A6" w:rsidP="009D023D">
      <w:pPr>
        <w:pStyle w:val="3-BodyText"/>
      </w:pPr>
      <w:r w:rsidRPr="009742A6">
        <w:rPr>
          <w:snapToGrid w:val="0"/>
        </w:rPr>
        <w:t xml:space="preserve">The </w:t>
      </w:r>
      <w:r w:rsidRPr="009742A6">
        <w:t>PBAC</w:t>
      </w:r>
      <w:r w:rsidRPr="009742A6">
        <w:rPr>
          <w:snapToGrid w:val="0"/>
        </w:rPr>
        <w:t xml:space="preserve"> recommended the listing of seladelpar for the treatment of primary biliary cholangitis (PBC). The PBAC noted that the TGA Delegate was supportive of registering seladelpar for the following indication: </w:t>
      </w:r>
      <w:r w:rsidRPr="009742A6">
        <w:t xml:space="preserve">‘For the treatment of PBC, in adults in combination with ursodeoxycholic acid (UDCA) who have an inadequate response to UDCA alone, or as monotherapy in those unable to tolerate UDCA.’ </w:t>
      </w:r>
    </w:p>
    <w:p w14:paraId="76D81207" w14:textId="77777777" w:rsidR="009742A6" w:rsidRPr="009742A6" w:rsidRDefault="009742A6" w:rsidP="003D6244">
      <w:pPr>
        <w:pStyle w:val="3-BodyText"/>
      </w:pPr>
      <w:r w:rsidRPr="009742A6">
        <w:t>The PBAC considered that the restriction for seladelpar should:</w:t>
      </w:r>
    </w:p>
    <w:p w14:paraId="5A3895B2" w14:textId="77777777" w:rsidR="009742A6" w:rsidRPr="009742A6" w:rsidRDefault="009742A6" w:rsidP="000F0786">
      <w:pPr>
        <w:pStyle w:val="ListParagraph"/>
      </w:pPr>
      <w:r w:rsidRPr="009742A6">
        <w:t>remain as an Authority Required (telephone/online) listing for the initial and grandfather supply, in line with the corresponding listings for obeticholic acid (OCA) and elafibranor. The PBAC considered that an Authority Required (STREAMLINED) listing was appropriate for continuing supply;</w:t>
      </w:r>
    </w:p>
    <w:p w14:paraId="47D3B0F2" w14:textId="77777777" w:rsidR="009742A6" w:rsidRPr="009742A6" w:rsidRDefault="009742A6" w:rsidP="000F0786">
      <w:pPr>
        <w:pStyle w:val="ListParagraph"/>
      </w:pPr>
      <w:r w:rsidRPr="009742A6">
        <w:t xml:space="preserve">remove the criterion in the initial and grandfather supply restrictions that prevents use in immunocompromised patients as these patients are not excluded in the draft TGA Product Information (PI). The PBAC noted that the TGA approved PI for elafibranor also does not exclude use in </w:t>
      </w:r>
      <w:r w:rsidRPr="009742A6">
        <w:lastRenderedPageBreak/>
        <w:t>immunocompromised patients and this change should flow on to the current elafibranor listings.</w:t>
      </w:r>
    </w:p>
    <w:p w14:paraId="1F38013E" w14:textId="77777777" w:rsidR="009742A6" w:rsidRPr="009742A6" w:rsidRDefault="009742A6" w:rsidP="000F0786">
      <w:pPr>
        <w:pStyle w:val="ListParagraph"/>
      </w:pPr>
      <w:r w:rsidRPr="009742A6">
        <w:t>remove the caution that states “Hepatic decompensation and failure, in some cases fatal, have been reported in post-marketing reports in patients with moderate to severe hepatic impairment when dosed incorrectly” as this warning only applies to OCA. The PBAC noted that this change should flow on to the current elafibranor listings.</w:t>
      </w:r>
    </w:p>
    <w:p w14:paraId="42946C62" w14:textId="77777777" w:rsidR="009742A6" w:rsidRPr="009742A6" w:rsidRDefault="009742A6" w:rsidP="000F0786">
      <w:pPr>
        <w:pStyle w:val="ListParagraph"/>
      </w:pPr>
      <w:r w:rsidRPr="009742A6">
        <w:t>not allow patients who have been treated with UDCA for at least 52 weeks and have achieved a biochemical response, but who continue to experience moderate-to-severe pruritus, to access seladelpar as there were no clinical data to support this request.</w:t>
      </w:r>
    </w:p>
    <w:p w14:paraId="530EC2AB" w14:textId="77777777" w:rsidR="009742A6" w:rsidRPr="009742A6" w:rsidRDefault="009742A6" w:rsidP="000F0786">
      <w:pPr>
        <w:pStyle w:val="ListParagraph"/>
      </w:pPr>
      <w:r w:rsidRPr="009742A6">
        <w:t>allow nurse prescribing for continuing supply of seladelpar, which aligned with the restrictions for OCA and elafibranor; and</w:t>
      </w:r>
    </w:p>
    <w:p w14:paraId="784EF681" w14:textId="77777777" w:rsidR="009742A6" w:rsidRPr="009742A6" w:rsidRDefault="009742A6" w:rsidP="000F0786">
      <w:pPr>
        <w:pStyle w:val="ListParagraph"/>
      </w:pPr>
      <w:r w:rsidRPr="009742A6">
        <w:t>allow patients who have experienced an intolerance and/or inadequate response to either OCA or elafibranor to initiate treatment with seladelpar. The PBAC considered that patients should be able to access all three agents and noted that flow on changes would be required to the current OCA and elafibranor listings.</w:t>
      </w:r>
    </w:p>
    <w:p w14:paraId="0853B1A5" w14:textId="77777777" w:rsidR="009742A6" w:rsidRPr="009742A6" w:rsidRDefault="009742A6" w:rsidP="000F0786">
      <w:pPr>
        <w:pStyle w:val="ListParagraph"/>
        <w:rPr>
          <w:lang w:val="en-US"/>
        </w:rPr>
      </w:pPr>
      <w:r w:rsidRPr="009742A6">
        <w:t xml:space="preserve">remove the criterion that the total bilirubin (TB) level for patients should be ‘between 1 to 2 times’ above the ULN. </w:t>
      </w:r>
      <w:r w:rsidRPr="009742A6">
        <w:rPr>
          <w:lang w:val="en-US"/>
        </w:rPr>
        <w:t xml:space="preserve">There were differences between the trials in terms of how ULN was defined with respect to TB and a bilirubin level of greater than 2 times above the ULN should not preclude therapy. </w:t>
      </w:r>
      <w:r w:rsidRPr="009742A6">
        <w:t>The PBAC noted that flow on changes would be required to the current OCA and elafibranor initial/grandfather listings.</w:t>
      </w:r>
    </w:p>
    <w:p w14:paraId="0DD2C74F" w14:textId="3D505AE6" w:rsidR="009742A6" w:rsidRPr="009742A6" w:rsidRDefault="009742A6" w:rsidP="00463B32">
      <w:pPr>
        <w:pStyle w:val="3-BodyText"/>
        <w:rPr>
          <w:i/>
          <w:iCs/>
        </w:rPr>
      </w:pPr>
      <w:r w:rsidRPr="009742A6">
        <w:rPr>
          <w:rFonts w:cs="Calibri"/>
        </w:rPr>
        <w:t xml:space="preserve">The PBAC reiterated its previous consideration that the cost minimisation approach outlined in paragraph </w:t>
      </w:r>
      <w:r w:rsidRPr="009742A6">
        <w:rPr>
          <w:rFonts w:cs="Calibri"/>
        </w:rPr>
        <w:fldChar w:fldCharType="begin"/>
      </w:r>
      <w:r w:rsidRPr="009742A6">
        <w:rPr>
          <w:rFonts w:cs="Calibri"/>
        </w:rPr>
        <w:instrText xml:space="preserve"> REF _Ref216260408 \r \h </w:instrText>
      </w:r>
      <w:r w:rsidRPr="009742A6">
        <w:rPr>
          <w:rFonts w:cs="Calibri"/>
        </w:rPr>
      </w:r>
      <w:r w:rsidRPr="009742A6">
        <w:rPr>
          <w:rFonts w:cs="Calibri"/>
        </w:rPr>
        <w:fldChar w:fldCharType="separate"/>
      </w:r>
      <w:r w:rsidR="00333A5F">
        <w:rPr>
          <w:rFonts w:cs="Calibri"/>
          <w:b/>
          <w:bCs/>
          <w:lang w:val="en-GB"/>
        </w:rPr>
        <w:t>Error! Reference source not found.</w:t>
      </w:r>
      <w:r w:rsidRPr="009742A6">
        <w:rPr>
          <w:rFonts w:cs="Calibri"/>
        </w:rPr>
        <w:fldChar w:fldCharType="end"/>
      </w:r>
      <w:r w:rsidRPr="009742A6">
        <w:rPr>
          <w:rFonts w:cs="Calibri"/>
        </w:rPr>
        <w:t xml:space="preserve"> was reasonable and the financial implications of listing seladelpar on the PBS would be minimal. The PBAC advised that </w:t>
      </w:r>
      <w:r w:rsidRPr="009742A6">
        <w:t xml:space="preserve">seladelpar </w:t>
      </w:r>
      <w:r w:rsidRPr="009742A6">
        <w:rPr>
          <w:bCs/>
        </w:rPr>
        <w:t xml:space="preserve">should be included in the existing risk sharing arrangement for OCA and elafibranor with no increase in expenditure caps (see paragraph </w:t>
      </w:r>
      <w:r w:rsidRPr="009742A6">
        <w:rPr>
          <w:bCs/>
        </w:rPr>
        <w:fldChar w:fldCharType="begin"/>
      </w:r>
      <w:r w:rsidRPr="009742A6">
        <w:rPr>
          <w:bCs/>
        </w:rPr>
        <w:instrText xml:space="preserve"> REF _Ref216260479 \r \h </w:instrText>
      </w:r>
      <w:r w:rsidRPr="009742A6">
        <w:rPr>
          <w:bCs/>
        </w:rPr>
      </w:r>
      <w:r w:rsidRPr="009742A6">
        <w:rPr>
          <w:bCs/>
        </w:rPr>
        <w:fldChar w:fldCharType="separate"/>
      </w:r>
      <w:r w:rsidR="00333A5F">
        <w:rPr>
          <w:b/>
          <w:lang w:val="en-GB"/>
        </w:rPr>
        <w:t>Error! Reference source not found.</w:t>
      </w:r>
      <w:r w:rsidRPr="009742A6">
        <w:rPr>
          <w:bCs/>
        </w:rPr>
        <w:fldChar w:fldCharType="end"/>
      </w:r>
      <w:r w:rsidRPr="009742A6">
        <w:rPr>
          <w:bCs/>
        </w:rPr>
        <w:t xml:space="preserve">). </w:t>
      </w:r>
    </w:p>
    <w:p w14:paraId="6A34D64C" w14:textId="77777777" w:rsidR="009742A6" w:rsidRPr="009742A6" w:rsidRDefault="009742A6" w:rsidP="00187382">
      <w:pPr>
        <w:pStyle w:val="3-BodyText"/>
        <w:rPr>
          <w:bCs/>
          <w:snapToGrid w:val="0"/>
        </w:rPr>
      </w:pPr>
      <w:r w:rsidRPr="009742A6">
        <w:rPr>
          <w:bCs/>
          <w:snapToGrid w:val="0"/>
        </w:rPr>
        <w:t xml:space="preserve">Aligning with OCA and elafibranor, the PBAC advised that continuing supply of </w:t>
      </w:r>
      <w:r w:rsidRPr="009742A6">
        <w:t xml:space="preserve">seladelpar is </w:t>
      </w:r>
      <w:r w:rsidRPr="009742A6">
        <w:rPr>
          <w:bCs/>
          <w:snapToGrid w:val="0"/>
        </w:rPr>
        <w:t>suitable for prescribing by nurse practitioners.</w:t>
      </w:r>
    </w:p>
    <w:p w14:paraId="080E0F15" w14:textId="77777777" w:rsidR="009742A6" w:rsidRPr="009742A6" w:rsidRDefault="009742A6" w:rsidP="006317B0">
      <w:pPr>
        <w:pStyle w:val="3-BodyText"/>
        <w:rPr>
          <w:bCs/>
          <w:snapToGrid w:val="0"/>
        </w:rPr>
      </w:pPr>
      <w:r w:rsidRPr="009742A6">
        <w:rPr>
          <w:rFonts w:cs="Calibri"/>
          <w:lang w:eastAsia="en-GB"/>
        </w:rPr>
        <w:t xml:space="preserve">The PBAC advised that seladelpar should not be exempt from the Early Supply rule. </w:t>
      </w:r>
    </w:p>
    <w:p w14:paraId="1E655A91" w14:textId="77777777" w:rsidR="009742A6" w:rsidRPr="009742A6" w:rsidRDefault="009742A6" w:rsidP="00355F7E">
      <w:pPr>
        <w:pStyle w:val="3-BodyText"/>
        <w:rPr>
          <w:i/>
          <w:iCs/>
        </w:rPr>
      </w:pPr>
      <w:r w:rsidRPr="009742A6">
        <w:t xml:space="preserve">The PBAC noted that its recommendation was on a cost-minimisation basis and advised that, because seladelpar is not expected to provide a substantial and clinically relevant improvement in efficacy over OCA and not expected to address a high and urgent unmet clinical need given the presence of alternative therapies, the criteria prescribed by the </w:t>
      </w:r>
      <w:r w:rsidRPr="009742A6">
        <w:rPr>
          <w:i/>
          <w:iCs/>
        </w:rPr>
        <w:t>National Health (Pharmaceuticals and Vaccines – Cost Recovery) Regulations 2022</w:t>
      </w:r>
      <w:r w:rsidRPr="009742A6">
        <w:t xml:space="preserve"> for Pricing Pathway A were not met</w:t>
      </w:r>
      <w:r w:rsidRPr="009742A6">
        <w:rPr>
          <w:i/>
          <w:iCs/>
        </w:rPr>
        <w:t>.</w:t>
      </w:r>
    </w:p>
    <w:p w14:paraId="31504086" w14:textId="77777777" w:rsidR="009742A6" w:rsidRPr="009742A6" w:rsidRDefault="009742A6" w:rsidP="002257E6">
      <w:pPr>
        <w:pStyle w:val="3-BodyText"/>
      </w:pPr>
      <w:r w:rsidRPr="009742A6">
        <w:lastRenderedPageBreak/>
        <w:t xml:space="preserve">The PBAC recommended that seladelpar should not be treated as interchangeable with any other drugs. </w:t>
      </w:r>
    </w:p>
    <w:p w14:paraId="6EC811F8" w14:textId="77777777" w:rsidR="009742A6" w:rsidRPr="009742A6" w:rsidRDefault="009742A6" w:rsidP="00DA6DB2">
      <w:pPr>
        <w:pStyle w:val="3-BodyText"/>
        <w:rPr>
          <w:bCs/>
          <w:i/>
          <w:snapToGrid w:val="0"/>
        </w:rPr>
      </w:pPr>
      <w:r w:rsidRPr="009742A6">
        <w:rPr>
          <w:bCs/>
          <w:snapToGrid w:val="0"/>
        </w:rPr>
        <w:t>The PBAC noted that this submission is not eligible for an Independent Review as it received a positive PBAC recommendation.</w:t>
      </w:r>
    </w:p>
    <w:p w14:paraId="4AC8AC08" w14:textId="53222225" w:rsidR="009742A6" w:rsidRPr="009742A6" w:rsidRDefault="009742A6" w:rsidP="000F0786">
      <w:pPr>
        <w:pStyle w:val="3-BodyText"/>
        <w:numPr>
          <w:ilvl w:val="0"/>
          <w:numId w:val="0"/>
        </w:numPr>
        <w:ind w:left="720"/>
        <w:rPr>
          <w:bCs/>
          <w:snapToGrid w:val="0"/>
        </w:rPr>
      </w:pPr>
      <w:r w:rsidRPr="000F0786">
        <w:rPr>
          <w:b/>
          <w:bCs/>
          <w:snapToGrid w:val="0"/>
        </w:rPr>
        <w:t>Outcome:</w:t>
      </w:r>
      <w:r w:rsidR="000F0786">
        <w:rPr>
          <w:bCs/>
          <w:snapToGrid w:val="0"/>
        </w:rPr>
        <w:br/>
      </w:r>
      <w:r w:rsidRPr="009742A6">
        <w:rPr>
          <w:bCs/>
          <w:snapToGrid w:val="0"/>
        </w:rPr>
        <w:t>Recommended</w:t>
      </w:r>
    </w:p>
    <w:p w14:paraId="0F7C8ED1" w14:textId="77777777" w:rsidR="009742A6" w:rsidRPr="009742A6" w:rsidRDefault="009742A6" w:rsidP="00F6324B">
      <w:pPr>
        <w:keepNext/>
        <w:numPr>
          <w:ilvl w:val="0"/>
          <w:numId w:val="5"/>
        </w:numPr>
        <w:spacing w:before="240" w:after="120"/>
        <w:jc w:val="left"/>
        <w:outlineLvl w:val="0"/>
        <w:rPr>
          <w:rFonts w:asciiTheme="minorHAnsi" w:hAnsiTheme="minorHAnsi"/>
          <w:b/>
          <w:snapToGrid w:val="0"/>
          <w:sz w:val="32"/>
          <w:szCs w:val="32"/>
        </w:rPr>
      </w:pPr>
      <w:r w:rsidRPr="009742A6">
        <w:rPr>
          <w:rFonts w:asciiTheme="minorHAnsi" w:hAnsiTheme="minorHAnsi"/>
          <w:b/>
          <w:snapToGrid w:val="0"/>
          <w:sz w:val="32"/>
          <w:szCs w:val="32"/>
        </w:rPr>
        <w:t>Recommended listing</w:t>
      </w:r>
    </w:p>
    <w:p w14:paraId="387FAE95" w14:textId="77777777" w:rsidR="009742A6" w:rsidRPr="009742A6" w:rsidRDefault="009742A6" w:rsidP="000F0786">
      <w:pPr>
        <w:pStyle w:val="3-BodyText"/>
      </w:pPr>
      <w:r w:rsidRPr="009742A6">
        <w:t>Add new medicinal product:</w:t>
      </w:r>
    </w:p>
    <w:p w14:paraId="15596EFC" w14:textId="77777777" w:rsidR="009742A6" w:rsidRPr="009742A6" w:rsidRDefault="009742A6" w:rsidP="000F0786">
      <w:pPr>
        <w:pStyle w:val="5-SubsectionSubheading"/>
      </w:pPr>
      <w:r w:rsidRPr="009742A6">
        <w:t>Initial/Grandfather</w:t>
      </w:r>
    </w:p>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797"/>
        <w:gridCol w:w="2694"/>
        <w:gridCol w:w="1079"/>
        <w:gridCol w:w="817"/>
        <w:gridCol w:w="676"/>
        <w:gridCol w:w="676"/>
        <w:gridCol w:w="1826"/>
      </w:tblGrid>
      <w:tr w:rsidR="009742A6" w:rsidRPr="009742A6" w14:paraId="461CB0E9" w14:textId="77777777" w:rsidTr="00FA26BE">
        <w:trPr>
          <w:cantSplit/>
          <w:trHeight w:val="471"/>
        </w:trPr>
        <w:tc>
          <w:tcPr>
            <w:tcW w:w="2193" w:type="pct"/>
            <w:gridSpan w:val="3"/>
          </w:tcPr>
          <w:p w14:paraId="23037FC2"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w:t>
            </w:r>
          </w:p>
          <w:p w14:paraId="5848F085"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 pack</w:t>
            </w:r>
          </w:p>
        </w:tc>
        <w:tc>
          <w:tcPr>
            <w:tcW w:w="597" w:type="pct"/>
          </w:tcPr>
          <w:p w14:paraId="013FFD41"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PBS item code</w:t>
            </w:r>
          </w:p>
        </w:tc>
        <w:tc>
          <w:tcPr>
            <w:tcW w:w="452" w:type="pct"/>
          </w:tcPr>
          <w:p w14:paraId="0EE35F6A"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packs</w:t>
            </w:r>
          </w:p>
        </w:tc>
        <w:tc>
          <w:tcPr>
            <w:tcW w:w="374" w:type="pct"/>
          </w:tcPr>
          <w:p w14:paraId="43D00CD9"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units</w:t>
            </w:r>
          </w:p>
        </w:tc>
        <w:tc>
          <w:tcPr>
            <w:tcW w:w="374" w:type="pct"/>
          </w:tcPr>
          <w:p w14:paraId="1F89ADAC"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 of</w:t>
            </w:r>
          </w:p>
          <w:p w14:paraId="7FD8708E"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Rpts</w:t>
            </w:r>
          </w:p>
        </w:tc>
        <w:tc>
          <w:tcPr>
            <w:tcW w:w="1010" w:type="pct"/>
          </w:tcPr>
          <w:p w14:paraId="2D62E5F5" w14:textId="77777777" w:rsidR="009742A6" w:rsidRPr="009742A6" w:rsidRDefault="009742A6" w:rsidP="009742A6">
            <w:pPr>
              <w:keepNext/>
              <w:rPr>
                <w:rFonts w:ascii="Arial Narrow" w:eastAsia="Aptos" w:hAnsi="Arial Narrow"/>
                <w:b/>
                <w:sz w:val="20"/>
                <w:szCs w:val="20"/>
                <w:lang w:val="fr-FR"/>
              </w:rPr>
            </w:pPr>
            <w:r w:rsidRPr="009742A6">
              <w:rPr>
                <w:rFonts w:ascii="Arial Narrow" w:eastAsia="Aptos" w:hAnsi="Arial Narrow"/>
                <w:b/>
                <w:sz w:val="20"/>
                <w:szCs w:val="20"/>
              </w:rPr>
              <w:t>Available brands</w:t>
            </w:r>
          </w:p>
        </w:tc>
      </w:tr>
      <w:tr w:rsidR="009742A6" w:rsidRPr="009742A6" w14:paraId="1B83BC2E" w14:textId="77777777" w:rsidTr="00FA26BE">
        <w:trPr>
          <w:cantSplit/>
          <w:trHeight w:val="224"/>
        </w:trPr>
        <w:tc>
          <w:tcPr>
            <w:tcW w:w="5000" w:type="pct"/>
            <w:gridSpan w:val="8"/>
          </w:tcPr>
          <w:p w14:paraId="55BBAA5E" w14:textId="77777777" w:rsidR="009742A6" w:rsidRPr="009742A6" w:rsidRDefault="009742A6" w:rsidP="009742A6">
            <w:pPr>
              <w:keepNext/>
              <w:ind w:left="-57"/>
              <w:rPr>
                <w:rFonts w:ascii="Arial Narrow" w:eastAsia="Aptos" w:hAnsi="Arial Narrow"/>
                <w:sz w:val="20"/>
                <w:szCs w:val="20"/>
              </w:rPr>
            </w:pPr>
            <w:r w:rsidRPr="009742A6">
              <w:rPr>
                <w:rFonts w:ascii="Arial Narrow" w:eastAsia="Aptos" w:hAnsi="Arial Narrow"/>
                <w:sz w:val="20"/>
                <w:szCs w:val="20"/>
              </w:rPr>
              <w:t xml:space="preserve"> SELADELPAR</w:t>
            </w:r>
          </w:p>
        </w:tc>
      </w:tr>
      <w:tr w:rsidR="009742A6" w:rsidRPr="009742A6" w14:paraId="237EB7B4" w14:textId="77777777" w:rsidTr="00FA26BE">
        <w:trPr>
          <w:cantSplit/>
          <w:trHeight w:val="70"/>
        </w:trPr>
        <w:tc>
          <w:tcPr>
            <w:tcW w:w="2193" w:type="pct"/>
            <w:gridSpan w:val="3"/>
          </w:tcPr>
          <w:p w14:paraId="27D6F6FF"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seladelpar 10 mg capsule, 30</w:t>
            </w:r>
          </w:p>
        </w:tc>
        <w:tc>
          <w:tcPr>
            <w:tcW w:w="597" w:type="pct"/>
          </w:tcPr>
          <w:p w14:paraId="7CCE56A5"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 xml:space="preserve">NEW </w:t>
            </w:r>
          </w:p>
        </w:tc>
        <w:tc>
          <w:tcPr>
            <w:tcW w:w="452" w:type="pct"/>
          </w:tcPr>
          <w:p w14:paraId="12DEF91F"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1</w:t>
            </w:r>
          </w:p>
        </w:tc>
        <w:tc>
          <w:tcPr>
            <w:tcW w:w="374" w:type="pct"/>
          </w:tcPr>
          <w:p w14:paraId="0F07D36F"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30</w:t>
            </w:r>
          </w:p>
        </w:tc>
        <w:tc>
          <w:tcPr>
            <w:tcW w:w="374" w:type="pct"/>
          </w:tcPr>
          <w:p w14:paraId="3A471381"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5</w:t>
            </w:r>
          </w:p>
        </w:tc>
        <w:tc>
          <w:tcPr>
            <w:tcW w:w="1010" w:type="pct"/>
            <w:vAlign w:val="center"/>
          </w:tcPr>
          <w:p w14:paraId="53C40EF5"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Livdelzi</w:t>
            </w:r>
          </w:p>
        </w:tc>
      </w:tr>
      <w:tr w:rsidR="009742A6" w:rsidRPr="009742A6" w14:paraId="547E15DE" w14:textId="77777777" w:rsidTr="00FA26BE">
        <w:trPr>
          <w:cantSplit/>
          <w:trHeight w:val="347"/>
        </w:trPr>
        <w:tc>
          <w:tcPr>
            <w:tcW w:w="5000" w:type="pct"/>
            <w:gridSpan w:val="8"/>
          </w:tcPr>
          <w:p w14:paraId="4F5A410B" w14:textId="77777777" w:rsidR="009742A6" w:rsidRPr="009742A6" w:rsidRDefault="009742A6" w:rsidP="009742A6">
            <w:pPr>
              <w:keepNext/>
              <w:rPr>
                <w:rFonts w:ascii="Arial Narrow" w:eastAsia="Aptos" w:hAnsi="Arial Narrow"/>
                <w:sz w:val="20"/>
                <w:szCs w:val="20"/>
              </w:rPr>
            </w:pPr>
          </w:p>
        </w:tc>
      </w:tr>
      <w:tr w:rsidR="009742A6" w:rsidRPr="009742A6" w14:paraId="6A38B710" w14:textId="77777777" w:rsidTr="00FA26BE">
        <w:trPr>
          <w:cantSplit/>
          <w:trHeight w:val="70"/>
        </w:trPr>
        <w:tc>
          <w:tcPr>
            <w:tcW w:w="5000" w:type="pct"/>
            <w:gridSpan w:val="8"/>
            <w:tcBorders>
              <w:top w:val="single" w:sz="4" w:space="0" w:color="auto"/>
              <w:left w:val="single" w:sz="4" w:space="0" w:color="auto"/>
              <w:bottom w:val="single" w:sz="4" w:space="0" w:color="auto"/>
              <w:right w:val="single" w:sz="4" w:space="0" w:color="auto"/>
            </w:tcBorders>
          </w:tcPr>
          <w:p w14:paraId="0419BB72"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Restriction Summary [1] / Treatment of Concept: [1A]</w:t>
            </w:r>
          </w:p>
        </w:tc>
      </w:tr>
      <w:tr w:rsidR="009742A6" w:rsidRPr="009742A6" w14:paraId="3035EAC8" w14:textId="77777777" w:rsidTr="00FA26BE">
        <w:tblPrEx>
          <w:tblCellMar>
            <w:top w:w="15" w:type="dxa"/>
            <w:left w:w="15" w:type="dxa"/>
            <w:bottom w:w="15" w:type="dxa"/>
            <w:right w:w="15" w:type="dxa"/>
          </w:tblCellMar>
        </w:tblPrEx>
        <w:trPr>
          <w:trHeight w:val="107"/>
        </w:trPr>
        <w:tc>
          <w:tcPr>
            <w:tcW w:w="703" w:type="pct"/>
            <w:gridSpan w:val="2"/>
            <w:vMerge w:val="restart"/>
            <w:tcBorders>
              <w:top w:val="single" w:sz="4" w:space="0" w:color="auto"/>
              <w:left w:val="single" w:sz="4" w:space="0" w:color="auto"/>
              <w:right w:val="single" w:sz="4" w:space="0" w:color="auto"/>
            </w:tcBorders>
          </w:tcPr>
          <w:p w14:paraId="1CD3D8ED" w14:textId="77777777" w:rsidR="009742A6" w:rsidRPr="009742A6" w:rsidRDefault="009742A6" w:rsidP="009742A6">
            <w:pPr>
              <w:jc w:val="center"/>
              <w:rPr>
                <w:rFonts w:ascii="Arial Narrow" w:eastAsia="Aptos" w:hAnsi="Arial Narrow"/>
                <w:b/>
                <w:sz w:val="20"/>
                <w:szCs w:val="20"/>
              </w:rPr>
            </w:pPr>
            <w:r w:rsidRPr="009742A6">
              <w:rPr>
                <w:rFonts w:ascii="Arial Narrow" w:eastAsia="Aptos" w:hAnsi="Arial Narrow"/>
                <w:b/>
                <w:sz w:val="20"/>
                <w:szCs w:val="20"/>
              </w:rPr>
              <w:t>Concept ID</w:t>
            </w:r>
          </w:p>
          <w:p w14:paraId="0635B619" w14:textId="77777777" w:rsidR="009742A6" w:rsidRPr="009742A6" w:rsidRDefault="009742A6" w:rsidP="009742A6">
            <w:pPr>
              <w:jc w:val="center"/>
              <w:rPr>
                <w:rFonts w:ascii="Arial Narrow" w:eastAsia="Aptos" w:hAnsi="Arial Narrow"/>
                <w:sz w:val="20"/>
                <w:szCs w:val="20"/>
              </w:rPr>
            </w:pPr>
            <w:r w:rsidRPr="009742A6">
              <w:rPr>
                <w:rFonts w:ascii="Arial Narrow" w:eastAsia="Aptos" w:hAnsi="Arial Narrow"/>
                <w:sz w:val="20"/>
                <w:szCs w:val="20"/>
              </w:rPr>
              <w:t>(for internal Dept. use)</w:t>
            </w:r>
          </w:p>
        </w:tc>
        <w:tc>
          <w:tcPr>
            <w:tcW w:w="4297" w:type="pct"/>
            <w:gridSpan w:val="6"/>
            <w:tcBorders>
              <w:top w:val="single" w:sz="4" w:space="0" w:color="auto"/>
              <w:left w:val="single" w:sz="4" w:space="0" w:color="auto"/>
              <w:bottom w:val="single" w:sz="4" w:space="0" w:color="auto"/>
              <w:right w:val="single" w:sz="4" w:space="0" w:color="auto"/>
            </w:tcBorders>
          </w:tcPr>
          <w:p w14:paraId="559780D2" w14:textId="77777777" w:rsidR="009742A6" w:rsidRPr="009742A6" w:rsidRDefault="009742A6"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9742A6" w:rsidRPr="009742A6" w14:paraId="4DAA30F4" w14:textId="77777777" w:rsidTr="00FA26BE">
        <w:tblPrEx>
          <w:tblCellMar>
            <w:top w:w="15" w:type="dxa"/>
            <w:left w:w="15" w:type="dxa"/>
            <w:bottom w:w="15" w:type="dxa"/>
            <w:right w:w="15" w:type="dxa"/>
          </w:tblCellMar>
        </w:tblPrEx>
        <w:trPr>
          <w:trHeight w:val="240"/>
        </w:trPr>
        <w:tc>
          <w:tcPr>
            <w:tcW w:w="703" w:type="pct"/>
            <w:gridSpan w:val="2"/>
            <w:vMerge/>
            <w:tcBorders>
              <w:left w:val="single" w:sz="4" w:space="0" w:color="auto"/>
              <w:right w:val="single" w:sz="4" w:space="0" w:color="auto"/>
            </w:tcBorders>
          </w:tcPr>
          <w:p w14:paraId="1F7CC31D" w14:textId="77777777" w:rsidR="009742A6" w:rsidRPr="009742A6" w:rsidRDefault="009742A6" w:rsidP="009742A6">
            <w:pPr>
              <w:rPr>
                <w:rFonts w:ascii="Arial Narrow" w:eastAsia="Aptos" w:hAnsi="Arial Narrow"/>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055FBD1" w14:textId="77777777" w:rsidR="009742A6" w:rsidRPr="009742A6" w:rsidRDefault="009742A6" w:rsidP="009742A6">
            <w:pPr>
              <w:rPr>
                <w:rFonts w:ascii="Arial Narrow" w:eastAsia="Aptos" w:hAnsi="Arial Narrow"/>
                <w:b/>
                <w:sz w:val="20"/>
                <w:szCs w:val="20"/>
              </w:rPr>
            </w:pPr>
            <w:r w:rsidRPr="009742A6">
              <w:rPr>
                <w:rFonts w:ascii="Arial Narrow" w:eastAsia="Aptos" w:hAnsi="Arial Narrow"/>
                <w:b/>
                <w:sz w:val="20"/>
                <w:szCs w:val="20"/>
              </w:rPr>
              <w:t>Prescriber type:</w:t>
            </w:r>
            <w:r w:rsidRPr="009742A6">
              <w:rPr>
                <w:rFonts w:ascii="Arial Narrow" w:eastAsia="Aptos" w:hAnsi="Arial Narrow"/>
                <w:sz w:val="20"/>
                <w:szCs w:val="20"/>
              </w:rPr>
              <w:t xml:space="preserv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w:t>
            </w:r>
          </w:p>
        </w:tc>
      </w:tr>
      <w:tr w:rsidR="009742A6" w:rsidRPr="009742A6" w14:paraId="409F5049" w14:textId="77777777" w:rsidTr="00FA26BE">
        <w:tblPrEx>
          <w:tblCellMar>
            <w:top w:w="15" w:type="dxa"/>
            <w:left w:w="15" w:type="dxa"/>
            <w:bottom w:w="15" w:type="dxa"/>
            <w:right w:w="15" w:type="dxa"/>
          </w:tblCellMar>
        </w:tblPrEx>
        <w:tc>
          <w:tcPr>
            <w:tcW w:w="703" w:type="pct"/>
            <w:gridSpan w:val="2"/>
            <w:vMerge/>
            <w:tcBorders>
              <w:left w:val="single" w:sz="4" w:space="0" w:color="auto"/>
              <w:right w:val="single" w:sz="4" w:space="0" w:color="auto"/>
            </w:tcBorders>
          </w:tcPr>
          <w:p w14:paraId="1524EB0B" w14:textId="77777777" w:rsidR="009742A6" w:rsidRPr="009742A6" w:rsidRDefault="009742A6" w:rsidP="009742A6">
            <w:pPr>
              <w:rPr>
                <w:rFonts w:ascii="Arial Narrow" w:eastAsia="Aptos" w:hAnsi="Arial Narrow"/>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4459B5C6" w14:textId="77777777" w:rsidR="009742A6" w:rsidRPr="009742A6" w:rsidRDefault="009742A6" w:rsidP="009742A6">
            <w:pPr>
              <w:rPr>
                <w:rFonts w:ascii="Arial Narrow" w:eastAsia="Calibri" w:hAnsi="Arial Narrow"/>
                <w:color w:val="FF00FF"/>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telephone/online</w:t>
            </w:r>
          </w:p>
        </w:tc>
      </w:tr>
      <w:tr w:rsidR="009742A6" w:rsidRPr="009742A6" w14:paraId="326A5681" w14:textId="77777777" w:rsidTr="00FA26BE">
        <w:tblPrEx>
          <w:tblCellMar>
            <w:top w:w="15" w:type="dxa"/>
            <w:left w:w="15" w:type="dxa"/>
            <w:bottom w:w="15" w:type="dxa"/>
            <w:right w:w="15" w:type="dxa"/>
          </w:tblCellMar>
        </w:tblPrEx>
        <w:trPr>
          <w:trHeight w:val="256"/>
        </w:trPr>
        <w:tc>
          <w:tcPr>
            <w:tcW w:w="262" w:type="pct"/>
            <w:vMerge w:val="restart"/>
            <w:tcBorders>
              <w:left w:val="single" w:sz="4" w:space="0" w:color="auto"/>
              <w:right w:val="single" w:sz="4" w:space="0" w:color="auto"/>
            </w:tcBorders>
            <w:textDirection w:val="btLr"/>
          </w:tcPr>
          <w:p w14:paraId="3AD7D4D1" w14:textId="77777777" w:rsidR="009742A6" w:rsidRPr="009742A6" w:rsidRDefault="009742A6" w:rsidP="009742A6">
            <w:pPr>
              <w:ind w:left="113" w:right="113"/>
              <w:jc w:val="center"/>
              <w:rPr>
                <w:rFonts w:ascii="Arial Narrow" w:hAnsi="Arial Narrow"/>
                <w:sz w:val="20"/>
                <w:szCs w:val="20"/>
              </w:rPr>
            </w:pPr>
            <w:r w:rsidRPr="009742A6">
              <w:rPr>
                <w:rFonts w:ascii="Arial Narrow" w:hAnsi="Arial Narrow"/>
                <w:sz w:val="20"/>
                <w:szCs w:val="20"/>
              </w:rPr>
              <w:t>Prescribing rule level</w:t>
            </w:r>
          </w:p>
        </w:tc>
        <w:tc>
          <w:tcPr>
            <w:tcW w:w="441" w:type="pct"/>
            <w:tcBorders>
              <w:left w:val="single" w:sz="4" w:space="0" w:color="auto"/>
              <w:right w:val="single" w:sz="4" w:space="0" w:color="auto"/>
            </w:tcBorders>
          </w:tcPr>
          <w:p w14:paraId="050C16AB" w14:textId="5F84BF6E" w:rsidR="009742A6" w:rsidRPr="009742A6" w:rsidRDefault="009742A6" w:rsidP="009742A6">
            <w:pPr>
              <w:jc w:val="left"/>
              <w:rPr>
                <w:rFonts w:ascii="Arial Narrow" w:eastAsia="Aptos" w:hAnsi="Arial Narrow" w:cs="Open Sans"/>
                <w:color w:val="333333"/>
                <w:sz w:val="20"/>
                <w:szCs w:val="20"/>
              </w:rPr>
            </w:pPr>
          </w:p>
        </w:tc>
        <w:tc>
          <w:tcPr>
            <w:tcW w:w="4297" w:type="pct"/>
            <w:gridSpan w:val="6"/>
            <w:tcBorders>
              <w:top w:val="single" w:sz="4" w:space="0" w:color="auto"/>
              <w:left w:val="single" w:sz="4" w:space="0" w:color="auto"/>
              <w:right w:val="single" w:sz="4" w:space="0" w:color="auto"/>
            </w:tcBorders>
          </w:tcPr>
          <w:p w14:paraId="3BCE4F33"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74C13064" w14:textId="77777777" w:rsidR="009742A6" w:rsidRPr="009742A6" w:rsidRDefault="009742A6" w:rsidP="009742A6">
            <w:pPr>
              <w:jc w:val="left"/>
              <w:rPr>
                <w:rFonts w:ascii="Arial Narrow" w:hAnsi="Arial Narrow" w:cs="Open Sans"/>
                <w:b/>
                <w:bCs/>
                <w:i/>
                <w:iCs/>
                <w:color w:val="333333"/>
                <w:sz w:val="20"/>
                <w:szCs w:val="20"/>
                <w:bdr w:val="none" w:sz="0" w:space="0" w:color="auto" w:frame="1"/>
              </w:rPr>
            </w:pPr>
            <w:r w:rsidRPr="009742A6">
              <w:rPr>
                <w:rFonts w:ascii="Arial Narrow" w:eastAsia="Aptos" w:hAnsi="Arial Narrow" w:cs="Open Sans"/>
                <w:color w:val="333333"/>
                <w:sz w:val="20"/>
                <w:szCs w:val="20"/>
              </w:rPr>
              <w:t>Not for use in the treatment of sclerosing cholangitis</w:t>
            </w:r>
          </w:p>
        </w:tc>
      </w:tr>
      <w:tr w:rsidR="009742A6" w:rsidRPr="009742A6" w14:paraId="5F392FBB" w14:textId="77777777" w:rsidTr="00FA26BE">
        <w:tblPrEx>
          <w:tblCellMar>
            <w:top w:w="15" w:type="dxa"/>
            <w:left w:w="15" w:type="dxa"/>
            <w:bottom w:w="15" w:type="dxa"/>
            <w:right w:w="15" w:type="dxa"/>
          </w:tblCellMar>
        </w:tblPrEx>
        <w:tc>
          <w:tcPr>
            <w:tcW w:w="262" w:type="pct"/>
            <w:vMerge/>
            <w:tcBorders>
              <w:left w:val="single" w:sz="4" w:space="0" w:color="auto"/>
              <w:right w:val="single" w:sz="4" w:space="0" w:color="auto"/>
            </w:tcBorders>
          </w:tcPr>
          <w:p w14:paraId="3485552D"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7A216FAB" w14:textId="02B0BE93" w:rsidR="009742A6" w:rsidRPr="009742A6" w:rsidRDefault="009742A6" w:rsidP="009742A6">
            <w:pPr>
              <w:jc w:val="left"/>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FC5E888"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16769B86"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quantity or number of units may be authorised.</w:t>
            </w:r>
          </w:p>
        </w:tc>
      </w:tr>
      <w:tr w:rsidR="009742A6" w:rsidRPr="009742A6" w14:paraId="1A6D7E6D" w14:textId="77777777" w:rsidTr="00FA26BE">
        <w:tblPrEx>
          <w:tblCellMar>
            <w:top w:w="15" w:type="dxa"/>
            <w:left w:w="15" w:type="dxa"/>
            <w:bottom w:w="15" w:type="dxa"/>
            <w:right w:w="15" w:type="dxa"/>
          </w:tblCellMar>
        </w:tblPrEx>
        <w:tc>
          <w:tcPr>
            <w:tcW w:w="262" w:type="pct"/>
            <w:vMerge/>
            <w:tcBorders>
              <w:left w:val="single" w:sz="4" w:space="0" w:color="auto"/>
              <w:right w:val="single" w:sz="4" w:space="0" w:color="auto"/>
            </w:tcBorders>
          </w:tcPr>
          <w:p w14:paraId="2FE900C9"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18CFEF6C" w14:textId="518BB830" w:rsidR="009742A6" w:rsidRPr="009742A6" w:rsidRDefault="009742A6" w:rsidP="009742A6">
            <w:pPr>
              <w:jc w:val="left"/>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7C20B1E3"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0D553F63"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number of repeats may be authorised.</w:t>
            </w:r>
          </w:p>
        </w:tc>
      </w:tr>
      <w:tr w:rsidR="009742A6" w:rsidRPr="009742A6" w14:paraId="643F790D" w14:textId="77777777" w:rsidTr="00FA26BE">
        <w:tblPrEx>
          <w:tblCellMar>
            <w:top w:w="15" w:type="dxa"/>
            <w:left w:w="15" w:type="dxa"/>
            <w:bottom w:w="15" w:type="dxa"/>
            <w:right w:w="15" w:type="dxa"/>
          </w:tblCellMar>
        </w:tblPrEx>
        <w:tc>
          <w:tcPr>
            <w:tcW w:w="262" w:type="pct"/>
            <w:vMerge/>
            <w:tcBorders>
              <w:left w:val="single" w:sz="4" w:space="0" w:color="auto"/>
              <w:right w:val="single" w:sz="4" w:space="0" w:color="auto"/>
            </w:tcBorders>
          </w:tcPr>
          <w:p w14:paraId="7597DDAE"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5E20645B" w14:textId="7825D869" w:rsidR="009742A6" w:rsidRPr="009742A6" w:rsidRDefault="009742A6" w:rsidP="009742A6">
            <w:pPr>
              <w:jc w:val="left"/>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BB6D28C"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Administrative Advice:</w:t>
            </w:r>
          </w:p>
          <w:p w14:paraId="4FB81661" w14:textId="77777777" w:rsidR="009742A6" w:rsidRPr="009742A6" w:rsidRDefault="009742A6" w:rsidP="009742A6">
            <w:pPr>
              <w:jc w:val="left"/>
              <w:textAlignment w:val="baseline"/>
              <w:rPr>
                <w:rFonts w:ascii="Arial Narrow" w:hAnsi="Arial Narrow" w:cs="Open Sans"/>
                <w:color w:val="333333"/>
                <w:sz w:val="20"/>
                <w:szCs w:val="20"/>
                <w:bdr w:val="none" w:sz="0" w:space="0" w:color="auto" w:frame="1"/>
              </w:rPr>
            </w:pPr>
            <w:r w:rsidRPr="009742A6">
              <w:rPr>
                <w:rFonts w:ascii="Arial Narrow" w:hAnsi="Arial Narrow" w:cs="Open Sans"/>
                <w:color w:val="333333"/>
                <w:sz w:val="20"/>
                <w:szCs w:val="20"/>
                <w:bdr w:val="none" w:sz="0" w:space="0" w:color="auto" w:frame="1"/>
              </w:rPr>
              <w:t>Special Pricing Arrangements apply.</w:t>
            </w:r>
          </w:p>
        </w:tc>
      </w:tr>
      <w:tr w:rsidR="009742A6" w:rsidRPr="009742A6" w14:paraId="35059EDC" w14:textId="77777777" w:rsidTr="00FA26BE">
        <w:tblPrEx>
          <w:tblCellMar>
            <w:top w:w="15" w:type="dxa"/>
            <w:left w:w="15" w:type="dxa"/>
            <w:bottom w:w="15" w:type="dxa"/>
            <w:right w:w="15" w:type="dxa"/>
          </w:tblCellMar>
        </w:tblPrEx>
        <w:tc>
          <w:tcPr>
            <w:tcW w:w="262" w:type="pct"/>
            <w:vMerge/>
            <w:tcBorders>
              <w:left w:val="single" w:sz="4" w:space="0" w:color="auto"/>
              <w:right w:val="single" w:sz="4" w:space="0" w:color="auto"/>
            </w:tcBorders>
          </w:tcPr>
          <w:p w14:paraId="7213E48D"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0033E698" w14:textId="5EEC3638" w:rsidR="009742A6" w:rsidRPr="009742A6" w:rsidRDefault="009742A6" w:rsidP="009742A6">
            <w:pPr>
              <w:jc w:val="left"/>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22201F3"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w:t>
            </w:r>
            <w:r w:rsidRPr="009742A6">
              <w:rPr>
                <w:rFonts w:ascii="Arial Narrow" w:hAnsi="Arial Narrow"/>
                <w:b/>
                <w:bCs/>
                <w:color w:val="333333"/>
                <w:sz w:val="20"/>
                <w:szCs w:val="20"/>
              </w:rPr>
              <w:t>dministrative Advice:</w:t>
            </w:r>
          </w:p>
          <w:p w14:paraId="4DB1B1FA" w14:textId="77777777" w:rsidR="009742A6" w:rsidRPr="009742A6" w:rsidRDefault="009742A6" w:rsidP="009742A6">
            <w:pPr>
              <w:jc w:val="left"/>
              <w:textAlignment w:val="baseline"/>
              <w:rPr>
                <w:rFonts w:ascii="Arial Narrow" w:hAnsi="Arial Narrow" w:cs="Open Sans"/>
                <w:color w:val="333333"/>
                <w:sz w:val="20"/>
                <w:szCs w:val="20"/>
                <w:bdr w:val="none" w:sz="0" w:space="0" w:color="auto" w:frame="1"/>
              </w:rPr>
            </w:pPr>
            <w:r w:rsidRPr="009742A6">
              <w:rPr>
                <w:rFonts w:ascii="Arial Narrow" w:hAnsi="Arial Narrow" w:cs="Open Sans"/>
                <w:color w:val="333333"/>
                <w:sz w:val="20"/>
                <w:szCs w:val="20"/>
                <w:bdr w:val="none" w:sz="0" w:space="0" w:color="auto" w:frame="1"/>
              </w:rPr>
              <w:t>Applications for authorisation under this restriction may be made in real time using the Online PBS Authorities system (see www.servicesaustralia.gov.au/HPOS) or by telephone by contacting Services Australia on 1800 888 333.</w:t>
            </w:r>
          </w:p>
        </w:tc>
      </w:tr>
      <w:tr w:rsidR="009742A6" w:rsidRPr="009742A6" w14:paraId="55855B2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33AC2C00" w14:textId="26E8E8C6"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F20B9D0"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 xml:space="preserve">Indication: </w:t>
            </w:r>
            <w:r w:rsidRPr="009742A6">
              <w:rPr>
                <w:rFonts w:ascii="Arial Narrow" w:hAnsi="Arial Narrow" w:cs="Open Sans"/>
                <w:color w:val="333333"/>
                <w:sz w:val="20"/>
                <w:szCs w:val="20"/>
              </w:rPr>
              <w:t>Primary biliary cholangitis (previously known as Primary biliary cirrhosis)</w:t>
            </w:r>
          </w:p>
        </w:tc>
      </w:tr>
      <w:tr w:rsidR="009742A6" w:rsidRPr="009742A6" w14:paraId="2F91C05F"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78067A92"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2B9934F7" w14:textId="77777777" w:rsidR="009742A6" w:rsidRPr="009742A6" w:rsidRDefault="009742A6" w:rsidP="009742A6">
            <w:pPr>
              <w:textAlignment w:val="baseline"/>
              <w:rPr>
                <w:rFonts w:ascii="Arial Narrow" w:hAnsi="Arial Narrow" w:cs="Open San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Treatment Phase:</w:t>
            </w:r>
            <w:r w:rsidRPr="009742A6">
              <w:rPr>
                <w:rFonts w:ascii="Arial Narrow" w:hAnsi="Arial Narrow" w:cs="Open Sans"/>
                <w:color w:val="333333"/>
                <w:sz w:val="20"/>
                <w:szCs w:val="20"/>
                <w:bdr w:val="none" w:sz="0" w:space="0" w:color="auto" w:frame="1"/>
              </w:rPr>
              <w:t xml:space="preserve"> Initial treatment</w:t>
            </w:r>
          </w:p>
        </w:tc>
      </w:tr>
      <w:tr w:rsidR="009742A6" w:rsidRPr="009742A6" w14:paraId="51D1103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58DD1C9" w14:textId="5036B305"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2CB5B442"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Treatment criteria:</w:t>
            </w:r>
          </w:p>
        </w:tc>
      </w:tr>
      <w:tr w:rsidR="009742A6" w:rsidRPr="009742A6" w14:paraId="75E38D07"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5C679EFD" w14:textId="5D7E9E68"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0E4B32AB"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 xml:space="preserve">Must be treated by a prescriber who is either: (i) a gastroenterologist, (ii) a hepatologist; </w:t>
            </w:r>
          </w:p>
        </w:tc>
      </w:tr>
      <w:tr w:rsidR="009742A6" w:rsidRPr="009742A6" w14:paraId="3641C15C"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35A64D9D"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47FC547B" w14:textId="77777777" w:rsidR="009742A6" w:rsidRPr="009742A6" w:rsidRDefault="009742A6"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9742A6" w:rsidRPr="009742A6" w14:paraId="3C463C01"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13A3B5A0" w14:textId="5D8FE295"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0A7B6E61"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Must be treated by a medical practitioner who has consulted at least one of the above mentioned specialist types</w:t>
            </w:r>
          </w:p>
        </w:tc>
      </w:tr>
      <w:tr w:rsidR="009742A6" w:rsidRPr="009742A6" w14:paraId="54F70A64"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6D78D81D"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007C400"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AND</w:t>
            </w:r>
          </w:p>
        </w:tc>
      </w:tr>
      <w:tr w:rsidR="009742A6" w:rsidRPr="009742A6" w14:paraId="664F0F78"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245688BA" w14:textId="73F4500F"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26C81EB7"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Treatment criteria:</w:t>
            </w:r>
          </w:p>
        </w:tc>
      </w:tr>
      <w:tr w:rsidR="009742A6" w:rsidRPr="009742A6" w14:paraId="1A2A8B24"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2116941" w14:textId="7EB038CB"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70FFA359"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Patient must be undergoing concurrent treatment with ursodeoxycholic acid;</w:t>
            </w:r>
          </w:p>
        </w:tc>
      </w:tr>
      <w:tr w:rsidR="009742A6" w:rsidRPr="009742A6" w14:paraId="0066FD3A"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6D28AD95" w14:textId="77777777" w:rsidR="009742A6" w:rsidRPr="009742A6" w:rsidRDefault="009742A6" w:rsidP="009742A6">
            <w:pPr>
              <w:jc w:val="center"/>
              <w:rPr>
                <w:rFonts w:ascii="Arial Narrow" w:eastAsia="Aptos" w:hAnsi="Arial Narrow" w:cs="Open Sans"/>
                <w:b/>
                <w:bC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4C980E3C" w14:textId="77777777" w:rsidR="009742A6" w:rsidRPr="009742A6" w:rsidRDefault="009742A6"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9742A6" w:rsidRPr="009742A6" w14:paraId="7131705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A0D3CFE" w14:textId="497FD2EF"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8E9821D"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Patient must be undergoing treatment with this drug as monotherapy because treatment with ursodeoxycholic acid is not tolerated/contraindicated</w:t>
            </w:r>
          </w:p>
        </w:tc>
      </w:tr>
      <w:tr w:rsidR="009742A6" w:rsidRPr="009742A6" w14:paraId="30FAE25C"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10AF6DAF"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50F8F58"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9742A6" w:rsidRPr="009742A6" w14:paraId="66F84C11"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23CAB086" w14:textId="47CBF929"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1E2DB00"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Treatment criteria:</w:t>
            </w:r>
          </w:p>
        </w:tc>
      </w:tr>
      <w:tr w:rsidR="009742A6" w:rsidRPr="009742A6" w14:paraId="75ABF1EF"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5E8B0370" w14:textId="772267AB"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60FC2AC"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not be undergoing concurrent treatment with either of: (i) obeticholic acid (ii) elafibrinor</w:t>
            </w:r>
          </w:p>
        </w:tc>
      </w:tr>
      <w:tr w:rsidR="009742A6" w:rsidRPr="009742A6" w14:paraId="3BD999CD"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606D5987" w14:textId="7DEFF9C9"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E108C0C"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32144E78"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25EE2777" w14:textId="7A4E9F28"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C6CB97A"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9742A6" w:rsidRPr="009742A6" w14:paraId="78E19FE0"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50132091" w14:textId="77777777" w:rsidR="009742A6" w:rsidRPr="009742A6" w:rsidRDefault="009742A6" w:rsidP="009742A6">
            <w:pPr>
              <w:jc w:val="center"/>
              <w:rPr>
                <w:rFonts w:ascii="Arial Narrow" w:eastAsia="Aptos" w:hAnsi="Arial Narrow" w:cs="Open Sans"/>
                <w:b/>
                <w:bC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08D545C1" w14:textId="77777777" w:rsidR="009742A6" w:rsidRPr="009742A6" w:rsidRDefault="009742A6"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9742A6" w:rsidRPr="009742A6" w14:paraId="4589A93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2BF5F5F" w14:textId="353CCD93"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02BA70E5"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experienced an intolerance/contraindication to ursodeoxycholic acid of a severity requiring permanent treatment discontinuation, prior to initiating treatment with this drug</w:t>
            </w:r>
          </w:p>
        </w:tc>
      </w:tr>
      <w:tr w:rsidR="009742A6" w:rsidRPr="009742A6" w14:paraId="72E477C1"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4D2D2094"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747A727"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9742A6" w:rsidRPr="009742A6" w14:paraId="576154E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41D3193B" w14:textId="78A7469B"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A7BB87C"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Clinical criteria:</w:t>
            </w:r>
          </w:p>
        </w:tc>
      </w:tr>
      <w:tr w:rsidR="009742A6" w:rsidRPr="009742A6" w14:paraId="044C8BF4"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4C02CBF4" w14:textId="444CB014"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225725A9" w14:textId="77777777" w:rsidR="009742A6" w:rsidRPr="009742A6" w:rsidRDefault="009742A6" w:rsidP="009742A6">
            <w:pPr>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Patient must not have severe liver disease</w:t>
            </w:r>
          </w:p>
        </w:tc>
      </w:tr>
      <w:tr w:rsidR="009742A6" w:rsidRPr="009742A6" w14:paraId="5E02C14C"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7A1D507" w14:textId="77777777"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67628A9"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AND</w:t>
            </w:r>
          </w:p>
        </w:tc>
      </w:tr>
      <w:tr w:rsidR="009742A6" w:rsidRPr="009742A6" w14:paraId="0D44166C"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2ABE5BA6" w14:textId="4D0BCE33"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3CEBD61"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6D9053F8"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81CDB18" w14:textId="58F259AF"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60DE17D"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an alkaline phosphatase (ALP) level of at least 1.67 times the upper limit of normal (ULN) prior to initiating treatment with this drug</w:t>
            </w:r>
            <w:r w:rsidRPr="009742A6">
              <w:rPr>
                <w:rFonts w:ascii="Arial Narrow" w:hAnsi="Arial Narrow" w:cs="Open Sans"/>
                <w:i/>
                <w:iCs/>
                <w:color w:val="333333"/>
                <w:sz w:val="20"/>
                <w:szCs w:val="20"/>
              </w:rPr>
              <w:t xml:space="preserve">, </w:t>
            </w:r>
            <w:r w:rsidRPr="009742A6">
              <w:rPr>
                <w:rFonts w:ascii="Arial Narrow" w:hAnsi="Arial Narrow" w:cs="Open Sans"/>
                <w:color w:val="333333"/>
                <w:sz w:val="20"/>
                <w:szCs w:val="20"/>
              </w:rPr>
              <w:t xml:space="preserve">having accounted for each of: (i) age, (ii) gender, (iii) laboratory to laboratory variances in the definition of ‘normal’, despite treatment with ursodeoxycholic acid for at least 52 cumulative weeks; </w:t>
            </w:r>
          </w:p>
        </w:tc>
      </w:tr>
      <w:tr w:rsidR="009742A6" w:rsidRPr="009742A6" w14:paraId="50DEEB62"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54F24FF2" w14:textId="77777777" w:rsidR="009742A6" w:rsidRPr="009742A6" w:rsidRDefault="009742A6" w:rsidP="009742A6">
            <w:pPr>
              <w:jc w:val="center"/>
              <w:rPr>
                <w:rFonts w:ascii="Arial Narrow" w:eastAsia="Aptos" w:hAnsi="Arial Narrow" w:cs="Open Sans"/>
                <w:b/>
                <w:bC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6EF1E4AE" w14:textId="77777777" w:rsidR="009742A6" w:rsidRPr="009742A6" w:rsidRDefault="009742A6"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9742A6" w:rsidRPr="009742A6" w14:paraId="727D2B6A"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12F8F854" w14:textId="646782A3"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745B6D4D"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a total bilirubin level that is above the ULN prior to initiating treatment with this drug, despite treatment with ursodeoxycholic acid for at least 52 cumulative weeks; </w:t>
            </w:r>
          </w:p>
        </w:tc>
      </w:tr>
      <w:tr w:rsidR="009742A6" w:rsidRPr="009742A6" w14:paraId="4944D38B"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46F778DE" w14:textId="77777777" w:rsidR="009742A6" w:rsidRPr="009742A6" w:rsidRDefault="009742A6" w:rsidP="009742A6">
            <w:pPr>
              <w:jc w:val="center"/>
              <w:rPr>
                <w:rFonts w:ascii="Arial Narrow" w:eastAsia="Aptos" w:hAnsi="Arial Narrow" w:cs="Open Sans"/>
                <w:b/>
                <w:bC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EE4C420" w14:textId="77777777" w:rsidR="009742A6" w:rsidRPr="009742A6" w:rsidRDefault="009742A6" w:rsidP="009742A6">
            <w:pPr>
              <w:textAlignment w:val="baseline"/>
              <w:rPr>
                <w:rFonts w:ascii="Arial Narrow" w:hAnsi="Arial Narrow" w:cs="Open Sans"/>
                <w:b/>
                <w:bCs/>
                <w:color w:val="333333"/>
                <w:sz w:val="20"/>
                <w:szCs w:val="20"/>
              </w:rPr>
            </w:pPr>
            <w:r w:rsidRPr="009742A6">
              <w:rPr>
                <w:rFonts w:ascii="Arial Narrow" w:hAnsi="Arial Narrow" w:cs="Open Sans"/>
                <w:b/>
                <w:bCs/>
                <w:color w:val="333333"/>
                <w:sz w:val="20"/>
                <w:szCs w:val="20"/>
              </w:rPr>
              <w:t>OR</w:t>
            </w:r>
          </w:p>
        </w:tc>
      </w:tr>
      <w:tr w:rsidR="009742A6" w:rsidRPr="009742A6" w14:paraId="5AF2B30E"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7074661E" w14:textId="720B8EEA"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C7E78F2"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have abnormal readings of at least one of: (i) alkaline phosphatase (ii) total bilirubin, in the presence of an intolerance/contraindication of a severity requiring treatment discontinuation with ursodeoxycholic acid</w:t>
            </w:r>
          </w:p>
        </w:tc>
      </w:tr>
      <w:tr w:rsidR="009742A6" w:rsidRPr="009742A6" w14:paraId="1E414913"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2BCC0371" w14:textId="77777777" w:rsidR="009742A6" w:rsidRPr="009742A6" w:rsidRDefault="009742A6" w:rsidP="009742A6">
            <w:pPr>
              <w:jc w:val="center"/>
              <w:rPr>
                <w:rFonts w:ascii="Arial Narrow" w:eastAsia="Aptos" w:hAnsi="Arial Narrow" w:cs="Open Sans"/>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4CACDA58"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2B8D9289" w14:textId="77777777" w:rsidTr="00FA26BE">
        <w:tblPrEx>
          <w:tblCellMar>
            <w:top w:w="15" w:type="dxa"/>
            <w:left w:w="15" w:type="dxa"/>
            <w:bottom w:w="15" w:type="dxa"/>
            <w:right w:w="15" w:type="dxa"/>
          </w:tblCellMar>
        </w:tblPrEx>
        <w:tc>
          <w:tcPr>
            <w:tcW w:w="703" w:type="pct"/>
            <w:gridSpan w:val="2"/>
          </w:tcPr>
          <w:p w14:paraId="499D0EFB" w14:textId="40768FD5" w:rsidR="009742A6" w:rsidRPr="009742A6" w:rsidRDefault="009742A6" w:rsidP="009742A6">
            <w:pPr>
              <w:jc w:val="center"/>
              <w:rPr>
                <w:rFonts w:ascii="Arial Narrow" w:eastAsia="Aptos" w:hAnsi="Arial Narrow" w:cs="Open Sans"/>
                <w:sz w:val="20"/>
                <w:szCs w:val="20"/>
              </w:rPr>
            </w:pPr>
          </w:p>
        </w:tc>
        <w:tc>
          <w:tcPr>
            <w:tcW w:w="4297" w:type="pct"/>
            <w:gridSpan w:val="6"/>
          </w:tcPr>
          <w:p w14:paraId="29548C0D"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sz w:val="20"/>
                <w:szCs w:val="20"/>
              </w:rPr>
              <w:t xml:space="preserve">Patient must have experienced an intolerance to one of (i) obeticholic acid (ii) elafibrinor, of a severity requiring treatment discontinuation, prior to initiating treatment with this drug; </w:t>
            </w:r>
          </w:p>
        </w:tc>
      </w:tr>
      <w:tr w:rsidR="009742A6" w:rsidRPr="009742A6" w14:paraId="40ADEAE0" w14:textId="77777777" w:rsidTr="00FA26BE">
        <w:tblPrEx>
          <w:tblCellMar>
            <w:top w:w="15" w:type="dxa"/>
            <w:left w:w="15" w:type="dxa"/>
            <w:bottom w:w="15" w:type="dxa"/>
            <w:right w:w="15" w:type="dxa"/>
          </w:tblCellMar>
        </w:tblPrEx>
        <w:tc>
          <w:tcPr>
            <w:tcW w:w="703" w:type="pct"/>
            <w:gridSpan w:val="2"/>
          </w:tcPr>
          <w:p w14:paraId="713B5401" w14:textId="77777777" w:rsidR="009742A6" w:rsidRPr="009742A6" w:rsidRDefault="009742A6" w:rsidP="009742A6">
            <w:pPr>
              <w:jc w:val="center"/>
              <w:rPr>
                <w:rFonts w:ascii="Arial Narrow" w:eastAsia="Aptos" w:hAnsi="Arial Narrow" w:cs="Open Sans"/>
                <w:sz w:val="20"/>
                <w:szCs w:val="20"/>
              </w:rPr>
            </w:pPr>
          </w:p>
        </w:tc>
        <w:tc>
          <w:tcPr>
            <w:tcW w:w="4297" w:type="pct"/>
            <w:gridSpan w:val="6"/>
          </w:tcPr>
          <w:p w14:paraId="0C129A16"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01E5212E"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6B1865A5" w14:textId="1F78BCB7" w:rsidR="009742A6" w:rsidRPr="009742A6" w:rsidRDefault="009742A6" w:rsidP="009742A6">
            <w:pPr>
              <w:jc w:val="center"/>
              <w:rPr>
                <w:rFonts w:ascii="Arial Narrow" w:eastAsia="Aptos" w:hAnsi="Arial Narrow" w:cs="Open Sans"/>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220055B7"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sz w:val="20"/>
                <w:szCs w:val="20"/>
              </w:rPr>
              <w:t>Patient must have inadequately responded to treatment with either of (i) obeticholic acid (ii) elafibrinor, prior to initiating treatment with this drug</w:t>
            </w:r>
          </w:p>
        </w:tc>
      </w:tr>
      <w:tr w:rsidR="009742A6" w:rsidRPr="009742A6" w14:paraId="18837695"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4E369111" w14:textId="75EC8641"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E680B3A"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Population criteria:</w:t>
            </w:r>
          </w:p>
        </w:tc>
      </w:tr>
      <w:tr w:rsidR="009742A6" w:rsidRPr="009742A6" w14:paraId="589F20D6"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0668E2B0" w14:textId="0DE75A49"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00CD2207"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Patient must be at least 18 years of age</w:t>
            </w:r>
          </w:p>
        </w:tc>
      </w:tr>
      <w:tr w:rsidR="009742A6" w:rsidRPr="009742A6" w14:paraId="7C15477F"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6BBB97B8" w14:textId="7F7F60EE" w:rsidR="009742A6" w:rsidRPr="009742A6" w:rsidRDefault="009742A6" w:rsidP="009742A6">
            <w:pPr>
              <w:jc w:val="center"/>
              <w:rPr>
                <w:rFonts w:ascii="Arial Narrow" w:eastAsia="Aptos" w:hAnsi="Arial Narrow" w:cs="Open Sans"/>
                <w:color w:val="333333"/>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16B85B51"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Prescribing Instructions:</w:t>
            </w:r>
          </w:p>
          <w:p w14:paraId="3993F470" w14:textId="77777777" w:rsidR="009742A6" w:rsidRPr="009742A6" w:rsidRDefault="009742A6" w:rsidP="009742A6">
            <w:pPr>
              <w:textAlignment w:val="baseline"/>
              <w:rPr>
                <w:rFonts w:ascii="Arial Narrow" w:hAnsi="Arial Narrow" w:cs="Open Sans"/>
                <w:color w:val="333333"/>
                <w:sz w:val="20"/>
                <w:szCs w:val="20"/>
              </w:rPr>
            </w:pPr>
            <w:r w:rsidRPr="009742A6">
              <w:rPr>
                <w:rFonts w:ascii="Arial Narrow" w:hAnsi="Arial Narrow" w:cs="Open Sans"/>
                <w:color w:val="333333"/>
                <w:sz w:val="20"/>
                <w:szCs w:val="20"/>
              </w:rPr>
              <w:t>Document and retain in the patient's medical records the qualifying baseline laboratory reading for the purpose of assessing response to treatment under the 'Continuing treatment' restriction.</w:t>
            </w:r>
          </w:p>
        </w:tc>
      </w:tr>
      <w:tr w:rsidR="009742A6" w:rsidRPr="009742A6" w14:paraId="7DE48D99" w14:textId="77777777" w:rsidTr="00FA26BE">
        <w:tblPrEx>
          <w:tblCellMar>
            <w:top w:w="15" w:type="dxa"/>
            <w:left w:w="15" w:type="dxa"/>
            <w:bottom w:w="15" w:type="dxa"/>
            <w:right w:w="15" w:type="dxa"/>
          </w:tblCellMar>
        </w:tblPrEx>
        <w:tc>
          <w:tcPr>
            <w:tcW w:w="703" w:type="pct"/>
            <w:gridSpan w:val="2"/>
            <w:tcBorders>
              <w:left w:val="single" w:sz="4" w:space="0" w:color="auto"/>
              <w:right w:val="single" w:sz="4" w:space="0" w:color="auto"/>
            </w:tcBorders>
          </w:tcPr>
          <w:p w14:paraId="5764D908" w14:textId="54B6966D" w:rsidR="009742A6" w:rsidRPr="009742A6" w:rsidRDefault="009742A6" w:rsidP="009742A6">
            <w:pPr>
              <w:jc w:val="center"/>
              <w:rPr>
                <w:rFonts w:ascii="Arial Narrow" w:eastAsia="Aptos" w:hAnsi="Arial Narrow" w:cs="Open Sans"/>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52E6F886"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01D906BF"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Laboratory readings requested in this authority application must be no older than 52 weeks, prior to starting either of (i) obeticholic acid (ii) elafibranor (iii) seladelpar, whichever is used first.</w:t>
            </w:r>
          </w:p>
        </w:tc>
      </w:tr>
      <w:tr w:rsidR="009742A6" w:rsidRPr="009742A6" w14:paraId="12064BE3" w14:textId="77777777" w:rsidTr="00FA26BE">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right w:val="single" w:sz="4" w:space="0" w:color="auto"/>
            </w:tcBorders>
          </w:tcPr>
          <w:p w14:paraId="441919F9" w14:textId="77777777" w:rsidR="009742A6" w:rsidRPr="009742A6" w:rsidRDefault="009742A6" w:rsidP="009742A6">
            <w:pPr>
              <w:textAlignment w:val="baseline"/>
              <w:rPr>
                <w:rFonts w:ascii="Arial Narrow" w:hAnsi="Arial Narrow" w:cs="Open Sans"/>
                <w:b/>
                <w:bCs/>
                <w:sz w:val="20"/>
                <w:szCs w:val="20"/>
                <w:bdr w:val="none" w:sz="0" w:space="0" w:color="auto" w:frame="1"/>
              </w:rPr>
            </w:pPr>
          </w:p>
        </w:tc>
      </w:tr>
      <w:tr w:rsidR="009742A6" w:rsidRPr="009742A6" w14:paraId="2D60D92E" w14:textId="77777777" w:rsidTr="00FA26B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tcPr>
          <w:p w14:paraId="169A028F" w14:textId="77777777" w:rsidR="009742A6" w:rsidRPr="009742A6" w:rsidRDefault="009742A6" w:rsidP="009742A6">
            <w:pPr>
              <w:spacing w:before="100" w:beforeAutospacing="1"/>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Restriction Summary [2] / Treatment of Concept: [2A]</w:t>
            </w:r>
          </w:p>
        </w:tc>
      </w:tr>
      <w:tr w:rsidR="009742A6" w:rsidRPr="009742A6" w14:paraId="39F9F07D" w14:textId="77777777" w:rsidTr="00FA26BE">
        <w:tblPrEx>
          <w:tblCellMar>
            <w:top w:w="15" w:type="dxa"/>
            <w:left w:w="15" w:type="dxa"/>
            <w:bottom w:w="15" w:type="dxa"/>
            <w:right w:w="15" w:type="dxa"/>
          </w:tblCellMar>
          <w:tblLook w:val="04A0" w:firstRow="1" w:lastRow="0" w:firstColumn="1" w:lastColumn="0" w:noHBand="0" w:noVBand="1"/>
        </w:tblPrEx>
        <w:trPr>
          <w:trHeight w:val="167"/>
        </w:trPr>
        <w:tc>
          <w:tcPr>
            <w:tcW w:w="703" w:type="pct"/>
            <w:gridSpan w:val="2"/>
            <w:vMerge w:val="restart"/>
            <w:tcBorders>
              <w:top w:val="single" w:sz="4" w:space="0" w:color="auto"/>
              <w:left w:val="single" w:sz="4" w:space="0" w:color="auto"/>
              <w:right w:val="single" w:sz="4" w:space="0" w:color="auto"/>
            </w:tcBorders>
          </w:tcPr>
          <w:p w14:paraId="77787A25" w14:textId="77777777" w:rsidR="009742A6" w:rsidRPr="009742A6" w:rsidRDefault="009742A6" w:rsidP="009742A6">
            <w:pPr>
              <w:jc w:val="center"/>
              <w:rPr>
                <w:rFonts w:ascii="Arial Narrow" w:eastAsia="Aptos" w:hAnsi="Arial Narrow"/>
                <w:b/>
                <w:sz w:val="20"/>
                <w:szCs w:val="20"/>
              </w:rPr>
            </w:pPr>
            <w:r w:rsidRPr="009742A6">
              <w:rPr>
                <w:rFonts w:ascii="Arial Narrow" w:eastAsia="Aptos" w:hAnsi="Arial Narrow"/>
                <w:b/>
                <w:sz w:val="20"/>
                <w:szCs w:val="20"/>
              </w:rPr>
              <w:t>Concept ID</w:t>
            </w:r>
          </w:p>
          <w:p w14:paraId="63F2E5BC" w14:textId="77777777" w:rsidR="009742A6" w:rsidRPr="009742A6" w:rsidRDefault="009742A6" w:rsidP="009742A6">
            <w:pPr>
              <w:jc w:val="center"/>
              <w:rPr>
                <w:rFonts w:ascii="Arial Narrow" w:eastAsia="Aptos" w:hAnsi="Arial Narrow"/>
                <w:sz w:val="20"/>
                <w:szCs w:val="20"/>
              </w:rPr>
            </w:pPr>
            <w:r w:rsidRPr="009742A6">
              <w:rPr>
                <w:rFonts w:ascii="Arial Narrow" w:eastAsia="Aptos" w:hAnsi="Arial Narrow"/>
                <w:sz w:val="20"/>
                <w:szCs w:val="20"/>
              </w:rPr>
              <w:t>(for internal Dept. use)</w:t>
            </w:r>
          </w:p>
        </w:tc>
        <w:tc>
          <w:tcPr>
            <w:tcW w:w="4297" w:type="pct"/>
            <w:gridSpan w:val="6"/>
            <w:tcBorders>
              <w:top w:val="single" w:sz="4" w:space="0" w:color="auto"/>
              <w:left w:val="single" w:sz="4" w:space="0" w:color="auto"/>
              <w:bottom w:val="single" w:sz="4" w:space="0" w:color="auto"/>
              <w:right w:val="single" w:sz="4" w:space="0" w:color="auto"/>
            </w:tcBorders>
          </w:tcPr>
          <w:p w14:paraId="786446B8" w14:textId="77777777" w:rsidR="009742A6" w:rsidRPr="009742A6" w:rsidRDefault="009742A6"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9742A6" w:rsidRPr="009742A6" w14:paraId="397037CE" w14:textId="77777777" w:rsidTr="00FA26BE">
        <w:tblPrEx>
          <w:tblCellMar>
            <w:top w:w="15" w:type="dxa"/>
            <w:left w:w="15" w:type="dxa"/>
            <w:bottom w:w="15" w:type="dxa"/>
            <w:right w:w="15" w:type="dxa"/>
          </w:tblCellMar>
          <w:tblLook w:val="04A0" w:firstRow="1" w:lastRow="0" w:firstColumn="1" w:lastColumn="0" w:noHBand="0" w:noVBand="1"/>
        </w:tblPrEx>
        <w:trPr>
          <w:trHeight w:val="240"/>
        </w:trPr>
        <w:tc>
          <w:tcPr>
            <w:tcW w:w="703" w:type="pct"/>
            <w:gridSpan w:val="2"/>
            <w:vMerge/>
            <w:tcBorders>
              <w:left w:val="single" w:sz="4" w:space="0" w:color="auto"/>
              <w:right w:val="single" w:sz="4" w:space="0" w:color="auto"/>
            </w:tcBorders>
          </w:tcPr>
          <w:p w14:paraId="448BB7C3" w14:textId="77777777" w:rsidR="009742A6" w:rsidRPr="009742A6" w:rsidRDefault="009742A6" w:rsidP="009742A6">
            <w:pPr>
              <w:rPr>
                <w:rFonts w:ascii="Arial Narrow" w:eastAsia="Aptos" w:hAnsi="Arial Narrow"/>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3F159133" w14:textId="77777777" w:rsidR="009742A6" w:rsidRPr="009742A6" w:rsidRDefault="009742A6" w:rsidP="009742A6">
            <w:pPr>
              <w:rPr>
                <w:rFonts w:ascii="Arial Narrow" w:eastAsia="Aptos" w:hAnsi="Arial Narrow"/>
                <w:b/>
                <w:sz w:val="20"/>
                <w:szCs w:val="20"/>
              </w:rPr>
            </w:pPr>
            <w:r w:rsidRPr="009742A6">
              <w:rPr>
                <w:rFonts w:ascii="Arial Narrow" w:eastAsia="Aptos" w:hAnsi="Arial Narrow"/>
                <w:b/>
                <w:sz w:val="20"/>
                <w:szCs w:val="20"/>
              </w:rPr>
              <w:t xml:space="preserve">Prescriber type: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 </w:t>
            </w:r>
            <w:r w:rsidRPr="009742A6">
              <w:rPr>
                <w:rFonts w:ascii="Arial Narrow" w:hAnsi="Arial Narrow"/>
                <w:i/>
                <w:iCs/>
                <w:sz w:val="20"/>
                <w:szCs w:val="20"/>
              </w:rPr>
              <w:fldChar w:fldCharType="begin">
                <w:ffData>
                  <w:name w:val=""/>
                  <w:enabled/>
                  <w:calcOnExit w:val="0"/>
                  <w:checkBox>
                    <w:sizeAuto/>
                    <w:default w:val="1"/>
                  </w:checkBox>
                </w:ffData>
              </w:fldChar>
            </w:r>
            <w:r w:rsidRPr="009742A6">
              <w:rPr>
                <w:rFonts w:ascii="Arial Narrow" w:hAnsi="Arial Narrow"/>
                <w:i/>
                <w:iCs/>
                <w:sz w:val="20"/>
                <w:szCs w:val="20"/>
              </w:rPr>
              <w:instrText xml:space="preserve"> FORMCHECKBOX </w:instrText>
            </w:r>
            <w:r w:rsidRPr="009742A6">
              <w:rPr>
                <w:rFonts w:ascii="Arial Narrow" w:hAnsi="Arial Narrow"/>
                <w:i/>
                <w:iCs/>
                <w:sz w:val="20"/>
                <w:szCs w:val="20"/>
              </w:rPr>
            </w:r>
            <w:r w:rsidRPr="009742A6">
              <w:rPr>
                <w:rFonts w:ascii="Arial Narrow" w:hAnsi="Arial Narrow"/>
                <w:i/>
                <w:iCs/>
                <w:sz w:val="20"/>
                <w:szCs w:val="20"/>
              </w:rPr>
              <w:fldChar w:fldCharType="separate"/>
            </w:r>
            <w:r w:rsidRPr="009742A6">
              <w:rPr>
                <w:rFonts w:ascii="Arial Narrow" w:hAnsi="Arial Narrow"/>
                <w:i/>
                <w:iCs/>
                <w:sz w:val="20"/>
                <w:szCs w:val="20"/>
              </w:rPr>
              <w:fldChar w:fldCharType="end"/>
            </w:r>
            <w:r w:rsidRPr="009742A6">
              <w:rPr>
                <w:rFonts w:ascii="Arial Narrow" w:hAnsi="Arial Narrow"/>
                <w:i/>
                <w:iCs/>
                <w:sz w:val="20"/>
                <w:szCs w:val="20"/>
              </w:rPr>
              <w:t xml:space="preserve"> </w:t>
            </w:r>
            <w:r w:rsidRPr="009742A6">
              <w:rPr>
                <w:rFonts w:ascii="Arial Narrow" w:hAnsi="Arial Narrow"/>
                <w:sz w:val="20"/>
                <w:szCs w:val="20"/>
              </w:rPr>
              <w:t>Nurse Practitioners</w:t>
            </w:r>
          </w:p>
        </w:tc>
      </w:tr>
      <w:tr w:rsidR="009742A6" w:rsidRPr="009742A6" w14:paraId="61358618" w14:textId="77777777" w:rsidTr="00FA26BE">
        <w:tblPrEx>
          <w:tblCellMar>
            <w:top w:w="15" w:type="dxa"/>
            <w:left w:w="15" w:type="dxa"/>
            <w:bottom w:w="15" w:type="dxa"/>
            <w:right w:w="15" w:type="dxa"/>
          </w:tblCellMar>
          <w:tblLook w:val="04A0" w:firstRow="1" w:lastRow="0" w:firstColumn="1" w:lastColumn="0" w:noHBand="0" w:noVBand="1"/>
        </w:tblPrEx>
        <w:tc>
          <w:tcPr>
            <w:tcW w:w="703" w:type="pct"/>
            <w:gridSpan w:val="2"/>
            <w:vMerge/>
            <w:tcBorders>
              <w:left w:val="single" w:sz="4" w:space="0" w:color="auto"/>
              <w:right w:val="single" w:sz="4" w:space="0" w:color="auto"/>
            </w:tcBorders>
          </w:tcPr>
          <w:p w14:paraId="2119B15B" w14:textId="77777777" w:rsidR="009742A6" w:rsidRPr="009742A6" w:rsidRDefault="009742A6" w:rsidP="009742A6">
            <w:pPr>
              <w:rPr>
                <w:rFonts w:ascii="Arial Narrow" w:eastAsia="Aptos" w:hAnsi="Arial Narrow"/>
                <w:sz w:val="20"/>
                <w:szCs w:val="20"/>
              </w:rPr>
            </w:pPr>
          </w:p>
        </w:tc>
        <w:tc>
          <w:tcPr>
            <w:tcW w:w="4297" w:type="pct"/>
            <w:gridSpan w:val="6"/>
            <w:tcBorders>
              <w:top w:val="single" w:sz="4" w:space="0" w:color="auto"/>
              <w:left w:val="single" w:sz="4" w:space="0" w:color="auto"/>
              <w:bottom w:val="single" w:sz="4" w:space="0" w:color="auto"/>
              <w:right w:val="single" w:sz="4" w:space="0" w:color="auto"/>
            </w:tcBorders>
          </w:tcPr>
          <w:p w14:paraId="71B5A987" w14:textId="77777777" w:rsidR="009742A6" w:rsidRPr="009742A6" w:rsidRDefault="009742A6" w:rsidP="009742A6">
            <w:pPr>
              <w:rPr>
                <w:rFonts w:ascii="Arial Narrow" w:eastAsia="Calibri" w:hAnsi="Arial Narrow"/>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telephone/online</w:t>
            </w:r>
          </w:p>
        </w:tc>
      </w:tr>
    </w:tbl>
    <w:tbl>
      <w:tblPr>
        <w:tblStyle w:val="TableGrid"/>
        <w:tblW w:w="5000" w:type="pct"/>
        <w:tblInd w:w="-5" w:type="dxa"/>
        <w:tblLayout w:type="fixed"/>
        <w:tblLook w:val="0000" w:firstRow="0" w:lastRow="0" w:firstColumn="0" w:lastColumn="0" w:noHBand="0" w:noVBand="0"/>
      </w:tblPr>
      <w:tblGrid>
        <w:gridCol w:w="360"/>
        <w:gridCol w:w="720"/>
        <w:gridCol w:w="7937"/>
      </w:tblGrid>
      <w:tr w:rsidR="009742A6" w:rsidRPr="009742A6" w14:paraId="015A0BB9" w14:textId="77777777" w:rsidTr="00FA26BE">
        <w:trPr>
          <w:trHeight w:val="393"/>
        </w:trPr>
        <w:tc>
          <w:tcPr>
            <w:tcW w:w="360" w:type="dxa"/>
            <w:vMerge w:val="restart"/>
            <w:textDirection w:val="btLr"/>
          </w:tcPr>
          <w:p w14:paraId="5D662FD7" w14:textId="77777777" w:rsidR="009742A6" w:rsidRPr="009742A6" w:rsidRDefault="009742A6" w:rsidP="009742A6">
            <w:pPr>
              <w:keepNext/>
              <w:keepLines/>
              <w:jc w:val="center"/>
              <w:rPr>
                <w:rFonts w:ascii="Arial Narrow" w:eastAsiaTheme="majorEastAsia" w:hAnsi="Arial Narrow" w:cstheme="majorBidi"/>
                <w:bCs/>
                <w:sz w:val="20"/>
              </w:rPr>
            </w:pPr>
            <w:r w:rsidRPr="009742A6">
              <w:rPr>
                <w:rFonts w:ascii="Arial Narrow" w:eastAsiaTheme="majorEastAsia" w:hAnsi="Arial Narrow" w:cstheme="majorBidi"/>
                <w:bCs/>
                <w:sz w:val="20"/>
              </w:rPr>
              <w:t>Prescribing rule level</w:t>
            </w:r>
          </w:p>
        </w:tc>
        <w:tc>
          <w:tcPr>
            <w:tcW w:w="720" w:type="dxa"/>
          </w:tcPr>
          <w:p w14:paraId="3446453D" w14:textId="7BB5B91F" w:rsidR="009742A6" w:rsidRPr="009742A6" w:rsidRDefault="009742A6" w:rsidP="009742A6">
            <w:pPr>
              <w:keepNext/>
              <w:keepLines/>
              <w:jc w:val="left"/>
              <w:rPr>
                <w:rFonts w:ascii="Arial Narrow" w:eastAsiaTheme="majorEastAsia" w:hAnsi="Arial Narrow" w:cstheme="majorBidi"/>
                <w:bCs/>
                <w:i/>
                <w:iCs/>
                <w:sz w:val="20"/>
              </w:rPr>
            </w:pPr>
          </w:p>
        </w:tc>
        <w:tc>
          <w:tcPr>
            <w:tcW w:w="7937" w:type="dxa"/>
          </w:tcPr>
          <w:p w14:paraId="06DB11DA" w14:textId="77777777" w:rsidR="009742A6" w:rsidRPr="009742A6" w:rsidRDefault="009742A6" w:rsidP="009742A6">
            <w:pPr>
              <w:keepNext/>
              <w:keepLines/>
              <w:jc w:val="left"/>
              <w:rPr>
                <w:rFonts w:ascii="Arial Narrow" w:eastAsiaTheme="majorEastAsia" w:hAnsi="Arial Narrow" w:cstheme="majorBidi"/>
                <w:b/>
                <w:bCs/>
                <w:i/>
                <w:iCs/>
                <w:sz w:val="20"/>
                <w:bdr w:val="none" w:sz="0" w:space="0" w:color="auto" w:frame="1"/>
              </w:rPr>
            </w:pPr>
            <w:r w:rsidRPr="009742A6">
              <w:rPr>
                <w:rFonts w:ascii="Arial Narrow" w:eastAsiaTheme="majorEastAsia" w:hAnsi="Arial Narrow" w:cs="Open Sans"/>
                <w:b/>
                <w:sz w:val="20"/>
                <w:bdr w:val="none" w:sz="0" w:space="0" w:color="auto" w:frame="1"/>
              </w:rPr>
              <w:t>Administrative Advice:</w:t>
            </w:r>
          </w:p>
          <w:p w14:paraId="1D487FC3" w14:textId="77777777" w:rsidR="009742A6" w:rsidRPr="009742A6" w:rsidRDefault="009742A6" w:rsidP="009742A6">
            <w:pPr>
              <w:keepNext/>
              <w:keepLines/>
              <w:jc w:val="left"/>
              <w:rPr>
                <w:rFonts w:ascii="Arial Narrow" w:eastAsiaTheme="majorEastAsia" w:hAnsi="Arial Narrow" w:cs="Open Sans"/>
                <w:b/>
                <w:i/>
                <w:iCs/>
                <w:sz w:val="20"/>
                <w:bdr w:val="none" w:sz="0" w:space="0" w:color="auto" w:frame="1"/>
              </w:rPr>
            </w:pPr>
            <w:r w:rsidRPr="009742A6">
              <w:rPr>
                <w:rFonts w:ascii="Arial Narrow" w:eastAsiaTheme="majorEastAsia" w:hAnsi="Arial Narrow" w:cstheme="majorBidi"/>
                <w:bCs/>
                <w:sz w:val="20"/>
              </w:rPr>
              <w:t xml:space="preserve">Not for use in the treatment of sclerosing cholangitis </w:t>
            </w:r>
          </w:p>
        </w:tc>
      </w:tr>
      <w:tr w:rsidR="009742A6" w:rsidRPr="009742A6" w14:paraId="6675DF2B" w14:textId="77777777" w:rsidTr="00FA26BE">
        <w:trPr>
          <w:trHeight w:val="20"/>
        </w:trPr>
        <w:tc>
          <w:tcPr>
            <w:tcW w:w="360" w:type="dxa"/>
            <w:vMerge/>
            <w:textDirection w:val="btLr"/>
          </w:tcPr>
          <w:p w14:paraId="76806E4D" w14:textId="77777777" w:rsidR="009742A6" w:rsidRPr="009742A6" w:rsidRDefault="009742A6" w:rsidP="009742A6">
            <w:pPr>
              <w:jc w:val="center"/>
              <w:rPr>
                <w:rFonts w:ascii="Arial Narrow" w:hAnsi="Arial Narrow"/>
                <w:i/>
                <w:iCs/>
              </w:rPr>
            </w:pPr>
          </w:p>
        </w:tc>
        <w:tc>
          <w:tcPr>
            <w:tcW w:w="720" w:type="dxa"/>
          </w:tcPr>
          <w:p w14:paraId="381485B9" w14:textId="058BDF30" w:rsidR="009742A6" w:rsidRPr="009742A6" w:rsidRDefault="009742A6" w:rsidP="009742A6">
            <w:pPr>
              <w:keepNext/>
              <w:keepLines/>
              <w:jc w:val="left"/>
              <w:rPr>
                <w:rFonts w:ascii="Arial Narrow" w:eastAsiaTheme="majorEastAsia" w:hAnsi="Arial Narrow" w:cstheme="majorBidi"/>
                <w:bCs/>
                <w:sz w:val="20"/>
              </w:rPr>
            </w:pPr>
          </w:p>
        </w:tc>
        <w:tc>
          <w:tcPr>
            <w:tcW w:w="7937" w:type="dxa"/>
          </w:tcPr>
          <w:p w14:paraId="065AD211" w14:textId="77777777" w:rsidR="009742A6" w:rsidRPr="009742A6" w:rsidRDefault="009742A6" w:rsidP="009742A6">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65399111" w14:textId="77777777" w:rsidR="009742A6" w:rsidRPr="009742A6" w:rsidRDefault="009742A6" w:rsidP="009742A6">
            <w:pPr>
              <w:keepNext/>
              <w:keepLines/>
              <w:jc w:val="left"/>
              <w:rPr>
                <w:rFonts w:ascii="Arial Narrow" w:eastAsiaTheme="majorEastAsia" w:hAnsi="Arial Narrow" w:cstheme="majorBidi"/>
                <w:bCs/>
                <w:sz w:val="20"/>
              </w:rPr>
            </w:pPr>
            <w:r w:rsidRPr="009742A6">
              <w:rPr>
                <w:rFonts w:ascii="Arial Narrow" w:eastAsiaTheme="majorEastAsia" w:hAnsi="Arial Narrow" w:cstheme="majorBidi"/>
                <w:b/>
                <w:bCs/>
                <w:sz w:val="20"/>
                <w:bdr w:val="none" w:sz="0" w:space="0" w:color="auto" w:frame="1"/>
              </w:rPr>
              <w:t>Continuing Therapy Only:</w:t>
            </w:r>
          </w:p>
          <w:p w14:paraId="6C7F3089" w14:textId="77777777" w:rsidR="009742A6" w:rsidRPr="009742A6" w:rsidRDefault="009742A6" w:rsidP="009742A6">
            <w:pPr>
              <w:keepNext/>
              <w:keepLines/>
              <w:jc w:val="left"/>
              <w:rPr>
                <w:rFonts w:ascii="Arial Narrow" w:eastAsiaTheme="majorEastAsia" w:hAnsi="Arial Narrow" w:cs="Open Sans"/>
                <w:b/>
                <w:sz w:val="20"/>
                <w:bdr w:val="none" w:sz="0" w:space="0" w:color="auto" w:frame="1"/>
              </w:rPr>
            </w:pPr>
            <w:r w:rsidRPr="009742A6">
              <w:rPr>
                <w:rFonts w:ascii="Arial Narrow" w:eastAsiaTheme="majorEastAsia" w:hAnsi="Arial Narrow" w:cstheme="majorBidi"/>
                <w:bCs/>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742A6" w:rsidRPr="009742A6" w14:paraId="02B2E07F" w14:textId="77777777" w:rsidTr="00FA26BE">
        <w:trPr>
          <w:trHeight w:val="380"/>
        </w:trPr>
        <w:tc>
          <w:tcPr>
            <w:tcW w:w="360" w:type="dxa"/>
            <w:vMerge/>
            <w:textDirection w:val="btLr"/>
          </w:tcPr>
          <w:p w14:paraId="52FF67EF" w14:textId="77777777" w:rsidR="009742A6" w:rsidRPr="009742A6" w:rsidRDefault="009742A6" w:rsidP="009742A6">
            <w:pPr>
              <w:rPr>
                <w:rFonts w:ascii="Arial Narrow" w:hAnsi="Arial Narrow"/>
                <w:i/>
                <w:iCs/>
              </w:rPr>
            </w:pPr>
          </w:p>
        </w:tc>
        <w:tc>
          <w:tcPr>
            <w:tcW w:w="720" w:type="dxa"/>
          </w:tcPr>
          <w:p w14:paraId="2B432A92" w14:textId="61FDF0E7" w:rsidR="009742A6" w:rsidRPr="009742A6" w:rsidRDefault="009742A6" w:rsidP="009742A6">
            <w:pPr>
              <w:keepNext/>
              <w:keepLines/>
              <w:jc w:val="left"/>
              <w:rPr>
                <w:rFonts w:ascii="Arial Narrow" w:eastAsiaTheme="majorEastAsia" w:hAnsi="Arial Narrow" w:cstheme="majorBidi"/>
                <w:bCs/>
                <w:i/>
                <w:iCs/>
                <w:sz w:val="20"/>
              </w:rPr>
            </w:pPr>
          </w:p>
        </w:tc>
        <w:tc>
          <w:tcPr>
            <w:tcW w:w="7937" w:type="dxa"/>
          </w:tcPr>
          <w:p w14:paraId="4AC4E859" w14:textId="77777777" w:rsidR="009742A6" w:rsidRPr="009742A6" w:rsidRDefault="009742A6" w:rsidP="009742A6">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7F1278D8" w14:textId="77777777" w:rsidR="009742A6" w:rsidRPr="009742A6" w:rsidRDefault="009742A6" w:rsidP="009742A6">
            <w:pPr>
              <w:keepNext/>
              <w:keepLines/>
              <w:jc w:val="left"/>
              <w:rPr>
                <w:rFonts w:ascii="Arial Narrow" w:eastAsiaTheme="majorEastAsia" w:hAnsi="Arial Narrow" w:cs="Open Sans"/>
                <w:bCs/>
                <w:i/>
                <w:iCs/>
                <w:sz w:val="20"/>
              </w:rPr>
            </w:pPr>
            <w:r w:rsidRPr="009742A6">
              <w:rPr>
                <w:rFonts w:ascii="Arial Narrow" w:eastAsiaTheme="majorEastAsia" w:hAnsi="Arial Narrow" w:cstheme="majorBidi"/>
                <w:bCs/>
                <w:sz w:val="20"/>
              </w:rPr>
              <w:t>No increase in the maximum quantity or number of units may be authorised.</w:t>
            </w:r>
          </w:p>
        </w:tc>
      </w:tr>
      <w:tr w:rsidR="009742A6" w:rsidRPr="009742A6" w14:paraId="2DED19BD" w14:textId="77777777" w:rsidTr="00FA26BE">
        <w:trPr>
          <w:trHeight w:val="20"/>
        </w:trPr>
        <w:tc>
          <w:tcPr>
            <w:tcW w:w="360" w:type="dxa"/>
            <w:vMerge/>
          </w:tcPr>
          <w:p w14:paraId="235B1C84" w14:textId="77777777" w:rsidR="009742A6" w:rsidRPr="009742A6" w:rsidRDefault="009742A6" w:rsidP="009742A6">
            <w:pPr>
              <w:rPr>
                <w:rFonts w:ascii="Arial Narrow" w:hAnsi="Arial Narrow"/>
                <w:i/>
                <w:iCs/>
              </w:rPr>
            </w:pPr>
          </w:p>
        </w:tc>
        <w:tc>
          <w:tcPr>
            <w:tcW w:w="720" w:type="dxa"/>
            <w:tcBorders>
              <w:bottom w:val="single" w:sz="4" w:space="0" w:color="auto"/>
            </w:tcBorders>
          </w:tcPr>
          <w:p w14:paraId="7961A627" w14:textId="660FBE29" w:rsidR="009742A6" w:rsidRPr="009742A6" w:rsidRDefault="009742A6" w:rsidP="009742A6">
            <w:pPr>
              <w:keepNext/>
              <w:keepLines/>
              <w:jc w:val="left"/>
              <w:rPr>
                <w:rFonts w:ascii="Arial Narrow" w:eastAsiaTheme="majorEastAsia" w:hAnsi="Arial Narrow" w:cstheme="majorBidi"/>
                <w:bCs/>
                <w:sz w:val="20"/>
              </w:rPr>
            </w:pPr>
          </w:p>
        </w:tc>
        <w:tc>
          <w:tcPr>
            <w:tcW w:w="7937" w:type="dxa"/>
            <w:tcBorders>
              <w:bottom w:val="single" w:sz="4" w:space="0" w:color="auto"/>
            </w:tcBorders>
          </w:tcPr>
          <w:p w14:paraId="323031D6" w14:textId="77777777" w:rsidR="009742A6" w:rsidRPr="009742A6" w:rsidRDefault="009742A6" w:rsidP="009742A6">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7DF4A865" w14:textId="77777777" w:rsidR="009742A6" w:rsidRPr="009742A6" w:rsidRDefault="009742A6" w:rsidP="009742A6">
            <w:pPr>
              <w:keepNext/>
              <w:keepLines/>
              <w:jc w:val="left"/>
              <w:rPr>
                <w:rFonts w:ascii="Arial Narrow" w:eastAsiaTheme="majorEastAsia" w:hAnsi="Arial Narrow" w:cstheme="majorBidi"/>
                <w:b/>
                <w:bCs/>
                <w:sz w:val="20"/>
              </w:rPr>
            </w:pPr>
            <w:r w:rsidRPr="009742A6">
              <w:rPr>
                <w:rFonts w:ascii="Arial Narrow" w:eastAsiaTheme="majorEastAsia" w:hAnsi="Arial Narrow" w:cstheme="majorBidi"/>
                <w:bCs/>
                <w:sz w:val="20"/>
              </w:rPr>
              <w:t>No increase in the maximum number of repeats may be authorised.</w:t>
            </w:r>
          </w:p>
        </w:tc>
      </w:tr>
      <w:tr w:rsidR="009742A6" w:rsidRPr="009742A6" w14:paraId="00677FF5" w14:textId="77777777" w:rsidTr="00FA26BE">
        <w:trPr>
          <w:trHeight w:val="20"/>
        </w:trPr>
        <w:tc>
          <w:tcPr>
            <w:tcW w:w="360" w:type="dxa"/>
            <w:vMerge/>
          </w:tcPr>
          <w:p w14:paraId="7C0122A0" w14:textId="77777777" w:rsidR="009742A6" w:rsidRPr="009742A6" w:rsidRDefault="009742A6" w:rsidP="009742A6">
            <w:pPr>
              <w:rPr>
                <w:rFonts w:ascii="Arial Narrow" w:hAnsi="Arial Narrow"/>
                <w:i/>
                <w:iCs/>
              </w:rPr>
            </w:pPr>
          </w:p>
        </w:tc>
        <w:tc>
          <w:tcPr>
            <w:tcW w:w="720" w:type="dxa"/>
            <w:tcBorders>
              <w:bottom w:val="nil"/>
            </w:tcBorders>
          </w:tcPr>
          <w:p w14:paraId="529A5274" w14:textId="04FF087C" w:rsidR="009742A6" w:rsidRPr="009742A6" w:rsidRDefault="009742A6" w:rsidP="009742A6">
            <w:pPr>
              <w:keepNext/>
              <w:keepLines/>
              <w:jc w:val="left"/>
              <w:rPr>
                <w:rFonts w:ascii="Arial Narrow" w:eastAsiaTheme="majorEastAsia" w:hAnsi="Arial Narrow" w:cstheme="majorBidi"/>
                <w:bCs/>
                <w:sz w:val="20"/>
              </w:rPr>
            </w:pPr>
          </w:p>
        </w:tc>
        <w:tc>
          <w:tcPr>
            <w:tcW w:w="7937" w:type="dxa"/>
            <w:tcBorders>
              <w:bottom w:val="nil"/>
            </w:tcBorders>
          </w:tcPr>
          <w:p w14:paraId="055A0F93" w14:textId="77777777" w:rsidR="009742A6" w:rsidRPr="009742A6" w:rsidRDefault="009742A6" w:rsidP="009742A6">
            <w:pPr>
              <w:keepNext/>
              <w:keepLines/>
              <w:jc w:val="left"/>
              <w:rPr>
                <w:rFonts w:ascii="Arial Narrow" w:eastAsiaTheme="majorEastAsia" w:hAnsi="Arial Narrow" w:cstheme="majorBidi"/>
                <w:bCs/>
                <w:sz w:val="20"/>
              </w:rPr>
            </w:pPr>
            <w:r w:rsidRPr="009742A6">
              <w:rPr>
                <w:rFonts w:ascii="Arial Narrow" w:eastAsiaTheme="majorEastAsia" w:hAnsi="Arial Narrow" w:cs="Open Sans"/>
                <w:b/>
                <w:sz w:val="20"/>
                <w:bdr w:val="none" w:sz="0" w:space="0" w:color="auto" w:frame="1"/>
              </w:rPr>
              <w:t>Administrative Advice:</w:t>
            </w:r>
          </w:p>
          <w:p w14:paraId="6B142F4D" w14:textId="77777777" w:rsidR="009742A6" w:rsidRPr="009742A6" w:rsidRDefault="009742A6" w:rsidP="009742A6">
            <w:pPr>
              <w:keepNext/>
              <w:keepLines/>
              <w:jc w:val="left"/>
              <w:rPr>
                <w:rFonts w:ascii="Arial Narrow" w:eastAsiaTheme="majorEastAsia" w:hAnsi="Arial Narrow" w:cstheme="majorBidi"/>
                <w:b/>
                <w:bCs/>
                <w:sz w:val="20"/>
              </w:rPr>
            </w:pPr>
            <w:r w:rsidRPr="009742A6">
              <w:rPr>
                <w:rFonts w:ascii="Arial Narrow" w:eastAsiaTheme="majorEastAsia" w:hAnsi="Arial Narrow" w:cstheme="majorBidi"/>
                <w:bCs/>
                <w:sz w:val="20"/>
              </w:rPr>
              <w:t>Special Pricing Arrangements apply.</w:t>
            </w:r>
          </w:p>
        </w:tc>
      </w:tr>
      <w:tr w:rsidR="009742A6" w:rsidRPr="009742A6" w14:paraId="05F1D888" w14:textId="77777777" w:rsidTr="00FA26BE">
        <w:trPr>
          <w:trHeight w:val="20"/>
        </w:trPr>
        <w:tc>
          <w:tcPr>
            <w:tcW w:w="360" w:type="dxa"/>
            <w:vMerge/>
            <w:tcBorders>
              <w:bottom w:val="nil"/>
            </w:tcBorders>
          </w:tcPr>
          <w:p w14:paraId="1DA48B89" w14:textId="77777777" w:rsidR="009742A6" w:rsidRPr="009742A6" w:rsidRDefault="009742A6" w:rsidP="009742A6">
            <w:pPr>
              <w:rPr>
                <w:rFonts w:ascii="Arial Narrow" w:hAnsi="Arial Narrow"/>
                <w:i/>
                <w:iCs/>
              </w:rPr>
            </w:pPr>
          </w:p>
        </w:tc>
        <w:tc>
          <w:tcPr>
            <w:tcW w:w="720" w:type="dxa"/>
            <w:tcBorders>
              <w:bottom w:val="nil"/>
            </w:tcBorders>
          </w:tcPr>
          <w:p w14:paraId="4C89BCB8" w14:textId="46F52B81" w:rsidR="009742A6" w:rsidRPr="009742A6" w:rsidRDefault="009742A6" w:rsidP="009742A6">
            <w:pPr>
              <w:keepNext/>
              <w:keepLines/>
              <w:jc w:val="left"/>
              <w:rPr>
                <w:rFonts w:ascii="Arial Narrow" w:eastAsiaTheme="majorEastAsia" w:hAnsi="Arial Narrow" w:cstheme="majorBidi"/>
                <w:bCs/>
                <w:sz w:val="20"/>
              </w:rPr>
            </w:pPr>
          </w:p>
        </w:tc>
        <w:tc>
          <w:tcPr>
            <w:tcW w:w="7937" w:type="dxa"/>
            <w:tcBorders>
              <w:bottom w:val="nil"/>
            </w:tcBorders>
          </w:tcPr>
          <w:p w14:paraId="5B19BEAD" w14:textId="77777777" w:rsidR="009742A6" w:rsidRPr="009742A6" w:rsidRDefault="009742A6" w:rsidP="009742A6">
            <w:pPr>
              <w:keepNext/>
              <w:keepLines/>
              <w:jc w:val="left"/>
              <w:rPr>
                <w:rFonts w:ascii="Arial Narrow" w:eastAsiaTheme="majorEastAsia" w:hAnsi="Arial Narrow" w:cs="Open Sans"/>
                <w:b/>
                <w:sz w:val="20"/>
                <w:bdr w:val="none" w:sz="0" w:space="0" w:color="auto" w:frame="1"/>
              </w:rPr>
            </w:pPr>
            <w:r w:rsidRPr="009742A6">
              <w:rPr>
                <w:rFonts w:ascii="Arial Narrow" w:eastAsiaTheme="majorEastAsia" w:hAnsi="Arial Narrow" w:cs="Open Sans"/>
                <w:b/>
                <w:sz w:val="20"/>
                <w:bdr w:val="none" w:sz="0" w:space="0" w:color="auto" w:frame="1"/>
              </w:rPr>
              <w:t xml:space="preserve">Administrative Advice: </w:t>
            </w:r>
          </w:p>
          <w:p w14:paraId="05B4D8E7" w14:textId="77777777" w:rsidR="009742A6" w:rsidRPr="009742A6" w:rsidRDefault="009742A6" w:rsidP="009742A6">
            <w:pPr>
              <w:keepNext/>
              <w:keepLines/>
              <w:jc w:val="left"/>
              <w:rPr>
                <w:rFonts w:ascii="Arial Narrow" w:eastAsiaTheme="majorEastAsia" w:hAnsi="Arial Narrow" w:cs="Open Sans"/>
                <w:b/>
                <w:sz w:val="20"/>
                <w:bdr w:val="none" w:sz="0" w:space="0" w:color="auto" w:frame="1"/>
              </w:rPr>
            </w:pPr>
            <w:r w:rsidRPr="009742A6">
              <w:rPr>
                <w:rFonts w:ascii="Arial Narrow" w:eastAsiaTheme="majorEastAsia" w:hAnsi="Arial Narrow" w:cs="Open Sans"/>
                <w:bCs/>
                <w:sz w:val="20"/>
                <w:bdr w:val="none" w:sz="0" w:space="0" w:color="auto" w:frame="1"/>
              </w:rPr>
              <w:t>Applications for authorisation under this restriction may be made in real time using the Online PBS Authorities system (see www.servicesaustralia.gov.au/HPOS) or by telephone by contacting Services Australia on 1800 888 33</w:t>
            </w:r>
          </w:p>
        </w:tc>
      </w:tr>
    </w:tbl>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7943"/>
      </w:tblGrid>
      <w:tr w:rsidR="009742A6" w:rsidRPr="009742A6" w14:paraId="2DB35B88" w14:textId="77777777" w:rsidTr="00FA26BE">
        <w:tc>
          <w:tcPr>
            <w:tcW w:w="606" w:type="pct"/>
            <w:tcBorders>
              <w:left w:val="single" w:sz="4" w:space="0" w:color="auto"/>
              <w:right w:val="single" w:sz="4" w:space="0" w:color="auto"/>
            </w:tcBorders>
          </w:tcPr>
          <w:p w14:paraId="2A0C9F3E" w14:textId="4692BF04"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145CC17"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 xml:space="preserve">Indication: </w:t>
            </w:r>
            <w:r w:rsidRPr="009742A6">
              <w:rPr>
                <w:rFonts w:ascii="Arial Narrow" w:hAnsi="Arial Narrow" w:cs="Open Sans"/>
                <w:sz w:val="20"/>
                <w:szCs w:val="20"/>
              </w:rPr>
              <w:t>Primary biliary cholangitis (previously known as Primary biliary cirrhosis)</w:t>
            </w:r>
          </w:p>
        </w:tc>
      </w:tr>
      <w:tr w:rsidR="009742A6" w:rsidRPr="009742A6" w14:paraId="6FEA624E" w14:textId="77777777" w:rsidTr="00FA26BE">
        <w:tc>
          <w:tcPr>
            <w:tcW w:w="606" w:type="pct"/>
            <w:tcBorders>
              <w:left w:val="single" w:sz="4" w:space="0" w:color="auto"/>
              <w:right w:val="single" w:sz="4" w:space="0" w:color="auto"/>
            </w:tcBorders>
          </w:tcPr>
          <w:p w14:paraId="54CB4DB1"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16705E9D" w14:textId="77777777" w:rsidR="009742A6" w:rsidRPr="009742A6" w:rsidRDefault="009742A6" w:rsidP="009742A6">
            <w:pPr>
              <w:textAlignment w:val="baseline"/>
              <w:rPr>
                <w:rFonts w:ascii="Arial Narrow" w:hAnsi="Arial Narrow" w:cs="Open Sans"/>
                <w:sz w:val="20"/>
                <w:szCs w:val="20"/>
                <w:bdr w:val="none" w:sz="0" w:space="0" w:color="auto" w:frame="1"/>
              </w:rPr>
            </w:pPr>
            <w:r w:rsidRPr="009742A6">
              <w:rPr>
                <w:rFonts w:ascii="Arial Narrow" w:hAnsi="Arial Narrow" w:cs="Open Sans"/>
                <w:b/>
                <w:bCs/>
                <w:sz w:val="20"/>
                <w:szCs w:val="20"/>
                <w:bdr w:val="none" w:sz="0" w:space="0" w:color="auto" w:frame="1"/>
              </w:rPr>
              <w:t>Treatment Phase:</w:t>
            </w:r>
            <w:r w:rsidRPr="009742A6">
              <w:rPr>
                <w:rFonts w:ascii="Arial Narrow" w:hAnsi="Arial Narrow" w:cs="Open Sans"/>
                <w:sz w:val="20"/>
                <w:szCs w:val="20"/>
                <w:bdr w:val="none" w:sz="0" w:space="0" w:color="auto" w:frame="1"/>
              </w:rPr>
              <w:t xml:space="preserve"> Transitioning from non-PBS to PBS subsidised supply - Grandfather arrangements</w:t>
            </w:r>
          </w:p>
        </w:tc>
      </w:tr>
      <w:tr w:rsidR="009742A6" w:rsidRPr="009742A6" w14:paraId="204DBAC5" w14:textId="77777777" w:rsidTr="00FA26BE">
        <w:tc>
          <w:tcPr>
            <w:tcW w:w="606" w:type="pct"/>
            <w:tcBorders>
              <w:left w:val="single" w:sz="4" w:space="0" w:color="auto"/>
              <w:right w:val="single" w:sz="4" w:space="0" w:color="auto"/>
            </w:tcBorders>
          </w:tcPr>
          <w:p w14:paraId="0DCA5029" w14:textId="06B6DD6A"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571F842"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Clinical criteria:</w:t>
            </w:r>
          </w:p>
        </w:tc>
      </w:tr>
      <w:tr w:rsidR="009742A6" w:rsidRPr="009742A6" w14:paraId="2763977C" w14:textId="77777777" w:rsidTr="00FA26BE">
        <w:tc>
          <w:tcPr>
            <w:tcW w:w="606" w:type="pct"/>
            <w:tcBorders>
              <w:left w:val="single" w:sz="4" w:space="0" w:color="auto"/>
              <w:right w:val="single" w:sz="4" w:space="0" w:color="auto"/>
            </w:tcBorders>
          </w:tcPr>
          <w:p w14:paraId="6102D348" w14:textId="3058E0A2"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4706871" w14:textId="77777777" w:rsidR="009742A6" w:rsidRPr="009742A6" w:rsidRDefault="009742A6" w:rsidP="009742A6">
            <w:pPr>
              <w:textAlignment w:val="baseline"/>
              <w:rPr>
                <w:rFonts w:ascii="Arial Narrow" w:hAnsi="Arial Narrow" w:cs="Open Sans"/>
                <w:sz w:val="20"/>
                <w:szCs w:val="20"/>
                <w:bdr w:val="none" w:sz="0" w:space="0" w:color="auto" w:frame="1"/>
              </w:rPr>
            </w:pPr>
            <w:r w:rsidRPr="009742A6">
              <w:rPr>
                <w:rFonts w:ascii="Arial Narrow" w:hAnsi="Arial Narrow" w:cs="Open Sans"/>
                <w:sz w:val="20"/>
                <w:szCs w:val="20"/>
                <w:bdr w:val="none" w:sz="0" w:space="0" w:color="auto" w:frame="1"/>
              </w:rPr>
              <w:t>Patient must have received treatment with this drug for this PBS indication prior to [Date]</w:t>
            </w:r>
          </w:p>
        </w:tc>
      </w:tr>
      <w:tr w:rsidR="009742A6" w:rsidRPr="009742A6" w14:paraId="2278C1E6" w14:textId="77777777" w:rsidTr="00FA26BE">
        <w:tc>
          <w:tcPr>
            <w:tcW w:w="606" w:type="pct"/>
            <w:tcBorders>
              <w:left w:val="single" w:sz="4" w:space="0" w:color="auto"/>
              <w:right w:val="single" w:sz="4" w:space="0" w:color="auto"/>
            </w:tcBorders>
          </w:tcPr>
          <w:p w14:paraId="32B7411F" w14:textId="2C4CC654"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3B4A0A45"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Treatment criteria:</w:t>
            </w:r>
          </w:p>
        </w:tc>
      </w:tr>
      <w:tr w:rsidR="009742A6" w:rsidRPr="009742A6" w14:paraId="2FDB7C1B" w14:textId="77777777" w:rsidTr="00FA26BE">
        <w:tc>
          <w:tcPr>
            <w:tcW w:w="606" w:type="pct"/>
            <w:tcBorders>
              <w:left w:val="single" w:sz="4" w:space="0" w:color="auto"/>
              <w:right w:val="single" w:sz="4" w:space="0" w:color="auto"/>
            </w:tcBorders>
          </w:tcPr>
          <w:p w14:paraId="0DB35D50" w14:textId="18615AFC"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350F87DA"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 xml:space="preserve">Must be treated by a prescriber who is either: (i) a gastroenterologist, (ii) a hepatologist; </w:t>
            </w:r>
          </w:p>
        </w:tc>
      </w:tr>
      <w:tr w:rsidR="009742A6" w:rsidRPr="009742A6" w14:paraId="041DBDD8" w14:textId="77777777" w:rsidTr="00FA26BE">
        <w:tc>
          <w:tcPr>
            <w:tcW w:w="606" w:type="pct"/>
            <w:tcBorders>
              <w:left w:val="single" w:sz="4" w:space="0" w:color="auto"/>
              <w:right w:val="single" w:sz="4" w:space="0" w:color="auto"/>
            </w:tcBorders>
          </w:tcPr>
          <w:p w14:paraId="1234DD58" w14:textId="77777777" w:rsidR="009742A6" w:rsidRPr="009742A6" w:rsidRDefault="009742A6" w:rsidP="009742A6">
            <w:pPr>
              <w:jc w:val="center"/>
              <w:rPr>
                <w:rFonts w:ascii="Arial Narrow" w:eastAsia="Aptos" w:hAnsi="Arial Narrow" w:cs="Open Sans"/>
                <w:b/>
                <w:b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111C4207"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5A68C00A" w14:textId="77777777" w:rsidTr="00FA26BE">
        <w:tc>
          <w:tcPr>
            <w:tcW w:w="606" w:type="pct"/>
            <w:tcBorders>
              <w:left w:val="single" w:sz="4" w:space="0" w:color="auto"/>
              <w:right w:val="single" w:sz="4" w:space="0" w:color="auto"/>
            </w:tcBorders>
          </w:tcPr>
          <w:p w14:paraId="0408BCE6" w14:textId="2775343F"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5E436439"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Must be treated by an eligible practitioner type who has consulted at least one of the above mentioned specialist types</w:t>
            </w:r>
          </w:p>
        </w:tc>
      </w:tr>
      <w:tr w:rsidR="009742A6" w:rsidRPr="009742A6" w14:paraId="5F998AAF" w14:textId="77777777" w:rsidTr="00FA26BE">
        <w:tc>
          <w:tcPr>
            <w:tcW w:w="606" w:type="pct"/>
            <w:tcBorders>
              <w:left w:val="single" w:sz="4" w:space="0" w:color="auto"/>
              <w:right w:val="single" w:sz="4" w:space="0" w:color="auto"/>
            </w:tcBorders>
          </w:tcPr>
          <w:p w14:paraId="7F9C1798"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2422BDD"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AND</w:t>
            </w:r>
          </w:p>
        </w:tc>
      </w:tr>
      <w:tr w:rsidR="009742A6" w:rsidRPr="009742A6" w14:paraId="1E222D91" w14:textId="77777777" w:rsidTr="00FA26BE">
        <w:tc>
          <w:tcPr>
            <w:tcW w:w="606" w:type="pct"/>
            <w:tcBorders>
              <w:left w:val="single" w:sz="4" w:space="0" w:color="auto"/>
              <w:right w:val="single" w:sz="4" w:space="0" w:color="auto"/>
            </w:tcBorders>
          </w:tcPr>
          <w:p w14:paraId="206A4DC4" w14:textId="0B631864"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9362B27"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9742A6" w:rsidRPr="009742A6" w14:paraId="00C830BC" w14:textId="77777777" w:rsidTr="00FA26BE">
        <w:tc>
          <w:tcPr>
            <w:tcW w:w="606" w:type="pct"/>
            <w:tcBorders>
              <w:left w:val="single" w:sz="4" w:space="0" w:color="auto"/>
              <w:right w:val="single" w:sz="4" w:space="0" w:color="auto"/>
            </w:tcBorders>
          </w:tcPr>
          <w:p w14:paraId="203AE892" w14:textId="10A0682F"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0EF8FB2A"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Patient must be undergoing concurrent treatment with ursodeoxycholic acid</w:t>
            </w:r>
          </w:p>
        </w:tc>
      </w:tr>
      <w:tr w:rsidR="009742A6" w:rsidRPr="009742A6" w14:paraId="43B193E2" w14:textId="77777777" w:rsidTr="00FA26BE">
        <w:tc>
          <w:tcPr>
            <w:tcW w:w="606" w:type="pct"/>
            <w:tcBorders>
              <w:left w:val="single" w:sz="4" w:space="0" w:color="auto"/>
              <w:right w:val="single" w:sz="4" w:space="0" w:color="auto"/>
            </w:tcBorders>
          </w:tcPr>
          <w:p w14:paraId="1B0251CC"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308CD1C"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359127F7" w14:textId="77777777" w:rsidTr="00FA26BE">
        <w:tc>
          <w:tcPr>
            <w:tcW w:w="606" w:type="pct"/>
            <w:tcBorders>
              <w:left w:val="single" w:sz="4" w:space="0" w:color="auto"/>
              <w:right w:val="single" w:sz="4" w:space="0" w:color="auto"/>
            </w:tcBorders>
          </w:tcPr>
          <w:p w14:paraId="0E832C0E" w14:textId="75327EC0"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593DDE97"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Patient must be undergoing treatment with this drug as monotherapy because treatment with ursodeoxycholic acid is not tolerated/contraindicated</w:t>
            </w:r>
          </w:p>
        </w:tc>
      </w:tr>
      <w:tr w:rsidR="009742A6" w:rsidRPr="009742A6" w14:paraId="4E2E52BF" w14:textId="77777777" w:rsidTr="00FA26BE">
        <w:tc>
          <w:tcPr>
            <w:tcW w:w="606" w:type="pct"/>
            <w:tcBorders>
              <w:left w:val="single" w:sz="4" w:space="0" w:color="auto"/>
              <w:right w:val="single" w:sz="4" w:space="0" w:color="auto"/>
            </w:tcBorders>
          </w:tcPr>
          <w:p w14:paraId="1CB6F1CB"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3166C207" w14:textId="77777777" w:rsidR="009742A6" w:rsidRPr="009742A6" w:rsidRDefault="009742A6" w:rsidP="009742A6">
            <w:pPr>
              <w:textAlignment w:val="baseline"/>
              <w:rPr>
                <w:rFonts w:ascii="Arial Narrow" w:hAnsi="Arial Narrow" w:cs="Open Sans"/>
                <w:b/>
                <w:bCs/>
                <w:i/>
                <w:iCs/>
                <w:sz w:val="20"/>
                <w:szCs w:val="20"/>
              </w:rPr>
            </w:pPr>
            <w:r w:rsidRPr="009742A6">
              <w:rPr>
                <w:rFonts w:ascii="Arial Narrow" w:hAnsi="Arial Narrow" w:cs="Open Sans"/>
                <w:b/>
                <w:bCs/>
                <w:i/>
                <w:iCs/>
                <w:sz w:val="20"/>
                <w:szCs w:val="20"/>
              </w:rPr>
              <w:t>AND</w:t>
            </w:r>
          </w:p>
        </w:tc>
      </w:tr>
      <w:tr w:rsidR="009742A6" w:rsidRPr="009742A6" w14:paraId="48E6A89C" w14:textId="77777777" w:rsidTr="00FA26BE">
        <w:tc>
          <w:tcPr>
            <w:tcW w:w="606" w:type="pct"/>
            <w:tcBorders>
              <w:left w:val="single" w:sz="4" w:space="0" w:color="auto"/>
              <w:right w:val="single" w:sz="4" w:space="0" w:color="auto"/>
            </w:tcBorders>
          </w:tcPr>
          <w:p w14:paraId="622938CF" w14:textId="2D357DDE"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62754BB7"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Treatment criteria:</w:t>
            </w:r>
          </w:p>
        </w:tc>
      </w:tr>
      <w:tr w:rsidR="009742A6" w:rsidRPr="009742A6" w14:paraId="26D375B5" w14:textId="77777777" w:rsidTr="00FA26BE">
        <w:tc>
          <w:tcPr>
            <w:tcW w:w="606" w:type="pct"/>
            <w:tcBorders>
              <w:left w:val="single" w:sz="4" w:space="0" w:color="auto"/>
              <w:right w:val="single" w:sz="4" w:space="0" w:color="auto"/>
            </w:tcBorders>
          </w:tcPr>
          <w:p w14:paraId="53DF4F8C" w14:textId="782A79B3"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38FB96C2"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Patient must not be undergoing concurrent treatment with either of: (i) obeticholic acid (ii)elafibranor</w:t>
            </w:r>
          </w:p>
        </w:tc>
      </w:tr>
      <w:tr w:rsidR="009742A6" w:rsidRPr="009742A6" w14:paraId="25703601" w14:textId="77777777" w:rsidTr="00FA26BE">
        <w:tc>
          <w:tcPr>
            <w:tcW w:w="606" w:type="pct"/>
            <w:tcBorders>
              <w:left w:val="single" w:sz="4" w:space="0" w:color="auto"/>
              <w:right w:val="single" w:sz="4" w:space="0" w:color="auto"/>
            </w:tcBorders>
          </w:tcPr>
          <w:p w14:paraId="19576371"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88EB2DA"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AND</w:t>
            </w:r>
          </w:p>
        </w:tc>
      </w:tr>
      <w:tr w:rsidR="009742A6" w:rsidRPr="009742A6" w14:paraId="194151A3" w14:textId="77777777" w:rsidTr="00FA26BE">
        <w:tc>
          <w:tcPr>
            <w:tcW w:w="606" w:type="pct"/>
            <w:tcBorders>
              <w:left w:val="single" w:sz="4" w:space="0" w:color="auto"/>
              <w:right w:val="single" w:sz="4" w:space="0" w:color="auto"/>
            </w:tcBorders>
          </w:tcPr>
          <w:p w14:paraId="5CD491EA" w14:textId="59E71B49"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61EE97C5"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Clinical criteria:</w:t>
            </w:r>
          </w:p>
        </w:tc>
      </w:tr>
      <w:tr w:rsidR="009742A6" w:rsidRPr="009742A6" w14:paraId="4C35BE90" w14:textId="77777777" w:rsidTr="00FA26BE">
        <w:tc>
          <w:tcPr>
            <w:tcW w:w="606" w:type="pct"/>
            <w:tcBorders>
              <w:left w:val="single" w:sz="4" w:space="0" w:color="auto"/>
              <w:right w:val="single" w:sz="4" w:space="0" w:color="auto"/>
            </w:tcBorders>
          </w:tcPr>
          <w:p w14:paraId="79E5915C" w14:textId="120EA37A"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7066AA2"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 xml:space="preserve">Patient must have experienced an inadequate response to ursodeoxycholic acid, despite treatment with ursodeoxycholic acid for at least 52 weeks at a therapeutic dose, prior to initiating treatment with this drug; </w:t>
            </w:r>
          </w:p>
        </w:tc>
      </w:tr>
      <w:tr w:rsidR="009742A6" w:rsidRPr="009742A6" w14:paraId="5761A660" w14:textId="77777777" w:rsidTr="00FA26BE">
        <w:tc>
          <w:tcPr>
            <w:tcW w:w="606" w:type="pct"/>
            <w:tcBorders>
              <w:left w:val="single" w:sz="4" w:space="0" w:color="auto"/>
              <w:right w:val="single" w:sz="4" w:space="0" w:color="auto"/>
            </w:tcBorders>
          </w:tcPr>
          <w:p w14:paraId="44DC81F0" w14:textId="77777777" w:rsidR="009742A6" w:rsidRPr="009742A6" w:rsidRDefault="009742A6" w:rsidP="009742A6">
            <w:pPr>
              <w:jc w:val="center"/>
              <w:rPr>
                <w:rFonts w:ascii="Arial Narrow" w:eastAsia="Aptos" w:hAnsi="Arial Narrow" w:cs="Open Sans"/>
                <w:b/>
                <w:b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5A71B60B" w14:textId="77777777" w:rsidR="009742A6" w:rsidRPr="009742A6" w:rsidRDefault="009742A6" w:rsidP="009742A6">
            <w:pPr>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65C237E5" w14:textId="77777777" w:rsidTr="00FA26BE">
        <w:tc>
          <w:tcPr>
            <w:tcW w:w="606" w:type="pct"/>
            <w:tcBorders>
              <w:left w:val="single" w:sz="4" w:space="0" w:color="auto"/>
              <w:right w:val="single" w:sz="4" w:space="0" w:color="auto"/>
            </w:tcBorders>
          </w:tcPr>
          <w:p w14:paraId="58389DAB" w14:textId="2949B959"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0F059F70"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Patient must have experienced an intolerance/contraindication to ursodeoxycholic acid of a severity requiring permanent treatment discontinuation, prior to initiating treatment with this drug</w:t>
            </w:r>
          </w:p>
        </w:tc>
      </w:tr>
      <w:tr w:rsidR="009742A6" w:rsidRPr="009742A6" w14:paraId="5C04E3C0" w14:textId="77777777" w:rsidTr="00FA26BE">
        <w:tc>
          <w:tcPr>
            <w:tcW w:w="606" w:type="pct"/>
            <w:tcBorders>
              <w:left w:val="single" w:sz="4" w:space="0" w:color="auto"/>
              <w:right w:val="single" w:sz="4" w:space="0" w:color="auto"/>
            </w:tcBorders>
          </w:tcPr>
          <w:p w14:paraId="66E72C79"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DA20775"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AND</w:t>
            </w:r>
          </w:p>
        </w:tc>
      </w:tr>
      <w:tr w:rsidR="009742A6" w:rsidRPr="009742A6" w14:paraId="1512845E" w14:textId="77777777" w:rsidTr="00FA26BE">
        <w:tc>
          <w:tcPr>
            <w:tcW w:w="606" w:type="pct"/>
            <w:tcBorders>
              <w:left w:val="single" w:sz="4" w:space="0" w:color="auto"/>
              <w:right w:val="single" w:sz="4" w:space="0" w:color="auto"/>
            </w:tcBorders>
          </w:tcPr>
          <w:p w14:paraId="42A22B32" w14:textId="3645199F"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625FECF6"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Clinical criteria:</w:t>
            </w:r>
          </w:p>
        </w:tc>
      </w:tr>
      <w:tr w:rsidR="009742A6" w:rsidRPr="009742A6" w14:paraId="0D7DA213" w14:textId="77777777" w:rsidTr="00FA26BE">
        <w:tc>
          <w:tcPr>
            <w:tcW w:w="606" w:type="pct"/>
            <w:tcBorders>
              <w:left w:val="single" w:sz="4" w:space="0" w:color="auto"/>
              <w:right w:val="single" w:sz="4" w:space="0" w:color="auto"/>
            </w:tcBorders>
          </w:tcPr>
          <w:p w14:paraId="026CCC50" w14:textId="30981715"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2E6DB73" w14:textId="77777777" w:rsidR="009742A6" w:rsidRPr="009742A6" w:rsidRDefault="009742A6" w:rsidP="009742A6">
            <w:pPr>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Patient must not have severe liver disease</w:t>
            </w:r>
          </w:p>
        </w:tc>
      </w:tr>
      <w:tr w:rsidR="009742A6" w:rsidRPr="009742A6" w14:paraId="26C5383A" w14:textId="77777777" w:rsidTr="00FA26BE">
        <w:tc>
          <w:tcPr>
            <w:tcW w:w="606" w:type="pct"/>
            <w:tcBorders>
              <w:left w:val="single" w:sz="4" w:space="0" w:color="auto"/>
              <w:right w:val="single" w:sz="4" w:space="0" w:color="auto"/>
            </w:tcBorders>
          </w:tcPr>
          <w:p w14:paraId="27BF6E79" w14:textId="77777777" w:rsidR="009742A6" w:rsidRPr="009742A6" w:rsidRDefault="009742A6" w:rsidP="009742A6">
            <w:pPr>
              <w:jc w:val="center"/>
              <w:rPr>
                <w:rFonts w:ascii="Arial Narrow" w:eastAsia="Aptos" w:hAnsi="Arial Narrow" w:cs="Open Sans"/>
                <w:i/>
                <w:i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5FDDAF1" w14:textId="77777777" w:rsidR="009742A6" w:rsidRPr="009742A6" w:rsidRDefault="009742A6" w:rsidP="009742A6">
            <w:pPr>
              <w:textAlignment w:val="baseline"/>
              <w:rPr>
                <w:rFonts w:ascii="Arial Narrow" w:hAnsi="Arial Narrow" w:cs="Open Sans"/>
                <w:i/>
                <w:iCs/>
                <w:sz w:val="20"/>
                <w:szCs w:val="20"/>
              </w:rPr>
            </w:pPr>
            <w:r w:rsidRPr="009742A6">
              <w:rPr>
                <w:rFonts w:ascii="Arial Narrow" w:hAnsi="Arial Narrow" w:cs="Open Sans"/>
                <w:b/>
                <w:bCs/>
                <w:sz w:val="20"/>
                <w:szCs w:val="20"/>
                <w:bdr w:val="none" w:sz="0" w:space="0" w:color="auto" w:frame="1"/>
              </w:rPr>
              <w:t>AND</w:t>
            </w:r>
          </w:p>
        </w:tc>
      </w:tr>
      <w:tr w:rsidR="009742A6" w:rsidRPr="009742A6" w14:paraId="69159C97" w14:textId="77777777" w:rsidTr="00FA26BE">
        <w:tc>
          <w:tcPr>
            <w:tcW w:w="606" w:type="pct"/>
            <w:tcBorders>
              <w:left w:val="single" w:sz="4" w:space="0" w:color="auto"/>
              <w:right w:val="single" w:sz="4" w:space="0" w:color="auto"/>
            </w:tcBorders>
          </w:tcPr>
          <w:p w14:paraId="770AD977" w14:textId="689805FD" w:rsidR="009742A6" w:rsidRPr="009742A6" w:rsidRDefault="009742A6" w:rsidP="009742A6">
            <w:pPr>
              <w:jc w:val="center"/>
              <w:rPr>
                <w:rFonts w:ascii="Arial Narrow" w:eastAsia="Aptos" w:hAnsi="Arial Narrow" w:cs="Open Sans"/>
                <w:i/>
                <w:i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645A69C" w14:textId="77777777" w:rsidR="009742A6" w:rsidRPr="009742A6" w:rsidRDefault="009742A6" w:rsidP="009742A6">
            <w:pPr>
              <w:textAlignment w:val="baseline"/>
              <w:rPr>
                <w:rFonts w:ascii="Arial Narrow" w:hAnsi="Arial Narrow" w:cs="Open Sans"/>
                <w:i/>
                <w:iCs/>
                <w:sz w:val="20"/>
                <w:szCs w:val="20"/>
              </w:rPr>
            </w:pPr>
            <w:r w:rsidRPr="009742A6">
              <w:rPr>
                <w:rFonts w:ascii="Arial Narrow" w:hAnsi="Arial Narrow" w:cs="Open Sans"/>
                <w:b/>
                <w:bCs/>
                <w:sz w:val="20"/>
                <w:szCs w:val="20"/>
                <w:bdr w:val="none" w:sz="0" w:space="0" w:color="auto" w:frame="1"/>
              </w:rPr>
              <w:t>Clinical criteria:</w:t>
            </w:r>
          </w:p>
        </w:tc>
      </w:tr>
      <w:tr w:rsidR="009742A6" w:rsidRPr="009742A6" w14:paraId="40629E8A" w14:textId="77777777" w:rsidTr="00FA26BE">
        <w:tc>
          <w:tcPr>
            <w:tcW w:w="606" w:type="pct"/>
            <w:tcBorders>
              <w:left w:val="single" w:sz="4" w:space="0" w:color="auto"/>
              <w:right w:val="single" w:sz="4" w:space="0" w:color="auto"/>
            </w:tcBorders>
          </w:tcPr>
          <w:p w14:paraId="7D2538AD" w14:textId="2B2AAAC8" w:rsidR="009742A6" w:rsidRPr="009742A6" w:rsidRDefault="009742A6" w:rsidP="009742A6">
            <w:pPr>
              <w:jc w:val="center"/>
              <w:rPr>
                <w:rFonts w:ascii="Arial Narrow" w:eastAsia="Aptos" w:hAnsi="Arial Narrow" w:cs="Open Sans"/>
                <w:i/>
                <w:i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17FC2D4D" w14:textId="77777777" w:rsidR="009742A6" w:rsidRPr="009742A6" w:rsidRDefault="009742A6" w:rsidP="009742A6">
            <w:pPr>
              <w:jc w:val="left"/>
              <w:textAlignment w:val="baseline"/>
              <w:rPr>
                <w:rFonts w:ascii="Arial Narrow" w:hAnsi="Arial Narrow" w:cs="Open Sans"/>
                <w:i/>
                <w:iCs/>
                <w:sz w:val="20"/>
                <w:szCs w:val="20"/>
              </w:rPr>
            </w:pPr>
            <w:r w:rsidRPr="009742A6">
              <w:rPr>
                <w:rFonts w:ascii="Arial Narrow" w:hAnsi="Arial Narrow" w:cs="Open Sans"/>
                <w:sz w:val="20"/>
                <w:szCs w:val="20"/>
              </w:rPr>
              <w:t xml:space="preserve">Patient must have had, prior to initiating treatment with this drug, an alkaline phosphatase (ALP) level of at least 1.67 times the upper limit of normal (ULN) having accounted for each of: (i) age, (ii) gender, (iii) laboratory to laboratory variances in the definition of ‘normal’, despite treatment with ursodeoxycholic acid for at least 52 cumulative weeks; </w:t>
            </w:r>
          </w:p>
        </w:tc>
      </w:tr>
      <w:tr w:rsidR="009742A6" w:rsidRPr="009742A6" w14:paraId="669ED9BE" w14:textId="77777777" w:rsidTr="00FA26BE">
        <w:tc>
          <w:tcPr>
            <w:tcW w:w="606" w:type="pct"/>
            <w:tcBorders>
              <w:left w:val="single" w:sz="4" w:space="0" w:color="auto"/>
              <w:right w:val="single" w:sz="4" w:space="0" w:color="auto"/>
            </w:tcBorders>
          </w:tcPr>
          <w:p w14:paraId="2268FD7C" w14:textId="77777777" w:rsidR="009742A6" w:rsidRPr="009742A6" w:rsidRDefault="009742A6" w:rsidP="009742A6">
            <w:pPr>
              <w:jc w:val="center"/>
              <w:rPr>
                <w:rFonts w:ascii="Arial Narrow" w:eastAsia="Aptos" w:hAnsi="Arial Narrow" w:cs="Open Sans"/>
                <w:b/>
                <w:b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30D1405C"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4A313A4F" w14:textId="77777777" w:rsidTr="00FA26BE">
        <w:tc>
          <w:tcPr>
            <w:tcW w:w="606" w:type="pct"/>
            <w:tcBorders>
              <w:left w:val="single" w:sz="4" w:space="0" w:color="auto"/>
              <w:right w:val="single" w:sz="4" w:space="0" w:color="auto"/>
            </w:tcBorders>
          </w:tcPr>
          <w:p w14:paraId="7714436F" w14:textId="1EE6756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5F6BEB5D" w14:textId="77777777" w:rsidR="009742A6" w:rsidRPr="009742A6" w:rsidRDefault="009742A6" w:rsidP="009742A6">
            <w:pPr>
              <w:jc w:val="left"/>
              <w:textAlignment w:val="baseline"/>
              <w:rPr>
                <w:rFonts w:ascii="Arial Narrow" w:hAnsi="Arial Narrow" w:cs="Open Sans"/>
                <w:i/>
                <w:iCs/>
                <w:sz w:val="20"/>
                <w:szCs w:val="20"/>
              </w:rPr>
            </w:pPr>
            <w:r w:rsidRPr="009742A6">
              <w:rPr>
                <w:rFonts w:ascii="Arial Narrow" w:hAnsi="Arial Narrow" w:cs="Open Sans"/>
                <w:sz w:val="20"/>
                <w:szCs w:val="20"/>
              </w:rPr>
              <w:t xml:space="preserve">Patient must have had, prior to initiating treatment with this drug, a total bilirubin level above the ULN, despite treatment with ursodeoxycholic acid for at least 52 cumulative weeks; </w:t>
            </w:r>
          </w:p>
        </w:tc>
      </w:tr>
      <w:tr w:rsidR="009742A6" w:rsidRPr="009742A6" w14:paraId="3719F694" w14:textId="77777777" w:rsidTr="00FA26BE">
        <w:tc>
          <w:tcPr>
            <w:tcW w:w="606" w:type="pct"/>
            <w:tcBorders>
              <w:left w:val="single" w:sz="4" w:space="0" w:color="auto"/>
              <w:right w:val="single" w:sz="4" w:space="0" w:color="auto"/>
            </w:tcBorders>
          </w:tcPr>
          <w:p w14:paraId="5D96B546" w14:textId="77777777" w:rsidR="009742A6" w:rsidRPr="009742A6" w:rsidRDefault="009742A6" w:rsidP="009742A6">
            <w:pPr>
              <w:jc w:val="center"/>
              <w:rPr>
                <w:rFonts w:ascii="Arial Narrow" w:eastAsia="Aptos" w:hAnsi="Arial Narrow" w:cs="Open Sans"/>
                <w:b/>
                <w:b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9B530B1"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6DE32478" w14:textId="77777777" w:rsidTr="00FA26BE">
        <w:tc>
          <w:tcPr>
            <w:tcW w:w="606" w:type="pct"/>
            <w:tcBorders>
              <w:left w:val="single" w:sz="4" w:space="0" w:color="auto"/>
              <w:right w:val="single" w:sz="4" w:space="0" w:color="auto"/>
            </w:tcBorders>
          </w:tcPr>
          <w:p w14:paraId="7A156467" w14:textId="0A32B37B" w:rsidR="009742A6" w:rsidRPr="009742A6" w:rsidRDefault="009742A6" w:rsidP="009742A6">
            <w:pPr>
              <w:jc w:val="center"/>
              <w:rPr>
                <w:rFonts w:ascii="Arial Narrow" w:eastAsia="Aptos" w:hAnsi="Arial Narrow" w:cs="Open Sans"/>
                <w:i/>
                <w:iC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1B9BF0D" w14:textId="77777777" w:rsidR="009742A6" w:rsidRPr="009742A6" w:rsidRDefault="009742A6" w:rsidP="009742A6">
            <w:pPr>
              <w:jc w:val="left"/>
              <w:textAlignment w:val="baseline"/>
              <w:rPr>
                <w:rFonts w:ascii="Arial Narrow" w:hAnsi="Arial Narrow" w:cs="Open Sans"/>
                <w:i/>
                <w:iCs/>
                <w:sz w:val="20"/>
                <w:szCs w:val="20"/>
              </w:rPr>
            </w:pPr>
            <w:r w:rsidRPr="009742A6">
              <w:rPr>
                <w:rFonts w:ascii="Arial Narrow" w:hAnsi="Arial Narrow" w:cs="Open Sans"/>
                <w:sz w:val="20"/>
                <w:szCs w:val="20"/>
              </w:rPr>
              <w:t>Patient must have had, prior to initiating treatment with this drug, abnormal readings of at least one of: (i) alkaline phosphatase (ii) total bilirubin, in the presence of an intolerance/contraindication of a severity requiring treatment discontinuation with ursodeoxycholic acid</w:t>
            </w:r>
          </w:p>
        </w:tc>
      </w:tr>
      <w:tr w:rsidR="009742A6" w:rsidRPr="009742A6" w14:paraId="045D0B26" w14:textId="77777777" w:rsidTr="00FA26BE">
        <w:tc>
          <w:tcPr>
            <w:tcW w:w="606" w:type="pct"/>
            <w:tcBorders>
              <w:left w:val="single" w:sz="4" w:space="0" w:color="auto"/>
              <w:right w:val="single" w:sz="4" w:space="0" w:color="auto"/>
            </w:tcBorders>
          </w:tcPr>
          <w:p w14:paraId="3DFB0C20"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630CFD44"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58BA4530" w14:textId="77777777" w:rsidTr="00FA26BE">
        <w:tc>
          <w:tcPr>
            <w:tcW w:w="606" w:type="pct"/>
            <w:tcBorders>
              <w:left w:val="single" w:sz="4" w:space="0" w:color="auto"/>
              <w:right w:val="single" w:sz="4" w:space="0" w:color="auto"/>
            </w:tcBorders>
          </w:tcPr>
          <w:p w14:paraId="0081646F" w14:textId="561C3EF6"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EF6AF91"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sz w:val="20"/>
                <w:szCs w:val="20"/>
              </w:rPr>
              <w:t xml:space="preserve">Patient must have experienced an intolerance to either of (i) obeticholic acid (ii) elafibrinor, of a severity requiring treatment discontinuation, prior to initiating treatment with this drug; </w:t>
            </w:r>
          </w:p>
        </w:tc>
      </w:tr>
      <w:tr w:rsidR="009742A6" w:rsidRPr="009742A6" w14:paraId="21294E87" w14:textId="77777777" w:rsidTr="00FA26BE">
        <w:tc>
          <w:tcPr>
            <w:tcW w:w="606" w:type="pct"/>
            <w:tcBorders>
              <w:left w:val="single" w:sz="4" w:space="0" w:color="auto"/>
              <w:right w:val="single" w:sz="4" w:space="0" w:color="auto"/>
            </w:tcBorders>
          </w:tcPr>
          <w:p w14:paraId="7CFD1D06" w14:textId="77777777"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154F602D"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rPr>
              <w:t>OR</w:t>
            </w:r>
          </w:p>
        </w:tc>
      </w:tr>
      <w:tr w:rsidR="009742A6" w:rsidRPr="009742A6" w14:paraId="07B3E3CE" w14:textId="77777777" w:rsidTr="00FA26BE">
        <w:tc>
          <w:tcPr>
            <w:tcW w:w="606" w:type="pct"/>
            <w:tcBorders>
              <w:left w:val="single" w:sz="4" w:space="0" w:color="auto"/>
              <w:right w:val="single" w:sz="4" w:space="0" w:color="auto"/>
            </w:tcBorders>
          </w:tcPr>
          <w:p w14:paraId="48B66304" w14:textId="14A855EF"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18015F5B"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sz w:val="20"/>
                <w:szCs w:val="20"/>
              </w:rPr>
              <w:t>Patient must have inadequately responded to treatment with (i) obeticholic acid (ii) elafibrinor, prior to initiating treatment with this drug</w:t>
            </w:r>
          </w:p>
        </w:tc>
      </w:tr>
      <w:tr w:rsidR="009742A6" w:rsidRPr="009742A6" w14:paraId="7A656F0D" w14:textId="77777777" w:rsidTr="00FA26BE">
        <w:tc>
          <w:tcPr>
            <w:tcW w:w="606" w:type="pct"/>
            <w:tcBorders>
              <w:left w:val="single" w:sz="4" w:space="0" w:color="auto"/>
              <w:right w:val="single" w:sz="4" w:space="0" w:color="auto"/>
            </w:tcBorders>
          </w:tcPr>
          <w:p w14:paraId="1B36FCBA" w14:textId="18F58140"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278A2977"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Population criteria:</w:t>
            </w:r>
          </w:p>
        </w:tc>
      </w:tr>
      <w:tr w:rsidR="009742A6" w:rsidRPr="009742A6" w14:paraId="1B6A6BCA" w14:textId="77777777" w:rsidTr="00FA26BE">
        <w:tc>
          <w:tcPr>
            <w:tcW w:w="606" w:type="pct"/>
            <w:tcBorders>
              <w:left w:val="single" w:sz="4" w:space="0" w:color="auto"/>
              <w:right w:val="single" w:sz="4" w:space="0" w:color="auto"/>
            </w:tcBorders>
          </w:tcPr>
          <w:p w14:paraId="2062481A" w14:textId="1D6C3C69"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574C304"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 must be at least 18 years of age</w:t>
            </w:r>
          </w:p>
        </w:tc>
      </w:tr>
      <w:tr w:rsidR="009742A6" w:rsidRPr="009742A6" w14:paraId="564FD146" w14:textId="77777777" w:rsidTr="00FA26BE">
        <w:tc>
          <w:tcPr>
            <w:tcW w:w="606" w:type="pct"/>
            <w:tcBorders>
              <w:left w:val="single" w:sz="4" w:space="0" w:color="auto"/>
              <w:right w:val="single" w:sz="4" w:space="0" w:color="auto"/>
            </w:tcBorders>
          </w:tcPr>
          <w:p w14:paraId="5CB5D742" w14:textId="5C56388C"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470FE5A1"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Prescribing Instructions:</w:t>
            </w:r>
          </w:p>
          <w:p w14:paraId="47E9257C"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Document and retain in the patient's medical records the qualifying baseline laboratory reading for the purpose of assessing response to treatment under the 'Continuing treatment' restriction.</w:t>
            </w:r>
          </w:p>
        </w:tc>
      </w:tr>
      <w:tr w:rsidR="009742A6" w:rsidRPr="009742A6" w14:paraId="63FA5F11" w14:textId="77777777" w:rsidTr="00FA26BE">
        <w:tc>
          <w:tcPr>
            <w:tcW w:w="606" w:type="pct"/>
            <w:tcBorders>
              <w:left w:val="single" w:sz="4" w:space="0" w:color="auto"/>
              <w:right w:val="single" w:sz="4" w:space="0" w:color="auto"/>
            </w:tcBorders>
          </w:tcPr>
          <w:p w14:paraId="4F1C525B" w14:textId="72C439BC"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0C90446E"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159DDB7F"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Patients may qualify for PBS-subsidised treatment under this restriction once only. For continuing PBS-subsidised treatment, a 'Grandfathered' patient must qualify under the 'Continuing treatment' criteria.</w:t>
            </w:r>
          </w:p>
        </w:tc>
      </w:tr>
      <w:tr w:rsidR="009742A6" w:rsidRPr="009742A6" w14:paraId="5F560FAF" w14:textId="77777777" w:rsidTr="00FA26BE">
        <w:tc>
          <w:tcPr>
            <w:tcW w:w="606" w:type="pct"/>
            <w:tcBorders>
              <w:left w:val="single" w:sz="4" w:space="0" w:color="auto"/>
              <w:right w:val="single" w:sz="4" w:space="0" w:color="auto"/>
            </w:tcBorders>
          </w:tcPr>
          <w:p w14:paraId="171DF767" w14:textId="6CE7CA32" w:rsidR="009742A6" w:rsidRPr="009742A6" w:rsidRDefault="009742A6" w:rsidP="009742A6">
            <w:pPr>
              <w:jc w:val="center"/>
              <w:rPr>
                <w:rFonts w:ascii="Arial Narrow" w:eastAsia="Aptos" w:hAnsi="Arial Narrow" w:cs="Open Sans"/>
                <w:sz w:val="20"/>
                <w:szCs w:val="20"/>
              </w:rPr>
            </w:pPr>
          </w:p>
        </w:tc>
        <w:tc>
          <w:tcPr>
            <w:tcW w:w="4394" w:type="pct"/>
            <w:tcBorders>
              <w:top w:val="single" w:sz="4" w:space="0" w:color="auto"/>
              <w:left w:val="single" w:sz="4" w:space="0" w:color="auto"/>
              <w:bottom w:val="single" w:sz="4" w:space="0" w:color="auto"/>
              <w:right w:val="single" w:sz="4" w:space="0" w:color="auto"/>
            </w:tcBorders>
          </w:tcPr>
          <w:p w14:paraId="73A8F74B"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3423E006" w14:textId="77777777" w:rsidR="009742A6" w:rsidRPr="009742A6" w:rsidRDefault="009742A6" w:rsidP="009742A6">
            <w:pPr>
              <w:textAlignment w:val="baseline"/>
              <w:rPr>
                <w:rFonts w:ascii="Arial Narrow" w:hAnsi="Arial Narrow" w:cs="Open Sans"/>
                <w:sz w:val="20"/>
                <w:szCs w:val="20"/>
              </w:rPr>
            </w:pPr>
            <w:r w:rsidRPr="009742A6">
              <w:rPr>
                <w:rFonts w:ascii="Arial Narrow" w:hAnsi="Arial Narrow" w:cs="Open Sans"/>
                <w:sz w:val="20"/>
                <w:szCs w:val="20"/>
              </w:rPr>
              <w:t>This grandfather restriction will cease to operate from 12 months after the date specified in the clinical criteria.</w:t>
            </w:r>
          </w:p>
        </w:tc>
      </w:tr>
    </w:tbl>
    <w:p w14:paraId="03A48DAF" w14:textId="77777777" w:rsidR="009742A6" w:rsidRPr="009742A6" w:rsidRDefault="009742A6" w:rsidP="000F0786">
      <w:pPr>
        <w:pStyle w:val="5-SubsectionSubheading"/>
      </w:pPr>
      <w:r w:rsidRPr="009742A6">
        <w:t>Continuing treatment:</w:t>
      </w:r>
    </w:p>
    <w:tbl>
      <w:tblPr>
        <w:tblW w:w="50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797"/>
        <w:gridCol w:w="2697"/>
        <w:gridCol w:w="1079"/>
        <w:gridCol w:w="817"/>
        <w:gridCol w:w="676"/>
        <w:gridCol w:w="676"/>
        <w:gridCol w:w="1826"/>
      </w:tblGrid>
      <w:tr w:rsidR="009742A6" w:rsidRPr="009742A6" w14:paraId="6B99608C" w14:textId="77777777" w:rsidTr="00FA26BE">
        <w:trPr>
          <w:cantSplit/>
          <w:trHeight w:val="471"/>
        </w:trPr>
        <w:tc>
          <w:tcPr>
            <w:tcW w:w="2193" w:type="pct"/>
            <w:gridSpan w:val="3"/>
          </w:tcPr>
          <w:p w14:paraId="5ADC35A2"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w:t>
            </w:r>
          </w:p>
          <w:p w14:paraId="4D02777F" w14:textId="77777777" w:rsidR="009742A6" w:rsidRPr="009742A6" w:rsidRDefault="009742A6" w:rsidP="009742A6">
            <w:pPr>
              <w:keepNext/>
              <w:keepLines/>
              <w:jc w:val="left"/>
              <w:rPr>
                <w:rFonts w:ascii="Arial Narrow" w:eastAsia="Aptos" w:hAnsi="Arial Narrow" w:cstheme="majorBidi"/>
                <w:b/>
                <w:sz w:val="20"/>
              </w:rPr>
            </w:pPr>
            <w:r w:rsidRPr="009742A6">
              <w:rPr>
                <w:rFonts w:ascii="Arial Narrow" w:eastAsia="Aptos" w:hAnsi="Arial Narrow" w:cstheme="majorBidi"/>
                <w:b/>
                <w:sz w:val="20"/>
              </w:rPr>
              <w:t>medicinal product pack</w:t>
            </w:r>
          </w:p>
        </w:tc>
        <w:tc>
          <w:tcPr>
            <w:tcW w:w="597" w:type="pct"/>
          </w:tcPr>
          <w:p w14:paraId="72AF0F56"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PBS item code</w:t>
            </w:r>
          </w:p>
        </w:tc>
        <w:tc>
          <w:tcPr>
            <w:tcW w:w="452" w:type="pct"/>
          </w:tcPr>
          <w:p w14:paraId="40EC4C08"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packs</w:t>
            </w:r>
          </w:p>
        </w:tc>
        <w:tc>
          <w:tcPr>
            <w:tcW w:w="374" w:type="pct"/>
          </w:tcPr>
          <w:p w14:paraId="442D9710"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Max. qty units</w:t>
            </w:r>
          </w:p>
        </w:tc>
        <w:tc>
          <w:tcPr>
            <w:tcW w:w="374" w:type="pct"/>
          </w:tcPr>
          <w:p w14:paraId="24091795"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 of</w:t>
            </w:r>
          </w:p>
          <w:p w14:paraId="0BDA6FA5" w14:textId="77777777" w:rsidR="009742A6" w:rsidRPr="009742A6" w:rsidRDefault="009742A6" w:rsidP="009742A6">
            <w:pPr>
              <w:keepNext/>
              <w:ind w:left="-108"/>
              <w:jc w:val="center"/>
              <w:rPr>
                <w:rFonts w:ascii="Arial Narrow" w:eastAsia="Aptos" w:hAnsi="Arial Narrow"/>
                <w:b/>
                <w:sz w:val="20"/>
                <w:szCs w:val="20"/>
              </w:rPr>
            </w:pPr>
            <w:r w:rsidRPr="009742A6">
              <w:rPr>
                <w:rFonts w:ascii="Arial Narrow" w:eastAsia="Aptos" w:hAnsi="Arial Narrow"/>
                <w:b/>
                <w:sz w:val="20"/>
                <w:szCs w:val="20"/>
              </w:rPr>
              <w:t>Rpts</w:t>
            </w:r>
          </w:p>
        </w:tc>
        <w:tc>
          <w:tcPr>
            <w:tcW w:w="1010" w:type="pct"/>
          </w:tcPr>
          <w:p w14:paraId="55F9CF7A" w14:textId="77777777" w:rsidR="009742A6" w:rsidRPr="009742A6" w:rsidRDefault="009742A6" w:rsidP="009742A6">
            <w:pPr>
              <w:keepNext/>
              <w:rPr>
                <w:rFonts w:ascii="Arial Narrow" w:eastAsia="Aptos" w:hAnsi="Arial Narrow"/>
                <w:b/>
                <w:sz w:val="20"/>
                <w:szCs w:val="20"/>
                <w:lang w:val="fr-FR"/>
              </w:rPr>
            </w:pPr>
            <w:r w:rsidRPr="009742A6">
              <w:rPr>
                <w:rFonts w:ascii="Arial Narrow" w:eastAsia="Aptos" w:hAnsi="Arial Narrow"/>
                <w:b/>
                <w:sz w:val="20"/>
                <w:szCs w:val="20"/>
              </w:rPr>
              <w:t>Available brands</w:t>
            </w:r>
          </w:p>
        </w:tc>
      </w:tr>
      <w:tr w:rsidR="009742A6" w:rsidRPr="009742A6" w14:paraId="557D8E98" w14:textId="77777777" w:rsidTr="00FA26BE">
        <w:trPr>
          <w:cantSplit/>
          <w:trHeight w:val="224"/>
        </w:trPr>
        <w:tc>
          <w:tcPr>
            <w:tcW w:w="5000" w:type="pct"/>
            <w:gridSpan w:val="8"/>
          </w:tcPr>
          <w:p w14:paraId="7619C3E8" w14:textId="77777777" w:rsidR="009742A6" w:rsidRPr="009742A6" w:rsidRDefault="009742A6" w:rsidP="009742A6">
            <w:pPr>
              <w:keepNext/>
              <w:ind w:left="-57"/>
              <w:rPr>
                <w:rFonts w:ascii="Arial Narrow" w:eastAsia="Aptos" w:hAnsi="Arial Narrow"/>
                <w:sz w:val="20"/>
                <w:szCs w:val="20"/>
              </w:rPr>
            </w:pPr>
            <w:r w:rsidRPr="009742A6">
              <w:rPr>
                <w:rFonts w:ascii="Arial Narrow" w:eastAsia="Aptos" w:hAnsi="Arial Narrow"/>
                <w:sz w:val="20"/>
                <w:szCs w:val="20"/>
              </w:rPr>
              <w:t xml:space="preserve"> SELADELPAR</w:t>
            </w:r>
          </w:p>
        </w:tc>
      </w:tr>
      <w:tr w:rsidR="009742A6" w:rsidRPr="009742A6" w14:paraId="46C5C3F5" w14:textId="77777777" w:rsidTr="00FA26BE">
        <w:trPr>
          <w:cantSplit/>
          <w:trHeight w:val="70"/>
        </w:trPr>
        <w:tc>
          <w:tcPr>
            <w:tcW w:w="2193" w:type="pct"/>
            <w:gridSpan w:val="3"/>
          </w:tcPr>
          <w:p w14:paraId="4CD44C0A"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seladelpar 10 mg capsule, 30</w:t>
            </w:r>
          </w:p>
        </w:tc>
        <w:tc>
          <w:tcPr>
            <w:tcW w:w="597" w:type="pct"/>
          </w:tcPr>
          <w:p w14:paraId="0775E7EA"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 xml:space="preserve">NEW </w:t>
            </w:r>
          </w:p>
        </w:tc>
        <w:tc>
          <w:tcPr>
            <w:tcW w:w="452" w:type="pct"/>
          </w:tcPr>
          <w:p w14:paraId="514EAC09"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1</w:t>
            </w:r>
          </w:p>
        </w:tc>
        <w:tc>
          <w:tcPr>
            <w:tcW w:w="374" w:type="pct"/>
          </w:tcPr>
          <w:p w14:paraId="522ABFAB"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30</w:t>
            </w:r>
          </w:p>
        </w:tc>
        <w:tc>
          <w:tcPr>
            <w:tcW w:w="374" w:type="pct"/>
          </w:tcPr>
          <w:p w14:paraId="4D07DA43" w14:textId="77777777" w:rsidR="009742A6" w:rsidRPr="009742A6" w:rsidRDefault="009742A6" w:rsidP="009742A6">
            <w:pPr>
              <w:keepNext/>
              <w:jc w:val="center"/>
              <w:rPr>
                <w:rFonts w:ascii="Arial Narrow" w:eastAsia="Aptos" w:hAnsi="Arial Narrow"/>
                <w:sz w:val="20"/>
                <w:szCs w:val="20"/>
              </w:rPr>
            </w:pPr>
            <w:r w:rsidRPr="009742A6">
              <w:rPr>
                <w:rFonts w:ascii="Arial Narrow" w:eastAsia="Aptos" w:hAnsi="Arial Narrow"/>
                <w:sz w:val="20"/>
                <w:szCs w:val="20"/>
              </w:rPr>
              <w:t>5</w:t>
            </w:r>
          </w:p>
        </w:tc>
        <w:tc>
          <w:tcPr>
            <w:tcW w:w="1010" w:type="pct"/>
            <w:vAlign w:val="center"/>
          </w:tcPr>
          <w:p w14:paraId="414D1FB2" w14:textId="77777777" w:rsidR="009742A6" w:rsidRPr="009742A6" w:rsidRDefault="009742A6" w:rsidP="009742A6">
            <w:pPr>
              <w:keepNext/>
              <w:rPr>
                <w:rFonts w:ascii="Arial Narrow" w:eastAsia="Aptos" w:hAnsi="Arial Narrow"/>
                <w:sz w:val="20"/>
                <w:szCs w:val="20"/>
              </w:rPr>
            </w:pPr>
            <w:r w:rsidRPr="009742A6">
              <w:rPr>
                <w:rFonts w:ascii="Arial Narrow" w:eastAsia="Aptos" w:hAnsi="Arial Narrow"/>
                <w:sz w:val="20"/>
                <w:szCs w:val="20"/>
              </w:rPr>
              <w:t>Livdelzi</w:t>
            </w:r>
          </w:p>
        </w:tc>
      </w:tr>
      <w:tr w:rsidR="009742A6" w:rsidRPr="009742A6" w14:paraId="68C8643F" w14:textId="77777777" w:rsidTr="00FA26BE">
        <w:trPr>
          <w:cantSplit/>
          <w:trHeight w:val="347"/>
        </w:trPr>
        <w:tc>
          <w:tcPr>
            <w:tcW w:w="5000" w:type="pct"/>
            <w:gridSpan w:val="8"/>
          </w:tcPr>
          <w:p w14:paraId="2BFB751B" w14:textId="77777777" w:rsidR="009742A6" w:rsidRPr="009742A6" w:rsidRDefault="009742A6" w:rsidP="009742A6">
            <w:pPr>
              <w:keepNext/>
              <w:rPr>
                <w:rFonts w:ascii="Arial Narrow" w:eastAsia="Aptos" w:hAnsi="Arial Narrow"/>
                <w:sz w:val="20"/>
                <w:szCs w:val="20"/>
              </w:rPr>
            </w:pPr>
          </w:p>
        </w:tc>
      </w:tr>
      <w:tr w:rsidR="009742A6" w:rsidRPr="009742A6" w14:paraId="1A0276B6" w14:textId="77777777" w:rsidTr="00FA26BE">
        <w:trPr>
          <w:cantSplit/>
          <w:trHeight w:val="70"/>
        </w:trPr>
        <w:tc>
          <w:tcPr>
            <w:tcW w:w="5000" w:type="pct"/>
            <w:gridSpan w:val="8"/>
            <w:tcBorders>
              <w:top w:val="single" w:sz="4" w:space="0" w:color="auto"/>
              <w:left w:val="single" w:sz="4" w:space="0" w:color="auto"/>
              <w:bottom w:val="single" w:sz="4" w:space="0" w:color="auto"/>
              <w:right w:val="single" w:sz="4" w:space="0" w:color="auto"/>
            </w:tcBorders>
          </w:tcPr>
          <w:p w14:paraId="6ABAC41D" w14:textId="77777777" w:rsidR="009742A6" w:rsidRPr="009742A6" w:rsidRDefault="009742A6" w:rsidP="009742A6">
            <w:pPr>
              <w:keepNext/>
              <w:rPr>
                <w:rFonts w:ascii="Arial Narrow" w:eastAsia="Aptos" w:hAnsi="Arial Narrow"/>
                <w:b/>
                <w:bCs/>
                <w:sz w:val="20"/>
                <w:szCs w:val="20"/>
              </w:rPr>
            </w:pPr>
            <w:r w:rsidRPr="009742A6">
              <w:rPr>
                <w:rFonts w:ascii="Arial Narrow" w:eastAsia="Aptos" w:hAnsi="Arial Narrow"/>
                <w:b/>
                <w:bCs/>
                <w:sz w:val="20"/>
                <w:szCs w:val="20"/>
              </w:rPr>
              <w:t>Restriction Summary [3] / Treatment of Concept: [3A]</w:t>
            </w:r>
          </w:p>
        </w:tc>
      </w:tr>
      <w:tr w:rsidR="009742A6" w:rsidRPr="009742A6" w14:paraId="7474C962" w14:textId="77777777" w:rsidTr="00FA26BE">
        <w:tblPrEx>
          <w:tblCellMar>
            <w:top w:w="15" w:type="dxa"/>
            <w:left w:w="15" w:type="dxa"/>
            <w:bottom w:w="15" w:type="dxa"/>
            <w:right w:w="15" w:type="dxa"/>
          </w:tblCellMar>
        </w:tblPrEx>
        <w:trPr>
          <w:trHeight w:val="107"/>
        </w:trPr>
        <w:tc>
          <w:tcPr>
            <w:tcW w:w="701" w:type="pct"/>
            <w:gridSpan w:val="2"/>
            <w:vMerge w:val="restart"/>
            <w:tcBorders>
              <w:top w:val="single" w:sz="4" w:space="0" w:color="auto"/>
              <w:left w:val="single" w:sz="4" w:space="0" w:color="auto"/>
              <w:right w:val="single" w:sz="4" w:space="0" w:color="auto"/>
            </w:tcBorders>
          </w:tcPr>
          <w:p w14:paraId="6B90E65A" w14:textId="77777777" w:rsidR="009742A6" w:rsidRPr="009742A6" w:rsidRDefault="009742A6" w:rsidP="009742A6">
            <w:pPr>
              <w:jc w:val="center"/>
              <w:rPr>
                <w:rFonts w:ascii="Arial Narrow" w:eastAsia="Aptos" w:hAnsi="Arial Narrow"/>
                <w:b/>
                <w:sz w:val="20"/>
                <w:szCs w:val="20"/>
              </w:rPr>
            </w:pPr>
            <w:r w:rsidRPr="009742A6">
              <w:rPr>
                <w:rFonts w:ascii="Arial Narrow" w:eastAsia="Aptos" w:hAnsi="Arial Narrow"/>
                <w:b/>
                <w:sz w:val="20"/>
                <w:szCs w:val="20"/>
              </w:rPr>
              <w:t>Concept ID</w:t>
            </w:r>
          </w:p>
          <w:p w14:paraId="30E1FA6A" w14:textId="77777777" w:rsidR="009742A6" w:rsidRPr="009742A6" w:rsidRDefault="009742A6" w:rsidP="009742A6">
            <w:pPr>
              <w:jc w:val="center"/>
              <w:rPr>
                <w:rFonts w:ascii="Arial Narrow" w:eastAsia="Aptos" w:hAnsi="Arial Narrow"/>
                <w:sz w:val="20"/>
                <w:szCs w:val="20"/>
              </w:rPr>
            </w:pPr>
            <w:r w:rsidRPr="009742A6">
              <w:rPr>
                <w:rFonts w:ascii="Arial Narrow" w:eastAsia="Aptos" w:hAnsi="Arial Narrow"/>
                <w:sz w:val="20"/>
                <w:szCs w:val="20"/>
              </w:rPr>
              <w:t>(for internal Dept. use)</w:t>
            </w:r>
          </w:p>
        </w:tc>
        <w:tc>
          <w:tcPr>
            <w:tcW w:w="4299" w:type="pct"/>
            <w:gridSpan w:val="6"/>
            <w:tcBorders>
              <w:top w:val="single" w:sz="4" w:space="0" w:color="auto"/>
              <w:left w:val="single" w:sz="4" w:space="0" w:color="auto"/>
              <w:bottom w:val="single" w:sz="4" w:space="0" w:color="auto"/>
              <w:right w:val="single" w:sz="4" w:space="0" w:color="auto"/>
            </w:tcBorders>
          </w:tcPr>
          <w:p w14:paraId="685087C0" w14:textId="77777777" w:rsidR="009742A6" w:rsidRPr="009742A6" w:rsidRDefault="009742A6" w:rsidP="009742A6">
            <w:pPr>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9742A6" w:rsidRPr="009742A6" w14:paraId="3BB72BC2" w14:textId="77777777" w:rsidTr="00FA26BE">
        <w:tblPrEx>
          <w:tblCellMar>
            <w:top w:w="15" w:type="dxa"/>
            <w:left w:w="15" w:type="dxa"/>
            <w:bottom w:w="15" w:type="dxa"/>
            <w:right w:w="15" w:type="dxa"/>
          </w:tblCellMar>
        </w:tblPrEx>
        <w:trPr>
          <w:trHeight w:val="240"/>
        </w:trPr>
        <w:tc>
          <w:tcPr>
            <w:tcW w:w="701" w:type="pct"/>
            <w:gridSpan w:val="2"/>
            <w:vMerge/>
            <w:tcBorders>
              <w:left w:val="single" w:sz="4" w:space="0" w:color="auto"/>
              <w:right w:val="single" w:sz="4" w:space="0" w:color="auto"/>
            </w:tcBorders>
          </w:tcPr>
          <w:p w14:paraId="3F5E9F60" w14:textId="77777777" w:rsidR="009742A6" w:rsidRPr="009742A6" w:rsidRDefault="009742A6" w:rsidP="009742A6">
            <w:pPr>
              <w:rPr>
                <w:rFonts w:ascii="Arial Narrow" w:eastAsia="Aptos" w:hAnsi="Arial Narrow"/>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2C14F992" w14:textId="77777777" w:rsidR="009742A6" w:rsidRPr="009742A6" w:rsidRDefault="009742A6" w:rsidP="009742A6">
            <w:pPr>
              <w:rPr>
                <w:rFonts w:ascii="Arial Narrow" w:eastAsia="Aptos" w:hAnsi="Arial Narrow"/>
                <w:b/>
                <w:sz w:val="20"/>
                <w:szCs w:val="20"/>
              </w:rPr>
            </w:pPr>
            <w:r w:rsidRPr="009742A6">
              <w:rPr>
                <w:rFonts w:ascii="Arial Narrow" w:eastAsia="Aptos" w:hAnsi="Arial Narrow"/>
                <w:b/>
                <w:sz w:val="20"/>
                <w:szCs w:val="20"/>
              </w:rPr>
              <w:t>Prescriber type:</w:t>
            </w:r>
            <w:r w:rsidRPr="009742A6">
              <w:rPr>
                <w:rFonts w:ascii="Arial Narrow" w:eastAsia="Aptos" w:hAnsi="Arial Narrow"/>
                <w:sz w:val="20"/>
                <w:szCs w:val="20"/>
              </w:rPr>
              <w:t xml:space="preserv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 </w:t>
            </w:r>
            <w:r w:rsidRPr="009742A6">
              <w:rPr>
                <w:rFonts w:ascii="Arial Narrow" w:hAnsi="Arial Narrow"/>
                <w:sz w:val="20"/>
                <w:szCs w:val="20"/>
              </w:rPr>
              <w:fldChar w:fldCharType="begin">
                <w:ffData>
                  <w:name w:val=""/>
                  <w:enabled/>
                  <w:calcOnExit w:val="0"/>
                  <w:checkBox>
                    <w:sizeAuto/>
                    <w:default w:val="1"/>
                  </w:checkBox>
                </w:ffData>
              </w:fldChar>
            </w:r>
            <w:r w:rsidRPr="009742A6">
              <w:rPr>
                <w:rFonts w:ascii="Arial Narrow" w:hAnsi="Arial Narrow"/>
                <w:sz w:val="20"/>
                <w:szCs w:val="20"/>
              </w:rPr>
              <w:instrText xml:space="preserve"> FORMCHECKBOX </w:instrText>
            </w:r>
            <w:r w:rsidRPr="009742A6">
              <w:rPr>
                <w:rFonts w:ascii="Arial Narrow" w:hAnsi="Arial Narrow"/>
                <w:sz w:val="20"/>
                <w:szCs w:val="20"/>
              </w:rPr>
            </w:r>
            <w:r w:rsidRPr="009742A6">
              <w:rPr>
                <w:rFonts w:ascii="Arial Narrow" w:hAnsi="Arial Narrow"/>
                <w:sz w:val="20"/>
                <w:szCs w:val="20"/>
              </w:rPr>
              <w:fldChar w:fldCharType="separate"/>
            </w:r>
            <w:r w:rsidRPr="009742A6">
              <w:rPr>
                <w:rFonts w:ascii="Arial Narrow" w:hAnsi="Arial Narrow"/>
                <w:sz w:val="20"/>
                <w:szCs w:val="20"/>
              </w:rPr>
              <w:fldChar w:fldCharType="end"/>
            </w:r>
            <w:r w:rsidRPr="009742A6">
              <w:rPr>
                <w:rFonts w:ascii="Arial Narrow" w:hAnsi="Arial Narrow"/>
                <w:sz w:val="20"/>
                <w:szCs w:val="20"/>
              </w:rPr>
              <w:t xml:space="preserve"> Nurse Practitioners</w:t>
            </w:r>
          </w:p>
        </w:tc>
      </w:tr>
      <w:tr w:rsidR="009742A6" w:rsidRPr="009742A6" w14:paraId="6B36B7FD" w14:textId="77777777" w:rsidTr="00FA26BE">
        <w:tblPrEx>
          <w:tblCellMar>
            <w:top w:w="15" w:type="dxa"/>
            <w:left w:w="15" w:type="dxa"/>
            <w:bottom w:w="15" w:type="dxa"/>
            <w:right w:w="15" w:type="dxa"/>
          </w:tblCellMar>
        </w:tblPrEx>
        <w:tc>
          <w:tcPr>
            <w:tcW w:w="701" w:type="pct"/>
            <w:gridSpan w:val="2"/>
            <w:vMerge/>
            <w:tcBorders>
              <w:left w:val="single" w:sz="4" w:space="0" w:color="auto"/>
              <w:right w:val="single" w:sz="4" w:space="0" w:color="auto"/>
            </w:tcBorders>
          </w:tcPr>
          <w:p w14:paraId="7D168385" w14:textId="77777777" w:rsidR="009742A6" w:rsidRPr="009742A6" w:rsidRDefault="009742A6" w:rsidP="009742A6">
            <w:pPr>
              <w:rPr>
                <w:rFonts w:ascii="Arial Narrow" w:eastAsia="Aptos" w:hAnsi="Arial Narrow"/>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63C0818C" w14:textId="77777777" w:rsidR="009742A6" w:rsidRPr="009742A6" w:rsidRDefault="009742A6" w:rsidP="009742A6">
            <w:pPr>
              <w:rPr>
                <w:rFonts w:ascii="Arial Narrow" w:eastAsia="Calibri" w:hAnsi="Arial Narrow"/>
                <w:color w:val="FF00FF"/>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STREAMLINED</w:t>
            </w:r>
          </w:p>
        </w:tc>
      </w:tr>
      <w:tr w:rsidR="009742A6" w:rsidRPr="009742A6" w14:paraId="4C4E8044" w14:textId="77777777" w:rsidTr="00FA26BE">
        <w:tblPrEx>
          <w:tblCellMar>
            <w:top w:w="15" w:type="dxa"/>
            <w:left w:w="15" w:type="dxa"/>
            <w:bottom w:w="15" w:type="dxa"/>
            <w:right w:w="15" w:type="dxa"/>
          </w:tblCellMar>
        </w:tblPrEx>
        <w:trPr>
          <w:trHeight w:val="256"/>
        </w:trPr>
        <w:tc>
          <w:tcPr>
            <w:tcW w:w="260" w:type="pct"/>
            <w:vMerge w:val="restart"/>
            <w:tcBorders>
              <w:left w:val="single" w:sz="4" w:space="0" w:color="auto"/>
              <w:right w:val="single" w:sz="4" w:space="0" w:color="auto"/>
            </w:tcBorders>
            <w:textDirection w:val="btLr"/>
          </w:tcPr>
          <w:p w14:paraId="2D3D66D6" w14:textId="77777777" w:rsidR="009742A6" w:rsidRPr="009742A6" w:rsidRDefault="009742A6" w:rsidP="009742A6">
            <w:pPr>
              <w:ind w:left="113" w:right="113"/>
              <w:jc w:val="center"/>
              <w:rPr>
                <w:rFonts w:ascii="Arial Narrow" w:hAnsi="Arial Narrow"/>
                <w:sz w:val="20"/>
                <w:szCs w:val="20"/>
              </w:rPr>
            </w:pPr>
            <w:r w:rsidRPr="009742A6">
              <w:rPr>
                <w:rFonts w:ascii="Arial Narrow" w:hAnsi="Arial Narrow"/>
                <w:sz w:val="20"/>
                <w:szCs w:val="20"/>
              </w:rPr>
              <w:t>Prescribing rule level</w:t>
            </w:r>
          </w:p>
        </w:tc>
        <w:tc>
          <w:tcPr>
            <w:tcW w:w="441" w:type="pct"/>
            <w:tcBorders>
              <w:left w:val="single" w:sz="4" w:space="0" w:color="auto"/>
              <w:right w:val="single" w:sz="4" w:space="0" w:color="auto"/>
            </w:tcBorders>
          </w:tcPr>
          <w:p w14:paraId="279EF862" w14:textId="1344C565" w:rsidR="009742A6" w:rsidRPr="009742A6" w:rsidRDefault="009742A6" w:rsidP="009742A6">
            <w:pPr>
              <w:jc w:val="left"/>
              <w:rPr>
                <w:rFonts w:ascii="Arial Narrow" w:eastAsia="Aptos" w:hAnsi="Arial Narrow" w:cs="Open Sans"/>
                <w:color w:val="333333"/>
                <w:sz w:val="20"/>
                <w:szCs w:val="20"/>
              </w:rPr>
            </w:pPr>
          </w:p>
        </w:tc>
        <w:tc>
          <w:tcPr>
            <w:tcW w:w="4299" w:type="pct"/>
            <w:gridSpan w:val="6"/>
            <w:tcBorders>
              <w:top w:val="single" w:sz="4" w:space="0" w:color="auto"/>
              <w:left w:val="single" w:sz="4" w:space="0" w:color="auto"/>
              <w:right w:val="single" w:sz="4" w:space="0" w:color="auto"/>
            </w:tcBorders>
          </w:tcPr>
          <w:p w14:paraId="18AB9CDF"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0AADE59D" w14:textId="77777777" w:rsidR="009742A6" w:rsidRPr="009742A6" w:rsidRDefault="009742A6" w:rsidP="009742A6">
            <w:pPr>
              <w:jc w:val="left"/>
              <w:rPr>
                <w:rFonts w:ascii="Arial Narrow" w:hAnsi="Arial Narrow" w:cs="Open Sans"/>
                <w:b/>
                <w:bCs/>
                <w:i/>
                <w:iCs/>
                <w:color w:val="333333"/>
                <w:sz w:val="20"/>
                <w:szCs w:val="20"/>
                <w:bdr w:val="none" w:sz="0" w:space="0" w:color="auto" w:frame="1"/>
              </w:rPr>
            </w:pPr>
            <w:r w:rsidRPr="009742A6">
              <w:rPr>
                <w:rFonts w:ascii="Arial Narrow" w:eastAsia="Aptos" w:hAnsi="Arial Narrow" w:cs="Open Sans"/>
                <w:color w:val="333333"/>
                <w:sz w:val="20"/>
                <w:szCs w:val="20"/>
              </w:rPr>
              <w:t>Not for use in the treatment of sclerosing cholangitis</w:t>
            </w:r>
          </w:p>
        </w:tc>
      </w:tr>
      <w:tr w:rsidR="009742A6" w:rsidRPr="009742A6" w14:paraId="2226EA26" w14:textId="77777777" w:rsidTr="00FA26BE">
        <w:tblPrEx>
          <w:tblCellMar>
            <w:top w:w="15" w:type="dxa"/>
            <w:left w:w="15" w:type="dxa"/>
            <w:bottom w:w="15" w:type="dxa"/>
            <w:right w:w="15" w:type="dxa"/>
          </w:tblCellMar>
        </w:tblPrEx>
        <w:tc>
          <w:tcPr>
            <w:tcW w:w="260" w:type="pct"/>
            <w:vMerge/>
            <w:tcBorders>
              <w:left w:val="single" w:sz="4" w:space="0" w:color="auto"/>
              <w:right w:val="single" w:sz="4" w:space="0" w:color="auto"/>
            </w:tcBorders>
          </w:tcPr>
          <w:p w14:paraId="7A9B8E6F"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3CB44172" w14:textId="50557674" w:rsidR="009742A6" w:rsidRPr="009742A6" w:rsidRDefault="009742A6" w:rsidP="009742A6">
            <w:pPr>
              <w:jc w:val="left"/>
              <w:rPr>
                <w:rFonts w:ascii="Arial Narrow" w:eastAsia="Aptos" w:hAnsi="Arial Narrow" w:cs="Open Sans"/>
                <w:color w:val="333333"/>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6A3F7579"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1F8A929A"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quantity or number of units may be authorised.</w:t>
            </w:r>
          </w:p>
        </w:tc>
      </w:tr>
      <w:tr w:rsidR="009742A6" w:rsidRPr="009742A6" w14:paraId="1451651E" w14:textId="77777777" w:rsidTr="00FA26BE">
        <w:tblPrEx>
          <w:tblCellMar>
            <w:top w:w="15" w:type="dxa"/>
            <w:left w:w="15" w:type="dxa"/>
            <w:bottom w:w="15" w:type="dxa"/>
            <w:right w:w="15" w:type="dxa"/>
          </w:tblCellMar>
        </w:tblPrEx>
        <w:tc>
          <w:tcPr>
            <w:tcW w:w="260" w:type="pct"/>
            <w:vMerge/>
            <w:tcBorders>
              <w:left w:val="single" w:sz="4" w:space="0" w:color="auto"/>
              <w:right w:val="single" w:sz="4" w:space="0" w:color="auto"/>
            </w:tcBorders>
          </w:tcPr>
          <w:p w14:paraId="49F1833A"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51443697" w14:textId="79AE13E8" w:rsidR="009742A6" w:rsidRPr="009742A6" w:rsidRDefault="009742A6" w:rsidP="009742A6">
            <w:pPr>
              <w:jc w:val="left"/>
              <w:rPr>
                <w:rFonts w:ascii="Arial Narrow" w:eastAsia="Aptos" w:hAnsi="Arial Narrow" w:cs="Open Sans"/>
                <w:color w:val="333333"/>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40EF159F" w14:textId="77777777" w:rsidR="009742A6" w:rsidRPr="009742A6" w:rsidRDefault="009742A6" w:rsidP="009742A6">
            <w:pPr>
              <w:jc w:val="left"/>
              <w:textAlignment w:val="baseline"/>
              <w:rPr>
                <w:rFonts w:ascii="Arial Narrow" w:hAnsi="Arial Narrow" w:cs="Open Sans"/>
                <w:color w:val="333333"/>
                <w:sz w:val="20"/>
                <w:szCs w:val="20"/>
              </w:rPr>
            </w:pPr>
            <w:r w:rsidRPr="009742A6">
              <w:rPr>
                <w:rFonts w:ascii="Arial Narrow" w:hAnsi="Arial Narrow" w:cs="Open Sans"/>
                <w:b/>
                <w:bCs/>
                <w:color w:val="333333"/>
                <w:sz w:val="20"/>
                <w:szCs w:val="20"/>
                <w:bdr w:val="none" w:sz="0" w:space="0" w:color="auto" w:frame="1"/>
              </w:rPr>
              <w:t>Administrative Advice:</w:t>
            </w:r>
          </w:p>
          <w:p w14:paraId="2F1D5BA4"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color w:val="333333"/>
                <w:sz w:val="20"/>
                <w:szCs w:val="20"/>
              </w:rPr>
              <w:t>No increase in the maximum number of repeats may be authorised.</w:t>
            </w:r>
          </w:p>
        </w:tc>
      </w:tr>
      <w:tr w:rsidR="009742A6" w:rsidRPr="009742A6" w14:paraId="4BA97029" w14:textId="77777777" w:rsidTr="00FA26BE">
        <w:tblPrEx>
          <w:tblCellMar>
            <w:top w:w="15" w:type="dxa"/>
            <w:left w:w="15" w:type="dxa"/>
            <w:bottom w:w="15" w:type="dxa"/>
            <w:right w:w="15" w:type="dxa"/>
          </w:tblCellMar>
        </w:tblPrEx>
        <w:tc>
          <w:tcPr>
            <w:tcW w:w="260" w:type="pct"/>
            <w:vMerge/>
            <w:tcBorders>
              <w:left w:val="single" w:sz="4" w:space="0" w:color="auto"/>
              <w:right w:val="single" w:sz="4" w:space="0" w:color="auto"/>
            </w:tcBorders>
          </w:tcPr>
          <w:p w14:paraId="11A0EEC4" w14:textId="77777777" w:rsidR="009742A6" w:rsidRPr="009742A6" w:rsidRDefault="009742A6" w:rsidP="009742A6">
            <w:pPr>
              <w:jc w:val="center"/>
              <w:rPr>
                <w:rFonts w:ascii="Arial Narrow" w:eastAsia="Aptos" w:hAnsi="Arial Narrow" w:cs="Open Sans"/>
                <w:i/>
                <w:iCs/>
                <w:color w:val="333333"/>
                <w:sz w:val="20"/>
                <w:szCs w:val="20"/>
              </w:rPr>
            </w:pPr>
          </w:p>
        </w:tc>
        <w:tc>
          <w:tcPr>
            <w:tcW w:w="441" w:type="pct"/>
            <w:tcBorders>
              <w:left w:val="single" w:sz="4" w:space="0" w:color="auto"/>
              <w:right w:val="single" w:sz="4" w:space="0" w:color="auto"/>
            </w:tcBorders>
          </w:tcPr>
          <w:p w14:paraId="65F497E3" w14:textId="263EAE55" w:rsidR="009742A6" w:rsidRPr="009742A6" w:rsidRDefault="009742A6" w:rsidP="009742A6">
            <w:pPr>
              <w:jc w:val="left"/>
              <w:rPr>
                <w:rFonts w:ascii="Arial Narrow" w:eastAsia="Aptos" w:hAnsi="Arial Narrow" w:cs="Open Sans"/>
                <w:color w:val="333333"/>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7373D2A0" w14:textId="77777777" w:rsidR="009742A6" w:rsidRPr="009742A6" w:rsidRDefault="009742A6" w:rsidP="009742A6">
            <w:pPr>
              <w:jc w:val="left"/>
              <w:textAlignment w:val="baseline"/>
              <w:rPr>
                <w:rFonts w:ascii="Arial Narrow" w:hAnsi="Arial Narrow" w:cs="Open Sans"/>
                <w:b/>
                <w:bCs/>
                <w:color w:val="333333"/>
                <w:sz w:val="20"/>
                <w:szCs w:val="20"/>
                <w:bdr w:val="none" w:sz="0" w:space="0" w:color="auto" w:frame="1"/>
              </w:rPr>
            </w:pPr>
            <w:r w:rsidRPr="009742A6">
              <w:rPr>
                <w:rFonts w:ascii="Arial Narrow" w:hAnsi="Arial Narrow" w:cs="Open Sans"/>
                <w:b/>
                <w:bCs/>
                <w:color w:val="333333"/>
                <w:sz w:val="20"/>
                <w:szCs w:val="20"/>
                <w:bdr w:val="none" w:sz="0" w:space="0" w:color="auto" w:frame="1"/>
              </w:rPr>
              <w:t>Administrative Advice:</w:t>
            </w:r>
          </w:p>
          <w:p w14:paraId="3D644B4C" w14:textId="77777777" w:rsidR="009742A6" w:rsidRPr="009742A6" w:rsidRDefault="009742A6" w:rsidP="009742A6">
            <w:pPr>
              <w:jc w:val="left"/>
              <w:textAlignment w:val="baseline"/>
              <w:rPr>
                <w:rFonts w:ascii="Arial Narrow" w:hAnsi="Arial Narrow" w:cs="Open Sans"/>
                <w:color w:val="333333"/>
                <w:sz w:val="20"/>
                <w:szCs w:val="20"/>
                <w:bdr w:val="none" w:sz="0" w:space="0" w:color="auto" w:frame="1"/>
              </w:rPr>
            </w:pPr>
            <w:r w:rsidRPr="009742A6">
              <w:rPr>
                <w:rFonts w:ascii="Arial Narrow" w:hAnsi="Arial Narrow" w:cs="Open Sans"/>
                <w:color w:val="333333"/>
                <w:sz w:val="20"/>
                <w:szCs w:val="20"/>
                <w:bdr w:val="none" w:sz="0" w:space="0" w:color="auto" w:frame="1"/>
              </w:rPr>
              <w:t>Special Pricing Arrangements apply.</w:t>
            </w:r>
          </w:p>
        </w:tc>
      </w:tr>
      <w:tr w:rsidR="009742A6" w:rsidRPr="009742A6" w14:paraId="52795419" w14:textId="77777777" w:rsidTr="00FA26BE">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right w:val="single" w:sz="4" w:space="0" w:color="auto"/>
            </w:tcBorders>
          </w:tcPr>
          <w:p w14:paraId="3E40AEA9" w14:textId="77777777" w:rsidR="009742A6" w:rsidRPr="009742A6" w:rsidRDefault="009742A6" w:rsidP="009742A6">
            <w:pPr>
              <w:textAlignment w:val="baseline"/>
              <w:rPr>
                <w:rFonts w:ascii="Arial Narrow" w:hAnsi="Arial Narrow" w:cs="Open Sans"/>
                <w:b/>
                <w:bCs/>
                <w:sz w:val="20"/>
                <w:szCs w:val="20"/>
                <w:bdr w:val="none" w:sz="0" w:space="0" w:color="auto" w:frame="1"/>
              </w:rPr>
            </w:pPr>
          </w:p>
        </w:tc>
      </w:tr>
      <w:tr w:rsidR="009742A6" w:rsidRPr="009742A6" w14:paraId="36F18625" w14:textId="77777777" w:rsidTr="00FA26BE">
        <w:tblPrEx>
          <w:tblCellMar>
            <w:top w:w="15" w:type="dxa"/>
            <w:left w:w="15" w:type="dxa"/>
            <w:bottom w:w="15" w:type="dxa"/>
            <w:right w:w="15" w:type="dxa"/>
          </w:tblCellMar>
        </w:tblPrEx>
        <w:trPr>
          <w:trHeight w:val="119"/>
        </w:trPr>
        <w:tc>
          <w:tcPr>
            <w:tcW w:w="701" w:type="pct"/>
            <w:gridSpan w:val="2"/>
            <w:vMerge w:val="restart"/>
            <w:tcBorders>
              <w:top w:val="single" w:sz="4" w:space="0" w:color="auto"/>
              <w:left w:val="single" w:sz="4" w:space="0" w:color="auto"/>
              <w:right w:val="single" w:sz="4" w:space="0" w:color="auto"/>
            </w:tcBorders>
          </w:tcPr>
          <w:p w14:paraId="139C2098" w14:textId="77777777" w:rsidR="009742A6" w:rsidRPr="009742A6" w:rsidRDefault="009742A6" w:rsidP="009742A6">
            <w:pPr>
              <w:jc w:val="center"/>
              <w:rPr>
                <w:rFonts w:ascii="Arial Narrow" w:eastAsia="Aptos" w:hAnsi="Arial Narrow"/>
                <w:b/>
                <w:sz w:val="20"/>
                <w:szCs w:val="20"/>
              </w:rPr>
            </w:pPr>
            <w:r w:rsidRPr="009742A6">
              <w:rPr>
                <w:rFonts w:ascii="Arial Narrow" w:eastAsia="Aptos" w:hAnsi="Arial Narrow"/>
                <w:b/>
                <w:sz w:val="20"/>
                <w:szCs w:val="20"/>
              </w:rPr>
              <w:t>Concept ID</w:t>
            </w:r>
          </w:p>
          <w:p w14:paraId="679B3511" w14:textId="77777777" w:rsidR="009742A6" w:rsidRPr="009742A6" w:rsidRDefault="009742A6" w:rsidP="009742A6">
            <w:pPr>
              <w:jc w:val="center"/>
              <w:rPr>
                <w:rFonts w:ascii="Arial Narrow" w:eastAsia="Aptos" w:hAnsi="Arial Narrow"/>
                <w:sz w:val="20"/>
                <w:szCs w:val="20"/>
              </w:rPr>
            </w:pPr>
            <w:r w:rsidRPr="009742A6">
              <w:rPr>
                <w:rFonts w:ascii="Arial Narrow" w:eastAsia="Aptos" w:hAnsi="Arial Narrow"/>
                <w:sz w:val="20"/>
                <w:szCs w:val="20"/>
              </w:rPr>
              <w:t>(for internal Dept. use)</w:t>
            </w:r>
          </w:p>
        </w:tc>
        <w:tc>
          <w:tcPr>
            <w:tcW w:w="4299" w:type="pct"/>
            <w:gridSpan w:val="6"/>
            <w:tcBorders>
              <w:top w:val="single" w:sz="4" w:space="0" w:color="auto"/>
              <w:left w:val="single" w:sz="4" w:space="0" w:color="auto"/>
              <w:bottom w:val="single" w:sz="4" w:space="0" w:color="auto"/>
              <w:right w:val="single" w:sz="4" w:space="0" w:color="auto"/>
            </w:tcBorders>
          </w:tcPr>
          <w:p w14:paraId="484FC2D0" w14:textId="77777777" w:rsidR="009742A6" w:rsidRPr="009742A6" w:rsidRDefault="009742A6" w:rsidP="009742A6">
            <w:pPr>
              <w:jc w:val="left"/>
              <w:rPr>
                <w:rFonts w:ascii="Arial Narrow" w:eastAsia="Aptos" w:hAnsi="Arial Narrow"/>
                <w:sz w:val="20"/>
                <w:szCs w:val="20"/>
              </w:rPr>
            </w:pPr>
            <w:r w:rsidRPr="009742A6">
              <w:rPr>
                <w:rFonts w:ascii="Arial Narrow" w:eastAsia="Aptos" w:hAnsi="Arial Narrow"/>
                <w:b/>
                <w:sz w:val="20"/>
                <w:szCs w:val="20"/>
              </w:rPr>
              <w:t xml:space="preserve">Category / Program: </w:t>
            </w:r>
            <w:r w:rsidRPr="009742A6">
              <w:rPr>
                <w:rFonts w:ascii="Arial Narrow" w:eastAsia="Calibri" w:hAnsi="Arial Narrow"/>
                <w:sz w:val="20"/>
                <w:szCs w:val="20"/>
              </w:rPr>
              <w:fldChar w:fldCharType="begin">
                <w:ffData>
                  <w:name w:val="Check1"/>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GENERAL - General Schedule (Code GE)</w:t>
            </w:r>
          </w:p>
        </w:tc>
      </w:tr>
      <w:tr w:rsidR="009742A6" w:rsidRPr="009742A6" w14:paraId="132662DD" w14:textId="77777777" w:rsidTr="00FA26BE">
        <w:tblPrEx>
          <w:tblCellMar>
            <w:top w:w="15" w:type="dxa"/>
            <w:left w:w="15" w:type="dxa"/>
            <w:bottom w:w="15" w:type="dxa"/>
            <w:right w:w="15" w:type="dxa"/>
          </w:tblCellMar>
        </w:tblPrEx>
        <w:trPr>
          <w:trHeight w:val="240"/>
        </w:trPr>
        <w:tc>
          <w:tcPr>
            <w:tcW w:w="701" w:type="pct"/>
            <w:gridSpan w:val="2"/>
            <w:vMerge/>
            <w:tcBorders>
              <w:left w:val="single" w:sz="4" w:space="0" w:color="auto"/>
              <w:right w:val="single" w:sz="4" w:space="0" w:color="auto"/>
            </w:tcBorders>
          </w:tcPr>
          <w:p w14:paraId="6AB41873" w14:textId="77777777" w:rsidR="009742A6" w:rsidRPr="009742A6" w:rsidRDefault="009742A6" w:rsidP="009742A6">
            <w:pPr>
              <w:rPr>
                <w:rFonts w:ascii="Arial Narrow" w:eastAsia="Aptos" w:hAnsi="Arial Narrow"/>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1A1AD9E8" w14:textId="77777777" w:rsidR="009742A6" w:rsidRPr="009742A6" w:rsidRDefault="009742A6" w:rsidP="009742A6">
            <w:pPr>
              <w:jc w:val="left"/>
              <w:rPr>
                <w:rFonts w:ascii="Arial Narrow" w:eastAsia="Aptos" w:hAnsi="Arial Narrow"/>
                <w:b/>
                <w:sz w:val="20"/>
                <w:szCs w:val="20"/>
              </w:rPr>
            </w:pPr>
            <w:r w:rsidRPr="009742A6">
              <w:rPr>
                <w:rFonts w:ascii="Arial Narrow" w:eastAsia="Aptos" w:hAnsi="Arial Narrow"/>
                <w:b/>
                <w:sz w:val="20"/>
                <w:szCs w:val="20"/>
              </w:rPr>
              <w:t>Prescriber type:</w:t>
            </w:r>
            <w:r w:rsidRPr="009742A6">
              <w:rPr>
                <w:rFonts w:ascii="Arial Narrow" w:eastAsia="Aptos" w:hAnsi="Arial Narrow"/>
                <w:sz w:val="20"/>
                <w:szCs w:val="20"/>
              </w:rPr>
              <w:t xml:space="preserve"> </w:t>
            </w:r>
            <w:r w:rsidRPr="009742A6">
              <w:rPr>
                <w:rFonts w:ascii="Arial Narrow" w:eastAsia="Aptos" w:hAnsi="Arial Narrow"/>
                <w:sz w:val="20"/>
                <w:szCs w:val="20"/>
              </w:rPr>
              <w:fldChar w:fldCharType="begin">
                <w:ffData>
                  <w:name w:val=""/>
                  <w:enabled/>
                  <w:calcOnExit w:val="0"/>
                  <w:checkBox>
                    <w:sizeAuto/>
                    <w:default w:val="1"/>
                  </w:checkBox>
                </w:ffData>
              </w:fldChar>
            </w:r>
            <w:r w:rsidRPr="009742A6">
              <w:rPr>
                <w:rFonts w:ascii="Arial Narrow" w:eastAsia="Aptos" w:hAnsi="Arial Narrow"/>
                <w:sz w:val="20"/>
                <w:szCs w:val="20"/>
              </w:rPr>
              <w:instrText xml:space="preserve"> FORMCHECKBOX </w:instrText>
            </w:r>
            <w:r w:rsidRPr="009742A6">
              <w:rPr>
                <w:rFonts w:ascii="Arial Narrow" w:eastAsia="Aptos" w:hAnsi="Arial Narrow"/>
                <w:sz w:val="20"/>
                <w:szCs w:val="20"/>
              </w:rPr>
            </w:r>
            <w:r w:rsidRPr="009742A6">
              <w:rPr>
                <w:rFonts w:ascii="Arial Narrow" w:eastAsia="Aptos" w:hAnsi="Arial Narrow"/>
                <w:sz w:val="20"/>
                <w:szCs w:val="20"/>
              </w:rPr>
              <w:fldChar w:fldCharType="separate"/>
            </w:r>
            <w:r w:rsidRPr="009742A6">
              <w:rPr>
                <w:rFonts w:ascii="Arial Narrow" w:eastAsia="Aptos" w:hAnsi="Arial Narrow"/>
                <w:sz w:val="20"/>
                <w:szCs w:val="20"/>
              </w:rPr>
              <w:fldChar w:fldCharType="end"/>
            </w:r>
            <w:r w:rsidRPr="009742A6">
              <w:rPr>
                <w:rFonts w:ascii="Arial Narrow" w:eastAsia="Aptos" w:hAnsi="Arial Narrow"/>
                <w:sz w:val="20"/>
                <w:szCs w:val="20"/>
              </w:rPr>
              <w:t xml:space="preserve"> Medical Practitioners </w:t>
            </w:r>
            <w:r w:rsidRPr="009742A6">
              <w:rPr>
                <w:rFonts w:ascii="Arial Narrow" w:hAnsi="Arial Narrow"/>
                <w:sz w:val="20"/>
                <w:szCs w:val="20"/>
              </w:rPr>
              <w:fldChar w:fldCharType="begin">
                <w:ffData>
                  <w:name w:val=""/>
                  <w:enabled/>
                  <w:calcOnExit w:val="0"/>
                  <w:checkBox>
                    <w:sizeAuto/>
                    <w:default w:val="1"/>
                  </w:checkBox>
                </w:ffData>
              </w:fldChar>
            </w:r>
            <w:r w:rsidRPr="009742A6">
              <w:rPr>
                <w:rFonts w:ascii="Arial Narrow" w:hAnsi="Arial Narrow"/>
                <w:sz w:val="20"/>
                <w:szCs w:val="20"/>
              </w:rPr>
              <w:instrText xml:space="preserve"> FORMCHECKBOX </w:instrText>
            </w:r>
            <w:r w:rsidRPr="009742A6">
              <w:rPr>
                <w:rFonts w:ascii="Arial Narrow" w:hAnsi="Arial Narrow"/>
                <w:sz w:val="20"/>
                <w:szCs w:val="20"/>
              </w:rPr>
            </w:r>
            <w:r w:rsidRPr="009742A6">
              <w:rPr>
                <w:rFonts w:ascii="Arial Narrow" w:hAnsi="Arial Narrow"/>
                <w:sz w:val="20"/>
                <w:szCs w:val="20"/>
              </w:rPr>
              <w:fldChar w:fldCharType="separate"/>
            </w:r>
            <w:r w:rsidRPr="009742A6">
              <w:rPr>
                <w:rFonts w:ascii="Arial Narrow" w:hAnsi="Arial Narrow"/>
                <w:sz w:val="20"/>
                <w:szCs w:val="20"/>
              </w:rPr>
              <w:fldChar w:fldCharType="end"/>
            </w:r>
            <w:r w:rsidRPr="009742A6">
              <w:rPr>
                <w:rFonts w:ascii="Arial Narrow" w:hAnsi="Arial Narrow"/>
                <w:sz w:val="20"/>
                <w:szCs w:val="20"/>
              </w:rPr>
              <w:t xml:space="preserve"> Nurse Practitioners</w:t>
            </w:r>
          </w:p>
        </w:tc>
      </w:tr>
      <w:tr w:rsidR="009742A6" w:rsidRPr="009742A6" w14:paraId="4ABAB734" w14:textId="77777777" w:rsidTr="00FA26BE">
        <w:tblPrEx>
          <w:tblCellMar>
            <w:top w:w="15" w:type="dxa"/>
            <w:left w:w="15" w:type="dxa"/>
            <w:bottom w:w="15" w:type="dxa"/>
            <w:right w:w="15" w:type="dxa"/>
          </w:tblCellMar>
        </w:tblPrEx>
        <w:tc>
          <w:tcPr>
            <w:tcW w:w="701" w:type="pct"/>
            <w:gridSpan w:val="2"/>
            <w:vMerge/>
            <w:tcBorders>
              <w:left w:val="single" w:sz="4" w:space="0" w:color="auto"/>
              <w:right w:val="single" w:sz="4" w:space="0" w:color="auto"/>
            </w:tcBorders>
          </w:tcPr>
          <w:p w14:paraId="42AB79FF" w14:textId="77777777" w:rsidR="009742A6" w:rsidRPr="009742A6" w:rsidRDefault="009742A6" w:rsidP="009742A6">
            <w:pPr>
              <w:rPr>
                <w:rFonts w:ascii="Arial Narrow" w:eastAsia="Aptos" w:hAnsi="Arial Narrow"/>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477410F1" w14:textId="77777777" w:rsidR="009742A6" w:rsidRPr="009742A6" w:rsidRDefault="009742A6" w:rsidP="009742A6">
            <w:pPr>
              <w:jc w:val="left"/>
              <w:rPr>
                <w:rFonts w:ascii="Arial Narrow" w:eastAsia="Calibri" w:hAnsi="Arial Narrow"/>
                <w:sz w:val="20"/>
                <w:szCs w:val="20"/>
              </w:rPr>
            </w:pPr>
            <w:r w:rsidRPr="009742A6">
              <w:rPr>
                <w:rFonts w:ascii="Arial Narrow" w:eastAsia="Aptos" w:hAnsi="Arial Narrow"/>
                <w:b/>
                <w:sz w:val="20"/>
                <w:szCs w:val="20"/>
              </w:rPr>
              <w:t xml:space="preserve">Restriction type: </w:t>
            </w:r>
            <w:r w:rsidRPr="009742A6">
              <w:rPr>
                <w:rFonts w:ascii="Arial Narrow" w:eastAsia="Calibri" w:hAnsi="Arial Narrow"/>
                <w:sz w:val="20"/>
                <w:szCs w:val="20"/>
              </w:rPr>
              <w:fldChar w:fldCharType="begin">
                <w:ffData>
                  <w:name w:val=""/>
                  <w:enabled/>
                  <w:calcOnExit w:val="0"/>
                  <w:checkBox>
                    <w:sizeAuto/>
                    <w:default w:val="1"/>
                  </w:checkBox>
                </w:ffData>
              </w:fldChar>
            </w:r>
            <w:r w:rsidRPr="009742A6">
              <w:rPr>
                <w:rFonts w:ascii="Arial Narrow" w:eastAsia="Calibri" w:hAnsi="Arial Narrow"/>
                <w:sz w:val="20"/>
                <w:szCs w:val="20"/>
              </w:rPr>
              <w:instrText xml:space="preserve"> FORMCHECKBOX </w:instrText>
            </w:r>
            <w:r w:rsidRPr="009742A6">
              <w:rPr>
                <w:rFonts w:ascii="Arial Narrow" w:eastAsia="Calibri" w:hAnsi="Arial Narrow"/>
                <w:sz w:val="20"/>
                <w:szCs w:val="20"/>
              </w:rPr>
            </w:r>
            <w:r w:rsidRPr="009742A6">
              <w:rPr>
                <w:rFonts w:ascii="Arial Narrow" w:eastAsia="Calibri" w:hAnsi="Arial Narrow"/>
                <w:sz w:val="20"/>
                <w:szCs w:val="20"/>
              </w:rPr>
              <w:fldChar w:fldCharType="separate"/>
            </w:r>
            <w:r w:rsidRPr="009742A6">
              <w:rPr>
                <w:rFonts w:ascii="Arial Narrow" w:eastAsia="Calibri" w:hAnsi="Arial Narrow"/>
                <w:sz w:val="20"/>
                <w:szCs w:val="20"/>
              </w:rPr>
              <w:fldChar w:fldCharType="end"/>
            </w:r>
            <w:r w:rsidRPr="009742A6">
              <w:rPr>
                <w:rFonts w:ascii="Arial Narrow" w:eastAsia="Calibri" w:hAnsi="Arial Narrow"/>
                <w:sz w:val="20"/>
                <w:szCs w:val="20"/>
              </w:rPr>
              <w:t xml:space="preserve"> Authority Required: STREAMLINED</w:t>
            </w:r>
          </w:p>
        </w:tc>
      </w:tr>
      <w:tr w:rsidR="009742A6" w:rsidRPr="009742A6" w14:paraId="76A194D4"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781334EE" w14:textId="4DB2C0E1"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13E29602"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 xml:space="preserve">Indication: </w:t>
            </w:r>
            <w:r w:rsidRPr="009742A6">
              <w:rPr>
                <w:rFonts w:ascii="Arial Narrow" w:hAnsi="Arial Narrow" w:cs="Open Sans"/>
                <w:sz w:val="20"/>
                <w:szCs w:val="20"/>
              </w:rPr>
              <w:t>Primary biliary cholangitis (previously known as Primary biliary cirrhosis)</w:t>
            </w:r>
          </w:p>
        </w:tc>
      </w:tr>
      <w:tr w:rsidR="009742A6" w:rsidRPr="009742A6" w14:paraId="2ACFEFDA"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2FD77B82" w14:textId="7777777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78A9F2AE" w14:textId="77777777" w:rsidR="009742A6" w:rsidRPr="009742A6" w:rsidRDefault="009742A6" w:rsidP="009742A6">
            <w:pPr>
              <w:jc w:val="left"/>
              <w:textAlignment w:val="baseline"/>
              <w:rPr>
                <w:rFonts w:ascii="Arial Narrow" w:hAnsi="Arial Narrow" w:cs="Open Sans"/>
                <w:sz w:val="20"/>
                <w:szCs w:val="20"/>
                <w:bdr w:val="none" w:sz="0" w:space="0" w:color="auto" w:frame="1"/>
              </w:rPr>
            </w:pPr>
            <w:r w:rsidRPr="009742A6">
              <w:rPr>
                <w:rFonts w:ascii="Arial Narrow" w:hAnsi="Arial Narrow" w:cs="Open Sans"/>
                <w:b/>
                <w:bCs/>
                <w:sz w:val="20"/>
                <w:szCs w:val="20"/>
                <w:bdr w:val="none" w:sz="0" w:space="0" w:color="auto" w:frame="1"/>
              </w:rPr>
              <w:t>Treatment Phase:</w:t>
            </w:r>
            <w:r w:rsidRPr="009742A6">
              <w:rPr>
                <w:rFonts w:ascii="Arial Narrow" w:hAnsi="Arial Narrow" w:cs="Open Sans"/>
                <w:sz w:val="20"/>
                <w:szCs w:val="20"/>
                <w:bdr w:val="none" w:sz="0" w:space="0" w:color="auto" w:frame="1"/>
              </w:rPr>
              <w:t xml:space="preserve"> Continuing treatment</w:t>
            </w:r>
          </w:p>
        </w:tc>
      </w:tr>
      <w:tr w:rsidR="009742A6" w:rsidRPr="009742A6" w14:paraId="082E1DC1"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063154BE" w14:textId="5D9E54F3"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2D8CA8A2"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b/>
                <w:bCs/>
                <w:sz w:val="20"/>
                <w:szCs w:val="20"/>
                <w:bdr w:val="none" w:sz="0" w:space="0" w:color="auto" w:frame="1"/>
              </w:rPr>
              <w:t>Treatment criteria:</w:t>
            </w:r>
          </w:p>
        </w:tc>
      </w:tr>
      <w:tr w:rsidR="009742A6" w:rsidRPr="009742A6" w14:paraId="033B9188"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6C3832DA" w14:textId="1E2DC69F"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4303C8CF"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 xml:space="preserve">Must be treated by a prescriber who is either: (i) a gastroenterologist, (ii) a hepatologist; </w:t>
            </w:r>
          </w:p>
        </w:tc>
      </w:tr>
      <w:tr w:rsidR="009742A6" w:rsidRPr="009742A6" w14:paraId="7AD0A22F"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1F4ACA34" w14:textId="77777777" w:rsidR="009742A6" w:rsidRPr="009742A6" w:rsidRDefault="009742A6" w:rsidP="009742A6">
            <w:pPr>
              <w:jc w:val="center"/>
              <w:rPr>
                <w:rFonts w:ascii="Arial Narrow" w:eastAsia="Aptos" w:hAnsi="Arial Narrow" w:cs="Open Sans"/>
                <w:b/>
                <w:bC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133BDE6C"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3E705BD6"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30EAD3D2" w14:textId="5D297B28"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BCCE4C0"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Must be treated by an eligible practitioner type who has consulted at least one of the above mentioned specialist types</w:t>
            </w:r>
          </w:p>
        </w:tc>
      </w:tr>
      <w:tr w:rsidR="009742A6" w:rsidRPr="009742A6" w14:paraId="2CA32546"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77800285" w14:textId="7777777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04EDAA19"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AND</w:t>
            </w:r>
          </w:p>
        </w:tc>
      </w:tr>
      <w:tr w:rsidR="009742A6" w:rsidRPr="009742A6" w14:paraId="1B7A1108"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09D9BE02" w14:textId="1B668C9E"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015B0276"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9742A6" w:rsidRPr="009742A6" w14:paraId="51F276D9"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34EC212C" w14:textId="482D5021"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61C15BFA"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 must be undergoing continuing PBS-subsidised treatment with this drug, with treatment having commenced through one of: (i) the ‘Initial treatment’ listing, (ii) ‘Grandfather’ arrangements</w:t>
            </w:r>
          </w:p>
        </w:tc>
      </w:tr>
      <w:tr w:rsidR="009742A6" w:rsidRPr="009742A6" w14:paraId="02D64D9B"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5DC65013" w14:textId="7777777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1BFAE2AA"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rPr>
              <w:t>AND</w:t>
            </w:r>
          </w:p>
        </w:tc>
      </w:tr>
      <w:tr w:rsidR="009742A6" w:rsidRPr="009742A6" w14:paraId="6ACE3815"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726BEF79" w14:textId="0D67EDD0"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1CEEFB1"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Treatment criteria:</w:t>
            </w:r>
          </w:p>
        </w:tc>
      </w:tr>
      <w:tr w:rsidR="009742A6" w:rsidRPr="009742A6" w14:paraId="348108B0"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044A7538" w14:textId="671B06A6"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77F94ED"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 xml:space="preserve">Patient must be undergoing concurrent treatment with ursodeoxycholic acid; </w:t>
            </w:r>
          </w:p>
        </w:tc>
      </w:tr>
      <w:tr w:rsidR="009742A6" w:rsidRPr="009742A6" w14:paraId="2090D0F5"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55371171" w14:textId="7777777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CA4FD29"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OR</w:t>
            </w:r>
          </w:p>
        </w:tc>
      </w:tr>
      <w:tr w:rsidR="009742A6" w:rsidRPr="009742A6" w14:paraId="136164B6"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6EAD1048" w14:textId="12DAF01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00568CBA"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 must be undergoing treatment with this drug as monotherapy because treatment with ursodeoxycholic acid is not tolerated/contraindicated</w:t>
            </w:r>
          </w:p>
        </w:tc>
      </w:tr>
      <w:tr w:rsidR="009742A6" w:rsidRPr="009742A6" w14:paraId="27BDBA0E"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1A6142E2" w14:textId="77777777" w:rsidR="009742A6" w:rsidRPr="009742A6" w:rsidRDefault="009742A6" w:rsidP="009742A6">
            <w:pPr>
              <w:jc w:val="center"/>
              <w:rPr>
                <w:rFonts w:ascii="Arial Narrow" w:eastAsia="Aptos" w:hAnsi="Arial Narrow" w:cs="Open Sans"/>
                <w:i/>
                <w:iC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204F92C1"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AND</w:t>
            </w:r>
          </w:p>
        </w:tc>
      </w:tr>
      <w:tr w:rsidR="009742A6" w:rsidRPr="009742A6" w14:paraId="7527F694"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34978321" w14:textId="74395767"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38E4CE0" w14:textId="77777777" w:rsidR="009742A6" w:rsidRPr="009742A6" w:rsidRDefault="009742A6" w:rsidP="009742A6">
            <w:pPr>
              <w:jc w:val="left"/>
              <w:textAlignment w:val="baseline"/>
              <w:rPr>
                <w:rFonts w:ascii="Arial Narrow" w:hAnsi="Arial Narrow" w:cs="Open Sans"/>
                <w:b/>
                <w:bCs/>
                <w:sz w:val="20"/>
                <w:szCs w:val="20"/>
              </w:rPr>
            </w:pPr>
            <w:r w:rsidRPr="009742A6">
              <w:rPr>
                <w:rFonts w:ascii="Arial Narrow" w:hAnsi="Arial Narrow" w:cs="Open Sans"/>
                <w:b/>
                <w:bCs/>
                <w:sz w:val="20"/>
                <w:szCs w:val="20"/>
              </w:rPr>
              <w:t>Treatment criteria:</w:t>
            </w:r>
          </w:p>
        </w:tc>
      </w:tr>
      <w:tr w:rsidR="009742A6" w:rsidRPr="009742A6" w14:paraId="0FBFCAAA"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192B775E" w14:textId="56DAFB55"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38EFE55"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 must not be undergoing concurrent treatment with either of: (i) obeticholic acid (ii)elafibranor</w:t>
            </w:r>
          </w:p>
        </w:tc>
      </w:tr>
      <w:tr w:rsidR="009742A6" w:rsidRPr="009742A6" w14:paraId="7A2CCA53"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4BCE8FAF" w14:textId="29E8E1E5"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4E6B01B1"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Clinical criteria:</w:t>
            </w:r>
          </w:p>
        </w:tc>
      </w:tr>
      <w:tr w:rsidR="009742A6" w:rsidRPr="009742A6" w14:paraId="05F9F0BC"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235AC8FE" w14:textId="662EC4E3"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6CDD6F0B"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Patient must have achieved an adequate response to this drug, defined as having at least one of: (i) an alkaline phosphate (ALP) level less than 1.67 times the upper limit of normal (ULN), (ii) a reduction in the ALP reading of at least 15% compared to the baseline level provided with the initial authority application, (iii) a total bilirubin level within the normal reference range.</w:t>
            </w:r>
          </w:p>
        </w:tc>
      </w:tr>
      <w:tr w:rsidR="009742A6" w:rsidRPr="009742A6" w14:paraId="3625D60B"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609519F6" w14:textId="2B44293C"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5311DF03"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Prescribing Instructions:</w:t>
            </w:r>
          </w:p>
          <w:p w14:paraId="6FA55E76"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sz w:val="20"/>
                <w:szCs w:val="20"/>
              </w:rPr>
              <w:t>The improvement in the qualifying laboratory reading(s) has/have been documented in the patient's medical records.</w:t>
            </w:r>
          </w:p>
        </w:tc>
      </w:tr>
      <w:tr w:rsidR="009742A6" w:rsidRPr="009742A6" w14:paraId="3F5C7031" w14:textId="77777777" w:rsidTr="00FA26BE">
        <w:tblPrEx>
          <w:tblCellMar>
            <w:top w:w="15" w:type="dxa"/>
            <w:left w:w="15" w:type="dxa"/>
            <w:bottom w:w="15" w:type="dxa"/>
            <w:right w:w="15" w:type="dxa"/>
          </w:tblCellMar>
          <w:tblLook w:val="04A0" w:firstRow="1" w:lastRow="0" w:firstColumn="1" w:lastColumn="0" w:noHBand="0" w:noVBand="1"/>
        </w:tblPrEx>
        <w:tc>
          <w:tcPr>
            <w:tcW w:w="701" w:type="pct"/>
            <w:gridSpan w:val="2"/>
            <w:tcBorders>
              <w:left w:val="single" w:sz="4" w:space="0" w:color="auto"/>
              <w:right w:val="single" w:sz="4" w:space="0" w:color="auto"/>
            </w:tcBorders>
          </w:tcPr>
          <w:p w14:paraId="64914387" w14:textId="70EEA46E" w:rsidR="009742A6" w:rsidRPr="009742A6" w:rsidRDefault="009742A6" w:rsidP="009742A6">
            <w:pPr>
              <w:jc w:val="center"/>
              <w:rPr>
                <w:rFonts w:ascii="Arial Narrow" w:eastAsia="Aptos" w:hAnsi="Arial Narrow" w:cs="Open Sans"/>
                <w:sz w:val="20"/>
                <w:szCs w:val="20"/>
              </w:rPr>
            </w:pPr>
          </w:p>
        </w:tc>
        <w:tc>
          <w:tcPr>
            <w:tcW w:w="4299" w:type="pct"/>
            <w:gridSpan w:val="6"/>
            <w:tcBorders>
              <w:top w:val="single" w:sz="4" w:space="0" w:color="auto"/>
              <w:left w:val="single" w:sz="4" w:space="0" w:color="auto"/>
              <w:bottom w:val="single" w:sz="4" w:space="0" w:color="auto"/>
              <w:right w:val="single" w:sz="4" w:space="0" w:color="auto"/>
            </w:tcBorders>
          </w:tcPr>
          <w:p w14:paraId="33D88296" w14:textId="77777777" w:rsidR="009742A6" w:rsidRPr="009742A6" w:rsidRDefault="009742A6" w:rsidP="009742A6">
            <w:pPr>
              <w:jc w:val="left"/>
              <w:textAlignment w:val="baseline"/>
              <w:rPr>
                <w:rFonts w:ascii="Arial Narrow" w:hAnsi="Arial Narrow" w:cs="Open Sans"/>
                <w:sz w:val="20"/>
                <w:szCs w:val="20"/>
              </w:rPr>
            </w:pPr>
            <w:r w:rsidRPr="009742A6">
              <w:rPr>
                <w:rFonts w:ascii="Arial Narrow" w:hAnsi="Arial Narrow" w:cs="Open Sans"/>
                <w:b/>
                <w:bCs/>
                <w:sz w:val="20"/>
                <w:szCs w:val="20"/>
                <w:bdr w:val="none" w:sz="0" w:space="0" w:color="auto" w:frame="1"/>
              </w:rPr>
              <w:t>Administrative Advice:</w:t>
            </w:r>
          </w:p>
          <w:p w14:paraId="14168797" w14:textId="77777777" w:rsidR="009742A6" w:rsidRPr="009742A6" w:rsidRDefault="009742A6" w:rsidP="009742A6">
            <w:pPr>
              <w:jc w:val="left"/>
              <w:textAlignment w:val="baseline"/>
              <w:rPr>
                <w:rFonts w:ascii="Arial Narrow" w:hAnsi="Arial Narrow" w:cs="Open Sans"/>
                <w:b/>
                <w:bCs/>
                <w:sz w:val="20"/>
                <w:szCs w:val="20"/>
                <w:bdr w:val="none" w:sz="0" w:space="0" w:color="auto" w:frame="1"/>
              </w:rPr>
            </w:pPr>
            <w:r w:rsidRPr="009742A6">
              <w:rPr>
                <w:rFonts w:ascii="Arial Narrow" w:hAnsi="Arial Narrow" w:cs="Open Sans"/>
                <w:sz w:val="20"/>
                <w:szCs w:val="20"/>
              </w:rPr>
              <w:t>Laboratory readings requested in this authority application must be no older than 52 weeks.</w:t>
            </w:r>
          </w:p>
        </w:tc>
      </w:tr>
    </w:tbl>
    <w:p w14:paraId="7D0B3902" w14:textId="77777777" w:rsidR="009742A6" w:rsidRPr="009742A6" w:rsidRDefault="009742A6" w:rsidP="000F0786">
      <w:pPr>
        <w:pStyle w:val="5-SubsectionSubheading"/>
        <w:rPr>
          <w:snapToGrid w:val="0"/>
        </w:rPr>
      </w:pPr>
      <w:r w:rsidRPr="009742A6">
        <w:rPr>
          <w:snapToGrid w:val="0"/>
        </w:rPr>
        <w:t>Flow ons:</w:t>
      </w:r>
    </w:p>
    <w:p w14:paraId="3296FDE2" w14:textId="77777777" w:rsidR="009742A6" w:rsidRPr="009742A6" w:rsidRDefault="009742A6" w:rsidP="000F0786">
      <w:pPr>
        <w:pStyle w:val="3-BodyText"/>
      </w:pPr>
      <w:bookmarkStart w:id="104" w:name="_Hlk192588376"/>
      <w:bookmarkEnd w:id="104"/>
      <w:r w:rsidRPr="009742A6">
        <w:t xml:space="preserve">Amend the existing obeticholic acid restrictions as follows: </w:t>
      </w:r>
    </w:p>
    <w:p w14:paraId="6596A030" w14:textId="77777777" w:rsidR="009742A6" w:rsidRPr="009742A6" w:rsidRDefault="009742A6" w:rsidP="00F6324B">
      <w:pPr>
        <w:numPr>
          <w:ilvl w:val="0"/>
          <w:numId w:val="14"/>
        </w:numPr>
        <w:spacing w:after="120"/>
        <w:ind w:left="1077" w:hanging="357"/>
        <w:rPr>
          <w:rFonts w:asciiTheme="minorHAnsi" w:hAnsiTheme="minorHAnsi"/>
          <w:snapToGrid w:val="0"/>
        </w:rPr>
      </w:pPr>
      <w:r w:rsidRPr="009742A6">
        <w:rPr>
          <w:rFonts w:asciiTheme="minorHAnsi" w:hAnsiTheme="minorHAnsi"/>
          <w:snapToGrid w:val="0"/>
        </w:rPr>
        <w:t>Update concept in OCA to exclude concomitant treatment with seladelpar:</w:t>
      </w:r>
    </w:p>
    <w:p w14:paraId="5E8C5084" w14:textId="77777777" w:rsidR="009742A6" w:rsidRPr="009742A6" w:rsidRDefault="009742A6" w:rsidP="009742A6">
      <w:pPr>
        <w:numPr>
          <w:ilvl w:val="0"/>
          <w:numId w:val="3"/>
        </w:numPr>
        <w:spacing w:after="120"/>
        <w:ind w:left="1440"/>
        <w:jc w:val="left"/>
        <w:rPr>
          <w:rFonts w:asciiTheme="minorHAnsi" w:hAnsiTheme="minorHAnsi"/>
          <w:snapToGrid w:val="0"/>
        </w:rPr>
      </w:pPr>
      <w:r w:rsidRPr="009742A6">
        <w:rPr>
          <w:rFonts w:asciiTheme="minorHAnsi" w:hAnsiTheme="minorHAnsi"/>
          <w:snapToGrid w:val="0"/>
        </w:rPr>
        <w:t>12640G / obeticholic acid 10 mg tablet, 30 (continuing treatment)</w:t>
      </w:r>
    </w:p>
    <w:p w14:paraId="47F9B431" w14:textId="77777777" w:rsidR="009742A6" w:rsidRPr="009742A6" w:rsidRDefault="009742A6" w:rsidP="009742A6">
      <w:pPr>
        <w:numPr>
          <w:ilvl w:val="0"/>
          <w:numId w:val="3"/>
        </w:numPr>
        <w:spacing w:after="120"/>
        <w:ind w:left="1440"/>
        <w:jc w:val="left"/>
        <w:rPr>
          <w:rFonts w:asciiTheme="minorHAnsi" w:hAnsiTheme="minorHAnsi"/>
          <w:snapToGrid w:val="0"/>
        </w:rPr>
      </w:pPr>
      <w:r w:rsidRPr="009742A6">
        <w:rPr>
          <w:rFonts w:asciiTheme="minorHAnsi" w:hAnsiTheme="minorHAnsi"/>
          <w:snapToGrid w:val="0"/>
        </w:rPr>
        <w:t>12630R / obeticholic acid 5 mg tablet, 30 (continuing treatment)</w:t>
      </w:r>
    </w:p>
    <w:p w14:paraId="51828647" w14:textId="77777777" w:rsidR="009742A6" w:rsidRPr="009742A6" w:rsidRDefault="009742A6" w:rsidP="009742A6">
      <w:pPr>
        <w:numPr>
          <w:ilvl w:val="0"/>
          <w:numId w:val="3"/>
        </w:numPr>
        <w:spacing w:after="120"/>
        <w:ind w:left="1440"/>
        <w:jc w:val="left"/>
        <w:rPr>
          <w:rFonts w:asciiTheme="minorHAnsi" w:hAnsiTheme="minorHAnsi"/>
          <w:snapToGrid w:val="0"/>
        </w:rPr>
      </w:pPr>
      <w:r w:rsidRPr="009742A6">
        <w:rPr>
          <w:rFonts w:asciiTheme="minorHAnsi" w:hAnsiTheme="minorHAnsi"/>
          <w:snapToGrid w:val="0"/>
        </w:rPr>
        <w:t>12623J / obeticholic acid 5 mg tablet, 30 (initial treatment)</w:t>
      </w:r>
    </w:p>
    <w:tbl>
      <w:tblPr>
        <w:tblStyle w:val="TableGrid"/>
        <w:tblW w:w="5000" w:type="pct"/>
        <w:tblLayout w:type="fixed"/>
        <w:tblLook w:val="0000" w:firstRow="0" w:lastRow="0" w:firstColumn="0" w:lastColumn="0" w:noHBand="0" w:noVBand="0"/>
      </w:tblPr>
      <w:tblGrid>
        <w:gridCol w:w="1272"/>
        <w:gridCol w:w="7745"/>
      </w:tblGrid>
      <w:tr w:rsidR="009742A6" w:rsidRPr="009742A6" w14:paraId="54B20E3C" w14:textId="77777777" w:rsidTr="00FA26BE">
        <w:trPr>
          <w:trHeight w:val="20"/>
        </w:trPr>
        <w:tc>
          <w:tcPr>
            <w:tcW w:w="1272" w:type="dxa"/>
          </w:tcPr>
          <w:p w14:paraId="176640C4" w14:textId="2058927B" w:rsidR="009742A6" w:rsidRPr="009742A6" w:rsidRDefault="009742A6" w:rsidP="009742A6">
            <w:pPr>
              <w:jc w:val="center"/>
              <w:rPr>
                <w:rFonts w:ascii="Arial Narrow" w:hAnsi="Arial Narrow" w:cs="Open Sans"/>
                <w:i/>
                <w:iCs/>
                <w:color w:val="333333"/>
                <w:sz w:val="20"/>
                <w:szCs w:val="20"/>
              </w:rPr>
            </w:pPr>
          </w:p>
        </w:tc>
        <w:tc>
          <w:tcPr>
            <w:tcW w:w="7745" w:type="dxa"/>
          </w:tcPr>
          <w:p w14:paraId="48CF530E" w14:textId="77777777" w:rsidR="009742A6" w:rsidRPr="009742A6" w:rsidRDefault="009742A6" w:rsidP="009742A6">
            <w:pPr>
              <w:rPr>
                <w:rFonts w:ascii="Arial Narrow" w:hAnsi="Arial Narrow" w:cs="Open Sans"/>
                <w:b/>
                <w:bCs/>
                <w:strike/>
                <w:color w:val="333333"/>
                <w:sz w:val="20"/>
                <w:szCs w:val="20"/>
              </w:rPr>
            </w:pPr>
            <w:r w:rsidRPr="009742A6">
              <w:rPr>
                <w:rFonts w:ascii="Arial Narrow" w:hAnsi="Arial Narrow" w:cs="Open Sans"/>
                <w:b/>
                <w:bCs/>
                <w:i/>
                <w:iCs/>
                <w:color w:val="333333"/>
                <w:sz w:val="20"/>
                <w:szCs w:val="20"/>
              </w:rPr>
              <w:t>Treatment criteria:</w:t>
            </w:r>
          </w:p>
        </w:tc>
      </w:tr>
      <w:tr w:rsidR="009742A6" w:rsidRPr="009742A6" w14:paraId="19BF059A" w14:textId="77777777" w:rsidTr="00FA26BE">
        <w:trPr>
          <w:trHeight w:val="20"/>
        </w:trPr>
        <w:tc>
          <w:tcPr>
            <w:tcW w:w="1272" w:type="dxa"/>
          </w:tcPr>
          <w:p w14:paraId="4DD8FEF2" w14:textId="4C8960A5" w:rsidR="009742A6" w:rsidRPr="009742A6" w:rsidRDefault="009742A6" w:rsidP="009742A6">
            <w:pPr>
              <w:jc w:val="center"/>
              <w:rPr>
                <w:rFonts w:ascii="Arial Narrow" w:hAnsi="Arial Narrow" w:cs="Open Sans"/>
                <w:i/>
                <w:iCs/>
                <w:color w:val="333333"/>
                <w:sz w:val="20"/>
                <w:szCs w:val="20"/>
              </w:rPr>
            </w:pPr>
          </w:p>
        </w:tc>
        <w:tc>
          <w:tcPr>
            <w:tcW w:w="7745" w:type="dxa"/>
          </w:tcPr>
          <w:p w14:paraId="18B95A04" w14:textId="77777777" w:rsidR="009742A6" w:rsidRPr="009742A6" w:rsidRDefault="009742A6" w:rsidP="009742A6">
            <w:pPr>
              <w:rPr>
                <w:rFonts w:ascii="Arial Narrow" w:hAnsi="Arial Narrow" w:cs="Open Sans"/>
                <w:i/>
                <w:iCs/>
                <w:color w:val="333333"/>
                <w:sz w:val="20"/>
                <w:szCs w:val="20"/>
              </w:rPr>
            </w:pPr>
            <w:r w:rsidRPr="009742A6">
              <w:rPr>
                <w:rFonts w:ascii="Arial Narrow" w:hAnsi="Arial Narrow" w:cs="Open Sans"/>
                <w:i/>
                <w:iCs/>
                <w:color w:val="333333"/>
                <w:sz w:val="20"/>
                <w:szCs w:val="20"/>
              </w:rPr>
              <w:t>Patient must not be undergoing concurrent treatment with either of: (i) seladelpar (ii) elafibrinor </w:t>
            </w:r>
          </w:p>
        </w:tc>
      </w:tr>
    </w:tbl>
    <w:p w14:paraId="3F0D3C03" w14:textId="77777777" w:rsidR="009742A6" w:rsidRPr="009742A6" w:rsidRDefault="009742A6" w:rsidP="00F6324B">
      <w:pPr>
        <w:numPr>
          <w:ilvl w:val="0"/>
          <w:numId w:val="14"/>
        </w:numPr>
        <w:spacing w:after="120"/>
        <w:ind w:left="1077" w:hanging="357"/>
        <w:rPr>
          <w:rFonts w:asciiTheme="minorHAnsi" w:hAnsiTheme="minorHAnsi"/>
          <w:snapToGrid w:val="0"/>
        </w:rPr>
      </w:pPr>
      <w:r w:rsidRPr="009742A6">
        <w:rPr>
          <w:rFonts w:asciiTheme="minorHAnsi" w:hAnsiTheme="minorHAnsi"/>
          <w:snapToGrid w:val="0"/>
        </w:rPr>
        <w:t>Update concept 34108/34109 (addition of seladelpar) to be flowed on to OCA only for PBS items codes:</w:t>
      </w:r>
    </w:p>
    <w:p w14:paraId="79C4084B" w14:textId="77777777" w:rsidR="009742A6" w:rsidRPr="009742A6" w:rsidRDefault="009742A6" w:rsidP="00F6324B">
      <w:pPr>
        <w:numPr>
          <w:ilvl w:val="0"/>
          <w:numId w:val="15"/>
        </w:numPr>
        <w:spacing w:after="120"/>
        <w:jc w:val="left"/>
        <w:rPr>
          <w:rFonts w:asciiTheme="minorHAnsi" w:hAnsiTheme="minorHAnsi"/>
          <w:snapToGrid w:val="0"/>
        </w:rPr>
      </w:pPr>
      <w:r w:rsidRPr="009742A6">
        <w:rPr>
          <w:rFonts w:asciiTheme="minorHAnsi" w:hAnsiTheme="minorHAnsi"/>
          <w:snapToGrid w:val="0"/>
        </w:rPr>
        <w:t>12623J / obeticholic acid 5 mg tablet, 30 (initial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42781B4F" w14:textId="77777777" w:rsidTr="00FA26BE">
        <w:trPr>
          <w:trHeight w:val="20"/>
        </w:trPr>
        <w:tc>
          <w:tcPr>
            <w:tcW w:w="1272" w:type="dxa"/>
          </w:tcPr>
          <w:p w14:paraId="707F10D7" w14:textId="77777777" w:rsidR="009742A6" w:rsidRPr="009742A6" w:rsidRDefault="009742A6" w:rsidP="009742A6">
            <w:pPr>
              <w:jc w:val="center"/>
              <w:rPr>
                <w:rFonts w:ascii="Arial Narrow" w:hAnsi="Arial Narrow"/>
                <w:i/>
                <w:iCs/>
                <w:color w:val="333333"/>
                <w:sz w:val="20"/>
                <w:szCs w:val="20"/>
              </w:rPr>
            </w:pPr>
          </w:p>
        </w:tc>
        <w:tc>
          <w:tcPr>
            <w:tcW w:w="7744" w:type="dxa"/>
          </w:tcPr>
          <w:p w14:paraId="55B60203" w14:textId="77777777" w:rsidR="009742A6" w:rsidRPr="009742A6" w:rsidRDefault="009742A6" w:rsidP="009742A6">
            <w:pPr>
              <w:rPr>
                <w:rFonts w:ascii="Arial Narrow" w:hAnsi="Arial Narrow"/>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472E8567" w14:textId="77777777" w:rsidTr="00FA26BE">
        <w:tblPrEx>
          <w:tblLook w:val="0000" w:firstRow="0" w:lastRow="0" w:firstColumn="0" w:lastColumn="0" w:noHBand="0" w:noVBand="0"/>
        </w:tblPrEx>
        <w:trPr>
          <w:trHeight w:val="20"/>
        </w:trPr>
        <w:tc>
          <w:tcPr>
            <w:tcW w:w="1272" w:type="dxa"/>
          </w:tcPr>
          <w:p w14:paraId="14BC86F6" w14:textId="4EF08B0F" w:rsidR="009742A6" w:rsidRPr="009742A6" w:rsidRDefault="009742A6" w:rsidP="009742A6">
            <w:pPr>
              <w:jc w:val="center"/>
              <w:rPr>
                <w:rFonts w:ascii="Arial Narrow" w:hAnsi="Arial Narrow"/>
                <w:i/>
                <w:iCs/>
                <w:color w:val="333333"/>
                <w:sz w:val="20"/>
                <w:szCs w:val="20"/>
              </w:rPr>
            </w:pPr>
          </w:p>
        </w:tc>
        <w:tc>
          <w:tcPr>
            <w:tcW w:w="7744" w:type="dxa"/>
          </w:tcPr>
          <w:p w14:paraId="1F923601" w14:textId="77777777" w:rsidR="009742A6" w:rsidRPr="009742A6" w:rsidRDefault="009742A6" w:rsidP="009742A6">
            <w:pPr>
              <w:rPr>
                <w:rFonts w:ascii="Arial Narrow" w:hAnsi="Arial Narrow"/>
                <w:b/>
                <w:bCs/>
                <w:color w:val="333333"/>
                <w:sz w:val="20"/>
                <w:szCs w:val="20"/>
              </w:rPr>
            </w:pPr>
            <w:r w:rsidRPr="009742A6">
              <w:rPr>
                <w:rFonts w:ascii="Arial Narrow" w:hAnsi="Arial Narrow" w:cs="Open Sans"/>
                <w:color w:val="333333"/>
                <w:sz w:val="20"/>
                <w:szCs w:val="20"/>
              </w:rPr>
              <w:t xml:space="preserve">Patient must have experienced an intolerance to </w:t>
            </w:r>
            <w:r w:rsidRPr="009742A6">
              <w:rPr>
                <w:rFonts w:ascii="Arial Narrow" w:hAnsi="Arial Narrow" w:cs="Open Sans"/>
                <w:i/>
                <w:iCs/>
                <w:color w:val="333333"/>
                <w:sz w:val="20"/>
                <w:szCs w:val="20"/>
              </w:rPr>
              <w:t>either of: (i)</w:t>
            </w:r>
            <w:r w:rsidRPr="009742A6">
              <w:rPr>
                <w:rFonts w:ascii="Arial Narrow" w:hAnsi="Arial Narrow" w:cs="Open Sans"/>
                <w:color w:val="333333"/>
                <w:sz w:val="20"/>
                <w:szCs w:val="20"/>
              </w:rPr>
              <w:t xml:space="preserve"> elafibranor </w:t>
            </w:r>
            <w:r w:rsidRPr="009742A6">
              <w:rPr>
                <w:rFonts w:ascii="Arial Narrow" w:hAnsi="Arial Narrow" w:cs="Open Sans"/>
                <w:i/>
                <w:iCs/>
                <w:color w:val="333333"/>
                <w:sz w:val="20"/>
                <w:szCs w:val="20"/>
              </w:rPr>
              <w:t xml:space="preserve">(ii) seladelpar </w:t>
            </w:r>
            <w:r w:rsidRPr="009742A6">
              <w:rPr>
                <w:rFonts w:ascii="Arial Narrow" w:hAnsi="Arial Narrow" w:cs="Open Sans"/>
                <w:color w:val="333333"/>
                <w:sz w:val="20"/>
                <w:szCs w:val="20"/>
              </w:rPr>
              <w:t>of a severity requiring treatment discontinuation, prior to initiating treatment with this drug; or</w:t>
            </w:r>
          </w:p>
        </w:tc>
      </w:tr>
      <w:tr w:rsidR="009742A6" w:rsidRPr="009742A6" w14:paraId="36DF3F80" w14:textId="77777777" w:rsidTr="00FA26BE">
        <w:tblPrEx>
          <w:tblLook w:val="0000" w:firstRow="0" w:lastRow="0" w:firstColumn="0" w:lastColumn="0" w:noHBand="0" w:noVBand="0"/>
        </w:tblPrEx>
        <w:trPr>
          <w:trHeight w:val="20"/>
        </w:trPr>
        <w:tc>
          <w:tcPr>
            <w:tcW w:w="1272" w:type="dxa"/>
          </w:tcPr>
          <w:p w14:paraId="5EC08D5E" w14:textId="74AC1635" w:rsidR="009742A6" w:rsidRPr="009742A6" w:rsidRDefault="009742A6" w:rsidP="009742A6">
            <w:pPr>
              <w:jc w:val="center"/>
              <w:rPr>
                <w:rFonts w:ascii="Arial Narrow" w:hAnsi="Arial Narrow" w:cs="Open Sans"/>
                <w:i/>
                <w:iCs/>
                <w:color w:val="333333"/>
                <w:sz w:val="20"/>
                <w:szCs w:val="20"/>
              </w:rPr>
            </w:pPr>
          </w:p>
        </w:tc>
        <w:tc>
          <w:tcPr>
            <w:tcW w:w="7744" w:type="dxa"/>
          </w:tcPr>
          <w:p w14:paraId="1BFC3DE5" w14:textId="77777777" w:rsidR="009742A6" w:rsidRPr="009742A6" w:rsidRDefault="009742A6" w:rsidP="009742A6">
            <w:pPr>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inadequately responded to treatment with </w:t>
            </w:r>
            <w:r w:rsidRPr="009742A6">
              <w:rPr>
                <w:rFonts w:ascii="Arial Narrow" w:hAnsi="Arial Narrow" w:cs="Open Sans"/>
                <w:i/>
                <w:iCs/>
                <w:color w:val="333333"/>
                <w:sz w:val="20"/>
                <w:szCs w:val="20"/>
              </w:rPr>
              <w:t>either of: (i)</w:t>
            </w:r>
            <w:r w:rsidRPr="009742A6">
              <w:rPr>
                <w:rFonts w:ascii="Arial Narrow" w:hAnsi="Arial Narrow" w:cs="Open Sans"/>
                <w:color w:val="333333"/>
                <w:sz w:val="20"/>
                <w:szCs w:val="20"/>
              </w:rPr>
              <w:t xml:space="preserve"> elafibranor </w:t>
            </w:r>
            <w:r w:rsidRPr="009742A6">
              <w:rPr>
                <w:rFonts w:ascii="Arial Narrow" w:hAnsi="Arial Narrow" w:cs="Open Sans"/>
                <w:i/>
                <w:iCs/>
                <w:color w:val="333333"/>
                <w:sz w:val="20"/>
                <w:szCs w:val="20"/>
              </w:rPr>
              <w:t>(ii) seladelpar</w:t>
            </w:r>
            <w:r w:rsidRPr="009742A6">
              <w:rPr>
                <w:rFonts w:ascii="Arial Narrow" w:hAnsi="Arial Narrow" w:cs="Open Sans"/>
                <w:color w:val="333333"/>
                <w:sz w:val="20"/>
                <w:szCs w:val="20"/>
              </w:rPr>
              <w:t>, prior to initiating treatment with this drug</w:t>
            </w:r>
          </w:p>
        </w:tc>
      </w:tr>
    </w:tbl>
    <w:p w14:paraId="1ED2191E" w14:textId="77777777" w:rsidR="009742A6" w:rsidRPr="009742A6" w:rsidRDefault="009742A6" w:rsidP="000F0786">
      <w:pPr>
        <w:pStyle w:val="3-BodyText"/>
      </w:pPr>
      <w:r w:rsidRPr="009742A6">
        <w:t xml:space="preserve">Amend the existing elafibranor restrictions as follows: </w:t>
      </w:r>
    </w:p>
    <w:p w14:paraId="7D1A4832" w14:textId="77777777" w:rsidR="009742A6" w:rsidRPr="009742A6" w:rsidRDefault="009742A6" w:rsidP="00F6324B">
      <w:pPr>
        <w:numPr>
          <w:ilvl w:val="0"/>
          <w:numId w:val="17"/>
        </w:numPr>
        <w:spacing w:after="120"/>
        <w:rPr>
          <w:rFonts w:asciiTheme="minorHAnsi" w:hAnsiTheme="minorHAnsi"/>
          <w:snapToGrid w:val="0"/>
        </w:rPr>
      </w:pPr>
      <w:r w:rsidRPr="009742A6">
        <w:rPr>
          <w:rFonts w:asciiTheme="minorHAnsi" w:hAnsiTheme="minorHAnsi"/>
          <w:snapToGrid w:val="0"/>
        </w:rPr>
        <w:t>Update concept 33894/33893 (excluding concomitant treatment with seladelpar/OCA) to be flowed on to elafibranor only for PBS item codes:</w:t>
      </w:r>
    </w:p>
    <w:p w14:paraId="74509E1F" w14:textId="77777777" w:rsidR="009742A6" w:rsidRPr="009742A6" w:rsidRDefault="009742A6" w:rsidP="00F6324B">
      <w:pPr>
        <w:numPr>
          <w:ilvl w:val="0"/>
          <w:numId w:val="16"/>
        </w:numPr>
        <w:spacing w:after="120"/>
        <w:jc w:val="left"/>
        <w:rPr>
          <w:rFonts w:asciiTheme="minorHAnsi" w:hAnsiTheme="minorHAnsi"/>
          <w:snapToGrid w:val="0"/>
        </w:rPr>
      </w:pPr>
      <w:r w:rsidRPr="009742A6">
        <w:rPr>
          <w:rFonts w:asciiTheme="minorHAnsi" w:hAnsiTheme="minorHAnsi"/>
          <w:snapToGrid w:val="0"/>
        </w:rPr>
        <w:t>15084X / elafibranor 80 mg tablet, 30 (grandfather treatment)</w:t>
      </w:r>
    </w:p>
    <w:p w14:paraId="53CF041F" w14:textId="77777777" w:rsidR="009742A6" w:rsidRPr="009742A6" w:rsidRDefault="009742A6" w:rsidP="00F6324B">
      <w:pPr>
        <w:numPr>
          <w:ilvl w:val="0"/>
          <w:numId w:val="16"/>
        </w:numPr>
        <w:spacing w:after="120"/>
        <w:jc w:val="left"/>
        <w:rPr>
          <w:rFonts w:asciiTheme="minorHAnsi" w:hAnsiTheme="minorHAnsi"/>
          <w:snapToGrid w:val="0"/>
        </w:rPr>
      </w:pPr>
      <w:r w:rsidRPr="009742A6">
        <w:rPr>
          <w:rFonts w:asciiTheme="minorHAnsi" w:hAnsiTheme="minorHAnsi"/>
          <w:snapToGrid w:val="0"/>
        </w:rPr>
        <w:lastRenderedPageBreak/>
        <w:t>15089E / elafibranor 80 mg tablet, 30 (continuing treatment)</w:t>
      </w:r>
    </w:p>
    <w:p w14:paraId="47DDF2A7" w14:textId="77777777" w:rsidR="009742A6" w:rsidRPr="009742A6" w:rsidRDefault="009742A6" w:rsidP="00F6324B">
      <w:pPr>
        <w:numPr>
          <w:ilvl w:val="0"/>
          <w:numId w:val="16"/>
        </w:numPr>
        <w:spacing w:after="120"/>
        <w:jc w:val="left"/>
        <w:rPr>
          <w:rFonts w:asciiTheme="minorHAnsi" w:hAnsiTheme="minorHAnsi"/>
          <w:snapToGrid w:val="0"/>
        </w:rPr>
      </w:pPr>
      <w:r w:rsidRPr="009742A6">
        <w:rPr>
          <w:rFonts w:asciiTheme="minorHAnsi" w:hAnsiTheme="minorHAnsi"/>
          <w:snapToGrid w:val="0"/>
        </w:rPr>
        <w:t>15107D/ elafibranor 80 mg tablet, 30 (initial treatment)</w:t>
      </w:r>
    </w:p>
    <w:tbl>
      <w:tblPr>
        <w:tblStyle w:val="TableGrid"/>
        <w:tblW w:w="5000" w:type="pct"/>
        <w:tblLayout w:type="fixed"/>
        <w:tblLook w:val="0000" w:firstRow="0" w:lastRow="0" w:firstColumn="0" w:lastColumn="0" w:noHBand="0" w:noVBand="0"/>
      </w:tblPr>
      <w:tblGrid>
        <w:gridCol w:w="1272"/>
        <w:gridCol w:w="7745"/>
      </w:tblGrid>
      <w:tr w:rsidR="009742A6" w:rsidRPr="009742A6" w14:paraId="261369E5" w14:textId="77777777" w:rsidTr="00FA26BE">
        <w:trPr>
          <w:trHeight w:val="20"/>
        </w:trPr>
        <w:tc>
          <w:tcPr>
            <w:tcW w:w="1272" w:type="dxa"/>
          </w:tcPr>
          <w:p w14:paraId="28B2BEE5" w14:textId="6D763C52" w:rsidR="009742A6" w:rsidRPr="009742A6" w:rsidRDefault="009742A6" w:rsidP="009742A6">
            <w:pPr>
              <w:jc w:val="center"/>
              <w:rPr>
                <w:rFonts w:ascii="Arial Narrow" w:hAnsi="Arial Narrow" w:cs="Open Sans"/>
                <w:i/>
                <w:iCs/>
                <w:color w:val="333333"/>
                <w:sz w:val="20"/>
                <w:szCs w:val="20"/>
              </w:rPr>
            </w:pPr>
          </w:p>
        </w:tc>
        <w:tc>
          <w:tcPr>
            <w:tcW w:w="7744" w:type="dxa"/>
          </w:tcPr>
          <w:p w14:paraId="6C5222F1" w14:textId="77777777" w:rsidR="009742A6" w:rsidRPr="009742A6" w:rsidRDefault="009742A6" w:rsidP="009742A6">
            <w:pPr>
              <w:rPr>
                <w:rFonts w:ascii="Arial Narrow" w:hAnsi="Arial Narrow" w:cs="Open Sans"/>
                <w:b/>
                <w:bCs/>
                <w:strike/>
                <w:color w:val="333333"/>
                <w:sz w:val="20"/>
                <w:szCs w:val="20"/>
              </w:rPr>
            </w:pPr>
            <w:r w:rsidRPr="009742A6">
              <w:rPr>
                <w:rFonts w:ascii="Arial Narrow" w:hAnsi="Arial Narrow" w:cs="Open Sans"/>
                <w:b/>
                <w:bCs/>
                <w:i/>
                <w:iCs/>
                <w:color w:val="333333"/>
                <w:sz w:val="20"/>
                <w:szCs w:val="20"/>
              </w:rPr>
              <w:t>Treatment criteria:</w:t>
            </w:r>
          </w:p>
        </w:tc>
      </w:tr>
      <w:tr w:rsidR="009742A6" w:rsidRPr="009742A6" w14:paraId="049738A5" w14:textId="77777777" w:rsidTr="00FA26BE">
        <w:trPr>
          <w:trHeight w:val="20"/>
        </w:trPr>
        <w:tc>
          <w:tcPr>
            <w:tcW w:w="1272" w:type="dxa"/>
          </w:tcPr>
          <w:p w14:paraId="51D230DC" w14:textId="33DDE882" w:rsidR="009742A6" w:rsidRPr="009742A6" w:rsidRDefault="009742A6" w:rsidP="009742A6">
            <w:pPr>
              <w:jc w:val="center"/>
              <w:rPr>
                <w:rFonts w:ascii="Arial Narrow" w:hAnsi="Arial Narrow" w:cs="Open Sans"/>
                <w:i/>
                <w:iCs/>
                <w:color w:val="333333"/>
                <w:sz w:val="20"/>
                <w:szCs w:val="20"/>
              </w:rPr>
            </w:pPr>
          </w:p>
        </w:tc>
        <w:tc>
          <w:tcPr>
            <w:tcW w:w="7744" w:type="dxa"/>
          </w:tcPr>
          <w:p w14:paraId="07A94A62" w14:textId="77777777" w:rsidR="009742A6" w:rsidRPr="009742A6" w:rsidRDefault="009742A6" w:rsidP="009742A6">
            <w:pPr>
              <w:rPr>
                <w:rFonts w:ascii="Arial Narrow" w:hAnsi="Arial Narrow" w:cs="Open Sans"/>
                <w:i/>
                <w:iCs/>
                <w:color w:val="333333"/>
                <w:sz w:val="20"/>
                <w:szCs w:val="20"/>
              </w:rPr>
            </w:pPr>
            <w:r w:rsidRPr="009742A6">
              <w:rPr>
                <w:rFonts w:ascii="Arial Narrow" w:hAnsi="Arial Narrow" w:cs="Open Sans"/>
                <w:i/>
                <w:iCs/>
                <w:color w:val="333333"/>
                <w:sz w:val="20"/>
                <w:szCs w:val="20"/>
              </w:rPr>
              <w:t>Patient must not be undergoing concurrent treatment with either of: (i) seladelpar (ii) obeticholic acid</w:t>
            </w:r>
          </w:p>
        </w:tc>
      </w:tr>
    </w:tbl>
    <w:p w14:paraId="0ADCE3BB" w14:textId="77777777" w:rsidR="009742A6" w:rsidRPr="009742A6" w:rsidRDefault="009742A6" w:rsidP="00F6324B">
      <w:pPr>
        <w:numPr>
          <w:ilvl w:val="0"/>
          <w:numId w:val="17"/>
        </w:numPr>
        <w:spacing w:after="120"/>
        <w:ind w:left="1077" w:hanging="357"/>
        <w:rPr>
          <w:rFonts w:asciiTheme="minorHAnsi" w:hAnsiTheme="minorHAnsi"/>
          <w:snapToGrid w:val="0"/>
        </w:rPr>
      </w:pPr>
      <w:r w:rsidRPr="009742A6">
        <w:rPr>
          <w:rFonts w:asciiTheme="minorHAnsi" w:hAnsiTheme="minorHAnsi"/>
          <w:snapToGrid w:val="0"/>
        </w:rPr>
        <w:t>Update concept 34053/34174 (addition of seladelpar) to be flowed on to elafibrinor only for PBS item codes:</w:t>
      </w:r>
    </w:p>
    <w:p w14:paraId="57193355" w14:textId="77777777" w:rsidR="009742A6" w:rsidRPr="009742A6" w:rsidRDefault="009742A6" w:rsidP="009742A6">
      <w:pPr>
        <w:spacing w:before="60" w:after="60"/>
        <w:ind w:left="1080"/>
        <w:rPr>
          <w:rFonts w:asciiTheme="minorHAnsi" w:eastAsiaTheme="minorHAnsi" w:hAnsiTheme="minorHAnsi" w:cstheme="minorBidi"/>
          <w:szCs w:val="22"/>
        </w:rPr>
      </w:pPr>
      <w:r w:rsidRPr="009742A6">
        <w:rPr>
          <w:rFonts w:asciiTheme="minorHAnsi" w:eastAsiaTheme="minorHAnsi" w:hAnsiTheme="minorHAnsi" w:cstheme="minorBidi"/>
          <w:szCs w:val="22"/>
        </w:rPr>
        <w:t>•</w:t>
      </w:r>
      <w:r w:rsidRPr="009742A6">
        <w:rPr>
          <w:rFonts w:asciiTheme="minorHAnsi" w:eastAsiaTheme="minorHAnsi" w:hAnsiTheme="minorHAnsi" w:cstheme="minorBidi"/>
          <w:szCs w:val="22"/>
        </w:rPr>
        <w:tab/>
        <w:t>15084X / elafibranor 80 mg tablet, 30 (grandfather treatment)</w:t>
      </w:r>
    </w:p>
    <w:p w14:paraId="7CD318C5" w14:textId="77777777" w:rsidR="009742A6" w:rsidRPr="009742A6" w:rsidRDefault="009742A6" w:rsidP="009742A6">
      <w:pPr>
        <w:spacing w:before="60" w:after="60"/>
        <w:ind w:left="1080"/>
        <w:rPr>
          <w:rFonts w:asciiTheme="minorHAnsi" w:eastAsiaTheme="minorHAnsi" w:hAnsiTheme="minorHAnsi" w:cstheme="minorBidi"/>
          <w:szCs w:val="22"/>
        </w:rPr>
      </w:pPr>
      <w:r w:rsidRPr="009742A6">
        <w:rPr>
          <w:rFonts w:asciiTheme="minorHAnsi" w:eastAsiaTheme="minorHAnsi" w:hAnsiTheme="minorHAnsi" w:cstheme="minorBidi"/>
          <w:szCs w:val="22"/>
        </w:rPr>
        <w:t>•</w:t>
      </w:r>
      <w:r w:rsidRPr="009742A6">
        <w:rPr>
          <w:rFonts w:asciiTheme="minorHAnsi" w:eastAsiaTheme="minorHAnsi" w:hAnsiTheme="minorHAnsi" w:cstheme="minorBidi"/>
          <w:szCs w:val="22"/>
        </w:rPr>
        <w:tab/>
        <w:t>15107D/ elafibranor 80 mg tablet, 30 (initial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7A7FE2CF" w14:textId="77777777" w:rsidTr="00FA26BE">
        <w:trPr>
          <w:trHeight w:val="20"/>
        </w:trPr>
        <w:tc>
          <w:tcPr>
            <w:tcW w:w="1272" w:type="dxa"/>
          </w:tcPr>
          <w:p w14:paraId="496A360D" w14:textId="77777777" w:rsidR="009742A6" w:rsidRPr="009742A6" w:rsidRDefault="009742A6" w:rsidP="009742A6">
            <w:pPr>
              <w:jc w:val="center"/>
              <w:rPr>
                <w:rFonts w:ascii="Arial Narrow" w:hAnsi="Arial Narrow"/>
                <w:i/>
                <w:iCs/>
                <w:color w:val="333333"/>
                <w:sz w:val="20"/>
                <w:szCs w:val="20"/>
              </w:rPr>
            </w:pPr>
          </w:p>
        </w:tc>
        <w:tc>
          <w:tcPr>
            <w:tcW w:w="7744" w:type="dxa"/>
          </w:tcPr>
          <w:p w14:paraId="0AA86D90" w14:textId="77777777" w:rsidR="009742A6" w:rsidRPr="009742A6" w:rsidRDefault="009742A6" w:rsidP="009742A6">
            <w:pPr>
              <w:rPr>
                <w:rFonts w:ascii="Arial Narrow" w:hAnsi="Arial Narrow"/>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39D7C4E4" w14:textId="77777777" w:rsidTr="00FA26BE">
        <w:tblPrEx>
          <w:tblLook w:val="0000" w:firstRow="0" w:lastRow="0" w:firstColumn="0" w:lastColumn="0" w:noHBand="0" w:noVBand="0"/>
        </w:tblPrEx>
        <w:trPr>
          <w:trHeight w:val="20"/>
        </w:trPr>
        <w:tc>
          <w:tcPr>
            <w:tcW w:w="1272" w:type="dxa"/>
          </w:tcPr>
          <w:p w14:paraId="172D1391" w14:textId="162AEC62" w:rsidR="009742A6" w:rsidRPr="009742A6" w:rsidRDefault="009742A6" w:rsidP="009742A6">
            <w:pPr>
              <w:jc w:val="center"/>
              <w:rPr>
                <w:rFonts w:ascii="Arial Narrow" w:hAnsi="Arial Narrow"/>
                <w:i/>
                <w:iCs/>
                <w:color w:val="333333"/>
                <w:sz w:val="20"/>
                <w:szCs w:val="20"/>
              </w:rPr>
            </w:pPr>
          </w:p>
        </w:tc>
        <w:tc>
          <w:tcPr>
            <w:tcW w:w="7744" w:type="dxa"/>
          </w:tcPr>
          <w:p w14:paraId="37545899" w14:textId="77777777" w:rsidR="009742A6" w:rsidRPr="009742A6" w:rsidRDefault="009742A6" w:rsidP="009742A6">
            <w:pPr>
              <w:rPr>
                <w:rFonts w:ascii="Arial Narrow" w:hAnsi="Arial Narrow"/>
                <w:b/>
                <w:bCs/>
                <w:color w:val="333333"/>
                <w:sz w:val="20"/>
                <w:szCs w:val="20"/>
              </w:rPr>
            </w:pPr>
            <w:r w:rsidRPr="009742A6">
              <w:rPr>
                <w:rFonts w:ascii="Arial Narrow" w:hAnsi="Arial Narrow" w:cs="Open Sans"/>
                <w:color w:val="333333"/>
                <w:sz w:val="20"/>
                <w:szCs w:val="20"/>
              </w:rPr>
              <w:t xml:space="preserve">Patient must have experienced an intolerance to </w:t>
            </w:r>
            <w:r w:rsidRPr="009742A6">
              <w:rPr>
                <w:rFonts w:ascii="Arial Narrow" w:hAnsi="Arial Narrow" w:cs="Open Sans"/>
                <w:i/>
                <w:iCs/>
                <w:color w:val="333333"/>
                <w:sz w:val="20"/>
                <w:szCs w:val="20"/>
              </w:rPr>
              <w:t>either of: (i)</w:t>
            </w:r>
            <w:r w:rsidRPr="009742A6">
              <w:rPr>
                <w:rFonts w:ascii="Arial Narrow" w:hAnsi="Arial Narrow" w:cs="Open Sans"/>
                <w:color w:val="333333"/>
                <w:sz w:val="20"/>
                <w:szCs w:val="20"/>
              </w:rPr>
              <w:t xml:space="preserve"> obeticholic acid </w:t>
            </w:r>
            <w:r w:rsidRPr="009742A6">
              <w:rPr>
                <w:rFonts w:ascii="Arial Narrow" w:hAnsi="Arial Narrow" w:cs="Open Sans"/>
                <w:i/>
                <w:iCs/>
                <w:color w:val="333333"/>
                <w:sz w:val="20"/>
                <w:szCs w:val="20"/>
              </w:rPr>
              <w:t xml:space="preserve">(ii) seladelpar </w:t>
            </w:r>
            <w:r w:rsidRPr="009742A6">
              <w:rPr>
                <w:rFonts w:ascii="Arial Narrow" w:hAnsi="Arial Narrow" w:cs="Open Sans"/>
                <w:color w:val="333333"/>
                <w:sz w:val="20"/>
                <w:szCs w:val="20"/>
              </w:rPr>
              <w:t>of a severity requiring treatment discontinuation, prior to initiating treatment with this drug; or</w:t>
            </w:r>
          </w:p>
        </w:tc>
      </w:tr>
      <w:tr w:rsidR="009742A6" w:rsidRPr="009742A6" w14:paraId="4BB73783" w14:textId="77777777" w:rsidTr="00FA26BE">
        <w:tblPrEx>
          <w:tblLook w:val="0000" w:firstRow="0" w:lastRow="0" w:firstColumn="0" w:lastColumn="0" w:noHBand="0" w:noVBand="0"/>
        </w:tblPrEx>
        <w:trPr>
          <w:trHeight w:val="20"/>
        </w:trPr>
        <w:tc>
          <w:tcPr>
            <w:tcW w:w="1272" w:type="dxa"/>
          </w:tcPr>
          <w:p w14:paraId="25A93A78" w14:textId="30989475" w:rsidR="009742A6" w:rsidRPr="009742A6" w:rsidRDefault="009742A6" w:rsidP="009742A6">
            <w:pPr>
              <w:jc w:val="center"/>
              <w:rPr>
                <w:rFonts w:ascii="Arial Narrow" w:hAnsi="Arial Narrow" w:cs="Open Sans"/>
                <w:i/>
                <w:iCs/>
                <w:color w:val="333333"/>
                <w:sz w:val="20"/>
                <w:szCs w:val="20"/>
              </w:rPr>
            </w:pPr>
          </w:p>
        </w:tc>
        <w:tc>
          <w:tcPr>
            <w:tcW w:w="7744" w:type="dxa"/>
          </w:tcPr>
          <w:p w14:paraId="6834C6B0" w14:textId="77777777" w:rsidR="009742A6" w:rsidRPr="009742A6" w:rsidRDefault="009742A6" w:rsidP="009742A6">
            <w:pPr>
              <w:rPr>
                <w:rFonts w:ascii="Arial Narrow" w:hAnsi="Arial Narrow" w:cs="Open Sans"/>
                <w:color w:val="333333"/>
                <w:sz w:val="20"/>
                <w:szCs w:val="20"/>
              </w:rPr>
            </w:pPr>
            <w:r w:rsidRPr="009742A6">
              <w:rPr>
                <w:rFonts w:ascii="Arial Narrow" w:hAnsi="Arial Narrow" w:cs="Open Sans"/>
                <w:color w:val="333333"/>
                <w:sz w:val="20"/>
                <w:szCs w:val="20"/>
              </w:rPr>
              <w:t xml:space="preserve">Patient must have inadequately responded to treatment with </w:t>
            </w:r>
            <w:r w:rsidRPr="009742A6">
              <w:rPr>
                <w:rFonts w:ascii="Arial Narrow" w:hAnsi="Arial Narrow" w:cs="Open Sans"/>
                <w:i/>
                <w:iCs/>
                <w:color w:val="333333"/>
                <w:sz w:val="20"/>
                <w:szCs w:val="20"/>
              </w:rPr>
              <w:t>either of: (i)</w:t>
            </w:r>
            <w:r w:rsidRPr="009742A6">
              <w:rPr>
                <w:rFonts w:ascii="Arial Narrow" w:hAnsi="Arial Narrow" w:cs="Open Sans"/>
                <w:color w:val="333333"/>
                <w:sz w:val="20"/>
                <w:szCs w:val="20"/>
              </w:rPr>
              <w:t xml:space="preserve"> obeticholic acid </w:t>
            </w:r>
            <w:r w:rsidRPr="009742A6">
              <w:rPr>
                <w:rFonts w:ascii="Arial Narrow" w:hAnsi="Arial Narrow" w:cs="Open Sans"/>
                <w:i/>
                <w:iCs/>
                <w:color w:val="333333"/>
                <w:sz w:val="20"/>
                <w:szCs w:val="20"/>
              </w:rPr>
              <w:t>(ii) seladelpar</w:t>
            </w:r>
            <w:r w:rsidRPr="009742A6">
              <w:rPr>
                <w:rFonts w:ascii="Arial Narrow" w:hAnsi="Arial Narrow" w:cs="Open Sans"/>
                <w:color w:val="333333"/>
                <w:sz w:val="20"/>
                <w:szCs w:val="20"/>
              </w:rPr>
              <w:t>, prior to initiating treatment with this drug</w:t>
            </w:r>
          </w:p>
        </w:tc>
      </w:tr>
    </w:tbl>
    <w:p w14:paraId="073C902A" w14:textId="77777777" w:rsidR="009742A6" w:rsidRPr="009742A6" w:rsidRDefault="009742A6" w:rsidP="00F6324B">
      <w:pPr>
        <w:numPr>
          <w:ilvl w:val="0"/>
          <w:numId w:val="18"/>
        </w:numPr>
        <w:spacing w:after="120"/>
        <w:rPr>
          <w:rFonts w:asciiTheme="minorHAnsi" w:hAnsiTheme="minorHAnsi"/>
          <w:snapToGrid w:val="0"/>
        </w:rPr>
      </w:pPr>
      <w:r w:rsidRPr="009742A6">
        <w:rPr>
          <w:rFonts w:asciiTheme="minorHAnsi" w:hAnsiTheme="minorHAnsi"/>
          <w:snapToGrid w:val="0"/>
        </w:rPr>
        <w:t>Update concept 27508/27507 (preventing use in immunocompromised patients) to be flowed on to elafibrinor only for PBS item codes:</w:t>
      </w:r>
    </w:p>
    <w:p w14:paraId="39734512" w14:textId="77777777" w:rsidR="009742A6" w:rsidRPr="009742A6" w:rsidRDefault="009742A6" w:rsidP="00F6324B">
      <w:pPr>
        <w:numPr>
          <w:ilvl w:val="0"/>
          <w:numId w:val="19"/>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15084X / elafibranor 80 mg tablet, 30 (grandfather treatment)</w:t>
      </w:r>
    </w:p>
    <w:p w14:paraId="162D84A8" w14:textId="77777777" w:rsidR="009742A6" w:rsidRPr="009742A6" w:rsidRDefault="009742A6" w:rsidP="00F6324B">
      <w:pPr>
        <w:numPr>
          <w:ilvl w:val="0"/>
          <w:numId w:val="19"/>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15107D/ elafibranor 80 mg tablet, 30 (initial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6A98B3A8" w14:textId="77777777" w:rsidTr="00FA26BE">
        <w:trPr>
          <w:trHeight w:val="20"/>
        </w:trPr>
        <w:tc>
          <w:tcPr>
            <w:tcW w:w="1272" w:type="dxa"/>
          </w:tcPr>
          <w:p w14:paraId="6B46CE96" w14:textId="02695EE6" w:rsidR="009742A6" w:rsidRPr="009742A6" w:rsidRDefault="009742A6" w:rsidP="009742A6">
            <w:pPr>
              <w:jc w:val="center"/>
              <w:rPr>
                <w:rFonts w:ascii="Arial Narrow" w:hAnsi="Arial Narrow"/>
                <w:i/>
                <w:iCs/>
                <w:color w:val="333333"/>
                <w:sz w:val="20"/>
                <w:szCs w:val="20"/>
              </w:rPr>
            </w:pPr>
          </w:p>
        </w:tc>
        <w:tc>
          <w:tcPr>
            <w:tcW w:w="7745" w:type="dxa"/>
          </w:tcPr>
          <w:p w14:paraId="16703B1E" w14:textId="77777777" w:rsidR="009742A6" w:rsidRPr="009742A6" w:rsidRDefault="009742A6" w:rsidP="009742A6">
            <w:pPr>
              <w:rPr>
                <w:rFonts w:ascii="Arial Narrow" w:hAnsi="Arial Narrow"/>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5017D406" w14:textId="77777777" w:rsidTr="00FA26BE">
        <w:tblPrEx>
          <w:tblLook w:val="0000" w:firstRow="0" w:lastRow="0" w:firstColumn="0" w:lastColumn="0" w:noHBand="0" w:noVBand="0"/>
        </w:tblPrEx>
        <w:trPr>
          <w:trHeight w:val="20"/>
        </w:trPr>
        <w:tc>
          <w:tcPr>
            <w:tcW w:w="1272" w:type="dxa"/>
          </w:tcPr>
          <w:p w14:paraId="7F3111FD" w14:textId="4CA7F219" w:rsidR="009742A6" w:rsidRPr="009742A6" w:rsidRDefault="009742A6" w:rsidP="009742A6">
            <w:pPr>
              <w:jc w:val="center"/>
              <w:rPr>
                <w:rFonts w:ascii="Arial Narrow" w:hAnsi="Arial Narrow"/>
                <w:i/>
                <w:iCs/>
                <w:color w:val="333333"/>
                <w:sz w:val="20"/>
                <w:szCs w:val="20"/>
              </w:rPr>
            </w:pPr>
          </w:p>
        </w:tc>
        <w:tc>
          <w:tcPr>
            <w:tcW w:w="7745" w:type="dxa"/>
          </w:tcPr>
          <w:p w14:paraId="188C0E93" w14:textId="77777777" w:rsidR="009742A6" w:rsidRPr="009742A6" w:rsidRDefault="009742A6" w:rsidP="009742A6">
            <w:pPr>
              <w:rPr>
                <w:rFonts w:ascii="Arial Narrow" w:hAnsi="Arial Narrow"/>
                <w:b/>
                <w:bCs/>
                <w:color w:val="333333"/>
                <w:sz w:val="20"/>
                <w:szCs w:val="20"/>
              </w:rPr>
            </w:pPr>
            <w:r w:rsidRPr="009742A6">
              <w:rPr>
                <w:rFonts w:ascii="Arial Narrow" w:hAnsi="Arial Narrow" w:cs="Open Sans"/>
                <w:color w:val="333333"/>
                <w:sz w:val="20"/>
                <w:szCs w:val="20"/>
              </w:rPr>
              <w:t>Patient must not have</w:t>
            </w:r>
            <w:r w:rsidRPr="009742A6">
              <w:rPr>
                <w:rFonts w:ascii="Arial Narrow" w:hAnsi="Arial Narrow" w:cs="Open Sans"/>
                <w:strike/>
                <w:color w:val="333333"/>
                <w:sz w:val="20"/>
                <w:szCs w:val="20"/>
              </w:rPr>
              <w:t>/be each of: (i</w:t>
            </w:r>
            <w:r w:rsidRPr="009742A6">
              <w:rPr>
                <w:rFonts w:ascii="Arial Narrow" w:hAnsi="Arial Narrow" w:cs="Open Sans"/>
                <w:color w:val="333333"/>
                <w:sz w:val="20"/>
                <w:szCs w:val="20"/>
              </w:rPr>
              <w:t>) severe liver disease</w:t>
            </w:r>
            <w:r w:rsidRPr="009742A6">
              <w:rPr>
                <w:rFonts w:ascii="Arial Narrow" w:hAnsi="Arial Narrow" w:cs="Open Sans"/>
                <w:strike/>
                <w:color w:val="333333"/>
                <w:sz w:val="20"/>
                <w:szCs w:val="20"/>
              </w:rPr>
              <w:t>, (ii) immunocompromised</w:t>
            </w:r>
          </w:p>
        </w:tc>
      </w:tr>
    </w:tbl>
    <w:p w14:paraId="222A09F2" w14:textId="77777777" w:rsidR="009742A6" w:rsidRPr="009742A6" w:rsidRDefault="009742A6" w:rsidP="00F6324B">
      <w:pPr>
        <w:numPr>
          <w:ilvl w:val="0"/>
          <w:numId w:val="18"/>
        </w:numPr>
        <w:spacing w:after="120"/>
        <w:rPr>
          <w:rFonts w:asciiTheme="minorHAnsi" w:hAnsiTheme="minorHAnsi"/>
          <w:snapToGrid w:val="0"/>
        </w:rPr>
      </w:pPr>
      <w:r w:rsidRPr="009742A6">
        <w:rPr>
          <w:rFonts w:asciiTheme="minorHAnsi" w:hAnsiTheme="minorHAnsi"/>
          <w:snapToGrid w:val="0"/>
        </w:rPr>
        <w:t>Remove concept 27499 (hepatic decomposition and failure caution) to be flowed on to elafibrinor only for PBS item codes:</w:t>
      </w:r>
    </w:p>
    <w:p w14:paraId="41CC4083" w14:textId="77777777" w:rsidR="009742A6" w:rsidRPr="009742A6" w:rsidRDefault="009742A6" w:rsidP="00F6324B">
      <w:pPr>
        <w:numPr>
          <w:ilvl w:val="0"/>
          <w:numId w:val="19"/>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15084X / elafibranor 80 mg tablet, 30 (grandfather treatment)</w:t>
      </w:r>
    </w:p>
    <w:p w14:paraId="53D3B2E3" w14:textId="77777777" w:rsidR="009742A6" w:rsidRPr="009742A6" w:rsidRDefault="009742A6" w:rsidP="00F6324B">
      <w:pPr>
        <w:numPr>
          <w:ilvl w:val="0"/>
          <w:numId w:val="19"/>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15107D/ elafibranor 80 mg tablet, 30 (initial treatment)</w:t>
      </w:r>
    </w:p>
    <w:p w14:paraId="7B828B5F" w14:textId="77777777" w:rsidR="009742A6" w:rsidRPr="009742A6" w:rsidRDefault="009742A6" w:rsidP="00F6324B">
      <w:pPr>
        <w:numPr>
          <w:ilvl w:val="0"/>
          <w:numId w:val="19"/>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15089E/ elafibrinor 80mg tablet, 30 (continuing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7985E065" w14:textId="77777777" w:rsidTr="00FA26BE">
        <w:trPr>
          <w:trHeight w:val="688"/>
        </w:trPr>
        <w:tc>
          <w:tcPr>
            <w:tcW w:w="1272" w:type="dxa"/>
          </w:tcPr>
          <w:p w14:paraId="5A29C4B4" w14:textId="15A84D31" w:rsidR="009742A6" w:rsidRPr="009742A6" w:rsidRDefault="009742A6" w:rsidP="009742A6">
            <w:pPr>
              <w:jc w:val="center"/>
              <w:rPr>
                <w:rFonts w:ascii="Arial Narrow" w:hAnsi="Arial Narrow"/>
                <w:strike/>
                <w:color w:val="333333"/>
                <w:sz w:val="20"/>
                <w:szCs w:val="20"/>
              </w:rPr>
            </w:pPr>
          </w:p>
        </w:tc>
        <w:tc>
          <w:tcPr>
            <w:tcW w:w="7745" w:type="dxa"/>
          </w:tcPr>
          <w:p w14:paraId="0F6C1DB6" w14:textId="77777777" w:rsidR="009742A6" w:rsidRPr="009742A6" w:rsidRDefault="009742A6" w:rsidP="009742A6">
            <w:pPr>
              <w:rPr>
                <w:rFonts w:ascii="Arial Narrow" w:hAnsi="Arial Narrow"/>
                <w:strike/>
                <w:color w:val="333333"/>
                <w:sz w:val="20"/>
                <w:szCs w:val="20"/>
              </w:rPr>
            </w:pPr>
            <w:r w:rsidRPr="009742A6">
              <w:rPr>
                <w:rFonts w:ascii="Arial Narrow" w:hAnsi="Arial Narrow" w:cs="Open Sans"/>
                <w:b/>
                <w:bCs/>
                <w:strike/>
                <w:color w:val="333333"/>
                <w:sz w:val="20"/>
                <w:szCs w:val="20"/>
                <w:bdr w:val="none" w:sz="0" w:space="0" w:color="auto" w:frame="1"/>
              </w:rPr>
              <w:t>Caution:</w:t>
            </w:r>
          </w:p>
          <w:p w14:paraId="41BC8D4F" w14:textId="77777777" w:rsidR="009742A6" w:rsidRPr="009742A6" w:rsidRDefault="009742A6" w:rsidP="009742A6">
            <w:pPr>
              <w:rPr>
                <w:rFonts w:ascii="Arial Narrow" w:hAnsi="Arial Narrow"/>
                <w:strike/>
                <w:color w:val="333333"/>
                <w:sz w:val="20"/>
                <w:szCs w:val="20"/>
              </w:rPr>
            </w:pPr>
            <w:r w:rsidRPr="009742A6">
              <w:rPr>
                <w:rFonts w:ascii="Arial Narrow" w:hAnsi="Arial Narrow" w:cs="Open Sans"/>
                <w:strike/>
                <w:color w:val="333333"/>
                <w:sz w:val="20"/>
                <w:szCs w:val="20"/>
              </w:rPr>
              <w:t>Hepatic decompensation and failure, in some cases fatal, have been reported in post-marketing reports in patients with moderate to severe hepatic impairment when dosed incorrectly.</w:t>
            </w:r>
          </w:p>
        </w:tc>
      </w:tr>
    </w:tbl>
    <w:p w14:paraId="7FCB5590" w14:textId="77777777" w:rsidR="009742A6" w:rsidRPr="009742A6" w:rsidRDefault="009742A6" w:rsidP="00F6324B">
      <w:pPr>
        <w:widowControl w:val="0"/>
        <w:numPr>
          <w:ilvl w:val="0"/>
          <w:numId w:val="18"/>
        </w:numPr>
        <w:spacing w:after="120"/>
        <w:rPr>
          <w:rFonts w:asciiTheme="minorHAnsi" w:hAnsiTheme="minorHAnsi"/>
          <w:snapToGrid w:val="0"/>
        </w:rPr>
      </w:pPr>
      <w:r w:rsidRPr="009742A6">
        <w:rPr>
          <w:rFonts w:asciiTheme="minorHAnsi" w:hAnsiTheme="minorHAnsi"/>
          <w:snapToGrid w:val="0"/>
        </w:rPr>
        <w:t>Update concept 34502/34055 (removal of the reference to total bilirubin levels between 1 to 2 times above the ULN) to be flowed on to elafibrinor and OCA for PBS item codes:</w:t>
      </w:r>
    </w:p>
    <w:p w14:paraId="369E628F" w14:textId="77777777" w:rsidR="009742A6" w:rsidRPr="009742A6" w:rsidRDefault="009742A6" w:rsidP="00F6324B">
      <w:pPr>
        <w:numPr>
          <w:ilvl w:val="0"/>
          <w:numId w:val="20"/>
        </w:numPr>
        <w:spacing w:after="120"/>
        <w:rPr>
          <w:rFonts w:asciiTheme="minorHAnsi" w:hAnsiTheme="minorHAnsi"/>
          <w:snapToGrid w:val="0"/>
        </w:rPr>
      </w:pPr>
      <w:r w:rsidRPr="009742A6">
        <w:rPr>
          <w:rFonts w:asciiTheme="minorHAnsi" w:hAnsiTheme="minorHAnsi"/>
          <w:snapToGrid w:val="0"/>
        </w:rPr>
        <w:t>12623J / obeticholic acid 5 mg tablet, 30 (initial treatment)</w:t>
      </w:r>
    </w:p>
    <w:p w14:paraId="7537DB7E" w14:textId="77777777" w:rsidR="009742A6" w:rsidRPr="009742A6" w:rsidRDefault="009742A6" w:rsidP="00F6324B">
      <w:pPr>
        <w:numPr>
          <w:ilvl w:val="0"/>
          <w:numId w:val="20"/>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15107D/ elafibranor 80 mg tablet, 30 (initial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0CD4F346" w14:textId="77777777" w:rsidTr="00FA26BE">
        <w:trPr>
          <w:trHeight w:val="20"/>
        </w:trPr>
        <w:tc>
          <w:tcPr>
            <w:tcW w:w="1272" w:type="dxa"/>
          </w:tcPr>
          <w:p w14:paraId="590237CF" w14:textId="19834F07" w:rsidR="009742A6" w:rsidRPr="009742A6" w:rsidRDefault="009742A6" w:rsidP="009742A6">
            <w:pPr>
              <w:jc w:val="center"/>
              <w:rPr>
                <w:rFonts w:ascii="Arial Narrow" w:hAnsi="Arial Narrow"/>
                <w:i/>
                <w:iCs/>
                <w:color w:val="333333"/>
                <w:sz w:val="20"/>
                <w:szCs w:val="20"/>
              </w:rPr>
            </w:pPr>
          </w:p>
        </w:tc>
        <w:tc>
          <w:tcPr>
            <w:tcW w:w="7745" w:type="dxa"/>
          </w:tcPr>
          <w:p w14:paraId="4523E354" w14:textId="77777777" w:rsidR="009742A6" w:rsidRPr="009742A6" w:rsidRDefault="009742A6" w:rsidP="009742A6">
            <w:pPr>
              <w:rPr>
                <w:rFonts w:ascii="Arial Narrow" w:hAnsi="Arial Narrow"/>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6B7BA89D" w14:textId="77777777" w:rsidTr="00FA26BE">
        <w:tblPrEx>
          <w:tblLook w:val="0000" w:firstRow="0" w:lastRow="0" w:firstColumn="0" w:lastColumn="0" w:noHBand="0" w:noVBand="0"/>
        </w:tblPrEx>
        <w:trPr>
          <w:trHeight w:val="20"/>
        </w:trPr>
        <w:tc>
          <w:tcPr>
            <w:tcW w:w="1272" w:type="dxa"/>
          </w:tcPr>
          <w:p w14:paraId="60856B2A" w14:textId="68A422B0" w:rsidR="009742A6" w:rsidRPr="009742A6" w:rsidRDefault="009742A6" w:rsidP="009742A6">
            <w:pPr>
              <w:jc w:val="center"/>
              <w:rPr>
                <w:rFonts w:ascii="Arial Narrow" w:hAnsi="Arial Narrow"/>
                <w:i/>
                <w:iCs/>
                <w:color w:val="333333"/>
                <w:sz w:val="20"/>
                <w:szCs w:val="20"/>
              </w:rPr>
            </w:pPr>
          </w:p>
        </w:tc>
        <w:tc>
          <w:tcPr>
            <w:tcW w:w="7745" w:type="dxa"/>
          </w:tcPr>
          <w:p w14:paraId="796D26EF" w14:textId="77777777" w:rsidR="009742A6" w:rsidRPr="009742A6" w:rsidRDefault="009742A6" w:rsidP="009742A6">
            <w:pPr>
              <w:rPr>
                <w:rFonts w:ascii="Arial Narrow" w:hAnsi="Arial Narrow"/>
                <w:b/>
                <w:bCs/>
                <w:color w:val="333333"/>
                <w:sz w:val="20"/>
                <w:szCs w:val="20"/>
              </w:rPr>
            </w:pPr>
            <w:r w:rsidRPr="009742A6">
              <w:rPr>
                <w:rFonts w:ascii="Arial Narrow" w:hAnsi="Arial Narrow" w:cs="Open Sans"/>
                <w:color w:val="333333"/>
                <w:sz w:val="20"/>
                <w:szCs w:val="20"/>
              </w:rPr>
              <w:t xml:space="preserve">Patient must have a total bilirubin level </w:t>
            </w:r>
            <w:r w:rsidRPr="009742A6">
              <w:rPr>
                <w:rFonts w:ascii="Arial Narrow" w:hAnsi="Arial Narrow" w:cs="Open Sans"/>
                <w:strike/>
                <w:color w:val="333333"/>
                <w:sz w:val="20"/>
                <w:szCs w:val="20"/>
              </w:rPr>
              <w:t>between 1 to 2 times</w:t>
            </w:r>
            <w:r w:rsidRPr="009742A6">
              <w:rPr>
                <w:rFonts w:ascii="Arial Narrow" w:hAnsi="Arial Narrow" w:cs="Open Sans"/>
                <w:color w:val="333333"/>
                <w:sz w:val="20"/>
                <w:szCs w:val="20"/>
              </w:rPr>
              <w:t xml:space="preserve"> </w:t>
            </w:r>
            <w:r w:rsidRPr="009742A6">
              <w:rPr>
                <w:rFonts w:ascii="Arial Narrow" w:hAnsi="Arial Narrow" w:cs="Open Sans"/>
                <w:i/>
                <w:iCs/>
                <w:color w:val="333333"/>
                <w:sz w:val="20"/>
                <w:szCs w:val="20"/>
              </w:rPr>
              <w:t>that is above</w:t>
            </w:r>
            <w:r w:rsidRPr="009742A6">
              <w:rPr>
                <w:rFonts w:ascii="Arial Narrow" w:hAnsi="Arial Narrow" w:cs="Open Sans"/>
                <w:color w:val="333333"/>
                <w:sz w:val="20"/>
                <w:szCs w:val="20"/>
              </w:rPr>
              <w:t xml:space="preserve"> the ULN prior to initiating treatment with this drug, despite treatment with ursodeoxycholic acid for at least 52 cumulative weeks; or</w:t>
            </w:r>
          </w:p>
        </w:tc>
      </w:tr>
    </w:tbl>
    <w:p w14:paraId="6ABD6651" w14:textId="77777777" w:rsidR="009742A6" w:rsidRPr="009742A6" w:rsidRDefault="009742A6" w:rsidP="00F6324B">
      <w:pPr>
        <w:widowControl w:val="0"/>
        <w:numPr>
          <w:ilvl w:val="0"/>
          <w:numId w:val="18"/>
        </w:numPr>
        <w:spacing w:after="120"/>
        <w:rPr>
          <w:rFonts w:asciiTheme="minorHAnsi" w:hAnsiTheme="minorHAnsi"/>
          <w:snapToGrid w:val="0"/>
        </w:rPr>
      </w:pPr>
      <w:r w:rsidRPr="009742A6">
        <w:rPr>
          <w:rFonts w:asciiTheme="minorHAnsi" w:hAnsiTheme="minorHAnsi"/>
          <w:snapToGrid w:val="0"/>
        </w:rPr>
        <w:t>Update concept 34101/27530 (removal of the reference to total bilirubin levels between 1 to 2 times above the ULN) to be flowed on to elafibrinor PBS item code:</w:t>
      </w:r>
    </w:p>
    <w:p w14:paraId="7F0B3273" w14:textId="77777777" w:rsidR="009742A6" w:rsidRPr="009742A6" w:rsidRDefault="009742A6" w:rsidP="00F6324B">
      <w:pPr>
        <w:numPr>
          <w:ilvl w:val="0"/>
          <w:numId w:val="20"/>
        </w:numPr>
        <w:spacing w:before="60" w:after="60"/>
        <w:rPr>
          <w:rFonts w:asciiTheme="minorHAnsi" w:eastAsiaTheme="minorHAnsi" w:hAnsiTheme="minorHAnsi" w:cstheme="minorBidi"/>
          <w:szCs w:val="22"/>
        </w:rPr>
      </w:pPr>
      <w:r w:rsidRPr="009742A6">
        <w:rPr>
          <w:rFonts w:asciiTheme="minorHAnsi" w:eastAsiaTheme="minorHAnsi" w:hAnsiTheme="minorHAnsi" w:cstheme="minorBidi"/>
          <w:szCs w:val="22"/>
        </w:rPr>
        <w:t>15084X/ elafibranor 80 mg tablet, 30 (grandfather treatment)</w:t>
      </w:r>
    </w:p>
    <w:tbl>
      <w:tblPr>
        <w:tblStyle w:val="TableGrid"/>
        <w:tblW w:w="5000" w:type="pct"/>
        <w:tblLayout w:type="fixed"/>
        <w:tblLook w:val="04A0" w:firstRow="1" w:lastRow="0" w:firstColumn="1" w:lastColumn="0" w:noHBand="0" w:noVBand="1"/>
      </w:tblPr>
      <w:tblGrid>
        <w:gridCol w:w="1272"/>
        <w:gridCol w:w="7745"/>
      </w:tblGrid>
      <w:tr w:rsidR="009742A6" w:rsidRPr="009742A6" w14:paraId="337FE952" w14:textId="77777777" w:rsidTr="00FA26BE">
        <w:trPr>
          <w:trHeight w:val="20"/>
        </w:trPr>
        <w:tc>
          <w:tcPr>
            <w:tcW w:w="1272" w:type="dxa"/>
          </w:tcPr>
          <w:p w14:paraId="45DA6661" w14:textId="77777777" w:rsidR="009742A6" w:rsidRPr="009742A6" w:rsidRDefault="009742A6" w:rsidP="009742A6">
            <w:pPr>
              <w:jc w:val="center"/>
              <w:rPr>
                <w:rFonts w:ascii="Arial Narrow" w:hAnsi="Arial Narrow"/>
                <w:i/>
                <w:iCs/>
                <w:color w:val="333333"/>
                <w:sz w:val="20"/>
                <w:szCs w:val="20"/>
              </w:rPr>
            </w:pPr>
            <w:r w:rsidRPr="009742A6">
              <w:rPr>
                <w:rFonts w:ascii="Arial Narrow" w:hAnsi="Arial Narrow"/>
                <w:i/>
                <w:iCs/>
                <w:strike/>
                <w:color w:val="333333"/>
                <w:sz w:val="20"/>
                <w:szCs w:val="20"/>
              </w:rPr>
              <w:t>34101</w:t>
            </w:r>
            <w:r w:rsidRPr="009742A6">
              <w:rPr>
                <w:rFonts w:ascii="Arial Narrow" w:hAnsi="Arial Narrow"/>
                <w:i/>
                <w:iCs/>
                <w:color w:val="333333"/>
                <w:sz w:val="20"/>
                <w:szCs w:val="20"/>
              </w:rPr>
              <w:t xml:space="preserve"> NEW</w:t>
            </w:r>
          </w:p>
        </w:tc>
        <w:tc>
          <w:tcPr>
            <w:tcW w:w="7745" w:type="dxa"/>
          </w:tcPr>
          <w:p w14:paraId="66966A7B" w14:textId="77777777" w:rsidR="009742A6" w:rsidRPr="009742A6" w:rsidRDefault="009742A6" w:rsidP="009742A6">
            <w:pPr>
              <w:rPr>
                <w:rFonts w:ascii="Arial Narrow" w:hAnsi="Arial Narrow"/>
                <w:color w:val="333333"/>
                <w:sz w:val="20"/>
                <w:szCs w:val="20"/>
              </w:rPr>
            </w:pPr>
            <w:r w:rsidRPr="009742A6">
              <w:rPr>
                <w:rFonts w:ascii="Arial Narrow" w:hAnsi="Arial Narrow" w:cs="Open Sans"/>
                <w:b/>
                <w:bCs/>
                <w:color w:val="333333"/>
                <w:sz w:val="20"/>
                <w:szCs w:val="20"/>
                <w:bdr w:val="none" w:sz="0" w:space="0" w:color="auto" w:frame="1"/>
              </w:rPr>
              <w:t>Clinical criteria:</w:t>
            </w:r>
          </w:p>
        </w:tc>
      </w:tr>
      <w:tr w:rsidR="009742A6" w:rsidRPr="009742A6" w14:paraId="2DDBA38E" w14:textId="77777777" w:rsidTr="00FA26BE">
        <w:tblPrEx>
          <w:tblLook w:val="0000" w:firstRow="0" w:lastRow="0" w:firstColumn="0" w:lastColumn="0" w:noHBand="0" w:noVBand="0"/>
        </w:tblPrEx>
        <w:trPr>
          <w:trHeight w:val="20"/>
        </w:trPr>
        <w:tc>
          <w:tcPr>
            <w:tcW w:w="1272" w:type="dxa"/>
          </w:tcPr>
          <w:p w14:paraId="4D26B333" w14:textId="77777777" w:rsidR="009742A6" w:rsidRPr="009742A6" w:rsidRDefault="009742A6" w:rsidP="009742A6">
            <w:pPr>
              <w:jc w:val="center"/>
              <w:rPr>
                <w:rFonts w:ascii="Arial Narrow" w:hAnsi="Arial Narrow"/>
                <w:i/>
                <w:iCs/>
                <w:color w:val="333333"/>
                <w:sz w:val="20"/>
                <w:szCs w:val="20"/>
              </w:rPr>
            </w:pPr>
            <w:r w:rsidRPr="009742A6">
              <w:rPr>
                <w:rFonts w:ascii="Arial Narrow" w:hAnsi="Arial Narrow" w:cs="Open Sans"/>
                <w:i/>
                <w:iCs/>
                <w:strike/>
                <w:color w:val="333333"/>
                <w:sz w:val="20"/>
                <w:szCs w:val="20"/>
              </w:rPr>
              <w:lastRenderedPageBreak/>
              <w:t>27530</w:t>
            </w:r>
            <w:r w:rsidRPr="009742A6">
              <w:rPr>
                <w:rFonts w:ascii="Arial Narrow" w:hAnsi="Arial Narrow" w:cs="Open Sans"/>
                <w:i/>
                <w:iCs/>
                <w:color w:val="333333"/>
                <w:sz w:val="20"/>
                <w:szCs w:val="20"/>
              </w:rPr>
              <w:t xml:space="preserve"> NEW</w:t>
            </w:r>
          </w:p>
        </w:tc>
        <w:tc>
          <w:tcPr>
            <w:tcW w:w="7745" w:type="dxa"/>
          </w:tcPr>
          <w:p w14:paraId="60B57F25" w14:textId="77777777" w:rsidR="009742A6" w:rsidRPr="009742A6" w:rsidRDefault="009742A6" w:rsidP="009742A6">
            <w:pPr>
              <w:rPr>
                <w:rFonts w:ascii="Arial Narrow" w:hAnsi="Arial Narrow"/>
                <w:b/>
                <w:bCs/>
                <w:color w:val="333333"/>
                <w:sz w:val="20"/>
                <w:szCs w:val="20"/>
              </w:rPr>
            </w:pPr>
            <w:r w:rsidRPr="009742A6">
              <w:rPr>
                <w:rFonts w:ascii="Arial Narrow" w:hAnsi="Arial Narrow" w:cs="Open Sans"/>
                <w:color w:val="333333"/>
                <w:sz w:val="20"/>
                <w:szCs w:val="20"/>
              </w:rPr>
              <w:t xml:space="preserve">Patient must have had, prior to initiating treatment with this drug, a total bilirubin level </w:t>
            </w:r>
            <w:r w:rsidRPr="009742A6">
              <w:rPr>
                <w:rFonts w:ascii="Arial Narrow" w:hAnsi="Arial Narrow" w:cs="Open Sans"/>
                <w:i/>
                <w:iCs/>
                <w:color w:val="333333"/>
                <w:sz w:val="20"/>
                <w:szCs w:val="20"/>
              </w:rPr>
              <w:t>that was above</w:t>
            </w:r>
            <w:r w:rsidRPr="009742A6">
              <w:rPr>
                <w:rFonts w:ascii="Arial Narrow" w:hAnsi="Arial Narrow" w:cs="Open Sans"/>
                <w:color w:val="333333"/>
                <w:sz w:val="20"/>
                <w:szCs w:val="20"/>
              </w:rPr>
              <w:t xml:space="preserve"> </w:t>
            </w:r>
            <w:r w:rsidRPr="009742A6">
              <w:rPr>
                <w:rFonts w:ascii="Arial Narrow" w:hAnsi="Arial Narrow" w:cs="Open Sans"/>
                <w:strike/>
                <w:color w:val="333333"/>
                <w:sz w:val="20"/>
                <w:szCs w:val="20"/>
              </w:rPr>
              <w:t>between 1 to 2 times</w:t>
            </w:r>
            <w:r w:rsidRPr="009742A6">
              <w:rPr>
                <w:rFonts w:ascii="Arial Narrow" w:hAnsi="Arial Narrow" w:cs="Open Sans"/>
                <w:color w:val="333333"/>
                <w:sz w:val="20"/>
                <w:szCs w:val="20"/>
              </w:rPr>
              <w:t xml:space="preserve"> the ULN, despite treatment with ursodeoxycholic acid for at least 52 cumulative weeks; or</w:t>
            </w:r>
          </w:p>
        </w:tc>
      </w:tr>
    </w:tbl>
    <w:p w14:paraId="4C020D18" w14:textId="77777777" w:rsidR="00972F7D" w:rsidRPr="00972F7D" w:rsidRDefault="00972F7D" w:rsidP="00972F7D">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105" w:name="_Hlk175730821"/>
      <w:r w:rsidRPr="00972F7D">
        <w:rPr>
          <w:rFonts w:asciiTheme="minorHAnsi" w:hAnsiTheme="minorHAnsi" w:cs="Times New Roman"/>
          <w:b/>
          <w:bCs/>
          <w:snapToGrid w:val="0"/>
          <w:sz w:val="32"/>
          <w:szCs w:val="32"/>
        </w:rPr>
        <w:t>Context for Decision</w:t>
      </w:r>
    </w:p>
    <w:p w14:paraId="05BD3D05" w14:textId="77777777" w:rsidR="00972F7D" w:rsidRPr="00972F7D" w:rsidRDefault="00972F7D" w:rsidP="00972F7D">
      <w:pPr>
        <w:spacing w:after="120"/>
        <w:ind w:left="720"/>
        <w:jc w:val="left"/>
        <w:rPr>
          <w:rFonts w:asciiTheme="minorHAnsi" w:hAnsiTheme="minorHAnsi" w:cs="Times New Roman"/>
          <w:bCs/>
          <w:lang w:val="en-GB"/>
        </w:rPr>
      </w:pPr>
      <w:r w:rsidRPr="00972F7D">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DAA07D" w14:textId="77777777" w:rsidR="00972F7D" w:rsidRPr="00972F7D" w:rsidRDefault="00972F7D" w:rsidP="00972F7D">
      <w:pPr>
        <w:keepNext/>
        <w:numPr>
          <w:ilvl w:val="0"/>
          <w:numId w:val="1"/>
        </w:numPr>
        <w:spacing w:before="240" w:after="120"/>
        <w:jc w:val="left"/>
        <w:outlineLvl w:val="0"/>
        <w:rPr>
          <w:rFonts w:asciiTheme="minorHAnsi" w:hAnsiTheme="minorHAnsi" w:cs="Times New Roman"/>
          <w:b/>
          <w:snapToGrid w:val="0"/>
          <w:sz w:val="32"/>
          <w:szCs w:val="32"/>
        </w:rPr>
      </w:pPr>
      <w:r w:rsidRPr="00972F7D">
        <w:rPr>
          <w:rFonts w:asciiTheme="minorHAnsi" w:hAnsiTheme="minorHAnsi" w:cs="Times New Roman"/>
          <w:b/>
          <w:snapToGrid w:val="0"/>
          <w:sz w:val="32"/>
          <w:szCs w:val="32"/>
        </w:rPr>
        <w:t>Sponsor’s Comment</w:t>
      </w:r>
    </w:p>
    <w:p w14:paraId="5838CCA3" w14:textId="77777777" w:rsidR="00972F7D" w:rsidRPr="00972F7D" w:rsidRDefault="00972F7D" w:rsidP="00972F7D">
      <w:pPr>
        <w:spacing w:after="120" w:line="276" w:lineRule="auto"/>
        <w:ind w:left="720"/>
        <w:jc w:val="left"/>
        <w:rPr>
          <w:rFonts w:asciiTheme="minorHAnsi" w:eastAsiaTheme="minorHAnsi" w:hAnsiTheme="minorHAnsi" w:cs="Times New Roman"/>
          <w:bCs/>
          <w:szCs w:val="22"/>
          <w:lang w:eastAsia="en-US"/>
        </w:rPr>
      </w:pPr>
      <w:r w:rsidRPr="00972F7D">
        <w:rPr>
          <w:rFonts w:asciiTheme="minorHAnsi" w:eastAsiaTheme="minorHAnsi" w:hAnsiTheme="minorHAnsi" w:cs="Times New Roman"/>
          <w:bCs/>
          <w:szCs w:val="22"/>
          <w:lang w:eastAsia="en-US"/>
        </w:rPr>
        <w:t>The sponsor had no comment.</w:t>
      </w:r>
    </w:p>
    <w:bookmarkEnd w:id="105"/>
    <w:p w14:paraId="2218373D" w14:textId="77777777" w:rsidR="001A3C35" w:rsidRPr="00525B39" w:rsidRDefault="001A3C35" w:rsidP="001A3C35">
      <w:pPr>
        <w:widowControl w:val="0"/>
        <w:rPr>
          <w:rFonts w:asciiTheme="minorHAnsi" w:hAnsiTheme="minorHAnsi"/>
          <w:b/>
          <w:bCs/>
          <w:snapToGrid w:val="0"/>
        </w:rPr>
      </w:pPr>
    </w:p>
    <w:sectPr w:rsidR="001A3C35" w:rsidRPr="00525B39" w:rsidSect="00466A6D">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660B" w14:textId="77777777" w:rsidR="005B2B37" w:rsidRDefault="005B2B37" w:rsidP="00124A51">
      <w:r>
        <w:separator/>
      </w:r>
    </w:p>
    <w:p w14:paraId="4E617E8D" w14:textId="77777777" w:rsidR="005B2B37" w:rsidRDefault="005B2B37"/>
  </w:endnote>
  <w:endnote w:type="continuationSeparator" w:id="0">
    <w:p w14:paraId="06B18635" w14:textId="77777777" w:rsidR="005B2B37" w:rsidRDefault="005B2B37" w:rsidP="00124A51">
      <w:r>
        <w:continuationSeparator/>
      </w:r>
    </w:p>
    <w:p w14:paraId="6376476A" w14:textId="77777777" w:rsidR="005B2B37" w:rsidRDefault="005B2B37"/>
  </w:endnote>
  <w:endnote w:type="continuationNotice" w:id="1">
    <w:p w14:paraId="1DCC1B36" w14:textId="77777777" w:rsidR="005B2B37" w:rsidRDefault="005B2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26C" w14:textId="600826AD" w:rsidR="00A2150E" w:rsidRDefault="00A2150E">
    <w:pPr>
      <w:pStyle w:val="Footer"/>
    </w:pPr>
    <w:r>
      <w:rPr>
        <w:noProof/>
      </w:rPr>
      <mc:AlternateContent>
        <mc:Choice Requires="wps">
          <w:drawing>
            <wp:anchor distT="0" distB="0" distL="0" distR="0" simplePos="0" relativeHeight="251662336" behindDoc="0" locked="0" layoutInCell="1" allowOverlap="1" wp14:anchorId="33C099DC" wp14:editId="3406341C">
              <wp:simplePos x="635" y="635"/>
              <wp:positionH relativeFrom="page">
                <wp:align>center</wp:align>
              </wp:positionH>
              <wp:positionV relativeFrom="page">
                <wp:align>bottom</wp:align>
              </wp:positionV>
              <wp:extent cx="622300" cy="376555"/>
              <wp:effectExtent l="0" t="0" r="6350" b="0"/>
              <wp:wrapNone/>
              <wp:docPr id="21146863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BB412D" w14:textId="13C04E97"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099D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DBB412D" w14:textId="13C04E97"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DA05EEC" w:rsidR="00D843F2" w:rsidRDefault="00A2150E" w:rsidP="00753B29">
    <w:pPr>
      <w:pStyle w:val="Footer"/>
      <w:jc w:val="center"/>
    </w:pPr>
    <w:r>
      <w:rPr>
        <w:noProof/>
      </w:rPr>
      <mc:AlternateContent>
        <mc:Choice Requires="wps">
          <w:drawing>
            <wp:anchor distT="0" distB="0" distL="0" distR="0" simplePos="0" relativeHeight="251663360" behindDoc="0" locked="0" layoutInCell="1" allowOverlap="1" wp14:anchorId="7C665DDF" wp14:editId="4565D1D4">
              <wp:simplePos x="635" y="635"/>
              <wp:positionH relativeFrom="page">
                <wp:align>center</wp:align>
              </wp:positionH>
              <wp:positionV relativeFrom="page">
                <wp:align>bottom</wp:align>
              </wp:positionV>
              <wp:extent cx="622300" cy="376555"/>
              <wp:effectExtent l="0" t="0" r="6350" b="0"/>
              <wp:wrapNone/>
              <wp:docPr id="7331976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A7E819" w14:textId="1A7FE9EA"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65DD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EA7E819" w14:textId="1A7FE9EA"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p>
  <w:p w14:paraId="37484CD3" w14:textId="4A9C222D"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6A33" w14:textId="400DFCCF" w:rsidR="00A2150E" w:rsidRDefault="00A2150E">
    <w:pPr>
      <w:pStyle w:val="Footer"/>
    </w:pPr>
    <w:r>
      <w:rPr>
        <w:noProof/>
      </w:rPr>
      <mc:AlternateContent>
        <mc:Choice Requires="wps">
          <w:drawing>
            <wp:anchor distT="0" distB="0" distL="0" distR="0" simplePos="0" relativeHeight="251661312" behindDoc="0" locked="0" layoutInCell="1" allowOverlap="1" wp14:anchorId="73A8712E" wp14:editId="351A755A">
              <wp:simplePos x="635" y="635"/>
              <wp:positionH relativeFrom="page">
                <wp:align>center</wp:align>
              </wp:positionH>
              <wp:positionV relativeFrom="page">
                <wp:align>bottom</wp:align>
              </wp:positionV>
              <wp:extent cx="622300" cy="376555"/>
              <wp:effectExtent l="0" t="0" r="6350" b="0"/>
              <wp:wrapNone/>
              <wp:docPr id="5663972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C6D36C" w14:textId="45A9B41F"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8712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BC6D36C" w14:textId="45A9B41F"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5441" w14:textId="77777777" w:rsidR="005B2B37" w:rsidRDefault="005B2B37" w:rsidP="00124A51">
      <w:r>
        <w:separator/>
      </w:r>
    </w:p>
    <w:p w14:paraId="7E08EA85" w14:textId="77777777" w:rsidR="005B2B37" w:rsidRDefault="005B2B37"/>
  </w:footnote>
  <w:footnote w:type="continuationSeparator" w:id="0">
    <w:p w14:paraId="7A2FA46C" w14:textId="77777777" w:rsidR="005B2B37" w:rsidRDefault="005B2B37" w:rsidP="00124A51">
      <w:r>
        <w:continuationSeparator/>
      </w:r>
    </w:p>
    <w:p w14:paraId="10C3B055" w14:textId="77777777" w:rsidR="005B2B37" w:rsidRDefault="005B2B37"/>
  </w:footnote>
  <w:footnote w:type="continuationNotice" w:id="1">
    <w:p w14:paraId="2F3F35B2" w14:textId="77777777" w:rsidR="005B2B37" w:rsidRDefault="005B2B37"/>
  </w:footnote>
  <w:footnote w:id="2">
    <w:p w14:paraId="7CE5B43B" w14:textId="500FD1D0" w:rsidR="00FE103C" w:rsidRPr="00FE103C" w:rsidRDefault="00FE103C">
      <w:pPr>
        <w:pStyle w:val="FootnoteText"/>
        <w:rPr>
          <w:lang w:val="en-US"/>
        </w:rPr>
      </w:pPr>
      <w:r>
        <w:rPr>
          <w:rStyle w:val="FootnoteReference"/>
        </w:rPr>
        <w:footnoteRef/>
      </w:r>
      <w:r>
        <w:t xml:space="preserve"> Pharmaceutical Benefits Advisory Committee (</w:t>
      </w:r>
      <w:r>
        <w:rPr>
          <w:lang w:val="en-US"/>
        </w:rPr>
        <w:t xml:space="preserve">PBAC) Meeting Outcomes, March 2025 PBAC meeting. </w:t>
      </w:r>
      <w:hyperlink r:id="rId1" w:history="1">
        <w:r w:rsidRPr="00CA3B2B">
          <w:rPr>
            <w:rStyle w:val="Hyperlink"/>
            <w:lang w:val="en-US"/>
          </w:rPr>
          <w:t>https://www.pbs.gov.au/industry/listing/elements/pbac-meetings/pbac-outcomes/2025-03/pbac-web-outcomes-03-2025.pdf</w:t>
        </w:r>
      </w:hyperlink>
      <w:r>
        <w:rPr>
          <w:lang w:val="en-US"/>
        </w:rPr>
        <w:t xml:space="preserve"> </w:t>
      </w:r>
    </w:p>
  </w:footnote>
  <w:footnote w:id="3">
    <w:p w14:paraId="3F943963" w14:textId="6122D9C8" w:rsidR="00732CE9" w:rsidRPr="00732CE9" w:rsidRDefault="00732CE9">
      <w:pPr>
        <w:pStyle w:val="FootnoteText"/>
        <w:rPr>
          <w:lang w:val="en-US"/>
        </w:rPr>
      </w:pPr>
      <w:r>
        <w:rPr>
          <w:rStyle w:val="FootnoteReference"/>
        </w:rPr>
        <w:footnoteRef/>
      </w:r>
      <w:r>
        <w:t xml:space="preserve"> </w:t>
      </w:r>
      <w:r w:rsidRPr="00732CE9">
        <w:t xml:space="preserve">French J, van der Mei I, </w:t>
      </w:r>
      <w:r>
        <w:t>et al</w:t>
      </w:r>
      <w:r w:rsidRPr="00732CE9">
        <w:t>. 2020. Increasing prevalence of primary biliary cholangitis in Victoria, Australia</w:t>
      </w:r>
      <w:r w:rsidR="00447323">
        <w:t>, Journal of Gastroenterology and Hepatology, 35:673-679.</w:t>
      </w:r>
      <w:r w:rsidR="00447323" w:rsidRPr="00447323">
        <w:t xml:space="preserve"> doi:10.1111/jgh.14924673</w:t>
      </w:r>
      <w:r w:rsidR="00447323">
        <w:t xml:space="preserve"> </w:t>
      </w:r>
    </w:p>
  </w:footnote>
  <w:footnote w:id="4">
    <w:p w14:paraId="3ECF723E" w14:textId="49F72758" w:rsidR="00447323" w:rsidRPr="00447323" w:rsidRDefault="00447323">
      <w:pPr>
        <w:pStyle w:val="FootnoteText"/>
        <w:rPr>
          <w:lang w:val="en-US"/>
        </w:rPr>
      </w:pPr>
      <w:r>
        <w:rPr>
          <w:rStyle w:val="FootnoteReference"/>
        </w:rPr>
        <w:footnoteRef/>
      </w:r>
      <w:r>
        <w:t xml:space="preserve"> </w:t>
      </w:r>
      <w:r w:rsidRPr="00447323">
        <w:t>European Association for the Study of the Liver (EASL). 2017. EASL Clinical Practice Guidelines: The diagnosis and management of patients with primary biliary cholangitis. Journal of hepatology, 67(1), 145–172. https://doi.org/10.1016/j.jhep.2017.03.022</w:t>
      </w:r>
    </w:p>
  </w:footnote>
  <w:footnote w:id="5">
    <w:p w14:paraId="74963D74" w14:textId="07DFF3EA" w:rsidR="00447323" w:rsidRPr="00447323" w:rsidRDefault="00447323">
      <w:pPr>
        <w:pStyle w:val="FootnoteText"/>
        <w:rPr>
          <w:lang w:val="en-US"/>
        </w:rPr>
      </w:pPr>
      <w:r>
        <w:rPr>
          <w:rStyle w:val="FootnoteReference"/>
        </w:rPr>
        <w:footnoteRef/>
      </w:r>
      <w:r>
        <w:t xml:space="preserve"> </w:t>
      </w:r>
      <w:r>
        <w:rPr>
          <w:lang w:val="en-US"/>
        </w:rPr>
        <w:t xml:space="preserve">National Institute for Health and Care Excellence (NICE), 2024, Elafibranor for previously treated primary biliary cholangitis: Technology appraisal guidance (TA1016). </w:t>
      </w:r>
      <w:hyperlink r:id="rId2" w:history="1">
        <w:r w:rsidRPr="008C2662">
          <w:rPr>
            <w:rStyle w:val="Hyperlink"/>
            <w:lang w:val="en-US"/>
          </w:rPr>
          <w:t>https://www.nice.org.uk/guidance/ta1016</w:t>
        </w:r>
      </w:hyperlink>
      <w:r>
        <w:rPr>
          <w:lang w:val="en-US"/>
        </w:rPr>
        <w:t xml:space="preserve"> </w:t>
      </w:r>
    </w:p>
  </w:footnote>
  <w:footnote w:id="6">
    <w:p w14:paraId="35B127F4" w14:textId="77777777" w:rsidR="00F50005" w:rsidRPr="008A5677" w:rsidRDefault="00F50005" w:rsidP="008A5677">
      <w:pPr>
        <w:pStyle w:val="TableFigureFooter"/>
        <w:spacing w:after="0"/>
        <w:rPr>
          <w:rFonts w:ascii="Calibri" w:hAnsi="Calibri"/>
          <w:snapToGrid/>
          <w:sz w:val="20"/>
          <w:szCs w:val="20"/>
        </w:rPr>
      </w:pPr>
      <w:r w:rsidRPr="008A5677">
        <w:rPr>
          <w:rFonts w:ascii="Calibri" w:hAnsi="Calibri"/>
          <w:snapToGrid/>
          <w:sz w:val="20"/>
          <w:szCs w:val="20"/>
          <w:vertAlign w:val="superscript"/>
        </w:rPr>
        <w:footnoteRef/>
      </w:r>
      <w:r w:rsidRPr="008A5677">
        <w:rPr>
          <w:rFonts w:ascii="Calibri" w:hAnsi="Calibri"/>
          <w:snapToGrid/>
          <w:sz w:val="20"/>
          <w:szCs w:val="20"/>
        </w:rPr>
        <w:t xml:space="preserve"> Invernizzi et al. (2017). Primary Biliary Cholangitis: advances in management and treatment of the disease. Digestive and Liver Disease, 49(8), 841-846, DOI: </w:t>
      </w:r>
      <w:hyperlink r:id="rId3" w:history="1">
        <w:r w:rsidRPr="008A5677">
          <w:rPr>
            <w:rFonts w:ascii="Calibri" w:hAnsi="Calibri"/>
            <w:snapToGrid/>
            <w:sz w:val="20"/>
            <w:szCs w:val="20"/>
          </w:rPr>
          <w:t>https://doi.org/10.1016/j.dld.2017.05.001</w:t>
        </w:r>
      </w:hyperlink>
      <w:r w:rsidRPr="008A5677">
        <w:rPr>
          <w:rFonts w:ascii="Calibri" w:hAnsi="Calibri"/>
          <w:snapToGri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8067" w14:textId="2BEF73B6" w:rsidR="00A2150E" w:rsidRDefault="00A2150E">
    <w:pPr>
      <w:pStyle w:val="Header"/>
    </w:pPr>
    <w:r>
      <w:rPr>
        <w:noProof/>
      </w:rPr>
      <mc:AlternateContent>
        <mc:Choice Requires="wps">
          <w:drawing>
            <wp:anchor distT="0" distB="0" distL="0" distR="0" simplePos="0" relativeHeight="251659264" behindDoc="0" locked="0" layoutInCell="1" allowOverlap="1" wp14:anchorId="1C36E9BB" wp14:editId="18753140">
              <wp:simplePos x="635" y="635"/>
              <wp:positionH relativeFrom="page">
                <wp:align>center</wp:align>
              </wp:positionH>
              <wp:positionV relativeFrom="page">
                <wp:align>top</wp:align>
              </wp:positionV>
              <wp:extent cx="622300" cy="376555"/>
              <wp:effectExtent l="0" t="0" r="6350" b="4445"/>
              <wp:wrapNone/>
              <wp:docPr id="1474120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A5BDE5" w14:textId="0672A761"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6E9B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9A5BDE5" w14:textId="0672A761"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C568AC0" w:rsidR="00D843F2" w:rsidRPr="00195452" w:rsidRDefault="00A2150E"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0288" behindDoc="0" locked="0" layoutInCell="1" allowOverlap="1" wp14:anchorId="6F15A198" wp14:editId="2BB176F2">
              <wp:simplePos x="635" y="635"/>
              <wp:positionH relativeFrom="page">
                <wp:align>center</wp:align>
              </wp:positionH>
              <wp:positionV relativeFrom="page">
                <wp:align>top</wp:align>
              </wp:positionV>
              <wp:extent cx="622300" cy="376555"/>
              <wp:effectExtent l="0" t="0" r="6350" b="4445"/>
              <wp:wrapNone/>
              <wp:docPr id="17026766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0614D7" w14:textId="185A4B4F"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5A19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40614D7" w14:textId="185A4B4F"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r w:rsidR="0043714C" w:rsidRPr="0043714C">
      <w:rPr>
        <w:rFonts w:asciiTheme="minorHAnsi" w:hAnsiTheme="minorHAnsi"/>
        <w:color w:val="808080"/>
      </w:rPr>
      <w:t>Public Summary Document</w:t>
    </w:r>
    <w:r w:rsidR="001C3021">
      <w:rPr>
        <w:rFonts w:asciiTheme="minorHAnsi" w:hAnsiTheme="minorHAnsi"/>
        <w:color w:val="808080"/>
      </w:rPr>
      <w:t xml:space="preserve"> –</w:t>
    </w:r>
    <w:r w:rsidR="00E8442C">
      <w:rPr>
        <w:rFonts w:asciiTheme="minorHAnsi" w:hAnsiTheme="minorHAnsi"/>
        <w:color w:val="808080"/>
      </w:rPr>
      <w:t xml:space="preserve"> </w:t>
    </w:r>
    <w:r w:rsidR="00292FF0">
      <w:rPr>
        <w:rFonts w:asciiTheme="minorHAnsi" w:hAnsiTheme="minorHAnsi"/>
        <w:color w:val="808080"/>
      </w:rPr>
      <w:t>July</w:t>
    </w:r>
    <w:r w:rsidR="00D843F2">
      <w:rPr>
        <w:rFonts w:asciiTheme="minorHAnsi" w:hAnsiTheme="minorHAnsi"/>
        <w:color w:val="808080"/>
      </w:rPr>
      <w:t xml:space="preserve"> 202</w:t>
    </w:r>
    <w:r w:rsidR="00292FF0">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r w:rsidR="0047283D">
      <w:rPr>
        <w:rFonts w:asciiTheme="minorHAnsi" w:hAnsiTheme="minorHAnsi"/>
        <w:color w:val="808080"/>
      </w:rPr>
      <w:t xml:space="preserve"> </w:t>
    </w:r>
    <w:r w:rsidR="00E95DAF">
      <w:rPr>
        <w:rFonts w:asciiTheme="minorHAnsi" w:hAnsiTheme="minorHAnsi"/>
        <w:color w:val="808080"/>
      </w:rPr>
      <w:t xml:space="preserve">with </w:t>
    </w:r>
    <w:r w:rsidR="002B7E93">
      <w:rPr>
        <w:rFonts w:asciiTheme="minorHAnsi" w:hAnsiTheme="minorHAnsi"/>
        <w:color w:val="808080"/>
      </w:rPr>
      <w:t xml:space="preserve">December 2025 </w:t>
    </w:r>
    <w:r w:rsidR="0067735A">
      <w:rPr>
        <w:rFonts w:asciiTheme="minorHAnsi" w:hAnsiTheme="minorHAnsi"/>
        <w:color w:val="808080"/>
      </w:rPr>
      <w:t xml:space="preserve">Addendum </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8E5C" w14:textId="21E5E67D" w:rsidR="00A2150E" w:rsidRDefault="00A2150E">
    <w:pPr>
      <w:pStyle w:val="Header"/>
    </w:pPr>
    <w:r>
      <w:rPr>
        <w:noProof/>
      </w:rPr>
      <mc:AlternateContent>
        <mc:Choice Requires="wps">
          <w:drawing>
            <wp:anchor distT="0" distB="0" distL="0" distR="0" simplePos="0" relativeHeight="251658240" behindDoc="0" locked="0" layoutInCell="1" allowOverlap="1" wp14:anchorId="0BC8122B" wp14:editId="72C08AE3">
              <wp:simplePos x="635" y="635"/>
              <wp:positionH relativeFrom="page">
                <wp:align>center</wp:align>
              </wp:positionH>
              <wp:positionV relativeFrom="page">
                <wp:align>top</wp:align>
              </wp:positionV>
              <wp:extent cx="622300" cy="376555"/>
              <wp:effectExtent l="0" t="0" r="6350" b="4445"/>
              <wp:wrapNone/>
              <wp:docPr id="5891616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687D9F" w14:textId="65A805D1"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8122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A687D9F" w14:textId="65A805D1" w:rsidR="00A2150E" w:rsidRPr="00A2150E" w:rsidRDefault="00A2150E" w:rsidP="00A2150E">
                    <w:pPr>
                      <w:rPr>
                        <w:rFonts w:ascii="Aptos" w:eastAsia="Aptos" w:hAnsi="Aptos" w:cs="Aptos"/>
                        <w:noProof/>
                        <w:color w:val="FF0000"/>
                      </w:rPr>
                    </w:pPr>
                    <w:r w:rsidRPr="00A2150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B5616"/>
    <w:multiLevelType w:val="hybridMultilevel"/>
    <w:tmpl w:val="9E42F10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7223866"/>
    <w:multiLevelType w:val="hybridMultilevel"/>
    <w:tmpl w:val="E10AC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C04D24"/>
    <w:multiLevelType w:val="hybridMultilevel"/>
    <w:tmpl w:val="521E9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E01077"/>
    <w:multiLevelType w:val="hybridMultilevel"/>
    <w:tmpl w:val="AF061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C870AC0"/>
    <w:multiLevelType w:val="multilevel"/>
    <w:tmpl w:val="B246D75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70B72"/>
    <w:multiLevelType w:val="hybridMultilevel"/>
    <w:tmpl w:val="3DF89F24"/>
    <w:lvl w:ilvl="0" w:tplc="B1348B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346AD7"/>
    <w:multiLevelType w:val="hybridMultilevel"/>
    <w:tmpl w:val="4510065C"/>
    <w:lvl w:ilvl="0" w:tplc="6C961216">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A94109"/>
    <w:multiLevelType w:val="hybridMultilevel"/>
    <w:tmpl w:val="A2B4553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74816E4"/>
    <w:multiLevelType w:val="hybridMultilevel"/>
    <w:tmpl w:val="987E8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DA6125"/>
    <w:multiLevelType w:val="hybridMultilevel"/>
    <w:tmpl w:val="2976E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9730E"/>
    <w:multiLevelType w:val="hybridMultilevel"/>
    <w:tmpl w:val="5B2AB3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6F52CC0"/>
    <w:multiLevelType w:val="hybridMultilevel"/>
    <w:tmpl w:val="71486822"/>
    <w:lvl w:ilvl="0" w:tplc="74BAA06E">
      <w:start w:val="1"/>
      <w:numFmt w:val="decimal"/>
      <w:lvlText w:val="%1."/>
      <w:lvlJc w:val="left"/>
      <w:pPr>
        <w:ind w:left="108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700D60"/>
    <w:multiLevelType w:val="hybridMultilevel"/>
    <w:tmpl w:val="B5446F12"/>
    <w:lvl w:ilvl="0" w:tplc="ED5441A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84D033C"/>
    <w:multiLevelType w:val="multilevel"/>
    <w:tmpl w:val="A43E7F4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4D3AA6"/>
    <w:multiLevelType w:val="hybridMultilevel"/>
    <w:tmpl w:val="27E260E8"/>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DA166DC"/>
    <w:multiLevelType w:val="hybridMultilevel"/>
    <w:tmpl w:val="C7102D80"/>
    <w:lvl w:ilvl="0" w:tplc="B8A087DA">
      <w:start w:val="3"/>
      <w:numFmt w:val="decimal"/>
      <w:lvlText w:val="%1."/>
      <w:lvlJc w:val="left"/>
      <w:pPr>
        <w:ind w:left="108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D47530"/>
    <w:multiLevelType w:val="hybridMultilevel"/>
    <w:tmpl w:val="70AE590C"/>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16186631">
    <w:abstractNumId w:val="16"/>
  </w:num>
  <w:num w:numId="2" w16cid:durableId="917793048">
    <w:abstractNumId w:val="11"/>
  </w:num>
  <w:num w:numId="3" w16cid:durableId="263461728">
    <w:abstractNumId w:val="0"/>
  </w:num>
  <w:num w:numId="4" w16cid:durableId="220360847">
    <w:abstractNumId w:val="15"/>
  </w:num>
  <w:num w:numId="5" w16cid:durableId="1048839230">
    <w:abstractNumId w:val="16"/>
  </w:num>
  <w:num w:numId="6" w16cid:durableId="1946379438">
    <w:abstractNumId w:val="9"/>
  </w:num>
  <w:num w:numId="7" w16cid:durableId="1426850015">
    <w:abstractNumId w:val="6"/>
  </w:num>
  <w:num w:numId="8" w16cid:durableId="1331371565">
    <w:abstractNumId w:val="1"/>
  </w:num>
  <w:num w:numId="9" w16cid:durableId="630214756">
    <w:abstractNumId w:val="8"/>
  </w:num>
  <w:num w:numId="10" w16cid:durableId="928000433">
    <w:abstractNumId w:val="3"/>
  </w:num>
  <w:num w:numId="11" w16cid:durableId="331375587">
    <w:abstractNumId w:val="10"/>
  </w:num>
  <w:num w:numId="12" w16cid:durableId="1422868043">
    <w:abstractNumId w:val="2"/>
  </w:num>
  <w:num w:numId="13" w16cid:durableId="310914006">
    <w:abstractNumId w:val="5"/>
  </w:num>
  <w:num w:numId="14" w16cid:durableId="1323663190">
    <w:abstractNumId w:val="14"/>
  </w:num>
  <w:num w:numId="15" w16cid:durableId="634023409">
    <w:abstractNumId w:val="17"/>
  </w:num>
  <w:num w:numId="16" w16cid:durableId="133569285">
    <w:abstractNumId w:val="19"/>
  </w:num>
  <w:num w:numId="17" w16cid:durableId="395591629">
    <w:abstractNumId w:val="13"/>
  </w:num>
  <w:num w:numId="18" w16cid:durableId="724840387">
    <w:abstractNumId w:val="18"/>
  </w:num>
  <w:num w:numId="19" w16cid:durableId="1119765468">
    <w:abstractNumId w:val="4"/>
  </w:num>
  <w:num w:numId="20" w16cid:durableId="190993375">
    <w:abstractNumId w:val="12"/>
  </w:num>
  <w:num w:numId="21" w16cid:durableId="1076633403">
    <w:abstractNumId w:val="7"/>
  </w:num>
  <w:num w:numId="22" w16cid:durableId="82643447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wMzCwMDEwMrG0NDdT0lEKTi0uzszPAykwNK8FACUr9DotAAAA"/>
  </w:docVars>
  <w:rsids>
    <w:rsidRoot w:val="00E65E79"/>
    <w:rsid w:val="000004F8"/>
    <w:rsid w:val="00000790"/>
    <w:rsid w:val="00000A91"/>
    <w:rsid w:val="0000110B"/>
    <w:rsid w:val="0000116A"/>
    <w:rsid w:val="00003054"/>
    <w:rsid w:val="00003348"/>
    <w:rsid w:val="00003499"/>
    <w:rsid w:val="000036CF"/>
    <w:rsid w:val="000039B7"/>
    <w:rsid w:val="000056B9"/>
    <w:rsid w:val="00005744"/>
    <w:rsid w:val="00005FFB"/>
    <w:rsid w:val="0000639A"/>
    <w:rsid w:val="0000724A"/>
    <w:rsid w:val="0001061C"/>
    <w:rsid w:val="00011C71"/>
    <w:rsid w:val="00013247"/>
    <w:rsid w:val="00013CA9"/>
    <w:rsid w:val="00015886"/>
    <w:rsid w:val="000162EF"/>
    <w:rsid w:val="00016DB4"/>
    <w:rsid w:val="000171F5"/>
    <w:rsid w:val="000173D5"/>
    <w:rsid w:val="000207C9"/>
    <w:rsid w:val="0002225F"/>
    <w:rsid w:val="00023730"/>
    <w:rsid w:val="00023763"/>
    <w:rsid w:val="00024EB5"/>
    <w:rsid w:val="000263BB"/>
    <w:rsid w:val="0002740E"/>
    <w:rsid w:val="000274B8"/>
    <w:rsid w:val="00031DE4"/>
    <w:rsid w:val="00033863"/>
    <w:rsid w:val="000339F6"/>
    <w:rsid w:val="00033B41"/>
    <w:rsid w:val="00033F1D"/>
    <w:rsid w:val="00035DC0"/>
    <w:rsid w:val="0003643A"/>
    <w:rsid w:val="00036829"/>
    <w:rsid w:val="0003791E"/>
    <w:rsid w:val="000400BB"/>
    <w:rsid w:val="00040895"/>
    <w:rsid w:val="000410A0"/>
    <w:rsid w:val="000435EE"/>
    <w:rsid w:val="00043C37"/>
    <w:rsid w:val="00043DFC"/>
    <w:rsid w:val="00043E0F"/>
    <w:rsid w:val="00044DC9"/>
    <w:rsid w:val="00045017"/>
    <w:rsid w:val="00045A2B"/>
    <w:rsid w:val="0004698F"/>
    <w:rsid w:val="00046C8E"/>
    <w:rsid w:val="00046D64"/>
    <w:rsid w:val="000508C2"/>
    <w:rsid w:val="000539D0"/>
    <w:rsid w:val="00053F92"/>
    <w:rsid w:val="00054621"/>
    <w:rsid w:val="000546D7"/>
    <w:rsid w:val="00054A8D"/>
    <w:rsid w:val="000552D5"/>
    <w:rsid w:val="0005607D"/>
    <w:rsid w:val="00056ECF"/>
    <w:rsid w:val="000601E0"/>
    <w:rsid w:val="000604DF"/>
    <w:rsid w:val="00060CEC"/>
    <w:rsid w:val="00060E6E"/>
    <w:rsid w:val="0006196B"/>
    <w:rsid w:val="00062324"/>
    <w:rsid w:val="00063009"/>
    <w:rsid w:val="000653B5"/>
    <w:rsid w:val="00065BB7"/>
    <w:rsid w:val="0006604C"/>
    <w:rsid w:val="00066360"/>
    <w:rsid w:val="00066AF8"/>
    <w:rsid w:val="000679D8"/>
    <w:rsid w:val="00070305"/>
    <w:rsid w:val="000704CE"/>
    <w:rsid w:val="00071248"/>
    <w:rsid w:val="000720B9"/>
    <w:rsid w:val="000724F8"/>
    <w:rsid w:val="000737F7"/>
    <w:rsid w:val="0007489B"/>
    <w:rsid w:val="00076399"/>
    <w:rsid w:val="0007672F"/>
    <w:rsid w:val="00076B54"/>
    <w:rsid w:val="00076C95"/>
    <w:rsid w:val="000774F0"/>
    <w:rsid w:val="00077E7B"/>
    <w:rsid w:val="00080909"/>
    <w:rsid w:val="000812CA"/>
    <w:rsid w:val="00081E63"/>
    <w:rsid w:val="00081F84"/>
    <w:rsid w:val="0008258D"/>
    <w:rsid w:val="00083977"/>
    <w:rsid w:val="00083E99"/>
    <w:rsid w:val="00084FA8"/>
    <w:rsid w:val="000856C5"/>
    <w:rsid w:val="00085C31"/>
    <w:rsid w:val="00085D49"/>
    <w:rsid w:val="00086606"/>
    <w:rsid w:val="00086A17"/>
    <w:rsid w:val="000902D9"/>
    <w:rsid w:val="00090430"/>
    <w:rsid w:val="00090C7E"/>
    <w:rsid w:val="000911AC"/>
    <w:rsid w:val="00092600"/>
    <w:rsid w:val="0009262B"/>
    <w:rsid w:val="000932D8"/>
    <w:rsid w:val="00093310"/>
    <w:rsid w:val="00094174"/>
    <w:rsid w:val="0009445C"/>
    <w:rsid w:val="00095200"/>
    <w:rsid w:val="00095E52"/>
    <w:rsid w:val="00095FE5"/>
    <w:rsid w:val="00096284"/>
    <w:rsid w:val="00096646"/>
    <w:rsid w:val="00096FE8"/>
    <w:rsid w:val="000A0310"/>
    <w:rsid w:val="000A0856"/>
    <w:rsid w:val="000A0CAB"/>
    <w:rsid w:val="000A0ECE"/>
    <w:rsid w:val="000A1BC0"/>
    <w:rsid w:val="000A2F9E"/>
    <w:rsid w:val="000A3E47"/>
    <w:rsid w:val="000A4BDD"/>
    <w:rsid w:val="000A522B"/>
    <w:rsid w:val="000A5339"/>
    <w:rsid w:val="000A6039"/>
    <w:rsid w:val="000A6297"/>
    <w:rsid w:val="000A6A44"/>
    <w:rsid w:val="000A7345"/>
    <w:rsid w:val="000A7453"/>
    <w:rsid w:val="000A7529"/>
    <w:rsid w:val="000A7D08"/>
    <w:rsid w:val="000B0121"/>
    <w:rsid w:val="000B0670"/>
    <w:rsid w:val="000B06A3"/>
    <w:rsid w:val="000B0E75"/>
    <w:rsid w:val="000B2DCB"/>
    <w:rsid w:val="000B3D45"/>
    <w:rsid w:val="000B5CE0"/>
    <w:rsid w:val="000B6C87"/>
    <w:rsid w:val="000B6CAC"/>
    <w:rsid w:val="000B7612"/>
    <w:rsid w:val="000B78AE"/>
    <w:rsid w:val="000C0B40"/>
    <w:rsid w:val="000C2F72"/>
    <w:rsid w:val="000C3C30"/>
    <w:rsid w:val="000C3DF9"/>
    <w:rsid w:val="000C4CF2"/>
    <w:rsid w:val="000C6713"/>
    <w:rsid w:val="000D1BFC"/>
    <w:rsid w:val="000D1D5D"/>
    <w:rsid w:val="000D1F1C"/>
    <w:rsid w:val="000D2023"/>
    <w:rsid w:val="000D281A"/>
    <w:rsid w:val="000D2848"/>
    <w:rsid w:val="000D30EA"/>
    <w:rsid w:val="000D326A"/>
    <w:rsid w:val="000D39DE"/>
    <w:rsid w:val="000D51FB"/>
    <w:rsid w:val="000D6CB2"/>
    <w:rsid w:val="000D6FA0"/>
    <w:rsid w:val="000E0640"/>
    <w:rsid w:val="000E135D"/>
    <w:rsid w:val="000E2434"/>
    <w:rsid w:val="000E3398"/>
    <w:rsid w:val="000E4586"/>
    <w:rsid w:val="000E532E"/>
    <w:rsid w:val="000E698A"/>
    <w:rsid w:val="000E7900"/>
    <w:rsid w:val="000E7D9C"/>
    <w:rsid w:val="000F00BA"/>
    <w:rsid w:val="000F00ED"/>
    <w:rsid w:val="000F0705"/>
    <w:rsid w:val="000F0786"/>
    <w:rsid w:val="000F1B77"/>
    <w:rsid w:val="000F316A"/>
    <w:rsid w:val="000F3C74"/>
    <w:rsid w:val="000F4BB8"/>
    <w:rsid w:val="000F4FA9"/>
    <w:rsid w:val="000F53FB"/>
    <w:rsid w:val="000F7127"/>
    <w:rsid w:val="000F7B54"/>
    <w:rsid w:val="001000B3"/>
    <w:rsid w:val="00100146"/>
    <w:rsid w:val="00100C0A"/>
    <w:rsid w:val="00100F8A"/>
    <w:rsid w:val="0010452E"/>
    <w:rsid w:val="00105AE2"/>
    <w:rsid w:val="00105D4A"/>
    <w:rsid w:val="001060C6"/>
    <w:rsid w:val="00106B80"/>
    <w:rsid w:val="001073FB"/>
    <w:rsid w:val="00107FC0"/>
    <w:rsid w:val="0011032E"/>
    <w:rsid w:val="00111F9C"/>
    <w:rsid w:val="0011348B"/>
    <w:rsid w:val="00113BED"/>
    <w:rsid w:val="00114A09"/>
    <w:rsid w:val="001158A5"/>
    <w:rsid w:val="00115982"/>
    <w:rsid w:val="00116471"/>
    <w:rsid w:val="00116C53"/>
    <w:rsid w:val="00117E2B"/>
    <w:rsid w:val="00121799"/>
    <w:rsid w:val="00121EF7"/>
    <w:rsid w:val="001222FC"/>
    <w:rsid w:val="00123902"/>
    <w:rsid w:val="00124626"/>
    <w:rsid w:val="00124A51"/>
    <w:rsid w:val="00124F17"/>
    <w:rsid w:val="00125CEB"/>
    <w:rsid w:val="00126621"/>
    <w:rsid w:val="00126847"/>
    <w:rsid w:val="00126B1D"/>
    <w:rsid w:val="00127690"/>
    <w:rsid w:val="001301E9"/>
    <w:rsid w:val="00130CA2"/>
    <w:rsid w:val="00130F86"/>
    <w:rsid w:val="00131697"/>
    <w:rsid w:val="00131D4D"/>
    <w:rsid w:val="00131D82"/>
    <w:rsid w:val="00132B22"/>
    <w:rsid w:val="00133D36"/>
    <w:rsid w:val="0013485D"/>
    <w:rsid w:val="00137645"/>
    <w:rsid w:val="00137DA1"/>
    <w:rsid w:val="00137F2F"/>
    <w:rsid w:val="0014015A"/>
    <w:rsid w:val="00140E99"/>
    <w:rsid w:val="00140FAF"/>
    <w:rsid w:val="00141D81"/>
    <w:rsid w:val="001437DB"/>
    <w:rsid w:val="00143820"/>
    <w:rsid w:val="00143F67"/>
    <w:rsid w:val="00145234"/>
    <w:rsid w:val="00145540"/>
    <w:rsid w:val="001456B0"/>
    <w:rsid w:val="001458AE"/>
    <w:rsid w:val="001512E2"/>
    <w:rsid w:val="001547AB"/>
    <w:rsid w:val="00154FFC"/>
    <w:rsid w:val="00156F8F"/>
    <w:rsid w:val="00157130"/>
    <w:rsid w:val="001576B1"/>
    <w:rsid w:val="00160069"/>
    <w:rsid w:val="0016047B"/>
    <w:rsid w:val="001604A4"/>
    <w:rsid w:val="001609E7"/>
    <w:rsid w:val="00160A4C"/>
    <w:rsid w:val="00161108"/>
    <w:rsid w:val="00161A5D"/>
    <w:rsid w:val="00162913"/>
    <w:rsid w:val="00162B97"/>
    <w:rsid w:val="0016389B"/>
    <w:rsid w:val="00163EFF"/>
    <w:rsid w:val="00163F66"/>
    <w:rsid w:val="00164225"/>
    <w:rsid w:val="0016478E"/>
    <w:rsid w:val="001658C1"/>
    <w:rsid w:val="00165C67"/>
    <w:rsid w:val="00165EC4"/>
    <w:rsid w:val="001661FB"/>
    <w:rsid w:val="001671A0"/>
    <w:rsid w:val="00167266"/>
    <w:rsid w:val="0016767F"/>
    <w:rsid w:val="001722CE"/>
    <w:rsid w:val="00173565"/>
    <w:rsid w:val="00173B07"/>
    <w:rsid w:val="00173CC5"/>
    <w:rsid w:val="001751FA"/>
    <w:rsid w:val="00177488"/>
    <w:rsid w:val="00180625"/>
    <w:rsid w:val="00181C10"/>
    <w:rsid w:val="00181D9C"/>
    <w:rsid w:val="001832EF"/>
    <w:rsid w:val="001837FF"/>
    <w:rsid w:val="00184B0E"/>
    <w:rsid w:val="00187382"/>
    <w:rsid w:val="0018752F"/>
    <w:rsid w:val="00187D6A"/>
    <w:rsid w:val="00190680"/>
    <w:rsid w:val="001932AC"/>
    <w:rsid w:val="0019340B"/>
    <w:rsid w:val="00193838"/>
    <w:rsid w:val="00193FAA"/>
    <w:rsid w:val="00194AD8"/>
    <w:rsid w:val="00194E26"/>
    <w:rsid w:val="00195222"/>
    <w:rsid w:val="00195452"/>
    <w:rsid w:val="00195533"/>
    <w:rsid w:val="001975D8"/>
    <w:rsid w:val="001A178E"/>
    <w:rsid w:val="001A179C"/>
    <w:rsid w:val="001A1BD9"/>
    <w:rsid w:val="001A3C35"/>
    <w:rsid w:val="001A43FA"/>
    <w:rsid w:val="001A47C5"/>
    <w:rsid w:val="001A4968"/>
    <w:rsid w:val="001A59FB"/>
    <w:rsid w:val="001A5E9E"/>
    <w:rsid w:val="001A6354"/>
    <w:rsid w:val="001A6366"/>
    <w:rsid w:val="001A67F1"/>
    <w:rsid w:val="001A70B8"/>
    <w:rsid w:val="001A7AE8"/>
    <w:rsid w:val="001B1083"/>
    <w:rsid w:val="001B12EB"/>
    <w:rsid w:val="001B204E"/>
    <w:rsid w:val="001B2372"/>
    <w:rsid w:val="001B27D5"/>
    <w:rsid w:val="001B3443"/>
    <w:rsid w:val="001B43FF"/>
    <w:rsid w:val="001B4D20"/>
    <w:rsid w:val="001B5CE2"/>
    <w:rsid w:val="001B7F84"/>
    <w:rsid w:val="001C0E0A"/>
    <w:rsid w:val="001C104C"/>
    <w:rsid w:val="001C2A9B"/>
    <w:rsid w:val="001C3021"/>
    <w:rsid w:val="001C3DD6"/>
    <w:rsid w:val="001C4299"/>
    <w:rsid w:val="001C4874"/>
    <w:rsid w:val="001C588C"/>
    <w:rsid w:val="001C5F94"/>
    <w:rsid w:val="001C6CC1"/>
    <w:rsid w:val="001C6E66"/>
    <w:rsid w:val="001D1100"/>
    <w:rsid w:val="001D1391"/>
    <w:rsid w:val="001D25D7"/>
    <w:rsid w:val="001D29C8"/>
    <w:rsid w:val="001D384D"/>
    <w:rsid w:val="001D413E"/>
    <w:rsid w:val="001D50B2"/>
    <w:rsid w:val="001D6D97"/>
    <w:rsid w:val="001D71F4"/>
    <w:rsid w:val="001D7645"/>
    <w:rsid w:val="001D7794"/>
    <w:rsid w:val="001E070F"/>
    <w:rsid w:val="001E098D"/>
    <w:rsid w:val="001E162F"/>
    <w:rsid w:val="001E1E86"/>
    <w:rsid w:val="001E238E"/>
    <w:rsid w:val="001E244C"/>
    <w:rsid w:val="001E2483"/>
    <w:rsid w:val="001E2B1E"/>
    <w:rsid w:val="001E2CFF"/>
    <w:rsid w:val="001E2F24"/>
    <w:rsid w:val="001E30D4"/>
    <w:rsid w:val="001E34DF"/>
    <w:rsid w:val="001E42F0"/>
    <w:rsid w:val="001E4C0E"/>
    <w:rsid w:val="001E52EB"/>
    <w:rsid w:val="001E61D2"/>
    <w:rsid w:val="001E6A04"/>
    <w:rsid w:val="001E7196"/>
    <w:rsid w:val="001E740C"/>
    <w:rsid w:val="001E770F"/>
    <w:rsid w:val="001E7B63"/>
    <w:rsid w:val="001E7C47"/>
    <w:rsid w:val="001E7C99"/>
    <w:rsid w:val="001F019C"/>
    <w:rsid w:val="001F0D81"/>
    <w:rsid w:val="001F1235"/>
    <w:rsid w:val="001F1CB3"/>
    <w:rsid w:val="001F1D11"/>
    <w:rsid w:val="001F2775"/>
    <w:rsid w:val="001F309D"/>
    <w:rsid w:val="001F30B6"/>
    <w:rsid w:val="001F38B5"/>
    <w:rsid w:val="001F4081"/>
    <w:rsid w:val="001F4620"/>
    <w:rsid w:val="001F6874"/>
    <w:rsid w:val="001F7061"/>
    <w:rsid w:val="001F7361"/>
    <w:rsid w:val="001F772F"/>
    <w:rsid w:val="001F7990"/>
    <w:rsid w:val="002005ED"/>
    <w:rsid w:val="00200A5D"/>
    <w:rsid w:val="002011B0"/>
    <w:rsid w:val="00203181"/>
    <w:rsid w:val="00203783"/>
    <w:rsid w:val="0020385F"/>
    <w:rsid w:val="002045B2"/>
    <w:rsid w:val="00204964"/>
    <w:rsid w:val="00205BAD"/>
    <w:rsid w:val="002068A0"/>
    <w:rsid w:val="00207021"/>
    <w:rsid w:val="0020732F"/>
    <w:rsid w:val="00207D00"/>
    <w:rsid w:val="002105C1"/>
    <w:rsid w:val="00210DF0"/>
    <w:rsid w:val="002116FD"/>
    <w:rsid w:val="0021284D"/>
    <w:rsid w:val="00212DED"/>
    <w:rsid w:val="00212ECC"/>
    <w:rsid w:val="00213D64"/>
    <w:rsid w:val="00213EF5"/>
    <w:rsid w:val="00214A71"/>
    <w:rsid w:val="0021509C"/>
    <w:rsid w:val="002150CD"/>
    <w:rsid w:val="00215112"/>
    <w:rsid w:val="00216BF5"/>
    <w:rsid w:val="002174A4"/>
    <w:rsid w:val="002208C9"/>
    <w:rsid w:val="002220E8"/>
    <w:rsid w:val="00223B49"/>
    <w:rsid w:val="00223D5A"/>
    <w:rsid w:val="00224DD4"/>
    <w:rsid w:val="002257E6"/>
    <w:rsid w:val="002272A8"/>
    <w:rsid w:val="002278A0"/>
    <w:rsid w:val="00227D05"/>
    <w:rsid w:val="002301CB"/>
    <w:rsid w:val="002309CC"/>
    <w:rsid w:val="00231114"/>
    <w:rsid w:val="00231BA9"/>
    <w:rsid w:val="0023209F"/>
    <w:rsid w:val="002320CD"/>
    <w:rsid w:val="00233BD4"/>
    <w:rsid w:val="00233C01"/>
    <w:rsid w:val="0023413C"/>
    <w:rsid w:val="002346F0"/>
    <w:rsid w:val="002352BB"/>
    <w:rsid w:val="002352D6"/>
    <w:rsid w:val="002356DE"/>
    <w:rsid w:val="0023629D"/>
    <w:rsid w:val="00237255"/>
    <w:rsid w:val="00237ABE"/>
    <w:rsid w:val="00237B41"/>
    <w:rsid w:val="002424AF"/>
    <w:rsid w:val="0024284D"/>
    <w:rsid w:val="002439DC"/>
    <w:rsid w:val="002441D2"/>
    <w:rsid w:val="00244AFD"/>
    <w:rsid w:val="00244DC8"/>
    <w:rsid w:val="002458BA"/>
    <w:rsid w:val="00245CE9"/>
    <w:rsid w:val="0024636C"/>
    <w:rsid w:val="002466A6"/>
    <w:rsid w:val="00247925"/>
    <w:rsid w:val="00250833"/>
    <w:rsid w:val="00251006"/>
    <w:rsid w:val="002520E4"/>
    <w:rsid w:val="002521F1"/>
    <w:rsid w:val="002524D5"/>
    <w:rsid w:val="002538D1"/>
    <w:rsid w:val="00253B1D"/>
    <w:rsid w:val="00253C08"/>
    <w:rsid w:val="00254B76"/>
    <w:rsid w:val="00254DCF"/>
    <w:rsid w:val="0025534B"/>
    <w:rsid w:val="00255B28"/>
    <w:rsid w:val="00255BB7"/>
    <w:rsid w:val="00255CF1"/>
    <w:rsid w:val="0025690F"/>
    <w:rsid w:val="00256DD5"/>
    <w:rsid w:val="00257541"/>
    <w:rsid w:val="00257A39"/>
    <w:rsid w:val="00257AC4"/>
    <w:rsid w:val="00257BBE"/>
    <w:rsid w:val="00257F1B"/>
    <w:rsid w:val="00260755"/>
    <w:rsid w:val="002608CD"/>
    <w:rsid w:val="00261EEF"/>
    <w:rsid w:val="00262522"/>
    <w:rsid w:val="00262A1A"/>
    <w:rsid w:val="00262A87"/>
    <w:rsid w:val="002644BD"/>
    <w:rsid w:val="00264AE9"/>
    <w:rsid w:val="00264B4B"/>
    <w:rsid w:val="00264CB5"/>
    <w:rsid w:val="00264D26"/>
    <w:rsid w:val="00266375"/>
    <w:rsid w:val="00267642"/>
    <w:rsid w:val="00267AEA"/>
    <w:rsid w:val="002700E6"/>
    <w:rsid w:val="002706DA"/>
    <w:rsid w:val="00270E16"/>
    <w:rsid w:val="00270FED"/>
    <w:rsid w:val="00271E54"/>
    <w:rsid w:val="0027294B"/>
    <w:rsid w:val="00273C32"/>
    <w:rsid w:val="00273C4A"/>
    <w:rsid w:val="00273EB4"/>
    <w:rsid w:val="00273F4E"/>
    <w:rsid w:val="00274682"/>
    <w:rsid w:val="00274684"/>
    <w:rsid w:val="00274BF1"/>
    <w:rsid w:val="00275158"/>
    <w:rsid w:val="002756A9"/>
    <w:rsid w:val="00275C5A"/>
    <w:rsid w:val="00275DA5"/>
    <w:rsid w:val="00277214"/>
    <w:rsid w:val="00277C6F"/>
    <w:rsid w:val="00281014"/>
    <w:rsid w:val="0028195A"/>
    <w:rsid w:val="00281C32"/>
    <w:rsid w:val="002827FB"/>
    <w:rsid w:val="00285754"/>
    <w:rsid w:val="00285BCE"/>
    <w:rsid w:val="0028665D"/>
    <w:rsid w:val="0028780E"/>
    <w:rsid w:val="00291991"/>
    <w:rsid w:val="00291B57"/>
    <w:rsid w:val="002925AD"/>
    <w:rsid w:val="002929E2"/>
    <w:rsid w:val="00292FF0"/>
    <w:rsid w:val="002A0C99"/>
    <w:rsid w:val="002A1158"/>
    <w:rsid w:val="002A14AB"/>
    <w:rsid w:val="002A200A"/>
    <w:rsid w:val="002A249E"/>
    <w:rsid w:val="002A2ADE"/>
    <w:rsid w:val="002A2AF4"/>
    <w:rsid w:val="002A2F50"/>
    <w:rsid w:val="002A4DD8"/>
    <w:rsid w:val="002A69E8"/>
    <w:rsid w:val="002A7943"/>
    <w:rsid w:val="002B05A1"/>
    <w:rsid w:val="002B06D9"/>
    <w:rsid w:val="002B09A4"/>
    <w:rsid w:val="002B15F1"/>
    <w:rsid w:val="002B1C1F"/>
    <w:rsid w:val="002B1F05"/>
    <w:rsid w:val="002B20F2"/>
    <w:rsid w:val="002B38FB"/>
    <w:rsid w:val="002B3D56"/>
    <w:rsid w:val="002B432F"/>
    <w:rsid w:val="002B470D"/>
    <w:rsid w:val="002B47A0"/>
    <w:rsid w:val="002B502A"/>
    <w:rsid w:val="002B62B3"/>
    <w:rsid w:val="002B6754"/>
    <w:rsid w:val="002B6CCE"/>
    <w:rsid w:val="002B7E93"/>
    <w:rsid w:val="002C0C2B"/>
    <w:rsid w:val="002C2510"/>
    <w:rsid w:val="002C2775"/>
    <w:rsid w:val="002C27C1"/>
    <w:rsid w:val="002C36E3"/>
    <w:rsid w:val="002C38D6"/>
    <w:rsid w:val="002C4D13"/>
    <w:rsid w:val="002C5099"/>
    <w:rsid w:val="002C5889"/>
    <w:rsid w:val="002C6FFE"/>
    <w:rsid w:val="002C71CE"/>
    <w:rsid w:val="002D08F8"/>
    <w:rsid w:val="002D1331"/>
    <w:rsid w:val="002D25B5"/>
    <w:rsid w:val="002D4BC6"/>
    <w:rsid w:val="002D577C"/>
    <w:rsid w:val="002D6321"/>
    <w:rsid w:val="002D7832"/>
    <w:rsid w:val="002E1071"/>
    <w:rsid w:val="002E15B9"/>
    <w:rsid w:val="002E2158"/>
    <w:rsid w:val="002E22CF"/>
    <w:rsid w:val="002E2580"/>
    <w:rsid w:val="002E4F02"/>
    <w:rsid w:val="002E735E"/>
    <w:rsid w:val="002E7722"/>
    <w:rsid w:val="002F0691"/>
    <w:rsid w:val="002F069E"/>
    <w:rsid w:val="002F07BA"/>
    <w:rsid w:val="002F0DA9"/>
    <w:rsid w:val="002F1014"/>
    <w:rsid w:val="002F1E3B"/>
    <w:rsid w:val="002F4DD8"/>
    <w:rsid w:val="002F643C"/>
    <w:rsid w:val="002F6443"/>
    <w:rsid w:val="002F71C0"/>
    <w:rsid w:val="002F74F1"/>
    <w:rsid w:val="00301017"/>
    <w:rsid w:val="003012DB"/>
    <w:rsid w:val="0030155F"/>
    <w:rsid w:val="00302E0E"/>
    <w:rsid w:val="003030DD"/>
    <w:rsid w:val="003039F4"/>
    <w:rsid w:val="0030587B"/>
    <w:rsid w:val="0030593F"/>
    <w:rsid w:val="003065A1"/>
    <w:rsid w:val="00306D98"/>
    <w:rsid w:val="0030786C"/>
    <w:rsid w:val="0031031A"/>
    <w:rsid w:val="00310981"/>
    <w:rsid w:val="003115CF"/>
    <w:rsid w:val="00311D9B"/>
    <w:rsid w:val="003124D9"/>
    <w:rsid w:val="00312594"/>
    <w:rsid w:val="00315498"/>
    <w:rsid w:val="00316474"/>
    <w:rsid w:val="003170F9"/>
    <w:rsid w:val="00317662"/>
    <w:rsid w:val="00320623"/>
    <w:rsid w:val="003212E0"/>
    <w:rsid w:val="0032189E"/>
    <w:rsid w:val="00322107"/>
    <w:rsid w:val="00322355"/>
    <w:rsid w:val="00322360"/>
    <w:rsid w:val="00322846"/>
    <w:rsid w:val="003233F8"/>
    <w:rsid w:val="00323A64"/>
    <w:rsid w:val="00326DA7"/>
    <w:rsid w:val="003270E4"/>
    <w:rsid w:val="00327EBB"/>
    <w:rsid w:val="00330DAA"/>
    <w:rsid w:val="00330DB0"/>
    <w:rsid w:val="00330F5C"/>
    <w:rsid w:val="00333A5F"/>
    <w:rsid w:val="0033479B"/>
    <w:rsid w:val="0033551F"/>
    <w:rsid w:val="003366C9"/>
    <w:rsid w:val="0033682A"/>
    <w:rsid w:val="003371B0"/>
    <w:rsid w:val="00337724"/>
    <w:rsid w:val="00340DF1"/>
    <w:rsid w:val="0034112D"/>
    <w:rsid w:val="003445D6"/>
    <w:rsid w:val="003468BE"/>
    <w:rsid w:val="0034740D"/>
    <w:rsid w:val="00351573"/>
    <w:rsid w:val="003517F9"/>
    <w:rsid w:val="00351BA9"/>
    <w:rsid w:val="003530B2"/>
    <w:rsid w:val="00353B55"/>
    <w:rsid w:val="00354C1A"/>
    <w:rsid w:val="00354F64"/>
    <w:rsid w:val="00355773"/>
    <w:rsid w:val="00355A9C"/>
    <w:rsid w:val="00355A9E"/>
    <w:rsid w:val="00355F7E"/>
    <w:rsid w:val="0035620E"/>
    <w:rsid w:val="003570D2"/>
    <w:rsid w:val="003575BE"/>
    <w:rsid w:val="00357F42"/>
    <w:rsid w:val="0036023D"/>
    <w:rsid w:val="00360345"/>
    <w:rsid w:val="003619FB"/>
    <w:rsid w:val="00361A05"/>
    <w:rsid w:val="00361F6F"/>
    <w:rsid w:val="003624C4"/>
    <w:rsid w:val="00362A26"/>
    <w:rsid w:val="0036339F"/>
    <w:rsid w:val="00363B00"/>
    <w:rsid w:val="00363C5E"/>
    <w:rsid w:val="00363F45"/>
    <w:rsid w:val="0036444A"/>
    <w:rsid w:val="003654AC"/>
    <w:rsid w:val="00366D92"/>
    <w:rsid w:val="003710CF"/>
    <w:rsid w:val="0037172E"/>
    <w:rsid w:val="00372877"/>
    <w:rsid w:val="0037358A"/>
    <w:rsid w:val="003750F6"/>
    <w:rsid w:val="003760FC"/>
    <w:rsid w:val="00376D0C"/>
    <w:rsid w:val="003805FD"/>
    <w:rsid w:val="00383583"/>
    <w:rsid w:val="0038365C"/>
    <w:rsid w:val="0038369B"/>
    <w:rsid w:val="00383B78"/>
    <w:rsid w:val="00383BF5"/>
    <w:rsid w:val="003845A2"/>
    <w:rsid w:val="003845A4"/>
    <w:rsid w:val="0038586D"/>
    <w:rsid w:val="00385A9D"/>
    <w:rsid w:val="0038644A"/>
    <w:rsid w:val="00387054"/>
    <w:rsid w:val="00387121"/>
    <w:rsid w:val="003902B1"/>
    <w:rsid w:val="00390732"/>
    <w:rsid w:val="0039179C"/>
    <w:rsid w:val="00391C4C"/>
    <w:rsid w:val="00392763"/>
    <w:rsid w:val="00396896"/>
    <w:rsid w:val="00396E4E"/>
    <w:rsid w:val="00396FD0"/>
    <w:rsid w:val="0039721C"/>
    <w:rsid w:val="00397946"/>
    <w:rsid w:val="003A0ED4"/>
    <w:rsid w:val="003A1A7A"/>
    <w:rsid w:val="003A2392"/>
    <w:rsid w:val="003A2831"/>
    <w:rsid w:val="003A3827"/>
    <w:rsid w:val="003A3C75"/>
    <w:rsid w:val="003A3CB6"/>
    <w:rsid w:val="003A3ED1"/>
    <w:rsid w:val="003A3F22"/>
    <w:rsid w:val="003A412A"/>
    <w:rsid w:val="003A44DB"/>
    <w:rsid w:val="003A4695"/>
    <w:rsid w:val="003A4C14"/>
    <w:rsid w:val="003A543B"/>
    <w:rsid w:val="003B0A7E"/>
    <w:rsid w:val="003B36F9"/>
    <w:rsid w:val="003B3971"/>
    <w:rsid w:val="003B412D"/>
    <w:rsid w:val="003B55D1"/>
    <w:rsid w:val="003B5B61"/>
    <w:rsid w:val="003B62D5"/>
    <w:rsid w:val="003B651A"/>
    <w:rsid w:val="003C1654"/>
    <w:rsid w:val="003C1CEA"/>
    <w:rsid w:val="003C37CE"/>
    <w:rsid w:val="003C4C10"/>
    <w:rsid w:val="003C5542"/>
    <w:rsid w:val="003C72EA"/>
    <w:rsid w:val="003C7C15"/>
    <w:rsid w:val="003C7D19"/>
    <w:rsid w:val="003C7D2F"/>
    <w:rsid w:val="003C7D54"/>
    <w:rsid w:val="003D0C5A"/>
    <w:rsid w:val="003D1828"/>
    <w:rsid w:val="003D1DE4"/>
    <w:rsid w:val="003D1E9A"/>
    <w:rsid w:val="003D2422"/>
    <w:rsid w:val="003D2457"/>
    <w:rsid w:val="003D39A1"/>
    <w:rsid w:val="003D3FBF"/>
    <w:rsid w:val="003D4A30"/>
    <w:rsid w:val="003D6244"/>
    <w:rsid w:val="003D7452"/>
    <w:rsid w:val="003D7658"/>
    <w:rsid w:val="003D79BB"/>
    <w:rsid w:val="003D7C98"/>
    <w:rsid w:val="003D7D9D"/>
    <w:rsid w:val="003E0543"/>
    <w:rsid w:val="003E0E13"/>
    <w:rsid w:val="003E4876"/>
    <w:rsid w:val="003E5603"/>
    <w:rsid w:val="003E749E"/>
    <w:rsid w:val="003F0390"/>
    <w:rsid w:val="003F0676"/>
    <w:rsid w:val="003F0CB8"/>
    <w:rsid w:val="003F0E9E"/>
    <w:rsid w:val="003F192C"/>
    <w:rsid w:val="003F4156"/>
    <w:rsid w:val="003F52AF"/>
    <w:rsid w:val="003F5ADF"/>
    <w:rsid w:val="003F60D4"/>
    <w:rsid w:val="003F6237"/>
    <w:rsid w:val="003F6FF4"/>
    <w:rsid w:val="003F7F00"/>
    <w:rsid w:val="003F7F90"/>
    <w:rsid w:val="004005F4"/>
    <w:rsid w:val="00400B29"/>
    <w:rsid w:val="004021C8"/>
    <w:rsid w:val="00402812"/>
    <w:rsid w:val="0040504B"/>
    <w:rsid w:val="004059F4"/>
    <w:rsid w:val="004078FB"/>
    <w:rsid w:val="00407FE5"/>
    <w:rsid w:val="004101B0"/>
    <w:rsid w:val="00410326"/>
    <w:rsid w:val="00410708"/>
    <w:rsid w:val="00410EC7"/>
    <w:rsid w:val="00411B39"/>
    <w:rsid w:val="004127A7"/>
    <w:rsid w:val="00413A1E"/>
    <w:rsid w:val="00414476"/>
    <w:rsid w:val="00414C2E"/>
    <w:rsid w:val="004151CF"/>
    <w:rsid w:val="00416364"/>
    <w:rsid w:val="0041678E"/>
    <w:rsid w:val="00417DD5"/>
    <w:rsid w:val="0042047F"/>
    <w:rsid w:val="00420AA6"/>
    <w:rsid w:val="00420B9F"/>
    <w:rsid w:val="00421631"/>
    <w:rsid w:val="0042192C"/>
    <w:rsid w:val="00422260"/>
    <w:rsid w:val="0042299E"/>
    <w:rsid w:val="00422FBE"/>
    <w:rsid w:val="0042413F"/>
    <w:rsid w:val="00424AD4"/>
    <w:rsid w:val="004263C3"/>
    <w:rsid w:val="0042671F"/>
    <w:rsid w:val="00426B3A"/>
    <w:rsid w:val="004319D4"/>
    <w:rsid w:val="004319F8"/>
    <w:rsid w:val="00431E55"/>
    <w:rsid w:val="004321F6"/>
    <w:rsid w:val="00433044"/>
    <w:rsid w:val="00433764"/>
    <w:rsid w:val="00434088"/>
    <w:rsid w:val="0043539C"/>
    <w:rsid w:val="004357D5"/>
    <w:rsid w:val="0043714C"/>
    <w:rsid w:val="0043731C"/>
    <w:rsid w:val="004375B9"/>
    <w:rsid w:val="0044174C"/>
    <w:rsid w:val="004428D0"/>
    <w:rsid w:val="00443565"/>
    <w:rsid w:val="00444185"/>
    <w:rsid w:val="004443A7"/>
    <w:rsid w:val="0044442C"/>
    <w:rsid w:val="0044451D"/>
    <w:rsid w:val="00445941"/>
    <w:rsid w:val="00446276"/>
    <w:rsid w:val="004464EB"/>
    <w:rsid w:val="00446AF5"/>
    <w:rsid w:val="0044701B"/>
    <w:rsid w:val="00447323"/>
    <w:rsid w:val="004478BF"/>
    <w:rsid w:val="00447D26"/>
    <w:rsid w:val="00447DFC"/>
    <w:rsid w:val="004511F3"/>
    <w:rsid w:val="004514E0"/>
    <w:rsid w:val="004520B2"/>
    <w:rsid w:val="00452614"/>
    <w:rsid w:val="00452806"/>
    <w:rsid w:val="0045336F"/>
    <w:rsid w:val="00454036"/>
    <w:rsid w:val="00455982"/>
    <w:rsid w:val="00455BBF"/>
    <w:rsid w:val="00455D45"/>
    <w:rsid w:val="00455E7E"/>
    <w:rsid w:val="00460499"/>
    <w:rsid w:val="00460E74"/>
    <w:rsid w:val="00460E8B"/>
    <w:rsid w:val="00460F73"/>
    <w:rsid w:val="0046165D"/>
    <w:rsid w:val="00461A44"/>
    <w:rsid w:val="004624EC"/>
    <w:rsid w:val="00463B32"/>
    <w:rsid w:val="00464595"/>
    <w:rsid w:val="004658B5"/>
    <w:rsid w:val="00466106"/>
    <w:rsid w:val="00466A6D"/>
    <w:rsid w:val="00466DCE"/>
    <w:rsid w:val="004676AC"/>
    <w:rsid w:val="0047053F"/>
    <w:rsid w:val="00471EA5"/>
    <w:rsid w:val="00472116"/>
    <w:rsid w:val="0047283D"/>
    <w:rsid w:val="00472A79"/>
    <w:rsid w:val="00473F19"/>
    <w:rsid w:val="00475E22"/>
    <w:rsid w:val="0047679C"/>
    <w:rsid w:val="00477CE0"/>
    <w:rsid w:val="0048088E"/>
    <w:rsid w:val="00480F2B"/>
    <w:rsid w:val="0048199C"/>
    <w:rsid w:val="00482720"/>
    <w:rsid w:val="004835E7"/>
    <w:rsid w:val="004854A8"/>
    <w:rsid w:val="004856B2"/>
    <w:rsid w:val="004859E1"/>
    <w:rsid w:val="0048675E"/>
    <w:rsid w:val="004867E2"/>
    <w:rsid w:val="0049074D"/>
    <w:rsid w:val="00490B17"/>
    <w:rsid w:val="00491299"/>
    <w:rsid w:val="0049152A"/>
    <w:rsid w:val="00491B3A"/>
    <w:rsid w:val="0049273D"/>
    <w:rsid w:val="00492CFD"/>
    <w:rsid w:val="00492DE5"/>
    <w:rsid w:val="0049304D"/>
    <w:rsid w:val="00493132"/>
    <w:rsid w:val="00493F07"/>
    <w:rsid w:val="00494207"/>
    <w:rsid w:val="00494DD5"/>
    <w:rsid w:val="00495375"/>
    <w:rsid w:val="00495D9C"/>
    <w:rsid w:val="004962D2"/>
    <w:rsid w:val="00496EA3"/>
    <w:rsid w:val="004A0DA1"/>
    <w:rsid w:val="004A13D6"/>
    <w:rsid w:val="004A21E0"/>
    <w:rsid w:val="004A29D1"/>
    <w:rsid w:val="004A52E9"/>
    <w:rsid w:val="004A6040"/>
    <w:rsid w:val="004A6597"/>
    <w:rsid w:val="004A6E4B"/>
    <w:rsid w:val="004A7848"/>
    <w:rsid w:val="004A793B"/>
    <w:rsid w:val="004A7BD6"/>
    <w:rsid w:val="004B140B"/>
    <w:rsid w:val="004B1CB4"/>
    <w:rsid w:val="004B2092"/>
    <w:rsid w:val="004B2F18"/>
    <w:rsid w:val="004B3DDB"/>
    <w:rsid w:val="004B44FD"/>
    <w:rsid w:val="004B45DF"/>
    <w:rsid w:val="004B483F"/>
    <w:rsid w:val="004B5CFC"/>
    <w:rsid w:val="004B6F79"/>
    <w:rsid w:val="004B774D"/>
    <w:rsid w:val="004B7CDC"/>
    <w:rsid w:val="004C1C33"/>
    <w:rsid w:val="004C1F9E"/>
    <w:rsid w:val="004C2A64"/>
    <w:rsid w:val="004C2AC2"/>
    <w:rsid w:val="004C30C2"/>
    <w:rsid w:val="004C3B02"/>
    <w:rsid w:val="004C4AED"/>
    <w:rsid w:val="004C5205"/>
    <w:rsid w:val="004C54F0"/>
    <w:rsid w:val="004C55AC"/>
    <w:rsid w:val="004C657B"/>
    <w:rsid w:val="004C6B34"/>
    <w:rsid w:val="004C7D46"/>
    <w:rsid w:val="004D03E6"/>
    <w:rsid w:val="004D12EB"/>
    <w:rsid w:val="004D2C2D"/>
    <w:rsid w:val="004D2FAE"/>
    <w:rsid w:val="004D3195"/>
    <w:rsid w:val="004D4B97"/>
    <w:rsid w:val="004D522E"/>
    <w:rsid w:val="004D5FE1"/>
    <w:rsid w:val="004D69B5"/>
    <w:rsid w:val="004D6A9C"/>
    <w:rsid w:val="004D6EA8"/>
    <w:rsid w:val="004D7227"/>
    <w:rsid w:val="004D7B5E"/>
    <w:rsid w:val="004E0E7F"/>
    <w:rsid w:val="004E0EB8"/>
    <w:rsid w:val="004E18E9"/>
    <w:rsid w:val="004E1D96"/>
    <w:rsid w:val="004E20A2"/>
    <w:rsid w:val="004E2ADC"/>
    <w:rsid w:val="004E43B2"/>
    <w:rsid w:val="004E5918"/>
    <w:rsid w:val="004E71FB"/>
    <w:rsid w:val="004F0ED0"/>
    <w:rsid w:val="004F143D"/>
    <w:rsid w:val="004F1D02"/>
    <w:rsid w:val="004F2679"/>
    <w:rsid w:val="004F2BF4"/>
    <w:rsid w:val="004F2E42"/>
    <w:rsid w:val="004F2F21"/>
    <w:rsid w:val="004F3DE5"/>
    <w:rsid w:val="004F6189"/>
    <w:rsid w:val="004F6913"/>
    <w:rsid w:val="004F7865"/>
    <w:rsid w:val="00500749"/>
    <w:rsid w:val="00500A4C"/>
    <w:rsid w:val="0050108A"/>
    <w:rsid w:val="0050174E"/>
    <w:rsid w:val="00501854"/>
    <w:rsid w:val="0050219B"/>
    <w:rsid w:val="00502BF0"/>
    <w:rsid w:val="00502EE1"/>
    <w:rsid w:val="00503F17"/>
    <w:rsid w:val="00503F3A"/>
    <w:rsid w:val="00504DC4"/>
    <w:rsid w:val="00506928"/>
    <w:rsid w:val="005077EF"/>
    <w:rsid w:val="00507E8B"/>
    <w:rsid w:val="00511AD5"/>
    <w:rsid w:val="00511DC7"/>
    <w:rsid w:val="0051312A"/>
    <w:rsid w:val="00513F93"/>
    <w:rsid w:val="005142C5"/>
    <w:rsid w:val="0051501B"/>
    <w:rsid w:val="005152B5"/>
    <w:rsid w:val="005154FD"/>
    <w:rsid w:val="00515886"/>
    <w:rsid w:val="005163FB"/>
    <w:rsid w:val="00516F68"/>
    <w:rsid w:val="0051710A"/>
    <w:rsid w:val="00520E6D"/>
    <w:rsid w:val="0052123C"/>
    <w:rsid w:val="00521319"/>
    <w:rsid w:val="005224D3"/>
    <w:rsid w:val="00522BC8"/>
    <w:rsid w:val="00522E94"/>
    <w:rsid w:val="00523A48"/>
    <w:rsid w:val="00523C28"/>
    <w:rsid w:val="00525F7F"/>
    <w:rsid w:val="00526F0A"/>
    <w:rsid w:val="0053176B"/>
    <w:rsid w:val="0053214D"/>
    <w:rsid w:val="00532948"/>
    <w:rsid w:val="00533EF6"/>
    <w:rsid w:val="005341B3"/>
    <w:rsid w:val="0053689C"/>
    <w:rsid w:val="00536957"/>
    <w:rsid w:val="00536F42"/>
    <w:rsid w:val="00537182"/>
    <w:rsid w:val="00537910"/>
    <w:rsid w:val="00537FBA"/>
    <w:rsid w:val="0054010B"/>
    <w:rsid w:val="00541777"/>
    <w:rsid w:val="00541EDD"/>
    <w:rsid w:val="00542743"/>
    <w:rsid w:val="00542C2D"/>
    <w:rsid w:val="00542CCC"/>
    <w:rsid w:val="00542ED2"/>
    <w:rsid w:val="00543233"/>
    <w:rsid w:val="00543961"/>
    <w:rsid w:val="00543BCF"/>
    <w:rsid w:val="00544A00"/>
    <w:rsid w:val="00544A3C"/>
    <w:rsid w:val="00545B9B"/>
    <w:rsid w:val="005478BD"/>
    <w:rsid w:val="005479E3"/>
    <w:rsid w:val="00547F66"/>
    <w:rsid w:val="005518A3"/>
    <w:rsid w:val="00551985"/>
    <w:rsid w:val="00552BD3"/>
    <w:rsid w:val="005532A0"/>
    <w:rsid w:val="00554F25"/>
    <w:rsid w:val="00554FEA"/>
    <w:rsid w:val="00555109"/>
    <w:rsid w:val="00556B35"/>
    <w:rsid w:val="0055741A"/>
    <w:rsid w:val="00560618"/>
    <w:rsid w:val="00560921"/>
    <w:rsid w:val="005611B7"/>
    <w:rsid w:val="00561213"/>
    <w:rsid w:val="00561512"/>
    <w:rsid w:val="005618D4"/>
    <w:rsid w:val="00561F4C"/>
    <w:rsid w:val="005621FD"/>
    <w:rsid w:val="00564867"/>
    <w:rsid w:val="00564988"/>
    <w:rsid w:val="00565C79"/>
    <w:rsid w:val="00565DF0"/>
    <w:rsid w:val="0056696F"/>
    <w:rsid w:val="0057082B"/>
    <w:rsid w:val="005715D4"/>
    <w:rsid w:val="00571CF1"/>
    <w:rsid w:val="00572269"/>
    <w:rsid w:val="0057244A"/>
    <w:rsid w:val="00572895"/>
    <w:rsid w:val="00572F26"/>
    <w:rsid w:val="00574843"/>
    <w:rsid w:val="005750C5"/>
    <w:rsid w:val="005752DE"/>
    <w:rsid w:val="00575D60"/>
    <w:rsid w:val="00575D8D"/>
    <w:rsid w:val="00576972"/>
    <w:rsid w:val="00576E11"/>
    <w:rsid w:val="00577248"/>
    <w:rsid w:val="005773FB"/>
    <w:rsid w:val="00583699"/>
    <w:rsid w:val="0058533B"/>
    <w:rsid w:val="00585B02"/>
    <w:rsid w:val="00585C6D"/>
    <w:rsid w:val="00585CDD"/>
    <w:rsid w:val="00585F0D"/>
    <w:rsid w:val="00586755"/>
    <w:rsid w:val="00587058"/>
    <w:rsid w:val="00587D17"/>
    <w:rsid w:val="00587F9F"/>
    <w:rsid w:val="005906EA"/>
    <w:rsid w:val="00590AFE"/>
    <w:rsid w:val="005915AC"/>
    <w:rsid w:val="00591957"/>
    <w:rsid w:val="0059315F"/>
    <w:rsid w:val="005937E5"/>
    <w:rsid w:val="00595EBE"/>
    <w:rsid w:val="00596B8C"/>
    <w:rsid w:val="00597BF9"/>
    <w:rsid w:val="005A0A9F"/>
    <w:rsid w:val="005A0C11"/>
    <w:rsid w:val="005A11C3"/>
    <w:rsid w:val="005A309A"/>
    <w:rsid w:val="005A3152"/>
    <w:rsid w:val="005A36AE"/>
    <w:rsid w:val="005A373D"/>
    <w:rsid w:val="005A5221"/>
    <w:rsid w:val="005A7079"/>
    <w:rsid w:val="005B08EE"/>
    <w:rsid w:val="005B0B58"/>
    <w:rsid w:val="005B1CA1"/>
    <w:rsid w:val="005B1D52"/>
    <w:rsid w:val="005B2B37"/>
    <w:rsid w:val="005B3707"/>
    <w:rsid w:val="005B38DB"/>
    <w:rsid w:val="005B4E53"/>
    <w:rsid w:val="005B5453"/>
    <w:rsid w:val="005B5857"/>
    <w:rsid w:val="005B5CE7"/>
    <w:rsid w:val="005B7A64"/>
    <w:rsid w:val="005C0D0D"/>
    <w:rsid w:val="005C12FD"/>
    <w:rsid w:val="005C19C4"/>
    <w:rsid w:val="005C1B83"/>
    <w:rsid w:val="005C25FF"/>
    <w:rsid w:val="005C2D55"/>
    <w:rsid w:val="005C346B"/>
    <w:rsid w:val="005C3D09"/>
    <w:rsid w:val="005C413B"/>
    <w:rsid w:val="005C4ADA"/>
    <w:rsid w:val="005C5ABC"/>
    <w:rsid w:val="005C60E7"/>
    <w:rsid w:val="005C6C3D"/>
    <w:rsid w:val="005C7EF1"/>
    <w:rsid w:val="005D0102"/>
    <w:rsid w:val="005D044D"/>
    <w:rsid w:val="005D0ABD"/>
    <w:rsid w:val="005D18AD"/>
    <w:rsid w:val="005D26B4"/>
    <w:rsid w:val="005D332F"/>
    <w:rsid w:val="005D37EB"/>
    <w:rsid w:val="005D45CD"/>
    <w:rsid w:val="005D5806"/>
    <w:rsid w:val="005D5A35"/>
    <w:rsid w:val="005E1995"/>
    <w:rsid w:val="005E31DF"/>
    <w:rsid w:val="005E3FA9"/>
    <w:rsid w:val="005E4407"/>
    <w:rsid w:val="005E6CBC"/>
    <w:rsid w:val="005E72FF"/>
    <w:rsid w:val="005E73C0"/>
    <w:rsid w:val="005F07ED"/>
    <w:rsid w:val="005F25BF"/>
    <w:rsid w:val="005F2706"/>
    <w:rsid w:val="005F3A11"/>
    <w:rsid w:val="005F3B0A"/>
    <w:rsid w:val="005F5C1F"/>
    <w:rsid w:val="005F6A8F"/>
    <w:rsid w:val="005F6BB7"/>
    <w:rsid w:val="005F7588"/>
    <w:rsid w:val="00601224"/>
    <w:rsid w:val="006028D3"/>
    <w:rsid w:val="00602B63"/>
    <w:rsid w:val="00603C6F"/>
    <w:rsid w:val="00603DB9"/>
    <w:rsid w:val="006055E1"/>
    <w:rsid w:val="006064AA"/>
    <w:rsid w:val="00606FBA"/>
    <w:rsid w:val="00607669"/>
    <w:rsid w:val="006076F4"/>
    <w:rsid w:val="00607AFD"/>
    <w:rsid w:val="006100A4"/>
    <w:rsid w:val="00611B12"/>
    <w:rsid w:val="00612F97"/>
    <w:rsid w:val="0061345D"/>
    <w:rsid w:val="00613BB6"/>
    <w:rsid w:val="00614DAA"/>
    <w:rsid w:val="0061549B"/>
    <w:rsid w:val="00615E3E"/>
    <w:rsid w:val="00616646"/>
    <w:rsid w:val="00616802"/>
    <w:rsid w:val="00617997"/>
    <w:rsid w:val="00617E12"/>
    <w:rsid w:val="00620160"/>
    <w:rsid w:val="00620332"/>
    <w:rsid w:val="00620C25"/>
    <w:rsid w:val="00621477"/>
    <w:rsid w:val="00621820"/>
    <w:rsid w:val="00621ADA"/>
    <w:rsid w:val="00621B5E"/>
    <w:rsid w:val="00621EA3"/>
    <w:rsid w:val="00622125"/>
    <w:rsid w:val="00623F7B"/>
    <w:rsid w:val="006240A2"/>
    <w:rsid w:val="00624BD4"/>
    <w:rsid w:val="00625FE2"/>
    <w:rsid w:val="00626249"/>
    <w:rsid w:val="00626A4D"/>
    <w:rsid w:val="00627502"/>
    <w:rsid w:val="00630864"/>
    <w:rsid w:val="00631004"/>
    <w:rsid w:val="006313E3"/>
    <w:rsid w:val="0063158F"/>
    <w:rsid w:val="006317B0"/>
    <w:rsid w:val="00631D6B"/>
    <w:rsid w:val="00632183"/>
    <w:rsid w:val="00632E32"/>
    <w:rsid w:val="006330A1"/>
    <w:rsid w:val="0063479F"/>
    <w:rsid w:val="006353F0"/>
    <w:rsid w:val="00635447"/>
    <w:rsid w:val="00635582"/>
    <w:rsid w:val="006357B5"/>
    <w:rsid w:val="006364A1"/>
    <w:rsid w:val="0063678E"/>
    <w:rsid w:val="006377F3"/>
    <w:rsid w:val="00637BFD"/>
    <w:rsid w:val="00637C5C"/>
    <w:rsid w:val="006416B6"/>
    <w:rsid w:val="00641C4E"/>
    <w:rsid w:val="00641FB3"/>
    <w:rsid w:val="0064434C"/>
    <w:rsid w:val="006450E7"/>
    <w:rsid w:val="006458BB"/>
    <w:rsid w:val="00646AB2"/>
    <w:rsid w:val="006471CC"/>
    <w:rsid w:val="006472FE"/>
    <w:rsid w:val="006475F5"/>
    <w:rsid w:val="00647A29"/>
    <w:rsid w:val="0065079F"/>
    <w:rsid w:val="00652A28"/>
    <w:rsid w:val="00652B57"/>
    <w:rsid w:val="0065379F"/>
    <w:rsid w:val="006543BE"/>
    <w:rsid w:val="00654438"/>
    <w:rsid w:val="00656188"/>
    <w:rsid w:val="006564A4"/>
    <w:rsid w:val="0065715A"/>
    <w:rsid w:val="0066012D"/>
    <w:rsid w:val="006610F1"/>
    <w:rsid w:val="00661C6B"/>
    <w:rsid w:val="00661EA6"/>
    <w:rsid w:val="00662D3E"/>
    <w:rsid w:val="006673B2"/>
    <w:rsid w:val="00667BE3"/>
    <w:rsid w:val="00671004"/>
    <w:rsid w:val="00671D58"/>
    <w:rsid w:val="0067249D"/>
    <w:rsid w:val="00672646"/>
    <w:rsid w:val="0067321D"/>
    <w:rsid w:val="006733FA"/>
    <w:rsid w:val="00674856"/>
    <w:rsid w:val="00674E42"/>
    <w:rsid w:val="006759F5"/>
    <w:rsid w:val="00676563"/>
    <w:rsid w:val="00676B8E"/>
    <w:rsid w:val="0067735A"/>
    <w:rsid w:val="00677934"/>
    <w:rsid w:val="006813F8"/>
    <w:rsid w:val="00681EE0"/>
    <w:rsid w:val="00682112"/>
    <w:rsid w:val="00682A08"/>
    <w:rsid w:val="00682BA6"/>
    <w:rsid w:val="006840F6"/>
    <w:rsid w:val="00684662"/>
    <w:rsid w:val="00684ADC"/>
    <w:rsid w:val="00685892"/>
    <w:rsid w:val="00686957"/>
    <w:rsid w:val="00686BFF"/>
    <w:rsid w:val="006872BA"/>
    <w:rsid w:val="006879B6"/>
    <w:rsid w:val="00687E31"/>
    <w:rsid w:val="00690795"/>
    <w:rsid w:val="00691648"/>
    <w:rsid w:val="006917D7"/>
    <w:rsid w:val="0069188E"/>
    <w:rsid w:val="00692202"/>
    <w:rsid w:val="0069434C"/>
    <w:rsid w:val="00694F44"/>
    <w:rsid w:val="00696EF9"/>
    <w:rsid w:val="00696F51"/>
    <w:rsid w:val="006973B3"/>
    <w:rsid w:val="006977D4"/>
    <w:rsid w:val="006979A5"/>
    <w:rsid w:val="00697E08"/>
    <w:rsid w:val="006A016F"/>
    <w:rsid w:val="006A07E0"/>
    <w:rsid w:val="006A0DF7"/>
    <w:rsid w:val="006A2AE6"/>
    <w:rsid w:val="006A4321"/>
    <w:rsid w:val="006A43C1"/>
    <w:rsid w:val="006A43D9"/>
    <w:rsid w:val="006A5ECB"/>
    <w:rsid w:val="006A6B99"/>
    <w:rsid w:val="006A7E5F"/>
    <w:rsid w:val="006B0C4B"/>
    <w:rsid w:val="006B1922"/>
    <w:rsid w:val="006B2035"/>
    <w:rsid w:val="006B23B7"/>
    <w:rsid w:val="006B261B"/>
    <w:rsid w:val="006B2C90"/>
    <w:rsid w:val="006B35E6"/>
    <w:rsid w:val="006B465A"/>
    <w:rsid w:val="006B6862"/>
    <w:rsid w:val="006B6DD0"/>
    <w:rsid w:val="006C0399"/>
    <w:rsid w:val="006C07D9"/>
    <w:rsid w:val="006C0F8A"/>
    <w:rsid w:val="006C2020"/>
    <w:rsid w:val="006C250D"/>
    <w:rsid w:val="006C2A8E"/>
    <w:rsid w:val="006C3255"/>
    <w:rsid w:val="006C39EA"/>
    <w:rsid w:val="006C3F26"/>
    <w:rsid w:val="006C4F89"/>
    <w:rsid w:val="006C5DFB"/>
    <w:rsid w:val="006D0D17"/>
    <w:rsid w:val="006D1A9C"/>
    <w:rsid w:val="006D1D17"/>
    <w:rsid w:val="006D1FFD"/>
    <w:rsid w:val="006D3842"/>
    <w:rsid w:val="006D3C7D"/>
    <w:rsid w:val="006D4166"/>
    <w:rsid w:val="006D4659"/>
    <w:rsid w:val="006D5D5F"/>
    <w:rsid w:val="006D5F81"/>
    <w:rsid w:val="006D6839"/>
    <w:rsid w:val="006D68FB"/>
    <w:rsid w:val="006D6AFD"/>
    <w:rsid w:val="006D6BCC"/>
    <w:rsid w:val="006D6F3A"/>
    <w:rsid w:val="006E0E2E"/>
    <w:rsid w:val="006E2868"/>
    <w:rsid w:val="006E4DAF"/>
    <w:rsid w:val="006E50BE"/>
    <w:rsid w:val="006E526E"/>
    <w:rsid w:val="006E589E"/>
    <w:rsid w:val="006F0D61"/>
    <w:rsid w:val="006F1530"/>
    <w:rsid w:val="006F16E7"/>
    <w:rsid w:val="006F306C"/>
    <w:rsid w:val="006F3890"/>
    <w:rsid w:val="006F3908"/>
    <w:rsid w:val="006F63A5"/>
    <w:rsid w:val="006F7DCB"/>
    <w:rsid w:val="00700965"/>
    <w:rsid w:val="0070142B"/>
    <w:rsid w:val="0070276E"/>
    <w:rsid w:val="00702F8F"/>
    <w:rsid w:val="0070699D"/>
    <w:rsid w:val="007079FC"/>
    <w:rsid w:val="00707F97"/>
    <w:rsid w:val="00710360"/>
    <w:rsid w:val="007104E7"/>
    <w:rsid w:val="00711A36"/>
    <w:rsid w:val="007125D3"/>
    <w:rsid w:val="00714C26"/>
    <w:rsid w:val="0071529C"/>
    <w:rsid w:val="007166AE"/>
    <w:rsid w:val="007170DA"/>
    <w:rsid w:val="007172AD"/>
    <w:rsid w:val="00717546"/>
    <w:rsid w:val="00720801"/>
    <w:rsid w:val="0072116E"/>
    <w:rsid w:val="00722B1B"/>
    <w:rsid w:val="00722BF7"/>
    <w:rsid w:val="007233AC"/>
    <w:rsid w:val="0072416F"/>
    <w:rsid w:val="00724188"/>
    <w:rsid w:val="00724508"/>
    <w:rsid w:val="00724CDA"/>
    <w:rsid w:val="00725739"/>
    <w:rsid w:val="00727C94"/>
    <w:rsid w:val="00730B15"/>
    <w:rsid w:val="00731573"/>
    <w:rsid w:val="00731775"/>
    <w:rsid w:val="007318D3"/>
    <w:rsid w:val="00731B0A"/>
    <w:rsid w:val="00731B46"/>
    <w:rsid w:val="00731EAE"/>
    <w:rsid w:val="0073289C"/>
    <w:rsid w:val="0073290E"/>
    <w:rsid w:val="00732CE9"/>
    <w:rsid w:val="00733073"/>
    <w:rsid w:val="00735033"/>
    <w:rsid w:val="00735328"/>
    <w:rsid w:val="0073685B"/>
    <w:rsid w:val="00740651"/>
    <w:rsid w:val="00740EC2"/>
    <w:rsid w:val="00741FF9"/>
    <w:rsid w:val="00743A5E"/>
    <w:rsid w:val="007449BF"/>
    <w:rsid w:val="00744A4B"/>
    <w:rsid w:val="007463FE"/>
    <w:rsid w:val="00746BC0"/>
    <w:rsid w:val="007510B4"/>
    <w:rsid w:val="00751159"/>
    <w:rsid w:val="00752142"/>
    <w:rsid w:val="007523F9"/>
    <w:rsid w:val="00752453"/>
    <w:rsid w:val="00753319"/>
    <w:rsid w:val="0075357E"/>
    <w:rsid w:val="00753B29"/>
    <w:rsid w:val="00753F7D"/>
    <w:rsid w:val="007548E0"/>
    <w:rsid w:val="00754AA7"/>
    <w:rsid w:val="00756499"/>
    <w:rsid w:val="007573E8"/>
    <w:rsid w:val="00760C4E"/>
    <w:rsid w:val="00760F9E"/>
    <w:rsid w:val="007616E6"/>
    <w:rsid w:val="00762670"/>
    <w:rsid w:val="007627BE"/>
    <w:rsid w:val="007642BF"/>
    <w:rsid w:val="00764F03"/>
    <w:rsid w:val="0076589E"/>
    <w:rsid w:val="00765B1A"/>
    <w:rsid w:val="00765DC1"/>
    <w:rsid w:val="00767C84"/>
    <w:rsid w:val="0077122E"/>
    <w:rsid w:val="00772CDD"/>
    <w:rsid w:val="00773AEB"/>
    <w:rsid w:val="00773B58"/>
    <w:rsid w:val="00773C89"/>
    <w:rsid w:val="00774DCB"/>
    <w:rsid w:val="00776A29"/>
    <w:rsid w:val="00777335"/>
    <w:rsid w:val="0077779C"/>
    <w:rsid w:val="0078044B"/>
    <w:rsid w:val="007821EB"/>
    <w:rsid w:val="007843F2"/>
    <w:rsid w:val="007846FA"/>
    <w:rsid w:val="00785588"/>
    <w:rsid w:val="00785A9F"/>
    <w:rsid w:val="00785FD6"/>
    <w:rsid w:val="00786890"/>
    <w:rsid w:val="0078760E"/>
    <w:rsid w:val="00791692"/>
    <w:rsid w:val="00791DA2"/>
    <w:rsid w:val="007925DF"/>
    <w:rsid w:val="00793AC9"/>
    <w:rsid w:val="00793CC4"/>
    <w:rsid w:val="00794951"/>
    <w:rsid w:val="00794DED"/>
    <w:rsid w:val="00795A45"/>
    <w:rsid w:val="00795ACF"/>
    <w:rsid w:val="007A058B"/>
    <w:rsid w:val="007A08AA"/>
    <w:rsid w:val="007A0A12"/>
    <w:rsid w:val="007A132D"/>
    <w:rsid w:val="007A1345"/>
    <w:rsid w:val="007A2DDB"/>
    <w:rsid w:val="007A3C24"/>
    <w:rsid w:val="007A4EB7"/>
    <w:rsid w:val="007A54A9"/>
    <w:rsid w:val="007A70BA"/>
    <w:rsid w:val="007A74C7"/>
    <w:rsid w:val="007A7D09"/>
    <w:rsid w:val="007B0581"/>
    <w:rsid w:val="007B05BF"/>
    <w:rsid w:val="007B0D68"/>
    <w:rsid w:val="007B20B2"/>
    <w:rsid w:val="007B20ED"/>
    <w:rsid w:val="007B235E"/>
    <w:rsid w:val="007B251D"/>
    <w:rsid w:val="007B3533"/>
    <w:rsid w:val="007B4F58"/>
    <w:rsid w:val="007B528D"/>
    <w:rsid w:val="007B56E7"/>
    <w:rsid w:val="007B5A7D"/>
    <w:rsid w:val="007B63CA"/>
    <w:rsid w:val="007B69F7"/>
    <w:rsid w:val="007B6E57"/>
    <w:rsid w:val="007B77D1"/>
    <w:rsid w:val="007B784B"/>
    <w:rsid w:val="007C07C7"/>
    <w:rsid w:val="007C0E56"/>
    <w:rsid w:val="007C1CD9"/>
    <w:rsid w:val="007C2836"/>
    <w:rsid w:val="007C32EF"/>
    <w:rsid w:val="007C361D"/>
    <w:rsid w:val="007C3661"/>
    <w:rsid w:val="007C41BD"/>
    <w:rsid w:val="007C4B84"/>
    <w:rsid w:val="007C526D"/>
    <w:rsid w:val="007C6BFA"/>
    <w:rsid w:val="007C70FF"/>
    <w:rsid w:val="007C715D"/>
    <w:rsid w:val="007C7C25"/>
    <w:rsid w:val="007D004F"/>
    <w:rsid w:val="007D035F"/>
    <w:rsid w:val="007D06B2"/>
    <w:rsid w:val="007D0B38"/>
    <w:rsid w:val="007D1B60"/>
    <w:rsid w:val="007D2798"/>
    <w:rsid w:val="007D4653"/>
    <w:rsid w:val="007D5440"/>
    <w:rsid w:val="007D5529"/>
    <w:rsid w:val="007D649B"/>
    <w:rsid w:val="007D69EB"/>
    <w:rsid w:val="007E0E6F"/>
    <w:rsid w:val="007E128F"/>
    <w:rsid w:val="007E33ED"/>
    <w:rsid w:val="007E46B2"/>
    <w:rsid w:val="007E4C35"/>
    <w:rsid w:val="007E5594"/>
    <w:rsid w:val="007E693B"/>
    <w:rsid w:val="007F0166"/>
    <w:rsid w:val="007F0C9D"/>
    <w:rsid w:val="007F1017"/>
    <w:rsid w:val="007F1D66"/>
    <w:rsid w:val="007F4848"/>
    <w:rsid w:val="007F4A3F"/>
    <w:rsid w:val="007F4A61"/>
    <w:rsid w:val="007F5255"/>
    <w:rsid w:val="007F5334"/>
    <w:rsid w:val="007F5464"/>
    <w:rsid w:val="007F56CC"/>
    <w:rsid w:val="007F61C2"/>
    <w:rsid w:val="007F6441"/>
    <w:rsid w:val="007F79AD"/>
    <w:rsid w:val="00800901"/>
    <w:rsid w:val="008009D3"/>
    <w:rsid w:val="00801AF7"/>
    <w:rsid w:val="00805142"/>
    <w:rsid w:val="00805289"/>
    <w:rsid w:val="0080566B"/>
    <w:rsid w:val="00805FCE"/>
    <w:rsid w:val="008062DE"/>
    <w:rsid w:val="008078BB"/>
    <w:rsid w:val="00807A8B"/>
    <w:rsid w:val="0081035F"/>
    <w:rsid w:val="00810C5F"/>
    <w:rsid w:val="00811383"/>
    <w:rsid w:val="0081155B"/>
    <w:rsid w:val="00812149"/>
    <w:rsid w:val="00812CAC"/>
    <w:rsid w:val="00816361"/>
    <w:rsid w:val="008166EF"/>
    <w:rsid w:val="00816FEF"/>
    <w:rsid w:val="00817050"/>
    <w:rsid w:val="008179D7"/>
    <w:rsid w:val="00820A8C"/>
    <w:rsid w:val="008215FB"/>
    <w:rsid w:val="008220CC"/>
    <w:rsid w:val="00823174"/>
    <w:rsid w:val="00825751"/>
    <w:rsid w:val="008264EB"/>
    <w:rsid w:val="008268CE"/>
    <w:rsid w:val="00827C23"/>
    <w:rsid w:val="0083043E"/>
    <w:rsid w:val="00830A07"/>
    <w:rsid w:val="00831F04"/>
    <w:rsid w:val="008326CE"/>
    <w:rsid w:val="008329D0"/>
    <w:rsid w:val="00833A5F"/>
    <w:rsid w:val="00833B05"/>
    <w:rsid w:val="008343C2"/>
    <w:rsid w:val="00835E14"/>
    <w:rsid w:val="008362B4"/>
    <w:rsid w:val="00837622"/>
    <w:rsid w:val="008405B5"/>
    <w:rsid w:val="00840CA2"/>
    <w:rsid w:val="00840DBB"/>
    <w:rsid w:val="00841433"/>
    <w:rsid w:val="0084374F"/>
    <w:rsid w:val="00843872"/>
    <w:rsid w:val="00843902"/>
    <w:rsid w:val="00844A22"/>
    <w:rsid w:val="00844EC5"/>
    <w:rsid w:val="00845A80"/>
    <w:rsid w:val="00845F8F"/>
    <w:rsid w:val="00846809"/>
    <w:rsid w:val="00847703"/>
    <w:rsid w:val="00847DF5"/>
    <w:rsid w:val="0085309D"/>
    <w:rsid w:val="00853197"/>
    <w:rsid w:val="008538D2"/>
    <w:rsid w:val="00856897"/>
    <w:rsid w:val="00856E9A"/>
    <w:rsid w:val="0086075D"/>
    <w:rsid w:val="00862502"/>
    <w:rsid w:val="00862CC1"/>
    <w:rsid w:val="008634AC"/>
    <w:rsid w:val="008642A7"/>
    <w:rsid w:val="00864FB6"/>
    <w:rsid w:val="008660D4"/>
    <w:rsid w:val="008716D6"/>
    <w:rsid w:val="0087170F"/>
    <w:rsid w:val="00871ACC"/>
    <w:rsid w:val="00871FA9"/>
    <w:rsid w:val="008728E9"/>
    <w:rsid w:val="00873DDA"/>
    <w:rsid w:val="008750A8"/>
    <w:rsid w:val="00875F5C"/>
    <w:rsid w:val="00876BD8"/>
    <w:rsid w:val="00877A1B"/>
    <w:rsid w:val="0088059D"/>
    <w:rsid w:val="00881933"/>
    <w:rsid w:val="00882874"/>
    <w:rsid w:val="00882E3C"/>
    <w:rsid w:val="0088308A"/>
    <w:rsid w:val="00883762"/>
    <w:rsid w:val="00883787"/>
    <w:rsid w:val="0088537C"/>
    <w:rsid w:val="00885410"/>
    <w:rsid w:val="008855E4"/>
    <w:rsid w:val="00886CD2"/>
    <w:rsid w:val="00887C52"/>
    <w:rsid w:val="00887D28"/>
    <w:rsid w:val="00891E6F"/>
    <w:rsid w:val="0089209A"/>
    <w:rsid w:val="0089275D"/>
    <w:rsid w:val="008927A7"/>
    <w:rsid w:val="00892A36"/>
    <w:rsid w:val="00893239"/>
    <w:rsid w:val="00893961"/>
    <w:rsid w:val="0089420E"/>
    <w:rsid w:val="00894489"/>
    <w:rsid w:val="00894CD6"/>
    <w:rsid w:val="00894D8C"/>
    <w:rsid w:val="00895954"/>
    <w:rsid w:val="008959CE"/>
    <w:rsid w:val="00895C07"/>
    <w:rsid w:val="008963A5"/>
    <w:rsid w:val="0089698B"/>
    <w:rsid w:val="00896D5D"/>
    <w:rsid w:val="00896F78"/>
    <w:rsid w:val="008A0904"/>
    <w:rsid w:val="008A29AE"/>
    <w:rsid w:val="008A3158"/>
    <w:rsid w:val="008A3363"/>
    <w:rsid w:val="008A3371"/>
    <w:rsid w:val="008A3393"/>
    <w:rsid w:val="008A356E"/>
    <w:rsid w:val="008A3A78"/>
    <w:rsid w:val="008A3C08"/>
    <w:rsid w:val="008A3C3E"/>
    <w:rsid w:val="008A5677"/>
    <w:rsid w:val="008A642E"/>
    <w:rsid w:val="008A79DE"/>
    <w:rsid w:val="008B00DD"/>
    <w:rsid w:val="008B0689"/>
    <w:rsid w:val="008B0B83"/>
    <w:rsid w:val="008B163B"/>
    <w:rsid w:val="008B1757"/>
    <w:rsid w:val="008B1C33"/>
    <w:rsid w:val="008B1CB3"/>
    <w:rsid w:val="008B2CD8"/>
    <w:rsid w:val="008B3DD4"/>
    <w:rsid w:val="008B4912"/>
    <w:rsid w:val="008B4B6F"/>
    <w:rsid w:val="008B4C22"/>
    <w:rsid w:val="008B7992"/>
    <w:rsid w:val="008B7D7E"/>
    <w:rsid w:val="008C0BD1"/>
    <w:rsid w:val="008C3C09"/>
    <w:rsid w:val="008C457F"/>
    <w:rsid w:val="008C4717"/>
    <w:rsid w:val="008C4868"/>
    <w:rsid w:val="008C5231"/>
    <w:rsid w:val="008C5610"/>
    <w:rsid w:val="008C5739"/>
    <w:rsid w:val="008C612D"/>
    <w:rsid w:val="008C7282"/>
    <w:rsid w:val="008C79EF"/>
    <w:rsid w:val="008C7ECB"/>
    <w:rsid w:val="008D0D21"/>
    <w:rsid w:val="008D181E"/>
    <w:rsid w:val="008D2319"/>
    <w:rsid w:val="008D2DEC"/>
    <w:rsid w:val="008D2E55"/>
    <w:rsid w:val="008D353B"/>
    <w:rsid w:val="008D390E"/>
    <w:rsid w:val="008D3B86"/>
    <w:rsid w:val="008D4172"/>
    <w:rsid w:val="008D43FD"/>
    <w:rsid w:val="008D4755"/>
    <w:rsid w:val="008D4C3D"/>
    <w:rsid w:val="008D52DE"/>
    <w:rsid w:val="008D5655"/>
    <w:rsid w:val="008D5C27"/>
    <w:rsid w:val="008D6342"/>
    <w:rsid w:val="008D743C"/>
    <w:rsid w:val="008E0681"/>
    <w:rsid w:val="008E0D3C"/>
    <w:rsid w:val="008E1613"/>
    <w:rsid w:val="008E1B9E"/>
    <w:rsid w:val="008E1D34"/>
    <w:rsid w:val="008E29F0"/>
    <w:rsid w:val="008E4F34"/>
    <w:rsid w:val="008E55AB"/>
    <w:rsid w:val="008E596C"/>
    <w:rsid w:val="008F0487"/>
    <w:rsid w:val="008F0A62"/>
    <w:rsid w:val="008F120A"/>
    <w:rsid w:val="008F23FF"/>
    <w:rsid w:val="008F27E0"/>
    <w:rsid w:val="008F27FF"/>
    <w:rsid w:val="008F48EB"/>
    <w:rsid w:val="008F4F0B"/>
    <w:rsid w:val="00900B81"/>
    <w:rsid w:val="00903648"/>
    <w:rsid w:val="0090423D"/>
    <w:rsid w:val="009046C4"/>
    <w:rsid w:val="009062A5"/>
    <w:rsid w:val="00906CF9"/>
    <w:rsid w:val="00907294"/>
    <w:rsid w:val="00907699"/>
    <w:rsid w:val="00910FA7"/>
    <w:rsid w:val="00911272"/>
    <w:rsid w:val="00911339"/>
    <w:rsid w:val="009135D6"/>
    <w:rsid w:val="00914C77"/>
    <w:rsid w:val="0091629B"/>
    <w:rsid w:val="009164A6"/>
    <w:rsid w:val="0091656E"/>
    <w:rsid w:val="00920628"/>
    <w:rsid w:val="00921ACB"/>
    <w:rsid w:val="00921FC4"/>
    <w:rsid w:val="009227AF"/>
    <w:rsid w:val="00922DDA"/>
    <w:rsid w:val="00922FC6"/>
    <w:rsid w:val="0092322B"/>
    <w:rsid w:val="0092369B"/>
    <w:rsid w:val="0092494C"/>
    <w:rsid w:val="009250C6"/>
    <w:rsid w:val="00925A54"/>
    <w:rsid w:val="00925FC0"/>
    <w:rsid w:val="009266F7"/>
    <w:rsid w:val="00926AE0"/>
    <w:rsid w:val="0092749C"/>
    <w:rsid w:val="00927B4C"/>
    <w:rsid w:val="00927ED2"/>
    <w:rsid w:val="00931D4A"/>
    <w:rsid w:val="00934988"/>
    <w:rsid w:val="00935C68"/>
    <w:rsid w:val="00937089"/>
    <w:rsid w:val="00940E80"/>
    <w:rsid w:val="00942072"/>
    <w:rsid w:val="0094270D"/>
    <w:rsid w:val="00944F8A"/>
    <w:rsid w:val="009450DC"/>
    <w:rsid w:val="00945B84"/>
    <w:rsid w:val="009468B2"/>
    <w:rsid w:val="00950F64"/>
    <w:rsid w:val="009510A2"/>
    <w:rsid w:val="009518CF"/>
    <w:rsid w:val="00953257"/>
    <w:rsid w:val="0095474C"/>
    <w:rsid w:val="009552F2"/>
    <w:rsid w:val="00955BE7"/>
    <w:rsid w:val="00956089"/>
    <w:rsid w:val="00956141"/>
    <w:rsid w:val="00956432"/>
    <w:rsid w:val="00957D92"/>
    <w:rsid w:val="00957E7A"/>
    <w:rsid w:val="00960690"/>
    <w:rsid w:val="0096294B"/>
    <w:rsid w:val="00962CB9"/>
    <w:rsid w:val="00963C8D"/>
    <w:rsid w:val="00964312"/>
    <w:rsid w:val="00965178"/>
    <w:rsid w:val="0096576B"/>
    <w:rsid w:val="00965B8A"/>
    <w:rsid w:val="00966EF8"/>
    <w:rsid w:val="0097042E"/>
    <w:rsid w:val="0097071F"/>
    <w:rsid w:val="00971305"/>
    <w:rsid w:val="0097139E"/>
    <w:rsid w:val="009717AC"/>
    <w:rsid w:val="00971DF0"/>
    <w:rsid w:val="00972090"/>
    <w:rsid w:val="00972B0E"/>
    <w:rsid w:val="00972F7D"/>
    <w:rsid w:val="009742A6"/>
    <w:rsid w:val="009751C1"/>
    <w:rsid w:val="0097644F"/>
    <w:rsid w:val="00976AE9"/>
    <w:rsid w:val="00980D88"/>
    <w:rsid w:val="009811F1"/>
    <w:rsid w:val="00981C98"/>
    <w:rsid w:val="0098262F"/>
    <w:rsid w:val="0098335D"/>
    <w:rsid w:val="00983E57"/>
    <w:rsid w:val="009842AC"/>
    <w:rsid w:val="00984488"/>
    <w:rsid w:val="0098520C"/>
    <w:rsid w:val="0098581E"/>
    <w:rsid w:val="00985DE2"/>
    <w:rsid w:val="0098675D"/>
    <w:rsid w:val="00987609"/>
    <w:rsid w:val="00987882"/>
    <w:rsid w:val="00987BA4"/>
    <w:rsid w:val="00991E2E"/>
    <w:rsid w:val="009926E0"/>
    <w:rsid w:val="009927A7"/>
    <w:rsid w:val="009930FD"/>
    <w:rsid w:val="00993DA1"/>
    <w:rsid w:val="00994030"/>
    <w:rsid w:val="0099451E"/>
    <w:rsid w:val="00995B2F"/>
    <w:rsid w:val="00996B1A"/>
    <w:rsid w:val="009A18F6"/>
    <w:rsid w:val="009A2DCC"/>
    <w:rsid w:val="009A506A"/>
    <w:rsid w:val="009A5783"/>
    <w:rsid w:val="009A5A38"/>
    <w:rsid w:val="009A5ABC"/>
    <w:rsid w:val="009A7889"/>
    <w:rsid w:val="009A7F10"/>
    <w:rsid w:val="009B1326"/>
    <w:rsid w:val="009B2940"/>
    <w:rsid w:val="009B2BFE"/>
    <w:rsid w:val="009B2E93"/>
    <w:rsid w:val="009B37AE"/>
    <w:rsid w:val="009B3E26"/>
    <w:rsid w:val="009B3FAA"/>
    <w:rsid w:val="009B6363"/>
    <w:rsid w:val="009B6507"/>
    <w:rsid w:val="009B6F97"/>
    <w:rsid w:val="009B74C0"/>
    <w:rsid w:val="009C0946"/>
    <w:rsid w:val="009C1271"/>
    <w:rsid w:val="009C1289"/>
    <w:rsid w:val="009C21D2"/>
    <w:rsid w:val="009C3706"/>
    <w:rsid w:val="009C395C"/>
    <w:rsid w:val="009C3A3A"/>
    <w:rsid w:val="009C426B"/>
    <w:rsid w:val="009C4288"/>
    <w:rsid w:val="009C6CEA"/>
    <w:rsid w:val="009C7B85"/>
    <w:rsid w:val="009D023D"/>
    <w:rsid w:val="009D0254"/>
    <w:rsid w:val="009D1A64"/>
    <w:rsid w:val="009D24F5"/>
    <w:rsid w:val="009D31B6"/>
    <w:rsid w:val="009D3FF2"/>
    <w:rsid w:val="009D4710"/>
    <w:rsid w:val="009D51F1"/>
    <w:rsid w:val="009D5B91"/>
    <w:rsid w:val="009D6015"/>
    <w:rsid w:val="009D62D8"/>
    <w:rsid w:val="009D6F6C"/>
    <w:rsid w:val="009D792E"/>
    <w:rsid w:val="009E0623"/>
    <w:rsid w:val="009E0DFE"/>
    <w:rsid w:val="009E29F2"/>
    <w:rsid w:val="009E2C12"/>
    <w:rsid w:val="009E2D1F"/>
    <w:rsid w:val="009E31F6"/>
    <w:rsid w:val="009E31F9"/>
    <w:rsid w:val="009E3FB3"/>
    <w:rsid w:val="009E4C07"/>
    <w:rsid w:val="009E7456"/>
    <w:rsid w:val="009E777F"/>
    <w:rsid w:val="009F17E0"/>
    <w:rsid w:val="009F2701"/>
    <w:rsid w:val="009F34BC"/>
    <w:rsid w:val="009F6120"/>
    <w:rsid w:val="00A00D76"/>
    <w:rsid w:val="00A01184"/>
    <w:rsid w:val="00A01449"/>
    <w:rsid w:val="00A01FCF"/>
    <w:rsid w:val="00A037C2"/>
    <w:rsid w:val="00A03D43"/>
    <w:rsid w:val="00A04380"/>
    <w:rsid w:val="00A043A0"/>
    <w:rsid w:val="00A04786"/>
    <w:rsid w:val="00A05472"/>
    <w:rsid w:val="00A0586A"/>
    <w:rsid w:val="00A05C32"/>
    <w:rsid w:val="00A0653F"/>
    <w:rsid w:val="00A11CD0"/>
    <w:rsid w:val="00A12A45"/>
    <w:rsid w:val="00A135C4"/>
    <w:rsid w:val="00A13948"/>
    <w:rsid w:val="00A14551"/>
    <w:rsid w:val="00A1555B"/>
    <w:rsid w:val="00A155C5"/>
    <w:rsid w:val="00A15B73"/>
    <w:rsid w:val="00A16AD8"/>
    <w:rsid w:val="00A16CC7"/>
    <w:rsid w:val="00A172BE"/>
    <w:rsid w:val="00A2021E"/>
    <w:rsid w:val="00A2150E"/>
    <w:rsid w:val="00A21C95"/>
    <w:rsid w:val="00A21CF3"/>
    <w:rsid w:val="00A226CB"/>
    <w:rsid w:val="00A24203"/>
    <w:rsid w:val="00A24813"/>
    <w:rsid w:val="00A24BC2"/>
    <w:rsid w:val="00A27AEC"/>
    <w:rsid w:val="00A30CBC"/>
    <w:rsid w:val="00A320DB"/>
    <w:rsid w:val="00A3262D"/>
    <w:rsid w:val="00A35D16"/>
    <w:rsid w:val="00A37388"/>
    <w:rsid w:val="00A37BCD"/>
    <w:rsid w:val="00A41689"/>
    <w:rsid w:val="00A417A9"/>
    <w:rsid w:val="00A41983"/>
    <w:rsid w:val="00A42592"/>
    <w:rsid w:val="00A4285F"/>
    <w:rsid w:val="00A43C59"/>
    <w:rsid w:val="00A44B97"/>
    <w:rsid w:val="00A46574"/>
    <w:rsid w:val="00A477A5"/>
    <w:rsid w:val="00A50ECD"/>
    <w:rsid w:val="00A512CF"/>
    <w:rsid w:val="00A5147D"/>
    <w:rsid w:val="00A518F3"/>
    <w:rsid w:val="00A52729"/>
    <w:rsid w:val="00A52CAA"/>
    <w:rsid w:val="00A53675"/>
    <w:rsid w:val="00A53D83"/>
    <w:rsid w:val="00A55AF1"/>
    <w:rsid w:val="00A564D7"/>
    <w:rsid w:val="00A56B6A"/>
    <w:rsid w:val="00A578DC"/>
    <w:rsid w:val="00A600B9"/>
    <w:rsid w:val="00A640E2"/>
    <w:rsid w:val="00A64D65"/>
    <w:rsid w:val="00A6725B"/>
    <w:rsid w:val="00A67480"/>
    <w:rsid w:val="00A675FC"/>
    <w:rsid w:val="00A67931"/>
    <w:rsid w:val="00A70595"/>
    <w:rsid w:val="00A70605"/>
    <w:rsid w:val="00A7070E"/>
    <w:rsid w:val="00A724C3"/>
    <w:rsid w:val="00A73134"/>
    <w:rsid w:val="00A7365A"/>
    <w:rsid w:val="00A73A82"/>
    <w:rsid w:val="00A73C76"/>
    <w:rsid w:val="00A74EF8"/>
    <w:rsid w:val="00A76001"/>
    <w:rsid w:val="00A76B1C"/>
    <w:rsid w:val="00A777B2"/>
    <w:rsid w:val="00A77A3D"/>
    <w:rsid w:val="00A803D6"/>
    <w:rsid w:val="00A8172B"/>
    <w:rsid w:val="00A825D4"/>
    <w:rsid w:val="00A828F6"/>
    <w:rsid w:val="00A82B73"/>
    <w:rsid w:val="00A84532"/>
    <w:rsid w:val="00A84C26"/>
    <w:rsid w:val="00A86459"/>
    <w:rsid w:val="00A86698"/>
    <w:rsid w:val="00A86E8B"/>
    <w:rsid w:val="00A87164"/>
    <w:rsid w:val="00A871A9"/>
    <w:rsid w:val="00A90AFC"/>
    <w:rsid w:val="00A93072"/>
    <w:rsid w:val="00A938BD"/>
    <w:rsid w:val="00A93953"/>
    <w:rsid w:val="00A959D8"/>
    <w:rsid w:val="00A95B85"/>
    <w:rsid w:val="00AA0141"/>
    <w:rsid w:val="00AA0B6F"/>
    <w:rsid w:val="00AA0CDA"/>
    <w:rsid w:val="00AA0F59"/>
    <w:rsid w:val="00AA113D"/>
    <w:rsid w:val="00AA32DE"/>
    <w:rsid w:val="00AA63DB"/>
    <w:rsid w:val="00AA6453"/>
    <w:rsid w:val="00AA6BD5"/>
    <w:rsid w:val="00AA6BD8"/>
    <w:rsid w:val="00AA6C7D"/>
    <w:rsid w:val="00AA7353"/>
    <w:rsid w:val="00AA7FD6"/>
    <w:rsid w:val="00AB042A"/>
    <w:rsid w:val="00AB11AD"/>
    <w:rsid w:val="00AB19EF"/>
    <w:rsid w:val="00AB2495"/>
    <w:rsid w:val="00AB2D34"/>
    <w:rsid w:val="00AB3430"/>
    <w:rsid w:val="00AB37B9"/>
    <w:rsid w:val="00AB39F4"/>
    <w:rsid w:val="00AB3BA5"/>
    <w:rsid w:val="00AB4AD1"/>
    <w:rsid w:val="00AB5E07"/>
    <w:rsid w:val="00AB63C4"/>
    <w:rsid w:val="00AB7CFA"/>
    <w:rsid w:val="00AC05A5"/>
    <w:rsid w:val="00AC0951"/>
    <w:rsid w:val="00AC5B42"/>
    <w:rsid w:val="00AC5B48"/>
    <w:rsid w:val="00AD0C30"/>
    <w:rsid w:val="00AD1450"/>
    <w:rsid w:val="00AD146C"/>
    <w:rsid w:val="00AD15E8"/>
    <w:rsid w:val="00AD1B84"/>
    <w:rsid w:val="00AD356D"/>
    <w:rsid w:val="00AD4380"/>
    <w:rsid w:val="00AD44CD"/>
    <w:rsid w:val="00AD46D5"/>
    <w:rsid w:val="00AD4B99"/>
    <w:rsid w:val="00AD4CF2"/>
    <w:rsid w:val="00AD5E0A"/>
    <w:rsid w:val="00AD636F"/>
    <w:rsid w:val="00AD6502"/>
    <w:rsid w:val="00AD70B4"/>
    <w:rsid w:val="00AD7452"/>
    <w:rsid w:val="00AE0695"/>
    <w:rsid w:val="00AE30CD"/>
    <w:rsid w:val="00AE31AD"/>
    <w:rsid w:val="00AE3552"/>
    <w:rsid w:val="00AE3E7E"/>
    <w:rsid w:val="00AE4116"/>
    <w:rsid w:val="00AE5220"/>
    <w:rsid w:val="00AE63D3"/>
    <w:rsid w:val="00AE6F16"/>
    <w:rsid w:val="00AE7E53"/>
    <w:rsid w:val="00AF0117"/>
    <w:rsid w:val="00AF1315"/>
    <w:rsid w:val="00AF14DE"/>
    <w:rsid w:val="00AF19BF"/>
    <w:rsid w:val="00AF1DD0"/>
    <w:rsid w:val="00AF2DC3"/>
    <w:rsid w:val="00AF4CE2"/>
    <w:rsid w:val="00AF64B2"/>
    <w:rsid w:val="00AF7701"/>
    <w:rsid w:val="00B00C0B"/>
    <w:rsid w:val="00B01EDB"/>
    <w:rsid w:val="00B02013"/>
    <w:rsid w:val="00B023EA"/>
    <w:rsid w:val="00B02EDE"/>
    <w:rsid w:val="00B033E5"/>
    <w:rsid w:val="00B033FC"/>
    <w:rsid w:val="00B03473"/>
    <w:rsid w:val="00B037F5"/>
    <w:rsid w:val="00B0389A"/>
    <w:rsid w:val="00B03A63"/>
    <w:rsid w:val="00B060AE"/>
    <w:rsid w:val="00B069AD"/>
    <w:rsid w:val="00B07F62"/>
    <w:rsid w:val="00B11650"/>
    <w:rsid w:val="00B11D2B"/>
    <w:rsid w:val="00B129A4"/>
    <w:rsid w:val="00B14FE9"/>
    <w:rsid w:val="00B15346"/>
    <w:rsid w:val="00B15919"/>
    <w:rsid w:val="00B15CC8"/>
    <w:rsid w:val="00B16464"/>
    <w:rsid w:val="00B201A4"/>
    <w:rsid w:val="00B201D1"/>
    <w:rsid w:val="00B20EA6"/>
    <w:rsid w:val="00B213A6"/>
    <w:rsid w:val="00B22092"/>
    <w:rsid w:val="00B2283F"/>
    <w:rsid w:val="00B235B0"/>
    <w:rsid w:val="00B24DF6"/>
    <w:rsid w:val="00B27268"/>
    <w:rsid w:val="00B27A61"/>
    <w:rsid w:val="00B30086"/>
    <w:rsid w:val="00B343C3"/>
    <w:rsid w:val="00B3496A"/>
    <w:rsid w:val="00B34FE2"/>
    <w:rsid w:val="00B35166"/>
    <w:rsid w:val="00B357D8"/>
    <w:rsid w:val="00B35EEA"/>
    <w:rsid w:val="00B360F4"/>
    <w:rsid w:val="00B3678D"/>
    <w:rsid w:val="00B36924"/>
    <w:rsid w:val="00B36A00"/>
    <w:rsid w:val="00B36D6B"/>
    <w:rsid w:val="00B3792B"/>
    <w:rsid w:val="00B37BFC"/>
    <w:rsid w:val="00B40358"/>
    <w:rsid w:val="00B40420"/>
    <w:rsid w:val="00B40784"/>
    <w:rsid w:val="00B41614"/>
    <w:rsid w:val="00B41747"/>
    <w:rsid w:val="00B41E92"/>
    <w:rsid w:val="00B42851"/>
    <w:rsid w:val="00B42E23"/>
    <w:rsid w:val="00B42F80"/>
    <w:rsid w:val="00B435CB"/>
    <w:rsid w:val="00B44375"/>
    <w:rsid w:val="00B44D02"/>
    <w:rsid w:val="00B45474"/>
    <w:rsid w:val="00B465EC"/>
    <w:rsid w:val="00B47952"/>
    <w:rsid w:val="00B505C8"/>
    <w:rsid w:val="00B50DB8"/>
    <w:rsid w:val="00B53654"/>
    <w:rsid w:val="00B53905"/>
    <w:rsid w:val="00B546B2"/>
    <w:rsid w:val="00B546DB"/>
    <w:rsid w:val="00B54B5B"/>
    <w:rsid w:val="00B5562E"/>
    <w:rsid w:val="00B55862"/>
    <w:rsid w:val="00B55D65"/>
    <w:rsid w:val="00B56305"/>
    <w:rsid w:val="00B56F67"/>
    <w:rsid w:val="00B57000"/>
    <w:rsid w:val="00B5742F"/>
    <w:rsid w:val="00B60160"/>
    <w:rsid w:val="00B6033D"/>
    <w:rsid w:val="00B60939"/>
    <w:rsid w:val="00B60AFD"/>
    <w:rsid w:val="00B6185C"/>
    <w:rsid w:val="00B62715"/>
    <w:rsid w:val="00B62731"/>
    <w:rsid w:val="00B628C7"/>
    <w:rsid w:val="00B6332E"/>
    <w:rsid w:val="00B633D5"/>
    <w:rsid w:val="00B65611"/>
    <w:rsid w:val="00B67952"/>
    <w:rsid w:val="00B70A28"/>
    <w:rsid w:val="00B70E8E"/>
    <w:rsid w:val="00B71590"/>
    <w:rsid w:val="00B71742"/>
    <w:rsid w:val="00B75CDE"/>
    <w:rsid w:val="00B76C92"/>
    <w:rsid w:val="00B777A6"/>
    <w:rsid w:val="00B802EB"/>
    <w:rsid w:val="00B805C9"/>
    <w:rsid w:val="00B80EFD"/>
    <w:rsid w:val="00B818A4"/>
    <w:rsid w:val="00B818BB"/>
    <w:rsid w:val="00B82983"/>
    <w:rsid w:val="00B82BC2"/>
    <w:rsid w:val="00B82FD5"/>
    <w:rsid w:val="00B83435"/>
    <w:rsid w:val="00B83739"/>
    <w:rsid w:val="00B840A4"/>
    <w:rsid w:val="00B84117"/>
    <w:rsid w:val="00B858F0"/>
    <w:rsid w:val="00B85AA2"/>
    <w:rsid w:val="00B8649C"/>
    <w:rsid w:val="00B8695D"/>
    <w:rsid w:val="00B87C9D"/>
    <w:rsid w:val="00B87F0A"/>
    <w:rsid w:val="00B92D0B"/>
    <w:rsid w:val="00B93EA4"/>
    <w:rsid w:val="00B94945"/>
    <w:rsid w:val="00B94DD6"/>
    <w:rsid w:val="00B96302"/>
    <w:rsid w:val="00B97FE0"/>
    <w:rsid w:val="00BA16B0"/>
    <w:rsid w:val="00BA322D"/>
    <w:rsid w:val="00BA3435"/>
    <w:rsid w:val="00BA357A"/>
    <w:rsid w:val="00BA3792"/>
    <w:rsid w:val="00BA425B"/>
    <w:rsid w:val="00BA47BD"/>
    <w:rsid w:val="00BA6176"/>
    <w:rsid w:val="00BA63FA"/>
    <w:rsid w:val="00BA6D6F"/>
    <w:rsid w:val="00BA75B7"/>
    <w:rsid w:val="00BA7602"/>
    <w:rsid w:val="00BA7CC3"/>
    <w:rsid w:val="00BA7CFA"/>
    <w:rsid w:val="00BA7D94"/>
    <w:rsid w:val="00BB00B3"/>
    <w:rsid w:val="00BB03AC"/>
    <w:rsid w:val="00BB0BDD"/>
    <w:rsid w:val="00BB12D5"/>
    <w:rsid w:val="00BB176C"/>
    <w:rsid w:val="00BB21F2"/>
    <w:rsid w:val="00BB25D9"/>
    <w:rsid w:val="00BB27C3"/>
    <w:rsid w:val="00BB2A73"/>
    <w:rsid w:val="00BB2CE4"/>
    <w:rsid w:val="00BB3A45"/>
    <w:rsid w:val="00BB4ACC"/>
    <w:rsid w:val="00BB6D90"/>
    <w:rsid w:val="00BB703E"/>
    <w:rsid w:val="00BB732D"/>
    <w:rsid w:val="00BB7405"/>
    <w:rsid w:val="00BB7602"/>
    <w:rsid w:val="00BB7AD7"/>
    <w:rsid w:val="00BB7C57"/>
    <w:rsid w:val="00BB7DFC"/>
    <w:rsid w:val="00BC0552"/>
    <w:rsid w:val="00BC2E5E"/>
    <w:rsid w:val="00BC3631"/>
    <w:rsid w:val="00BC4BCE"/>
    <w:rsid w:val="00BC4FA8"/>
    <w:rsid w:val="00BC4FAA"/>
    <w:rsid w:val="00BC57A3"/>
    <w:rsid w:val="00BC591F"/>
    <w:rsid w:val="00BC697E"/>
    <w:rsid w:val="00BC7D6D"/>
    <w:rsid w:val="00BD06C5"/>
    <w:rsid w:val="00BD0D4F"/>
    <w:rsid w:val="00BD1BA2"/>
    <w:rsid w:val="00BD1E97"/>
    <w:rsid w:val="00BD2108"/>
    <w:rsid w:val="00BD3A92"/>
    <w:rsid w:val="00BD4401"/>
    <w:rsid w:val="00BD68A3"/>
    <w:rsid w:val="00BD6938"/>
    <w:rsid w:val="00BD6CF3"/>
    <w:rsid w:val="00BD7F72"/>
    <w:rsid w:val="00BE0ECA"/>
    <w:rsid w:val="00BE2180"/>
    <w:rsid w:val="00BE21BD"/>
    <w:rsid w:val="00BE21F2"/>
    <w:rsid w:val="00BE274B"/>
    <w:rsid w:val="00BE4275"/>
    <w:rsid w:val="00BE459F"/>
    <w:rsid w:val="00BE5972"/>
    <w:rsid w:val="00BE6094"/>
    <w:rsid w:val="00BE7342"/>
    <w:rsid w:val="00BF06AE"/>
    <w:rsid w:val="00BF0F95"/>
    <w:rsid w:val="00BF182F"/>
    <w:rsid w:val="00BF2433"/>
    <w:rsid w:val="00BF2B69"/>
    <w:rsid w:val="00BF2E6E"/>
    <w:rsid w:val="00BF3099"/>
    <w:rsid w:val="00BF3613"/>
    <w:rsid w:val="00BF59C5"/>
    <w:rsid w:val="00BF61C9"/>
    <w:rsid w:val="00BF6AD5"/>
    <w:rsid w:val="00BF6C94"/>
    <w:rsid w:val="00C00424"/>
    <w:rsid w:val="00C00BB0"/>
    <w:rsid w:val="00C030ED"/>
    <w:rsid w:val="00C03AC4"/>
    <w:rsid w:val="00C057C9"/>
    <w:rsid w:val="00C05D62"/>
    <w:rsid w:val="00C06E3D"/>
    <w:rsid w:val="00C07069"/>
    <w:rsid w:val="00C103F2"/>
    <w:rsid w:val="00C1179F"/>
    <w:rsid w:val="00C11E14"/>
    <w:rsid w:val="00C127B9"/>
    <w:rsid w:val="00C128FA"/>
    <w:rsid w:val="00C12C14"/>
    <w:rsid w:val="00C13B3E"/>
    <w:rsid w:val="00C15F04"/>
    <w:rsid w:val="00C16140"/>
    <w:rsid w:val="00C164E2"/>
    <w:rsid w:val="00C179B3"/>
    <w:rsid w:val="00C17B8E"/>
    <w:rsid w:val="00C17E3F"/>
    <w:rsid w:val="00C200AA"/>
    <w:rsid w:val="00C21F1B"/>
    <w:rsid w:val="00C2327A"/>
    <w:rsid w:val="00C237ED"/>
    <w:rsid w:val="00C24632"/>
    <w:rsid w:val="00C24A50"/>
    <w:rsid w:val="00C25418"/>
    <w:rsid w:val="00C25D9C"/>
    <w:rsid w:val="00C269B1"/>
    <w:rsid w:val="00C2778B"/>
    <w:rsid w:val="00C2793D"/>
    <w:rsid w:val="00C27F9B"/>
    <w:rsid w:val="00C30945"/>
    <w:rsid w:val="00C31649"/>
    <w:rsid w:val="00C31FCF"/>
    <w:rsid w:val="00C32265"/>
    <w:rsid w:val="00C3434C"/>
    <w:rsid w:val="00C34949"/>
    <w:rsid w:val="00C35E83"/>
    <w:rsid w:val="00C36888"/>
    <w:rsid w:val="00C40263"/>
    <w:rsid w:val="00C40385"/>
    <w:rsid w:val="00C40DD5"/>
    <w:rsid w:val="00C41768"/>
    <w:rsid w:val="00C43E65"/>
    <w:rsid w:val="00C44222"/>
    <w:rsid w:val="00C45A88"/>
    <w:rsid w:val="00C475AA"/>
    <w:rsid w:val="00C527C7"/>
    <w:rsid w:val="00C52B6F"/>
    <w:rsid w:val="00C52B73"/>
    <w:rsid w:val="00C530A1"/>
    <w:rsid w:val="00C53340"/>
    <w:rsid w:val="00C5378B"/>
    <w:rsid w:val="00C53C98"/>
    <w:rsid w:val="00C545D6"/>
    <w:rsid w:val="00C56FCF"/>
    <w:rsid w:val="00C572F6"/>
    <w:rsid w:val="00C57B6C"/>
    <w:rsid w:val="00C57D12"/>
    <w:rsid w:val="00C609B2"/>
    <w:rsid w:val="00C616CD"/>
    <w:rsid w:val="00C61A59"/>
    <w:rsid w:val="00C61B30"/>
    <w:rsid w:val="00C628A6"/>
    <w:rsid w:val="00C62F19"/>
    <w:rsid w:val="00C63E84"/>
    <w:rsid w:val="00C64344"/>
    <w:rsid w:val="00C65108"/>
    <w:rsid w:val="00C65576"/>
    <w:rsid w:val="00C65C97"/>
    <w:rsid w:val="00C66165"/>
    <w:rsid w:val="00C671BD"/>
    <w:rsid w:val="00C67A7C"/>
    <w:rsid w:val="00C70370"/>
    <w:rsid w:val="00C7060A"/>
    <w:rsid w:val="00C71395"/>
    <w:rsid w:val="00C7151A"/>
    <w:rsid w:val="00C717E3"/>
    <w:rsid w:val="00C71F60"/>
    <w:rsid w:val="00C72241"/>
    <w:rsid w:val="00C72FFF"/>
    <w:rsid w:val="00C750C8"/>
    <w:rsid w:val="00C75553"/>
    <w:rsid w:val="00C7560F"/>
    <w:rsid w:val="00C80A0E"/>
    <w:rsid w:val="00C81A7D"/>
    <w:rsid w:val="00C8213F"/>
    <w:rsid w:val="00C825FB"/>
    <w:rsid w:val="00C8303F"/>
    <w:rsid w:val="00C84CD2"/>
    <w:rsid w:val="00C85154"/>
    <w:rsid w:val="00C85188"/>
    <w:rsid w:val="00C85A70"/>
    <w:rsid w:val="00C866F1"/>
    <w:rsid w:val="00C8797A"/>
    <w:rsid w:val="00C900B8"/>
    <w:rsid w:val="00C90197"/>
    <w:rsid w:val="00C90C71"/>
    <w:rsid w:val="00C90E04"/>
    <w:rsid w:val="00C91029"/>
    <w:rsid w:val="00C9127F"/>
    <w:rsid w:val="00C91FD1"/>
    <w:rsid w:val="00C931CF"/>
    <w:rsid w:val="00C938CF"/>
    <w:rsid w:val="00C94053"/>
    <w:rsid w:val="00C942C3"/>
    <w:rsid w:val="00C94A10"/>
    <w:rsid w:val="00C9624D"/>
    <w:rsid w:val="00C969DA"/>
    <w:rsid w:val="00C972B8"/>
    <w:rsid w:val="00C97421"/>
    <w:rsid w:val="00CA070E"/>
    <w:rsid w:val="00CA1A7B"/>
    <w:rsid w:val="00CA2C77"/>
    <w:rsid w:val="00CA2C82"/>
    <w:rsid w:val="00CA40C3"/>
    <w:rsid w:val="00CA444F"/>
    <w:rsid w:val="00CA5109"/>
    <w:rsid w:val="00CA5245"/>
    <w:rsid w:val="00CA6192"/>
    <w:rsid w:val="00CA71F4"/>
    <w:rsid w:val="00CA7B09"/>
    <w:rsid w:val="00CB12A5"/>
    <w:rsid w:val="00CB177A"/>
    <w:rsid w:val="00CB1CAC"/>
    <w:rsid w:val="00CB2B73"/>
    <w:rsid w:val="00CB2BBC"/>
    <w:rsid w:val="00CB2EFE"/>
    <w:rsid w:val="00CB2F2A"/>
    <w:rsid w:val="00CB3504"/>
    <w:rsid w:val="00CB4412"/>
    <w:rsid w:val="00CB5123"/>
    <w:rsid w:val="00CB554D"/>
    <w:rsid w:val="00CB55CC"/>
    <w:rsid w:val="00CB5B1A"/>
    <w:rsid w:val="00CB5C5D"/>
    <w:rsid w:val="00CB6B22"/>
    <w:rsid w:val="00CB7284"/>
    <w:rsid w:val="00CB751B"/>
    <w:rsid w:val="00CB76D2"/>
    <w:rsid w:val="00CB7F5F"/>
    <w:rsid w:val="00CC0D3F"/>
    <w:rsid w:val="00CC1B39"/>
    <w:rsid w:val="00CC1BFA"/>
    <w:rsid w:val="00CC2E9F"/>
    <w:rsid w:val="00CC35EA"/>
    <w:rsid w:val="00CC3848"/>
    <w:rsid w:val="00CC3C13"/>
    <w:rsid w:val="00CC4CA6"/>
    <w:rsid w:val="00CC6D5E"/>
    <w:rsid w:val="00CC702D"/>
    <w:rsid w:val="00CD0200"/>
    <w:rsid w:val="00CD3998"/>
    <w:rsid w:val="00CD3F77"/>
    <w:rsid w:val="00CD454C"/>
    <w:rsid w:val="00CD45D4"/>
    <w:rsid w:val="00CD4C93"/>
    <w:rsid w:val="00CD5857"/>
    <w:rsid w:val="00CD6ADC"/>
    <w:rsid w:val="00CD7193"/>
    <w:rsid w:val="00CE2A07"/>
    <w:rsid w:val="00CE38C8"/>
    <w:rsid w:val="00CE524F"/>
    <w:rsid w:val="00CE54B2"/>
    <w:rsid w:val="00CE58CC"/>
    <w:rsid w:val="00CE6274"/>
    <w:rsid w:val="00CE63B8"/>
    <w:rsid w:val="00CE77B6"/>
    <w:rsid w:val="00CF0355"/>
    <w:rsid w:val="00CF2B8D"/>
    <w:rsid w:val="00CF3A1B"/>
    <w:rsid w:val="00CF3F47"/>
    <w:rsid w:val="00CF4140"/>
    <w:rsid w:val="00CF456B"/>
    <w:rsid w:val="00CF5A22"/>
    <w:rsid w:val="00CF709B"/>
    <w:rsid w:val="00D01144"/>
    <w:rsid w:val="00D01DAC"/>
    <w:rsid w:val="00D0262E"/>
    <w:rsid w:val="00D03679"/>
    <w:rsid w:val="00D038BF"/>
    <w:rsid w:val="00D042BF"/>
    <w:rsid w:val="00D05E3D"/>
    <w:rsid w:val="00D06139"/>
    <w:rsid w:val="00D0641E"/>
    <w:rsid w:val="00D108EA"/>
    <w:rsid w:val="00D110BD"/>
    <w:rsid w:val="00D125AD"/>
    <w:rsid w:val="00D13675"/>
    <w:rsid w:val="00D141E1"/>
    <w:rsid w:val="00D15314"/>
    <w:rsid w:val="00D15B48"/>
    <w:rsid w:val="00D17419"/>
    <w:rsid w:val="00D17D6C"/>
    <w:rsid w:val="00D17D92"/>
    <w:rsid w:val="00D2155B"/>
    <w:rsid w:val="00D219F4"/>
    <w:rsid w:val="00D22DDA"/>
    <w:rsid w:val="00D23719"/>
    <w:rsid w:val="00D23D11"/>
    <w:rsid w:val="00D244B6"/>
    <w:rsid w:val="00D25CEA"/>
    <w:rsid w:val="00D25F66"/>
    <w:rsid w:val="00D270E8"/>
    <w:rsid w:val="00D27272"/>
    <w:rsid w:val="00D2754D"/>
    <w:rsid w:val="00D27B27"/>
    <w:rsid w:val="00D30923"/>
    <w:rsid w:val="00D30D5B"/>
    <w:rsid w:val="00D3238B"/>
    <w:rsid w:val="00D33BE9"/>
    <w:rsid w:val="00D33F93"/>
    <w:rsid w:val="00D357FF"/>
    <w:rsid w:val="00D424C7"/>
    <w:rsid w:val="00D43359"/>
    <w:rsid w:val="00D43B2A"/>
    <w:rsid w:val="00D43CF1"/>
    <w:rsid w:val="00D43D83"/>
    <w:rsid w:val="00D44BB2"/>
    <w:rsid w:val="00D44BEE"/>
    <w:rsid w:val="00D45CC9"/>
    <w:rsid w:val="00D4655E"/>
    <w:rsid w:val="00D4665C"/>
    <w:rsid w:val="00D47575"/>
    <w:rsid w:val="00D477CC"/>
    <w:rsid w:val="00D50B5A"/>
    <w:rsid w:val="00D51500"/>
    <w:rsid w:val="00D5243B"/>
    <w:rsid w:val="00D533EC"/>
    <w:rsid w:val="00D53A02"/>
    <w:rsid w:val="00D5417D"/>
    <w:rsid w:val="00D54550"/>
    <w:rsid w:val="00D54B6C"/>
    <w:rsid w:val="00D561E5"/>
    <w:rsid w:val="00D56A95"/>
    <w:rsid w:val="00D56AAC"/>
    <w:rsid w:val="00D574EA"/>
    <w:rsid w:val="00D6076E"/>
    <w:rsid w:val="00D62513"/>
    <w:rsid w:val="00D62CB1"/>
    <w:rsid w:val="00D63ABA"/>
    <w:rsid w:val="00D63E7D"/>
    <w:rsid w:val="00D64732"/>
    <w:rsid w:val="00D64985"/>
    <w:rsid w:val="00D64AD2"/>
    <w:rsid w:val="00D64FF4"/>
    <w:rsid w:val="00D66744"/>
    <w:rsid w:val="00D70F16"/>
    <w:rsid w:val="00D716A7"/>
    <w:rsid w:val="00D71840"/>
    <w:rsid w:val="00D72116"/>
    <w:rsid w:val="00D72617"/>
    <w:rsid w:val="00D72F57"/>
    <w:rsid w:val="00D75131"/>
    <w:rsid w:val="00D76057"/>
    <w:rsid w:val="00D76A44"/>
    <w:rsid w:val="00D800E0"/>
    <w:rsid w:val="00D815EF"/>
    <w:rsid w:val="00D81949"/>
    <w:rsid w:val="00D81C24"/>
    <w:rsid w:val="00D81F26"/>
    <w:rsid w:val="00D822E2"/>
    <w:rsid w:val="00D843F2"/>
    <w:rsid w:val="00D86231"/>
    <w:rsid w:val="00D869EF"/>
    <w:rsid w:val="00D87D93"/>
    <w:rsid w:val="00D9060A"/>
    <w:rsid w:val="00D911D0"/>
    <w:rsid w:val="00D912AB"/>
    <w:rsid w:val="00D91923"/>
    <w:rsid w:val="00D919C2"/>
    <w:rsid w:val="00D92B50"/>
    <w:rsid w:val="00D92D9D"/>
    <w:rsid w:val="00D93753"/>
    <w:rsid w:val="00D939BB"/>
    <w:rsid w:val="00D9594C"/>
    <w:rsid w:val="00D95A75"/>
    <w:rsid w:val="00D96A30"/>
    <w:rsid w:val="00DA2591"/>
    <w:rsid w:val="00DA3167"/>
    <w:rsid w:val="00DA3DF2"/>
    <w:rsid w:val="00DA4DC3"/>
    <w:rsid w:val="00DA4E2E"/>
    <w:rsid w:val="00DA60FE"/>
    <w:rsid w:val="00DA6DB2"/>
    <w:rsid w:val="00DA77A5"/>
    <w:rsid w:val="00DB0C9C"/>
    <w:rsid w:val="00DB0E36"/>
    <w:rsid w:val="00DB22E3"/>
    <w:rsid w:val="00DB2723"/>
    <w:rsid w:val="00DB272E"/>
    <w:rsid w:val="00DB2F31"/>
    <w:rsid w:val="00DB313B"/>
    <w:rsid w:val="00DB3DBF"/>
    <w:rsid w:val="00DB484F"/>
    <w:rsid w:val="00DB4E6F"/>
    <w:rsid w:val="00DB52A0"/>
    <w:rsid w:val="00DB56CE"/>
    <w:rsid w:val="00DB5722"/>
    <w:rsid w:val="00DC04B2"/>
    <w:rsid w:val="00DC04F6"/>
    <w:rsid w:val="00DC0690"/>
    <w:rsid w:val="00DC1D65"/>
    <w:rsid w:val="00DC3C57"/>
    <w:rsid w:val="00DC3F30"/>
    <w:rsid w:val="00DC48E3"/>
    <w:rsid w:val="00DC50C0"/>
    <w:rsid w:val="00DC53C3"/>
    <w:rsid w:val="00DC5501"/>
    <w:rsid w:val="00DC5DE4"/>
    <w:rsid w:val="00DC5EED"/>
    <w:rsid w:val="00DC6D8C"/>
    <w:rsid w:val="00DC6DEC"/>
    <w:rsid w:val="00DC7154"/>
    <w:rsid w:val="00DC7E8A"/>
    <w:rsid w:val="00DD0091"/>
    <w:rsid w:val="00DD0C7B"/>
    <w:rsid w:val="00DD0F78"/>
    <w:rsid w:val="00DD273C"/>
    <w:rsid w:val="00DD3F28"/>
    <w:rsid w:val="00DD4446"/>
    <w:rsid w:val="00DD44E7"/>
    <w:rsid w:val="00DD4537"/>
    <w:rsid w:val="00DD4E15"/>
    <w:rsid w:val="00DD7008"/>
    <w:rsid w:val="00DE052D"/>
    <w:rsid w:val="00DE0F83"/>
    <w:rsid w:val="00DE2224"/>
    <w:rsid w:val="00DE2304"/>
    <w:rsid w:val="00DE268F"/>
    <w:rsid w:val="00DE2A89"/>
    <w:rsid w:val="00DE3138"/>
    <w:rsid w:val="00DE37F8"/>
    <w:rsid w:val="00DE4273"/>
    <w:rsid w:val="00DE4FCB"/>
    <w:rsid w:val="00DE5D07"/>
    <w:rsid w:val="00DE6DE9"/>
    <w:rsid w:val="00DE70A8"/>
    <w:rsid w:val="00DE72A7"/>
    <w:rsid w:val="00DE7832"/>
    <w:rsid w:val="00DE7F06"/>
    <w:rsid w:val="00DF1342"/>
    <w:rsid w:val="00DF1447"/>
    <w:rsid w:val="00DF18FC"/>
    <w:rsid w:val="00DF1EF8"/>
    <w:rsid w:val="00DF2A2F"/>
    <w:rsid w:val="00DF3373"/>
    <w:rsid w:val="00DF4599"/>
    <w:rsid w:val="00DF46F0"/>
    <w:rsid w:val="00DF4952"/>
    <w:rsid w:val="00DF5D2B"/>
    <w:rsid w:val="00DF6341"/>
    <w:rsid w:val="00E00412"/>
    <w:rsid w:val="00E009F4"/>
    <w:rsid w:val="00E00E8E"/>
    <w:rsid w:val="00E02047"/>
    <w:rsid w:val="00E02469"/>
    <w:rsid w:val="00E034DD"/>
    <w:rsid w:val="00E04DA4"/>
    <w:rsid w:val="00E04FA5"/>
    <w:rsid w:val="00E0507E"/>
    <w:rsid w:val="00E05630"/>
    <w:rsid w:val="00E05E71"/>
    <w:rsid w:val="00E06DBB"/>
    <w:rsid w:val="00E10149"/>
    <w:rsid w:val="00E110AA"/>
    <w:rsid w:val="00E11135"/>
    <w:rsid w:val="00E11340"/>
    <w:rsid w:val="00E122A1"/>
    <w:rsid w:val="00E12809"/>
    <w:rsid w:val="00E13AC5"/>
    <w:rsid w:val="00E14904"/>
    <w:rsid w:val="00E15BA0"/>
    <w:rsid w:val="00E16372"/>
    <w:rsid w:val="00E16AD8"/>
    <w:rsid w:val="00E17C52"/>
    <w:rsid w:val="00E17FFA"/>
    <w:rsid w:val="00E20500"/>
    <w:rsid w:val="00E207DC"/>
    <w:rsid w:val="00E20E4D"/>
    <w:rsid w:val="00E20ED6"/>
    <w:rsid w:val="00E21358"/>
    <w:rsid w:val="00E222B4"/>
    <w:rsid w:val="00E2249B"/>
    <w:rsid w:val="00E22526"/>
    <w:rsid w:val="00E22A0D"/>
    <w:rsid w:val="00E22B65"/>
    <w:rsid w:val="00E237A0"/>
    <w:rsid w:val="00E244F6"/>
    <w:rsid w:val="00E258DB"/>
    <w:rsid w:val="00E25CCB"/>
    <w:rsid w:val="00E2771E"/>
    <w:rsid w:val="00E3118A"/>
    <w:rsid w:val="00E311EF"/>
    <w:rsid w:val="00E31488"/>
    <w:rsid w:val="00E32180"/>
    <w:rsid w:val="00E32E62"/>
    <w:rsid w:val="00E343F9"/>
    <w:rsid w:val="00E34948"/>
    <w:rsid w:val="00E3631F"/>
    <w:rsid w:val="00E36CDF"/>
    <w:rsid w:val="00E37569"/>
    <w:rsid w:val="00E401B2"/>
    <w:rsid w:val="00E41E30"/>
    <w:rsid w:val="00E42F73"/>
    <w:rsid w:val="00E43025"/>
    <w:rsid w:val="00E43D70"/>
    <w:rsid w:val="00E466F3"/>
    <w:rsid w:val="00E47B2C"/>
    <w:rsid w:val="00E5072D"/>
    <w:rsid w:val="00E51560"/>
    <w:rsid w:val="00E51724"/>
    <w:rsid w:val="00E51821"/>
    <w:rsid w:val="00E53FC8"/>
    <w:rsid w:val="00E54347"/>
    <w:rsid w:val="00E553EC"/>
    <w:rsid w:val="00E55424"/>
    <w:rsid w:val="00E55915"/>
    <w:rsid w:val="00E55BB5"/>
    <w:rsid w:val="00E563A5"/>
    <w:rsid w:val="00E57B31"/>
    <w:rsid w:val="00E60524"/>
    <w:rsid w:val="00E60FDB"/>
    <w:rsid w:val="00E611DF"/>
    <w:rsid w:val="00E6393E"/>
    <w:rsid w:val="00E640E3"/>
    <w:rsid w:val="00E64753"/>
    <w:rsid w:val="00E65E79"/>
    <w:rsid w:val="00E66BA2"/>
    <w:rsid w:val="00E67416"/>
    <w:rsid w:val="00E718B6"/>
    <w:rsid w:val="00E723BA"/>
    <w:rsid w:val="00E73581"/>
    <w:rsid w:val="00E74237"/>
    <w:rsid w:val="00E7559F"/>
    <w:rsid w:val="00E75BDB"/>
    <w:rsid w:val="00E767E3"/>
    <w:rsid w:val="00E77321"/>
    <w:rsid w:val="00E77FCF"/>
    <w:rsid w:val="00E804F4"/>
    <w:rsid w:val="00E806C7"/>
    <w:rsid w:val="00E8093C"/>
    <w:rsid w:val="00E80F53"/>
    <w:rsid w:val="00E81DBB"/>
    <w:rsid w:val="00E83202"/>
    <w:rsid w:val="00E833F7"/>
    <w:rsid w:val="00E83BDF"/>
    <w:rsid w:val="00E8442C"/>
    <w:rsid w:val="00E8442F"/>
    <w:rsid w:val="00E84927"/>
    <w:rsid w:val="00E850FB"/>
    <w:rsid w:val="00E86FA4"/>
    <w:rsid w:val="00E86FCC"/>
    <w:rsid w:val="00E87A1D"/>
    <w:rsid w:val="00E9044F"/>
    <w:rsid w:val="00E9094A"/>
    <w:rsid w:val="00E91D35"/>
    <w:rsid w:val="00E926A5"/>
    <w:rsid w:val="00E92AEC"/>
    <w:rsid w:val="00E93B44"/>
    <w:rsid w:val="00E93E39"/>
    <w:rsid w:val="00E94034"/>
    <w:rsid w:val="00E94472"/>
    <w:rsid w:val="00E949E4"/>
    <w:rsid w:val="00E95031"/>
    <w:rsid w:val="00E95DAF"/>
    <w:rsid w:val="00E962CC"/>
    <w:rsid w:val="00E968C6"/>
    <w:rsid w:val="00E973EB"/>
    <w:rsid w:val="00EA0150"/>
    <w:rsid w:val="00EA17C3"/>
    <w:rsid w:val="00EA18FE"/>
    <w:rsid w:val="00EA2C31"/>
    <w:rsid w:val="00EA2CAA"/>
    <w:rsid w:val="00EA3864"/>
    <w:rsid w:val="00EA3BF4"/>
    <w:rsid w:val="00EA44E5"/>
    <w:rsid w:val="00EA5ED3"/>
    <w:rsid w:val="00EA7F1C"/>
    <w:rsid w:val="00EB01F2"/>
    <w:rsid w:val="00EB0FEA"/>
    <w:rsid w:val="00EB1170"/>
    <w:rsid w:val="00EB15B6"/>
    <w:rsid w:val="00EB1627"/>
    <w:rsid w:val="00EB237D"/>
    <w:rsid w:val="00EB2E74"/>
    <w:rsid w:val="00EB3022"/>
    <w:rsid w:val="00EB3D06"/>
    <w:rsid w:val="00EB4916"/>
    <w:rsid w:val="00EB5936"/>
    <w:rsid w:val="00EB5F50"/>
    <w:rsid w:val="00EB733D"/>
    <w:rsid w:val="00EB7D5A"/>
    <w:rsid w:val="00EC0007"/>
    <w:rsid w:val="00EC00C9"/>
    <w:rsid w:val="00EC0105"/>
    <w:rsid w:val="00EC09B5"/>
    <w:rsid w:val="00EC0DD9"/>
    <w:rsid w:val="00EC2649"/>
    <w:rsid w:val="00EC2A0A"/>
    <w:rsid w:val="00EC31ED"/>
    <w:rsid w:val="00EC5066"/>
    <w:rsid w:val="00EC5836"/>
    <w:rsid w:val="00EC5B4D"/>
    <w:rsid w:val="00EC6817"/>
    <w:rsid w:val="00EC688C"/>
    <w:rsid w:val="00ED0A3A"/>
    <w:rsid w:val="00ED0CBB"/>
    <w:rsid w:val="00ED0D0E"/>
    <w:rsid w:val="00ED12E3"/>
    <w:rsid w:val="00ED4B04"/>
    <w:rsid w:val="00ED4C4D"/>
    <w:rsid w:val="00ED57EA"/>
    <w:rsid w:val="00ED5BD4"/>
    <w:rsid w:val="00ED5CF5"/>
    <w:rsid w:val="00ED5EB5"/>
    <w:rsid w:val="00ED6497"/>
    <w:rsid w:val="00EE07D3"/>
    <w:rsid w:val="00EE085C"/>
    <w:rsid w:val="00EE17C6"/>
    <w:rsid w:val="00EE1996"/>
    <w:rsid w:val="00EE1C01"/>
    <w:rsid w:val="00EE22AF"/>
    <w:rsid w:val="00EE2596"/>
    <w:rsid w:val="00EE28DC"/>
    <w:rsid w:val="00EE3A58"/>
    <w:rsid w:val="00EE4854"/>
    <w:rsid w:val="00EE7BBC"/>
    <w:rsid w:val="00EF0171"/>
    <w:rsid w:val="00EF0E0F"/>
    <w:rsid w:val="00EF1B25"/>
    <w:rsid w:val="00EF1DA0"/>
    <w:rsid w:val="00EF1F46"/>
    <w:rsid w:val="00EF253A"/>
    <w:rsid w:val="00EF342D"/>
    <w:rsid w:val="00EF4747"/>
    <w:rsid w:val="00EF4BF8"/>
    <w:rsid w:val="00EF535B"/>
    <w:rsid w:val="00F0152A"/>
    <w:rsid w:val="00F02253"/>
    <w:rsid w:val="00F03C2E"/>
    <w:rsid w:val="00F03DAC"/>
    <w:rsid w:val="00F04A66"/>
    <w:rsid w:val="00F04B4B"/>
    <w:rsid w:val="00F0516C"/>
    <w:rsid w:val="00F067A2"/>
    <w:rsid w:val="00F07B9E"/>
    <w:rsid w:val="00F101EE"/>
    <w:rsid w:val="00F10A53"/>
    <w:rsid w:val="00F10EF8"/>
    <w:rsid w:val="00F1116F"/>
    <w:rsid w:val="00F11DE5"/>
    <w:rsid w:val="00F1263A"/>
    <w:rsid w:val="00F139C5"/>
    <w:rsid w:val="00F13CF7"/>
    <w:rsid w:val="00F14EB4"/>
    <w:rsid w:val="00F15B77"/>
    <w:rsid w:val="00F1706C"/>
    <w:rsid w:val="00F17F95"/>
    <w:rsid w:val="00F21236"/>
    <w:rsid w:val="00F238DA"/>
    <w:rsid w:val="00F23939"/>
    <w:rsid w:val="00F239DF"/>
    <w:rsid w:val="00F24724"/>
    <w:rsid w:val="00F24837"/>
    <w:rsid w:val="00F2522B"/>
    <w:rsid w:val="00F2575F"/>
    <w:rsid w:val="00F2621B"/>
    <w:rsid w:val="00F26E1F"/>
    <w:rsid w:val="00F27565"/>
    <w:rsid w:val="00F27577"/>
    <w:rsid w:val="00F27DD1"/>
    <w:rsid w:val="00F30FC6"/>
    <w:rsid w:val="00F310D4"/>
    <w:rsid w:val="00F31D5A"/>
    <w:rsid w:val="00F32300"/>
    <w:rsid w:val="00F33085"/>
    <w:rsid w:val="00F33975"/>
    <w:rsid w:val="00F33DE9"/>
    <w:rsid w:val="00F35242"/>
    <w:rsid w:val="00F35B82"/>
    <w:rsid w:val="00F35E6D"/>
    <w:rsid w:val="00F3619A"/>
    <w:rsid w:val="00F36CBA"/>
    <w:rsid w:val="00F40AAA"/>
    <w:rsid w:val="00F40BA7"/>
    <w:rsid w:val="00F40F9D"/>
    <w:rsid w:val="00F41ACD"/>
    <w:rsid w:val="00F45F45"/>
    <w:rsid w:val="00F46CB6"/>
    <w:rsid w:val="00F4756D"/>
    <w:rsid w:val="00F47DE8"/>
    <w:rsid w:val="00F50005"/>
    <w:rsid w:val="00F50AA3"/>
    <w:rsid w:val="00F5117A"/>
    <w:rsid w:val="00F517CC"/>
    <w:rsid w:val="00F52B92"/>
    <w:rsid w:val="00F542C1"/>
    <w:rsid w:val="00F54434"/>
    <w:rsid w:val="00F550E3"/>
    <w:rsid w:val="00F5536D"/>
    <w:rsid w:val="00F55E65"/>
    <w:rsid w:val="00F55E73"/>
    <w:rsid w:val="00F55EDA"/>
    <w:rsid w:val="00F56C80"/>
    <w:rsid w:val="00F60092"/>
    <w:rsid w:val="00F603AC"/>
    <w:rsid w:val="00F618A0"/>
    <w:rsid w:val="00F61C18"/>
    <w:rsid w:val="00F62376"/>
    <w:rsid w:val="00F6324B"/>
    <w:rsid w:val="00F6336A"/>
    <w:rsid w:val="00F642F5"/>
    <w:rsid w:val="00F651E0"/>
    <w:rsid w:val="00F65E79"/>
    <w:rsid w:val="00F65F4B"/>
    <w:rsid w:val="00F67A69"/>
    <w:rsid w:val="00F70BFF"/>
    <w:rsid w:val="00F70C9D"/>
    <w:rsid w:val="00F723D7"/>
    <w:rsid w:val="00F73E08"/>
    <w:rsid w:val="00F74CD9"/>
    <w:rsid w:val="00F77AB6"/>
    <w:rsid w:val="00F80A7B"/>
    <w:rsid w:val="00F80E5D"/>
    <w:rsid w:val="00F811B6"/>
    <w:rsid w:val="00F81E78"/>
    <w:rsid w:val="00F8273B"/>
    <w:rsid w:val="00F830E2"/>
    <w:rsid w:val="00F83528"/>
    <w:rsid w:val="00F83916"/>
    <w:rsid w:val="00F84CE6"/>
    <w:rsid w:val="00F850E4"/>
    <w:rsid w:val="00F851CE"/>
    <w:rsid w:val="00F86C41"/>
    <w:rsid w:val="00F870AA"/>
    <w:rsid w:val="00F873D9"/>
    <w:rsid w:val="00F91219"/>
    <w:rsid w:val="00F913FF"/>
    <w:rsid w:val="00F916C8"/>
    <w:rsid w:val="00F92444"/>
    <w:rsid w:val="00F9391E"/>
    <w:rsid w:val="00F9393E"/>
    <w:rsid w:val="00F95F54"/>
    <w:rsid w:val="00F96EFA"/>
    <w:rsid w:val="00F96F47"/>
    <w:rsid w:val="00F96FD0"/>
    <w:rsid w:val="00F97A78"/>
    <w:rsid w:val="00F97A94"/>
    <w:rsid w:val="00FA0B20"/>
    <w:rsid w:val="00FA0F8C"/>
    <w:rsid w:val="00FA1D0C"/>
    <w:rsid w:val="00FA24E7"/>
    <w:rsid w:val="00FA37AB"/>
    <w:rsid w:val="00FA45E4"/>
    <w:rsid w:val="00FA5EE6"/>
    <w:rsid w:val="00FA6460"/>
    <w:rsid w:val="00FA7956"/>
    <w:rsid w:val="00FA7B00"/>
    <w:rsid w:val="00FB0249"/>
    <w:rsid w:val="00FB0496"/>
    <w:rsid w:val="00FB0824"/>
    <w:rsid w:val="00FB2FCB"/>
    <w:rsid w:val="00FB4C9C"/>
    <w:rsid w:val="00FB50EF"/>
    <w:rsid w:val="00FB7C55"/>
    <w:rsid w:val="00FC1074"/>
    <w:rsid w:val="00FC1884"/>
    <w:rsid w:val="00FC2A5A"/>
    <w:rsid w:val="00FC371D"/>
    <w:rsid w:val="00FC5F0B"/>
    <w:rsid w:val="00FC6035"/>
    <w:rsid w:val="00FC6D4E"/>
    <w:rsid w:val="00FC6FFC"/>
    <w:rsid w:val="00FD0979"/>
    <w:rsid w:val="00FD2100"/>
    <w:rsid w:val="00FD3060"/>
    <w:rsid w:val="00FD3513"/>
    <w:rsid w:val="00FD3B27"/>
    <w:rsid w:val="00FD436C"/>
    <w:rsid w:val="00FD446D"/>
    <w:rsid w:val="00FD4F2C"/>
    <w:rsid w:val="00FD6394"/>
    <w:rsid w:val="00FD6FD9"/>
    <w:rsid w:val="00FD798B"/>
    <w:rsid w:val="00FE0B5B"/>
    <w:rsid w:val="00FE0D60"/>
    <w:rsid w:val="00FE0D88"/>
    <w:rsid w:val="00FE0E6C"/>
    <w:rsid w:val="00FE103C"/>
    <w:rsid w:val="00FE162E"/>
    <w:rsid w:val="00FE1866"/>
    <w:rsid w:val="00FE1CDC"/>
    <w:rsid w:val="00FE343D"/>
    <w:rsid w:val="00FE3C51"/>
    <w:rsid w:val="00FE651E"/>
    <w:rsid w:val="00FE6B2C"/>
    <w:rsid w:val="00FE70C3"/>
    <w:rsid w:val="00FE777C"/>
    <w:rsid w:val="00FF11C7"/>
    <w:rsid w:val="00FF1300"/>
    <w:rsid w:val="00FF1A15"/>
    <w:rsid w:val="00FF1A8B"/>
    <w:rsid w:val="00FF2582"/>
    <w:rsid w:val="00FF2AD9"/>
    <w:rsid w:val="00FF359F"/>
    <w:rsid w:val="00FF3745"/>
    <w:rsid w:val="00FF3DCF"/>
    <w:rsid w:val="00FF492C"/>
    <w:rsid w:val="00FF4A21"/>
    <w:rsid w:val="00FF50A6"/>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8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Bullet Li"/>
    <w:link w:val="ListParagraphChar"/>
    <w:uiPriority w:val="72"/>
    <w:qFormat/>
    <w:rsid w:val="000F0786"/>
    <w:pPr>
      <w:numPr>
        <w:numId w:val="21"/>
      </w:numPr>
      <w:spacing w:after="120"/>
      <w:ind w:left="1276"/>
    </w:pPr>
    <w:rPr>
      <w:rFonts w:asciiTheme="minorHAnsi" w:eastAsia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Li Char"/>
    <w:basedOn w:val="DefaultParagraphFont"/>
    <w:link w:val="ListParagraph"/>
    <w:uiPriority w:val="72"/>
    <w:qFormat/>
    <w:locked/>
    <w:rsid w:val="000F0786"/>
    <w:rPr>
      <w:rFonts w:asciiTheme="minorHAnsi" w:eastAsia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0F0786"/>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0F0786"/>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Dossier table,Summary Table,Source table_,PBAC table,HealthConsult,统计型,Tabellengitternetz 9pt,Header Table,NICE instructions,MSD Table Grid,EVD CLL"/>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0F078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0F078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F0786"/>
    <w:pPr>
      <w:keepNext/>
    </w:pPr>
    <w:rPr>
      <w:rFonts w:ascii="Arial Narrow" w:eastAsiaTheme="majorEastAsia" w:hAnsi="Arial Narrow"/>
      <w:b/>
      <w:szCs w:val="24"/>
      <w:lang w:val="en-US"/>
    </w:rPr>
  </w:style>
  <w:style w:type="paragraph" w:customStyle="1" w:styleId="2-SectionHeading">
    <w:name w:val="2-Section Heading"/>
    <w:next w:val="3-BodyText"/>
    <w:qFormat/>
    <w:rsid w:val="000F0786"/>
    <w:pPr>
      <w:keepNext/>
      <w:numPr>
        <w:numId w:val="2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0F078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F0786"/>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0F078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0F0786"/>
    <w:rPr>
      <w:rFonts w:ascii="Arial Narrow" w:eastAsiaTheme="majorEastAsia" w:hAnsi="Arial Narrow" w:cstheme="majorBidi"/>
      <w:b/>
      <w:bCs/>
      <w:szCs w:val="24"/>
    </w:rPr>
  </w:style>
  <w:style w:type="paragraph" w:customStyle="1" w:styleId="3-BodyText">
    <w:name w:val="3-Body Text"/>
    <w:link w:val="3-BodyTextChar"/>
    <w:qFormat/>
    <w:rsid w:val="000F0786"/>
    <w:pPr>
      <w:numPr>
        <w:ilvl w:val="1"/>
        <w:numId w:val="2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F0786"/>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0F078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0F0786"/>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0F0786"/>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0F078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0F0786"/>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0F0786"/>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0F078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eastAsiaTheme="minorHAns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0F078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F078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rsid w:val="00A55AF1"/>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semiHidden/>
    <w:unhideWhenUsed/>
    <w:rsid w:val="00FE103C"/>
    <w:rPr>
      <w:sz w:val="20"/>
      <w:szCs w:val="20"/>
    </w:rPr>
  </w:style>
  <w:style w:type="character" w:customStyle="1" w:styleId="FootnoteTextChar">
    <w:name w:val="Footnote Text Char"/>
    <w:basedOn w:val="DefaultParagraphFont"/>
    <w:link w:val="FootnoteText"/>
    <w:semiHidden/>
    <w:rsid w:val="00FE103C"/>
    <w:rPr>
      <w:rFonts w:ascii="Calibri" w:hAnsi="Calibri" w:cs="Arial"/>
    </w:rPr>
  </w:style>
  <w:style w:type="character" w:styleId="FootnoteReference">
    <w:name w:val="footnote reference"/>
    <w:basedOn w:val="DefaultParagraphFont"/>
    <w:semiHidden/>
    <w:unhideWhenUsed/>
    <w:rsid w:val="00FE103C"/>
    <w:rPr>
      <w:vertAlign w:val="superscript"/>
    </w:rPr>
  </w:style>
  <w:style w:type="numbering" w:customStyle="1" w:styleId="SectionBi1">
    <w:name w:val="Section Bi1"/>
    <w:uiPriority w:val="99"/>
    <w:rsid w:val="00B2283F"/>
  </w:style>
  <w:style w:type="paragraph" w:customStyle="1" w:styleId="PBACTabletext">
    <w:name w:val="PBAC Table text"/>
    <w:link w:val="PBACTabletextChar"/>
    <w:rsid w:val="00B2283F"/>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B2283F"/>
    <w:rPr>
      <w:rFonts w:ascii="Arial Narrow" w:hAnsi="Arial Narrow" w:cs="Arial"/>
      <w:szCs w:val="24"/>
      <w:lang w:eastAsia="en-GB"/>
    </w:rPr>
  </w:style>
  <w:style w:type="paragraph" w:customStyle="1" w:styleId="PBACH3">
    <w:name w:val="PBAC H3#"/>
    <w:basedOn w:val="Heading3"/>
    <w:next w:val="Normal"/>
    <w:rsid w:val="00D042BF"/>
    <w:pPr>
      <w:tabs>
        <w:tab w:val="num" w:pos="851"/>
      </w:tabs>
      <w:spacing w:before="360" w:after="120"/>
      <w:ind w:left="851" w:hanging="851"/>
      <w:jc w:val="left"/>
    </w:pPr>
    <w:rPr>
      <w:b/>
      <w:sz w:val="28"/>
      <w:u w:val="none"/>
      <w:lang w:val="en-US" w:eastAsia="en-GB"/>
    </w:rPr>
  </w:style>
  <w:style w:type="paragraph" w:customStyle="1" w:styleId="PBACTblFignote">
    <w:name w:val="PBAC Tbl/Fig note"/>
    <w:rsid w:val="00D042BF"/>
    <w:pPr>
      <w:keepNext/>
      <w:keepLines/>
      <w:spacing w:after="360"/>
      <w:contextualSpacing/>
      <w:textboxTightWrap w:val="allLines"/>
    </w:pPr>
    <w:rPr>
      <w:rFonts w:ascii="Arial Narrow" w:hAnsi="Arial Narrow" w:cs="Arial"/>
      <w:sz w:val="18"/>
      <w:szCs w:val="24"/>
      <w:lang w:eastAsia="en-GB"/>
    </w:rPr>
  </w:style>
  <w:style w:type="table" w:styleId="TableGridLight">
    <w:name w:val="Grid Table Light"/>
    <w:basedOn w:val="TableNormal"/>
    <w:uiPriority w:val="40"/>
    <w:rsid w:val="00D042BF"/>
    <w:rPr>
      <w:rFonts w:asciiTheme="minorHAnsi" w:eastAsiaTheme="minorHAnsi" w:hAnsiTheme="minorHAnsi" w:cstheme="minorBidi"/>
      <w:sz w:val="22"/>
      <w:szCs w:val="22"/>
      <w:lang w:val="en-US" w:eastAsia="en-US"/>
    </w:rPr>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tcPr>
      <w:shd w:val="clear" w:color="auto" w:fill="FFFFFF" w:themeFill="background1"/>
    </w:tcPr>
    <w:tblStylePr w:type="firstRow">
      <w:rPr>
        <w:rFonts w:asciiTheme="majorHAnsi" w:hAnsiTheme="majorHAnsi"/>
        <w:b/>
        <w:color w:val="auto"/>
        <w:sz w:val="18"/>
      </w:rPr>
      <w:tblPr/>
      <w:tcPr>
        <w:shd w:val="clear" w:color="auto" w:fill="F2F2F2" w:themeFill="background1" w:themeFillShade="F2"/>
      </w:tcPr>
    </w:tblStylePr>
  </w:style>
  <w:style w:type="paragraph" w:styleId="EndnoteText">
    <w:name w:val="endnote text"/>
    <w:basedOn w:val="Normal"/>
    <w:link w:val="EndnoteTextChar"/>
    <w:semiHidden/>
    <w:unhideWhenUsed/>
    <w:rsid w:val="00D042BF"/>
    <w:rPr>
      <w:sz w:val="20"/>
      <w:szCs w:val="20"/>
    </w:rPr>
  </w:style>
  <w:style w:type="character" w:customStyle="1" w:styleId="EndnoteTextChar">
    <w:name w:val="Endnote Text Char"/>
    <w:basedOn w:val="DefaultParagraphFont"/>
    <w:link w:val="EndnoteText"/>
    <w:semiHidden/>
    <w:rsid w:val="00D042BF"/>
    <w:rPr>
      <w:rFonts w:ascii="Calibri" w:hAnsi="Calibri" w:cs="Arial"/>
    </w:rPr>
  </w:style>
  <w:style w:type="character" w:styleId="EndnoteReference">
    <w:name w:val="endnote reference"/>
    <w:basedOn w:val="DefaultParagraphFont"/>
    <w:semiHidden/>
    <w:unhideWhenUsed/>
    <w:rsid w:val="00D042BF"/>
    <w:rPr>
      <w:vertAlign w:val="superscript"/>
    </w:rPr>
  </w:style>
  <w:style w:type="table" w:customStyle="1" w:styleId="Conclusionbox1">
    <w:name w:val="Conclusion box1"/>
    <w:basedOn w:val="TableNormal"/>
    <w:next w:val="TableGrid"/>
    <w:rsid w:val="00357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Text">
    <w:name w:val="PBAC ES Text"/>
    <w:basedOn w:val="Normal"/>
    <w:rsid w:val="003E0E13"/>
    <w:pPr>
      <w:spacing w:before="60" w:after="160"/>
    </w:pPr>
    <w:rPr>
      <w:sz w:val="22"/>
      <w:lang w:eastAsia="en-GB"/>
    </w:rPr>
  </w:style>
  <w:style w:type="character" w:styleId="Strong">
    <w:name w:val="Strong"/>
    <w:basedOn w:val="DefaultParagraphFont"/>
    <w:uiPriority w:val="22"/>
    <w:rsid w:val="003E0E13"/>
    <w:rPr>
      <w:b/>
      <w:bCs/>
    </w:rPr>
  </w:style>
  <w:style w:type="paragraph" w:customStyle="1" w:styleId="3-SubsectionHeading">
    <w:name w:val="3-Subsection Heading"/>
    <w:basedOn w:val="Heading2"/>
    <w:next w:val="Normal"/>
    <w:link w:val="3-SubsectionHeadingChar"/>
    <w:rsid w:val="00BD440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D440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bs.gov.au/info/healthpro/explanatory-notes/front/f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dld.2017.05.001" TargetMode="External"/><Relationship Id="rId2" Type="http://schemas.openxmlformats.org/officeDocument/2006/relationships/hyperlink" Target="https://www.nice.org.uk/guidance/ta1016" TargetMode="External"/><Relationship Id="rId1" Type="http://schemas.openxmlformats.org/officeDocument/2006/relationships/hyperlink" Target="https://www.pbs.gov.au/industry/listing/elements/pbac-meetings/pbac-outcomes/2025-03/pbac-web-outcomes-03-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04DEE39-272D-4CA5-A39B-36363BD7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F7708-634C-4A68-9374-3BBAED82EEC3}">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F64D64E5-5065-411A-83BE-EDC835CF50E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55</Pages>
  <Words>22494</Words>
  <Characters>125520</Characters>
  <Application>Microsoft Office Word</Application>
  <DocSecurity>0</DocSecurity>
  <Lines>3803</Lines>
  <Paragraphs>2349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2026-04-08T22:36:00Z</dcterms:created>
  <dcterms:modified xsi:type="dcterms:W3CDTF">2026-04-22T00:01:00Z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231de485,8c95424,657cc8ca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21c2892b,7e0b8d84,2bb3b527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2026-03-30T06:44:31Z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c0487870-8914-4bca-a086-9a234a3a2833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