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6F4CF74B" w:rsidR="00832324" w:rsidRDefault="00F1349D" w:rsidP="00FE645A">
      <w:pPr>
        <w:pStyle w:val="Title"/>
      </w:pPr>
      <w:r>
        <w:t>Novel</w:t>
      </w:r>
      <w:r w:rsidR="00043F7B">
        <w:t xml:space="preserve"> </w:t>
      </w:r>
      <w:r w:rsidR="001E0E7B">
        <w:t>or</w:t>
      </w:r>
      <w:r w:rsidR="00043F7B">
        <w:t xml:space="preserve">al </w:t>
      </w:r>
      <w:r w:rsidR="001E0E7B">
        <w:t>a</w:t>
      </w:r>
      <w:bookmarkStart w:id="0" w:name="_GoBack"/>
      <w:bookmarkEnd w:id="0"/>
      <w:r w:rsidR="00043F7B">
        <w:t>nticoagulants</w:t>
      </w:r>
      <w:r w:rsidR="00F95034">
        <w:t xml:space="preserve"> for non-atrial fibrillation indications</w:t>
      </w:r>
      <w:r w:rsidR="00043F7B">
        <w:t>:</w:t>
      </w:r>
      <w:r w:rsidR="001C4016">
        <w:t xml:space="preserve"> </w:t>
      </w:r>
      <w:r w:rsidR="00043F7B">
        <w:t xml:space="preserve">utilisation </w:t>
      </w:r>
      <w:r w:rsidR="001C4016">
        <w:t>a</w:t>
      </w:r>
      <w:r w:rsidR="00043F7B">
        <w:t>nalysis</w:t>
      </w:r>
    </w:p>
    <w:p w14:paraId="68F00614" w14:textId="799F8740" w:rsidR="00736041" w:rsidRPr="001D390D" w:rsidRDefault="009053D3" w:rsidP="001D390D">
      <w:pPr>
        <w:pStyle w:val="Heading1"/>
      </w:pPr>
      <w:r w:rsidRPr="001D390D">
        <w:t>D</w:t>
      </w:r>
      <w:r w:rsidR="00832324" w:rsidRPr="001D390D">
        <w:t>rug utilisation sub-committee (DUSC)</w:t>
      </w:r>
    </w:p>
    <w:p w14:paraId="78148839" w14:textId="0C7AE9D0" w:rsidR="009053D3" w:rsidRPr="001D390D" w:rsidRDefault="00D97E2A" w:rsidP="001D390D">
      <w:pPr>
        <w:pStyle w:val="Heading2"/>
      </w:pPr>
      <w:r>
        <w:t>October 2014</w:t>
      </w:r>
    </w:p>
    <w:p w14:paraId="7EFD635C" w14:textId="77777777" w:rsidR="000F760B" w:rsidRPr="001D390D" w:rsidRDefault="000F760B" w:rsidP="001D390D">
      <w:pPr>
        <w:pStyle w:val="Heading3"/>
      </w:pPr>
      <w:r w:rsidRPr="001D390D">
        <w:t>Abstract</w:t>
      </w:r>
    </w:p>
    <w:p w14:paraId="59D9C006" w14:textId="77777777" w:rsidR="000F760B" w:rsidRDefault="000F760B" w:rsidP="00A55579">
      <w:pPr>
        <w:pStyle w:val="Heading4"/>
      </w:pPr>
      <w:r>
        <w:t>Purpose</w:t>
      </w:r>
    </w:p>
    <w:p w14:paraId="61103BE3" w14:textId="492B27B4" w:rsidR="00162736" w:rsidRDefault="00162736" w:rsidP="00162736">
      <w:r>
        <w:t xml:space="preserve">To the examine utilisation of medicines referred to as the </w:t>
      </w:r>
      <w:r w:rsidR="00F1349D">
        <w:t>novel</w:t>
      </w:r>
      <w:r>
        <w:t xml:space="preserve"> oral anticoagulants (NOACs), </w:t>
      </w:r>
      <w:proofErr w:type="spellStart"/>
      <w:r>
        <w:t>rivaroxaban</w:t>
      </w:r>
      <w:proofErr w:type="spellEnd"/>
      <w:r>
        <w:t xml:space="preserve">, </w:t>
      </w:r>
      <w:proofErr w:type="spellStart"/>
      <w:r>
        <w:t>apixaban</w:t>
      </w:r>
      <w:proofErr w:type="spellEnd"/>
      <w:r>
        <w:t xml:space="preserve"> and </w:t>
      </w:r>
      <w:proofErr w:type="spellStart"/>
      <w:r>
        <w:t>dabigatran</w:t>
      </w:r>
      <w:proofErr w:type="spellEnd"/>
      <w:r>
        <w:t xml:space="preserve"> for the treatmen</w:t>
      </w:r>
      <w:r w:rsidR="0078604D">
        <w:t xml:space="preserve">t of deep vein thrombosis (DVT), the prevention of venous thromboembolism (VTE), treatment of </w:t>
      </w:r>
      <w:r>
        <w:t>pulmonary embolism (PE) and for</w:t>
      </w:r>
      <w:r w:rsidR="00DD389C">
        <w:t xml:space="preserve"> the prevention of recurrent </w:t>
      </w:r>
      <w:r w:rsidR="0078604D">
        <w:t>venous thromboembolism</w:t>
      </w:r>
      <w:r>
        <w:t xml:space="preserve">.  </w:t>
      </w:r>
    </w:p>
    <w:p w14:paraId="2AEA5004" w14:textId="50D1A036" w:rsidR="00F22863" w:rsidRPr="00F22863" w:rsidRDefault="00162736" w:rsidP="00345E44">
      <w:proofErr w:type="gramStart"/>
      <w:r>
        <w:t xml:space="preserve">To compare the predicted versus actual utilisation of </w:t>
      </w:r>
      <w:proofErr w:type="spellStart"/>
      <w:r>
        <w:t>rivaroxaban</w:t>
      </w:r>
      <w:proofErr w:type="spellEnd"/>
      <w:r>
        <w:t xml:space="preserve"> for acute symptomatic DVT and PE.</w:t>
      </w:r>
      <w:proofErr w:type="gramEnd"/>
    </w:p>
    <w:p w14:paraId="0A327B3F" w14:textId="77777777" w:rsidR="000F760B" w:rsidRDefault="000F760B" w:rsidP="00A55579">
      <w:pPr>
        <w:pStyle w:val="Heading4"/>
      </w:pPr>
      <w:r>
        <w:t>Data Source / methodology</w:t>
      </w:r>
    </w:p>
    <w:p w14:paraId="22BBFB0D" w14:textId="52AD39B4" w:rsidR="00B062CA" w:rsidRPr="00B062CA" w:rsidRDefault="00F63961" w:rsidP="00B062CA">
      <w:r w:rsidRPr="00F63961">
        <w:t xml:space="preserve">Data for the number of prescriptions for </w:t>
      </w:r>
      <w:proofErr w:type="spellStart"/>
      <w:r w:rsidRPr="00F63961">
        <w:t>rivaroxaban</w:t>
      </w:r>
      <w:proofErr w:type="spellEnd"/>
      <w:r w:rsidRPr="00F63961">
        <w:t xml:space="preserve">, </w:t>
      </w:r>
      <w:proofErr w:type="spellStart"/>
      <w:r w:rsidRPr="00F63961">
        <w:t>dabigatran</w:t>
      </w:r>
      <w:proofErr w:type="spellEnd"/>
      <w:r w:rsidRPr="00F63961">
        <w:t xml:space="preserve"> and </w:t>
      </w:r>
      <w:proofErr w:type="spellStart"/>
      <w:r w:rsidRPr="00F63961">
        <w:t>apixaban</w:t>
      </w:r>
      <w:proofErr w:type="spellEnd"/>
      <w:r w:rsidRPr="00F63961">
        <w:t xml:space="preserve"> were extracted from the Department of Human Services (DHS) Medicare Pharmacy Claims database for the period August 2009 to March 2014, inclusive. </w:t>
      </w:r>
      <w:r w:rsidR="001D20BC">
        <w:t xml:space="preserve"> </w:t>
      </w:r>
      <w:r w:rsidRPr="00F63961">
        <w:t xml:space="preserve">The number of patients treated for DVT and PE was determined by counting the number of individual de-identified personal identification numbers in the specified time period. </w:t>
      </w:r>
      <w:r w:rsidR="008B3A5D">
        <w:t xml:space="preserve"> </w:t>
      </w:r>
      <w:r w:rsidRPr="00F63961">
        <w:t xml:space="preserve">The use of </w:t>
      </w:r>
      <w:proofErr w:type="spellStart"/>
      <w:r w:rsidRPr="00F63961">
        <w:t>rivaroxaban</w:t>
      </w:r>
      <w:proofErr w:type="spellEnd"/>
      <w:r w:rsidRPr="00F63961">
        <w:t xml:space="preserve"> for DVT and PE is compared to the use predicted in the submission.</w:t>
      </w:r>
    </w:p>
    <w:p w14:paraId="0396B765" w14:textId="77777777" w:rsidR="0006501F" w:rsidRDefault="000F760B" w:rsidP="005C4A25">
      <w:pPr>
        <w:pStyle w:val="Heading4"/>
      </w:pPr>
      <w:r>
        <w:t>Key Findings</w:t>
      </w:r>
    </w:p>
    <w:p w14:paraId="42EB7431" w14:textId="4A6CD145" w:rsidR="00DC7BE7" w:rsidRPr="009C0AF1" w:rsidRDefault="00DC7BE7" w:rsidP="00D94720">
      <w:pPr>
        <w:pStyle w:val="ListParagraph"/>
        <w:numPr>
          <w:ilvl w:val="0"/>
          <w:numId w:val="3"/>
        </w:numPr>
        <w:ind w:left="360"/>
      </w:pPr>
      <w:r w:rsidRPr="009C0AF1">
        <w:t>The DUSC considered that the use of NOACs for the prevention of VTE in hip and knee replacements has remained quite low and stable since it was reviewed in June 2011, as expected for a short term treatment for a limited patient group.</w:t>
      </w:r>
      <w:r w:rsidR="009C0AF1" w:rsidRPr="009C0AF1">
        <w:t xml:space="preserve"> </w:t>
      </w:r>
    </w:p>
    <w:p w14:paraId="5312C646" w14:textId="77777777" w:rsidR="0032683F" w:rsidRDefault="0032683F" w:rsidP="0032683F">
      <w:pPr>
        <w:pStyle w:val="ListParagraph"/>
        <w:ind w:left="360"/>
      </w:pPr>
    </w:p>
    <w:p w14:paraId="331AA8F6" w14:textId="2418B16B" w:rsidR="0032683F" w:rsidRDefault="0032683F" w:rsidP="0032683F">
      <w:pPr>
        <w:pStyle w:val="ListParagraph"/>
        <w:numPr>
          <w:ilvl w:val="0"/>
          <w:numId w:val="3"/>
        </w:numPr>
        <w:ind w:left="360"/>
      </w:pPr>
      <w:r w:rsidRPr="000D1AE6">
        <w:t xml:space="preserve">The DUSC considered that the use of </w:t>
      </w:r>
      <w:proofErr w:type="spellStart"/>
      <w:r w:rsidRPr="000D1AE6">
        <w:t>rivaroxaban</w:t>
      </w:r>
      <w:proofErr w:type="spellEnd"/>
      <w:r w:rsidRPr="000D1AE6">
        <w:t xml:space="preserve"> for treatment of DVT and PE, </w:t>
      </w:r>
      <w:r>
        <w:t>and prevention of recurrent VTE</w:t>
      </w:r>
      <w:r w:rsidRPr="000D1AE6">
        <w:t xml:space="preserve"> is steadily increasing</w:t>
      </w:r>
      <w:r>
        <w:t>.</w:t>
      </w:r>
    </w:p>
    <w:p w14:paraId="46FECA44" w14:textId="77777777" w:rsidR="00FC443E" w:rsidRDefault="00FC443E" w:rsidP="00FC443E">
      <w:pPr>
        <w:pStyle w:val="ListParagraph"/>
        <w:ind w:left="360"/>
      </w:pPr>
    </w:p>
    <w:p w14:paraId="22ED1832" w14:textId="03D7EDB2" w:rsidR="006B7DBD" w:rsidRDefault="006B7DBD" w:rsidP="00D94720">
      <w:pPr>
        <w:pStyle w:val="ListParagraph"/>
        <w:numPr>
          <w:ilvl w:val="0"/>
          <w:numId w:val="3"/>
        </w:numPr>
        <w:ind w:left="360"/>
      </w:pPr>
      <w:r>
        <w:t>In the most recent 12 months of data (April</w:t>
      </w:r>
      <w:r w:rsidR="00296ABE">
        <w:t xml:space="preserve"> 2013 to March 2014) there were </w:t>
      </w:r>
      <w:r>
        <w:t xml:space="preserve">1,587 prescriptions dispensed for </w:t>
      </w:r>
      <w:proofErr w:type="spellStart"/>
      <w:r>
        <w:t>apixaban</w:t>
      </w:r>
      <w:proofErr w:type="spellEnd"/>
      <w:r>
        <w:t xml:space="preserve">, 2,279 for </w:t>
      </w:r>
      <w:proofErr w:type="spellStart"/>
      <w:r>
        <w:t>dabigatran</w:t>
      </w:r>
      <w:proofErr w:type="spellEnd"/>
      <w:r>
        <w:t xml:space="preserve"> and 115,179 for </w:t>
      </w:r>
      <w:proofErr w:type="spellStart"/>
      <w:r>
        <w:t>rivaroxaban</w:t>
      </w:r>
      <w:proofErr w:type="spellEnd"/>
      <w:r>
        <w:t>.</w:t>
      </w:r>
      <w:r w:rsidR="00296ABE">
        <w:t xml:space="preserve">  </w:t>
      </w:r>
      <w:r>
        <w:lastRenderedPageBreak/>
        <w:t xml:space="preserve">These values exclude use for </w:t>
      </w:r>
      <w:r w:rsidR="002F1359">
        <w:t>the prevention of stroke or systemic embolism in patients with non-valvular atrial fibrillation (</w:t>
      </w:r>
      <w:r>
        <w:t>AF</w:t>
      </w:r>
      <w:r w:rsidR="002F1359">
        <w:t>)</w:t>
      </w:r>
      <w:r>
        <w:t>.</w:t>
      </w:r>
    </w:p>
    <w:p w14:paraId="7CC602BD" w14:textId="716C578D" w:rsidR="006B7DBD" w:rsidRDefault="006B7DBD" w:rsidP="00FC443E">
      <w:pPr>
        <w:pStyle w:val="ListParagraph"/>
        <w:numPr>
          <w:ilvl w:val="0"/>
          <w:numId w:val="4"/>
        </w:numPr>
      </w:pPr>
      <w:r>
        <w:t xml:space="preserve">Of the 115,179 prescriptions dispensed for </w:t>
      </w:r>
      <w:proofErr w:type="spellStart"/>
      <w:r>
        <w:t>rivaroxaban</w:t>
      </w:r>
      <w:proofErr w:type="spellEnd"/>
      <w:r>
        <w:t>, 70</w:t>
      </w:r>
      <w:r w:rsidR="00595DB4">
        <w:t xml:space="preserve"> </w:t>
      </w:r>
      <w:r>
        <w:t>% of these were for treatment of DVT or prevention of recurrent VTE.</w:t>
      </w:r>
    </w:p>
    <w:p w14:paraId="417237B5" w14:textId="0E4AB1BB" w:rsidR="00D04D4E" w:rsidRDefault="006B7DBD" w:rsidP="00FC443E">
      <w:pPr>
        <w:pStyle w:val="ListParagraph"/>
        <w:numPr>
          <w:ilvl w:val="0"/>
          <w:numId w:val="4"/>
        </w:numPr>
      </w:pPr>
      <w:r>
        <w:t xml:space="preserve">In its first year of listing for DVT, 12,646 patients were supplied </w:t>
      </w:r>
      <w:proofErr w:type="spellStart"/>
      <w:r>
        <w:t>rivaroxaban</w:t>
      </w:r>
      <w:proofErr w:type="spellEnd"/>
      <w:r>
        <w:t xml:space="preserve"> for DVT treatment or prevention of recurrent VTE.</w:t>
      </w:r>
    </w:p>
    <w:p w14:paraId="78E00A25" w14:textId="7F761E10" w:rsidR="00EE3F3E" w:rsidRDefault="00EE3F3E" w:rsidP="00FC443E">
      <w:pPr>
        <w:pStyle w:val="ListParagraph"/>
        <w:numPr>
          <w:ilvl w:val="0"/>
          <w:numId w:val="4"/>
        </w:numPr>
      </w:pPr>
      <w:proofErr w:type="spellStart"/>
      <w:r w:rsidRPr="00D04D4E">
        <w:t>Rivaroxaban</w:t>
      </w:r>
      <w:proofErr w:type="spellEnd"/>
      <w:r w:rsidRPr="00D04D4E">
        <w:t xml:space="preserve"> was listed for pulmonary embolism for eight months of the 12 month period April 2013 to March 2014.  Of the 115,179 prescriptions dispensed for </w:t>
      </w:r>
      <w:proofErr w:type="spellStart"/>
      <w:r w:rsidRPr="00D04D4E">
        <w:t>rivaroxaban</w:t>
      </w:r>
      <w:proofErr w:type="spellEnd"/>
      <w:r w:rsidRPr="00D04D4E">
        <w:t>, 11</w:t>
      </w:r>
      <w:r w:rsidR="00595DB4">
        <w:t xml:space="preserve"> </w:t>
      </w:r>
      <w:r w:rsidRPr="00D04D4E">
        <w:t>% of these were for pulmonary embolism.</w:t>
      </w:r>
    </w:p>
    <w:p w14:paraId="72896FA7" w14:textId="77777777" w:rsidR="00FC443E" w:rsidRDefault="00FC443E" w:rsidP="00FC443E">
      <w:pPr>
        <w:pStyle w:val="ListParagraph"/>
        <w:ind w:left="1080"/>
      </w:pPr>
    </w:p>
    <w:p w14:paraId="0024C94C" w14:textId="5C814481" w:rsidR="0009207E" w:rsidRDefault="00792581" w:rsidP="000A7A56">
      <w:pPr>
        <w:pStyle w:val="ListParagraph"/>
        <w:numPr>
          <w:ilvl w:val="0"/>
          <w:numId w:val="3"/>
        </w:numPr>
        <w:ind w:left="360"/>
      </w:pPr>
      <w:r w:rsidRPr="00792581">
        <w:t xml:space="preserve">As predicted in the March 2012 DUSC advice, the number of patients, prescriptions and cost were underestimated in the </w:t>
      </w:r>
      <w:proofErr w:type="spellStart"/>
      <w:r w:rsidRPr="00792581">
        <w:t>rivaroxaban</w:t>
      </w:r>
      <w:proofErr w:type="spellEnd"/>
      <w:r w:rsidRPr="00792581">
        <w:t xml:space="preserve"> submission</w:t>
      </w:r>
      <w:r w:rsidR="00EC579F">
        <w:t xml:space="preserve"> for </w:t>
      </w:r>
      <w:r w:rsidR="00224F28" w:rsidRPr="00224F28">
        <w:t>confirmed acute symptomatic DVT without symptomatic PE, and for the prevention of recur</w:t>
      </w:r>
      <w:r w:rsidR="00472C65">
        <w:t>rent venous thromboembolism</w:t>
      </w:r>
      <w:r w:rsidRPr="00792581">
        <w:t>.</w:t>
      </w:r>
      <w:r w:rsidR="00DD389C">
        <w:t xml:space="preserve">  </w:t>
      </w:r>
      <w:r w:rsidRPr="00792581">
        <w:t xml:space="preserve">In year 1, the number of patients supplied with </w:t>
      </w:r>
      <w:proofErr w:type="spellStart"/>
      <w:r w:rsidRPr="00792581">
        <w:t>rivaroxaban</w:t>
      </w:r>
      <w:proofErr w:type="spellEnd"/>
      <w:r w:rsidRPr="00792581">
        <w:t xml:space="preserve"> for DVT</w:t>
      </w:r>
      <w:r w:rsidR="00B20B7F">
        <w:t xml:space="preserve"> and prevention of recurrent VTEs</w:t>
      </w:r>
      <w:r w:rsidRPr="00792581">
        <w:t xml:space="preserve"> (including item codes 2160Q and 2268J) was 7.01 times higher than predicted, the number of prescriptions 4.07 times higher than predicted, and the benefits paid 8.42 times higher than predicted</w:t>
      </w:r>
      <w:r w:rsidR="00B20B7F">
        <w:t>.</w:t>
      </w:r>
    </w:p>
    <w:p w14:paraId="38B57ECC" w14:textId="4B0D02B9" w:rsidR="00BB0D1A" w:rsidRPr="00D04D4E" w:rsidRDefault="00BB0D1A" w:rsidP="00D04D4E">
      <w:pPr>
        <w:pStyle w:val="ListParagraph"/>
        <w:numPr>
          <w:ilvl w:val="0"/>
          <w:numId w:val="2"/>
        </w:numPr>
        <w:rPr>
          <w:rFonts w:eastAsiaTheme="majorEastAsia" w:cstheme="majorBidi"/>
          <w:b/>
          <w:bCs/>
          <w:sz w:val="28"/>
          <w:szCs w:val="28"/>
        </w:rPr>
      </w:pPr>
      <w:r>
        <w:br w:type="page"/>
      </w:r>
    </w:p>
    <w:p w14:paraId="5B262047" w14:textId="525241DC" w:rsidR="00E677DD" w:rsidRDefault="00E677DD" w:rsidP="001D390D">
      <w:pPr>
        <w:pStyle w:val="Heading3"/>
      </w:pPr>
      <w:r w:rsidRPr="005E22C2">
        <w:lastRenderedPageBreak/>
        <w:t xml:space="preserve">Purpose of </w:t>
      </w:r>
      <w:r w:rsidR="00D151EB">
        <w:t>analysis</w:t>
      </w:r>
    </w:p>
    <w:p w14:paraId="3AEF3DA2" w14:textId="48D3F762" w:rsidR="00D7779F" w:rsidRDefault="00D7779F" w:rsidP="00D7779F">
      <w:r>
        <w:t xml:space="preserve">To the examine utilisation of medicines referred to as the </w:t>
      </w:r>
      <w:r w:rsidR="00F1349D">
        <w:t>novel</w:t>
      </w:r>
      <w:r>
        <w:t xml:space="preserve"> oral anticoagulants (NOACs), </w:t>
      </w:r>
      <w:proofErr w:type="spellStart"/>
      <w:r>
        <w:t>rivaroxaban</w:t>
      </w:r>
      <w:proofErr w:type="spellEnd"/>
      <w:r>
        <w:t xml:space="preserve">, </w:t>
      </w:r>
      <w:proofErr w:type="spellStart"/>
      <w:r>
        <w:t>apixaban</w:t>
      </w:r>
      <w:proofErr w:type="spellEnd"/>
      <w:r>
        <w:t xml:space="preserve"> and </w:t>
      </w:r>
      <w:proofErr w:type="spellStart"/>
      <w:r>
        <w:t>dabigatran</w:t>
      </w:r>
      <w:proofErr w:type="spellEnd"/>
      <w:r>
        <w:t xml:space="preserve"> for the treatment of deep vein thrombosis (DVT), the prevention of venous thromboembolism (VTE), treatment of pulmonary embolism (PE) and for the prevention of recurrent venous thromboembolism.  </w:t>
      </w:r>
    </w:p>
    <w:p w14:paraId="6B2C8ED6" w14:textId="64B0EC8C" w:rsidR="00D2240B" w:rsidRPr="00D2240B" w:rsidRDefault="00D7779F" w:rsidP="00D2240B">
      <w:proofErr w:type="gramStart"/>
      <w:r>
        <w:t xml:space="preserve">To compare the predicted versus actual utilisation of </w:t>
      </w:r>
      <w:proofErr w:type="spellStart"/>
      <w:r>
        <w:t>rivaroxaban</w:t>
      </w:r>
      <w:proofErr w:type="spellEnd"/>
      <w:r>
        <w:t xml:space="preserve"> for acute symptomatic DVT and PE.</w:t>
      </w:r>
      <w:proofErr w:type="gramEnd"/>
    </w:p>
    <w:p w14:paraId="0A7F0B57" w14:textId="034D22D5" w:rsidR="006537D9" w:rsidRPr="005E22C2" w:rsidRDefault="00736041" w:rsidP="001D390D">
      <w:pPr>
        <w:pStyle w:val="Heading3"/>
      </w:pPr>
      <w:r w:rsidRPr="005E22C2">
        <w:t>Background</w:t>
      </w:r>
    </w:p>
    <w:p w14:paraId="0183A567" w14:textId="413DF87B" w:rsidR="007247B9" w:rsidRDefault="007247B9" w:rsidP="00E376AA">
      <w:pPr>
        <w:pStyle w:val="Heading4"/>
      </w:pPr>
      <w:r w:rsidRPr="00E376AA">
        <w:t>Pharmacology</w:t>
      </w:r>
    </w:p>
    <w:p w14:paraId="496D1D64" w14:textId="7D8E87CE" w:rsidR="007A56D5" w:rsidRPr="00613025" w:rsidRDefault="007A56D5" w:rsidP="007A56D5">
      <w:proofErr w:type="spellStart"/>
      <w:r>
        <w:t>Rivaroxaban</w:t>
      </w:r>
      <w:proofErr w:type="spellEnd"/>
      <w:r>
        <w:t xml:space="preserve"> and </w:t>
      </w:r>
      <w:proofErr w:type="spellStart"/>
      <w:r>
        <w:t>apixaban</w:t>
      </w:r>
      <w:proofErr w:type="spellEnd"/>
      <w:r>
        <w:t xml:space="preserve"> are selective inhibitors </w:t>
      </w:r>
      <w:r w:rsidR="00EF28FB">
        <w:t xml:space="preserve">of the coagulation Factor </w:t>
      </w:r>
      <w:proofErr w:type="spellStart"/>
      <w:r w:rsidR="00EF28FB">
        <w:t>Xa</w:t>
      </w:r>
      <w:proofErr w:type="spellEnd"/>
      <w:r w:rsidR="00EF28FB">
        <w:t>.</w:t>
      </w:r>
      <w:r w:rsidR="00EF28FB">
        <w:rPr>
          <w:rStyle w:val="FootnoteReference"/>
        </w:rPr>
        <w:footnoteReference w:id="1"/>
      </w:r>
      <w:r w:rsidR="00613025">
        <w:rPr>
          <w:vertAlign w:val="superscript"/>
        </w:rPr>
        <w:t>,</w:t>
      </w:r>
      <w:r w:rsidR="00613025">
        <w:rPr>
          <w:rStyle w:val="FootnoteReference"/>
        </w:rPr>
        <w:footnoteReference w:id="2"/>
      </w:r>
    </w:p>
    <w:p w14:paraId="2BFCC80A" w14:textId="2FC1433F" w:rsidR="007D2AB5" w:rsidRPr="007D2AB5" w:rsidRDefault="007A56D5" w:rsidP="007A56D5">
      <w:proofErr w:type="spellStart"/>
      <w:r>
        <w:t>Dabigatran</w:t>
      </w:r>
      <w:proofErr w:type="spellEnd"/>
      <w:r>
        <w:t xml:space="preserve"> is a competitive and reversible direct thrombin inhibitor.</w:t>
      </w:r>
      <w:r w:rsidR="00AD6C42">
        <w:t xml:space="preserve"> </w:t>
      </w:r>
      <w:r>
        <w:t xml:space="preserve"> Since thrombin (serine protease) enables the conversion of fibrinogen into fibrin during the coagulation cascade, its inhibition preven</w:t>
      </w:r>
      <w:r w:rsidR="00426B43">
        <w:t xml:space="preserve">ts the development of thrombus.  </w:t>
      </w:r>
      <w:proofErr w:type="spellStart"/>
      <w:r>
        <w:t>Dabigatran</w:t>
      </w:r>
      <w:proofErr w:type="spellEnd"/>
      <w:r>
        <w:t xml:space="preserve"> also inhibits free thrombin, fibrin-bound thrombin and thrombin-induced platelet aggregation.</w:t>
      </w:r>
      <w:r w:rsidR="00F963F9">
        <w:rPr>
          <w:rStyle w:val="FootnoteReference"/>
        </w:rPr>
        <w:footnoteReference w:id="3"/>
      </w:r>
    </w:p>
    <w:p w14:paraId="6AC18C88" w14:textId="2877AC70" w:rsidR="001420B3" w:rsidRDefault="001420B3" w:rsidP="00DD70ED">
      <w:pPr>
        <w:pStyle w:val="Heading4"/>
      </w:pPr>
      <w:r w:rsidRPr="00DE260E">
        <w:t>T</w:t>
      </w:r>
      <w:r w:rsidR="000F22BC" w:rsidRPr="00DE260E">
        <w:t xml:space="preserve">herapeutic </w:t>
      </w:r>
      <w:r w:rsidRPr="00DE260E">
        <w:t>G</w:t>
      </w:r>
      <w:r w:rsidR="000F22BC" w:rsidRPr="00DE260E">
        <w:t xml:space="preserve">oods </w:t>
      </w:r>
      <w:r w:rsidRPr="00DE260E">
        <w:t>A</w:t>
      </w:r>
      <w:r w:rsidR="000F22BC" w:rsidRPr="00DE260E">
        <w:t>dministration (TGA)</w:t>
      </w:r>
      <w:r w:rsidRPr="00DE260E">
        <w:t xml:space="preserve"> approved indications</w:t>
      </w:r>
    </w:p>
    <w:p w14:paraId="5A8EA190" w14:textId="77777777" w:rsidR="007C7A52" w:rsidRDefault="007C7A52" w:rsidP="007C7A52">
      <w:proofErr w:type="spellStart"/>
      <w:r>
        <w:t>Rivaroxaban</w:t>
      </w:r>
      <w:proofErr w:type="spellEnd"/>
      <w:r>
        <w:t xml:space="preserve"> is TGA registered for:</w:t>
      </w:r>
    </w:p>
    <w:p w14:paraId="0A8A48CB" w14:textId="76748845" w:rsidR="00DC75EA" w:rsidRDefault="007C7A52" w:rsidP="00DC75EA">
      <w:pPr>
        <w:pStyle w:val="ListParagraph"/>
        <w:numPr>
          <w:ilvl w:val="0"/>
          <w:numId w:val="2"/>
        </w:numPr>
        <w:ind w:left="723"/>
      </w:pPr>
      <w:r>
        <w:t>Prevention</w:t>
      </w:r>
      <w:r w:rsidR="00F54EB6">
        <w:t xml:space="preserve"> of venous thromboembolism</w:t>
      </w:r>
      <w:r>
        <w:t xml:space="preserve"> in  adult patients who have undergone major orthopaedic surgery of the lower limbs (elective total hip replacement, treatment for up to 5 weeks; elective total knee replacement, treatment f</w:t>
      </w:r>
      <w:r w:rsidR="00DC75EA">
        <w:t>or up to 2 weeks).</w:t>
      </w:r>
    </w:p>
    <w:p w14:paraId="1D066616" w14:textId="76173D67" w:rsidR="007C7A52" w:rsidRDefault="007C7A52" w:rsidP="00DC75EA">
      <w:pPr>
        <w:pStyle w:val="ListParagraph"/>
        <w:numPr>
          <w:ilvl w:val="0"/>
          <w:numId w:val="2"/>
        </w:numPr>
        <w:ind w:left="723"/>
      </w:pPr>
      <w:r>
        <w:t>Prevention of stroke and systemic embolism in patients with non-valvular atrial fibrillation and at least one additional risk factor for stroke.</w:t>
      </w:r>
    </w:p>
    <w:p w14:paraId="19870F1E" w14:textId="50D67EF7" w:rsidR="007C7A52" w:rsidRDefault="007C7A52" w:rsidP="00DC75EA">
      <w:pPr>
        <w:pStyle w:val="ListParagraph"/>
        <w:numPr>
          <w:ilvl w:val="0"/>
          <w:numId w:val="2"/>
        </w:numPr>
        <w:ind w:left="723"/>
      </w:pPr>
      <w:r>
        <w:t>Treatment of DVT and PE and for the prevention of recurrent DVT and PE.</w:t>
      </w:r>
    </w:p>
    <w:p w14:paraId="6D5BC36B" w14:textId="77777777" w:rsidR="007C7A52" w:rsidRDefault="007C7A52" w:rsidP="007C7A52">
      <w:proofErr w:type="spellStart"/>
      <w:r>
        <w:t>Apixaban</w:t>
      </w:r>
      <w:proofErr w:type="spellEnd"/>
      <w:r>
        <w:t xml:space="preserve"> is TGA registered for:</w:t>
      </w:r>
    </w:p>
    <w:p w14:paraId="7464D1AF" w14:textId="513719A1" w:rsidR="007C7A52" w:rsidRDefault="007C7A52" w:rsidP="00DC75EA">
      <w:pPr>
        <w:pStyle w:val="ListParagraph"/>
        <w:numPr>
          <w:ilvl w:val="0"/>
          <w:numId w:val="5"/>
        </w:numPr>
      </w:pPr>
      <w:r>
        <w:t>Prevention of ve</w:t>
      </w:r>
      <w:r w:rsidR="004E2E04">
        <w:t>nous thromboembolic events</w:t>
      </w:r>
      <w:r>
        <w:t xml:space="preserve"> in adult patients who have undergone elective total hip or total knee replacement surgery.</w:t>
      </w:r>
    </w:p>
    <w:p w14:paraId="5ACD237A" w14:textId="6FF82BA8" w:rsidR="007C7A52" w:rsidRDefault="007C7A52" w:rsidP="00DC75EA">
      <w:pPr>
        <w:pStyle w:val="ListParagraph"/>
        <w:numPr>
          <w:ilvl w:val="0"/>
          <w:numId w:val="5"/>
        </w:numPr>
      </w:pPr>
      <w:r>
        <w:t>Prevention of stroke and systemic embolism in patients with non-valvular atrial fibrillation and at least one additional risk factor for stroke.</w:t>
      </w:r>
    </w:p>
    <w:p w14:paraId="40BB652F" w14:textId="77777777" w:rsidR="00F23552" w:rsidRDefault="007C7A52" w:rsidP="007C7A52">
      <w:proofErr w:type="spellStart"/>
      <w:r>
        <w:lastRenderedPageBreak/>
        <w:t>Da</w:t>
      </w:r>
      <w:r w:rsidR="00F23552">
        <w:t>bigatran</w:t>
      </w:r>
      <w:proofErr w:type="spellEnd"/>
      <w:r w:rsidR="00F23552">
        <w:t xml:space="preserve"> is TGA registered for:</w:t>
      </w:r>
    </w:p>
    <w:p w14:paraId="73EA96CC" w14:textId="70258BCC" w:rsidR="007C7A52" w:rsidRDefault="007C7A52" w:rsidP="00F23552">
      <w:pPr>
        <w:pStyle w:val="ListParagraph"/>
        <w:numPr>
          <w:ilvl w:val="0"/>
          <w:numId w:val="6"/>
        </w:numPr>
      </w:pPr>
      <w:r>
        <w:t xml:space="preserve">Prevention of venous thromboembolic events in adult patients who have undergone major orthopaedic surgery of the lower limb (elective total hip or knee replacement). </w:t>
      </w:r>
    </w:p>
    <w:p w14:paraId="483A0B6A" w14:textId="67792C6F" w:rsidR="003E5D51" w:rsidRPr="003E5D51" w:rsidRDefault="007C7A52" w:rsidP="00F23552">
      <w:pPr>
        <w:pStyle w:val="ListParagraph"/>
        <w:numPr>
          <w:ilvl w:val="0"/>
          <w:numId w:val="6"/>
        </w:numPr>
      </w:pPr>
      <w:r>
        <w:t>Prevention of stroke and systemic embolism in patients with non-valvular atrial fibrillation and at least one additional risk factor for stroke.</w:t>
      </w:r>
    </w:p>
    <w:p w14:paraId="15E919C1" w14:textId="1B3BA560" w:rsidR="006B709B" w:rsidRDefault="006B709B" w:rsidP="00DD70ED">
      <w:pPr>
        <w:pStyle w:val="Heading4"/>
      </w:pPr>
      <w:r w:rsidRPr="00DE260E">
        <w:t>Dosage and administration</w:t>
      </w:r>
    </w:p>
    <w:p w14:paraId="1D800E71" w14:textId="77777777" w:rsidR="009D2E39" w:rsidRDefault="00812843" w:rsidP="00A35800">
      <w:r>
        <w:t>Table 1 outlines the indications and associated recommended dosage</w:t>
      </w:r>
      <w:r>
        <w:rPr>
          <w:vertAlign w:val="superscript"/>
        </w:rPr>
        <w:t>1</w:t>
      </w:r>
      <w:proofErr w:type="gramStart"/>
      <w:r>
        <w:rPr>
          <w:vertAlign w:val="superscript"/>
        </w:rPr>
        <w:t>,2,3</w:t>
      </w:r>
      <w:proofErr w:type="gramEnd"/>
      <w:r w:rsidR="00CD78F8">
        <w:t xml:space="preserve"> for </w:t>
      </w:r>
      <w:proofErr w:type="spellStart"/>
      <w:r w:rsidR="00CD78F8">
        <w:t>apixaba</w:t>
      </w:r>
      <w:r w:rsidR="009D2E39">
        <w:t>n</w:t>
      </w:r>
      <w:proofErr w:type="spellEnd"/>
      <w:r w:rsidR="009D2E39">
        <w:t xml:space="preserve">, </w:t>
      </w:r>
      <w:proofErr w:type="spellStart"/>
      <w:r w:rsidR="009D2E39">
        <w:t>dabigatran</w:t>
      </w:r>
      <w:proofErr w:type="spellEnd"/>
      <w:r w:rsidR="009D2E39">
        <w:t xml:space="preserve"> and </w:t>
      </w:r>
      <w:proofErr w:type="spellStart"/>
      <w:r w:rsidR="009D2E39">
        <w:t>rivaroxaban</w:t>
      </w:r>
      <w:proofErr w:type="spellEnd"/>
      <w:r w:rsidR="009D2E39">
        <w:t>.</w:t>
      </w:r>
    </w:p>
    <w:p w14:paraId="1447DFB6" w14:textId="4E0EA9FD" w:rsidR="000C2E20" w:rsidRPr="00A70075" w:rsidRDefault="000C2E20" w:rsidP="00A70075">
      <w:pPr>
        <w:pStyle w:val="Tabletitle"/>
      </w:pPr>
      <w:r w:rsidRPr="00A70075">
        <w:t xml:space="preserve">Table </w:t>
      </w:r>
      <w:fldSimple w:instr=" SEQ Table \* ARABIC ">
        <w:r w:rsidR="00F25CCC">
          <w:rPr>
            <w:noProof/>
          </w:rPr>
          <w:t>1</w:t>
        </w:r>
      </w:fldSimple>
      <w:r w:rsidRPr="00A70075">
        <w:t xml:space="preserve">: </w:t>
      </w:r>
      <w:r w:rsidR="00961034" w:rsidRPr="00A70075">
        <w:t xml:space="preserve">Indications and dosage </w:t>
      </w:r>
      <w:r w:rsidRPr="00A70075">
        <w:t xml:space="preserve">of </w:t>
      </w:r>
      <w:proofErr w:type="spellStart"/>
      <w:r w:rsidRPr="00A70075">
        <w:t>rivaroxaban</w:t>
      </w:r>
      <w:proofErr w:type="spellEnd"/>
      <w:r w:rsidRPr="00A70075">
        <w:t xml:space="preserve">, </w:t>
      </w:r>
      <w:proofErr w:type="spellStart"/>
      <w:r w:rsidRPr="00A70075">
        <w:t>apixaban</w:t>
      </w:r>
      <w:proofErr w:type="spellEnd"/>
      <w:r w:rsidRPr="00A70075">
        <w:t xml:space="preserve"> and </w:t>
      </w:r>
      <w:proofErr w:type="spellStart"/>
      <w:r w:rsidRPr="00A70075">
        <w:t>dabigatran</w:t>
      </w:r>
      <w:proofErr w:type="spellEnd"/>
    </w:p>
    <w:tbl>
      <w:tblPr>
        <w:tblStyle w:val="TableGrid"/>
        <w:tblW w:w="9072" w:type="dxa"/>
        <w:tblInd w:w="108" w:type="dxa"/>
        <w:tblLook w:val="04A0" w:firstRow="1" w:lastRow="0" w:firstColumn="1" w:lastColumn="0" w:noHBand="0" w:noVBand="1"/>
      </w:tblPr>
      <w:tblGrid>
        <w:gridCol w:w="2552"/>
        <w:gridCol w:w="2126"/>
        <w:gridCol w:w="4394"/>
      </w:tblGrid>
      <w:tr w:rsidR="000C2E20" w:rsidRPr="00A35800" w14:paraId="31AB116D" w14:textId="77777777" w:rsidTr="00E24FAB">
        <w:trPr>
          <w:tblHeader/>
        </w:trPr>
        <w:tc>
          <w:tcPr>
            <w:tcW w:w="2552" w:type="dxa"/>
            <w:shd w:val="clear" w:color="auto" w:fill="BFBFBF" w:themeFill="background1" w:themeFillShade="BF"/>
            <w:vAlign w:val="center"/>
          </w:tcPr>
          <w:p w14:paraId="245DF34E" w14:textId="77777777" w:rsidR="000C2E20" w:rsidRPr="00A35800" w:rsidRDefault="000C2E20" w:rsidP="000576E3">
            <w:pPr>
              <w:pStyle w:val="Tableheading"/>
              <w:rPr>
                <w:sz w:val="20"/>
                <w:szCs w:val="20"/>
              </w:rPr>
            </w:pPr>
            <w:r w:rsidRPr="00A35800">
              <w:rPr>
                <w:sz w:val="20"/>
                <w:szCs w:val="20"/>
              </w:rPr>
              <w:t>Brand name and sponsor</w:t>
            </w:r>
          </w:p>
        </w:tc>
        <w:tc>
          <w:tcPr>
            <w:tcW w:w="2126" w:type="dxa"/>
            <w:shd w:val="clear" w:color="auto" w:fill="BFBFBF" w:themeFill="background1" w:themeFillShade="BF"/>
            <w:vAlign w:val="center"/>
          </w:tcPr>
          <w:p w14:paraId="434BB4ED" w14:textId="77777777" w:rsidR="000C2E20" w:rsidRPr="00A35800" w:rsidRDefault="000C2E20" w:rsidP="000576E3">
            <w:pPr>
              <w:pStyle w:val="Tableheading"/>
              <w:rPr>
                <w:sz w:val="20"/>
                <w:szCs w:val="20"/>
              </w:rPr>
            </w:pPr>
            <w:r>
              <w:rPr>
                <w:sz w:val="20"/>
                <w:szCs w:val="20"/>
              </w:rPr>
              <w:t>Indication</w:t>
            </w:r>
          </w:p>
        </w:tc>
        <w:tc>
          <w:tcPr>
            <w:tcW w:w="4394" w:type="dxa"/>
            <w:shd w:val="clear" w:color="auto" w:fill="BFBFBF" w:themeFill="background1" w:themeFillShade="BF"/>
            <w:vAlign w:val="center"/>
          </w:tcPr>
          <w:p w14:paraId="4A68CDC6" w14:textId="77777777" w:rsidR="000C2E20" w:rsidRPr="00A35800" w:rsidRDefault="000C2E20" w:rsidP="000576E3">
            <w:pPr>
              <w:pStyle w:val="Tableheading"/>
              <w:rPr>
                <w:sz w:val="20"/>
                <w:szCs w:val="20"/>
              </w:rPr>
            </w:pPr>
            <w:r w:rsidRPr="00A35800">
              <w:rPr>
                <w:sz w:val="20"/>
                <w:szCs w:val="20"/>
              </w:rPr>
              <w:t>Dose and frequency of administration</w:t>
            </w:r>
          </w:p>
        </w:tc>
      </w:tr>
      <w:tr w:rsidR="000C2E20" w:rsidRPr="00A35800" w14:paraId="061F9117" w14:textId="77777777" w:rsidTr="00E24FAB">
        <w:tc>
          <w:tcPr>
            <w:tcW w:w="2552" w:type="dxa"/>
            <w:vMerge w:val="restart"/>
            <w:vAlign w:val="center"/>
          </w:tcPr>
          <w:p w14:paraId="0AC85D0A" w14:textId="77777777" w:rsidR="000C2E20" w:rsidRPr="00A35800" w:rsidRDefault="000C2E20" w:rsidP="000576E3">
            <w:pPr>
              <w:pStyle w:val="Tablewriting"/>
            </w:pPr>
            <w:proofErr w:type="spellStart"/>
            <w:r>
              <w:t>Rivaroxaban</w:t>
            </w:r>
            <w:proofErr w:type="spellEnd"/>
            <w:r>
              <w:t xml:space="preserve"> (</w:t>
            </w:r>
            <w:proofErr w:type="spellStart"/>
            <w:r>
              <w:t>Xarelto</w:t>
            </w:r>
            <w:proofErr w:type="spellEnd"/>
            <w:r>
              <w:t xml:space="preserve">®), </w:t>
            </w:r>
            <w:r>
              <w:br/>
            </w:r>
            <w:r w:rsidRPr="00F7043C">
              <w:rPr>
                <w:rFonts w:ascii="Calibri" w:eastAsia="Times New Roman" w:hAnsi="Calibri" w:cs="Times New Roman"/>
              </w:rPr>
              <w:t>Bayer Australia Ltd</w:t>
            </w:r>
          </w:p>
        </w:tc>
        <w:tc>
          <w:tcPr>
            <w:tcW w:w="2126" w:type="dxa"/>
            <w:vAlign w:val="center"/>
          </w:tcPr>
          <w:p w14:paraId="43A60553" w14:textId="77777777" w:rsidR="000C2E20" w:rsidRPr="00A35800" w:rsidRDefault="000C2E20" w:rsidP="000576E3">
            <w:pPr>
              <w:pStyle w:val="Tablewriting"/>
            </w:pPr>
            <w:r w:rsidRPr="00B1746A">
              <w:t>VTE Prevention in total hip replacement</w:t>
            </w:r>
          </w:p>
        </w:tc>
        <w:tc>
          <w:tcPr>
            <w:tcW w:w="4394" w:type="dxa"/>
            <w:vAlign w:val="center"/>
          </w:tcPr>
          <w:p w14:paraId="53271FF0" w14:textId="77777777" w:rsidR="000C2E20" w:rsidRDefault="000C2E20" w:rsidP="000576E3">
            <w:pPr>
              <w:pStyle w:val="Tablewriting"/>
            </w:pPr>
            <w:r>
              <w:t xml:space="preserve">A </w:t>
            </w:r>
            <w:r w:rsidRPr="00CD7841">
              <w:t>10 mg tablet taken once daily</w:t>
            </w:r>
            <w:r>
              <w:t>. The initial dose should be taken 6 to 10 hours after surgery provided that haemostasis has been established.</w:t>
            </w:r>
          </w:p>
          <w:p w14:paraId="1F010B69" w14:textId="77777777" w:rsidR="000C2E20" w:rsidRPr="00A35800" w:rsidRDefault="000C2E20" w:rsidP="000576E3">
            <w:pPr>
              <w:pStyle w:val="Tablewriting"/>
            </w:pPr>
            <w:r>
              <w:t>Treatment duration of 5 weeks is recommended.</w:t>
            </w:r>
          </w:p>
        </w:tc>
      </w:tr>
      <w:tr w:rsidR="000C2E20" w:rsidRPr="00A35800" w14:paraId="44845B2B" w14:textId="77777777" w:rsidTr="00E24FAB">
        <w:tc>
          <w:tcPr>
            <w:tcW w:w="2552" w:type="dxa"/>
            <w:vMerge/>
          </w:tcPr>
          <w:p w14:paraId="040DDFF3" w14:textId="77777777" w:rsidR="000C2E20" w:rsidRPr="00A35800" w:rsidRDefault="000C2E20" w:rsidP="000576E3">
            <w:pPr>
              <w:pStyle w:val="Tablewriting"/>
            </w:pPr>
          </w:p>
        </w:tc>
        <w:tc>
          <w:tcPr>
            <w:tcW w:w="2126" w:type="dxa"/>
            <w:vAlign w:val="center"/>
          </w:tcPr>
          <w:p w14:paraId="2355106C" w14:textId="77777777" w:rsidR="000C2E20" w:rsidRPr="00A35800" w:rsidRDefault="000C2E20" w:rsidP="000576E3">
            <w:pPr>
              <w:pStyle w:val="Tablewriting"/>
            </w:pPr>
            <w:r w:rsidRPr="00B1746A">
              <w:t>VTE Prevention in total knee replacement</w:t>
            </w:r>
          </w:p>
        </w:tc>
        <w:tc>
          <w:tcPr>
            <w:tcW w:w="4394" w:type="dxa"/>
            <w:vAlign w:val="center"/>
          </w:tcPr>
          <w:p w14:paraId="1163B9FB" w14:textId="77777777" w:rsidR="000C2E20" w:rsidRDefault="000C2E20" w:rsidP="000576E3">
            <w:pPr>
              <w:pStyle w:val="Tablewriting"/>
            </w:pPr>
            <w:r>
              <w:t xml:space="preserve">A </w:t>
            </w:r>
            <w:r w:rsidRPr="00CD7841">
              <w:t>10 mg tablet taken once daily</w:t>
            </w:r>
            <w:r>
              <w:t>. The initial dose should be taken 6 to 10 hours after surgery provided that haemostasis has been established.</w:t>
            </w:r>
          </w:p>
          <w:p w14:paraId="39E2953F" w14:textId="77777777" w:rsidR="000C2E20" w:rsidRPr="00A35800" w:rsidRDefault="000C2E20" w:rsidP="000576E3">
            <w:pPr>
              <w:pStyle w:val="Tablewriting"/>
            </w:pPr>
            <w:r>
              <w:t>Treatment duration of 2 weeks is recommended.</w:t>
            </w:r>
          </w:p>
        </w:tc>
      </w:tr>
      <w:tr w:rsidR="000C2E20" w:rsidRPr="00A35800" w14:paraId="6300CB46" w14:textId="77777777" w:rsidTr="00E24FAB">
        <w:tc>
          <w:tcPr>
            <w:tcW w:w="2552" w:type="dxa"/>
            <w:vMerge/>
          </w:tcPr>
          <w:p w14:paraId="24AA4CD3" w14:textId="77777777" w:rsidR="000C2E20" w:rsidRPr="00A35800" w:rsidRDefault="000C2E20" w:rsidP="000576E3">
            <w:pPr>
              <w:pStyle w:val="Tablewriting"/>
            </w:pPr>
          </w:p>
        </w:tc>
        <w:tc>
          <w:tcPr>
            <w:tcW w:w="2126" w:type="dxa"/>
            <w:vAlign w:val="center"/>
          </w:tcPr>
          <w:p w14:paraId="34520A14" w14:textId="77777777" w:rsidR="000C2E20" w:rsidRPr="00A35800" w:rsidRDefault="000C2E20" w:rsidP="000576E3">
            <w:pPr>
              <w:pStyle w:val="Tablewriting"/>
            </w:pPr>
            <w:r w:rsidRPr="00CD7841">
              <w:t>Treatment of DVT and PE and prevention of recurrent DVT and PE</w:t>
            </w:r>
          </w:p>
        </w:tc>
        <w:tc>
          <w:tcPr>
            <w:tcW w:w="4394" w:type="dxa"/>
            <w:vAlign w:val="center"/>
          </w:tcPr>
          <w:p w14:paraId="4A59696C" w14:textId="77777777" w:rsidR="000C2E20" w:rsidRDefault="000C2E20" w:rsidP="000576E3">
            <w:pPr>
              <w:pStyle w:val="Tablewriting"/>
            </w:pPr>
            <w:r>
              <w:t xml:space="preserve">Initial treatment </w:t>
            </w:r>
            <w:r w:rsidRPr="00CD7841">
              <w:t>of acute DVT and PE</w:t>
            </w:r>
            <w:r>
              <w:t xml:space="preserve"> is 15 mg twice daily for the first three weeks followed by 20 mg once daily for the continued treatment and the prevention of recurrent DVT and PE.</w:t>
            </w:r>
          </w:p>
          <w:p w14:paraId="632E2B00" w14:textId="77777777" w:rsidR="000C2E20" w:rsidRDefault="000C2E20" w:rsidP="000576E3">
            <w:pPr>
              <w:pStyle w:val="Tablewriting"/>
            </w:pPr>
            <w:r w:rsidRPr="00CD7841">
              <w:t>During the initial 3 weeks of acute treatment 15 mg should be taken twice daily</w:t>
            </w:r>
            <w:r>
              <w:t>.</w:t>
            </w:r>
          </w:p>
          <w:p w14:paraId="7D3485E0" w14:textId="77777777" w:rsidR="000C2E20" w:rsidRPr="00A35800" w:rsidRDefault="000C2E20" w:rsidP="000576E3">
            <w:pPr>
              <w:pStyle w:val="Tablewriting"/>
            </w:pPr>
            <w:r>
              <w:t>After the initial 3 weeks treatment should be continued at 20 mg once daily. Therapy should be continued as long as the VTE risk persists.</w:t>
            </w:r>
          </w:p>
        </w:tc>
      </w:tr>
      <w:tr w:rsidR="000C2E20" w:rsidRPr="00A35800" w14:paraId="4BEF201E" w14:textId="77777777" w:rsidTr="00E24FAB">
        <w:tc>
          <w:tcPr>
            <w:tcW w:w="2552" w:type="dxa"/>
            <w:vMerge w:val="restart"/>
            <w:vAlign w:val="center"/>
          </w:tcPr>
          <w:p w14:paraId="308321A9" w14:textId="77777777" w:rsidR="000C2E20" w:rsidRPr="00A35800" w:rsidRDefault="000C2E20" w:rsidP="000576E3">
            <w:pPr>
              <w:pStyle w:val="Tablewriting"/>
            </w:pPr>
            <w:proofErr w:type="spellStart"/>
            <w:r>
              <w:t>Apixaban</w:t>
            </w:r>
            <w:proofErr w:type="spellEnd"/>
            <w:r>
              <w:t xml:space="preserve"> (</w:t>
            </w:r>
            <w:proofErr w:type="spellStart"/>
            <w:r w:rsidRPr="00F7043C">
              <w:rPr>
                <w:rFonts w:ascii="Calibri" w:eastAsia="Times New Roman" w:hAnsi="Calibri" w:cs="Times New Roman"/>
              </w:rPr>
              <w:t>Eliquis</w:t>
            </w:r>
            <w:proofErr w:type="spellEnd"/>
            <w:r>
              <w:rPr>
                <w:rFonts w:ascii="Calibri" w:eastAsia="Times New Roman" w:hAnsi="Calibri" w:cs="Times New Roman"/>
              </w:rPr>
              <w:t>®)</w:t>
            </w:r>
            <w:r w:rsidRPr="00F7043C">
              <w:rPr>
                <w:rFonts w:ascii="Calibri" w:eastAsia="Times New Roman" w:hAnsi="Calibri" w:cs="Times New Roman"/>
              </w:rPr>
              <w:br/>
              <w:t>Bristol-Myers Squibb Australia Pty Ltd</w:t>
            </w:r>
          </w:p>
        </w:tc>
        <w:tc>
          <w:tcPr>
            <w:tcW w:w="2126" w:type="dxa"/>
            <w:vAlign w:val="center"/>
          </w:tcPr>
          <w:p w14:paraId="31AF1315" w14:textId="77777777" w:rsidR="000C2E20" w:rsidRPr="00A35800" w:rsidRDefault="000C2E20" w:rsidP="000576E3">
            <w:pPr>
              <w:pStyle w:val="Tablewriting"/>
            </w:pPr>
            <w:r w:rsidRPr="00B1746A">
              <w:t>VTE Prevention in total hip replacement</w:t>
            </w:r>
          </w:p>
        </w:tc>
        <w:tc>
          <w:tcPr>
            <w:tcW w:w="4394" w:type="dxa"/>
            <w:vAlign w:val="center"/>
          </w:tcPr>
          <w:p w14:paraId="247BD96F" w14:textId="77777777" w:rsidR="000C2E20" w:rsidRDefault="000C2E20" w:rsidP="000576E3">
            <w:pPr>
              <w:pStyle w:val="Tablewriting"/>
            </w:pPr>
            <w:r>
              <w:t>The recommended dose is 2.5 mg taken twice daily.  The initial dose should be taken 12 to 24 hours after surgery.</w:t>
            </w:r>
          </w:p>
          <w:p w14:paraId="3E5131C5" w14:textId="77777777" w:rsidR="000C2E20" w:rsidRPr="00A35800" w:rsidRDefault="000C2E20" w:rsidP="000576E3">
            <w:pPr>
              <w:pStyle w:val="Tablewriting"/>
            </w:pPr>
            <w:r>
              <w:t>In patients undergoing hip replacement surgery, the recommended duration of treatment is 32 to 38 days.</w:t>
            </w:r>
          </w:p>
        </w:tc>
      </w:tr>
      <w:tr w:rsidR="000C2E20" w:rsidRPr="00A35800" w14:paraId="039194A2" w14:textId="77777777" w:rsidTr="00E24FAB">
        <w:tc>
          <w:tcPr>
            <w:tcW w:w="2552" w:type="dxa"/>
            <w:vMerge/>
          </w:tcPr>
          <w:p w14:paraId="2FAFF8AA" w14:textId="77777777" w:rsidR="000C2E20" w:rsidRPr="00A35800" w:rsidRDefault="000C2E20" w:rsidP="000576E3">
            <w:pPr>
              <w:pStyle w:val="Tablewriting"/>
            </w:pPr>
          </w:p>
        </w:tc>
        <w:tc>
          <w:tcPr>
            <w:tcW w:w="2126" w:type="dxa"/>
            <w:vAlign w:val="center"/>
          </w:tcPr>
          <w:p w14:paraId="0CE35C77" w14:textId="77777777" w:rsidR="000C2E20" w:rsidRPr="00A35800" w:rsidRDefault="000C2E20" w:rsidP="000576E3">
            <w:pPr>
              <w:pStyle w:val="Tablewriting"/>
            </w:pPr>
            <w:r w:rsidRPr="00B1746A">
              <w:t>VTE Prevention in total knee replacement</w:t>
            </w:r>
          </w:p>
        </w:tc>
        <w:tc>
          <w:tcPr>
            <w:tcW w:w="4394" w:type="dxa"/>
            <w:vAlign w:val="center"/>
          </w:tcPr>
          <w:p w14:paraId="095EF862" w14:textId="77777777" w:rsidR="000C2E20" w:rsidRDefault="000C2E20" w:rsidP="000576E3">
            <w:pPr>
              <w:pStyle w:val="Tablewriting"/>
            </w:pPr>
            <w:r>
              <w:t>The recommended dose is 2.5 mg taken twice daily.  The initial dose should be taken 12 to 24 hours after surgery.</w:t>
            </w:r>
          </w:p>
          <w:p w14:paraId="1B6B6F17" w14:textId="77777777" w:rsidR="000C2E20" w:rsidRPr="00A35800" w:rsidRDefault="000C2E20" w:rsidP="000576E3">
            <w:pPr>
              <w:pStyle w:val="Tablewriting"/>
            </w:pPr>
            <w:r>
              <w:t>In patients undergoing knee replacement surgery, the recommended duration of treatment is 10 to 14 days.</w:t>
            </w:r>
          </w:p>
        </w:tc>
      </w:tr>
      <w:tr w:rsidR="000C2E20" w:rsidRPr="00A35800" w14:paraId="790BC7A7" w14:textId="77777777" w:rsidTr="00E24FAB">
        <w:tc>
          <w:tcPr>
            <w:tcW w:w="2552" w:type="dxa"/>
            <w:vMerge w:val="restart"/>
            <w:vAlign w:val="center"/>
          </w:tcPr>
          <w:p w14:paraId="02FFC513" w14:textId="77777777" w:rsidR="000C2E20" w:rsidRDefault="000C2E20" w:rsidP="000576E3">
            <w:pPr>
              <w:pStyle w:val="Tablewriting"/>
            </w:pPr>
            <w:proofErr w:type="spellStart"/>
            <w:r>
              <w:t>Dabigatran</w:t>
            </w:r>
            <w:proofErr w:type="spellEnd"/>
            <w:r>
              <w:t xml:space="preserve"> (</w:t>
            </w:r>
            <w:proofErr w:type="spellStart"/>
            <w:r>
              <w:t>Pradaxa</w:t>
            </w:r>
            <w:proofErr w:type="spellEnd"/>
            <w:r>
              <w:t>®)</w:t>
            </w:r>
            <w:r>
              <w:br/>
            </w:r>
            <w:proofErr w:type="spellStart"/>
            <w:r w:rsidRPr="00F7043C">
              <w:rPr>
                <w:rFonts w:ascii="Calibri" w:eastAsia="Times New Roman" w:hAnsi="Calibri" w:cs="Times New Roman"/>
              </w:rPr>
              <w:t>Boehringer</w:t>
            </w:r>
            <w:proofErr w:type="spellEnd"/>
            <w:r w:rsidRPr="00F7043C">
              <w:rPr>
                <w:rFonts w:ascii="Calibri" w:eastAsia="Times New Roman" w:hAnsi="Calibri" w:cs="Times New Roman"/>
              </w:rPr>
              <w:t xml:space="preserve"> </w:t>
            </w:r>
            <w:proofErr w:type="spellStart"/>
            <w:r w:rsidRPr="00F7043C">
              <w:rPr>
                <w:rFonts w:ascii="Calibri" w:eastAsia="Times New Roman" w:hAnsi="Calibri" w:cs="Times New Roman"/>
              </w:rPr>
              <w:t>Ingelheim</w:t>
            </w:r>
            <w:proofErr w:type="spellEnd"/>
            <w:r w:rsidRPr="00F7043C">
              <w:rPr>
                <w:rFonts w:ascii="Calibri" w:eastAsia="Times New Roman" w:hAnsi="Calibri" w:cs="Times New Roman"/>
              </w:rPr>
              <w:t xml:space="preserve"> Pty Ltd</w:t>
            </w:r>
          </w:p>
          <w:p w14:paraId="2938228D" w14:textId="77777777" w:rsidR="000C2E20" w:rsidRPr="00A35800" w:rsidRDefault="000C2E20" w:rsidP="000576E3">
            <w:pPr>
              <w:pStyle w:val="Tablewriting"/>
            </w:pPr>
          </w:p>
        </w:tc>
        <w:tc>
          <w:tcPr>
            <w:tcW w:w="2126" w:type="dxa"/>
            <w:vAlign w:val="center"/>
          </w:tcPr>
          <w:p w14:paraId="69923AFD" w14:textId="77777777" w:rsidR="000C2E20" w:rsidRPr="00A35800" w:rsidRDefault="000C2E20" w:rsidP="000576E3">
            <w:pPr>
              <w:pStyle w:val="Tablewriting"/>
            </w:pPr>
            <w:r w:rsidRPr="00B1746A">
              <w:lastRenderedPageBreak/>
              <w:t>VTE Prevention in total hip replacement</w:t>
            </w:r>
          </w:p>
        </w:tc>
        <w:tc>
          <w:tcPr>
            <w:tcW w:w="4394" w:type="dxa"/>
            <w:vAlign w:val="center"/>
          </w:tcPr>
          <w:p w14:paraId="29EDDC7F" w14:textId="77777777" w:rsidR="000C2E20" w:rsidRDefault="000C2E20" w:rsidP="000576E3">
            <w:pPr>
              <w:pStyle w:val="Tablewriting"/>
            </w:pPr>
            <w:r>
              <w:t xml:space="preserve">The recommended dose is 220 mg once daily taken as 2 capsules of 110 mg. </w:t>
            </w:r>
          </w:p>
          <w:p w14:paraId="2530ACC9" w14:textId="77777777" w:rsidR="000C2E20" w:rsidRDefault="000C2E20" w:rsidP="000576E3">
            <w:pPr>
              <w:pStyle w:val="Tablewriting"/>
            </w:pPr>
            <w:r>
              <w:t xml:space="preserve">For patients with moderate renal impairment the </w:t>
            </w:r>
            <w:r>
              <w:lastRenderedPageBreak/>
              <w:t>recommended dose is 150 mg once daily, taken as 2 capsules of 75 mg.</w:t>
            </w:r>
          </w:p>
          <w:p w14:paraId="57615AC8" w14:textId="77777777" w:rsidR="000C2E20" w:rsidRDefault="000C2E20" w:rsidP="000576E3">
            <w:pPr>
              <w:pStyle w:val="Tablewriting"/>
            </w:pPr>
            <w:r>
              <w:t>Treatment should be initiated orally within 1–4 hours of completed surgery with a single capsule (110 mg) and continuing with 2 capsules once daily thereafter for the required duration. If haemostasis is not secured, initiation of treatment should be delayed. If treatment is not started on the day of surgery then treatment should be initiated with 2 capsules once daily.</w:t>
            </w:r>
          </w:p>
          <w:p w14:paraId="4CE49A99" w14:textId="77777777" w:rsidR="000C2E20" w:rsidRPr="00A35800" w:rsidRDefault="000C2E20" w:rsidP="000576E3">
            <w:pPr>
              <w:pStyle w:val="Tablewriting"/>
            </w:pPr>
            <w:r>
              <w:t xml:space="preserve">Treatment duration of 28–35 days is recommended. </w:t>
            </w:r>
          </w:p>
        </w:tc>
      </w:tr>
      <w:tr w:rsidR="000C2E20" w:rsidRPr="00A35800" w14:paraId="1DC10EA8" w14:textId="77777777" w:rsidTr="00E24FAB">
        <w:tc>
          <w:tcPr>
            <w:tcW w:w="2552" w:type="dxa"/>
            <w:vMerge/>
          </w:tcPr>
          <w:p w14:paraId="53F75D55" w14:textId="77777777" w:rsidR="000C2E20" w:rsidRPr="00A35800" w:rsidRDefault="000C2E20" w:rsidP="000576E3">
            <w:pPr>
              <w:pStyle w:val="Tablewriting"/>
            </w:pPr>
          </w:p>
        </w:tc>
        <w:tc>
          <w:tcPr>
            <w:tcW w:w="2126" w:type="dxa"/>
            <w:vAlign w:val="center"/>
          </w:tcPr>
          <w:p w14:paraId="53C475E5" w14:textId="77777777" w:rsidR="000C2E20" w:rsidRPr="00A35800" w:rsidRDefault="000C2E20" w:rsidP="000576E3">
            <w:pPr>
              <w:pStyle w:val="Tablewriting"/>
            </w:pPr>
            <w:r w:rsidRPr="00B1746A">
              <w:t>VTE Prevention in total knee replacement</w:t>
            </w:r>
          </w:p>
        </w:tc>
        <w:tc>
          <w:tcPr>
            <w:tcW w:w="4394" w:type="dxa"/>
            <w:vAlign w:val="center"/>
          </w:tcPr>
          <w:p w14:paraId="32EBC13C" w14:textId="77777777" w:rsidR="000C2E20" w:rsidRDefault="000C2E20" w:rsidP="000576E3">
            <w:pPr>
              <w:pStyle w:val="Tablewriting"/>
            </w:pPr>
            <w:r>
              <w:t xml:space="preserve">The recommended dose is 220 mg once daily taken as 2 capsules of 110 mg. </w:t>
            </w:r>
          </w:p>
          <w:p w14:paraId="1960FBFB" w14:textId="77777777" w:rsidR="000C2E20" w:rsidRDefault="000C2E20" w:rsidP="000576E3">
            <w:pPr>
              <w:pStyle w:val="Tablewriting"/>
            </w:pPr>
            <w:r>
              <w:t>For patients with moderate renal impairment the recommended dose is 150 mg once daily, taken as 2 capsules of 75 mg.</w:t>
            </w:r>
          </w:p>
          <w:p w14:paraId="38AF9637" w14:textId="77777777" w:rsidR="000C2E20" w:rsidRDefault="000C2E20" w:rsidP="000576E3">
            <w:pPr>
              <w:pStyle w:val="Tablewriting"/>
            </w:pPr>
            <w:r>
              <w:t>Treatment should be initiated orally within 1–4 hours of completed surgery with a single capsule (110 mg) and continuing with 2 capsules once daily thereafter for the required duration. If haemostasis is not secured, initiation of treatment should be delayed. If treatment is not started on the day of surgery then treatment should be initiated with 2 capsules once daily.</w:t>
            </w:r>
          </w:p>
          <w:p w14:paraId="43228124" w14:textId="77777777" w:rsidR="000C2E20" w:rsidRPr="00A35800" w:rsidRDefault="000C2E20" w:rsidP="000576E3">
            <w:pPr>
              <w:pStyle w:val="Tablewriting"/>
            </w:pPr>
            <w:r>
              <w:t>Treatment duration of 10 days is recommended.</w:t>
            </w:r>
          </w:p>
        </w:tc>
      </w:tr>
    </w:tbl>
    <w:p w14:paraId="125C0EF0" w14:textId="77777777" w:rsidR="000C2E20" w:rsidRPr="00BA7044" w:rsidRDefault="000C2E20" w:rsidP="000C2E20">
      <w:pPr>
        <w:pStyle w:val="Notes"/>
      </w:pPr>
      <w:r w:rsidRPr="00BA7044">
        <w:t xml:space="preserve">Source: </w:t>
      </w:r>
      <w:proofErr w:type="spellStart"/>
      <w:r w:rsidRPr="00BA7044">
        <w:t>rivaroxaban</w:t>
      </w:r>
      <w:proofErr w:type="spellEnd"/>
      <w:r w:rsidRPr="00BA7044">
        <w:t xml:space="preserve">, </w:t>
      </w:r>
      <w:proofErr w:type="spellStart"/>
      <w:r w:rsidRPr="00BA7044">
        <w:t>apixaban</w:t>
      </w:r>
      <w:proofErr w:type="spellEnd"/>
      <w:r w:rsidRPr="00BA7044">
        <w:t xml:space="preserve"> and </w:t>
      </w:r>
      <w:proofErr w:type="spellStart"/>
      <w:r w:rsidRPr="00BA7044">
        <w:t>dabigatran</w:t>
      </w:r>
      <w:proofErr w:type="spellEnd"/>
      <w:r w:rsidRPr="00BA7044">
        <w:t xml:space="preserve"> Product Information</w:t>
      </w:r>
      <w:r w:rsidRPr="00BA7044">
        <w:rPr>
          <w:vertAlign w:val="superscript"/>
        </w:rPr>
        <w:fldChar w:fldCharType="begin"/>
      </w:r>
      <w:r w:rsidRPr="00BA7044">
        <w:rPr>
          <w:vertAlign w:val="superscript"/>
        </w:rPr>
        <w:instrText xml:space="preserve"> NOTEREF _Ref392248224 \h  \* MERGEFORMAT </w:instrText>
      </w:r>
      <w:r w:rsidRPr="00BA7044">
        <w:rPr>
          <w:vertAlign w:val="superscript"/>
        </w:rPr>
        <w:fldChar w:fldCharType="separate"/>
      </w:r>
      <w:r w:rsidR="00F25CCC">
        <w:rPr>
          <w:b/>
          <w:bCs/>
          <w:vertAlign w:val="superscript"/>
          <w:lang w:val="en-US"/>
        </w:rPr>
        <w:t>Error! Bookmark not defined.</w:t>
      </w:r>
      <w:r w:rsidRPr="00BA7044">
        <w:rPr>
          <w:vertAlign w:val="superscript"/>
        </w:rPr>
        <w:fldChar w:fldCharType="end"/>
      </w:r>
      <w:proofErr w:type="gramStart"/>
      <w:r w:rsidRPr="00BA7044">
        <w:rPr>
          <w:vertAlign w:val="superscript"/>
        </w:rPr>
        <w:t>,</w:t>
      </w:r>
      <w:proofErr w:type="gramEnd"/>
      <w:r w:rsidRPr="00BA7044">
        <w:rPr>
          <w:vertAlign w:val="superscript"/>
        </w:rPr>
        <w:fldChar w:fldCharType="begin"/>
      </w:r>
      <w:r w:rsidRPr="00BA7044">
        <w:rPr>
          <w:vertAlign w:val="superscript"/>
        </w:rPr>
        <w:instrText xml:space="preserve"> NOTEREF _Ref392248227 \h  \* MERGEFORMAT </w:instrText>
      </w:r>
      <w:r w:rsidRPr="00BA7044">
        <w:rPr>
          <w:vertAlign w:val="superscript"/>
        </w:rPr>
        <w:fldChar w:fldCharType="separate"/>
      </w:r>
      <w:r w:rsidR="00F25CCC">
        <w:rPr>
          <w:b/>
          <w:bCs/>
          <w:vertAlign w:val="superscript"/>
          <w:lang w:val="en-US"/>
        </w:rPr>
        <w:t>Error! Bookmark not defined.</w:t>
      </w:r>
      <w:r w:rsidRPr="00BA7044">
        <w:rPr>
          <w:vertAlign w:val="superscript"/>
        </w:rPr>
        <w:fldChar w:fldCharType="end"/>
      </w:r>
      <w:proofErr w:type="gramStart"/>
      <w:r w:rsidRPr="00BA7044">
        <w:rPr>
          <w:vertAlign w:val="superscript"/>
        </w:rPr>
        <w:t>,</w:t>
      </w:r>
      <w:proofErr w:type="gramEnd"/>
      <w:r w:rsidRPr="00BA7044">
        <w:rPr>
          <w:vertAlign w:val="superscript"/>
        </w:rPr>
        <w:fldChar w:fldCharType="begin"/>
      </w:r>
      <w:r w:rsidRPr="00BA7044">
        <w:rPr>
          <w:vertAlign w:val="superscript"/>
        </w:rPr>
        <w:instrText xml:space="preserve"> NOTEREF _Ref392248229 \h  \* MERGEFORMAT </w:instrText>
      </w:r>
      <w:r w:rsidRPr="00BA7044">
        <w:rPr>
          <w:vertAlign w:val="superscript"/>
        </w:rPr>
        <w:fldChar w:fldCharType="separate"/>
      </w:r>
      <w:r w:rsidR="00F25CCC">
        <w:rPr>
          <w:b/>
          <w:bCs/>
          <w:vertAlign w:val="superscript"/>
          <w:lang w:val="en-US"/>
        </w:rPr>
        <w:t>Error! Bookmark not defined.</w:t>
      </w:r>
      <w:r w:rsidRPr="00BA7044">
        <w:rPr>
          <w:vertAlign w:val="superscript"/>
        </w:rPr>
        <w:fldChar w:fldCharType="end"/>
      </w:r>
    </w:p>
    <w:p w14:paraId="337D0FBB" w14:textId="54B6D526" w:rsidR="006B709B" w:rsidRPr="002F61CA" w:rsidRDefault="006B709B" w:rsidP="00A35800">
      <w:r w:rsidRPr="002F61CA">
        <w:t xml:space="preserve">The current Product Information (PI) and Consumer Medicine Information (CMI) are available from </w:t>
      </w:r>
      <w:hyperlink r:id="rId9" w:history="1">
        <w:r w:rsidR="004B552B">
          <w:rPr>
            <w:rStyle w:val="Hyperlink"/>
          </w:rPr>
          <w:t>the TGA (Product Information)</w:t>
        </w:r>
      </w:hyperlink>
      <w:r w:rsidR="00561CB4">
        <w:t xml:space="preserve"> and </w:t>
      </w:r>
      <w:hyperlink r:id="rId10" w:history="1">
        <w:r w:rsidR="004B552B">
          <w:rPr>
            <w:rStyle w:val="Hyperlink"/>
          </w:rPr>
          <w:t>the TGA (Consumer Medicines Information)</w:t>
        </w:r>
      </w:hyperlink>
      <w:r w:rsidR="0024294B">
        <w:t>.</w:t>
      </w:r>
    </w:p>
    <w:p w14:paraId="143CC403" w14:textId="5A441729" w:rsidR="001420B3" w:rsidRDefault="001420B3" w:rsidP="002F63ED">
      <w:pPr>
        <w:pStyle w:val="Heading4"/>
      </w:pPr>
      <w:r w:rsidRPr="005C55C6">
        <w:t>Clinical situation</w:t>
      </w:r>
    </w:p>
    <w:p w14:paraId="0A3A966B" w14:textId="6C3373CD" w:rsidR="003459AA" w:rsidRPr="003459AA" w:rsidRDefault="00512C79" w:rsidP="003459AA">
      <w:r w:rsidRPr="00512C79">
        <w:t>DVT and PE are two aspects of one disease process known as venous thromboembolism (VTE).</w:t>
      </w:r>
      <w:r w:rsidR="00DF5ED8">
        <w:t xml:space="preserve">  </w:t>
      </w:r>
      <w:r w:rsidRPr="00512C79">
        <w:t>In DVT, a thrombus (blood clot) forms in the deep veins of the leg or pelvis where it may cause pain, tenderness and swelling of the leg.</w:t>
      </w:r>
      <w:r w:rsidR="00CD6783">
        <w:t xml:space="preserve"> </w:t>
      </w:r>
      <w:r w:rsidRPr="00512C79">
        <w:t xml:space="preserve"> In PE, some or all of the thrombus becomes detached and moves from the vein through the right side of the heart to lodge in one or more pulmonary arteries. </w:t>
      </w:r>
      <w:r w:rsidR="00CD6783">
        <w:t xml:space="preserve"> </w:t>
      </w:r>
      <w:r w:rsidRPr="00512C79">
        <w:t>PE may cause shortness of breath, bloody sputum, chest pai</w:t>
      </w:r>
      <w:r w:rsidR="0027407A">
        <w:t xml:space="preserve">n, faintness and heart failure.  </w:t>
      </w:r>
      <w:r w:rsidRPr="00512C79">
        <w:t>Massive PE leads to death.</w:t>
      </w:r>
      <w:r w:rsidR="00231297">
        <w:rPr>
          <w:rStyle w:val="FootnoteReference"/>
        </w:rPr>
        <w:footnoteReference w:id="4"/>
      </w:r>
    </w:p>
    <w:p w14:paraId="224EEE5E" w14:textId="326277F1" w:rsidR="00B33F78" w:rsidRDefault="00DF0B13" w:rsidP="00B33F78">
      <w:pPr>
        <w:pStyle w:val="Heading4"/>
      </w:pPr>
      <w:r w:rsidRPr="002801FD">
        <w:lastRenderedPageBreak/>
        <w:t>PBS listing details</w:t>
      </w:r>
      <w:r w:rsidR="00D151EB" w:rsidRPr="002801FD">
        <w:t xml:space="preserve"> (as at </w:t>
      </w:r>
      <w:r w:rsidR="00B33F78">
        <w:t>1 July 2014)</w:t>
      </w:r>
    </w:p>
    <w:p w14:paraId="0D31931C" w14:textId="41E54A8D" w:rsidR="0017721D" w:rsidRDefault="0017721D" w:rsidP="0017721D">
      <w:r>
        <w:t xml:space="preserve">The details of the PBS listings of </w:t>
      </w:r>
      <w:proofErr w:type="spellStart"/>
      <w:r>
        <w:t>rivaroxaban</w:t>
      </w:r>
      <w:proofErr w:type="spellEnd"/>
      <w:r>
        <w:t xml:space="preserve">, </w:t>
      </w:r>
      <w:proofErr w:type="spellStart"/>
      <w:r>
        <w:t>dabigatran</w:t>
      </w:r>
      <w:proofErr w:type="spellEnd"/>
      <w:r>
        <w:t xml:space="preserve"> and </w:t>
      </w:r>
      <w:proofErr w:type="spellStart"/>
      <w:r>
        <w:t>apixaban</w:t>
      </w:r>
      <w:proofErr w:type="spellEnd"/>
      <w:r>
        <w:t xml:space="preserve"> are shown in Table 2.</w:t>
      </w:r>
    </w:p>
    <w:p w14:paraId="6F8B4BF1" w14:textId="52F0773E" w:rsidR="0078522E" w:rsidRDefault="0078522E" w:rsidP="0078522E">
      <w:pPr>
        <w:pStyle w:val="Tabletitle"/>
      </w:pPr>
      <w:r>
        <w:t xml:space="preserve">Table </w:t>
      </w:r>
      <w:fldSimple w:instr=" SEQ Table \* ARABIC ">
        <w:r w:rsidR="00F25CCC">
          <w:rPr>
            <w:noProof/>
          </w:rPr>
          <w:t>2</w:t>
        </w:r>
      </w:fldSimple>
      <w:r w:rsidRPr="001420B3">
        <w:t xml:space="preserve">: </w:t>
      </w:r>
      <w:r>
        <w:t xml:space="preserve">PBS listing of </w:t>
      </w:r>
      <w:proofErr w:type="spellStart"/>
      <w:r>
        <w:t>rivaroxaban</w:t>
      </w:r>
      <w:proofErr w:type="spellEnd"/>
      <w:r>
        <w:t xml:space="preserve">, </w:t>
      </w:r>
      <w:proofErr w:type="spellStart"/>
      <w:r>
        <w:t>dabigatran</w:t>
      </w:r>
      <w:proofErr w:type="spellEnd"/>
      <w:r>
        <w:t xml:space="preserve"> and </w:t>
      </w:r>
      <w:proofErr w:type="spellStart"/>
      <w:r>
        <w:t>apixaban</w:t>
      </w:r>
      <w:proofErr w:type="spellEnd"/>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551"/>
        <w:gridCol w:w="1134"/>
        <w:gridCol w:w="993"/>
        <w:gridCol w:w="1134"/>
        <w:gridCol w:w="2268"/>
      </w:tblGrid>
      <w:tr w:rsidR="0078522E" w:rsidRPr="00D53AD7" w14:paraId="1C217C72" w14:textId="77777777" w:rsidTr="00514A14">
        <w:trPr>
          <w:cantSplit/>
          <w:trHeight w:val="1020"/>
          <w:tblHeader/>
        </w:trPr>
        <w:tc>
          <w:tcPr>
            <w:tcW w:w="866" w:type="dxa"/>
            <w:shd w:val="clear" w:color="000000" w:fill="BFBFBF"/>
            <w:vAlign w:val="center"/>
            <w:hideMark/>
          </w:tcPr>
          <w:p w14:paraId="4DED52C9" w14:textId="77777777" w:rsidR="0078522E" w:rsidRPr="00D53AD7" w:rsidRDefault="0078522E" w:rsidP="000576E3">
            <w:pPr>
              <w:spacing w:after="0" w:line="276" w:lineRule="auto"/>
              <w:rPr>
                <w:rFonts w:ascii="Calibri" w:eastAsia="Times New Roman" w:hAnsi="Calibri" w:cs="Times New Roman"/>
                <w:b/>
                <w:bCs/>
                <w:sz w:val="20"/>
                <w:szCs w:val="20"/>
                <w:lang w:eastAsia="en-US"/>
              </w:rPr>
            </w:pPr>
            <w:r w:rsidRPr="00D53AD7">
              <w:rPr>
                <w:rFonts w:ascii="Calibri" w:eastAsia="Times New Roman" w:hAnsi="Calibri" w:cs="Times New Roman"/>
                <w:b/>
                <w:bCs/>
                <w:sz w:val="20"/>
                <w:szCs w:val="20"/>
                <w:lang w:eastAsia="en-US"/>
              </w:rPr>
              <w:t>Item</w:t>
            </w:r>
          </w:p>
        </w:tc>
        <w:tc>
          <w:tcPr>
            <w:tcW w:w="2551" w:type="dxa"/>
            <w:shd w:val="clear" w:color="000000" w:fill="BFBFBF"/>
            <w:vAlign w:val="center"/>
            <w:hideMark/>
          </w:tcPr>
          <w:p w14:paraId="248DDAFD" w14:textId="77777777" w:rsidR="0078522E" w:rsidRPr="00D53AD7" w:rsidRDefault="0078522E" w:rsidP="000576E3">
            <w:pPr>
              <w:spacing w:after="0" w:line="276" w:lineRule="auto"/>
              <w:jc w:val="center"/>
              <w:rPr>
                <w:rFonts w:ascii="Calibri" w:eastAsia="Times New Roman" w:hAnsi="Calibri" w:cs="Times New Roman"/>
                <w:b/>
                <w:bCs/>
                <w:sz w:val="20"/>
                <w:szCs w:val="20"/>
                <w:lang w:eastAsia="en-US"/>
              </w:rPr>
            </w:pPr>
            <w:r w:rsidRPr="00D53AD7">
              <w:rPr>
                <w:rFonts w:ascii="Calibri" w:eastAsia="Times New Roman" w:hAnsi="Calibri" w:cs="Times New Roman"/>
                <w:b/>
                <w:bCs/>
                <w:sz w:val="20"/>
                <w:szCs w:val="20"/>
                <w:lang w:eastAsia="en-US"/>
              </w:rPr>
              <w:t>Name, form &amp; strength, pack size</w:t>
            </w:r>
          </w:p>
        </w:tc>
        <w:tc>
          <w:tcPr>
            <w:tcW w:w="1134" w:type="dxa"/>
            <w:shd w:val="clear" w:color="000000" w:fill="BFBFBF"/>
            <w:vAlign w:val="center"/>
            <w:hideMark/>
          </w:tcPr>
          <w:p w14:paraId="7116D9F3" w14:textId="38B61105" w:rsidR="0078522E" w:rsidRPr="00D53AD7" w:rsidRDefault="00514A14" w:rsidP="000576E3">
            <w:pPr>
              <w:spacing w:after="0" w:line="276" w:lineRule="auto"/>
              <w:jc w:val="center"/>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Maximum quantity</w:t>
            </w:r>
          </w:p>
        </w:tc>
        <w:tc>
          <w:tcPr>
            <w:tcW w:w="993" w:type="dxa"/>
            <w:shd w:val="clear" w:color="000000" w:fill="BFBFBF"/>
            <w:vAlign w:val="center"/>
            <w:hideMark/>
          </w:tcPr>
          <w:p w14:paraId="14B42868" w14:textId="3E772BA5" w:rsidR="0078522E" w:rsidRPr="00D53AD7" w:rsidRDefault="0078522E" w:rsidP="000576E3">
            <w:pPr>
              <w:spacing w:after="0" w:line="276" w:lineRule="auto"/>
              <w:jc w:val="center"/>
              <w:rPr>
                <w:rFonts w:ascii="Calibri" w:eastAsia="Times New Roman" w:hAnsi="Calibri" w:cs="Times New Roman"/>
                <w:b/>
                <w:bCs/>
                <w:sz w:val="20"/>
                <w:szCs w:val="20"/>
                <w:lang w:eastAsia="en-US"/>
              </w:rPr>
            </w:pPr>
            <w:r w:rsidRPr="00D53AD7">
              <w:rPr>
                <w:rFonts w:ascii="Calibri" w:eastAsia="Times New Roman" w:hAnsi="Calibri" w:cs="Times New Roman"/>
                <w:b/>
                <w:bCs/>
                <w:sz w:val="20"/>
                <w:szCs w:val="20"/>
                <w:lang w:eastAsia="en-US"/>
              </w:rPr>
              <w:t>R</w:t>
            </w:r>
            <w:r w:rsidR="0056710D">
              <w:rPr>
                <w:rFonts w:ascii="Calibri" w:eastAsia="Times New Roman" w:hAnsi="Calibri" w:cs="Times New Roman"/>
                <w:b/>
                <w:bCs/>
                <w:sz w:val="20"/>
                <w:szCs w:val="20"/>
                <w:lang w:eastAsia="en-US"/>
              </w:rPr>
              <w:t>e</w:t>
            </w:r>
            <w:r w:rsidRPr="00D53AD7">
              <w:rPr>
                <w:rFonts w:ascii="Calibri" w:eastAsia="Times New Roman" w:hAnsi="Calibri" w:cs="Times New Roman"/>
                <w:b/>
                <w:bCs/>
                <w:sz w:val="20"/>
                <w:szCs w:val="20"/>
                <w:lang w:eastAsia="en-US"/>
              </w:rPr>
              <w:t>p</w:t>
            </w:r>
            <w:r w:rsidR="0056710D">
              <w:rPr>
                <w:rFonts w:ascii="Calibri" w:eastAsia="Times New Roman" w:hAnsi="Calibri" w:cs="Times New Roman"/>
                <w:b/>
                <w:bCs/>
                <w:sz w:val="20"/>
                <w:szCs w:val="20"/>
                <w:lang w:eastAsia="en-US"/>
              </w:rPr>
              <w:t>ea</w:t>
            </w:r>
            <w:r w:rsidRPr="00D53AD7">
              <w:rPr>
                <w:rFonts w:ascii="Calibri" w:eastAsia="Times New Roman" w:hAnsi="Calibri" w:cs="Times New Roman"/>
                <w:b/>
                <w:bCs/>
                <w:sz w:val="20"/>
                <w:szCs w:val="20"/>
                <w:lang w:eastAsia="en-US"/>
              </w:rPr>
              <w:t>ts</w:t>
            </w:r>
          </w:p>
        </w:tc>
        <w:tc>
          <w:tcPr>
            <w:tcW w:w="1134" w:type="dxa"/>
            <w:shd w:val="clear" w:color="000000" w:fill="BFBFBF"/>
            <w:vAlign w:val="center"/>
            <w:hideMark/>
          </w:tcPr>
          <w:p w14:paraId="5E7ECB43" w14:textId="77777777" w:rsidR="0078522E" w:rsidRPr="00D53AD7" w:rsidRDefault="0078522E" w:rsidP="000576E3">
            <w:pPr>
              <w:spacing w:after="0" w:line="276" w:lineRule="auto"/>
              <w:jc w:val="center"/>
              <w:rPr>
                <w:rFonts w:ascii="Calibri" w:eastAsia="Times New Roman" w:hAnsi="Calibri" w:cs="Times New Roman"/>
                <w:b/>
                <w:bCs/>
                <w:sz w:val="20"/>
                <w:szCs w:val="20"/>
                <w:lang w:eastAsia="en-US"/>
              </w:rPr>
            </w:pPr>
            <w:r w:rsidRPr="00D53AD7">
              <w:rPr>
                <w:rFonts w:ascii="Calibri" w:eastAsia="Times New Roman" w:hAnsi="Calibri" w:cs="Times New Roman"/>
                <w:b/>
                <w:bCs/>
                <w:sz w:val="20"/>
                <w:szCs w:val="20"/>
                <w:lang w:eastAsia="en-US"/>
              </w:rPr>
              <w:t>DPMQ</w:t>
            </w:r>
          </w:p>
        </w:tc>
        <w:tc>
          <w:tcPr>
            <w:tcW w:w="2268" w:type="dxa"/>
            <w:shd w:val="clear" w:color="000000" w:fill="BFBFBF"/>
            <w:vAlign w:val="center"/>
            <w:hideMark/>
          </w:tcPr>
          <w:p w14:paraId="4148ACFF" w14:textId="77777777" w:rsidR="0078522E" w:rsidRPr="00D53AD7" w:rsidRDefault="0078522E" w:rsidP="000576E3">
            <w:pPr>
              <w:spacing w:after="0" w:line="276" w:lineRule="auto"/>
              <w:jc w:val="center"/>
              <w:rPr>
                <w:rFonts w:ascii="Calibri" w:eastAsia="Times New Roman" w:hAnsi="Calibri" w:cs="Times New Roman"/>
                <w:b/>
                <w:bCs/>
                <w:sz w:val="20"/>
                <w:szCs w:val="20"/>
                <w:lang w:eastAsia="en-US"/>
              </w:rPr>
            </w:pPr>
            <w:r w:rsidRPr="00D53AD7">
              <w:rPr>
                <w:rFonts w:ascii="Calibri" w:eastAsia="Times New Roman" w:hAnsi="Calibri" w:cs="Times New Roman"/>
                <w:b/>
                <w:bCs/>
                <w:sz w:val="20"/>
                <w:szCs w:val="20"/>
                <w:lang w:eastAsia="en-US"/>
              </w:rPr>
              <w:t>Brand name and manufacturer</w:t>
            </w:r>
          </w:p>
        </w:tc>
      </w:tr>
      <w:tr w:rsidR="0078522E" w:rsidRPr="00D53AD7" w14:paraId="0AEFCBF3" w14:textId="77777777" w:rsidTr="00514A14">
        <w:trPr>
          <w:cantSplit/>
          <w:trHeight w:val="782"/>
          <w:tblHeader/>
        </w:trPr>
        <w:tc>
          <w:tcPr>
            <w:tcW w:w="866" w:type="dxa"/>
            <w:shd w:val="clear" w:color="auto" w:fill="auto"/>
            <w:noWrap/>
            <w:vAlign w:val="center"/>
            <w:hideMark/>
          </w:tcPr>
          <w:p w14:paraId="4BAFD1AB"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2160Q</w:t>
            </w:r>
          </w:p>
        </w:tc>
        <w:tc>
          <w:tcPr>
            <w:tcW w:w="2551" w:type="dxa"/>
            <w:shd w:val="clear" w:color="auto" w:fill="auto"/>
            <w:vAlign w:val="center"/>
            <w:hideMark/>
          </w:tcPr>
          <w:p w14:paraId="330B6610"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RIVAROXABAN</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rivaroxaban</w:t>
            </w:r>
            <w:proofErr w:type="spellEnd"/>
            <w:r w:rsidRPr="00D53AD7">
              <w:rPr>
                <w:rFonts w:ascii="Calibri" w:eastAsia="Times New Roman" w:hAnsi="Calibri" w:cs="Times New Roman"/>
                <w:sz w:val="20"/>
                <w:szCs w:val="20"/>
                <w:lang w:eastAsia="en-US"/>
              </w:rPr>
              <w:t xml:space="preserve"> 15 mg tablet, 42</w:t>
            </w:r>
          </w:p>
        </w:tc>
        <w:tc>
          <w:tcPr>
            <w:tcW w:w="1134" w:type="dxa"/>
            <w:shd w:val="clear" w:color="auto" w:fill="auto"/>
            <w:noWrap/>
            <w:vAlign w:val="center"/>
            <w:hideMark/>
          </w:tcPr>
          <w:p w14:paraId="57573E97"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993" w:type="dxa"/>
            <w:shd w:val="clear" w:color="auto" w:fill="auto"/>
            <w:noWrap/>
            <w:vAlign w:val="center"/>
            <w:hideMark/>
          </w:tcPr>
          <w:p w14:paraId="49090B56"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1134" w:type="dxa"/>
            <w:shd w:val="clear" w:color="auto" w:fill="auto"/>
            <w:noWrap/>
            <w:vAlign w:val="center"/>
            <w:hideMark/>
          </w:tcPr>
          <w:p w14:paraId="7B04ABF8"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$138.89</w:t>
            </w:r>
          </w:p>
        </w:tc>
        <w:tc>
          <w:tcPr>
            <w:tcW w:w="2268" w:type="dxa"/>
            <w:vMerge w:val="restart"/>
            <w:shd w:val="clear" w:color="auto" w:fill="auto"/>
            <w:vAlign w:val="center"/>
            <w:hideMark/>
          </w:tcPr>
          <w:p w14:paraId="7D463F1A" w14:textId="77777777" w:rsidR="0078522E" w:rsidRPr="00D53AD7" w:rsidRDefault="0078522E" w:rsidP="000576E3">
            <w:pPr>
              <w:spacing w:after="0" w:line="276" w:lineRule="auto"/>
              <w:rPr>
                <w:rFonts w:ascii="Calibri" w:eastAsia="Times New Roman" w:hAnsi="Calibri" w:cs="Times New Roman"/>
                <w:sz w:val="20"/>
                <w:szCs w:val="20"/>
                <w:lang w:eastAsia="en-US"/>
              </w:rPr>
            </w:pPr>
            <w:proofErr w:type="spellStart"/>
            <w:r w:rsidRPr="00D53AD7">
              <w:rPr>
                <w:rFonts w:ascii="Calibri" w:eastAsia="Times New Roman" w:hAnsi="Calibri" w:cs="Times New Roman"/>
                <w:sz w:val="20"/>
                <w:szCs w:val="20"/>
                <w:lang w:eastAsia="en-US"/>
              </w:rPr>
              <w:t>Xarelto</w:t>
            </w:r>
            <w:proofErr w:type="spellEnd"/>
            <w:r w:rsidRPr="00D53AD7">
              <w:rPr>
                <w:rFonts w:ascii="Calibri" w:eastAsia="Times New Roman" w:hAnsi="Calibri" w:cs="Times New Roman"/>
                <w:sz w:val="20"/>
                <w:szCs w:val="20"/>
                <w:lang w:eastAsia="en-US"/>
              </w:rPr>
              <w:t>®</w:t>
            </w:r>
            <w:r w:rsidRPr="00D53AD7">
              <w:rPr>
                <w:rFonts w:ascii="Calibri" w:eastAsia="Times New Roman" w:hAnsi="Calibri" w:cs="Times New Roman"/>
                <w:sz w:val="20"/>
                <w:szCs w:val="20"/>
                <w:lang w:eastAsia="en-US"/>
              </w:rPr>
              <w:br/>
              <w:t>Bayer Australia Ltd</w:t>
            </w:r>
          </w:p>
        </w:tc>
      </w:tr>
      <w:tr w:rsidR="0078522E" w:rsidRPr="00D53AD7" w14:paraId="094D55CC" w14:textId="77777777" w:rsidTr="00514A14">
        <w:trPr>
          <w:cantSplit/>
          <w:trHeight w:val="780"/>
          <w:tblHeader/>
        </w:trPr>
        <w:tc>
          <w:tcPr>
            <w:tcW w:w="866" w:type="dxa"/>
            <w:shd w:val="clear" w:color="auto" w:fill="auto"/>
            <w:noWrap/>
            <w:vAlign w:val="center"/>
            <w:hideMark/>
          </w:tcPr>
          <w:p w14:paraId="2C6FD45D"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2268J*</w:t>
            </w:r>
          </w:p>
        </w:tc>
        <w:tc>
          <w:tcPr>
            <w:tcW w:w="2551" w:type="dxa"/>
            <w:shd w:val="clear" w:color="auto" w:fill="auto"/>
            <w:vAlign w:val="center"/>
            <w:hideMark/>
          </w:tcPr>
          <w:p w14:paraId="5932B845"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RIVAROXABAN</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rivaroxaban</w:t>
            </w:r>
            <w:proofErr w:type="spellEnd"/>
            <w:r w:rsidRPr="00D53AD7">
              <w:rPr>
                <w:rFonts w:ascii="Calibri" w:eastAsia="Times New Roman" w:hAnsi="Calibri" w:cs="Times New Roman"/>
                <w:sz w:val="20"/>
                <w:szCs w:val="20"/>
                <w:lang w:eastAsia="en-US"/>
              </w:rPr>
              <w:t xml:space="preserve"> 20 mg tablet, 28</w:t>
            </w:r>
          </w:p>
        </w:tc>
        <w:tc>
          <w:tcPr>
            <w:tcW w:w="1134" w:type="dxa"/>
            <w:shd w:val="clear" w:color="auto" w:fill="auto"/>
            <w:noWrap/>
            <w:vAlign w:val="center"/>
            <w:hideMark/>
          </w:tcPr>
          <w:p w14:paraId="09D409A9"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993" w:type="dxa"/>
            <w:shd w:val="clear" w:color="auto" w:fill="auto"/>
            <w:noWrap/>
            <w:vAlign w:val="center"/>
            <w:hideMark/>
          </w:tcPr>
          <w:p w14:paraId="26833CA9"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5</w:t>
            </w:r>
          </w:p>
        </w:tc>
        <w:tc>
          <w:tcPr>
            <w:tcW w:w="1134" w:type="dxa"/>
            <w:shd w:val="clear" w:color="auto" w:fill="auto"/>
            <w:noWrap/>
            <w:vAlign w:val="center"/>
            <w:hideMark/>
          </w:tcPr>
          <w:p w14:paraId="13BAF5F1"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$94.85</w:t>
            </w:r>
          </w:p>
        </w:tc>
        <w:tc>
          <w:tcPr>
            <w:tcW w:w="2268" w:type="dxa"/>
            <w:vMerge/>
            <w:vAlign w:val="center"/>
            <w:hideMark/>
          </w:tcPr>
          <w:p w14:paraId="0679CA2A" w14:textId="77777777" w:rsidR="0078522E" w:rsidRPr="00D53AD7" w:rsidRDefault="0078522E" w:rsidP="000576E3">
            <w:pPr>
              <w:spacing w:after="0" w:line="276" w:lineRule="auto"/>
              <w:rPr>
                <w:rFonts w:ascii="Calibri" w:eastAsia="Times New Roman" w:hAnsi="Calibri" w:cs="Times New Roman"/>
                <w:sz w:val="20"/>
                <w:szCs w:val="20"/>
                <w:lang w:eastAsia="en-US"/>
              </w:rPr>
            </w:pPr>
          </w:p>
        </w:tc>
      </w:tr>
      <w:tr w:rsidR="0078522E" w:rsidRPr="00D53AD7" w14:paraId="2FD3596D" w14:textId="77777777" w:rsidTr="00514A14">
        <w:trPr>
          <w:cantSplit/>
          <w:trHeight w:val="780"/>
          <w:tblHeader/>
        </w:trPr>
        <w:tc>
          <w:tcPr>
            <w:tcW w:w="866" w:type="dxa"/>
            <w:shd w:val="clear" w:color="auto" w:fill="auto"/>
            <w:noWrap/>
            <w:vAlign w:val="center"/>
            <w:hideMark/>
          </w:tcPr>
          <w:p w14:paraId="76E130D9"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9465E</w:t>
            </w:r>
          </w:p>
        </w:tc>
        <w:tc>
          <w:tcPr>
            <w:tcW w:w="2551" w:type="dxa"/>
            <w:shd w:val="clear" w:color="auto" w:fill="auto"/>
            <w:vAlign w:val="center"/>
            <w:hideMark/>
          </w:tcPr>
          <w:p w14:paraId="381BE872"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RIVAROXABAN</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rivaroxaban</w:t>
            </w:r>
            <w:proofErr w:type="spellEnd"/>
            <w:r w:rsidRPr="00D53AD7">
              <w:rPr>
                <w:rFonts w:ascii="Calibri" w:eastAsia="Times New Roman" w:hAnsi="Calibri" w:cs="Times New Roman"/>
                <w:sz w:val="20"/>
                <w:szCs w:val="20"/>
                <w:lang w:eastAsia="en-US"/>
              </w:rPr>
              <w:t xml:space="preserve"> 10 mg tablet, 10</w:t>
            </w:r>
          </w:p>
        </w:tc>
        <w:tc>
          <w:tcPr>
            <w:tcW w:w="1134" w:type="dxa"/>
            <w:shd w:val="clear" w:color="auto" w:fill="auto"/>
            <w:noWrap/>
            <w:vAlign w:val="center"/>
            <w:hideMark/>
          </w:tcPr>
          <w:p w14:paraId="21B141BF"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993" w:type="dxa"/>
            <w:shd w:val="clear" w:color="auto" w:fill="auto"/>
            <w:noWrap/>
            <w:vAlign w:val="center"/>
            <w:hideMark/>
          </w:tcPr>
          <w:p w14:paraId="2833F82E"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1134" w:type="dxa"/>
            <w:shd w:val="clear" w:color="auto" w:fill="auto"/>
            <w:noWrap/>
            <w:vAlign w:val="center"/>
            <w:hideMark/>
          </w:tcPr>
          <w:p w14:paraId="6CC4D499"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$39.65</w:t>
            </w:r>
          </w:p>
        </w:tc>
        <w:tc>
          <w:tcPr>
            <w:tcW w:w="2268" w:type="dxa"/>
            <w:vMerge/>
            <w:vAlign w:val="center"/>
            <w:hideMark/>
          </w:tcPr>
          <w:p w14:paraId="561CF442" w14:textId="77777777" w:rsidR="0078522E" w:rsidRPr="00D53AD7" w:rsidRDefault="0078522E" w:rsidP="000576E3">
            <w:pPr>
              <w:spacing w:after="0" w:line="276" w:lineRule="auto"/>
              <w:rPr>
                <w:rFonts w:ascii="Calibri" w:eastAsia="Times New Roman" w:hAnsi="Calibri" w:cs="Times New Roman"/>
                <w:sz w:val="20"/>
                <w:szCs w:val="20"/>
                <w:lang w:eastAsia="en-US"/>
              </w:rPr>
            </w:pPr>
          </w:p>
        </w:tc>
      </w:tr>
      <w:tr w:rsidR="0078522E" w:rsidRPr="00D53AD7" w14:paraId="0C1B0B2B" w14:textId="77777777" w:rsidTr="00514A14">
        <w:trPr>
          <w:cantSplit/>
          <w:trHeight w:val="780"/>
          <w:tblHeader/>
        </w:trPr>
        <w:tc>
          <w:tcPr>
            <w:tcW w:w="866" w:type="dxa"/>
            <w:shd w:val="clear" w:color="auto" w:fill="auto"/>
            <w:noWrap/>
            <w:vAlign w:val="center"/>
            <w:hideMark/>
          </w:tcPr>
          <w:p w14:paraId="5A1A6F15"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9466F</w:t>
            </w:r>
          </w:p>
        </w:tc>
        <w:tc>
          <w:tcPr>
            <w:tcW w:w="2551" w:type="dxa"/>
            <w:shd w:val="clear" w:color="auto" w:fill="auto"/>
            <w:vAlign w:val="center"/>
            <w:hideMark/>
          </w:tcPr>
          <w:p w14:paraId="43245338"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RIVAROXABAN</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rivaroxaban</w:t>
            </w:r>
            <w:proofErr w:type="spellEnd"/>
            <w:r w:rsidRPr="00D53AD7">
              <w:rPr>
                <w:rFonts w:ascii="Calibri" w:eastAsia="Times New Roman" w:hAnsi="Calibri" w:cs="Times New Roman"/>
                <w:sz w:val="20"/>
                <w:szCs w:val="20"/>
                <w:lang w:eastAsia="en-US"/>
              </w:rPr>
              <w:t xml:space="preserve"> 10 mg tablet, 15</w:t>
            </w:r>
          </w:p>
        </w:tc>
        <w:tc>
          <w:tcPr>
            <w:tcW w:w="1134" w:type="dxa"/>
            <w:shd w:val="clear" w:color="auto" w:fill="auto"/>
            <w:noWrap/>
            <w:vAlign w:val="center"/>
            <w:hideMark/>
          </w:tcPr>
          <w:p w14:paraId="639955F8"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993" w:type="dxa"/>
            <w:shd w:val="clear" w:color="auto" w:fill="auto"/>
            <w:noWrap/>
            <w:vAlign w:val="center"/>
            <w:hideMark/>
          </w:tcPr>
          <w:p w14:paraId="0C840801"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1134" w:type="dxa"/>
            <w:shd w:val="clear" w:color="auto" w:fill="auto"/>
            <w:noWrap/>
            <w:vAlign w:val="center"/>
            <w:hideMark/>
          </w:tcPr>
          <w:p w14:paraId="4033B9F9"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$54.16</w:t>
            </w:r>
          </w:p>
        </w:tc>
        <w:tc>
          <w:tcPr>
            <w:tcW w:w="2268" w:type="dxa"/>
            <w:vMerge/>
            <w:vAlign w:val="center"/>
            <w:hideMark/>
          </w:tcPr>
          <w:p w14:paraId="1B72545C" w14:textId="77777777" w:rsidR="0078522E" w:rsidRPr="00D53AD7" w:rsidRDefault="0078522E" w:rsidP="000576E3">
            <w:pPr>
              <w:spacing w:after="0" w:line="276" w:lineRule="auto"/>
              <w:rPr>
                <w:rFonts w:ascii="Calibri" w:eastAsia="Times New Roman" w:hAnsi="Calibri" w:cs="Times New Roman"/>
                <w:sz w:val="20"/>
                <w:szCs w:val="20"/>
                <w:lang w:eastAsia="en-US"/>
              </w:rPr>
            </w:pPr>
          </w:p>
        </w:tc>
      </w:tr>
      <w:tr w:rsidR="0078522E" w:rsidRPr="00D53AD7" w14:paraId="13647ED6" w14:textId="77777777" w:rsidTr="00514A14">
        <w:trPr>
          <w:cantSplit/>
          <w:trHeight w:val="780"/>
          <w:tblHeader/>
        </w:trPr>
        <w:tc>
          <w:tcPr>
            <w:tcW w:w="866" w:type="dxa"/>
            <w:shd w:val="clear" w:color="auto" w:fill="auto"/>
            <w:noWrap/>
            <w:vAlign w:val="center"/>
            <w:hideMark/>
          </w:tcPr>
          <w:p w14:paraId="04881783"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9467G</w:t>
            </w:r>
          </w:p>
        </w:tc>
        <w:tc>
          <w:tcPr>
            <w:tcW w:w="2551" w:type="dxa"/>
            <w:shd w:val="clear" w:color="auto" w:fill="auto"/>
            <w:vAlign w:val="center"/>
            <w:hideMark/>
          </w:tcPr>
          <w:p w14:paraId="73FABA7A"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RIVAROXABAN</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rivaroxaban</w:t>
            </w:r>
            <w:proofErr w:type="spellEnd"/>
            <w:r w:rsidRPr="00D53AD7">
              <w:rPr>
                <w:rFonts w:ascii="Calibri" w:eastAsia="Times New Roman" w:hAnsi="Calibri" w:cs="Times New Roman"/>
                <w:sz w:val="20"/>
                <w:szCs w:val="20"/>
                <w:lang w:eastAsia="en-US"/>
              </w:rPr>
              <w:t xml:space="preserve"> 10 mg tablet, 30</w:t>
            </w:r>
          </w:p>
        </w:tc>
        <w:tc>
          <w:tcPr>
            <w:tcW w:w="1134" w:type="dxa"/>
            <w:shd w:val="clear" w:color="auto" w:fill="auto"/>
            <w:noWrap/>
            <w:vAlign w:val="center"/>
            <w:hideMark/>
          </w:tcPr>
          <w:p w14:paraId="74D0DBDE"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993" w:type="dxa"/>
            <w:shd w:val="clear" w:color="auto" w:fill="auto"/>
            <w:noWrap/>
            <w:vAlign w:val="center"/>
            <w:hideMark/>
          </w:tcPr>
          <w:p w14:paraId="0B8FD61A"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1134" w:type="dxa"/>
            <w:shd w:val="clear" w:color="auto" w:fill="auto"/>
            <w:noWrap/>
            <w:vAlign w:val="center"/>
            <w:hideMark/>
          </w:tcPr>
          <w:p w14:paraId="28156010"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$101.14</w:t>
            </w:r>
          </w:p>
        </w:tc>
        <w:tc>
          <w:tcPr>
            <w:tcW w:w="2268" w:type="dxa"/>
            <w:vMerge/>
            <w:vAlign w:val="center"/>
            <w:hideMark/>
          </w:tcPr>
          <w:p w14:paraId="57131DA1" w14:textId="77777777" w:rsidR="0078522E" w:rsidRPr="00D53AD7" w:rsidRDefault="0078522E" w:rsidP="000576E3">
            <w:pPr>
              <w:spacing w:after="0" w:line="276" w:lineRule="auto"/>
              <w:rPr>
                <w:rFonts w:ascii="Calibri" w:eastAsia="Times New Roman" w:hAnsi="Calibri" w:cs="Times New Roman"/>
                <w:sz w:val="20"/>
                <w:szCs w:val="20"/>
                <w:lang w:eastAsia="en-US"/>
              </w:rPr>
            </w:pPr>
          </w:p>
        </w:tc>
      </w:tr>
      <w:tr w:rsidR="0078522E" w:rsidRPr="00D53AD7" w14:paraId="7C0957E8" w14:textId="77777777" w:rsidTr="00514A14">
        <w:trPr>
          <w:cantSplit/>
          <w:trHeight w:val="780"/>
          <w:tblHeader/>
        </w:trPr>
        <w:tc>
          <w:tcPr>
            <w:tcW w:w="866" w:type="dxa"/>
            <w:shd w:val="clear" w:color="auto" w:fill="auto"/>
            <w:noWrap/>
            <w:vAlign w:val="center"/>
            <w:hideMark/>
          </w:tcPr>
          <w:p w14:paraId="116286F3"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9468H</w:t>
            </w:r>
          </w:p>
        </w:tc>
        <w:tc>
          <w:tcPr>
            <w:tcW w:w="2551" w:type="dxa"/>
            <w:shd w:val="clear" w:color="auto" w:fill="auto"/>
            <w:vAlign w:val="center"/>
            <w:hideMark/>
          </w:tcPr>
          <w:p w14:paraId="0BDFDC64"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RIVAROXABAN</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rivaroxaban</w:t>
            </w:r>
            <w:proofErr w:type="spellEnd"/>
            <w:r w:rsidRPr="00D53AD7">
              <w:rPr>
                <w:rFonts w:ascii="Calibri" w:eastAsia="Times New Roman" w:hAnsi="Calibri" w:cs="Times New Roman"/>
                <w:sz w:val="20"/>
                <w:szCs w:val="20"/>
                <w:lang w:eastAsia="en-US"/>
              </w:rPr>
              <w:t xml:space="preserve"> 10 mg tablet, 30</w:t>
            </w:r>
          </w:p>
        </w:tc>
        <w:tc>
          <w:tcPr>
            <w:tcW w:w="1134" w:type="dxa"/>
            <w:shd w:val="clear" w:color="auto" w:fill="auto"/>
            <w:noWrap/>
            <w:vAlign w:val="center"/>
            <w:hideMark/>
          </w:tcPr>
          <w:p w14:paraId="2616A014"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993" w:type="dxa"/>
            <w:shd w:val="clear" w:color="auto" w:fill="auto"/>
            <w:noWrap/>
            <w:vAlign w:val="center"/>
            <w:hideMark/>
          </w:tcPr>
          <w:p w14:paraId="4D07D823"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1134" w:type="dxa"/>
            <w:shd w:val="clear" w:color="auto" w:fill="auto"/>
            <w:noWrap/>
            <w:vAlign w:val="center"/>
            <w:hideMark/>
          </w:tcPr>
          <w:p w14:paraId="40FB8B62"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$39.65</w:t>
            </w:r>
          </w:p>
        </w:tc>
        <w:tc>
          <w:tcPr>
            <w:tcW w:w="2268" w:type="dxa"/>
            <w:vMerge/>
            <w:vAlign w:val="center"/>
            <w:hideMark/>
          </w:tcPr>
          <w:p w14:paraId="0D1F122F" w14:textId="77777777" w:rsidR="0078522E" w:rsidRPr="00D53AD7" w:rsidRDefault="0078522E" w:rsidP="000576E3">
            <w:pPr>
              <w:spacing w:after="0" w:line="276" w:lineRule="auto"/>
              <w:rPr>
                <w:rFonts w:ascii="Calibri" w:eastAsia="Times New Roman" w:hAnsi="Calibri" w:cs="Times New Roman"/>
                <w:sz w:val="20"/>
                <w:szCs w:val="20"/>
                <w:lang w:eastAsia="en-US"/>
              </w:rPr>
            </w:pPr>
          </w:p>
        </w:tc>
      </w:tr>
      <w:tr w:rsidR="0078522E" w:rsidRPr="00D53AD7" w14:paraId="238A601E" w14:textId="77777777" w:rsidTr="00514A14">
        <w:trPr>
          <w:cantSplit/>
          <w:trHeight w:val="525"/>
          <w:tblHeader/>
        </w:trPr>
        <w:tc>
          <w:tcPr>
            <w:tcW w:w="866" w:type="dxa"/>
            <w:shd w:val="clear" w:color="auto" w:fill="auto"/>
            <w:noWrap/>
            <w:vAlign w:val="center"/>
            <w:hideMark/>
          </w:tcPr>
          <w:p w14:paraId="0D7E6063"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9469J</w:t>
            </w:r>
          </w:p>
        </w:tc>
        <w:tc>
          <w:tcPr>
            <w:tcW w:w="2551" w:type="dxa"/>
            <w:shd w:val="clear" w:color="auto" w:fill="auto"/>
            <w:vAlign w:val="center"/>
            <w:hideMark/>
          </w:tcPr>
          <w:p w14:paraId="4444683E"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RIVAROXABAN</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rivaroxaban</w:t>
            </w:r>
            <w:proofErr w:type="spellEnd"/>
            <w:r w:rsidRPr="00D53AD7">
              <w:rPr>
                <w:rFonts w:ascii="Calibri" w:eastAsia="Times New Roman" w:hAnsi="Calibri" w:cs="Times New Roman"/>
                <w:sz w:val="20"/>
                <w:szCs w:val="20"/>
                <w:lang w:eastAsia="en-US"/>
              </w:rPr>
              <w:t xml:space="preserve"> 10 mg tablet, 15</w:t>
            </w:r>
          </w:p>
        </w:tc>
        <w:tc>
          <w:tcPr>
            <w:tcW w:w="1134" w:type="dxa"/>
            <w:shd w:val="clear" w:color="auto" w:fill="auto"/>
            <w:noWrap/>
            <w:vAlign w:val="center"/>
            <w:hideMark/>
          </w:tcPr>
          <w:p w14:paraId="0F5FE7CC"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993" w:type="dxa"/>
            <w:shd w:val="clear" w:color="auto" w:fill="auto"/>
            <w:noWrap/>
            <w:vAlign w:val="center"/>
            <w:hideMark/>
          </w:tcPr>
          <w:p w14:paraId="6D4C2558"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1134" w:type="dxa"/>
            <w:shd w:val="clear" w:color="auto" w:fill="auto"/>
            <w:noWrap/>
            <w:vAlign w:val="center"/>
            <w:hideMark/>
          </w:tcPr>
          <w:p w14:paraId="1D418F91"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$54.16</w:t>
            </w:r>
          </w:p>
        </w:tc>
        <w:tc>
          <w:tcPr>
            <w:tcW w:w="2268" w:type="dxa"/>
            <w:vMerge/>
            <w:vAlign w:val="center"/>
            <w:hideMark/>
          </w:tcPr>
          <w:p w14:paraId="772D650B" w14:textId="77777777" w:rsidR="0078522E" w:rsidRPr="00D53AD7" w:rsidRDefault="0078522E" w:rsidP="000576E3">
            <w:pPr>
              <w:spacing w:after="0" w:line="276" w:lineRule="auto"/>
              <w:rPr>
                <w:rFonts w:ascii="Calibri" w:eastAsia="Times New Roman" w:hAnsi="Calibri" w:cs="Times New Roman"/>
                <w:sz w:val="20"/>
                <w:szCs w:val="20"/>
                <w:lang w:eastAsia="en-US"/>
              </w:rPr>
            </w:pPr>
          </w:p>
        </w:tc>
      </w:tr>
      <w:tr w:rsidR="0078522E" w:rsidRPr="00D53AD7" w14:paraId="1DFB7371" w14:textId="77777777" w:rsidTr="00514A14">
        <w:trPr>
          <w:cantSplit/>
          <w:trHeight w:val="782"/>
          <w:tblHeader/>
        </w:trPr>
        <w:tc>
          <w:tcPr>
            <w:tcW w:w="866" w:type="dxa"/>
            <w:shd w:val="clear" w:color="auto" w:fill="auto"/>
            <w:noWrap/>
            <w:vAlign w:val="center"/>
            <w:hideMark/>
          </w:tcPr>
          <w:p w14:paraId="0E9621D0"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9318K</w:t>
            </w:r>
          </w:p>
        </w:tc>
        <w:tc>
          <w:tcPr>
            <w:tcW w:w="2551" w:type="dxa"/>
            <w:shd w:val="clear" w:color="auto" w:fill="auto"/>
            <w:vAlign w:val="center"/>
            <w:hideMark/>
          </w:tcPr>
          <w:p w14:paraId="309BE3E8"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DABIGATRAN</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dabigatran</w:t>
            </w:r>
            <w:proofErr w:type="spellEnd"/>
            <w:r w:rsidRPr="00D53AD7">
              <w:rPr>
                <w:rFonts w:ascii="Calibri" w:eastAsia="Times New Roman" w:hAnsi="Calibri" w:cs="Times New Roman"/>
                <w:sz w:val="20"/>
                <w:szCs w:val="20"/>
                <w:lang w:eastAsia="en-US"/>
              </w:rPr>
              <w:t xml:space="preserve"> </w:t>
            </w:r>
            <w:proofErr w:type="spellStart"/>
            <w:r w:rsidRPr="00D53AD7">
              <w:rPr>
                <w:rFonts w:ascii="Calibri" w:eastAsia="Times New Roman" w:hAnsi="Calibri" w:cs="Times New Roman"/>
                <w:sz w:val="20"/>
                <w:szCs w:val="20"/>
                <w:lang w:eastAsia="en-US"/>
              </w:rPr>
              <w:t>etexilate</w:t>
            </w:r>
            <w:proofErr w:type="spellEnd"/>
            <w:r w:rsidRPr="00D53AD7">
              <w:rPr>
                <w:rFonts w:ascii="Calibri" w:eastAsia="Times New Roman" w:hAnsi="Calibri" w:cs="Times New Roman"/>
                <w:sz w:val="20"/>
                <w:szCs w:val="20"/>
                <w:lang w:eastAsia="en-US"/>
              </w:rPr>
              <w:t xml:space="preserve"> 75 mg capsule, 10</w:t>
            </w:r>
          </w:p>
        </w:tc>
        <w:tc>
          <w:tcPr>
            <w:tcW w:w="1134" w:type="dxa"/>
            <w:shd w:val="clear" w:color="auto" w:fill="auto"/>
            <w:noWrap/>
            <w:vAlign w:val="center"/>
            <w:hideMark/>
          </w:tcPr>
          <w:p w14:paraId="67830FB9"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2</w:t>
            </w:r>
          </w:p>
        </w:tc>
        <w:tc>
          <w:tcPr>
            <w:tcW w:w="993" w:type="dxa"/>
            <w:shd w:val="clear" w:color="auto" w:fill="auto"/>
            <w:noWrap/>
            <w:vAlign w:val="center"/>
            <w:hideMark/>
          </w:tcPr>
          <w:p w14:paraId="29FF213F"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1134" w:type="dxa"/>
            <w:shd w:val="clear" w:color="auto" w:fill="auto"/>
            <w:noWrap/>
            <w:vAlign w:val="center"/>
            <w:hideMark/>
          </w:tcPr>
          <w:p w14:paraId="3BAB3D16"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$45.88</w:t>
            </w:r>
          </w:p>
        </w:tc>
        <w:tc>
          <w:tcPr>
            <w:tcW w:w="2268" w:type="dxa"/>
            <w:vMerge w:val="restart"/>
            <w:shd w:val="clear" w:color="auto" w:fill="auto"/>
            <w:vAlign w:val="center"/>
            <w:hideMark/>
          </w:tcPr>
          <w:p w14:paraId="33534E9C" w14:textId="77777777" w:rsidR="0078522E" w:rsidRPr="00D53AD7" w:rsidRDefault="0078522E" w:rsidP="000576E3">
            <w:pPr>
              <w:spacing w:after="0" w:line="276" w:lineRule="auto"/>
              <w:rPr>
                <w:rFonts w:ascii="Calibri" w:eastAsia="Times New Roman" w:hAnsi="Calibri" w:cs="Times New Roman"/>
                <w:sz w:val="20"/>
                <w:szCs w:val="20"/>
                <w:lang w:eastAsia="en-US"/>
              </w:rPr>
            </w:pPr>
            <w:proofErr w:type="spellStart"/>
            <w:r w:rsidRPr="00D53AD7">
              <w:rPr>
                <w:rFonts w:ascii="Calibri" w:eastAsia="Times New Roman" w:hAnsi="Calibri" w:cs="Times New Roman"/>
                <w:sz w:val="20"/>
                <w:szCs w:val="20"/>
                <w:lang w:eastAsia="en-US"/>
              </w:rPr>
              <w:t>Pradaxa</w:t>
            </w:r>
            <w:proofErr w:type="spellEnd"/>
            <w:r w:rsidRPr="00D53AD7">
              <w:rPr>
                <w:rFonts w:ascii="Calibri" w:eastAsia="Times New Roman" w:hAnsi="Calibri" w:cs="Times New Roman"/>
                <w:sz w:val="20"/>
                <w:szCs w:val="20"/>
                <w:lang w:eastAsia="en-US"/>
              </w:rPr>
              <w:t>®</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Boehringer</w:t>
            </w:r>
            <w:proofErr w:type="spellEnd"/>
            <w:r w:rsidRPr="00D53AD7">
              <w:rPr>
                <w:rFonts w:ascii="Calibri" w:eastAsia="Times New Roman" w:hAnsi="Calibri" w:cs="Times New Roman"/>
                <w:sz w:val="20"/>
                <w:szCs w:val="20"/>
                <w:lang w:eastAsia="en-US"/>
              </w:rPr>
              <w:t xml:space="preserve"> </w:t>
            </w:r>
            <w:proofErr w:type="spellStart"/>
            <w:r w:rsidRPr="00D53AD7">
              <w:rPr>
                <w:rFonts w:ascii="Calibri" w:eastAsia="Times New Roman" w:hAnsi="Calibri" w:cs="Times New Roman"/>
                <w:sz w:val="20"/>
                <w:szCs w:val="20"/>
                <w:lang w:eastAsia="en-US"/>
              </w:rPr>
              <w:t>Ingelheim</w:t>
            </w:r>
            <w:proofErr w:type="spellEnd"/>
            <w:r w:rsidRPr="00D53AD7">
              <w:rPr>
                <w:rFonts w:ascii="Calibri" w:eastAsia="Times New Roman" w:hAnsi="Calibri" w:cs="Times New Roman"/>
                <w:sz w:val="20"/>
                <w:szCs w:val="20"/>
                <w:lang w:eastAsia="en-US"/>
              </w:rPr>
              <w:t xml:space="preserve"> Pty Ltd</w:t>
            </w:r>
          </w:p>
        </w:tc>
      </w:tr>
      <w:tr w:rsidR="0078522E" w:rsidRPr="00D53AD7" w14:paraId="69E95EFC" w14:textId="77777777" w:rsidTr="00514A14">
        <w:trPr>
          <w:cantSplit/>
          <w:trHeight w:val="780"/>
          <w:tblHeader/>
        </w:trPr>
        <w:tc>
          <w:tcPr>
            <w:tcW w:w="866" w:type="dxa"/>
            <w:shd w:val="clear" w:color="auto" w:fill="auto"/>
            <w:noWrap/>
            <w:vAlign w:val="center"/>
            <w:hideMark/>
          </w:tcPr>
          <w:p w14:paraId="52887570"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9319L</w:t>
            </w:r>
          </w:p>
        </w:tc>
        <w:tc>
          <w:tcPr>
            <w:tcW w:w="2551" w:type="dxa"/>
            <w:shd w:val="clear" w:color="auto" w:fill="auto"/>
            <w:vAlign w:val="center"/>
            <w:hideMark/>
          </w:tcPr>
          <w:p w14:paraId="580E3D27"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DABIGATRAN</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dabigatran</w:t>
            </w:r>
            <w:proofErr w:type="spellEnd"/>
            <w:r w:rsidRPr="00D53AD7">
              <w:rPr>
                <w:rFonts w:ascii="Calibri" w:eastAsia="Times New Roman" w:hAnsi="Calibri" w:cs="Times New Roman"/>
                <w:sz w:val="20"/>
                <w:szCs w:val="20"/>
                <w:lang w:eastAsia="en-US"/>
              </w:rPr>
              <w:t xml:space="preserve"> </w:t>
            </w:r>
            <w:proofErr w:type="spellStart"/>
            <w:r w:rsidRPr="00D53AD7">
              <w:rPr>
                <w:rFonts w:ascii="Calibri" w:eastAsia="Times New Roman" w:hAnsi="Calibri" w:cs="Times New Roman"/>
                <w:sz w:val="20"/>
                <w:szCs w:val="20"/>
                <w:lang w:eastAsia="en-US"/>
              </w:rPr>
              <w:t>etexilate</w:t>
            </w:r>
            <w:proofErr w:type="spellEnd"/>
            <w:r w:rsidRPr="00D53AD7">
              <w:rPr>
                <w:rFonts w:ascii="Calibri" w:eastAsia="Times New Roman" w:hAnsi="Calibri" w:cs="Times New Roman"/>
                <w:sz w:val="20"/>
                <w:szCs w:val="20"/>
                <w:lang w:eastAsia="en-US"/>
              </w:rPr>
              <w:t xml:space="preserve"> 110 mg capsule, 10</w:t>
            </w:r>
          </w:p>
        </w:tc>
        <w:tc>
          <w:tcPr>
            <w:tcW w:w="1134" w:type="dxa"/>
            <w:shd w:val="clear" w:color="auto" w:fill="auto"/>
            <w:noWrap/>
            <w:vAlign w:val="center"/>
            <w:hideMark/>
          </w:tcPr>
          <w:p w14:paraId="354CD77D"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2</w:t>
            </w:r>
          </w:p>
        </w:tc>
        <w:tc>
          <w:tcPr>
            <w:tcW w:w="993" w:type="dxa"/>
            <w:shd w:val="clear" w:color="auto" w:fill="auto"/>
            <w:noWrap/>
            <w:vAlign w:val="center"/>
            <w:hideMark/>
          </w:tcPr>
          <w:p w14:paraId="5FF3937A"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1134" w:type="dxa"/>
            <w:shd w:val="clear" w:color="auto" w:fill="auto"/>
            <w:noWrap/>
            <w:vAlign w:val="center"/>
            <w:hideMark/>
          </w:tcPr>
          <w:p w14:paraId="1E6D8A96"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$37.94</w:t>
            </w:r>
          </w:p>
        </w:tc>
        <w:tc>
          <w:tcPr>
            <w:tcW w:w="2268" w:type="dxa"/>
            <w:vMerge/>
            <w:vAlign w:val="center"/>
            <w:hideMark/>
          </w:tcPr>
          <w:p w14:paraId="6B6A591B" w14:textId="77777777" w:rsidR="0078522E" w:rsidRPr="00D53AD7" w:rsidRDefault="0078522E" w:rsidP="000576E3">
            <w:pPr>
              <w:spacing w:after="0" w:line="276" w:lineRule="auto"/>
              <w:rPr>
                <w:rFonts w:ascii="Calibri" w:eastAsia="Times New Roman" w:hAnsi="Calibri" w:cs="Times New Roman"/>
                <w:sz w:val="20"/>
                <w:szCs w:val="20"/>
                <w:lang w:eastAsia="en-US"/>
              </w:rPr>
            </w:pPr>
          </w:p>
        </w:tc>
      </w:tr>
      <w:tr w:rsidR="0078522E" w:rsidRPr="00D53AD7" w14:paraId="20DDD2BB" w14:textId="77777777" w:rsidTr="00514A14">
        <w:trPr>
          <w:cantSplit/>
          <w:trHeight w:val="780"/>
          <w:tblHeader/>
        </w:trPr>
        <w:tc>
          <w:tcPr>
            <w:tcW w:w="866" w:type="dxa"/>
            <w:shd w:val="clear" w:color="auto" w:fill="auto"/>
            <w:noWrap/>
            <w:vAlign w:val="center"/>
            <w:hideMark/>
          </w:tcPr>
          <w:p w14:paraId="38EDE541"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9320M</w:t>
            </w:r>
          </w:p>
        </w:tc>
        <w:tc>
          <w:tcPr>
            <w:tcW w:w="2551" w:type="dxa"/>
            <w:shd w:val="clear" w:color="auto" w:fill="auto"/>
            <w:vAlign w:val="center"/>
            <w:hideMark/>
          </w:tcPr>
          <w:p w14:paraId="1980C42F"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DABIGATRAN</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dabigatran</w:t>
            </w:r>
            <w:proofErr w:type="spellEnd"/>
            <w:r w:rsidRPr="00D53AD7">
              <w:rPr>
                <w:rFonts w:ascii="Calibri" w:eastAsia="Times New Roman" w:hAnsi="Calibri" w:cs="Times New Roman"/>
                <w:sz w:val="20"/>
                <w:szCs w:val="20"/>
                <w:lang w:eastAsia="en-US"/>
              </w:rPr>
              <w:t xml:space="preserve"> </w:t>
            </w:r>
            <w:proofErr w:type="spellStart"/>
            <w:r w:rsidRPr="00D53AD7">
              <w:rPr>
                <w:rFonts w:ascii="Calibri" w:eastAsia="Times New Roman" w:hAnsi="Calibri" w:cs="Times New Roman"/>
                <w:sz w:val="20"/>
                <w:szCs w:val="20"/>
                <w:lang w:eastAsia="en-US"/>
              </w:rPr>
              <w:t>etexilate</w:t>
            </w:r>
            <w:proofErr w:type="spellEnd"/>
            <w:r w:rsidRPr="00D53AD7">
              <w:rPr>
                <w:rFonts w:ascii="Calibri" w:eastAsia="Times New Roman" w:hAnsi="Calibri" w:cs="Times New Roman"/>
                <w:sz w:val="20"/>
                <w:szCs w:val="20"/>
                <w:lang w:eastAsia="en-US"/>
              </w:rPr>
              <w:t xml:space="preserve"> 75 mg capsule, 60</w:t>
            </w:r>
          </w:p>
        </w:tc>
        <w:tc>
          <w:tcPr>
            <w:tcW w:w="1134" w:type="dxa"/>
            <w:shd w:val="clear" w:color="auto" w:fill="auto"/>
            <w:noWrap/>
            <w:vAlign w:val="center"/>
            <w:hideMark/>
          </w:tcPr>
          <w:p w14:paraId="7BF3032E"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993" w:type="dxa"/>
            <w:shd w:val="clear" w:color="auto" w:fill="auto"/>
            <w:noWrap/>
            <w:vAlign w:val="center"/>
            <w:hideMark/>
          </w:tcPr>
          <w:p w14:paraId="34CE002F"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1134" w:type="dxa"/>
            <w:shd w:val="clear" w:color="auto" w:fill="auto"/>
            <w:noWrap/>
            <w:vAlign w:val="center"/>
            <w:hideMark/>
          </w:tcPr>
          <w:p w14:paraId="5DE9EA4E"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$121.01</w:t>
            </w:r>
          </w:p>
        </w:tc>
        <w:tc>
          <w:tcPr>
            <w:tcW w:w="2268" w:type="dxa"/>
            <w:vMerge/>
            <w:vAlign w:val="center"/>
            <w:hideMark/>
          </w:tcPr>
          <w:p w14:paraId="71CEAD5E" w14:textId="77777777" w:rsidR="0078522E" w:rsidRPr="00D53AD7" w:rsidRDefault="0078522E" w:rsidP="000576E3">
            <w:pPr>
              <w:spacing w:after="0" w:line="276" w:lineRule="auto"/>
              <w:rPr>
                <w:rFonts w:ascii="Calibri" w:eastAsia="Times New Roman" w:hAnsi="Calibri" w:cs="Times New Roman"/>
                <w:sz w:val="20"/>
                <w:szCs w:val="20"/>
                <w:lang w:eastAsia="en-US"/>
              </w:rPr>
            </w:pPr>
          </w:p>
        </w:tc>
      </w:tr>
      <w:tr w:rsidR="0078522E" w:rsidRPr="00D53AD7" w14:paraId="19B24D52" w14:textId="77777777" w:rsidTr="00514A14">
        <w:trPr>
          <w:cantSplit/>
          <w:trHeight w:val="780"/>
          <w:tblHeader/>
        </w:trPr>
        <w:tc>
          <w:tcPr>
            <w:tcW w:w="866" w:type="dxa"/>
            <w:shd w:val="clear" w:color="auto" w:fill="auto"/>
            <w:noWrap/>
            <w:vAlign w:val="center"/>
            <w:hideMark/>
          </w:tcPr>
          <w:p w14:paraId="78EA12D7"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9321N</w:t>
            </w:r>
          </w:p>
        </w:tc>
        <w:tc>
          <w:tcPr>
            <w:tcW w:w="2551" w:type="dxa"/>
            <w:shd w:val="clear" w:color="auto" w:fill="auto"/>
            <w:vAlign w:val="center"/>
            <w:hideMark/>
          </w:tcPr>
          <w:p w14:paraId="46E1CA2D"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DABIGATRAN</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dabigatran</w:t>
            </w:r>
            <w:proofErr w:type="spellEnd"/>
            <w:r w:rsidRPr="00D53AD7">
              <w:rPr>
                <w:rFonts w:ascii="Calibri" w:eastAsia="Times New Roman" w:hAnsi="Calibri" w:cs="Times New Roman"/>
                <w:sz w:val="20"/>
                <w:szCs w:val="20"/>
                <w:lang w:eastAsia="en-US"/>
              </w:rPr>
              <w:t xml:space="preserve"> </w:t>
            </w:r>
            <w:proofErr w:type="spellStart"/>
            <w:r w:rsidRPr="00D53AD7">
              <w:rPr>
                <w:rFonts w:ascii="Calibri" w:eastAsia="Times New Roman" w:hAnsi="Calibri" w:cs="Times New Roman"/>
                <w:sz w:val="20"/>
                <w:szCs w:val="20"/>
                <w:lang w:eastAsia="en-US"/>
              </w:rPr>
              <w:t>etexilate</w:t>
            </w:r>
            <w:proofErr w:type="spellEnd"/>
            <w:r w:rsidRPr="00D53AD7">
              <w:rPr>
                <w:rFonts w:ascii="Calibri" w:eastAsia="Times New Roman" w:hAnsi="Calibri" w:cs="Times New Roman"/>
                <w:sz w:val="20"/>
                <w:szCs w:val="20"/>
                <w:lang w:eastAsia="en-US"/>
              </w:rPr>
              <w:t xml:space="preserve"> 110 mg capsule, 60</w:t>
            </w:r>
          </w:p>
        </w:tc>
        <w:tc>
          <w:tcPr>
            <w:tcW w:w="1134" w:type="dxa"/>
            <w:shd w:val="clear" w:color="auto" w:fill="auto"/>
            <w:noWrap/>
            <w:vAlign w:val="center"/>
            <w:hideMark/>
          </w:tcPr>
          <w:p w14:paraId="5F15F4CA"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993" w:type="dxa"/>
            <w:shd w:val="clear" w:color="auto" w:fill="auto"/>
            <w:noWrap/>
            <w:vAlign w:val="center"/>
            <w:hideMark/>
          </w:tcPr>
          <w:p w14:paraId="685CDE6B"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1134" w:type="dxa"/>
            <w:shd w:val="clear" w:color="auto" w:fill="auto"/>
            <w:noWrap/>
            <w:vAlign w:val="center"/>
            <w:hideMark/>
          </w:tcPr>
          <w:p w14:paraId="4DCDA46F"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$96.25</w:t>
            </w:r>
          </w:p>
        </w:tc>
        <w:tc>
          <w:tcPr>
            <w:tcW w:w="2268" w:type="dxa"/>
            <w:vMerge/>
            <w:vAlign w:val="center"/>
            <w:hideMark/>
          </w:tcPr>
          <w:p w14:paraId="652A0FF0" w14:textId="77777777" w:rsidR="0078522E" w:rsidRPr="00D53AD7" w:rsidRDefault="0078522E" w:rsidP="000576E3">
            <w:pPr>
              <w:spacing w:after="0" w:line="276" w:lineRule="auto"/>
              <w:rPr>
                <w:rFonts w:ascii="Calibri" w:eastAsia="Times New Roman" w:hAnsi="Calibri" w:cs="Times New Roman"/>
                <w:sz w:val="20"/>
                <w:szCs w:val="20"/>
                <w:lang w:eastAsia="en-US"/>
              </w:rPr>
            </w:pPr>
          </w:p>
        </w:tc>
      </w:tr>
      <w:tr w:rsidR="0078522E" w:rsidRPr="00D53AD7" w14:paraId="76A5AD71" w14:textId="77777777" w:rsidTr="00514A14">
        <w:trPr>
          <w:cantSplit/>
          <w:trHeight w:val="780"/>
          <w:tblHeader/>
        </w:trPr>
        <w:tc>
          <w:tcPr>
            <w:tcW w:w="866" w:type="dxa"/>
            <w:shd w:val="clear" w:color="auto" w:fill="auto"/>
            <w:noWrap/>
            <w:vAlign w:val="center"/>
            <w:hideMark/>
          </w:tcPr>
          <w:p w14:paraId="684D022D"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9322P</w:t>
            </w:r>
          </w:p>
        </w:tc>
        <w:tc>
          <w:tcPr>
            <w:tcW w:w="2551" w:type="dxa"/>
            <w:shd w:val="clear" w:color="auto" w:fill="auto"/>
            <w:vAlign w:val="center"/>
            <w:hideMark/>
          </w:tcPr>
          <w:p w14:paraId="6D596BCF"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DABIGATRAN</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dabigatran</w:t>
            </w:r>
            <w:proofErr w:type="spellEnd"/>
            <w:r w:rsidRPr="00D53AD7">
              <w:rPr>
                <w:rFonts w:ascii="Calibri" w:eastAsia="Times New Roman" w:hAnsi="Calibri" w:cs="Times New Roman"/>
                <w:sz w:val="20"/>
                <w:szCs w:val="20"/>
                <w:lang w:eastAsia="en-US"/>
              </w:rPr>
              <w:t xml:space="preserve"> </w:t>
            </w:r>
            <w:proofErr w:type="spellStart"/>
            <w:r w:rsidRPr="00D53AD7">
              <w:rPr>
                <w:rFonts w:ascii="Calibri" w:eastAsia="Times New Roman" w:hAnsi="Calibri" w:cs="Times New Roman"/>
                <w:sz w:val="20"/>
                <w:szCs w:val="20"/>
                <w:lang w:eastAsia="en-US"/>
              </w:rPr>
              <w:t>etexilate</w:t>
            </w:r>
            <w:proofErr w:type="spellEnd"/>
            <w:r w:rsidRPr="00D53AD7">
              <w:rPr>
                <w:rFonts w:ascii="Calibri" w:eastAsia="Times New Roman" w:hAnsi="Calibri" w:cs="Times New Roman"/>
                <w:sz w:val="20"/>
                <w:szCs w:val="20"/>
                <w:lang w:eastAsia="en-US"/>
              </w:rPr>
              <w:t xml:space="preserve"> 75 mg capsule, 10</w:t>
            </w:r>
          </w:p>
        </w:tc>
        <w:tc>
          <w:tcPr>
            <w:tcW w:w="1134" w:type="dxa"/>
            <w:shd w:val="clear" w:color="auto" w:fill="auto"/>
            <w:noWrap/>
            <w:vAlign w:val="center"/>
            <w:hideMark/>
          </w:tcPr>
          <w:p w14:paraId="1A89E0E2"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2</w:t>
            </w:r>
          </w:p>
        </w:tc>
        <w:tc>
          <w:tcPr>
            <w:tcW w:w="993" w:type="dxa"/>
            <w:shd w:val="clear" w:color="auto" w:fill="auto"/>
            <w:noWrap/>
            <w:vAlign w:val="center"/>
            <w:hideMark/>
          </w:tcPr>
          <w:p w14:paraId="3684FB2B"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1134" w:type="dxa"/>
            <w:shd w:val="clear" w:color="auto" w:fill="auto"/>
            <w:noWrap/>
            <w:vAlign w:val="center"/>
            <w:hideMark/>
          </w:tcPr>
          <w:p w14:paraId="26A47BE3"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$45.88</w:t>
            </w:r>
          </w:p>
        </w:tc>
        <w:tc>
          <w:tcPr>
            <w:tcW w:w="2268" w:type="dxa"/>
            <w:vMerge/>
            <w:vAlign w:val="center"/>
            <w:hideMark/>
          </w:tcPr>
          <w:p w14:paraId="0F317016" w14:textId="77777777" w:rsidR="0078522E" w:rsidRPr="00D53AD7" w:rsidRDefault="0078522E" w:rsidP="000576E3">
            <w:pPr>
              <w:spacing w:after="0" w:line="276" w:lineRule="auto"/>
              <w:rPr>
                <w:rFonts w:ascii="Calibri" w:eastAsia="Times New Roman" w:hAnsi="Calibri" w:cs="Times New Roman"/>
                <w:sz w:val="20"/>
                <w:szCs w:val="20"/>
                <w:lang w:eastAsia="en-US"/>
              </w:rPr>
            </w:pPr>
          </w:p>
        </w:tc>
      </w:tr>
      <w:tr w:rsidR="0078522E" w:rsidRPr="00D53AD7" w14:paraId="76B30A1F" w14:textId="77777777" w:rsidTr="00514A14">
        <w:trPr>
          <w:cantSplit/>
          <w:trHeight w:val="780"/>
          <w:tblHeader/>
        </w:trPr>
        <w:tc>
          <w:tcPr>
            <w:tcW w:w="866" w:type="dxa"/>
            <w:shd w:val="clear" w:color="auto" w:fill="auto"/>
            <w:noWrap/>
            <w:vAlign w:val="center"/>
            <w:hideMark/>
          </w:tcPr>
          <w:p w14:paraId="4CFBC3C2"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lastRenderedPageBreak/>
              <w:t>9323Q</w:t>
            </w:r>
          </w:p>
        </w:tc>
        <w:tc>
          <w:tcPr>
            <w:tcW w:w="2551" w:type="dxa"/>
            <w:shd w:val="clear" w:color="auto" w:fill="auto"/>
            <w:vAlign w:val="center"/>
            <w:hideMark/>
          </w:tcPr>
          <w:p w14:paraId="7191BF1E"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DABIGATRAN</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dabigatran</w:t>
            </w:r>
            <w:proofErr w:type="spellEnd"/>
            <w:r w:rsidRPr="00D53AD7">
              <w:rPr>
                <w:rFonts w:ascii="Calibri" w:eastAsia="Times New Roman" w:hAnsi="Calibri" w:cs="Times New Roman"/>
                <w:sz w:val="20"/>
                <w:szCs w:val="20"/>
                <w:lang w:eastAsia="en-US"/>
              </w:rPr>
              <w:t xml:space="preserve"> </w:t>
            </w:r>
            <w:proofErr w:type="spellStart"/>
            <w:r w:rsidRPr="00D53AD7">
              <w:rPr>
                <w:rFonts w:ascii="Calibri" w:eastAsia="Times New Roman" w:hAnsi="Calibri" w:cs="Times New Roman"/>
                <w:sz w:val="20"/>
                <w:szCs w:val="20"/>
                <w:lang w:eastAsia="en-US"/>
              </w:rPr>
              <w:t>etexilate</w:t>
            </w:r>
            <w:proofErr w:type="spellEnd"/>
            <w:r w:rsidRPr="00D53AD7">
              <w:rPr>
                <w:rFonts w:ascii="Calibri" w:eastAsia="Times New Roman" w:hAnsi="Calibri" w:cs="Times New Roman"/>
                <w:sz w:val="20"/>
                <w:szCs w:val="20"/>
                <w:lang w:eastAsia="en-US"/>
              </w:rPr>
              <w:t xml:space="preserve"> 110 mg capsule, 10</w:t>
            </w:r>
          </w:p>
        </w:tc>
        <w:tc>
          <w:tcPr>
            <w:tcW w:w="1134" w:type="dxa"/>
            <w:shd w:val="clear" w:color="auto" w:fill="auto"/>
            <w:noWrap/>
            <w:vAlign w:val="center"/>
            <w:hideMark/>
          </w:tcPr>
          <w:p w14:paraId="7F5DD356"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2</w:t>
            </w:r>
          </w:p>
        </w:tc>
        <w:tc>
          <w:tcPr>
            <w:tcW w:w="993" w:type="dxa"/>
            <w:shd w:val="clear" w:color="auto" w:fill="auto"/>
            <w:noWrap/>
            <w:vAlign w:val="center"/>
            <w:hideMark/>
          </w:tcPr>
          <w:p w14:paraId="4D818A98"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1134" w:type="dxa"/>
            <w:shd w:val="clear" w:color="auto" w:fill="auto"/>
            <w:noWrap/>
            <w:vAlign w:val="center"/>
            <w:hideMark/>
          </w:tcPr>
          <w:p w14:paraId="7DAEC8E6"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$37.94</w:t>
            </w:r>
          </w:p>
        </w:tc>
        <w:tc>
          <w:tcPr>
            <w:tcW w:w="2268" w:type="dxa"/>
            <w:vMerge/>
            <w:vAlign w:val="center"/>
            <w:hideMark/>
          </w:tcPr>
          <w:p w14:paraId="355E1E09" w14:textId="77777777" w:rsidR="0078522E" w:rsidRPr="00D53AD7" w:rsidRDefault="0078522E" w:rsidP="000576E3">
            <w:pPr>
              <w:spacing w:after="0" w:line="276" w:lineRule="auto"/>
              <w:rPr>
                <w:rFonts w:ascii="Calibri" w:eastAsia="Times New Roman" w:hAnsi="Calibri" w:cs="Times New Roman"/>
                <w:sz w:val="20"/>
                <w:szCs w:val="20"/>
                <w:lang w:eastAsia="en-US"/>
              </w:rPr>
            </w:pPr>
          </w:p>
        </w:tc>
      </w:tr>
      <w:tr w:rsidR="0078522E" w:rsidRPr="00D53AD7" w14:paraId="44944061" w14:textId="77777777" w:rsidTr="00514A14">
        <w:trPr>
          <w:cantSplit/>
          <w:trHeight w:val="1020"/>
          <w:tblHeader/>
        </w:trPr>
        <w:tc>
          <w:tcPr>
            <w:tcW w:w="866" w:type="dxa"/>
            <w:shd w:val="clear" w:color="000000" w:fill="BFBFBF"/>
            <w:vAlign w:val="center"/>
            <w:hideMark/>
          </w:tcPr>
          <w:p w14:paraId="4D9832B5" w14:textId="77777777" w:rsidR="0078522E" w:rsidRPr="00D53AD7" w:rsidRDefault="0078522E" w:rsidP="000576E3">
            <w:pPr>
              <w:spacing w:after="0" w:line="276" w:lineRule="auto"/>
              <w:rPr>
                <w:rFonts w:ascii="Calibri" w:eastAsia="Times New Roman" w:hAnsi="Calibri" w:cs="Times New Roman"/>
                <w:b/>
                <w:bCs/>
                <w:sz w:val="20"/>
                <w:szCs w:val="20"/>
                <w:lang w:eastAsia="en-US"/>
              </w:rPr>
            </w:pPr>
            <w:r w:rsidRPr="00D53AD7">
              <w:rPr>
                <w:rFonts w:ascii="Calibri" w:eastAsia="Times New Roman" w:hAnsi="Calibri" w:cs="Times New Roman"/>
                <w:b/>
                <w:bCs/>
                <w:sz w:val="20"/>
                <w:szCs w:val="20"/>
                <w:lang w:eastAsia="en-US"/>
              </w:rPr>
              <w:t>Item</w:t>
            </w:r>
          </w:p>
        </w:tc>
        <w:tc>
          <w:tcPr>
            <w:tcW w:w="2551" w:type="dxa"/>
            <w:shd w:val="clear" w:color="000000" w:fill="BFBFBF"/>
            <w:vAlign w:val="center"/>
            <w:hideMark/>
          </w:tcPr>
          <w:p w14:paraId="62DE35B9" w14:textId="77777777" w:rsidR="0078522E" w:rsidRPr="00D53AD7" w:rsidRDefault="0078522E" w:rsidP="000576E3">
            <w:pPr>
              <w:spacing w:after="0" w:line="276" w:lineRule="auto"/>
              <w:jc w:val="center"/>
              <w:rPr>
                <w:rFonts w:ascii="Calibri" w:eastAsia="Times New Roman" w:hAnsi="Calibri" w:cs="Times New Roman"/>
                <w:b/>
                <w:bCs/>
                <w:sz w:val="20"/>
                <w:szCs w:val="20"/>
                <w:lang w:eastAsia="en-US"/>
              </w:rPr>
            </w:pPr>
            <w:r w:rsidRPr="00D53AD7">
              <w:rPr>
                <w:rFonts w:ascii="Calibri" w:eastAsia="Times New Roman" w:hAnsi="Calibri" w:cs="Times New Roman"/>
                <w:b/>
                <w:bCs/>
                <w:sz w:val="20"/>
                <w:szCs w:val="20"/>
                <w:lang w:eastAsia="en-US"/>
              </w:rPr>
              <w:t>Name, form &amp; strength, pack size</w:t>
            </w:r>
          </w:p>
        </w:tc>
        <w:tc>
          <w:tcPr>
            <w:tcW w:w="1134" w:type="dxa"/>
            <w:shd w:val="clear" w:color="000000" w:fill="BFBFBF"/>
            <w:vAlign w:val="center"/>
            <w:hideMark/>
          </w:tcPr>
          <w:p w14:paraId="01BFF099" w14:textId="77777777" w:rsidR="0078522E" w:rsidRPr="00D53AD7" w:rsidRDefault="0078522E" w:rsidP="000576E3">
            <w:pPr>
              <w:spacing w:after="0" w:line="276" w:lineRule="auto"/>
              <w:jc w:val="center"/>
              <w:rPr>
                <w:rFonts w:ascii="Calibri" w:eastAsia="Times New Roman" w:hAnsi="Calibri" w:cs="Times New Roman"/>
                <w:b/>
                <w:bCs/>
                <w:sz w:val="20"/>
                <w:szCs w:val="20"/>
                <w:lang w:eastAsia="en-US"/>
              </w:rPr>
            </w:pPr>
            <w:r w:rsidRPr="00D53AD7">
              <w:rPr>
                <w:rFonts w:ascii="Calibri" w:eastAsia="Times New Roman" w:hAnsi="Calibri" w:cs="Times New Roman"/>
                <w:b/>
                <w:bCs/>
                <w:sz w:val="20"/>
                <w:szCs w:val="20"/>
                <w:lang w:eastAsia="en-US"/>
              </w:rPr>
              <w:t>Max. quant.</w:t>
            </w:r>
          </w:p>
        </w:tc>
        <w:tc>
          <w:tcPr>
            <w:tcW w:w="993" w:type="dxa"/>
            <w:shd w:val="clear" w:color="000000" w:fill="BFBFBF"/>
            <w:vAlign w:val="center"/>
            <w:hideMark/>
          </w:tcPr>
          <w:p w14:paraId="3B7DD0C2" w14:textId="7292CA1D" w:rsidR="0078522E" w:rsidRPr="00D53AD7" w:rsidRDefault="00CA174A" w:rsidP="000576E3">
            <w:pPr>
              <w:spacing w:after="0" w:line="276" w:lineRule="auto"/>
              <w:jc w:val="center"/>
              <w:rPr>
                <w:rFonts w:ascii="Calibri" w:eastAsia="Times New Roman" w:hAnsi="Calibri" w:cs="Times New Roman"/>
                <w:b/>
                <w:bCs/>
                <w:sz w:val="20"/>
                <w:szCs w:val="20"/>
                <w:lang w:eastAsia="en-US"/>
              </w:rPr>
            </w:pPr>
            <w:r>
              <w:rPr>
                <w:rFonts w:ascii="Calibri" w:eastAsia="Times New Roman" w:hAnsi="Calibri" w:cs="Times New Roman"/>
                <w:b/>
                <w:bCs/>
                <w:sz w:val="20"/>
                <w:szCs w:val="20"/>
                <w:lang w:eastAsia="en-US"/>
              </w:rPr>
              <w:t>Repeats</w:t>
            </w:r>
          </w:p>
        </w:tc>
        <w:tc>
          <w:tcPr>
            <w:tcW w:w="1134" w:type="dxa"/>
            <w:shd w:val="clear" w:color="000000" w:fill="BFBFBF"/>
            <w:vAlign w:val="center"/>
            <w:hideMark/>
          </w:tcPr>
          <w:p w14:paraId="64BE7EA4" w14:textId="77777777" w:rsidR="0078522E" w:rsidRPr="00D53AD7" w:rsidRDefault="0078522E" w:rsidP="000576E3">
            <w:pPr>
              <w:spacing w:after="0" w:line="276" w:lineRule="auto"/>
              <w:jc w:val="center"/>
              <w:rPr>
                <w:rFonts w:ascii="Calibri" w:eastAsia="Times New Roman" w:hAnsi="Calibri" w:cs="Times New Roman"/>
                <w:b/>
                <w:bCs/>
                <w:sz w:val="20"/>
                <w:szCs w:val="20"/>
                <w:lang w:eastAsia="en-US"/>
              </w:rPr>
            </w:pPr>
            <w:r w:rsidRPr="00D53AD7">
              <w:rPr>
                <w:rFonts w:ascii="Calibri" w:eastAsia="Times New Roman" w:hAnsi="Calibri" w:cs="Times New Roman"/>
                <w:b/>
                <w:bCs/>
                <w:sz w:val="20"/>
                <w:szCs w:val="20"/>
                <w:lang w:eastAsia="en-US"/>
              </w:rPr>
              <w:t>DPMQ</w:t>
            </w:r>
          </w:p>
        </w:tc>
        <w:tc>
          <w:tcPr>
            <w:tcW w:w="2268" w:type="dxa"/>
            <w:shd w:val="clear" w:color="000000" w:fill="BFBFBF"/>
            <w:vAlign w:val="center"/>
            <w:hideMark/>
          </w:tcPr>
          <w:p w14:paraId="7B0D3417" w14:textId="77777777" w:rsidR="0078522E" w:rsidRPr="00D53AD7" w:rsidRDefault="0078522E" w:rsidP="000576E3">
            <w:pPr>
              <w:spacing w:after="0" w:line="276" w:lineRule="auto"/>
              <w:jc w:val="center"/>
              <w:rPr>
                <w:rFonts w:ascii="Calibri" w:eastAsia="Times New Roman" w:hAnsi="Calibri" w:cs="Times New Roman"/>
                <w:b/>
                <w:bCs/>
                <w:sz w:val="20"/>
                <w:szCs w:val="20"/>
                <w:lang w:eastAsia="en-US"/>
              </w:rPr>
            </w:pPr>
            <w:r w:rsidRPr="00D53AD7">
              <w:rPr>
                <w:rFonts w:ascii="Calibri" w:eastAsia="Times New Roman" w:hAnsi="Calibri" w:cs="Times New Roman"/>
                <w:b/>
                <w:bCs/>
                <w:sz w:val="20"/>
                <w:szCs w:val="20"/>
                <w:lang w:eastAsia="en-US"/>
              </w:rPr>
              <w:t>Brand name and manufacturer</w:t>
            </w:r>
          </w:p>
        </w:tc>
      </w:tr>
      <w:tr w:rsidR="0078522E" w:rsidRPr="00D53AD7" w14:paraId="2046370E" w14:textId="77777777" w:rsidTr="00514A14">
        <w:trPr>
          <w:cantSplit/>
          <w:trHeight w:val="766"/>
          <w:tblHeader/>
        </w:trPr>
        <w:tc>
          <w:tcPr>
            <w:tcW w:w="866" w:type="dxa"/>
            <w:shd w:val="clear" w:color="auto" w:fill="auto"/>
            <w:noWrap/>
            <w:vAlign w:val="center"/>
            <w:hideMark/>
          </w:tcPr>
          <w:p w14:paraId="0676A3FB"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5054B</w:t>
            </w:r>
          </w:p>
        </w:tc>
        <w:tc>
          <w:tcPr>
            <w:tcW w:w="2551" w:type="dxa"/>
            <w:shd w:val="clear" w:color="auto" w:fill="auto"/>
            <w:vAlign w:val="center"/>
            <w:hideMark/>
          </w:tcPr>
          <w:p w14:paraId="107D8664"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APIXABAN</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apixaban</w:t>
            </w:r>
            <w:proofErr w:type="spellEnd"/>
            <w:r w:rsidRPr="00D53AD7">
              <w:rPr>
                <w:rFonts w:ascii="Calibri" w:eastAsia="Times New Roman" w:hAnsi="Calibri" w:cs="Times New Roman"/>
                <w:sz w:val="20"/>
                <w:szCs w:val="20"/>
                <w:lang w:eastAsia="en-US"/>
              </w:rPr>
              <w:t xml:space="preserve"> 2.5 mg tablet, 30</w:t>
            </w:r>
          </w:p>
        </w:tc>
        <w:tc>
          <w:tcPr>
            <w:tcW w:w="1134" w:type="dxa"/>
            <w:shd w:val="clear" w:color="auto" w:fill="auto"/>
            <w:noWrap/>
            <w:vAlign w:val="center"/>
            <w:hideMark/>
          </w:tcPr>
          <w:p w14:paraId="3A995244"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993" w:type="dxa"/>
            <w:shd w:val="clear" w:color="auto" w:fill="auto"/>
            <w:noWrap/>
            <w:vAlign w:val="center"/>
            <w:hideMark/>
          </w:tcPr>
          <w:p w14:paraId="26F5CD6D"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1134" w:type="dxa"/>
            <w:shd w:val="clear" w:color="auto" w:fill="auto"/>
            <w:noWrap/>
            <w:vAlign w:val="center"/>
            <w:hideMark/>
          </w:tcPr>
          <w:p w14:paraId="3ED69674"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$54.34</w:t>
            </w:r>
          </w:p>
        </w:tc>
        <w:tc>
          <w:tcPr>
            <w:tcW w:w="2268" w:type="dxa"/>
            <w:vMerge w:val="restart"/>
            <w:shd w:val="clear" w:color="auto" w:fill="auto"/>
            <w:vAlign w:val="center"/>
            <w:hideMark/>
          </w:tcPr>
          <w:p w14:paraId="4956C166" w14:textId="77777777" w:rsidR="0078522E" w:rsidRPr="00D53AD7" w:rsidRDefault="0078522E" w:rsidP="000576E3">
            <w:pPr>
              <w:spacing w:after="0" w:line="276" w:lineRule="auto"/>
              <w:rPr>
                <w:rFonts w:ascii="Calibri" w:eastAsia="Times New Roman" w:hAnsi="Calibri" w:cs="Times New Roman"/>
                <w:sz w:val="20"/>
                <w:szCs w:val="20"/>
                <w:lang w:eastAsia="en-US"/>
              </w:rPr>
            </w:pPr>
            <w:proofErr w:type="spellStart"/>
            <w:r w:rsidRPr="00D53AD7">
              <w:rPr>
                <w:rFonts w:ascii="Calibri" w:eastAsia="Times New Roman" w:hAnsi="Calibri" w:cs="Times New Roman"/>
                <w:sz w:val="20"/>
                <w:szCs w:val="20"/>
                <w:lang w:eastAsia="en-US"/>
              </w:rPr>
              <w:t>Eliquis</w:t>
            </w:r>
            <w:proofErr w:type="spellEnd"/>
            <w:r w:rsidRPr="00D53AD7">
              <w:rPr>
                <w:rFonts w:ascii="Calibri" w:eastAsia="Times New Roman" w:hAnsi="Calibri" w:cs="Times New Roman"/>
                <w:sz w:val="20"/>
                <w:szCs w:val="20"/>
                <w:lang w:eastAsia="en-US"/>
              </w:rPr>
              <w:t>®</w:t>
            </w:r>
            <w:r w:rsidRPr="00D53AD7">
              <w:rPr>
                <w:rFonts w:ascii="Calibri" w:eastAsia="Times New Roman" w:hAnsi="Calibri" w:cs="Times New Roman"/>
                <w:sz w:val="20"/>
                <w:szCs w:val="20"/>
                <w:lang w:eastAsia="en-US"/>
              </w:rPr>
              <w:br/>
              <w:t>Bristol-Myers Squibb Australia Pty Ltd</w:t>
            </w:r>
          </w:p>
        </w:tc>
      </w:tr>
      <w:tr w:rsidR="0078522E" w:rsidRPr="00D53AD7" w14:paraId="33B16144" w14:textId="77777777" w:rsidTr="00514A14">
        <w:trPr>
          <w:cantSplit/>
          <w:trHeight w:val="525"/>
          <w:tblHeader/>
        </w:trPr>
        <w:tc>
          <w:tcPr>
            <w:tcW w:w="866" w:type="dxa"/>
            <w:shd w:val="clear" w:color="auto" w:fill="auto"/>
            <w:noWrap/>
            <w:vAlign w:val="center"/>
            <w:hideMark/>
          </w:tcPr>
          <w:p w14:paraId="40BAD520"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5061J</w:t>
            </w:r>
          </w:p>
        </w:tc>
        <w:tc>
          <w:tcPr>
            <w:tcW w:w="2551" w:type="dxa"/>
            <w:shd w:val="clear" w:color="auto" w:fill="auto"/>
            <w:vAlign w:val="center"/>
            <w:hideMark/>
          </w:tcPr>
          <w:p w14:paraId="5A8EF993"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APIXABAN</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apixaban</w:t>
            </w:r>
            <w:proofErr w:type="spellEnd"/>
            <w:r w:rsidRPr="00D53AD7">
              <w:rPr>
                <w:rFonts w:ascii="Calibri" w:eastAsia="Times New Roman" w:hAnsi="Calibri" w:cs="Times New Roman"/>
                <w:sz w:val="20"/>
                <w:szCs w:val="20"/>
                <w:lang w:eastAsia="en-US"/>
              </w:rPr>
              <w:t xml:space="preserve"> 2.5 mg tablet, 60</w:t>
            </w:r>
          </w:p>
        </w:tc>
        <w:tc>
          <w:tcPr>
            <w:tcW w:w="1134" w:type="dxa"/>
            <w:shd w:val="clear" w:color="auto" w:fill="auto"/>
            <w:noWrap/>
            <w:vAlign w:val="center"/>
            <w:hideMark/>
          </w:tcPr>
          <w:p w14:paraId="3A096B26"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993" w:type="dxa"/>
            <w:shd w:val="clear" w:color="auto" w:fill="auto"/>
            <w:noWrap/>
            <w:vAlign w:val="center"/>
            <w:hideMark/>
          </w:tcPr>
          <w:p w14:paraId="1660561E"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1134" w:type="dxa"/>
            <w:shd w:val="clear" w:color="auto" w:fill="auto"/>
            <w:noWrap/>
            <w:vAlign w:val="center"/>
            <w:hideMark/>
          </w:tcPr>
          <w:p w14:paraId="08D4710D"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$101.54</w:t>
            </w:r>
          </w:p>
        </w:tc>
        <w:tc>
          <w:tcPr>
            <w:tcW w:w="2268" w:type="dxa"/>
            <w:vMerge/>
            <w:vAlign w:val="center"/>
            <w:hideMark/>
          </w:tcPr>
          <w:p w14:paraId="5901C362" w14:textId="77777777" w:rsidR="0078522E" w:rsidRPr="00D53AD7" w:rsidRDefault="0078522E" w:rsidP="000576E3">
            <w:pPr>
              <w:spacing w:after="0" w:line="276" w:lineRule="auto"/>
              <w:rPr>
                <w:rFonts w:ascii="Calibri" w:eastAsia="Times New Roman" w:hAnsi="Calibri" w:cs="Times New Roman"/>
                <w:sz w:val="20"/>
                <w:szCs w:val="20"/>
                <w:lang w:eastAsia="en-US"/>
              </w:rPr>
            </w:pPr>
          </w:p>
        </w:tc>
      </w:tr>
      <w:tr w:rsidR="0078522E" w:rsidRPr="00D53AD7" w14:paraId="5F6C63D4" w14:textId="77777777" w:rsidTr="00514A14">
        <w:trPr>
          <w:cantSplit/>
          <w:trHeight w:val="525"/>
          <w:tblHeader/>
        </w:trPr>
        <w:tc>
          <w:tcPr>
            <w:tcW w:w="866" w:type="dxa"/>
            <w:shd w:val="clear" w:color="auto" w:fill="auto"/>
            <w:noWrap/>
            <w:vAlign w:val="center"/>
            <w:hideMark/>
          </w:tcPr>
          <w:p w14:paraId="36ED3F4D"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5500L</w:t>
            </w:r>
          </w:p>
        </w:tc>
        <w:tc>
          <w:tcPr>
            <w:tcW w:w="2551" w:type="dxa"/>
            <w:shd w:val="clear" w:color="auto" w:fill="auto"/>
            <w:vAlign w:val="center"/>
            <w:hideMark/>
          </w:tcPr>
          <w:p w14:paraId="46A23F65" w14:textId="77777777" w:rsidR="0078522E" w:rsidRPr="00D53AD7" w:rsidRDefault="0078522E" w:rsidP="000576E3">
            <w:pPr>
              <w:spacing w:after="0" w:line="276" w:lineRule="auto"/>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APIXABAN</w:t>
            </w:r>
            <w:r w:rsidRPr="00D53AD7">
              <w:rPr>
                <w:rFonts w:ascii="Calibri" w:eastAsia="Times New Roman" w:hAnsi="Calibri" w:cs="Times New Roman"/>
                <w:sz w:val="20"/>
                <w:szCs w:val="20"/>
                <w:lang w:eastAsia="en-US"/>
              </w:rPr>
              <w:br/>
            </w:r>
            <w:proofErr w:type="spellStart"/>
            <w:r w:rsidRPr="00D53AD7">
              <w:rPr>
                <w:rFonts w:ascii="Calibri" w:eastAsia="Times New Roman" w:hAnsi="Calibri" w:cs="Times New Roman"/>
                <w:sz w:val="20"/>
                <w:szCs w:val="20"/>
                <w:lang w:eastAsia="en-US"/>
              </w:rPr>
              <w:t>apixaban</w:t>
            </w:r>
            <w:proofErr w:type="spellEnd"/>
            <w:r w:rsidRPr="00D53AD7">
              <w:rPr>
                <w:rFonts w:ascii="Calibri" w:eastAsia="Times New Roman" w:hAnsi="Calibri" w:cs="Times New Roman"/>
                <w:sz w:val="20"/>
                <w:szCs w:val="20"/>
                <w:lang w:eastAsia="en-US"/>
              </w:rPr>
              <w:t xml:space="preserve"> 2.5 mg tablet, 20</w:t>
            </w:r>
          </w:p>
        </w:tc>
        <w:tc>
          <w:tcPr>
            <w:tcW w:w="1134" w:type="dxa"/>
            <w:shd w:val="clear" w:color="auto" w:fill="auto"/>
            <w:noWrap/>
            <w:vAlign w:val="center"/>
            <w:hideMark/>
          </w:tcPr>
          <w:p w14:paraId="5966D809"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1</w:t>
            </w:r>
          </w:p>
        </w:tc>
        <w:tc>
          <w:tcPr>
            <w:tcW w:w="993" w:type="dxa"/>
            <w:shd w:val="clear" w:color="auto" w:fill="auto"/>
            <w:noWrap/>
            <w:vAlign w:val="center"/>
            <w:hideMark/>
          </w:tcPr>
          <w:p w14:paraId="597AC302"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0</w:t>
            </w:r>
          </w:p>
        </w:tc>
        <w:tc>
          <w:tcPr>
            <w:tcW w:w="1134" w:type="dxa"/>
            <w:shd w:val="clear" w:color="auto" w:fill="auto"/>
            <w:noWrap/>
            <w:vAlign w:val="center"/>
            <w:hideMark/>
          </w:tcPr>
          <w:p w14:paraId="55981996" w14:textId="77777777" w:rsidR="0078522E" w:rsidRPr="00D53AD7" w:rsidRDefault="0078522E" w:rsidP="000576E3">
            <w:pPr>
              <w:spacing w:after="0" w:line="276" w:lineRule="auto"/>
              <w:jc w:val="center"/>
              <w:rPr>
                <w:rFonts w:ascii="Calibri" w:eastAsia="Times New Roman" w:hAnsi="Calibri" w:cs="Times New Roman"/>
                <w:sz w:val="20"/>
                <w:szCs w:val="20"/>
                <w:lang w:eastAsia="en-US"/>
              </w:rPr>
            </w:pPr>
            <w:r w:rsidRPr="00D53AD7">
              <w:rPr>
                <w:rFonts w:ascii="Calibri" w:eastAsia="Times New Roman" w:hAnsi="Calibri" w:cs="Times New Roman"/>
                <w:sz w:val="20"/>
                <w:szCs w:val="20"/>
                <w:lang w:eastAsia="en-US"/>
              </w:rPr>
              <w:t>$39.79</w:t>
            </w:r>
          </w:p>
        </w:tc>
        <w:tc>
          <w:tcPr>
            <w:tcW w:w="2268" w:type="dxa"/>
            <w:vMerge/>
            <w:vAlign w:val="center"/>
            <w:hideMark/>
          </w:tcPr>
          <w:p w14:paraId="471A84FB" w14:textId="77777777" w:rsidR="0078522E" w:rsidRPr="00D53AD7" w:rsidRDefault="0078522E" w:rsidP="000576E3">
            <w:pPr>
              <w:spacing w:after="0" w:line="276" w:lineRule="auto"/>
              <w:rPr>
                <w:rFonts w:ascii="Calibri" w:eastAsia="Times New Roman" w:hAnsi="Calibri" w:cs="Times New Roman"/>
                <w:sz w:val="20"/>
                <w:szCs w:val="20"/>
                <w:lang w:eastAsia="en-US"/>
              </w:rPr>
            </w:pPr>
          </w:p>
        </w:tc>
      </w:tr>
    </w:tbl>
    <w:p w14:paraId="5C3EA344" w14:textId="5C1AA6EF" w:rsidR="0078522E" w:rsidRPr="00A35800" w:rsidRDefault="0078522E" w:rsidP="0078522E">
      <w:pPr>
        <w:pStyle w:val="Notes"/>
      </w:pPr>
      <w:r>
        <w:t xml:space="preserve">*Note that </w:t>
      </w:r>
      <w:proofErr w:type="spellStart"/>
      <w:r>
        <w:t>rivaroxaban</w:t>
      </w:r>
      <w:proofErr w:type="spellEnd"/>
      <w:r>
        <w:t xml:space="preserve"> item code 2268J includes use for atrial fibrillation</w:t>
      </w:r>
      <w:r w:rsidR="003C4965">
        <w:t>.</w:t>
      </w:r>
      <w:r>
        <w:br/>
      </w:r>
      <w:r w:rsidRPr="00A35800">
        <w:t xml:space="preserve">Source: </w:t>
      </w:r>
      <w:r>
        <w:t>pbs.gov.au</w:t>
      </w:r>
      <w:r w:rsidR="003C4965">
        <w:t>.</w:t>
      </w:r>
    </w:p>
    <w:p w14:paraId="1AFA1485" w14:textId="129447A8" w:rsidR="004C3186" w:rsidRDefault="004C3186" w:rsidP="004F1E15">
      <w:pPr>
        <w:pStyle w:val="Heading5"/>
      </w:pPr>
      <w:r w:rsidRPr="004F1E15">
        <w:t>Restriction</w:t>
      </w:r>
    </w:p>
    <w:p w14:paraId="22A4F7CD" w14:textId="70D8998E" w:rsidR="00185B3A" w:rsidRDefault="00185B3A" w:rsidP="00185B3A">
      <w:r>
        <w:t>All NOACs are PBS listed as</w:t>
      </w:r>
      <w:r w:rsidR="00693FFA">
        <w:t xml:space="preserve"> Authority </w:t>
      </w:r>
      <w:proofErr w:type="gramStart"/>
      <w:r w:rsidR="00693FFA">
        <w:t>Required</w:t>
      </w:r>
      <w:proofErr w:type="gramEnd"/>
      <w:r w:rsidR="00693FFA">
        <w:t xml:space="preserve"> (streamlined</w:t>
      </w:r>
      <w:r>
        <w:t>) benefits.</w:t>
      </w:r>
    </w:p>
    <w:p w14:paraId="2DC33543" w14:textId="77777777" w:rsidR="00185B3A" w:rsidRDefault="00185B3A" w:rsidP="00185B3A">
      <w:proofErr w:type="spellStart"/>
      <w:r>
        <w:t>Rivaroxaban</w:t>
      </w:r>
      <w:proofErr w:type="spellEnd"/>
      <w:r>
        <w:t xml:space="preserve"> is PBS listed for:</w:t>
      </w:r>
    </w:p>
    <w:p w14:paraId="7A8A0DC5" w14:textId="29335555" w:rsidR="00564BB1" w:rsidRDefault="00564BB1" w:rsidP="00564BB1">
      <w:pPr>
        <w:pStyle w:val="ListParagraph"/>
        <w:numPr>
          <w:ilvl w:val="0"/>
          <w:numId w:val="7"/>
        </w:numPr>
      </w:pPr>
      <w:r>
        <w:t>C</w:t>
      </w:r>
      <w:r w:rsidR="00185B3A">
        <w:t>onfirmed acute symptomatic deep vein thrombosis in patients that must not have symptomatic pulmonary embolism;</w:t>
      </w:r>
    </w:p>
    <w:p w14:paraId="6CA589C8" w14:textId="234812F8" w:rsidR="00185B3A" w:rsidRDefault="00564BB1" w:rsidP="00564BB1">
      <w:pPr>
        <w:pStyle w:val="ListParagraph"/>
        <w:numPr>
          <w:ilvl w:val="0"/>
          <w:numId w:val="7"/>
        </w:numPr>
      </w:pPr>
      <w:r>
        <w:t>C</w:t>
      </w:r>
      <w:r w:rsidR="00185B3A">
        <w:t>onfirmed acute symptomatic pulmonary embolism;</w:t>
      </w:r>
    </w:p>
    <w:p w14:paraId="25A3AD14" w14:textId="3E5AAAC2" w:rsidR="00185B3A" w:rsidRDefault="00185B3A" w:rsidP="00564BB1">
      <w:pPr>
        <w:pStyle w:val="ListParagraph"/>
        <w:numPr>
          <w:ilvl w:val="0"/>
          <w:numId w:val="7"/>
        </w:numPr>
      </w:pPr>
      <w:r>
        <w:t>Prevention of recurrent venous thromboembolism in patients that have a history of venous thromboembolism;</w:t>
      </w:r>
    </w:p>
    <w:p w14:paraId="13338FA4" w14:textId="6B1EC157" w:rsidR="00185B3A" w:rsidRDefault="00185B3A" w:rsidP="00564BB1">
      <w:pPr>
        <w:pStyle w:val="ListParagraph"/>
        <w:numPr>
          <w:ilvl w:val="0"/>
          <w:numId w:val="7"/>
        </w:numPr>
      </w:pPr>
      <w:r>
        <w:t>Prevention of venous thromboembolism in patients undergoing total knee replacement;</w:t>
      </w:r>
    </w:p>
    <w:p w14:paraId="3C1A42F9" w14:textId="1C860862" w:rsidR="00185B3A" w:rsidRDefault="00185B3A" w:rsidP="00564BB1">
      <w:pPr>
        <w:pStyle w:val="ListParagraph"/>
        <w:numPr>
          <w:ilvl w:val="0"/>
          <w:numId w:val="7"/>
        </w:numPr>
      </w:pPr>
      <w:r>
        <w:t>Prevention of venous thromboembolism in patients undergoing total hip replacement; and</w:t>
      </w:r>
    </w:p>
    <w:p w14:paraId="56880D5E" w14:textId="595147F9" w:rsidR="00185B3A" w:rsidRDefault="00185B3A" w:rsidP="00564BB1">
      <w:pPr>
        <w:pStyle w:val="ListParagraph"/>
        <w:numPr>
          <w:ilvl w:val="0"/>
          <w:numId w:val="7"/>
        </w:numPr>
      </w:pPr>
      <w:r>
        <w:t>Prevention of stroke or systemic embolism in patients with non-valvular atrial fibrillation (outside the scope of this analysis).</w:t>
      </w:r>
    </w:p>
    <w:p w14:paraId="3C75B0DB" w14:textId="77777777" w:rsidR="00185B3A" w:rsidRDefault="00185B3A" w:rsidP="00185B3A">
      <w:proofErr w:type="spellStart"/>
      <w:r>
        <w:t>Dabigatran</w:t>
      </w:r>
      <w:proofErr w:type="spellEnd"/>
      <w:r>
        <w:t xml:space="preserve"> is PBS listed for:</w:t>
      </w:r>
    </w:p>
    <w:p w14:paraId="0A0E9602" w14:textId="424B3739" w:rsidR="00185B3A" w:rsidRDefault="00185B3A" w:rsidP="00801E30">
      <w:pPr>
        <w:pStyle w:val="ListParagraph"/>
        <w:numPr>
          <w:ilvl w:val="0"/>
          <w:numId w:val="8"/>
        </w:numPr>
      </w:pPr>
      <w:r>
        <w:t>Prevention of venous thromboembolism in patients undergoing total knee replacement;</w:t>
      </w:r>
    </w:p>
    <w:p w14:paraId="6C9D7309" w14:textId="3AECE09A" w:rsidR="00185B3A" w:rsidRDefault="00185B3A" w:rsidP="00801E30">
      <w:pPr>
        <w:pStyle w:val="ListParagraph"/>
        <w:numPr>
          <w:ilvl w:val="0"/>
          <w:numId w:val="8"/>
        </w:numPr>
      </w:pPr>
      <w:r>
        <w:t>Prevention of venous thromboembolism in patients undergoing total hip replacement; and</w:t>
      </w:r>
    </w:p>
    <w:p w14:paraId="6F5315D4" w14:textId="12B91E93" w:rsidR="00185B3A" w:rsidRDefault="00185B3A" w:rsidP="00801E30">
      <w:pPr>
        <w:pStyle w:val="ListParagraph"/>
        <w:numPr>
          <w:ilvl w:val="0"/>
          <w:numId w:val="8"/>
        </w:numPr>
      </w:pPr>
      <w:r>
        <w:t>Prevention of stroke or systemic embolism in patients with non-valvular atrial fibrillation (outside the scope of this analysis).</w:t>
      </w:r>
    </w:p>
    <w:p w14:paraId="61796611" w14:textId="77777777" w:rsidR="00185B3A" w:rsidRDefault="00185B3A" w:rsidP="00185B3A">
      <w:proofErr w:type="spellStart"/>
      <w:r>
        <w:t>Apixaban</w:t>
      </w:r>
      <w:proofErr w:type="spellEnd"/>
      <w:r>
        <w:t xml:space="preserve"> is PBS listed for:</w:t>
      </w:r>
    </w:p>
    <w:p w14:paraId="094D845A" w14:textId="453D8C58" w:rsidR="00185B3A" w:rsidRDefault="00185B3A" w:rsidP="00C640CD">
      <w:pPr>
        <w:pStyle w:val="ListParagraph"/>
        <w:numPr>
          <w:ilvl w:val="0"/>
          <w:numId w:val="9"/>
        </w:numPr>
      </w:pPr>
      <w:r>
        <w:t>Prevention of venous thromboembolism in patients undergoing total knee replacement;</w:t>
      </w:r>
    </w:p>
    <w:p w14:paraId="7DDB32EE" w14:textId="0FC908DA" w:rsidR="00185B3A" w:rsidRDefault="00185B3A" w:rsidP="00C640CD">
      <w:pPr>
        <w:pStyle w:val="ListParagraph"/>
        <w:numPr>
          <w:ilvl w:val="0"/>
          <w:numId w:val="9"/>
        </w:numPr>
      </w:pPr>
      <w:r>
        <w:lastRenderedPageBreak/>
        <w:t>Prevention of venous thromboembolism in patients undergoing total hip replacement; and</w:t>
      </w:r>
    </w:p>
    <w:p w14:paraId="7257A8C9" w14:textId="00858CF1" w:rsidR="00DC0CE3" w:rsidRPr="00DC0CE3" w:rsidRDefault="00185B3A" w:rsidP="00C640CD">
      <w:pPr>
        <w:pStyle w:val="ListParagraph"/>
        <w:numPr>
          <w:ilvl w:val="0"/>
          <w:numId w:val="9"/>
        </w:numPr>
      </w:pPr>
      <w:r>
        <w:t>Prevention of stroke or systemic embolism in patients with non-valvular atrial fibrillation (outside the scope of this analysis).</w:t>
      </w:r>
    </w:p>
    <w:p w14:paraId="39EF75ED" w14:textId="1ACEB1D2" w:rsidR="00675BB1" w:rsidRPr="00675BB1" w:rsidRDefault="009C35F2" w:rsidP="004F1E15">
      <w:pPr>
        <w:pStyle w:val="Heading5"/>
      </w:pPr>
      <w:r w:rsidRPr="00675BB1">
        <w:t>Date of listing on PBS</w:t>
      </w:r>
      <w:r w:rsidR="00FB5D87">
        <w:t xml:space="preserve"> and c</w:t>
      </w:r>
      <w:r w:rsidR="00675BB1" w:rsidRPr="00675BB1">
        <w:t>hanges to listing</w:t>
      </w:r>
    </w:p>
    <w:p w14:paraId="3ACF9B36" w14:textId="41849F69" w:rsidR="00D72DF1" w:rsidRDefault="000B01A7" w:rsidP="00A35800">
      <w:r>
        <w:t xml:space="preserve">Table 3 outlines the </w:t>
      </w:r>
      <w:proofErr w:type="gramStart"/>
      <w:r>
        <w:t>dates</w:t>
      </w:r>
      <w:proofErr w:type="gramEnd"/>
      <w:r>
        <w:t xml:space="preserve"> </w:t>
      </w:r>
      <w:proofErr w:type="spellStart"/>
      <w:r>
        <w:t>apixaban</w:t>
      </w:r>
      <w:proofErr w:type="spellEnd"/>
      <w:r>
        <w:t xml:space="preserve">, </w:t>
      </w:r>
      <w:proofErr w:type="spellStart"/>
      <w:r>
        <w:t>dabigatran</w:t>
      </w:r>
      <w:proofErr w:type="spellEnd"/>
      <w:r>
        <w:t xml:space="preserve"> and </w:t>
      </w:r>
      <w:proofErr w:type="spellStart"/>
      <w:r>
        <w:t>rivar</w:t>
      </w:r>
      <w:r w:rsidR="00FE480B">
        <w:t>oxaban</w:t>
      </w:r>
      <w:proofErr w:type="spellEnd"/>
      <w:r w:rsidR="00FE480B">
        <w:t xml:space="preserve"> were listed on the </w:t>
      </w:r>
      <w:r w:rsidR="00337F4B">
        <w:t xml:space="preserve">PBS and </w:t>
      </w:r>
      <w:r w:rsidR="00F528B4">
        <w:t>chan</w:t>
      </w:r>
      <w:r w:rsidR="00337F4B">
        <w:t>ges to their PBS listings.</w:t>
      </w:r>
    </w:p>
    <w:p w14:paraId="5ACDA404" w14:textId="40DC6D73" w:rsidR="00D06B3A" w:rsidRPr="00C47189" w:rsidRDefault="00D06B3A" w:rsidP="00C47189">
      <w:pPr>
        <w:pStyle w:val="Tabletitle"/>
      </w:pPr>
      <w:r w:rsidRPr="00C47189">
        <w:t xml:space="preserve">Table </w:t>
      </w:r>
      <w:fldSimple w:instr=" SEQ Table \* ARABIC ">
        <w:r w:rsidR="00F25CCC">
          <w:rPr>
            <w:noProof/>
          </w:rPr>
          <w:t>3</w:t>
        </w:r>
      </w:fldSimple>
      <w:r w:rsidRPr="00C47189">
        <w:t>: PBS listing dates and changes to listings for NOACs</w:t>
      </w:r>
    </w:p>
    <w:tbl>
      <w:tblPr>
        <w:tblW w:w="8980" w:type="dxa"/>
        <w:tblInd w:w="93" w:type="dxa"/>
        <w:tblLook w:val="04A0" w:firstRow="1" w:lastRow="0" w:firstColumn="1" w:lastColumn="0" w:noHBand="0" w:noVBand="1"/>
      </w:tblPr>
      <w:tblGrid>
        <w:gridCol w:w="2300"/>
        <w:gridCol w:w="4960"/>
        <w:gridCol w:w="1720"/>
      </w:tblGrid>
      <w:tr w:rsidR="00D06B3A" w:rsidRPr="00AB38D8" w14:paraId="12621470" w14:textId="77777777" w:rsidTr="000576E3">
        <w:trPr>
          <w:trHeight w:val="300"/>
        </w:trPr>
        <w:tc>
          <w:tcPr>
            <w:tcW w:w="23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E1A0BDD" w14:textId="77777777" w:rsidR="00D06B3A" w:rsidRPr="00AB38D8" w:rsidRDefault="00D06B3A" w:rsidP="000576E3">
            <w:pPr>
              <w:keepNext/>
              <w:spacing w:after="0"/>
              <w:rPr>
                <w:rFonts w:ascii="Calibri" w:eastAsia="Times New Roman" w:hAnsi="Calibri" w:cs="Times New Roman"/>
                <w:b/>
                <w:bCs/>
                <w:color w:val="000000"/>
                <w:sz w:val="20"/>
                <w:szCs w:val="20"/>
              </w:rPr>
            </w:pPr>
            <w:r w:rsidRPr="00AB38D8">
              <w:rPr>
                <w:rFonts w:ascii="Calibri" w:eastAsia="Times New Roman" w:hAnsi="Calibri" w:cs="Times New Roman"/>
                <w:b/>
                <w:bCs/>
                <w:color w:val="000000"/>
                <w:sz w:val="20"/>
                <w:szCs w:val="20"/>
              </w:rPr>
              <w:t>Drug</w:t>
            </w:r>
          </w:p>
        </w:tc>
        <w:tc>
          <w:tcPr>
            <w:tcW w:w="4960" w:type="dxa"/>
            <w:tcBorders>
              <w:top w:val="single" w:sz="4" w:space="0" w:color="auto"/>
              <w:left w:val="nil"/>
              <w:bottom w:val="single" w:sz="4" w:space="0" w:color="auto"/>
              <w:right w:val="single" w:sz="4" w:space="0" w:color="auto"/>
            </w:tcBorders>
            <w:shd w:val="clear" w:color="000000" w:fill="BFBFBF"/>
            <w:vAlign w:val="center"/>
            <w:hideMark/>
          </w:tcPr>
          <w:p w14:paraId="6845F207" w14:textId="77777777" w:rsidR="00D06B3A" w:rsidRPr="00AB38D8" w:rsidRDefault="00D06B3A" w:rsidP="000576E3">
            <w:pPr>
              <w:keepNext/>
              <w:spacing w:after="0"/>
              <w:jc w:val="center"/>
              <w:rPr>
                <w:rFonts w:ascii="Calibri" w:eastAsia="Times New Roman" w:hAnsi="Calibri" w:cs="Times New Roman"/>
                <w:b/>
                <w:bCs/>
                <w:color w:val="000000"/>
                <w:sz w:val="20"/>
                <w:szCs w:val="20"/>
              </w:rPr>
            </w:pPr>
            <w:r w:rsidRPr="00AB38D8">
              <w:rPr>
                <w:rFonts w:ascii="Calibri" w:eastAsia="Times New Roman" w:hAnsi="Calibri" w:cs="Times New Roman"/>
                <w:b/>
                <w:bCs/>
                <w:color w:val="000000"/>
                <w:sz w:val="20"/>
                <w:szCs w:val="20"/>
              </w:rPr>
              <w:t>Indication</w:t>
            </w:r>
          </w:p>
        </w:tc>
        <w:tc>
          <w:tcPr>
            <w:tcW w:w="1720" w:type="dxa"/>
            <w:tcBorders>
              <w:top w:val="single" w:sz="4" w:space="0" w:color="auto"/>
              <w:left w:val="nil"/>
              <w:bottom w:val="single" w:sz="4" w:space="0" w:color="auto"/>
              <w:right w:val="single" w:sz="4" w:space="0" w:color="auto"/>
            </w:tcBorders>
            <w:shd w:val="clear" w:color="000000" w:fill="BFBFBF"/>
            <w:vAlign w:val="center"/>
            <w:hideMark/>
          </w:tcPr>
          <w:p w14:paraId="5E62E117" w14:textId="77777777" w:rsidR="00D06B3A" w:rsidRPr="00AB38D8" w:rsidRDefault="00D06B3A" w:rsidP="000576E3">
            <w:pPr>
              <w:keepNext/>
              <w:spacing w:after="0"/>
              <w:jc w:val="center"/>
              <w:rPr>
                <w:rFonts w:ascii="Calibri" w:eastAsia="Times New Roman" w:hAnsi="Calibri" w:cs="Times New Roman"/>
                <w:b/>
                <w:bCs/>
                <w:color w:val="000000"/>
                <w:sz w:val="20"/>
                <w:szCs w:val="20"/>
              </w:rPr>
            </w:pPr>
            <w:r w:rsidRPr="00AB38D8">
              <w:rPr>
                <w:rFonts w:ascii="Calibri" w:eastAsia="Times New Roman" w:hAnsi="Calibri" w:cs="Times New Roman"/>
                <w:b/>
                <w:bCs/>
                <w:color w:val="000000"/>
                <w:sz w:val="20"/>
                <w:szCs w:val="20"/>
              </w:rPr>
              <w:t>Date</w:t>
            </w:r>
          </w:p>
        </w:tc>
      </w:tr>
      <w:tr w:rsidR="00D06B3A" w:rsidRPr="00AB38D8" w14:paraId="658F1FDE" w14:textId="77777777" w:rsidTr="000576E3">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57B6C170" w14:textId="77777777" w:rsidR="00D06B3A" w:rsidRPr="00AB38D8" w:rsidRDefault="00D06B3A" w:rsidP="000576E3">
            <w:pPr>
              <w:keepNext/>
              <w:spacing w:after="0"/>
              <w:rPr>
                <w:rFonts w:ascii="Calibri" w:eastAsia="Times New Roman" w:hAnsi="Calibri" w:cs="Times New Roman"/>
                <w:color w:val="000000"/>
                <w:sz w:val="20"/>
                <w:szCs w:val="20"/>
              </w:rPr>
            </w:pPr>
            <w:proofErr w:type="spellStart"/>
            <w:r w:rsidRPr="00AB38D8">
              <w:rPr>
                <w:rFonts w:ascii="Calibri" w:eastAsia="Times New Roman" w:hAnsi="Calibri" w:cs="Times New Roman"/>
                <w:color w:val="000000"/>
                <w:sz w:val="20"/>
                <w:szCs w:val="20"/>
              </w:rPr>
              <w:t>Rivaroxaban</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1927BABC" w14:textId="77777777" w:rsidR="00D06B3A" w:rsidRPr="00AB38D8" w:rsidRDefault="00D06B3A" w:rsidP="000576E3">
            <w:pPr>
              <w:keepNext/>
              <w:spacing w:after="0"/>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Listed for prevention of VTE in hip replacements</w:t>
            </w:r>
          </w:p>
        </w:tc>
        <w:tc>
          <w:tcPr>
            <w:tcW w:w="1720" w:type="dxa"/>
            <w:tcBorders>
              <w:top w:val="nil"/>
              <w:left w:val="nil"/>
              <w:bottom w:val="single" w:sz="4" w:space="0" w:color="auto"/>
              <w:right w:val="single" w:sz="4" w:space="0" w:color="auto"/>
            </w:tcBorders>
            <w:shd w:val="clear" w:color="auto" w:fill="auto"/>
            <w:vAlign w:val="center"/>
            <w:hideMark/>
          </w:tcPr>
          <w:p w14:paraId="243377FE" w14:textId="77777777" w:rsidR="00D06B3A" w:rsidRPr="00AB38D8" w:rsidRDefault="00D06B3A" w:rsidP="000576E3">
            <w:pPr>
              <w:keepNext/>
              <w:spacing w:after="0"/>
              <w:jc w:val="right"/>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1 August 2009</w:t>
            </w:r>
          </w:p>
        </w:tc>
      </w:tr>
      <w:tr w:rsidR="00D06B3A" w:rsidRPr="00AB38D8" w14:paraId="3C45628B" w14:textId="77777777" w:rsidTr="000576E3">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3EC66443" w14:textId="77777777" w:rsidR="00D06B3A" w:rsidRPr="00AB38D8" w:rsidRDefault="00D06B3A" w:rsidP="000576E3">
            <w:pPr>
              <w:keepNext/>
              <w:spacing w:after="0"/>
              <w:rPr>
                <w:rFonts w:ascii="Calibri" w:eastAsia="Times New Roman" w:hAnsi="Calibri" w:cs="Times New Roman"/>
                <w:color w:val="000000"/>
                <w:sz w:val="20"/>
                <w:szCs w:val="20"/>
              </w:rPr>
            </w:pPr>
            <w:proofErr w:type="spellStart"/>
            <w:r w:rsidRPr="00AB38D8">
              <w:rPr>
                <w:rFonts w:ascii="Calibri" w:eastAsia="Times New Roman" w:hAnsi="Calibri" w:cs="Times New Roman"/>
                <w:color w:val="000000"/>
                <w:sz w:val="20"/>
                <w:szCs w:val="20"/>
              </w:rPr>
              <w:t>Rivaroxaban</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5C01254C" w14:textId="77777777" w:rsidR="00D06B3A" w:rsidRPr="00AB38D8" w:rsidRDefault="00D06B3A" w:rsidP="000576E3">
            <w:pPr>
              <w:keepNext/>
              <w:spacing w:after="0"/>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Listed for prevention of VTE in knee replacements</w:t>
            </w:r>
          </w:p>
        </w:tc>
        <w:tc>
          <w:tcPr>
            <w:tcW w:w="1720" w:type="dxa"/>
            <w:tcBorders>
              <w:top w:val="nil"/>
              <w:left w:val="nil"/>
              <w:bottom w:val="single" w:sz="4" w:space="0" w:color="auto"/>
              <w:right w:val="single" w:sz="4" w:space="0" w:color="auto"/>
            </w:tcBorders>
            <w:shd w:val="clear" w:color="auto" w:fill="auto"/>
            <w:vAlign w:val="center"/>
            <w:hideMark/>
          </w:tcPr>
          <w:p w14:paraId="3300AEF9" w14:textId="77777777" w:rsidR="00D06B3A" w:rsidRPr="00AB38D8" w:rsidRDefault="00D06B3A" w:rsidP="000576E3">
            <w:pPr>
              <w:keepNext/>
              <w:spacing w:after="0"/>
              <w:jc w:val="right"/>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1 August 2009</w:t>
            </w:r>
          </w:p>
        </w:tc>
      </w:tr>
      <w:tr w:rsidR="00D06B3A" w:rsidRPr="00AB38D8" w14:paraId="550FBDD0" w14:textId="77777777" w:rsidTr="000576E3">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4CE25167" w14:textId="77777777" w:rsidR="00D06B3A" w:rsidRPr="00AB38D8" w:rsidRDefault="00D06B3A" w:rsidP="000576E3">
            <w:pPr>
              <w:keepNext/>
              <w:spacing w:after="0"/>
              <w:rPr>
                <w:rFonts w:ascii="Calibri" w:eastAsia="Times New Roman" w:hAnsi="Calibri" w:cs="Times New Roman"/>
                <w:color w:val="000000"/>
                <w:sz w:val="20"/>
                <w:szCs w:val="20"/>
              </w:rPr>
            </w:pPr>
            <w:proofErr w:type="spellStart"/>
            <w:r w:rsidRPr="00AB38D8">
              <w:rPr>
                <w:rFonts w:ascii="Calibri" w:eastAsia="Times New Roman" w:hAnsi="Calibri" w:cs="Times New Roman"/>
                <w:color w:val="000000"/>
                <w:sz w:val="20"/>
                <w:szCs w:val="20"/>
              </w:rPr>
              <w:t>Dabigatran</w:t>
            </w:r>
            <w:proofErr w:type="spellEnd"/>
            <w:r w:rsidRPr="00AB38D8">
              <w:rPr>
                <w:rFonts w:ascii="Calibri" w:eastAsia="Times New Roman" w:hAnsi="Calibri" w:cs="Times New Roman"/>
                <w:color w:val="000000"/>
                <w:sz w:val="20"/>
                <w:szCs w:val="20"/>
              </w:rPr>
              <w:t xml:space="preserve"> </w:t>
            </w:r>
            <w:proofErr w:type="spellStart"/>
            <w:r w:rsidRPr="00AB38D8">
              <w:rPr>
                <w:rFonts w:ascii="Calibri" w:eastAsia="Times New Roman" w:hAnsi="Calibri" w:cs="Times New Roman"/>
                <w:color w:val="000000"/>
                <w:sz w:val="20"/>
                <w:szCs w:val="20"/>
              </w:rPr>
              <w:t>etexilate</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2159AD45" w14:textId="77777777" w:rsidR="00D06B3A" w:rsidRPr="00AB38D8" w:rsidRDefault="00D06B3A" w:rsidP="000576E3">
            <w:pPr>
              <w:keepNext/>
              <w:spacing w:after="0"/>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Listed for prevention of VTE in hip replacements</w:t>
            </w:r>
          </w:p>
        </w:tc>
        <w:tc>
          <w:tcPr>
            <w:tcW w:w="1720" w:type="dxa"/>
            <w:tcBorders>
              <w:top w:val="nil"/>
              <w:left w:val="nil"/>
              <w:bottom w:val="single" w:sz="4" w:space="0" w:color="auto"/>
              <w:right w:val="single" w:sz="4" w:space="0" w:color="auto"/>
            </w:tcBorders>
            <w:shd w:val="clear" w:color="auto" w:fill="auto"/>
            <w:vAlign w:val="center"/>
            <w:hideMark/>
          </w:tcPr>
          <w:p w14:paraId="0858E32C" w14:textId="77777777" w:rsidR="00D06B3A" w:rsidRPr="00AB38D8" w:rsidRDefault="00D06B3A" w:rsidP="000576E3">
            <w:pPr>
              <w:keepNext/>
              <w:spacing w:after="0"/>
              <w:jc w:val="right"/>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1 April 2010</w:t>
            </w:r>
          </w:p>
        </w:tc>
      </w:tr>
      <w:tr w:rsidR="00D06B3A" w:rsidRPr="00AB38D8" w14:paraId="683B6227" w14:textId="77777777" w:rsidTr="000576E3">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57F1C28E" w14:textId="77777777" w:rsidR="00D06B3A" w:rsidRPr="00AB38D8" w:rsidRDefault="00D06B3A" w:rsidP="000576E3">
            <w:pPr>
              <w:keepNext/>
              <w:spacing w:after="0"/>
              <w:rPr>
                <w:rFonts w:ascii="Calibri" w:eastAsia="Times New Roman" w:hAnsi="Calibri" w:cs="Times New Roman"/>
                <w:color w:val="000000"/>
                <w:sz w:val="20"/>
                <w:szCs w:val="20"/>
              </w:rPr>
            </w:pPr>
            <w:proofErr w:type="spellStart"/>
            <w:r w:rsidRPr="00AB38D8">
              <w:rPr>
                <w:rFonts w:ascii="Calibri" w:eastAsia="Times New Roman" w:hAnsi="Calibri" w:cs="Times New Roman"/>
                <w:color w:val="000000"/>
                <w:sz w:val="20"/>
                <w:szCs w:val="20"/>
              </w:rPr>
              <w:t>Dabigatran</w:t>
            </w:r>
            <w:proofErr w:type="spellEnd"/>
            <w:r w:rsidRPr="00AB38D8">
              <w:rPr>
                <w:rFonts w:ascii="Calibri" w:eastAsia="Times New Roman" w:hAnsi="Calibri" w:cs="Times New Roman"/>
                <w:color w:val="000000"/>
                <w:sz w:val="20"/>
                <w:szCs w:val="20"/>
              </w:rPr>
              <w:t xml:space="preserve"> </w:t>
            </w:r>
            <w:proofErr w:type="spellStart"/>
            <w:r w:rsidRPr="00AB38D8">
              <w:rPr>
                <w:rFonts w:ascii="Calibri" w:eastAsia="Times New Roman" w:hAnsi="Calibri" w:cs="Times New Roman"/>
                <w:color w:val="000000"/>
                <w:sz w:val="20"/>
                <w:szCs w:val="20"/>
              </w:rPr>
              <w:t>etexilate</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70C1B44C" w14:textId="77777777" w:rsidR="00D06B3A" w:rsidRPr="00AB38D8" w:rsidRDefault="00D06B3A" w:rsidP="000576E3">
            <w:pPr>
              <w:keepNext/>
              <w:spacing w:after="0"/>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Listed for prevention of VTE in knee replacements</w:t>
            </w:r>
          </w:p>
        </w:tc>
        <w:tc>
          <w:tcPr>
            <w:tcW w:w="1720" w:type="dxa"/>
            <w:tcBorders>
              <w:top w:val="nil"/>
              <w:left w:val="nil"/>
              <w:bottom w:val="single" w:sz="4" w:space="0" w:color="auto"/>
              <w:right w:val="single" w:sz="4" w:space="0" w:color="auto"/>
            </w:tcBorders>
            <w:shd w:val="clear" w:color="auto" w:fill="auto"/>
            <w:vAlign w:val="center"/>
            <w:hideMark/>
          </w:tcPr>
          <w:p w14:paraId="522ECB55" w14:textId="77777777" w:rsidR="00D06B3A" w:rsidRPr="00AB38D8" w:rsidRDefault="00D06B3A" w:rsidP="000576E3">
            <w:pPr>
              <w:keepNext/>
              <w:spacing w:after="0"/>
              <w:jc w:val="right"/>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1 April 2010</w:t>
            </w:r>
          </w:p>
        </w:tc>
      </w:tr>
      <w:tr w:rsidR="00D06B3A" w:rsidRPr="00AB38D8" w14:paraId="378DF92C" w14:textId="77777777" w:rsidTr="000576E3">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4931700C" w14:textId="77777777" w:rsidR="00D06B3A" w:rsidRPr="00AB38D8" w:rsidRDefault="00D06B3A" w:rsidP="000576E3">
            <w:pPr>
              <w:keepNext/>
              <w:spacing w:after="0"/>
              <w:rPr>
                <w:rFonts w:ascii="Calibri" w:eastAsia="Times New Roman" w:hAnsi="Calibri" w:cs="Times New Roman"/>
                <w:color w:val="000000"/>
                <w:sz w:val="20"/>
                <w:szCs w:val="20"/>
              </w:rPr>
            </w:pPr>
            <w:proofErr w:type="spellStart"/>
            <w:r w:rsidRPr="00AB38D8">
              <w:rPr>
                <w:rFonts w:ascii="Calibri" w:eastAsia="Times New Roman" w:hAnsi="Calibri" w:cs="Times New Roman"/>
                <w:color w:val="000000"/>
                <w:sz w:val="20"/>
                <w:szCs w:val="20"/>
              </w:rPr>
              <w:t>Apixaban</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08A45C32" w14:textId="77777777" w:rsidR="00D06B3A" w:rsidRPr="00AB38D8" w:rsidRDefault="00D06B3A" w:rsidP="000576E3">
            <w:pPr>
              <w:keepNext/>
              <w:spacing w:after="0"/>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Listed for prevention of VTE in hip replacements</w:t>
            </w:r>
          </w:p>
        </w:tc>
        <w:tc>
          <w:tcPr>
            <w:tcW w:w="1720" w:type="dxa"/>
            <w:tcBorders>
              <w:top w:val="nil"/>
              <w:left w:val="nil"/>
              <w:bottom w:val="single" w:sz="4" w:space="0" w:color="auto"/>
              <w:right w:val="single" w:sz="4" w:space="0" w:color="auto"/>
            </w:tcBorders>
            <w:shd w:val="clear" w:color="auto" w:fill="auto"/>
            <w:vAlign w:val="center"/>
            <w:hideMark/>
          </w:tcPr>
          <w:p w14:paraId="2471A9DB" w14:textId="77777777" w:rsidR="00D06B3A" w:rsidRPr="00AB38D8" w:rsidRDefault="00D06B3A" w:rsidP="000576E3">
            <w:pPr>
              <w:keepNext/>
              <w:spacing w:after="0"/>
              <w:jc w:val="right"/>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1 January 2012</w:t>
            </w:r>
          </w:p>
        </w:tc>
      </w:tr>
      <w:tr w:rsidR="00D06B3A" w:rsidRPr="00AB38D8" w14:paraId="6CE3EF95" w14:textId="77777777" w:rsidTr="000576E3">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5C9CD2D1" w14:textId="77777777" w:rsidR="00D06B3A" w:rsidRPr="00AB38D8" w:rsidRDefault="00D06B3A" w:rsidP="000576E3">
            <w:pPr>
              <w:keepNext/>
              <w:spacing w:after="0"/>
              <w:rPr>
                <w:rFonts w:ascii="Calibri" w:eastAsia="Times New Roman" w:hAnsi="Calibri" w:cs="Times New Roman"/>
                <w:color w:val="000000"/>
                <w:sz w:val="20"/>
                <w:szCs w:val="20"/>
              </w:rPr>
            </w:pPr>
            <w:proofErr w:type="spellStart"/>
            <w:r w:rsidRPr="00AB38D8">
              <w:rPr>
                <w:rFonts w:ascii="Calibri" w:eastAsia="Times New Roman" w:hAnsi="Calibri" w:cs="Times New Roman"/>
                <w:color w:val="000000"/>
                <w:sz w:val="20"/>
                <w:szCs w:val="20"/>
              </w:rPr>
              <w:t>Apixaban</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075080DC" w14:textId="77777777" w:rsidR="00D06B3A" w:rsidRPr="00AB38D8" w:rsidRDefault="00D06B3A" w:rsidP="000576E3">
            <w:pPr>
              <w:keepNext/>
              <w:spacing w:after="0"/>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Listed for prevention of VTE in knee replacements</w:t>
            </w:r>
          </w:p>
        </w:tc>
        <w:tc>
          <w:tcPr>
            <w:tcW w:w="1720" w:type="dxa"/>
            <w:tcBorders>
              <w:top w:val="nil"/>
              <w:left w:val="nil"/>
              <w:bottom w:val="single" w:sz="4" w:space="0" w:color="auto"/>
              <w:right w:val="single" w:sz="4" w:space="0" w:color="auto"/>
            </w:tcBorders>
            <w:shd w:val="clear" w:color="auto" w:fill="auto"/>
            <w:vAlign w:val="center"/>
            <w:hideMark/>
          </w:tcPr>
          <w:p w14:paraId="366C1EBC" w14:textId="77777777" w:rsidR="00D06B3A" w:rsidRPr="00AB38D8" w:rsidRDefault="00D06B3A" w:rsidP="000576E3">
            <w:pPr>
              <w:keepNext/>
              <w:spacing w:after="0"/>
              <w:jc w:val="right"/>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1 January 2012</w:t>
            </w:r>
          </w:p>
        </w:tc>
      </w:tr>
      <w:tr w:rsidR="00D06B3A" w:rsidRPr="00AB38D8" w14:paraId="4933BF1E" w14:textId="77777777" w:rsidTr="000576E3">
        <w:trPr>
          <w:trHeight w:val="765"/>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7F6B066F" w14:textId="77777777" w:rsidR="00D06B3A" w:rsidRPr="00AB38D8" w:rsidRDefault="00D06B3A" w:rsidP="000576E3">
            <w:pPr>
              <w:keepNext/>
              <w:spacing w:after="0"/>
              <w:rPr>
                <w:rFonts w:ascii="Calibri" w:eastAsia="Times New Roman" w:hAnsi="Calibri" w:cs="Times New Roman"/>
                <w:color w:val="000000"/>
                <w:sz w:val="20"/>
                <w:szCs w:val="20"/>
              </w:rPr>
            </w:pPr>
            <w:proofErr w:type="spellStart"/>
            <w:r w:rsidRPr="00AB38D8">
              <w:rPr>
                <w:rFonts w:ascii="Calibri" w:eastAsia="Times New Roman" w:hAnsi="Calibri" w:cs="Times New Roman"/>
                <w:color w:val="000000"/>
                <w:sz w:val="20"/>
                <w:szCs w:val="20"/>
              </w:rPr>
              <w:t>Rivaroxaban</w:t>
            </w:r>
            <w:proofErr w:type="spellEnd"/>
            <w:r w:rsidRPr="00AB38D8">
              <w:rPr>
                <w:rFonts w:ascii="Calibri" w:eastAsia="Times New Roman" w:hAnsi="Calibri" w:cs="Times New Roman"/>
                <w:color w:val="000000"/>
                <w:sz w:val="20"/>
                <w:szCs w:val="20"/>
              </w:rPr>
              <w:t xml:space="preserve">, </w:t>
            </w:r>
            <w:proofErr w:type="spellStart"/>
            <w:r w:rsidRPr="00AB38D8">
              <w:rPr>
                <w:rFonts w:ascii="Calibri" w:eastAsia="Times New Roman" w:hAnsi="Calibri" w:cs="Times New Roman"/>
                <w:color w:val="000000"/>
                <w:sz w:val="20"/>
                <w:szCs w:val="20"/>
              </w:rPr>
              <w:t>dabigatran</w:t>
            </w:r>
            <w:proofErr w:type="spellEnd"/>
            <w:r w:rsidRPr="00AB38D8">
              <w:rPr>
                <w:rFonts w:ascii="Calibri" w:eastAsia="Times New Roman" w:hAnsi="Calibri" w:cs="Times New Roman"/>
                <w:color w:val="000000"/>
                <w:sz w:val="20"/>
                <w:szCs w:val="20"/>
              </w:rPr>
              <w:t xml:space="preserve"> and </w:t>
            </w:r>
            <w:proofErr w:type="spellStart"/>
            <w:r w:rsidRPr="00AB38D8">
              <w:rPr>
                <w:rFonts w:ascii="Calibri" w:eastAsia="Times New Roman" w:hAnsi="Calibri" w:cs="Times New Roman"/>
                <w:color w:val="000000"/>
                <w:sz w:val="20"/>
                <w:szCs w:val="20"/>
              </w:rPr>
              <w:t>apixaban</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47E2D253" w14:textId="77777777" w:rsidR="00D06B3A" w:rsidRPr="00AB38D8" w:rsidRDefault="00D06B3A" w:rsidP="000576E3">
            <w:pPr>
              <w:keepNext/>
              <w:spacing w:after="0"/>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Restrictions changed to specify whether patient requires 10, 15 or 30 days of treatment and if this is required to complete a course of therapy</w:t>
            </w:r>
          </w:p>
        </w:tc>
        <w:tc>
          <w:tcPr>
            <w:tcW w:w="1720" w:type="dxa"/>
            <w:tcBorders>
              <w:top w:val="nil"/>
              <w:left w:val="nil"/>
              <w:bottom w:val="single" w:sz="4" w:space="0" w:color="auto"/>
              <w:right w:val="single" w:sz="4" w:space="0" w:color="auto"/>
            </w:tcBorders>
            <w:shd w:val="clear" w:color="auto" w:fill="auto"/>
            <w:vAlign w:val="center"/>
            <w:hideMark/>
          </w:tcPr>
          <w:p w14:paraId="63AB99AF" w14:textId="77777777" w:rsidR="00D06B3A" w:rsidRPr="00AB38D8" w:rsidRDefault="00D06B3A" w:rsidP="000576E3">
            <w:pPr>
              <w:keepNext/>
              <w:spacing w:after="0"/>
              <w:jc w:val="right"/>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1 July 2012</w:t>
            </w:r>
          </w:p>
        </w:tc>
      </w:tr>
      <w:tr w:rsidR="00D06B3A" w:rsidRPr="00AB38D8" w14:paraId="36E25C0B" w14:textId="77777777" w:rsidTr="000576E3">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6137B4FE" w14:textId="77777777" w:rsidR="00D06B3A" w:rsidRPr="00AB38D8" w:rsidRDefault="00D06B3A" w:rsidP="000576E3">
            <w:pPr>
              <w:keepNext/>
              <w:spacing w:after="0"/>
              <w:rPr>
                <w:rFonts w:ascii="Calibri" w:eastAsia="Times New Roman" w:hAnsi="Calibri" w:cs="Times New Roman"/>
                <w:color w:val="000000"/>
                <w:sz w:val="20"/>
                <w:szCs w:val="20"/>
              </w:rPr>
            </w:pPr>
            <w:proofErr w:type="spellStart"/>
            <w:r w:rsidRPr="00AB38D8">
              <w:rPr>
                <w:rFonts w:ascii="Calibri" w:eastAsia="Times New Roman" w:hAnsi="Calibri" w:cs="Times New Roman"/>
                <w:color w:val="000000"/>
                <w:sz w:val="20"/>
                <w:szCs w:val="20"/>
              </w:rPr>
              <w:t>Rivaroxaban</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31275EF9" w14:textId="77777777" w:rsidR="00D06B3A" w:rsidRPr="00AB38D8" w:rsidRDefault="00D06B3A" w:rsidP="000576E3">
            <w:pPr>
              <w:keepNext/>
              <w:spacing w:after="0"/>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 xml:space="preserve">Listed for acute symptomatic deep vein thrombosis </w:t>
            </w:r>
          </w:p>
        </w:tc>
        <w:tc>
          <w:tcPr>
            <w:tcW w:w="1720" w:type="dxa"/>
            <w:tcBorders>
              <w:top w:val="nil"/>
              <w:left w:val="nil"/>
              <w:bottom w:val="single" w:sz="4" w:space="0" w:color="auto"/>
              <w:right w:val="single" w:sz="4" w:space="0" w:color="auto"/>
            </w:tcBorders>
            <w:shd w:val="clear" w:color="auto" w:fill="auto"/>
            <w:vAlign w:val="center"/>
            <w:hideMark/>
          </w:tcPr>
          <w:p w14:paraId="4E73431C" w14:textId="77777777" w:rsidR="00D06B3A" w:rsidRPr="00AB38D8" w:rsidRDefault="00D06B3A" w:rsidP="000576E3">
            <w:pPr>
              <w:keepNext/>
              <w:spacing w:after="0"/>
              <w:jc w:val="right"/>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1 December 2012</w:t>
            </w:r>
          </w:p>
        </w:tc>
      </w:tr>
      <w:tr w:rsidR="00D06B3A" w:rsidRPr="00AB38D8" w14:paraId="466F1BE8" w14:textId="77777777" w:rsidTr="000576E3">
        <w:trPr>
          <w:trHeight w:val="51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24F1E7CA" w14:textId="77777777" w:rsidR="00D06B3A" w:rsidRPr="00AB38D8" w:rsidRDefault="00D06B3A" w:rsidP="000576E3">
            <w:pPr>
              <w:keepNext/>
              <w:spacing w:after="0"/>
              <w:rPr>
                <w:rFonts w:ascii="Calibri" w:eastAsia="Times New Roman" w:hAnsi="Calibri" w:cs="Times New Roman"/>
                <w:color w:val="000000"/>
                <w:sz w:val="20"/>
                <w:szCs w:val="20"/>
              </w:rPr>
            </w:pPr>
            <w:proofErr w:type="spellStart"/>
            <w:r w:rsidRPr="00AB38D8">
              <w:rPr>
                <w:rFonts w:ascii="Calibri" w:eastAsia="Times New Roman" w:hAnsi="Calibri" w:cs="Times New Roman"/>
                <w:color w:val="000000"/>
                <w:sz w:val="20"/>
                <w:szCs w:val="20"/>
              </w:rPr>
              <w:t>Rivaroxaban</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6F560965" w14:textId="77777777" w:rsidR="00D06B3A" w:rsidRPr="00AB38D8" w:rsidRDefault="00D06B3A" w:rsidP="000576E3">
            <w:pPr>
              <w:keepNext/>
              <w:spacing w:after="0"/>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Listed for prevention of recurrent venous thromboembolism. Patient must not have symptomatic pulmonary embolism.</w:t>
            </w:r>
          </w:p>
        </w:tc>
        <w:tc>
          <w:tcPr>
            <w:tcW w:w="1720" w:type="dxa"/>
            <w:tcBorders>
              <w:top w:val="nil"/>
              <w:left w:val="nil"/>
              <w:bottom w:val="single" w:sz="4" w:space="0" w:color="auto"/>
              <w:right w:val="single" w:sz="4" w:space="0" w:color="auto"/>
            </w:tcBorders>
            <w:shd w:val="clear" w:color="auto" w:fill="auto"/>
            <w:vAlign w:val="center"/>
            <w:hideMark/>
          </w:tcPr>
          <w:p w14:paraId="52B35FCD" w14:textId="77777777" w:rsidR="00D06B3A" w:rsidRPr="00AB38D8" w:rsidRDefault="00D06B3A" w:rsidP="000576E3">
            <w:pPr>
              <w:keepNext/>
              <w:spacing w:after="0"/>
              <w:jc w:val="right"/>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1 December 2012</w:t>
            </w:r>
          </w:p>
        </w:tc>
      </w:tr>
      <w:tr w:rsidR="00D06B3A" w:rsidRPr="00AB38D8" w14:paraId="6BE1ED7B" w14:textId="77777777" w:rsidTr="000576E3">
        <w:trPr>
          <w:trHeight w:val="30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2F8E645B" w14:textId="77777777" w:rsidR="00D06B3A" w:rsidRPr="00AB38D8" w:rsidRDefault="00D06B3A" w:rsidP="000576E3">
            <w:pPr>
              <w:keepNext/>
              <w:spacing w:after="0"/>
              <w:rPr>
                <w:rFonts w:ascii="Calibri" w:eastAsia="Times New Roman" w:hAnsi="Calibri" w:cs="Times New Roman"/>
                <w:color w:val="000000"/>
                <w:sz w:val="20"/>
                <w:szCs w:val="20"/>
              </w:rPr>
            </w:pPr>
            <w:proofErr w:type="spellStart"/>
            <w:r w:rsidRPr="00AB38D8">
              <w:rPr>
                <w:rFonts w:ascii="Calibri" w:eastAsia="Times New Roman" w:hAnsi="Calibri" w:cs="Times New Roman"/>
                <w:color w:val="000000"/>
                <w:sz w:val="20"/>
                <w:szCs w:val="20"/>
              </w:rPr>
              <w:t>Rivaroxaban</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04ACBF12" w14:textId="77777777" w:rsidR="00D06B3A" w:rsidRPr="00AB38D8" w:rsidRDefault="00D06B3A" w:rsidP="000576E3">
            <w:pPr>
              <w:keepNext/>
              <w:spacing w:after="0"/>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Listed for pulmonary embolism</w:t>
            </w:r>
          </w:p>
        </w:tc>
        <w:tc>
          <w:tcPr>
            <w:tcW w:w="1720" w:type="dxa"/>
            <w:tcBorders>
              <w:top w:val="nil"/>
              <w:left w:val="nil"/>
              <w:bottom w:val="single" w:sz="4" w:space="0" w:color="auto"/>
              <w:right w:val="single" w:sz="4" w:space="0" w:color="auto"/>
            </w:tcBorders>
            <w:shd w:val="clear" w:color="auto" w:fill="auto"/>
            <w:vAlign w:val="center"/>
            <w:hideMark/>
          </w:tcPr>
          <w:p w14:paraId="722AB801" w14:textId="77777777" w:rsidR="00D06B3A" w:rsidRPr="00AB38D8" w:rsidRDefault="00D06B3A" w:rsidP="000576E3">
            <w:pPr>
              <w:keepNext/>
              <w:spacing w:after="0"/>
              <w:jc w:val="right"/>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1 August 2013</w:t>
            </w:r>
          </w:p>
        </w:tc>
      </w:tr>
      <w:tr w:rsidR="00D06B3A" w:rsidRPr="00AB38D8" w14:paraId="5E34640A" w14:textId="77777777" w:rsidTr="000576E3">
        <w:trPr>
          <w:trHeight w:val="51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55606FE8" w14:textId="77777777" w:rsidR="00D06B3A" w:rsidRPr="00AB38D8" w:rsidRDefault="00D06B3A" w:rsidP="000576E3">
            <w:pPr>
              <w:keepNext/>
              <w:spacing w:after="0"/>
              <w:rPr>
                <w:rFonts w:ascii="Calibri" w:eastAsia="Times New Roman" w:hAnsi="Calibri" w:cs="Times New Roman"/>
                <w:color w:val="000000"/>
                <w:sz w:val="20"/>
                <w:szCs w:val="20"/>
              </w:rPr>
            </w:pPr>
            <w:proofErr w:type="spellStart"/>
            <w:r w:rsidRPr="00AB38D8">
              <w:rPr>
                <w:rFonts w:ascii="Calibri" w:eastAsia="Times New Roman" w:hAnsi="Calibri" w:cs="Times New Roman"/>
                <w:color w:val="000000"/>
                <w:sz w:val="20"/>
                <w:szCs w:val="20"/>
              </w:rPr>
              <w:t>Rivaroxaban</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6FB20A98" w14:textId="453E6479" w:rsidR="00D06B3A" w:rsidRPr="00AB38D8" w:rsidRDefault="00D06B3A" w:rsidP="000576E3">
            <w:pPr>
              <w:keepNext/>
              <w:spacing w:after="0"/>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Listed for prevention of stroke or systemic embolism in patients with non-valvular atrial fibrillation (out of scope</w:t>
            </w:r>
            <w:r w:rsidR="00261EDD">
              <w:rPr>
                <w:rFonts w:ascii="Calibri" w:eastAsia="Times New Roman" w:hAnsi="Calibri" w:cs="Times New Roman"/>
                <w:color w:val="000000"/>
                <w:sz w:val="20"/>
                <w:szCs w:val="20"/>
              </w:rPr>
              <w:t xml:space="preserve"> for this analysis</w:t>
            </w:r>
            <w:r w:rsidRPr="00AB38D8">
              <w:rPr>
                <w:rFonts w:ascii="Calibri" w:eastAsia="Times New Roman" w:hAnsi="Calibri" w:cs="Times New Roman"/>
                <w:color w:val="000000"/>
                <w:sz w:val="20"/>
                <w:szCs w:val="20"/>
              </w:rPr>
              <w:t>)</w:t>
            </w:r>
          </w:p>
        </w:tc>
        <w:tc>
          <w:tcPr>
            <w:tcW w:w="1720" w:type="dxa"/>
            <w:tcBorders>
              <w:top w:val="nil"/>
              <w:left w:val="nil"/>
              <w:bottom w:val="single" w:sz="4" w:space="0" w:color="auto"/>
              <w:right w:val="single" w:sz="4" w:space="0" w:color="auto"/>
            </w:tcBorders>
            <w:shd w:val="clear" w:color="auto" w:fill="auto"/>
            <w:vAlign w:val="center"/>
            <w:hideMark/>
          </w:tcPr>
          <w:p w14:paraId="1C4D57F7" w14:textId="77777777" w:rsidR="00D06B3A" w:rsidRPr="00AB38D8" w:rsidRDefault="00D06B3A" w:rsidP="000576E3">
            <w:pPr>
              <w:keepNext/>
              <w:spacing w:after="0"/>
              <w:jc w:val="right"/>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1 August 2013</w:t>
            </w:r>
          </w:p>
        </w:tc>
      </w:tr>
      <w:tr w:rsidR="00D06B3A" w:rsidRPr="00AB38D8" w14:paraId="18C6F8CB" w14:textId="77777777" w:rsidTr="000576E3">
        <w:trPr>
          <w:trHeight w:val="51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1AEEAE26" w14:textId="77777777" w:rsidR="00D06B3A" w:rsidRPr="00AB38D8" w:rsidRDefault="00D06B3A" w:rsidP="000576E3">
            <w:pPr>
              <w:keepNext/>
              <w:spacing w:after="0"/>
              <w:rPr>
                <w:rFonts w:ascii="Calibri" w:eastAsia="Times New Roman" w:hAnsi="Calibri" w:cs="Times New Roman"/>
                <w:color w:val="000000"/>
                <w:sz w:val="20"/>
                <w:szCs w:val="20"/>
              </w:rPr>
            </w:pPr>
            <w:proofErr w:type="spellStart"/>
            <w:r w:rsidRPr="00AB38D8">
              <w:rPr>
                <w:rFonts w:ascii="Calibri" w:eastAsia="Times New Roman" w:hAnsi="Calibri" w:cs="Times New Roman"/>
                <w:color w:val="000000"/>
                <w:sz w:val="20"/>
                <w:szCs w:val="20"/>
              </w:rPr>
              <w:t>Apixaban</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519BAB77" w14:textId="05A16082" w:rsidR="00D06B3A" w:rsidRPr="00AB38D8" w:rsidRDefault="00D06B3A" w:rsidP="000576E3">
            <w:pPr>
              <w:keepNext/>
              <w:spacing w:after="0"/>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Listed for prevention of stroke or systemic embolism in patients with non-valvular atrial fibrillation (out of scope</w:t>
            </w:r>
            <w:r w:rsidR="00261EDD">
              <w:rPr>
                <w:rFonts w:ascii="Calibri" w:eastAsia="Times New Roman" w:hAnsi="Calibri" w:cs="Times New Roman"/>
                <w:color w:val="000000"/>
                <w:sz w:val="20"/>
                <w:szCs w:val="20"/>
              </w:rPr>
              <w:t xml:space="preserve"> for this analysis</w:t>
            </w:r>
            <w:r w:rsidRPr="00AB38D8">
              <w:rPr>
                <w:rFonts w:ascii="Calibri" w:eastAsia="Times New Roman" w:hAnsi="Calibri" w:cs="Times New Roman"/>
                <w:color w:val="000000"/>
                <w:sz w:val="20"/>
                <w:szCs w:val="20"/>
              </w:rPr>
              <w:t>)</w:t>
            </w:r>
          </w:p>
        </w:tc>
        <w:tc>
          <w:tcPr>
            <w:tcW w:w="1720" w:type="dxa"/>
            <w:tcBorders>
              <w:top w:val="nil"/>
              <w:left w:val="nil"/>
              <w:bottom w:val="single" w:sz="4" w:space="0" w:color="auto"/>
              <w:right w:val="single" w:sz="4" w:space="0" w:color="auto"/>
            </w:tcBorders>
            <w:shd w:val="clear" w:color="auto" w:fill="auto"/>
            <w:vAlign w:val="center"/>
            <w:hideMark/>
          </w:tcPr>
          <w:p w14:paraId="5C0DCEE4" w14:textId="77777777" w:rsidR="00D06B3A" w:rsidRPr="00AB38D8" w:rsidRDefault="00D06B3A" w:rsidP="000576E3">
            <w:pPr>
              <w:keepNext/>
              <w:spacing w:after="0"/>
              <w:jc w:val="right"/>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1 September 2013</w:t>
            </w:r>
          </w:p>
        </w:tc>
      </w:tr>
      <w:tr w:rsidR="00D06B3A" w:rsidRPr="00AB38D8" w14:paraId="7819D3A3" w14:textId="77777777" w:rsidTr="000576E3">
        <w:trPr>
          <w:trHeight w:val="51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24432FCE" w14:textId="77777777" w:rsidR="00D06B3A" w:rsidRPr="00AB38D8" w:rsidRDefault="00D06B3A" w:rsidP="000576E3">
            <w:pPr>
              <w:keepNext/>
              <w:spacing w:after="0"/>
              <w:rPr>
                <w:rFonts w:ascii="Calibri" w:eastAsia="Times New Roman" w:hAnsi="Calibri" w:cs="Times New Roman"/>
                <w:color w:val="000000"/>
                <w:sz w:val="20"/>
                <w:szCs w:val="20"/>
              </w:rPr>
            </w:pPr>
            <w:proofErr w:type="spellStart"/>
            <w:r w:rsidRPr="00AB38D8">
              <w:rPr>
                <w:rFonts w:ascii="Calibri" w:eastAsia="Times New Roman" w:hAnsi="Calibri" w:cs="Times New Roman"/>
                <w:color w:val="000000"/>
                <w:sz w:val="20"/>
                <w:szCs w:val="20"/>
              </w:rPr>
              <w:t>Dabigatran</w:t>
            </w:r>
            <w:proofErr w:type="spellEnd"/>
            <w:r w:rsidRPr="00AB38D8">
              <w:rPr>
                <w:rFonts w:ascii="Calibri" w:eastAsia="Times New Roman" w:hAnsi="Calibri" w:cs="Times New Roman"/>
                <w:color w:val="000000"/>
                <w:sz w:val="20"/>
                <w:szCs w:val="20"/>
              </w:rPr>
              <w:t xml:space="preserve"> </w:t>
            </w:r>
            <w:proofErr w:type="spellStart"/>
            <w:r w:rsidRPr="00AB38D8">
              <w:rPr>
                <w:rFonts w:ascii="Calibri" w:eastAsia="Times New Roman" w:hAnsi="Calibri" w:cs="Times New Roman"/>
                <w:color w:val="000000"/>
                <w:sz w:val="20"/>
                <w:szCs w:val="20"/>
              </w:rPr>
              <w:t>etexilate</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408DC42F" w14:textId="1B0019F2" w:rsidR="00D06B3A" w:rsidRPr="00AB38D8" w:rsidRDefault="00D06B3A" w:rsidP="000576E3">
            <w:pPr>
              <w:keepNext/>
              <w:spacing w:after="0"/>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Listed for prevention of stroke or systemic embolism in patients with non-valvular atrial fibrillation (out of scope</w:t>
            </w:r>
            <w:r w:rsidR="00261EDD">
              <w:rPr>
                <w:rFonts w:ascii="Calibri" w:eastAsia="Times New Roman" w:hAnsi="Calibri" w:cs="Times New Roman"/>
                <w:color w:val="000000"/>
                <w:sz w:val="20"/>
                <w:szCs w:val="20"/>
              </w:rPr>
              <w:t xml:space="preserve"> for this analysis</w:t>
            </w:r>
            <w:r w:rsidRPr="00AB38D8">
              <w:rPr>
                <w:rFonts w:ascii="Calibri" w:eastAsia="Times New Roman" w:hAnsi="Calibri" w:cs="Times New Roman"/>
                <w:color w:val="000000"/>
                <w:sz w:val="20"/>
                <w:szCs w:val="20"/>
              </w:rPr>
              <w:t>)</w:t>
            </w:r>
          </w:p>
        </w:tc>
        <w:tc>
          <w:tcPr>
            <w:tcW w:w="1720" w:type="dxa"/>
            <w:tcBorders>
              <w:top w:val="nil"/>
              <w:left w:val="nil"/>
              <w:bottom w:val="single" w:sz="4" w:space="0" w:color="auto"/>
              <w:right w:val="single" w:sz="4" w:space="0" w:color="auto"/>
            </w:tcBorders>
            <w:shd w:val="clear" w:color="auto" w:fill="auto"/>
            <w:vAlign w:val="center"/>
            <w:hideMark/>
          </w:tcPr>
          <w:p w14:paraId="19AC0A74" w14:textId="77777777" w:rsidR="00D06B3A" w:rsidRPr="00AB38D8" w:rsidRDefault="00D06B3A" w:rsidP="000576E3">
            <w:pPr>
              <w:keepNext/>
              <w:spacing w:after="0"/>
              <w:jc w:val="right"/>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1 September 2013</w:t>
            </w:r>
          </w:p>
        </w:tc>
      </w:tr>
      <w:tr w:rsidR="00D06B3A" w:rsidRPr="00AB38D8" w14:paraId="47EE6CB2" w14:textId="77777777" w:rsidTr="000576E3">
        <w:trPr>
          <w:trHeight w:val="1020"/>
        </w:trPr>
        <w:tc>
          <w:tcPr>
            <w:tcW w:w="2300" w:type="dxa"/>
            <w:tcBorders>
              <w:top w:val="nil"/>
              <w:left w:val="single" w:sz="4" w:space="0" w:color="auto"/>
              <w:bottom w:val="single" w:sz="4" w:space="0" w:color="auto"/>
              <w:right w:val="single" w:sz="4" w:space="0" w:color="auto"/>
            </w:tcBorders>
            <w:shd w:val="clear" w:color="auto" w:fill="auto"/>
            <w:vAlign w:val="center"/>
            <w:hideMark/>
          </w:tcPr>
          <w:p w14:paraId="11D909B5" w14:textId="77777777" w:rsidR="00D06B3A" w:rsidRPr="00AB38D8" w:rsidRDefault="00D06B3A" w:rsidP="000576E3">
            <w:pPr>
              <w:spacing w:after="0"/>
              <w:rPr>
                <w:rFonts w:ascii="Calibri" w:eastAsia="Times New Roman" w:hAnsi="Calibri" w:cs="Times New Roman"/>
                <w:color w:val="000000"/>
                <w:sz w:val="20"/>
                <w:szCs w:val="20"/>
              </w:rPr>
            </w:pPr>
            <w:proofErr w:type="spellStart"/>
            <w:r w:rsidRPr="00AB38D8">
              <w:rPr>
                <w:rFonts w:ascii="Calibri" w:eastAsia="Times New Roman" w:hAnsi="Calibri" w:cs="Times New Roman"/>
                <w:color w:val="000000"/>
                <w:sz w:val="20"/>
                <w:szCs w:val="20"/>
              </w:rPr>
              <w:t>Rivaroxaban</w:t>
            </w:r>
            <w:proofErr w:type="spellEnd"/>
            <w:r w:rsidRPr="00AB38D8">
              <w:rPr>
                <w:rFonts w:ascii="Calibri" w:eastAsia="Times New Roman" w:hAnsi="Calibri" w:cs="Times New Roman"/>
                <w:color w:val="000000"/>
                <w:sz w:val="20"/>
                <w:szCs w:val="20"/>
              </w:rPr>
              <w:t xml:space="preserve">, </w:t>
            </w:r>
            <w:proofErr w:type="spellStart"/>
            <w:r w:rsidRPr="00AB38D8">
              <w:rPr>
                <w:rFonts w:ascii="Calibri" w:eastAsia="Times New Roman" w:hAnsi="Calibri" w:cs="Times New Roman"/>
                <w:color w:val="000000"/>
                <w:sz w:val="20"/>
                <w:szCs w:val="20"/>
              </w:rPr>
              <w:t>dabigatran</w:t>
            </w:r>
            <w:proofErr w:type="spellEnd"/>
            <w:r w:rsidRPr="00AB38D8">
              <w:rPr>
                <w:rFonts w:ascii="Calibri" w:eastAsia="Times New Roman" w:hAnsi="Calibri" w:cs="Times New Roman"/>
                <w:color w:val="000000"/>
                <w:sz w:val="20"/>
                <w:szCs w:val="20"/>
              </w:rPr>
              <w:t xml:space="preserve"> and </w:t>
            </w:r>
            <w:proofErr w:type="spellStart"/>
            <w:r w:rsidRPr="00AB38D8">
              <w:rPr>
                <w:rFonts w:ascii="Calibri" w:eastAsia="Times New Roman" w:hAnsi="Calibri" w:cs="Times New Roman"/>
                <w:color w:val="000000"/>
                <w:sz w:val="20"/>
                <w:szCs w:val="20"/>
              </w:rPr>
              <w:t>apixaban</w:t>
            </w:r>
            <w:proofErr w:type="spellEnd"/>
          </w:p>
        </w:tc>
        <w:tc>
          <w:tcPr>
            <w:tcW w:w="4960" w:type="dxa"/>
            <w:tcBorders>
              <w:top w:val="nil"/>
              <w:left w:val="nil"/>
              <w:bottom w:val="single" w:sz="4" w:space="0" w:color="auto"/>
              <w:right w:val="single" w:sz="4" w:space="0" w:color="auto"/>
            </w:tcBorders>
            <w:shd w:val="clear" w:color="auto" w:fill="auto"/>
            <w:vAlign w:val="center"/>
            <w:hideMark/>
          </w:tcPr>
          <w:p w14:paraId="4E561109" w14:textId="77777777" w:rsidR="00D06B3A" w:rsidRPr="00AB38D8" w:rsidRDefault="00D06B3A" w:rsidP="000576E3">
            <w:pPr>
              <w:spacing w:after="0"/>
              <w:rPr>
                <w:rFonts w:ascii="Calibri" w:eastAsia="Times New Roman" w:hAnsi="Calibri" w:cs="Times New Roman"/>
                <w:color w:val="000000"/>
                <w:sz w:val="20"/>
                <w:szCs w:val="20"/>
              </w:rPr>
            </w:pPr>
            <w:proofErr w:type="spellStart"/>
            <w:r w:rsidRPr="00AB38D8">
              <w:rPr>
                <w:rFonts w:ascii="Calibri" w:eastAsia="Times New Roman" w:hAnsi="Calibri" w:cs="Times New Roman"/>
                <w:color w:val="000000"/>
                <w:sz w:val="20"/>
                <w:szCs w:val="20"/>
              </w:rPr>
              <w:t>Rivaroxaban</w:t>
            </w:r>
            <w:proofErr w:type="spellEnd"/>
            <w:r w:rsidRPr="00AB38D8">
              <w:rPr>
                <w:rFonts w:ascii="Calibri" w:eastAsia="Times New Roman" w:hAnsi="Calibri" w:cs="Times New Roman"/>
                <w:color w:val="000000"/>
                <w:sz w:val="20"/>
                <w:szCs w:val="20"/>
              </w:rPr>
              <w:t xml:space="preserve">, </w:t>
            </w:r>
            <w:proofErr w:type="spellStart"/>
            <w:r w:rsidRPr="00AB38D8">
              <w:rPr>
                <w:rFonts w:ascii="Calibri" w:eastAsia="Times New Roman" w:hAnsi="Calibri" w:cs="Times New Roman"/>
                <w:color w:val="000000"/>
                <w:sz w:val="20"/>
                <w:szCs w:val="20"/>
              </w:rPr>
              <w:t>dabigatran</w:t>
            </w:r>
            <w:proofErr w:type="spellEnd"/>
            <w:r w:rsidRPr="00AB38D8">
              <w:rPr>
                <w:rFonts w:ascii="Calibri" w:eastAsia="Times New Roman" w:hAnsi="Calibri" w:cs="Times New Roman"/>
                <w:color w:val="000000"/>
                <w:sz w:val="20"/>
                <w:szCs w:val="20"/>
              </w:rPr>
              <w:t xml:space="preserve"> and </w:t>
            </w:r>
            <w:proofErr w:type="spellStart"/>
            <w:r w:rsidRPr="00AB38D8">
              <w:rPr>
                <w:rFonts w:ascii="Calibri" w:eastAsia="Times New Roman" w:hAnsi="Calibri" w:cs="Times New Roman"/>
                <w:color w:val="000000"/>
                <w:sz w:val="20"/>
                <w:szCs w:val="20"/>
              </w:rPr>
              <w:t>apixaban</w:t>
            </w:r>
            <w:proofErr w:type="spellEnd"/>
            <w:r w:rsidRPr="00AB38D8">
              <w:rPr>
                <w:rFonts w:ascii="Calibri" w:eastAsia="Times New Roman" w:hAnsi="Calibri" w:cs="Times New Roman"/>
                <w:color w:val="000000"/>
                <w:sz w:val="20"/>
                <w:szCs w:val="20"/>
              </w:rPr>
              <w:t xml:space="preserve"> for prevention of VTE in patients undergoing total hip or knee replacements changed from an Authority Required listing to an Authority Required (STREAMLINED) listing</w:t>
            </w:r>
          </w:p>
        </w:tc>
        <w:tc>
          <w:tcPr>
            <w:tcW w:w="1720" w:type="dxa"/>
            <w:tcBorders>
              <w:top w:val="nil"/>
              <w:left w:val="nil"/>
              <w:bottom w:val="single" w:sz="4" w:space="0" w:color="auto"/>
              <w:right w:val="single" w:sz="4" w:space="0" w:color="auto"/>
            </w:tcBorders>
            <w:shd w:val="clear" w:color="auto" w:fill="auto"/>
            <w:vAlign w:val="center"/>
            <w:hideMark/>
          </w:tcPr>
          <w:p w14:paraId="56D86D85" w14:textId="77777777" w:rsidR="00D06B3A" w:rsidRPr="00AB38D8" w:rsidRDefault="00D06B3A" w:rsidP="000576E3">
            <w:pPr>
              <w:spacing w:after="0"/>
              <w:jc w:val="right"/>
              <w:rPr>
                <w:rFonts w:ascii="Calibri" w:eastAsia="Times New Roman" w:hAnsi="Calibri" w:cs="Times New Roman"/>
                <w:color w:val="000000"/>
                <w:sz w:val="20"/>
                <w:szCs w:val="20"/>
              </w:rPr>
            </w:pPr>
            <w:r w:rsidRPr="00AB38D8">
              <w:rPr>
                <w:rFonts w:ascii="Calibri" w:eastAsia="Times New Roman" w:hAnsi="Calibri" w:cs="Times New Roman"/>
                <w:color w:val="000000"/>
                <w:sz w:val="20"/>
                <w:szCs w:val="20"/>
              </w:rPr>
              <w:t>1 January 2014</w:t>
            </w:r>
          </w:p>
        </w:tc>
      </w:tr>
    </w:tbl>
    <w:p w14:paraId="05976575" w14:textId="77777777" w:rsidR="00F528B4" w:rsidRDefault="00F528B4" w:rsidP="00A35800"/>
    <w:p w14:paraId="530B00D4" w14:textId="0BF128BE" w:rsidR="00514EB9" w:rsidRPr="002F61CA" w:rsidRDefault="007247B9" w:rsidP="00A35800">
      <w:r w:rsidRPr="002F61CA">
        <w:t xml:space="preserve">Current </w:t>
      </w:r>
      <w:r w:rsidR="004C3186" w:rsidRPr="002F61CA">
        <w:t xml:space="preserve">PBS listing details </w:t>
      </w:r>
      <w:r w:rsidR="009C35F2" w:rsidRPr="002F61CA">
        <w:t xml:space="preserve">are </w:t>
      </w:r>
      <w:r w:rsidR="004C3186" w:rsidRPr="002F61CA">
        <w:t>available from</w:t>
      </w:r>
      <w:r w:rsidR="00514EB9">
        <w:t xml:space="preserve"> the</w:t>
      </w:r>
      <w:r w:rsidR="004C3186" w:rsidRPr="002F61CA">
        <w:t xml:space="preserve"> </w:t>
      </w:r>
      <w:hyperlink r:id="rId11" w:history="1">
        <w:r w:rsidR="00514EB9">
          <w:rPr>
            <w:rStyle w:val="Hyperlink"/>
          </w:rPr>
          <w:t>PBS website</w:t>
        </w:r>
      </w:hyperlink>
      <w:r w:rsidR="00313B8D">
        <w:t>.</w:t>
      </w:r>
    </w:p>
    <w:p w14:paraId="383E312E" w14:textId="391486DA" w:rsidR="00736041" w:rsidRDefault="00C41246" w:rsidP="00852A4C">
      <w:pPr>
        <w:pStyle w:val="Heading4"/>
      </w:pPr>
      <w:r w:rsidRPr="006C4620">
        <w:t xml:space="preserve">Relevant aspects of </w:t>
      </w:r>
      <w:r w:rsidR="0063021F" w:rsidRPr="006C4620">
        <w:t xml:space="preserve">the PBAC </w:t>
      </w:r>
      <w:r w:rsidR="00736041" w:rsidRPr="006C4620">
        <w:t>consideration</w:t>
      </w:r>
    </w:p>
    <w:p w14:paraId="1BBDAE3D" w14:textId="77777777" w:rsidR="00E3207A" w:rsidRPr="008E4525" w:rsidRDefault="00E3207A" w:rsidP="0016151D">
      <w:pPr>
        <w:pStyle w:val="Heading5"/>
      </w:pPr>
      <w:proofErr w:type="spellStart"/>
      <w:r w:rsidRPr="008E4525">
        <w:t>Rivaroxaban</w:t>
      </w:r>
      <w:proofErr w:type="spellEnd"/>
      <w:r w:rsidRPr="008E4525">
        <w:t xml:space="preserve"> </w:t>
      </w:r>
    </w:p>
    <w:p w14:paraId="56D211AE" w14:textId="519F9A43" w:rsidR="00E3207A" w:rsidRPr="001537F5" w:rsidRDefault="00F91365" w:rsidP="00E3207A">
      <w:pPr>
        <w:rPr>
          <w:i/>
        </w:rPr>
      </w:pPr>
      <w:r>
        <w:rPr>
          <w:i/>
        </w:rPr>
        <w:t xml:space="preserve">Prevention of </w:t>
      </w:r>
      <w:r w:rsidR="00E3207A" w:rsidRPr="001537F5">
        <w:rPr>
          <w:i/>
        </w:rPr>
        <w:t>VTE in hip and knee replacements</w:t>
      </w:r>
    </w:p>
    <w:p w14:paraId="53FD30E7" w14:textId="00A5035F" w:rsidR="00E3207A" w:rsidRDefault="00E3207A" w:rsidP="00E3207A">
      <w:r>
        <w:lastRenderedPageBreak/>
        <w:t xml:space="preserve">The PBAC (March 2009) recommended listing of </w:t>
      </w:r>
      <w:proofErr w:type="spellStart"/>
      <w:r>
        <w:t>rivaroxaban</w:t>
      </w:r>
      <w:proofErr w:type="spellEnd"/>
      <w:r>
        <w:t xml:space="preserve"> tablet 10 mg for the prevention of venous thromboembolism in adult patients undergoing elective total replacement of the hip or knee on the basis of uncertain but overall acceptable cost-effectiveness compared with enoxaparin.</w:t>
      </w:r>
      <w:r w:rsidR="00E375D1">
        <w:t xml:space="preserve">  </w:t>
      </w:r>
      <w:r w:rsidRPr="00E421AF">
        <w:t xml:space="preserve">The submission claimed that </w:t>
      </w:r>
      <w:proofErr w:type="spellStart"/>
      <w:r w:rsidRPr="00E421AF">
        <w:t>rivaroxaban</w:t>
      </w:r>
      <w:proofErr w:type="spellEnd"/>
      <w:r w:rsidRPr="00E421AF">
        <w:t xml:space="preserve"> was superior in terms of comparative effectiveness and equivalent in terms of comparative safety over enoxaparin for prevention of VTE in patients undergoing elective total hip replacement and e</w:t>
      </w:r>
      <w:r w:rsidR="00EB47F2">
        <w:t>lective total knee replacement.</w:t>
      </w:r>
    </w:p>
    <w:p w14:paraId="3349EEF4" w14:textId="557F0CFB" w:rsidR="00E3207A" w:rsidRDefault="00E3207A" w:rsidP="00E3207A">
      <w:r w:rsidRPr="00E421AF">
        <w:t xml:space="preserve">The PBAC concluded that oral </w:t>
      </w:r>
      <w:proofErr w:type="spellStart"/>
      <w:r w:rsidRPr="00E421AF">
        <w:t>rivaroxaban</w:t>
      </w:r>
      <w:proofErr w:type="spellEnd"/>
      <w:r w:rsidRPr="00E421AF">
        <w:t xml:space="preserve"> 10 mg once daily was more effective, but possibly less safe, than subcutaneous enoxaparin 40 mg once daily in the restrictions requested for PBS listing and across the range of durations of use of enoxaparin currently used in Australia.</w:t>
      </w:r>
      <w:r w:rsidR="00EB47F2">
        <w:t xml:space="preserve"> </w:t>
      </w:r>
      <w:r w:rsidRPr="00E421AF">
        <w:t xml:space="preserve"> The Committee recommended listing on the basis of uncertain but overall acceptable cost-effectiveness.</w:t>
      </w:r>
    </w:p>
    <w:p w14:paraId="3660C2BC" w14:textId="004598C6" w:rsidR="00E3207A" w:rsidRDefault="00E3207A" w:rsidP="00E3207A">
      <w:r>
        <w:t xml:space="preserve">The submission estimated the likely number of patients/year expected to receive </w:t>
      </w:r>
      <w:proofErr w:type="spellStart"/>
      <w:r>
        <w:t>rivaroxaban</w:t>
      </w:r>
      <w:proofErr w:type="spellEnd"/>
      <w:r>
        <w:t xml:space="preserve"> for total hip and knee replacement would be betw</w:t>
      </w:r>
      <w:r w:rsidR="00CA174A">
        <w:t>een 50,000 and</w:t>
      </w:r>
      <w:r>
        <w:t xml:space="preserve"> 100,000 in Year 5, with a fin</w:t>
      </w:r>
      <w:r w:rsidR="00351951">
        <w:t>ancial cost/year to the PBS of less than</w:t>
      </w:r>
      <w:r>
        <w:t xml:space="preserve"> $10 million. </w:t>
      </w:r>
    </w:p>
    <w:p w14:paraId="391B73B3" w14:textId="77777777" w:rsidR="00E3207A" w:rsidRDefault="00E3207A" w:rsidP="00E3207A">
      <w:r>
        <w:t xml:space="preserve">The submission’s estimates however were considered an approximation due to uncertainty regarding the expected rate of uptake of </w:t>
      </w:r>
      <w:proofErr w:type="spellStart"/>
      <w:r>
        <w:t>rivaroxaban</w:t>
      </w:r>
      <w:proofErr w:type="spellEnd"/>
      <w:r>
        <w:t xml:space="preserve"> and the current level of use of enoxaparin for this indication.</w:t>
      </w:r>
    </w:p>
    <w:p w14:paraId="0B7C6AD3" w14:textId="208ACFD3" w:rsidR="00931501" w:rsidRPr="002034F7" w:rsidRDefault="0027756F" w:rsidP="00E3207A">
      <w:r>
        <w:t xml:space="preserve">For further details refer to </w:t>
      </w:r>
      <w:r w:rsidRPr="00F65F0D">
        <w:t xml:space="preserve">the </w:t>
      </w:r>
      <w:hyperlink r:id="rId12" w:history="1">
        <w:r w:rsidRPr="00FD3057">
          <w:rPr>
            <w:rStyle w:val="Hyperlink"/>
          </w:rPr>
          <w:t>Public Summary Document</w:t>
        </w:r>
      </w:hyperlink>
      <w:r>
        <w:t xml:space="preserve"> </w:t>
      </w:r>
      <w:r w:rsidRPr="00F65F0D">
        <w:t xml:space="preserve">from the </w:t>
      </w:r>
      <w:r>
        <w:t>March 2009 PBAC meeting.</w:t>
      </w:r>
    </w:p>
    <w:p w14:paraId="67BD1034" w14:textId="77777777" w:rsidR="000D65B3" w:rsidRDefault="000D65B3" w:rsidP="00E3207A">
      <w:pPr>
        <w:rPr>
          <w:i/>
        </w:rPr>
      </w:pPr>
    </w:p>
    <w:p w14:paraId="0D2F12B4" w14:textId="73B99937" w:rsidR="00E3207A" w:rsidRPr="008E4525" w:rsidRDefault="00E3207A" w:rsidP="00E3207A">
      <w:pPr>
        <w:rPr>
          <w:i/>
        </w:rPr>
      </w:pPr>
      <w:r w:rsidRPr="008E4525">
        <w:rPr>
          <w:i/>
        </w:rPr>
        <w:t xml:space="preserve">Treatment of confirmed acute symptomatic </w:t>
      </w:r>
      <w:r w:rsidR="005F482B">
        <w:rPr>
          <w:i/>
        </w:rPr>
        <w:t>DVT</w:t>
      </w:r>
      <w:r w:rsidRPr="008E4525">
        <w:rPr>
          <w:i/>
        </w:rPr>
        <w:t xml:space="preserve"> without symptomatic pulmonary embolism</w:t>
      </w:r>
      <w:r w:rsidRPr="00857683">
        <w:rPr>
          <w:i/>
        </w:rPr>
        <w:t xml:space="preserve"> </w:t>
      </w:r>
      <w:r>
        <w:rPr>
          <w:i/>
        </w:rPr>
        <w:t>and</w:t>
      </w:r>
      <w:r w:rsidRPr="00857683">
        <w:rPr>
          <w:i/>
        </w:rPr>
        <w:t xml:space="preserve"> prevention of recurrent </w:t>
      </w:r>
      <w:r w:rsidR="005F482B">
        <w:rPr>
          <w:i/>
        </w:rPr>
        <w:t>VTE</w:t>
      </w:r>
    </w:p>
    <w:p w14:paraId="61ED38E3" w14:textId="75AC7FD4" w:rsidR="00E3207A" w:rsidRDefault="001537F5" w:rsidP="00E3207A">
      <w:r>
        <w:t>At its March 2012 meeting, t</w:t>
      </w:r>
      <w:r w:rsidR="00E3207A" w:rsidRPr="00E421AF">
        <w:t xml:space="preserve">he PBAC recommended listing </w:t>
      </w:r>
      <w:proofErr w:type="spellStart"/>
      <w:r w:rsidR="00E3207A" w:rsidRPr="00E421AF">
        <w:t>rivaroxaban</w:t>
      </w:r>
      <w:proofErr w:type="spellEnd"/>
      <w:r w:rsidR="00E3207A" w:rsidRPr="00E421AF">
        <w:t xml:space="preserve"> 15 mg and 20 mg tablets on the PBS on a cost minimisation basis compared with enoxaparin and warfarin with a cost offset for the additional INR tests associated with warfarin treatment.</w:t>
      </w:r>
    </w:p>
    <w:p w14:paraId="64AC50D4" w14:textId="77777777" w:rsidR="00E3207A" w:rsidRDefault="00E3207A" w:rsidP="00E3207A">
      <w:r>
        <w:t>The submission estimated the likely number of patients treated per year to be less than 10,000 patients in year 5 of listing, at an estimated net cost per year to the PBS of less than $10 million in year 5.</w:t>
      </w:r>
    </w:p>
    <w:p w14:paraId="41A5B23A" w14:textId="4028D1FA" w:rsidR="00E3207A" w:rsidRDefault="002D1CE2" w:rsidP="00E3207A">
      <w:pPr>
        <w:rPr>
          <w:highlight w:val="yellow"/>
        </w:rPr>
      </w:pPr>
      <w:r>
        <w:t>The PBAC considered that the</w:t>
      </w:r>
      <w:r w:rsidR="00E3207A">
        <w:t xml:space="preserve"> estimates may </w:t>
      </w:r>
      <w:r>
        <w:t xml:space="preserve">have </w:t>
      </w:r>
      <w:r w:rsidR="00E3207A">
        <w:t>be</w:t>
      </w:r>
      <w:r>
        <w:t>en</w:t>
      </w:r>
      <w:r w:rsidR="00E3207A">
        <w:t xml:space="preserve"> underestimates, with the main areas of uncertainty being the incidence rates used in the submission, market uptake, duration of therapy and usage outside the requested PBS restriction (such as primary prophylaxis for DVT and/or use beyond 2 years).</w:t>
      </w:r>
    </w:p>
    <w:p w14:paraId="7315C732" w14:textId="08538428" w:rsidR="00E4205B" w:rsidRPr="00E4205B" w:rsidRDefault="00E4205B" w:rsidP="000D65B3">
      <w:r>
        <w:t xml:space="preserve">For further details refer to </w:t>
      </w:r>
      <w:r w:rsidRPr="00F65F0D">
        <w:t xml:space="preserve">the </w:t>
      </w:r>
      <w:hyperlink r:id="rId13" w:history="1">
        <w:r w:rsidRPr="004E4717">
          <w:rPr>
            <w:rStyle w:val="Hyperlink"/>
          </w:rPr>
          <w:t>Public Summary Document</w:t>
        </w:r>
      </w:hyperlink>
      <w:r w:rsidRPr="00F65F0D">
        <w:t xml:space="preserve"> from the </w:t>
      </w:r>
      <w:r>
        <w:t>March 2012 PBAC meeting.</w:t>
      </w:r>
    </w:p>
    <w:p w14:paraId="5B238A9B" w14:textId="77777777" w:rsidR="000D65B3" w:rsidRDefault="000D65B3" w:rsidP="00E3207A">
      <w:pPr>
        <w:keepNext/>
        <w:rPr>
          <w:i/>
        </w:rPr>
      </w:pPr>
    </w:p>
    <w:p w14:paraId="05EFD701" w14:textId="600931BA" w:rsidR="00E3207A" w:rsidRPr="008E4525" w:rsidRDefault="00E3207A" w:rsidP="00E3207A">
      <w:pPr>
        <w:keepNext/>
        <w:rPr>
          <w:i/>
          <w:highlight w:val="yellow"/>
        </w:rPr>
      </w:pPr>
      <w:r w:rsidRPr="008E4525">
        <w:rPr>
          <w:i/>
        </w:rPr>
        <w:t xml:space="preserve">Treatment of acute symptomatic PE and prevention of recurrent </w:t>
      </w:r>
      <w:r w:rsidR="00C96B3C">
        <w:rPr>
          <w:i/>
        </w:rPr>
        <w:t>VTE</w:t>
      </w:r>
    </w:p>
    <w:p w14:paraId="5D180818" w14:textId="2EA9D886" w:rsidR="00E3207A" w:rsidRDefault="006D34BF" w:rsidP="00E3207A">
      <w:r>
        <w:t>At its March 2013 meeting t</w:t>
      </w:r>
      <w:r w:rsidR="00A7563F">
        <w:t xml:space="preserve">he PBAC recommended </w:t>
      </w:r>
      <w:proofErr w:type="spellStart"/>
      <w:r w:rsidR="0020380B">
        <w:t>rivaroxaban’s</w:t>
      </w:r>
      <w:proofErr w:type="spellEnd"/>
      <w:r w:rsidR="00E3207A" w:rsidRPr="00E421AF">
        <w:t xml:space="preserve"> Authority </w:t>
      </w:r>
      <w:r w:rsidR="00E3207A">
        <w:t>R</w:t>
      </w:r>
      <w:r w:rsidR="00E3207A" w:rsidRPr="00E421AF">
        <w:t>equi</w:t>
      </w:r>
      <w:r w:rsidR="00A7563F">
        <w:t>red (streamlined</w:t>
      </w:r>
      <w:r w:rsidR="0020380B">
        <w:t xml:space="preserve">) </w:t>
      </w:r>
      <w:r w:rsidR="00E3207A" w:rsidRPr="00E421AF">
        <w:t>listing be extended to include treatment of acute symptomatic pulmonary embolism (PE) and prevention of recurrent venous thromboembolism (VTE), on a cost minimisation basis compared with enoxaparin 80 mg twice daily followed by INR adjusted warfarin, at same treatment cost for enoxaparin 80mg twice daily fol</w:t>
      </w:r>
      <w:r w:rsidR="00922CDB">
        <w:t>lowed by INR adjusted warfarin.</w:t>
      </w:r>
    </w:p>
    <w:p w14:paraId="7DFB6C89" w14:textId="77777777" w:rsidR="00E3207A" w:rsidRDefault="00E3207A" w:rsidP="00E3207A">
      <w:r w:rsidRPr="008E4525">
        <w:t>The likely number of patients per year was estimated in the submission to be less than 10,000 in Year 5, at an estimated net cost per</w:t>
      </w:r>
      <w:r>
        <w:t xml:space="preserve"> year to the PBS of less than $</w:t>
      </w:r>
      <w:r w:rsidRPr="008E4525">
        <w:t>10 million in Year 5.</w:t>
      </w:r>
    </w:p>
    <w:p w14:paraId="317FD296" w14:textId="7ED4ED5C" w:rsidR="00E3207A" w:rsidRDefault="00E3207A" w:rsidP="00E3207A">
      <w:r>
        <w:t xml:space="preserve">The PBAC considered </w:t>
      </w:r>
      <w:r w:rsidR="003C649E">
        <w:t xml:space="preserve">there was </w:t>
      </w:r>
      <w:r>
        <w:t xml:space="preserve">potential for usage beyond the requested restriction, particularly in patients with PE who are </w:t>
      </w:r>
      <w:proofErr w:type="spellStart"/>
      <w:r>
        <w:t>haemodynamically</w:t>
      </w:r>
      <w:proofErr w:type="spellEnd"/>
      <w:r>
        <w:t xml:space="preserve"> unstable or with chronic thromboembolic disease.</w:t>
      </w:r>
      <w:r w:rsidR="00910C9E">
        <w:t xml:space="preserve"> </w:t>
      </w:r>
      <w:r>
        <w:t xml:space="preserve"> It accepted that these patients groups were likely to be small and recommended that the restriction not be confined to the trial population.  </w:t>
      </w:r>
    </w:p>
    <w:p w14:paraId="0FBE7FEA" w14:textId="1F1280F2" w:rsidR="00E3207A" w:rsidRDefault="00E3207A" w:rsidP="00E3207A">
      <w:r>
        <w:t xml:space="preserve">The PBAC was concerned that current prescribing software packages and listings of item numbers generated different listings with different costs. Practically, this may result in wrong indications being chosen and drug costs may increase as a consequence of selecting the wrong streamlined code. </w:t>
      </w:r>
      <w:r w:rsidR="00F65CC3">
        <w:t xml:space="preserve"> </w:t>
      </w:r>
      <w:r>
        <w:t xml:space="preserve">The PBAC suggested that DUSC may wish to monitor usage and this information be used to inform consideration as to how to manage total cost. </w:t>
      </w:r>
      <w:r w:rsidR="00720D33">
        <w:t xml:space="preserve"> </w:t>
      </w:r>
      <w:r>
        <w:t xml:space="preserve">The PBAC considered the greatest uncertainty in usage is the number of patients that may switch from warfarin to </w:t>
      </w:r>
      <w:proofErr w:type="spellStart"/>
      <w:r>
        <w:t>rivaroxaban</w:t>
      </w:r>
      <w:proofErr w:type="spellEnd"/>
      <w:r>
        <w:t>.</w:t>
      </w:r>
    </w:p>
    <w:p w14:paraId="07CAD5A0" w14:textId="56217864" w:rsidR="00141414" w:rsidRPr="00F65F0D" w:rsidRDefault="00141414" w:rsidP="00141414">
      <w:r>
        <w:t xml:space="preserve">For further details refer to </w:t>
      </w:r>
      <w:r w:rsidRPr="00F65F0D">
        <w:t xml:space="preserve">the </w:t>
      </w:r>
      <w:hyperlink r:id="rId14" w:history="1">
        <w:r w:rsidRPr="00E61211">
          <w:rPr>
            <w:rStyle w:val="Hyperlink"/>
          </w:rPr>
          <w:t>Public Summary Document</w:t>
        </w:r>
      </w:hyperlink>
      <w:r>
        <w:t xml:space="preserve"> </w:t>
      </w:r>
      <w:r w:rsidRPr="00F65F0D">
        <w:t xml:space="preserve">from the </w:t>
      </w:r>
      <w:r>
        <w:t>March 2013 PBAC meeting.</w:t>
      </w:r>
    </w:p>
    <w:p w14:paraId="5422AF01" w14:textId="77777777" w:rsidR="00E3207A" w:rsidRDefault="00E3207A" w:rsidP="00E3207A">
      <w:pPr>
        <w:rPr>
          <w:b/>
        </w:rPr>
      </w:pPr>
    </w:p>
    <w:p w14:paraId="51A088F0" w14:textId="77777777" w:rsidR="00E3207A" w:rsidRDefault="00E3207A" w:rsidP="00120D00">
      <w:pPr>
        <w:pStyle w:val="Heading5"/>
      </w:pPr>
      <w:proofErr w:type="spellStart"/>
      <w:r w:rsidRPr="008E4525">
        <w:t>Dabigatran</w:t>
      </w:r>
      <w:proofErr w:type="spellEnd"/>
    </w:p>
    <w:p w14:paraId="16B23548" w14:textId="16635A23" w:rsidR="00E3207A" w:rsidRPr="008E4525" w:rsidRDefault="00E3207A" w:rsidP="00E3207A">
      <w:pPr>
        <w:rPr>
          <w:i/>
        </w:rPr>
      </w:pPr>
      <w:r w:rsidRPr="008E4525">
        <w:rPr>
          <w:i/>
        </w:rPr>
        <w:t>Prevention of VTE in adult patients undergoing total hip replacement (THR) surgery</w:t>
      </w:r>
    </w:p>
    <w:p w14:paraId="3B57D389" w14:textId="44AA22C7" w:rsidR="000328AA" w:rsidRDefault="000328AA" w:rsidP="000328AA">
      <w:r>
        <w:t>At its March 2009 meeting, t</w:t>
      </w:r>
      <w:r w:rsidRPr="006E65F5">
        <w:t xml:space="preserve">he PBAC deferred its consideration of </w:t>
      </w:r>
      <w:proofErr w:type="spellStart"/>
      <w:r w:rsidRPr="006E65F5">
        <w:t>dabigatran</w:t>
      </w:r>
      <w:proofErr w:type="spellEnd"/>
      <w:r w:rsidRPr="006E65F5">
        <w:t xml:space="preserve"> as</w:t>
      </w:r>
      <w:r w:rsidR="00833B5D">
        <w:t xml:space="preserve"> an </w:t>
      </w:r>
      <w:r w:rsidRPr="006E65F5">
        <w:t xml:space="preserve">Authority </w:t>
      </w:r>
      <w:proofErr w:type="gramStart"/>
      <w:r w:rsidRPr="006E65F5">
        <w:t>Required</w:t>
      </w:r>
      <w:proofErr w:type="gramEnd"/>
      <w:r w:rsidRPr="006E65F5">
        <w:t xml:space="preserve"> </w:t>
      </w:r>
      <w:r w:rsidR="00833B5D">
        <w:t xml:space="preserve">benefit </w:t>
      </w:r>
      <w:r w:rsidRPr="006E65F5">
        <w:t>for the prevention of ven</w:t>
      </w:r>
      <w:r w:rsidR="004C10C5">
        <w:t xml:space="preserve">ous thromboembolic events in </w:t>
      </w:r>
      <w:r w:rsidRPr="006E65F5">
        <w:t>adult patient</w:t>
      </w:r>
      <w:r w:rsidR="004C10C5">
        <w:t>s</w:t>
      </w:r>
      <w:r w:rsidRPr="006E65F5">
        <w:t xml:space="preserve"> undergoing elective total hip replacement in order to give the applicant an opportunity to compare </w:t>
      </w:r>
      <w:proofErr w:type="spellStart"/>
      <w:r w:rsidRPr="006E65F5">
        <w:t>dabigatran</w:t>
      </w:r>
      <w:proofErr w:type="spellEnd"/>
      <w:r w:rsidRPr="006E65F5">
        <w:t xml:space="preserve"> with </w:t>
      </w:r>
      <w:proofErr w:type="spellStart"/>
      <w:r w:rsidRPr="006E65F5">
        <w:t>rivaroxaban</w:t>
      </w:r>
      <w:proofErr w:type="spellEnd"/>
      <w:r w:rsidRPr="006E65F5">
        <w:t>, another new oral therapy available for the same patient population.</w:t>
      </w:r>
    </w:p>
    <w:p w14:paraId="4DB2D9AE" w14:textId="1A20B641" w:rsidR="00E3207A" w:rsidRDefault="00E3207A" w:rsidP="00E3207A">
      <w:r>
        <w:t xml:space="preserve">The comparator nominated in the submission was enoxaparin 40 mg given 12 hours preoperatively and then once daily for 30 days post-surgery. </w:t>
      </w:r>
    </w:p>
    <w:p w14:paraId="6155CFD6" w14:textId="77777777" w:rsidR="00E3207A" w:rsidRDefault="00E3207A" w:rsidP="00E3207A">
      <w:r>
        <w:t xml:space="preserve">Although the PBAC accepted that subcutaneous enoxaparin injection was an appropriate main comparator at the time the submission was lodged, the PBAC considered that oral </w:t>
      </w:r>
      <w:proofErr w:type="spellStart"/>
      <w:r>
        <w:t>rivaroxaban</w:t>
      </w:r>
      <w:proofErr w:type="spellEnd"/>
      <w:r>
        <w:t xml:space="preserve"> tablet was a more appropriate comparator given that it is also a new oral </w:t>
      </w:r>
      <w:r>
        <w:lastRenderedPageBreak/>
        <w:t xml:space="preserve">therapy for the prevention of VTE in patients undergoing elective total replacement of the hip (or knee). </w:t>
      </w:r>
    </w:p>
    <w:p w14:paraId="34132699" w14:textId="77777777" w:rsidR="00E3207A" w:rsidRDefault="00E3207A" w:rsidP="00E3207A">
      <w:r w:rsidRPr="008E4525">
        <w:t xml:space="preserve">The submission presented a cost minimisation analysis on the basis that </w:t>
      </w:r>
      <w:proofErr w:type="spellStart"/>
      <w:r w:rsidRPr="008E4525">
        <w:t>dabigatran</w:t>
      </w:r>
      <w:proofErr w:type="spellEnd"/>
      <w:r w:rsidRPr="008E4525">
        <w:t xml:space="preserve"> 220 mg and </w:t>
      </w:r>
      <w:proofErr w:type="spellStart"/>
      <w:r w:rsidRPr="008E4525">
        <w:t>dabigatran</w:t>
      </w:r>
      <w:proofErr w:type="spellEnd"/>
      <w:r w:rsidRPr="008E4525">
        <w:t xml:space="preserve"> 150 mg were </w:t>
      </w:r>
      <w:proofErr w:type="spellStart"/>
      <w:r w:rsidRPr="008E4525">
        <w:t>equi</w:t>
      </w:r>
      <w:proofErr w:type="spellEnd"/>
      <w:r w:rsidRPr="008E4525">
        <w:t>-effective to enoxaparin 40 mg.</w:t>
      </w:r>
    </w:p>
    <w:p w14:paraId="5CD1881A" w14:textId="0701B658" w:rsidR="009D6EE7" w:rsidRPr="009D6EE7" w:rsidRDefault="00174436" w:rsidP="00E3207A">
      <w:r>
        <w:t xml:space="preserve">For further details refer to </w:t>
      </w:r>
      <w:r w:rsidRPr="00F65F0D">
        <w:t xml:space="preserve">the </w:t>
      </w:r>
      <w:hyperlink r:id="rId15" w:history="1">
        <w:r w:rsidRPr="00D15316">
          <w:rPr>
            <w:rStyle w:val="Hyperlink"/>
          </w:rPr>
          <w:t>Public Summary Document</w:t>
        </w:r>
      </w:hyperlink>
      <w:r>
        <w:t xml:space="preserve"> from the</w:t>
      </w:r>
      <w:r w:rsidR="00D15316">
        <w:t xml:space="preserve"> M</w:t>
      </w:r>
      <w:r>
        <w:t>arch 2009 PBAC meeting.</w:t>
      </w:r>
    </w:p>
    <w:p w14:paraId="7D8955D7" w14:textId="77777777" w:rsidR="000D65B3" w:rsidRDefault="000D65B3" w:rsidP="00E3207A">
      <w:pPr>
        <w:rPr>
          <w:i/>
        </w:rPr>
      </w:pPr>
    </w:p>
    <w:p w14:paraId="5C25C234" w14:textId="017BE28D" w:rsidR="00E3207A" w:rsidRPr="006E65F5" w:rsidRDefault="00E3207A" w:rsidP="00E3207A">
      <w:pPr>
        <w:rPr>
          <w:i/>
        </w:rPr>
      </w:pPr>
      <w:r w:rsidRPr="006E65F5">
        <w:rPr>
          <w:i/>
        </w:rPr>
        <w:t xml:space="preserve">Prevention of </w:t>
      </w:r>
      <w:r w:rsidR="00BB0890">
        <w:rPr>
          <w:i/>
        </w:rPr>
        <w:t>VTE</w:t>
      </w:r>
      <w:r w:rsidRPr="006E65F5">
        <w:rPr>
          <w:i/>
        </w:rPr>
        <w:t xml:space="preserve"> in adult patients undergoing total hip replacement (THR) a</w:t>
      </w:r>
      <w:r w:rsidR="008D15C8">
        <w:rPr>
          <w:i/>
        </w:rPr>
        <w:t>nd total knee replacement (TKR)</w:t>
      </w:r>
    </w:p>
    <w:p w14:paraId="2F983DD4" w14:textId="2D744380" w:rsidR="00E3207A" w:rsidRDefault="00E3207A" w:rsidP="00E3207A">
      <w:r>
        <w:t xml:space="preserve">The </w:t>
      </w:r>
      <w:r w:rsidR="009A351C">
        <w:t xml:space="preserve">submission to the </w:t>
      </w:r>
      <w:r>
        <w:t xml:space="preserve">November 2009 </w:t>
      </w:r>
      <w:r w:rsidR="009A351C">
        <w:t>PBAC meeting</w:t>
      </w:r>
      <w:r>
        <w:t xml:space="preserve"> presented a cost-minimisation analysis, based on the implicit assumption that both </w:t>
      </w:r>
      <w:proofErr w:type="spellStart"/>
      <w:r>
        <w:t>dabigatran</w:t>
      </w:r>
      <w:proofErr w:type="spellEnd"/>
      <w:r>
        <w:t xml:space="preserve"> 220 mg and </w:t>
      </w:r>
      <w:proofErr w:type="spellStart"/>
      <w:r>
        <w:t>dabigatran</w:t>
      </w:r>
      <w:proofErr w:type="spellEnd"/>
      <w:r>
        <w:t xml:space="preserve"> 150 mg are </w:t>
      </w:r>
      <w:proofErr w:type="spellStart"/>
      <w:r>
        <w:t>equi</w:t>
      </w:r>
      <w:proofErr w:type="spellEnd"/>
      <w:r>
        <w:t xml:space="preserve">-effective to </w:t>
      </w:r>
      <w:proofErr w:type="spellStart"/>
      <w:r>
        <w:t>rivaroxaban</w:t>
      </w:r>
      <w:proofErr w:type="spellEnd"/>
      <w:r>
        <w:t xml:space="preserve"> 10 mg. </w:t>
      </w:r>
    </w:p>
    <w:p w14:paraId="7E88A7EF" w14:textId="6427AE73" w:rsidR="00E3207A" w:rsidRDefault="00E3207A" w:rsidP="00E3207A">
      <w:r>
        <w:t xml:space="preserve">The PBAC considered there was insufficient evidence provided to support this assumption. </w:t>
      </w:r>
      <w:r w:rsidR="00E66A37">
        <w:t xml:space="preserve"> </w:t>
      </w:r>
      <w:r>
        <w:t>Only drug costs were included in the economic analysis.</w:t>
      </w:r>
      <w:r w:rsidR="00E66A37">
        <w:t xml:space="preserve"> </w:t>
      </w:r>
      <w:r>
        <w:t xml:space="preserve"> Neither costs associated with prophylaxis failure (VTEs), nor costs of treating adverse events, were included.</w:t>
      </w:r>
    </w:p>
    <w:p w14:paraId="5B9F6552" w14:textId="77777777" w:rsidR="00E3207A" w:rsidRDefault="00E3207A" w:rsidP="00E3207A">
      <w:r>
        <w:t xml:space="preserve">The PBAC accepted the cost analysis provided in the March 2009 submission, a cost-minimisation analysis on the basis that </w:t>
      </w:r>
      <w:proofErr w:type="spellStart"/>
      <w:r>
        <w:t>dabigatran</w:t>
      </w:r>
      <w:proofErr w:type="spellEnd"/>
      <w:r>
        <w:t xml:space="preserve"> 220 mg and </w:t>
      </w:r>
      <w:proofErr w:type="spellStart"/>
      <w:r>
        <w:t>dabigatran</w:t>
      </w:r>
      <w:proofErr w:type="spellEnd"/>
      <w:r>
        <w:t xml:space="preserve"> 150 mg were </w:t>
      </w:r>
      <w:proofErr w:type="spellStart"/>
      <w:r>
        <w:t>equi</w:t>
      </w:r>
      <w:proofErr w:type="spellEnd"/>
      <w:r>
        <w:t xml:space="preserve">-effective to enoxaparin 40 mg, was reasonable (see also March 2009 Public Summary Document). </w:t>
      </w:r>
    </w:p>
    <w:p w14:paraId="0CFEF167" w14:textId="2D00107E" w:rsidR="00E3207A" w:rsidRDefault="00E3207A" w:rsidP="00E3207A">
      <w:r w:rsidRPr="006E65F5">
        <w:t xml:space="preserve">The PBAC recommended the Authority Required PBS listing of </w:t>
      </w:r>
      <w:proofErr w:type="spellStart"/>
      <w:r w:rsidRPr="006E65F5">
        <w:t>dabigatran</w:t>
      </w:r>
      <w:proofErr w:type="spellEnd"/>
      <w:r w:rsidRPr="006E65F5">
        <w:t xml:space="preserve"> for prevention of venous thromboembolic events in adult patients undergoing total hip replacement (THR) and total knee replacement (TKR) on a cost minimisation </w:t>
      </w:r>
      <w:r w:rsidR="00546604">
        <w:t xml:space="preserve">basis compared with enoxaparin.  </w:t>
      </w:r>
      <w:r w:rsidRPr="006E65F5">
        <w:t xml:space="preserve">The </w:t>
      </w:r>
      <w:proofErr w:type="spellStart"/>
      <w:r w:rsidRPr="006E65F5">
        <w:t>equi</w:t>
      </w:r>
      <w:proofErr w:type="spellEnd"/>
      <w:r w:rsidRPr="006E65F5">
        <w:t xml:space="preserve">-effective doses are </w:t>
      </w:r>
      <w:proofErr w:type="spellStart"/>
      <w:r w:rsidRPr="006E65F5">
        <w:t>dabigatran</w:t>
      </w:r>
      <w:proofErr w:type="spellEnd"/>
      <w:r w:rsidRPr="006E65F5">
        <w:t xml:space="preserve"> 220 mg is equivalent to enoxaparin 40 mg.</w:t>
      </w:r>
    </w:p>
    <w:p w14:paraId="2B7FC480" w14:textId="174D09BE" w:rsidR="00E3207A" w:rsidRDefault="00E3207A" w:rsidP="00E3207A">
      <w:r>
        <w:t xml:space="preserve">The PBAC agreed that the results of the indirect comparison of </w:t>
      </w:r>
      <w:proofErr w:type="spellStart"/>
      <w:r>
        <w:t>dabigatran</w:t>
      </w:r>
      <w:proofErr w:type="spellEnd"/>
      <w:r>
        <w:t xml:space="preserve"> and </w:t>
      </w:r>
      <w:proofErr w:type="spellStart"/>
      <w:r>
        <w:t>rivaroxaban</w:t>
      </w:r>
      <w:proofErr w:type="spellEnd"/>
      <w:r>
        <w:t xml:space="preserve"> are uncertain and conclusions from these analyses cannot be used for the purposes of comparing these drugs. </w:t>
      </w:r>
      <w:r w:rsidR="007375C0">
        <w:t xml:space="preserve"> </w:t>
      </w:r>
      <w:r>
        <w:t xml:space="preserve">Further, the PBAC did not accept the submission’s claim that </w:t>
      </w:r>
      <w:proofErr w:type="spellStart"/>
      <w:r>
        <w:t>dabigatran</w:t>
      </w:r>
      <w:proofErr w:type="spellEnd"/>
      <w:r>
        <w:t xml:space="preserve"> is no worse than </w:t>
      </w:r>
      <w:proofErr w:type="spellStart"/>
      <w:r>
        <w:t>rivaroxaban</w:t>
      </w:r>
      <w:proofErr w:type="spellEnd"/>
      <w:r>
        <w:t xml:space="preserve">. </w:t>
      </w:r>
      <w:r w:rsidR="00464869">
        <w:t xml:space="preserve"> </w:t>
      </w:r>
      <w:r>
        <w:t xml:space="preserve">Although a head-to-head trial of </w:t>
      </w:r>
      <w:proofErr w:type="spellStart"/>
      <w:r>
        <w:t>dabigatran</w:t>
      </w:r>
      <w:proofErr w:type="spellEnd"/>
      <w:r>
        <w:t xml:space="preserve"> and </w:t>
      </w:r>
      <w:proofErr w:type="spellStart"/>
      <w:r>
        <w:t>rivaroxaban</w:t>
      </w:r>
      <w:proofErr w:type="spellEnd"/>
      <w:r>
        <w:t xml:space="preserve"> would be required to provide a definitive comparison, the PBAC considered that in all likelihood </w:t>
      </w:r>
      <w:proofErr w:type="spellStart"/>
      <w:r>
        <w:t>dabigatran</w:t>
      </w:r>
      <w:proofErr w:type="spellEnd"/>
      <w:r>
        <w:t xml:space="preserve"> is less efficacious than </w:t>
      </w:r>
      <w:proofErr w:type="spellStart"/>
      <w:r>
        <w:t>rivaroxaban</w:t>
      </w:r>
      <w:proofErr w:type="spellEnd"/>
      <w:r>
        <w:t>, but noted that it is also less expensive.</w:t>
      </w:r>
    </w:p>
    <w:p w14:paraId="5FA2324C" w14:textId="0D365A47" w:rsidR="00E3207A" w:rsidRDefault="00E3207A" w:rsidP="00E3207A">
      <w:r>
        <w:t xml:space="preserve">The PBAC expressed concerns about the comparison of 150 mg </w:t>
      </w:r>
      <w:proofErr w:type="spellStart"/>
      <w:r>
        <w:t>dabigatran</w:t>
      </w:r>
      <w:proofErr w:type="spellEnd"/>
      <w:r>
        <w:t xml:space="preserve"> versus 40 mg enoxaparin. </w:t>
      </w:r>
      <w:r w:rsidR="00AA4657">
        <w:t xml:space="preserve"> </w:t>
      </w:r>
      <w:r>
        <w:t>The PBAC stated the relative risk of 1.28 and the 95</w:t>
      </w:r>
      <w:r w:rsidR="006345C1">
        <w:t xml:space="preserve"> </w:t>
      </w:r>
      <w:r>
        <w:t>% confidence interval (0.93, 1.78) for the primary outcome does not support the claim of non-inferiority based on the PBAC’s view of the non-inferiority margin of 4</w:t>
      </w:r>
      <w:r w:rsidR="00274129">
        <w:t xml:space="preserve"> </w:t>
      </w:r>
      <w:r>
        <w:t xml:space="preserve">% absolute risk difference noting that this margin was not the study non-inferiority margin. </w:t>
      </w:r>
    </w:p>
    <w:p w14:paraId="6C70789B" w14:textId="77777777" w:rsidR="00E3207A" w:rsidRDefault="00E3207A" w:rsidP="00E3207A">
      <w:r>
        <w:t xml:space="preserve">The likely number of patients per year expected to receive </w:t>
      </w:r>
      <w:proofErr w:type="spellStart"/>
      <w:r>
        <w:t>dabigatran</w:t>
      </w:r>
      <w:proofErr w:type="spellEnd"/>
      <w:r>
        <w:t xml:space="preserve"> was estimated to be in the range of 10,000 to 50,000 in Year 5. </w:t>
      </w:r>
    </w:p>
    <w:p w14:paraId="31CFBAD6" w14:textId="79321B2C" w:rsidR="00E3207A" w:rsidRDefault="00E3207A" w:rsidP="00E3207A">
      <w:r>
        <w:lastRenderedPageBreak/>
        <w:t xml:space="preserve">The financial savings per year to the PBS were estimated to be less than $10 million in Year 5. </w:t>
      </w:r>
      <w:r w:rsidR="00274129">
        <w:t xml:space="preserve"> </w:t>
      </w:r>
      <w:r>
        <w:t xml:space="preserve">The submission’s estimate was considered uncertain due to difficulties in assessing the likely uptake of </w:t>
      </w:r>
      <w:proofErr w:type="spellStart"/>
      <w:r>
        <w:t>dabigatran</w:t>
      </w:r>
      <w:proofErr w:type="spellEnd"/>
      <w:r>
        <w:t xml:space="preserve">, given the current and future use of enoxaparin and </w:t>
      </w:r>
      <w:proofErr w:type="spellStart"/>
      <w:r>
        <w:t>rivaroxaban</w:t>
      </w:r>
      <w:proofErr w:type="spellEnd"/>
      <w:r>
        <w:t xml:space="preserve"> for this indication are unknown.</w:t>
      </w:r>
    </w:p>
    <w:p w14:paraId="65173C44" w14:textId="2BD6B401" w:rsidR="00851577" w:rsidRPr="00F65F0D" w:rsidRDefault="00851577" w:rsidP="00851577">
      <w:r>
        <w:t xml:space="preserve">For further details refer to </w:t>
      </w:r>
      <w:r w:rsidRPr="00F65F0D">
        <w:t xml:space="preserve">the </w:t>
      </w:r>
      <w:hyperlink r:id="rId16" w:history="1">
        <w:r w:rsidRPr="00D06C88">
          <w:rPr>
            <w:rStyle w:val="Hyperlink"/>
          </w:rPr>
          <w:t>Public Summary Document</w:t>
        </w:r>
      </w:hyperlink>
      <w:r w:rsidRPr="00F65F0D">
        <w:t xml:space="preserve"> from the </w:t>
      </w:r>
      <w:r>
        <w:t>November 2009 PBAC meeting.</w:t>
      </w:r>
    </w:p>
    <w:p w14:paraId="476FEE98" w14:textId="77777777" w:rsidR="00851577" w:rsidRDefault="00851577" w:rsidP="00E3207A">
      <w:pPr>
        <w:rPr>
          <w:b/>
        </w:rPr>
      </w:pPr>
    </w:p>
    <w:p w14:paraId="6040B726" w14:textId="77777777" w:rsidR="00E3207A" w:rsidRPr="008E4525" w:rsidRDefault="00E3207A" w:rsidP="00EA6EED">
      <w:pPr>
        <w:pStyle w:val="Heading5"/>
      </w:pPr>
      <w:proofErr w:type="spellStart"/>
      <w:r w:rsidRPr="008E4525">
        <w:t>Apixaban</w:t>
      </w:r>
      <w:proofErr w:type="spellEnd"/>
    </w:p>
    <w:p w14:paraId="2DBF19FA" w14:textId="0B5221C0" w:rsidR="00E3207A" w:rsidRPr="008E4525" w:rsidRDefault="00E3207A" w:rsidP="00E3207A">
      <w:pPr>
        <w:rPr>
          <w:i/>
        </w:rPr>
      </w:pPr>
      <w:r w:rsidRPr="008E4525">
        <w:rPr>
          <w:i/>
        </w:rPr>
        <w:t>Prevention of VTE in patients undergoing total knee replacement (TKR)</w:t>
      </w:r>
      <w:r w:rsidR="008B1A60">
        <w:rPr>
          <w:i/>
        </w:rPr>
        <w:t xml:space="preserve"> or total hip replacement (THR)</w:t>
      </w:r>
    </w:p>
    <w:p w14:paraId="17545840" w14:textId="34775A97" w:rsidR="00E3207A" w:rsidRDefault="001771B1" w:rsidP="00E3207A">
      <w:r>
        <w:t>At its July 2011 meeting t</w:t>
      </w:r>
      <w:r w:rsidR="00E3207A" w:rsidRPr="008E4525">
        <w:t xml:space="preserve">he PBAC recommended the listing of </w:t>
      </w:r>
      <w:proofErr w:type="spellStart"/>
      <w:r w:rsidR="00E3207A" w:rsidRPr="008E4525">
        <w:t>apixaban</w:t>
      </w:r>
      <w:proofErr w:type="spellEnd"/>
      <w:r w:rsidR="00E3207A" w:rsidRPr="008E4525">
        <w:t xml:space="preserve"> on a cost minimisation basis compared with </w:t>
      </w:r>
      <w:proofErr w:type="spellStart"/>
      <w:r w:rsidR="00E3207A" w:rsidRPr="008E4525">
        <w:t>rivaroxaban</w:t>
      </w:r>
      <w:proofErr w:type="spellEnd"/>
      <w:r w:rsidR="00E3207A" w:rsidRPr="008E4525">
        <w:t>.</w:t>
      </w:r>
      <w:r w:rsidR="00D24D2A">
        <w:t xml:space="preserve"> </w:t>
      </w:r>
      <w:r w:rsidR="00E3207A">
        <w:t xml:space="preserve"> </w:t>
      </w:r>
      <w:r w:rsidR="00E3207A" w:rsidRPr="00E421AF">
        <w:t xml:space="preserve">The requested restriction was accepted as consistent with both </w:t>
      </w:r>
      <w:proofErr w:type="spellStart"/>
      <w:r w:rsidR="00E3207A" w:rsidRPr="00E421AF">
        <w:t>rivaroxaban</w:t>
      </w:r>
      <w:proofErr w:type="spellEnd"/>
      <w:r w:rsidR="00E3207A" w:rsidRPr="00E421AF">
        <w:t xml:space="preserve"> and </w:t>
      </w:r>
      <w:proofErr w:type="spellStart"/>
      <w:r w:rsidR="00E3207A" w:rsidRPr="00E421AF">
        <w:t>dabigatran</w:t>
      </w:r>
      <w:proofErr w:type="spellEnd"/>
      <w:r w:rsidR="00E3207A" w:rsidRPr="00E421AF">
        <w:t>, the oral anti-thrombotic agents listed</w:t>
      </w:r>
      <w:r w:rsidR="008A3BCC">
        <w:t xml:space="preserve"> at the time</w:t>
      </w:r>
      <w:r w:rsidR="00E3207A" w:rsidRPr="00E421AF">
        <w:t xml:space="preserve"> for this patient group.</w:t>
      </w:r>
    </w:p>
    <w:p w14:paraId="19CA4D38" w14:textId="500CF991" w:rsidR="00E3207A" w:rsidRDefault="00E3207A" w:rsidP="00E3207A">
      <w:r>
        <w:t xml:space="preserve">The PBAC accepted </w:t>
      </w:r>
      <w:proofErr w:type="spellStart"/>
      <w:r>
        <w:t>rivaroxaban</w:t>
      </w:r>
      <w:proofErr w:type="spellEnd"/>
      <w:r>
        <w:t xml:space="preserve"> as the appropriate comparator, in preference to </w:t>
      </w:r>
      <w:proofErr w:type="spellStart"/>
      <w:r>
        <w:t>dabigatran</w:t>
      </w:r>
      <w:proofErr w:type="spellEnd"/>
      <w:r>
        <w:t>, and enoxaparin was accepted as a secondary comparator.  An indirect comparison of the primar</w:t>
      </w:r>
      <w:r w:rsidR="00AA458A">
        <w:t>y efficacy endpoint demonstrated</w:t>
      </w:r>
      <w:r>
        <w:t xml:space="preserve"> that </w:t>
      </w:r>
      <w:proofErr w:type="spellStart"/>
      <w:r>
        <w:t>apixaban</w:t>
      </w:r>
      <w:proofErr w:type="spellEnd"/>
      <w:r>
        <w:t xml:space="preserve"> is statistically non-inferior to </w:t>
      </w:r>
      <w:proofErr w:type="spellStart"/>
      <w:r>
        <w:t>rivaroxaban</w:t>
      </w:r>
      <w:proofErr w:type="spellEnd"/>
      <w:r>
        <w:t xml:space="preserve"> in total knee replacements.</w:t>
      </w:r>
      <w:r w:rsidR="00E66E78">
        <w:t xml:space="preserve"> </w:t>
      </w:r>
      <w:r>
        <w:t xml:space="preserve"> The PBAC noted there may be some limitations with regards to the exchangeability of the trials, but this was insufficient to alter the PBAC’s acceptance of the clinical claim of non-inferiority. </w:t>
      </w:r>
    </w:p>
    <w:p w14:paraId="01011924" w14:textId="7AB68345" w:rsidR="00E3207A" w:rsidRDefault="00E3207A" w:rsidP="00E3207A">
      <w:r>
        <w:t xml:space="preserve">A similar conclusion was drawn with respect to the indirect comparison of the primary efficacy endpoint with respect to non-inferiority between </w:t>
      </w:r>
      <w:proofErr w:type="spellStart"/>
      <w:r>
        <w:t>apixaban</w:t>
      </w:r>
      <w:proofErr w:type="spellEnd"/>
      <w:r>
        <w:t xml:space="preserve"> and </w:t>
      </w:r>
      <w:proofErr w:type="spellStart"/>
      <w:r>
        <w:t>rivaroxaban</w:t>
      </w:r>
      <w:proofErr w:type="spellEnd"/>
      <w:r>
        <w:t xml:space="preserve"> in total hip replacements.</w:t>
      </w:r>
      <w:r w:rsidR="00BC4FD9">
        <w:t xml:space="preserve"> </w:t>
      </w:r>
      <w:r>
        <w:t xml:space="preserve"> With respect to safety, the PBAC noted that the overall trend was that the incidence of bleeding events numerically favoured </w:t>
      </w:r>
      <w:proofErr w:type="spellStart"/>
      <w:r>
        <w:t>apixaban</w:t>
      </w:r>
      <w:proofErr w:type="spellEnd"/>
      <w:r>
        <w:t xml:space="preserve"> over enoxaparin. </w:t>
      </w:r>
      <w:r w:rsidR="005D70B3">
        <w:t xml:space="preserve"> </w:t>
      </w:r>
      <w:r>
        <w:t xml:space="preserve">This was not the case with </w:t>
      </w:r>
      <w:proofErr w:type="spellStart"/>
      <w:r>
        <w:t>rivaroxaban</w:t>
      </w:r>
      <w:proofErr w:type="spellEnd"/>
      <w:r>
        <w:t xml:space="preserve">. </w:t>
      </w:r>
      <w:r w:rsidR="005D70B3">
        <w:t xml:space="preserve"> </w:t>
      </w:r>
      <w:r>
        <w:t xml:space="preserve">Although there are limitations with respect to exchangeability of the trials, on the basis of the indirect comparison the PBAC accepted that </w:t>
      </w:r>
      <w:proofErr w:type="spellStart"/>
      <w:r>
        <w:t>apixaban</w:t>
      </w:r>
      <w:proofErr w:type="spellEnd"/>
      <w:r>
        <w:t xml:space="preserve"> is likely to be no worse than </w:t>
      </w:r>
      <w:proofErr w:type="spellStart"/>
      <w:r>
        <w:t>rivaroxaban</w:t>
      </w:r>
      <w:proofErr w:type="spellEnd"/>
      <w:r>
        <w:t xml:space="preserve"> in terms of bleeding.</w:t>
      </w:r>
    </w:p>
    <w:p w14:paraId="222E2B9C" w14:textId="77777777" w:rsidR="00E3207A" w:rsidRDefault="00E3207A" w:rsidP="00E3207A">
      <w:r>
        <w:t xml:space="preserve">The likely number of patients was estimated in the submission to be between 10,000 and 50,000 in Year 5, with an estimated net cost to the PBS of less than $10 million in Year 5, using the original requested maximum quantity of 20 tablets for TKR. </w:t>
      </w:r>
    </w:p>
    <w:p w14:paraId="604BB59F" w14:textId="77777777" w:rsidR="00E3207A" w:rsidRDefault="00E3207A" w:rsidP="00E3207A">
      <w:r>
        <w:t>In its pre-PBAC response, the Sponsor advised that a 30 tablet pack would be available which was claimed to result in the listing being cost neutral to the PBS.</w:t>
      </w:r>
    </w:p>
    <w:p w14:paraId="0AFE2FED" w14:textId="279CB32C" w:rsidR="00ED633B" w:rsidRPr="00F65F0D" w:rsidRDefault="007B3C3F" w:rsidP="00A35800">
      <w:r>
        <w:t xml:space="preserve">For further details refer to </w:t>
      </w:r>
      <w:r w:rsidR="00ED633B" w:rsidRPr="00F65F0D">
        <w:t xml:space="preserve">the </w:t>
      </w:r>
      <w:hyperlink r:id="rId17" w:history="1">
        <w:r w:rsidR="00ED633B" w:rsidRPr="00C67479">
          <w:rPr>
            <w:rStyle w:val="Hyperlink"/>
          </w:rPr>
          <w:t>Public Summary Document</w:t>
        </w:r>
      </w:hyperlink>
      <w:r>
        <w:t xml:space="preserve"> </w:t>
      </w:r>
      <w:r w:rsidR="00ED633B" w:rsidRPr="00F65F0D">
        <w:t xml:space="preserve">from the </w:t>
      </w:r>
      <w:r w:rsidR="00A261EA">
        <w:t>July 2011</w:t>
      </w:r>
      <w:r w:rsidR="0005619F">
        <w:t xml:space="preserve"> PBAC meeting</w:t>
      </w:r>
      <w:r w:rsidR="00ED633B">
        <w:t>.</w:t>
      </w:r>
    </w:p>
    <w:p w14:paraId="72C2CA24" w14:textId="03A7E012" w:rsidR="000F2F51" w:rsidRDefault="00ED633B" w:rsidP="00C81F99">
      <w:pPr>
        <w:pStyle w:val="Heading4"/>
      </w:pPr>
      <w:r w:rsidRPr="006C4620">
        <w:t>A</w:t>
      </w:r>
      <w:r w:rsidR="000F2F51" w:rsidRPr="006C4620">
        <w:t xml:space="preserve">pproach </w:t>
      </w:r>
      <w:r w:rsidRPr="006C4620">
        <w:t xml:space="preserve">taken to </w:t>
      </w:r>
      <w:r w:rsidR="000F2F51" w:rsidRPr="006C4620">
        <w:t>estimat</w:t>
      </w:r>
      <w:r w:rsidRPr="006C4620">
        <w:t>e</w:t>
      </w:r>
      <w:r w:rsidR="000F2F51" w:rsidRPr="006C4620">
        <w:t xml:space="preserve"> utilisation</w:t>
      </w:r>
      <w:r w:rsidR="00D33EAC">
        <w:t xml:space="preserve"> and reviews by DUSC</w:t>
      </w:r>
    </w:p>
    <w:p w14:paraId="25A09DB3" w14:textId="77777777" w:rsidR="008D15C8" w:rsidRPr="001537F5" w:rsidRDefault="008D15C8" w:rsidP="008D15C8">
      <w:pPr>
        <w:rPr>
          <w:i/>
        </w:rPr>
      </w:pPr>
      <w:r>
        <w:rPr>
          <w:i/>
        </w:rPr>
        <w:t xml:space="preserve">Prevention of </w:t>
      </w:r>
      <w:r w:rsidRPr="001537F5">
        <w:rPr>
          <w:i/>
        </w:rPr>
        <w:t>VTE in hip and knee replacements</w:t>
      </w:r>
    </w:p>
    <w:p w14:paraId="3903FF90" w14:textId="25B0C93E" w:rsidR="00042812" w:rsidRDefault="00042812" w:rsidP="00042812">
      <w:r w:rsidRPr="00E327DC">
        <w:lastRenderedPageBreak/>
        <w:t xml:space="preserve">The submission </w:t>
      </w:r>
      <w:r w:rsidR="00E009F0" w:rsidRPr="00E327DC">
        <w:t xml:space="preserve">to the March 2009 PBAC meeting for </w:t>
      </w:r>
      <w:proofErr w:type="spellStart"/>
      <w:r w:rsidR="00E009F0" w:rsidRPr="00E327DC">
        <w:t>rivaroxaban</w:t>
      </w:r>
      <w:proofErr w:type="spellEnd"/>
      <w:r w:rsidR="00E009F0" w:rsidRPr="00E327DC">
        <w:t xml:space="preserve"> </w:t>
      </w:r>
      <w:r w:rsidRPr="00E327DC">
        <w:t>for VTE prophylaxis in patients undergoing total hip and total knee replacements was examined by DUSC at its February 2009 meeting.</w:t>
      </w:r>
      <w:r w:rsidR="00F06746">
        <w:t xml:space="preserve">  The DUSC considered the</w:t>
      </w:r>
      <w:r w:rsidR="00F06746" w:rsidRPr="00F06746">
        <w:t xml:space="preserve"> potential for use beyond the population specified </w:t>
      </w:r>
      <w:r w:rsidR="008F4CC4">
        <w:t xml:space="preserve">by the restriction was </w:t>
      </w:r>
      <w:r w:rsidR="00F06746" w:rsidRPr="00F06746">
        <w:t>high</w:t>
      </w:r>
      <w:r w:rsidR="00F06746">
        <w:t>.</w:t>
      </w:r>
      <w:r w:rsidR="004C6C8D">
        <w:t xml:space="preserve">  </w:t>
      </w:r>
      <w:r w:rsidR="004C6C8D" w:rsidRPr="004C6C8D">
        <w:t>The proportions of THR and TKR patients that currently receive</w:t>
      </w:r>
      <w:r w:rsidR="00C90434">
        <w:t>d</w:t>
      </w:r>
      <w:r w:rsidR="004C6C8D" w:rsidRPr="004C6C8D">
        <w:t xml:space="preserve"> </w:t>
      </w:r>
      <w:proofErr w:type="spellStart"/>
      <w:r w:rsidR="004C6C8D" w:rsidRPr="004C6C8D">
        <w:t>thromboprophylaxis</w:t>
      </w:r>
      <w:proofErr w:type="spellEnd"/>
      <w:r w:rsidR="004C6C8D" w:rsidRPr="004C6C8D">
        <w:t xml:space="preserve"> with enoxaparin, the average duration of current prophylaxis, and therefore the current number of prescriptio</w:t>
      </w:r>
      <w:r w:rsidR="00C90434">
        <w:t>ns for this indication per year were considered to be uncertain.</w:t>
      </w:r>
    </w:p>
    <w:p w14:paraId="27224AA3" w14:textId="77777777" w:rsidR="00F91365" w:rsidRDefault="00F91365" w:rsidP="00F91365">
      <w:r>
        <w:t xml:space="preserve">The utilisation of </w:t>
      </w:r>
      <w:proofErr w:type="spellStart"/>
      <w:r>
        <w:t>rivaroxaban</w:t>
      </w:r>
      <w:proofErr w:type="spellEnd"/>
      <w:r>
        <w:t xml:space="preserve"> and </w:t>
      </w:r>
      <w:proofErr w:type="spellStart"/>
      <w:r>
        <w:t>dabigatran</w:t>
      </w:r>
      <w:proofErr w:type="spellEnd"/>
      <w:r>
        <w:t xml:space="preserve"> for the prevention of VTE in patients undergoing total hip and total knee replacements was examined by DUSC at its </w:t>
      </w:r>
      <w:r w:rsidRPr="00740A09">
        <w:t>June 2011</w:t>
      </w:r>
      <w:r>
        <w:t xml:space="preserve"> meeting.  The DUSC found that the submission’s estimate of the number of prescriptions was a substantial overestimate and that the concern that </w:t>
      </w:r>
      <w:proofErr w:type="spellStart"/>
      <w:r>
        <w:t>rivaroxaban</w:t>
      </w:r>
      <w:proofErr w:type="spellEnd"/>
      <w:r>
        <w:t xml:space="preserve"> is associated with bleeding into the joints appears to be a factor in limiting use.  The DUSC could only review PBS-listed use of </w:t>
      </w:r>
      <w:proofErr w:type="gramStart"/>
      <w:r>
        <w:t>enoxaparin,</w:t>
      </w:r>
      <w:proofErr w:type="gramEnd"/>
      <w:r>
        <w:t xml:space="preserve"> however this use did not appear to have been reduced since the inclusion of </w:t>
      </w:r>
      <w:proofErr w:type="spellStart"/>
      <w:r>
        <w:t>rivaroxaban</w:t>
      </w:r>
      <w:proofErr w:type="spellEnd"/>
      <w:r>
        <w:t xml:space="preserve"> on the PBS.</w:t>
      </w:r>
    </w:p>
    <w:p w14:paraId="454DBE6B" w14:textId="413B71D5" w:rsidR="000D65B3" w:rsidRDefault="00F91365" w:rsidP="000D65B3">
      <w:pPr>
        <w:rPr>
          <w:i/>
        </w:rPr>
      </w:pPr>
      <w:r>
        <w:t>The DUSC requested that the DUSC Secretariat review anticoagulant products pre and post the release of the new NHMRC guidelines for VTE prophylaxis to determine if these guidelines resulted in a change in clinical practice.</w:t>
      </w:r>
    </w:p>
    <w:p w14:paraId="18AF0AC6" w14:textId="77777777" w:rsidR="000D65B3" w:rsidRPr="008F685E" w:rsidRDefault="000D65B3" w:rsidP="000D65B3"/>
    <w:p w14:paraId="2B9319B3" w14:textId="2ABE7F0C" w:rsidR="000D65B3" w:rsidRPr="008E4525" w:rsidRDefault="000D65B3" w:rsidP="000D65B3">
      <w:pPr>
        <w:rPr>
          <w:i/>
        </w:rPr>
      </w:pPr>
      <w:r w:rsidRPr="008E4525">
        <w:rPr>
          <w:i/>
        </w:rPr>
        <w:t xml:space="preserve">Treatment of confirmed acute symptomatic </w:t>
      </w:r>
      <w:r w:rsidR="00C64E30">
        <w:rPr>
          <w:i/>
        </w:rPr>
        <w:t>DVT</w:t>
      </w:r>
      <w:r w:rsidRPr="008E4525">
        <w:rPr>
          <w:i/>
        </w:rPr>
        <w:t xml:space="preserve"> without symptomatic pulmonary embolism</w:t>
      </w:r>
      <w:r w:rsidRPr="00857683">
        <w:rPr>
          <w:i/>
        </w:rPr>
        <w:t xml:space="preserve"> </w:t>
      </w:r>
      <w:r>
        <w:rPr>
          <w:i/>
        </w:rPr>
        <w:t>and</w:t>
      </w:r>
      <w:r w:rsidRPr="00857683">
        <w:rPr>
          <w:i/>
        </w:rPr>
        <w:t xml:space="preserve"> prevention of recurrent </w:t>
      </w:r>
      <w:r w:rsidR="00C64E30">
        <w:rPr>
          <w:i/>
        </w:rPr>
        <w:t>VTE</w:t>
      </w:r>
    </w:p>
    <w:p w14:paraId="0D22DD31" w14:textId="739BC90D" w:rsidR="00106F3A" w:rsidRDefault="00AF19A2" w:rsidP="00106F3A">
      <w:r>
        <w:t xml:space="preserve">The </w:t>
      </w:r>
      <w:r w:rsidR="00983AEB">
        <w:t xml:space="preserve">March 2012 </w:t>
      </w:r>
      <w:r w:rsidR="000A3E1B">
        <w:t xml:space="preserve">PBAC </w:t>
      </w:r>
      <w:r>
        <w:t xml:space="preserve">submission for </w:t>
      </w:r>
      <w:proofErr w:type="spellStart"/>
      <w:r>
        <w:t>rivaroxaban</w:t>
      </w:r>
      <w:proofErr w:type="spellEnd"/>
      <w:r>
        <w:t xml:space="preserve"> for </w:t>
      </w:r>
      <w:r w:rsidR="00183396">
        <w:t xml:space="preserve">the treatment of confirmed acute symptomatic </w:t>
      </w:r>
      <w:r>
        <w:t xml:space="preserve">DVT </w:t>
      </w:r>
      <w:r w:rsidR="00183396">
        <w:t xml:space="preserve">without symptomatic PE, and the prevention of recurrent VTE </w:t>
      </w:r>
      <w:r>
        <w:t xml:space="preserve">used a mixed epidemiological and market share approach to </w:t>
      </w:r>
      <w:r w:rsidR="00574D37">
        <w:t xml:space="preserve">estimate use.  </w:t>
      </w:r>
      <w:r>
        <w:t xml:space="preserve">The sponsor commissioned a treatment survey of 150 physicians which was used to determine current usage of DVT treatment, duration of treatment, percentage of patients with proximal versus distal DVT, and the expected uptake of </w:t>
      </w:r>
      <w:proofErr w:type="spellStart"/>
      <w:r>
        <w:t>rivaroxaban</w:t>
      </w:r>
      <w:proofErr w:type="spellEnd"/>
      <w:r>
        <w:t xml:space="preserve"> in this setting. </w:t>
      </w:r>
      <w:r w:rsidR="008F5180">
        <w:t xml:space="preserve"> The </w:t>
      </w:r>
      <w:r>
        <w:t xml:space="preserve">DUSC considered the methodologies adopted in the market research to be unreliable; the response rate was not reported, it was considered likely the sample was not representative and the qualitative research presented did not include </w:t>
      </w:r>
      <w:proofErr w:type="spellStart"/>
      <w:r>
        <w:t>rivaroxaban’s</w:t>
      </w:r>
      <w:proofErr w:type="spellEnd"/>
      <w:r>
        <w:t xml:space="preserve"> safety profile.</w:t>
      </w:r>
      <w:r w:rsidR="004E5CB3">
        <w:t xml:space="preserve"> </w:t>
      </w:r>
      <w:r>
        <w:t xml:space="preserve"> </w:t>
      </w:r>
      <w:r w:rsidR="004E5CB3">
        <w:t xml:space="preserve">The </w:t>
      </w:r>
      <w:r>
        <w:t xml:space="preserve">DUSC considered the market uptake assumptions to be an underestimate given the perceived advantages of </w:t>
      </w:r>
      <w:proofErr w:type="spellStart"/>
      <w:r>
        <w:t>rivaroxaban</w:t>
      </w:r>
      <w:proofErr w:type="spellEnd"/>
      <w:r>
        <w:t xml:space="preserve"> compared to warfarin</w:t>
      </w:r>
      <w:r w:rsidRPr="006C4468">
        <w:t>.</w:t>
      </w:r>
      <w:r w:rsidR="00106F3A" w:rsidRPr="006C4468">
        <w:t xml:space="preserve"> </w:t>
      </w:r>
      <w:r w:rsidR="00E13C27">
        <w:t xml:space="preserve"> </w:t>
      </w:r>
      <w:r w:rsidR="00106F3A" w:rsidRPr="006C4468">
        <w:t>The DUSC noted the estimated prescriptions include</w:t>
      </w:r>
      <w:r w:rsidR="006C4468" w:rsidRPr="006C4468">
        <w:t>d</w:t>
      </w:r>
      <w:r w:rsidR="00106F3A" w:rsidRPr="006C4468">
        <w:t xml:space="preserve"> only 12 months of </w:t>
      </w:r>
      <w:proofErr w:type="spellStart"/>
      <w:r w:rsidR="00106F3A" w:rsidRPr="006C4468">
        <w:t>rivaroxaban</w:t>
      </w:r>
      <w:proofErr w:type="spellEnd"/>
      <w:r w:rsidR="00106F3A" w:rsidRPr="006C4468">
        <w:t xml:space="preserve"> therapy despite the requested restriction including a potential of two years duration of therapy, and considered the estimates of treated patients were likely to be significantly higher than predicted in the submission.</w:t>
      </w:r>
    </w:p>
    <w:p w14:paraId="528EF945" w14:textId="77777777" w:rsidR="000D65B3" w:rsidRDefault="000D65B3" w:rsidP="00106F3A"/>
    <w:p w14:paraId="47A933F7" w14:textId="6ABF4848" w:rsidR="000D65B3" w:rsidRPr="008E4525" w:rsidRDefault="000D65B3" w:rsidP="000D65B3">
      <w:pPr>
        <w:keepNext/>
        <w:rPr>
          <w:i/>
          <w:highlight w:val="yellow"/>
        </w:rPr>
      </w:pPr>
      <w:r w:rsidRPr="008E4525">
        <w:rPr>
          <w:i/>
        </w:rPr>
        <w:t xml:space="preserve">Treatment of acute symptomatic pulmonary embolism (PE) and prevention of recurrent </w:t>
      </w:r>
      <w:r w:rsidR="007B1840">
        <w:rPr>
          <w:i/>
        </w:rPr>
        <w:t>VTE</w:t>
      </w:r>
    </w:p>
    <w:p w14:paraId="7012C659" w14:textId="39E08AA9" w:rsidR="00105288" w:rsidRPr="00105288" w:rsidRDefault="00AF19A2" w:rsidP="00AF19A2">
      <w:r>
        <w:t>The</w:t>
      </w:r>
      <w:r w:rsidR="00F22787">
        <w:t xml:space="preserve"> March 2013 PBAC </w:t>
      </w:r>
      <w:r>
        <w:t xml:space="preserve">submission for </w:t>
      </w:r>
      <w:proofErr w:type="spellStart"/>
      <w:r>
        <w:t>rivaroxaban</w:t>
      </w:r>
      <w:proofErr w:type="spellEnd"/>
      <w:r>
        <w:t xml:space="preserve"> for PE used a mixed epidemiological and market share approach.</w:t>
      </w:r>
      <w:r w:rsidR="00D6068B">
        <w:t xml:space="preserve"> </w:t>
      </w:r>
      <w:r>
        <w:t xml:space="preserve"> The incidence estimate was derived from AIHW data.</w:t>
      </w:r>
      <w:r w:rsidR="00D6068B">
        <w:t xml:space="preserve"> </w:t>
      </w:r>
      <w:r>
        <w:t xml:space="preserve"> The PBAC observed that the estimated number of patients treated with </w:t>
      </w:r>
      <w:proofErr w:type="spellStart"/>
      <w:r>
        <w:t>rivaroxaban</w:t>
      </w:r>
      <w:proofErr w:type="spellEnd"/>
      <w:r>
        <w:t xml:space="preserve"> may be </w:t>
      </w:r>
      <w:r>
        <w:lastRenderedPageBreak/>
        <w:t xml:space="preserve">underestimated as a consequence of patients switching from existing warfarin therapy to </w:t>
      </w:r>
      <w:proofErr w:type="spellStart"/>
      <w:r>
        <w:t>rivaroxaban</w:t>
      </w:r>
      <w:proofErr w:type="spellEnd"/>
      <w:r>
        <w:t>, and the potential for leakage beyond the requested restriction.</w:t>
      </w:r>
      <w:r w:rsidR="00EC713E">
        <w:t xml:space="preserve">  The submission was not considered by the DUSC.</w:t>
      </w:r>
    </w:p>
    <w:p w14:paraId="0312FFEC" w14:textId="5C6A9662" w:rsidR="00E677DD" w:rsidRDefault="00E677DD" w:rsidP="00E11A6D">
      <w:pPr>
        <w:pStyle w:val="Heading3"/>
      </w:pPr>
      <w:r w:rsidRPr="005E22C2">
        <w:t>Method</w:t>
      </w:r>
      <w:r w:rsidR="001B5D37" w:rsidRPr="005E22C2">
        <w:t>s</w:t>
      </w:r>
    </w:p>
    <w:p w14:paraId="12D88CDA" w14:textId="4ED5CEDE" w:rsidR="0034082A" w:rsidRDefault="0034082A" w:rsidP="0034082A">
      <w:r>
        <w:t xml:space="preserve">Data for the number of prescriptions for </w:t>
      </w:r>
      <w:proofErr w:type="spellStart"/>
      <w:r>
        <w:t>rivaroxaban</w:t>
      </w:r>
      <w:proofErr w:type="spellEnd"/>
      <w:r>
        <w:t xml:space="preserve">, </w:t>
      </w:r>
      <w:proofErr w:type="spellStart"/>
      <w:r>
        <w:t>dabigatran</w:t>
      </w:r>
      <w:proofErr w:type="spellEnd"/>
      <w:r>
        <w:t xml:space="preserve"> and </w:t>
      </w:r>
      <w:proofErr w:type="spellStart"/>
      <w:r>
        <w:t>apixaban</w:t>
      </w:r>
      <w:proofErr w:type="spellEnd"/>
      <w:r>
        <w:t xml:space="preserve"> were extracted from the Department of Human Services (DHS) Medicare Pharmacy Claims database for the period August 2009 to March 2014, inclusive. </w:t>
      </w:r>
      <w:r w:rsidR="00D611B0">
        <w:t xml:space="preserve"> </w:t>
      </w:r>
      <w:r>
        <w:t xml:space="preserve">The use of </w:t>
      </w:r>
      <w:proofErr w:type="spellStart"/>
      <w:r>
        <w:t>rivaroxaban</w:t>
      </w:r>
      <w:proofErr w:type="spellEnd"/>
      <w:r>
        <w:t xml:space="preserve"> for DVT and PE is compared to the use predicted in the submission. </w:t>
      </w:r>
    </w:p>
    <w:p w14:paraId="18A0405E" w14:textId="63D742CB" w:rsidR="0034082A" w:rsidRDefault="0034082A" w:rsidP="0034082A">
      <w:r>
        <w:t xml:space="preserve">Data were extracted based on the date that the prescription was supplied to the patient. </w:t>
      </w:r>
      <w:r w:rsidR="00BD037D">
        <w:t xml:space="preserve"> </w:t>
      </w:r>
      <w:r>
        <w:t xml:space="preserve">The number of patients treated was determined by counting the number of individual de-identified personal identification numbers in the specified time period. </w:t>
      </w:r>
      <w:r w:rsidR="00234F8F">
        <w:t xml:space="preserve"> </w:t>
      </w:r>
      <w:r>
        <w:t xml:space="preserve">New (initiating) patients were defined as those with no prior PBS or RPBS prescription of the drug for the indication since it was listed for acute symptomatic DVT and prevention of recurrent VTE in December 2012, as determined by the streamlined code. </w:t>
      </w:r>
      <w:r w:rsidR="00D936D2">
        <w:t xml:space="preserve"> </w:t>
      </w:r>
      <w:r>
        <w:t>Data manipulation was undertaken using SAS.</w:t>
      </w:r>
    </w:p>
    <w:p w14:paraId="56D22054" w14:textId="5B3E5119" w:rsidR="0034082A" w:rsidRDefault="0034082A" w:rsidP="0034082A">
      <w:r>
        <w:t xml:space="preserve">Unique patients were counted for </w:t>
      </w:r>
      <w:proofErr w:type="spellStart"/>
      <w:r>
        <w:t>rivaroxaban</w:t>
      </w:r>
      <w:proofErr w:type="spellEnd"/>
      <w:r>
        <w:t xml:space="preserve"> by calendar year and the prescribed indication (using streamlined code to determine indication). </w:t>
      </w:r>
      <w:r w:rsidR="00D54907">
        <w:t xml:space="preserve"> </w:t>
      </w:r>
      <w:r>
        <w:t>PBS item codes specifically for prevention of VTE in hip and knee replacements and prevention of stroke in patients with AF were not included in this analysis.</w:t>
      </w:r>
    </w:p>
    <w:p w14:paraId="562F099C" w14:textId="77777777" w:rsidR="0034082A" w:rsidRDefault="0034082A" w:rsidP="0034082A">
      <w:r>
        <w:t xml:space="preserve">Expenditure data for </w:t>
      </w:r>
      <w:proofErr w:type="spellStart"/>
      <w:r>
        <w:t>rivaroxaban</w:t>
      </w:r>
      <w:proofErr w:type="spellEnd"/>
      <w:r>
        <w:t xml:space="preserve"> for DVT, for the first and partial second year of listing, and </w:t>
      </w:r>
      <w:proofErr w:type="spellStart"/>
      <w:r>
        <w:t>rivaroxaban</w:t>
      </w:r>
      <w:proofErr w:type="spellEnd"/>
      <w:r>
        <w:t xml:space="preserve"> for PE, from the time of listing (August 2013) to the most recent data available (March 2014), are presented by indication as determined by the streamlined code.</w:t>
      </w:r>
    </w:p>
    <w:p w14:paraId="6590905E" w14:textId="31366F97" w:rsidR="0034082A" w:rsidRDefault="0034082A" w:rsidP="0034082A">
      <w:r>
        <w:t>DUSC (June 2014) requested an analysis by state, given that differing hospital preferences may impact which NOACs are supplied in the community.</w:t>
      </w:r>
      <w:r w:rsidR="00593B6B">
        <w:t xml:space="preserve"> </w:t>
      </w:r>
      <w:r>
        <w:t xml:space="preserve"> </w:t>
      </w:r>
      <w:proofErr w:type="gramStart"/>
      <w:r>
        <w:t xml:space="preserve">As the analysis focused on indications for which </w:t>
      </w:r>
      <w:proofErr w:type="spellStart"/>
      <w:r>
        <w:t>rivaroxaban</w:t>
      </w:r>
      <w:proofErr w:type="spellEnd"/>
      <w:r>
        <w:t xml:space="preserve"> is the only PBS listed NOAC, it was determined that an analysis by </w:t>
      </w:r>
      <w:r w:rsidR="004C65CC">
        <w:t>state would not be informative.</w:t>
      </w:r>
      <w:proofErr w:type="gramEnd"/>
    </w:p>
    <w:p w14:paraId="0EBFCF03" w14:textId="2C2F2F97" w:rsidR="0034082A" w:rsidRDefault="0034082A" w:rsidP="0034082A">
      <w:r>
        <w:t xml:space="preserve">An analysis of duration of treatment was considered for DVT and PE treatment, as the duration of treatment was estimated in the submission to be 12 months, but could be up to two years, and the PBS restriction does not specify length of treatment. </w:t>
      </w:r>
      <w:r w:rsidR="00566E10">
        <w:t xml:space="preserve"> </w:t>
      </w:r>
      <w:r>
        <w:t xml:space="preserve">There were not sufficient data available to complete this analysis. </w:t>
      </w:r>
      <w:r w:rsidR="00AF796B">
        <w:t xml:space="preserve"> </w:t>
      </w:r>
      <w:r>
        <w:t>The earliest this analysis could be presented is the February 2016 DUSC meeting.</w:t>
      </w:r>
    </w:p>
    <w:p w14:paraId="2FA80BF8" w14:textId="77777777" w:rsidR="00C64A4F" w:rsidRDefault="00C64A4F" w:rsidP="00C64A4F">
      <w:pPr>
        <w:pStyle w:val="Heading4"/>
      </w:pPr>
      <w:r>
        <w:t>Limitations of the data</w:t>
      </w:r>
    </w:p>
    <w:p w14:paraId="5CE002B5" w14:textId="72C92756" w:rsidR="00C64A4F" w:rsidRDefault="00C64A4F" w:rsidP="00C64A4F">
      <w:r>
        <w:t xml:space="preserve">Utilisation of NOACs for prevention of stroke or systemic embolism in patients with non-valvular atrial fibrillation (AF) is out of scope of this review. </w:t>
      </w:r>
      <w:r w:rsidR="009A3978">
        <w:t xml:space="preserve"> </w:t>
      </w:r>
      <w:proofErr w:type="spellStart"/>
      <w:r>
        <w:t>Rivaroxaban</w:t>
      </w:r>
      <w:proofErr w:type="spellEnd"/>
      <w:r>
        <w:t xml:space="preserve"> has item codes specifically for patients with </w:t>
      </w:r>
      <w:proofErr w:type="gramStart"/>
      <w:r>
        <w:t>AF,</w:t>
      </w:r>
      <w:proofErr w:type="gramEnd"/>
      <w:r>
        <w:t xml:space="preserve"> however AF is also one of four indications listed under PBS item code 2268J. </w:t>
      </w:r>
      <w:r w:rsidR="004D0F64">
        <w:t xml:space="preserve"> </w:t>
      </w:r>
      <w:r>
        <w:t xml:space="preserve">The indications listed under this PBS item code are acute symptomatic deep vein thrombosis, prevention of recurrent venous thromboembolism, acute symptomatic pulmonary embolism and AF. </w:t>
      </w:r>
      <w:r w:rsidR="009A4083">
        <w:t xml:space="preserve"> </w:t>
      </w:r>
      <w:r>
        <w:t xml:space="preserve">Although each indication has a separate </w:t>
      </w:r>
      <w:r>
        <w:lastRenderedPageBreak/>
        <w:t>streamlined code, in the most recent 12 months of data this field is blank against 9</w:t>
      </w:r>
      <w:r w:rsidR="00F6787C">
        <w:t xml:space="preserve"> </w:t>
      </w:r>
      <w:r>
        <w:t xml:space="preserve">% of prescriptions when AF is </w:t>
      </w:r>
      <w:proofErr w:type="gramStart"/>
      <w:r>
        <w:t>included,</w:t>
      </w:r>
      <w:proofErr w:type="gramEnd"/>
      <w:r>
        <w:t xml:space="preserve"> and 15</w:t>
      </w:r>
      <w:r w:rsidR="00F6787C">
        <w:t xml:space="preserve"> </w:t>
      </w:r>
      <w:r>
        <w:t xml:space="preserve">% of prescriptions when AF is excluded. </w:t>
      </w:r>
    </w:p>
    <w:p w14:paraId="7FCA281D" w14:textId="37F00728" w:rsidR="00C64A4F" w:rsidRPr="0034082A" w:rsidRDefault="00C64A4F" w:rsidP="00C64A4F">
      <w:proofErr w:type="spellStart"/>
      <w:r>
        <w:t>Apixaban</w:t>
      </w:r>
      <w:proofErr w:type="spellEnd"/>
      <w:r>
        <w:t xml:space="preserve"> and </w:t>
      </w:r>
      <w:proofErr w:type="spellStart"/>
      <w:r>
        <w:t>dabigatran</w:t>
      </w:r>
      <w:proofErr w:type="spellEnd"/>
      <w:r>
        <w:t xml:space="preserve"> have separate item codes for AF.</w:t>
      </w:r>
      <w:r w:rsidR="006C38B5">
        <w:t xml:space="preserve"> </w:t>
      </w:r>
      <w:r>
        <w:t xml:space="preserve"> There is some small use of the AF streamlined code for </w:t>
      </w:r>
      <w:proofErr w:type="spellStart"/>
      <w:r>
        <w:t>dabigatran</w:t>
      </w:r>
      <w:proofErr w:type="spellEnd"/>
      <w:r>
        <w:t xml:space="preserve"> and </w:t>
      </w:r>
      <w:proofErr w:type="spellStart"/>
      <w:r>
        <w:t>apixaban</w:t>
      </w:r>
      <w:proofErr w:type="spellEnd"/>
      <w:r>
        <w:t xml:space="preserve"> against PBS item codes for prevention of VTE in hip and knee replacements. </w:t>
      </w:r>
      <w:r w:rsidR="00407B44">
        <w:t xml:space="preserve"> </w:t>
      </w:r>
      <w:r>
        <w:t>This suggests miscoding of indications in the data.</w:t>
      </w:r>
    </w:p>
    <w:p w14:paraId="4F91A98A" w14:textId="00180E30" w:rsidR="00C714D0" w:rsidRPr="005E22C2" w:rsidRDefault="00C714D0" w:rsidP="00E11A6D">
      <w:pPr>
        <w:pStyle w:val="Heading3"/>
      </w:pPr>
      <w:r w:rsidRPr="005E22C2">
        <w:t>Results</w:t>
      </w:r>
    </w:p>
    <w:p w14:paraId="2221FF19" w14:textId="336CE8B2" w:rsidR="00736041" w:rsidRDefault="001B5D37" w:rsidP="0038097B">
      <w:pPr>
        <w:pStyle w:val="Heading4"/>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9F8A9BC" w14:textId="35E50016" w:rsidR="006A44F5" w:rsidRDefault="00736041" w:rsidP="0038097B">
      <w:pPr>
        <w:pStyle w:val="Heading5"/>
      </w:pPr>
      <w:r w:rsidRPr="005E22C2">
        <w:t>Overall utilisation</w:t>
      </w:r>
    </w:p>
    <w:p w14:paraId="3C50142D" w14:textId="2264898E" w:rsidR="00C40BCC" w:rsidRDefault="00C40BCC" w:rsidP="00C40BCC">
      <w:r>
        <w:t xml:space="preserve">The number of prescriptions supplied for </w:t>
      </w:r>
      <w:proofErr w:type="spellStart"/>
      <w:r>
        <w:t>apixaban</w:t>
      </w:r>
      <w:proofErr w:type="spellEnd"/>
      <w:r>
        <w:t xml:space="preserve">, </w:t>
      </w:r>
      <w:proofErr w:type="spellStart"/>
      <w:r>
        <w:t>dabigatran</w:t>
      </w:r>
      <w:proofErr w:type="spellEnd"/>
      <w:r>
        <w:t xml:space="preserve"> and </w:t>
      </w:r>
      <w:proofErr w:type="spellStart"/>
      <w:r>
        <w:t>rivaroxaban</w:t>
      </w:r>
      <w:proofErr w:type="spellEnd"/>
      <w:r>
        <w:t xml:space="preserve"> by month is shown in Figure 1 and totals for the twelve months to March 2014 are shown in Table 4.  AF is excluded.</w:t>
      </w:r>
    </w:p>
    <w:p w14:paraId="4FDE32C4" w14:textId="77777777" w:rsidR="00811FB8" w:rsidRDefault="00811FB8" w:rsidP="00811FB8">
      <w:pPr>
        <w:keepNext/>
      </w:pPr>
      <w:r>
        <w:rPr>
          <w:noProof/>
        </w:rPr>
        <w:drawing>
          <wp:inline distT="0" distB="0" distL="0" distR="0" wp14:anchorId="165E70F5" wp14:editId="4020190E">
            <wp:extent cx="5688280" cy="3918857"/>
            <wp:effectExtent l="0" t="0" r="27305"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4E5688" w14:textId="77777777" w:rsidR="00811FB8" w:rsidRDefault="00811FB8" w:rsidP="00811FB8">
      <w:pPr>
        <w:pStyle w:val="Figuretitle"/>
      </w:pPr>
      <w:bookmarkStart w:id="1" w:name="_Ref397411971"/>
      <w:r>
        <w:t xml:space="preserve">Figure </w:t>
      </w:r>
      <w:r>
        <w:fldChar w:fldCharType="begin"/>
      </w:r>
      <w:r>
        <w:instrText xml:space="preserve"> SEQ Figure \* ARABIC </w:instrText>
      </w:r>
      <w:r>
        <w:fldChar w:fldCharType="separate"/>
      </w:r>
      <w:r w:rsidR="00F25CCC">
        <w:rPr>
          <w:noProof/>
        </w:rPr>
        <w:t>1</w:t>
      </w:r>
      <w:r>
        <w:rPr>
          <w:noProof/>
        </w:rPr>
        <w:fldChar w:fldCharType="end"/>
      </w:r>
      <w:bookmarkEnd w:id="1"/>
      <w:r>
        <w:t xml:space="preserve">: </w:t>
      </w:r>
      <w:r w:rsidRPr="00A37FCF">
        <w:t>NOAC</w:t>
      </w:r>
      <w:r>
        <w:t xml:space="preserve"> prescriptions supplied</w:t>
      </w:r>
      <w:r w:rsidRPr="00A37FCF">
        <w:t xml:space="preserve"> by drug without</w:t>
      </w:r>
      <w:r>
        <w:t xml:space="preserve"> the streamlined code for AF included, from August 2012. </w:t>
      </w:r>
    </w:p>
    <w:p w14:paraId="4A5A6444" w14:textId="77777777" w:rsidR="00811FB8" w:rsidRDefault="00811FB8" w:rsidP="00811FB8">
      <w:pPr>
        <w:pStyle w:val="Figurecaption"/>
      </w:pPr>
      <w:proofErr w:type="spellStart"/>
      <w:r w:rsidRPr="00811FB8">
        <w:t>Rivaroxaban</w:t>
      </w:r>
      <w:proofErr w:type="spellEnd"/>
      <w:r w:rsidRPr="00811FB8">
        <w:t xml:space="preserve"> was listed 1 December 2012 for DVT and prevention of recurrent VTE and 1 August 2013 for PE.</w:t>
      </w:r>
    </w:p>
    <w:p w14:paraId="5D5D5459" w14:textId="77777777" w:rsidR="002A2853" w:rsidRPr="00811FB8" w:rsidRDefault="002A2853" w:rsidP="002A2853"/>
    <w:p w14:paraId="082B3CF4" w14:textId="77777777" w:rsidR="002A2853" w:rsidRPr="00E05C1A" w:rsidRDefault="002A2853" w:rsidP="00E05C1A">
      <w:pPr>
        <w:pStyle w:val="Tabletitle"/>
        <w:rPr>
          <w:highlight w:val="yellow"/>
        </w:rPr>
      </w:pPr>
      <w:r w:rsidRPr="00E05C1A">
        <w:lastRenderedPageBreak/>
        <w:t xml:space="preserve">Table </w:t>
      </w:r>
      <w:fldSimple w:instr=" SEQ Table \* ARABIC ">
        <w:r w:rsidR="00F25CCC">
          <w:rPr>
            <w:noProof/>
          </w:rPr>
          <w:t>4</w:t>
        </w:r>
      </w:fldSimple>
      <w:r w:rsidRPr="00E05C1A">
        <w:t xml:space="preserve">: Number of prescriptions for </w:t>
      </w:r>
      <w:proofErr w:type="spellStart"/>
      <w:r w:rsidRPr="00E05C1A">
        <w:t>apixaban</w:t>
      </w:r>
      <w:proofErr w:type="spellEnd"/>
      <w:r w:rsidRPr="00E05C1A">
        <w:t xml:space="preserve">, </w:t>
      </w:r>
      <w:proofErr w:type="spellStart"/>
      <w:r w:rsidRPr="00E05C1A">
        <w:t>dabigatran</w:t>
      </w:r>
      <w:proofErr w:type="spellEnd"/>
      <w:r w:rsidRPr="00E05C1A">
        <w:t xml:space="preserve"> and </w:t>
      </w:r>
      <w:proofErr w:type="spellStart"/>
      <w:r w:rsidRPr="00E05C1A">
        <w:t>rivaroxaban</w:t>
      </w:r>
      <w:proofErr w:type="spellEnd"/>
      <w:r w:rsidRPr="00E05C1A">
        <w:t xml:space="preserve"> for the most recent 12 months of available data (April 2013 to March 2014), excluding AF</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2237"/>
        <w:gridCol w:w="2236"/>
        <w:gridCol w:w="2237"/>
      </w:tblGrid>
      <w:tr w:rsidR="002A2853" w:rsidRPr="00F24AD9" w14:paraId="6652640D" w14:textId="77777777" w:rsidTr="000576E3">
        <w:trPr>
          <w:trHeight w:val="300"/>
        </w:trPr>
        <w:tc>
          <w:tcPr>
            <w:tcW w:w="2236" w:type="dxa"/>
            <w:shd w:val="clear" w:color="auto" w:fill="BFBFBF" w:themeFill="background1" w:themeFillShade="BF"/>
            <w:vAlign w:val="center"/>
          </w:tcPr>
          <w:p w14:paraId="7DCE0553" w14:textId="77777777" w:rsidR="002A2853" w:rsidRPr="00F24AD9" w:rsidRDefault="002A2853" w:rsidP="000576E3">
            <w:pPr>
              <w:spacing w:after="0"/>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Drug name</w:t>
            </w:r>
          </w:p>
        </w:tc>
        <w:tc>
          <w:tcPr>
            <w:tcW w:w="2237" w:type="dxa"/>
            <w:shd w:val="clear" w:color="auto" w:fill="BFBFBF" w:themeFill="background1" w:themeFillShade="BF"/>
            <w:noWrap/>
            <w:vAlign w:val="center"/>
            <w:hideMark/>
          </w:tcPr>
          <w:p w14:paraId="63AF3331" w14:textId="77777777" w:rsidR="002A2853" w:rsidRPr="001C4FE1" w:rsidRDefault="002A2853" w:rsidP="000576E3">
            <w:pPr>
              <w:spacing w:after="0"/>
              <w:jc w:val="center"/>
              <w:rPr>
                <w:rFonts w:ascii="Calibri" w:eastAsia="Times New Roman" w:hAnsi="Calibri" w:cs="Times New Roman"/>
                <w:b/>
                <w:bCs/>
                <w:color w:val="000000"/>
                <w:sz w:val="20"/>
                <w:szCs w:val="20"/>
              </w:rPr>
            </w:pPr>
            <w:proofErr w:type="spellStart"/>
            <w:r w:rsidRPr="001C4FE1">
              <w:rPr>
                <w:rFonts w:ascii="Calibri" w:eastAsia="Times New Roman" w:hAnsi="Calibri" w:cs="Times New Roman"/>
                <w:b/>
                <w:bCs/>
                <w:color w:val="000000"/>
                <w:sz w:val="20"/>
                <w:szCs w:val="20"/>
              </w:rPr>
              <w:t>Apixaban</w:t>
            </w:r>
            <w:proofErr w:type="spellEnd"/>
          </w:p>
        </w:tc>
        <w:tc>
          <w:tcPr>
            <w:tcW w:w="2236" w:type="dxa"/>
            <w:shd w:val="clear" w:color="auto" w:fill="BFBFBF" w:themeFill="background1" w:themeFillShade="BF"/>
            <w:noWrap/>
            <w:vAlign w:val="center"/>
            <w:hideMark/>
          </w:tcPr>
          <w:p w14:paraId="534BCA2C" w14:textId="77777777" w:rsidR="002A2853" w:rsidRPr="001C4FE1" w:rsidRDefault="002A2853" w:rsidP="000576E3">
            <w:pPr>
              <w:spacing w:after="0"/>
              <w:jc w:val="center"/>
              <w:rPr>
                <w:rFonts w:ascii="Calibri" w:eastAsia="Times New Roman" w:hAnsi="Calibri" w:cs="Times New Roman"/>
                <w:b/>
                <w:bCs/>
                <w:color w:val="000000"/>
                <w:sz w:val="20"/>
                <w:szCs w:val="20"/>
              </w:rPr>
            </w:pPr>
            <w:proofErr w:type="spellStart"/>
            <w:r w:rsidRPr="001C4FE1">
              <w:rPr>
                <w:rFonts w:ascii="Calibri" w:eastAsia="Times New Roman" w:hAnsi="Calibri" w:cs="Times New Roman"/>
                <w:b/>
                <w:bCs/>
                <w:color w:val="000000"/>
                <w:sz w:val="20"/>
                <w:szCs w:val="20"/>
              </w:rPr>
              <w:t>Dabigatran</w:t>
            </w:r>
            <w:proofErr w:type="spellEnd"/>
            <w:r w:rsidRPr="001C4FE1">
              <w:rPr>
                <w:rFonts w:ascii="Calibri" w:eastAsia="Times New Roman" w:hAnsi="Calibri" w:cs="Times New Roman"/>
                <w:b/>
                <w:bCs/>
                <w:color w:val="000000"/>
                <w:sz w:val="20"/>
                <w:szCs w:val="20"/>
              </w:rPr>
              <w:t xml:space="preserve"> </w:t>
            </w:r>
            <w:proofErr w:type="spellStart"/>
            <w:r w:rsidRPr="001C4FE1">
              <w:rPr>
                <w:rFonts w:ascii="Calibri" w:eastAsia="Times New Roman" w:hAnsi="Calibri" w:cs="Times New Roman"/>
                <w:b/>
                <w:bCs/>
                <w:color w:val="000000"/>
                <w:sz w:val="20"/>
                <w:szCs w:val="20"/>
              </w:rPr>
              <w:t>etexilate</w:t>
            </w:r>
            <w:proofErr w:type="spellEnd"/>
          </w:p>
        </w:tc>
        <w:tc>
          <w:tcPr>
            <w:tcW w:w="2237" w:type="dxa"/>
            <w:shd w:val="clear" w:color="auto" w:fill="BFBFBF" w:themeFill="background1" w:themeFillShade="BF"/>
            <w:noWrap/>
            <w:vAlign w:val="center"/>
            <w:hideMark/>
          </w:tcPr>
          <w:p w14:paraId="1D97DEFD" w14:textId="77777777" w:rsidR="002A2853" w:rsidRPr="001C4FE1" w:rsidRDefault="002A2853" w:rsidP="000576E3">
            <w:pPr>
              <w:spacing w:after="0"/>
              <w:jc w:val="center"/>
              <w:rPr>
                <w:rFonts w:ascii="Calibri" w:eastAsia="Times New Roman" w:hAnsi="Calibri" w:cs="Times New Roman"/>
                <w:b/>
                <w:bCs/>
                <w:color w:val="000000"/>
                <w:sz w:val="20"/>
                <w:szCs w:val="20"/>
              </w:rPr>
            </w:pPr>
            <w:proofErr w:type="spellStart"/>
            <w:r w:rsidRPr="001C4FE1">
              <w:rPr>
                <w:rFonts w:ascii="Calibri" w:eastAsia="Times New Roman" w:hAnsi="Calibri" w:cs="Times New Roman"/>
                <w:b/>
                <w:bCs/>
                <w:color w:val="000000"/>
                <w:sz w:val="20"/>
                <w:szCs w:val="20"/>
              </w:rPr>
              <w:t>Rivaroxaban</w:t>
            </w:r>
            <w:proofErr w:type="spellEnd"/>
          </w:p>
        </w:tc>
      </w:tr>
      <w:tr w:rsidR="002A2853" w:rsidRPr="00F24AD9" w14:paraId="42E4974B" w14:textId="77777777" w:rsidTr="000576E3">
        <w:trPr>
          <w:trHeight w:val="300"/>
        </w:trPr>
        <w:tc>
          <w:tcPr>
            <w:tcW w:w="2236" w:type="dxa"/>
            <w:vAlign w:val="center"/>
          </w:tcPr>
          <w:p w14:paraId="01D54641" w14:textId="77777777" w:rsidR="002A2853" w:rsidRPr="00F24AD9" w:rsidRDefault="002A2853" w:rsidP="000576E3">
            <w:pPr>
              <w:spacing w:after="0"/>
              <w:rPr>
                <w:rFonts w:ascii="Calibri" w:eastAsia="Times New Roman" w:hAnsi="Calibri" w:cs="Times New Roman"/>
                <w:sz w:val="20"/>
                <w:szCs w:val="20"/>
              </w:rPr>
            </w:pPr>
            <w:r>
              <w:rPr>
                <w:rFonts w:ascii="Calibri" w:eastAsia="Times New Roman" w:hAnsi="Calibri" w:cs="Times New Roman"/>
                <w:sz w:val="20"/>
                <w:szCs w:val="20"/>
              </w:rPr>
              <w:t xml:space="preserve">Number of prescriptions </w:t>
            </w:r>
          </w:p>
        </w:tc>
        <w:tc>
          <w:tcPr>
            <w:tcW w:w="2237" w:type="dxa"/>
            <w:shd w:val="clear" w:color="auto" w:fill="auto"/>
            <w:noWrap/>
            <w:vAlign w:val="center"/>
            <w:hideMark/>
          </w:tcPr>
          <w:p w14:paraId="6DF4E4EE" w14:textId="77777777" w:rsidR="002A2853" w:rsidRPr="001C4FE1" w:rsidRDefault="002A2853" w:rsidP="000576E3">
            <w:pPr>
              <w:spacing w:after="0"/>
              <w:jc w:val="center"/>
              <w:rPr>
                <w:rFonts w:ascii="Calibri" w:eastAsia="Times New Roman" w:hAnsi="Calibri" w:cs="Times New Roman"/>
                <w:sz w:val="20"/>
                <w:szCs w:val="20"/>
              </w:rPr>
            </w:pPr>
            <w:r w:rsidRPr="001C4FE1">
              <w:rPr>
                <w:rFonts w:ascii="Calibri" w:eastAsia="Times New Roman" w:hAnsi="Calibri" w:cs="Times New Roman"/>
                <w:sz w:val="20"/>
                <w:szCs w:val="20"/>
              </w:rPr>
              <w:t>1</w:t>
            </w:r>
            <w:r>
              <w:rPr>
                <w:rFonts w:ascii="Calibri" w:eastAsia="Times New Roman" w:hAnsi="Calibri" w:cs="Times New Roman"/>
                <w:sz w:val="20"/>
                <w:szCs w:val="20"/>
              </w:rPr>
              <w:t>,</w:t>
            </w:r>
            <w:r w:rsidRPr="001C4FE1">
              <w:rPr>
                <w:rFonts w:ascii="Calibri" w:eastAsia="Times New Roman" w:hAnsi="Calibri" w:cs="Times New Roman"/>
                <w:sz w:val="20"/>
                <w:szCs w:val="20"/>
              </w:rPr>
              <w:t>587</w:t>
            </w:r>
          </w:p>
        </w:tc>
        <w:tc>
          <w:tcPr>
            <w:tcW w:w="2236" w:type="dxa"/>
            <w:shd w:val="clear" w:color="auto" w:fill="auto"/>
            <w:noWrap/>
            <w:vAlign w:val="center"/>
            <w:hideMark/>
          </w:tcPr>
          <w:p w14:paraId="66FF7CF1" w14:textId="77777777" w:rsidR="002A2853" w:rsidRPr="001C4FE1" w:rsidRDefault="002A2853" w:rsidP="000576E3">
            <w:pPr>
              <w:spacing w:after="0"/>
              <w:jc w:val="center"/>
              <w:rPr>
                <w:rFonts w:ascii="Calibri" w:eastAsia="Times New Roman" w:hAnsi="Calibri" w:cs="Times New Roman"/>
                <w:sz w:val="20"/>
                <w:szCs w:val="20"/>
              </w:rPr>
            </w:pPr>
            <w:r w:rsidRPr="001C4FE1">
              <w:rPr>
                <w:rFonts w:ascii="Calibri" w:eastAsia="Times New Roman" w:hAnsi="Calibri" w:cs="Times New Roman"/>
                <w:sz w:val="20"/>
                <w:szCs w:val="20"/>
              </w:rPr>
              <w:t>2</w:t>
            </w:r>
            <w:r>
              <w:rPr>
                <w:rFonts w:ascii="Calibri" w:eastAsia="Times New Roman" w:hAnsi="Calibri" w:cs="Times New Roman"/>
                <w:sz w:val="20"/>
                <w:szCs w:val="20"/>
              </w:rPr>
              <w:t>,</w:t>
            </w:r>
            <w:r w:rsidRPr="001C4FE1">
              <w:rPr>
                <w:rFonts w:ascii="Calibri" w:eastAsia="Times New Roman" w:hAnsi="Calibri" w:cs="Times New Roman"/>
                <w:sz w:val="20"/>
                <w:szCs w:val="20"/>
              </w:rPr>
              <w:t>279</w:t>
            </w:r>
          </w:p>
        </w:tc>
        <w:tc>
          <w:tcPr>
            <w:tcW w:w="2237" w:type="dxa"/>
            <w:shd w:val="clear" w:color="auto" w:fill="auto"/>
            <w:noWrap/>
            <w:vAlign w:val="center"/>
            <w:hideMark/>
          </w:tcPr>
          <w:p w14:paraId="72690B54" w14:textId="77777777" w:rsidR="002A2853" w:rsidRPr="001C4FE1" w:rsidRDefault="002A2853" w:rsidP="000576E3">
            <w:pPr>
              <w:spacing w:after="0"/>
              <w:jc w:val="center"/>
              <w:rPr>
                <w:rFonts w:ascii="Calibri" w:eastAsia="Times New Roman" w:hAnsi="Calibri" w:cs="Times New Roman"/>
                <w:sz w:val="20"/>
                <w:szCs w:val="20"/>
              </w:rPr>
            </w:pPr>
            <w:r w:rsidRPr="001C4FE1">
              <w:rPr>
                <w:rFonts w:ascii="Calibri" w:eastAsia="Times New Roman" w:hAnsi="Calibri" w:cs="Times New Roman"/>
                <w:sz w:val="20"/>
                <w:szCs w:val="20"/>
              </w:rPr>
              <w:t>115</w:t>
            </w:r>
            <w:r>
              <w:rPr>
                <w:rFonts w:ascii="Calibri" w:eastAsia="Times New Roman" w:hAnsi="Calibri" w:cs="Times New Roman"/>
                <w:sz w:val="20"/>
                <w:szCs w:val="20"/>
              </w:rPr>
              <w:t>,</w:t>
            </w:r>
            <w:r w:rsidRPr="001C4FE1">
              <w:rPr>
                <w:rFonts w:ascii="Calibri" w:eastAsia="Times New Roman" w:hAnsi="Calibri" w:cs="Times New Roman"/>
                <w:sz w:val="20"/>
                <w:szCs w:val="20"/>
              </w:rPr>
              <w:t>179</w:t>
            </w:r>
          </w:p>
        </w:tc>
      </w:tr>
    </w:tbl>
    <w:p w14:paraId="568CE2CC" w14:textId="77777777" w:rsidR="002A2853" w:rsidRDefault="002A2853" w:rsidP="002A2853"/>
    <w:p w14:paraId="75E5A20B" w14:textId="14B3C7C1" w:rsidR="002A2853" w:rsidRPr="00093D89" w:rsidRDefault="002A2853" w:rsidP="002A2853">
      <w:r w:rsidRPr="00093D89">
        <w:t xml:space="preserve">The analysis of use of NOACs for indications other than non-valvular atrial fibrillation shows </w:t>
      </w:r>
      <w:proofErr w:type="spellStart"/>
      <w:r w:rsidRPr="00093D89">
        <w:t>rivaroxaban</w:t>
      </w:r>
      <w:proofErr w:type="spellEnd"/>
      <w:r w:rsidRPr="00093D89">
        <w:t xml:space="preserve"> dominates the market</w:t>
      </w:r>
      <w:r>
        <w:t xml:space="preserve"> (</w:t>
      </w:r>
      <w:r>
        <w:fldChar w:fldCharType="begin"/>
      </w:r>
      <w:r>
        <w:instrText xml:space="preserve"> REF _Ref397411971 \h </w:instrText>
      </w:r>
      <w:r>
        <w:fldChar w:fldCharType="separate"/>
      </w:r>
      <w:r w:rsidR="00F25CCC">
        <w:t xml:space="preserve">Figure </w:t>
      </w:r>
      <w:r w:rsidR="00F25CCC">
        <w:rPr>
          <w:noProof/>
        </w:rPr>
        <w:t>1</w:t>
      </w:r>
      <w:r>
        <w:fldChar w:fldCharType="end"/>
      </w:r>
      <w:r>
        <w:t>)</w:t>
      </w:r>
      <w:r w:rsidRPr="00093D89">
        <w:t xml:space="preserve">. </w:t>
      </w:r>
      <w:r w:rsidR="009651CF">
        <w:t xml:space="preserve"> </w:t>
      </w:r>
      <w:r w:rsidRPr="00093D89">
        <w:t xml:space="preserve">Other than non-valvular atrial fibrillation, </w:t>
      </w:r>
      <w:proofErr w:type="spellStart"/>
      <w:r w:rsidRPr="00093D89">
        <w:t>dabigatran</w:t>
      </w:r>
      <w:proofErr w:type="spellEnd"/>
      <w:r w:rsidRPr="00093D89">
        <w:t xml:space="preserve"> and </w:t>
      </w:r>
      <w:proofErr w:type="spellStart"/>
      <w:r w:rsidRPr="00093D89">
        <w:t>apixaban</w:t>
      </w:r>
      <w:proofErr w:type="spellEnd"/>
      <w:r w:rsidRPr="00093D89">
        <w:t xml:space="preserve"> are only listed for the prevention of VTE in hip and knee replacements. </w:t>
      </w:r>
      <w:r w:rsidR="004077F8">
        <w:t xml:space="preserve"> </w:t>
      </w:r>
      <w:r>
        <w:t xml:space="preserve">In addition to </w:t>
      </w:r>
      <w:r w:rsidRPr="00093D89">
        <w:t>the prevention of VTE in hip and knee replacements</w:t>
      </w:r>
      <w:r>
        <w:t xml:space="preserve">, </w:t>
      </w:r>
      <w:proofErr w:type="spellStart"/>
      <w:r>
        <w:t>r</w:t>
      </w:r>
      <w:r w:rsidRPr="00093D89">
        <w:t>ivaroxaban</w:t>
      </w:r>
      <w:proofErr w:type="spellEnd"/>
      <w:r w:rsidRPr="00093D89">
        <w:t xml:space="preserve"> is also listed for acute symptomatic DVT, preventio</w:t>
      </w:r>
      <w:r w:rsidR="00C561CE">
        <w:t>n of recurrent VTE, and for PE.</w:t>
      </w:r>
    </w:p>
    <w:p w14:paraId="13613CBE" w14:textId="16D955BD" w:rsidR="002A2853" w:rsidRPr="00093D89" w:rsidRDefault="002A2853" w:rsidP="002A2853">
      <w:r w:rsidRPr="00093D89">
        <w:t xml:space="preserve">The use of </w:t>
      </w:r>
      <w:proofErr w:type="spellStart"/>
      <w:r w:rsidRPr="00093D89">
        <w:t>rivaroxaban</w:t>
      </w:r>
      <w:proofErr w:type="spellEnd"/>
      <w:r w:rsidRPr="00093D89">
        <w:t xml:space="preserve"> for VTE prophylaxis in hip and knee replacements is possibly higher than </w:t>
      </w:r>
      <w:proofErr w:type="spellStart"/>
      <w:r w:rsidRPr="00093D89">
        <w:t>dabigatran</w:t>
      </w:r>
      <w:proofErr w:type="spellEnd"/>
      <w:r w:rsidRPr="00093D89">
        <w:t xml:space="preserve"> and </w:t>
      </w:r>
      <w:proofErr w:type="spellStart"/>
      <w:r w:rsidRPr="00093D89">
        <w:t>apixaban</w:t>
      </w:r>
      <w:proofErr w:type="spellEnd"/>
      <w:r w:rsidRPr="00093D89">
        <w:t xml:space="preserve"> because it was the first NOA</w:t>
      </w:r>
      <w:r w:rsidR="00A13B85">
        <w:t xml:space="preserve">C listed for these indications.  </w:t>
      </w:r>
      <w:proofErr w:type="spellStart"/>
      <w:r w:rsidR="00A13B85">
        <w:t>Rivaroxaban</w:t>
      </w:r>
      <w:proofErr w:type="spellEnd"/>
      <w:r w:rsidR="00A13B85">
        <w:t xml:space="preserve"> was listed for this indication </w:t>
      </w:r>
      <w:r w:rsidRPr="00093D89">
        <w:t xml:space="preserve">eight months before </w:t>
      </w:r>
      <w:proofErr w:type="spellStart"/>
      <w:r w:rsidRPr="00093D89">
        <w:t>dabigatran</w:t>
      </w:r>
      <w:proofErr w:type="spellEnd"/>
      <w:r w:rsidRPr="00093D89">
        <w:t xml:space="preserve"> and more </w:t>
      </w:r>
      <w:r w:rsidR="00EE0544">
        <w:t xml:space="preserve">than two years before </w:t>
      </w:r>
      <w:proofErr w:type="spellStart"/>
      <w:r w:rsidR="00EE0544">
        <w:t>apixaban</w:t>
      </w:r>
      <w:proofErr w:type="spellEnd"/>
      <w:r w:rsidR="00EE0544">
        <w:t>.</w:t>
      </w:r>
      <w:r w:rsidR="00DE090C">
        <w:t xml:space="preserve">  </w:t>
      </w:r>
      <w:r w:rsidRPr="00093D89">
        <w:t xml:space="preserve">It is likely the relatively low use of </w:t>
      </w:r>
      <w:proofErr w:type="spellStart"/>
      <w:r w:rsidRPr="00093D89">
        <w:t>apixaban</w:t>
      </w:r>
      <w:proofErr w:type="spellEnd"/>
      <w:r w:rsidRPr="00093D89">
        <w:t xml:space="preserve"> is mainly due to its late entry to the market.</w:t>
      </w:r>
    </w:p>
    <w:p w14:paraId="039332CD" w14:textId="0914E0B4" w:rsidR="00A56D8A" w:rsidRDefault="00905736" w:rsidP="00C40BCC">
      <w:r>
        <w:t>U</w:t>
      </w:r>
      <w:r w:rsidR="002A2853">
        <w:t xml:space="preserve">se of </w:t>
      </w:r>
      <w:proofErr w:type="spellStart"/>
      <w:r w:rsidR="002A2853">
        <w:t>dabigatran</w:t>
      </w:r>
      <w:proofErr w:type="spellEnd"/>
      <w:r w:rsidR="002A2853">
        <w:t xml:space="preserve"> and </w:t>
      </w:r>
      <w:proofErr w:type="spellStart"/>
      <w:r w:rsidR="002A2853">
        <w:t>apixaban</w:t>
      </w:r>
      <w:proofErr w:type="spellEnd"/>
      <w:r w:rsidR="002A2853">
        <w:t xml:space="preserve"> for VTE prophylaxis in hip and knee replacement is low and stable; relative to the trend for </w:t>
      </w:r>
      <w:proofErr w:type="spellStart"/>
      <w:r w:rsidR="002A2853">
        <w:t>rivaroxaban</w:t>
      </w:r>
      <w:proofErr w:type="spellEnd"/>
      <w:r w:rsidR="002A2853">
        <w:t xml:space="preserve">, as additional indications have been PBS listed. Therefore the remainder of this analysis will focus on </w:t>
      </w:r>
      <w:proofErr w:type="spellStart"/>
      <w:r w:rsidR="002A2853">
        <w:t>rivaroxaban</w:t>
      </w:r>
      <w:proofErr w:type="spellEnd"/>
      <w:r w:rsidR="002A2853">
        <w:t xml:space="preserve"> use in non-AF indications.</w:t>
      </w:r>
    </w:p>
    <w:p w14:paraId="355819D2" w14:textId="18F91C55" w:rsidR="00D419DF" w:rsidRDefault="00D419DF" w:rsidP="00C40BCC">
      <w:r w:rsidRPr="00D419DF">
        <w:t>The DUSC considered that the use of NOACs for the prevention of VTE in hip and knee replacements has remained quite low and stable since it was reviewed in June 2011, as expected for a short term treatment for a limited patient group.</w:t>
      </w:r>
    </w:p>
    <w:p w14:paraId="3860C3DF" w14:textId="4E462E1F" w:rsidR="00E0733E" w:rsidRDefault="00C0246B" w:rsidP="00C40BCC">
      <w:proofErr w:type="spellStart"/>
      <w:r>
        <w:rPr>
          <w:i/>
        </w:rPr>
        <w:t>Rivaroxaban</w:t>
      </w:r>
      <w:proofErr w:type="spellEnd"/>
    </w:p>
    <w:p w14:paraId="75642823" w14:textId="69FD4F76" w:rsidR="00C0246B" w:rsidRDefault="007C5C55" w:rsidP="00C40BCC">
      <w:r>
        <w:t xml:space="preserve">The number of prescriptions supplied for </w:t>
      </w:r>
      <w:proofErr w:type="spellStart"/>
      <w:r>
        <w:t>rivaroxaban</w:t>
      </w:r>
      <w:proofErr w:type="spellEnd"/>
      <w:r>
        <w:t xml:space="preserve"> by indication, excluding AF, is shown in Figure 2.</w:t>
      </w:r>
    </w:p>
    <w:p w14:paraId="209FF18F" w14:textId="77777777" w:rsidR="00926927" w:rsidRDefault="00926927" w:rsidP="00C40BCC"/>
    <w:p w14:paraId="3215392B" w14:textId="6EEF1B46" w:rsidR="00926927" w:rsidRDefault="00926927" w:rsidP="00926927">
      <w:pPr>
        <w:keepNext/>
        <w:rPr>
          <w:highlight w:val="yellow"/>
        </w:rPr>
      </w:pPr>
      <w:r>
        <w:rPr>
          <w:noProof/>
        </w:rPr>
        <w:lastRenderedPageBreak/>
        <w:drawing>
          <wp:inline distT="0" distB="0" distL="0" distR="0" wp14:anchorId="4E5A0FBD" wp14:editId="701AA138">
            <wp:extent cx="5691352" cy="4524704"/>
            <wp:effectExtent l="0" t="0" r="2413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33F01BB" w14:textId="77777777" w:rsidR="00926927" w:rsidRDefault="00926927" w:rsidP="00926927">
      <w:pPr>
        <w:pStyle w:val="Figuretitle"/>
      </w:pPr>
      <w:bookmarkStart w:id="2" w:name="_Ref397412116"/>
      <w:r w:rsidRPr="0049600A">
        <w:t xml:space="preserve">Figure </w:t>
      </w:r>
      <w:r>
        <w:fldChar w:fldCharType="begin"/>
      </w:r>
      <w:r>
        <w:instrText xml:space="preserve"> SEQ Figure \* ARABIC </w:instrText>
      </w:r>
      <w:r>
        <w:fldChar w:fldCharType="separate"/>
      </w:r>
      <w:r w:rsidR="00F25CCC">
        <w:rPr>
          <w:noProof/>
        </w:rPr>
        <w:t>2</w:t>
      </w:r>
      <w:r>
        <w:rPr>
          <w:noProof/>
        </w:rPr>
        <w:fldChar w:fldCharType="end"/>
      </w:r>
      <w:bookmarkEnd w:id="2"/>
      <w:r w:rsidRPr="0049600A">
        <w:t xml:space="preserve">: </w:t>
      </w:r>
      <w:r>
        <w:t>Prescriptions supplied for</w:t>
      </w:r>
      <w:r w:rsidRPr="0049600A">
        <w:t xml:space="preserve"> </w:t>
      </w:r>
      <w:proofErr w:type="spellStart"/>
      <w:r w:rsidRPr="0049600A">
        <w:t>rivaroxaban</w:t>
      </w:r>
      <w:proofErr w:type="spellEnd"/>
      <w:r>
        <w:t xml:space="preserve"> by indication (using streamlined code to determine indication) from June 2012.</w:t>
      </w:r>
    </w:p>
    <w:p w14:paraId="53325E57" w14:textId="77777777" w:rsidR="00926927" w:rsidRPr="00D53AD7" w:rsidRDefault="00926927" w:rsidP="00926927">
      <w:pPr>
        <w:pStyle w:val="Figurecaption"/>
      </w:pPr>
      <w:r>
        <w:t>PBS item codes for prevention of VTE in hip and knee replacements are included. PBS item codes and streamlined codes for AF are not included.</w:t>
      </w:r>
    </w:p>
    <w:p w14:paraId="593E803C" w14:textId="77777777" w:rsidR="003474B7" w:rsidRDefault="003474B7" w:rsidP="00C40BCC"/>
    <w:p w14:paraId="19A3C9F2" w14:textId="272C3B70" w:rsidR="00025D72" w:rsidRDefault="00025D72" w:rsidP="00025D72">
      <w:r>
        <w:t xml:space="preserve">Prior to the listing of </w:t>
      </w:r>
      <w:proofErr w:type="spellStart"/>
      <w:r>
        <w:t>rivaroxaban</w:t>
      </w:r>
      <w:proofErr w:type="spellEnd"/>
      <w:r>
        <w:t xml:space="preserve"> for DVT in December 2012, </w:t>
      </w:r>
      <w:proofErr w:type="spellStart"/>
      <w:r>
        <w:t>rivaroxaban</w:t>
      </w:r>
      <w:proofErr w:type="spellEnd"/>
      <w:r>
        <w:t xml:space="preserve"> was PBS listed for prevention of VTE in hip and knee replacements.</w:t>
      </w:r>
      <w:r w:rsidR="00011BC8">
        <w:t xml:space="preserve"> </w:t>
      </w:r>
      <w:r>
        <w:t xml:space="preserve"> The listing for prevention of VTE in hip and knee replacements was an Authority </w:t>
      </w:r>
      <w:proofErr w:type="gramStart"/>
      <w:r>
        <w:t>Required</w:t>
      </w:r>
      <w:proofErr w:type="gramEnd"/>
      <w:r>
        <w:t xml:space="preserve"> listing until it was streamlined on 1 January 2014.</w:t>
      </w:r>
      <w:r w:rsidR="00D47C99">
        <w:t xml:space="preserve"> </w:t>
      </w:r>
      <w:r>
        <w:t xml:space="preserve"> Until January 2014 nearly all the use of </w:t>
      </w:r>
      <w:proofErr w:type="spellStart"/>
      <w:r>
        <w:t>rivaroxaban</w:t>
      </w:r>
      <w:proofErr w:type="spellEnd"/>
      <w:r>
        <w:t xml:space="preserve"> for prevention of VTE in hip and knee replacements is represented by zero or blank val</w:t>
      </w:r>
      <w:r w:rsidR="00402D54">
        <w:t>ues, as these prescriptions were</w:t>
      </w:r>
      <w:r>
        <w:t xml:space="preserve"> approved through the </w:t>
      </w:r>
      <w:r w:rsidR="00402D54">
        <w:t>prior approval</w:t>
      </w:r>
      <w:r>
        <w:t xml:space="preserve"> authority system</w:t>
      </w:r>
      <w:r w:rsidR="00402D54">
        <w:t xml:space="preserve"> (usually via telephone)</w:t>
      </w:r>
      <w:r w:rsidR="008B0486">
        <w:t>.</w:t>
      </w:r>
    </w:p>
    <w:p w14:paraId="455970D1" w14:textId="765230A5" w:rsidR="00025D72" w:rsidRDefault="00025D72" w:rsidP="00025D72">
      <w:r>
        <w:t xml:space="preserve">Since 1 January 2014, all </w:t>
      </w:r>
      <w:proofErr w:type="spellStart"/>
      <w:r>
        <w:t>rivaroxaban</w:t>
      </w:r>
      <w:proofErr w:type="spellEnd"/>
      <w:r>
        <w:t xml:space="preserve"> indications have been listed as Authority Required (STREAMLINED).</w:t>
      </w:r>
      <w:r w:rsidR="000576E3">
        <w:t xml:space="preserve"> </w:t>
      </w:r>
      <w:r>
        <w:t xml:space="preserve"> However, in the three months since 1 January 2014, a small number of </w:t>
      </w:r>
      <w:proofErr w:type="spellStart"/>
      <w:r>
        <w:t>rivaroxaban</w:t>
      </w:r>
      <w:proofErr w:type="spellEnd"/>
      <w:r>
        <w:t xml:space="preserve"> prescriptions are missing the streamlined code.</w:t>
      </w:r>
      <w:r w:rsidR="00BF4D9B">
        <w:t xml:space="preserve">  </w:t>
      </w:r>
      <w:r>
        <w:t xml:space="preserve">While blank streamlined codes often represent cases where a telephone authority for increased quantities or repeats has been sought, every PBS listing for </w:t>
      </w:r>
      <w:proofErr w:type="spellStart"/>
      <w:r>
        <w:t>rivaroxaban</w:t>
      </w:r>
      <w:proofErr w:type="spellEnd"/>
      <w:r>
        <w:t xml:space="preserve"> has a note stating no increase in the maximum quantity or number of units may be authorised and no increase in the maximum number of repeats may be authorised. </w:t>
      </w:r>
      <w:r w:rsidR="00FC08DA">
        <w:t xml:space="preserve"> </w:t>
      </w:r>
      <w:r>
        <w:t xml:space="preserve">It is possible that in transitioning from telephone to streamlined authority, some prescribers have continued to phone for authority; these </w:t>
      </w:r>
      <w:r>
        <w:lastRenderedPageBreak/>
        <w:t xml:space="preserve">prescriptions would appear in the data with a blank streamlined code. </w:t>
      </w:r>
      <w:r w:rsidR="00AC1E65">
        <w:t xml:space="preserve"> </w:t>
      </w:r>
      <w:r>
        <w:t xml:space="preserve">It is likely that the number of blank codes will decrease as prescribers become familiar with the change. </w:t>
      </w:r>
    </w:p>
    <w:p w14:paraId="3B412EAC" w14:textId="6E889DFC" w:rsidR="004A3820" w:rsidRDefault="00025D72" w:rsidP="00025D72">
      <w:r>
        <w:t xml:space="preserve">Generally the use of </w:t>
      </w:r>
      <w:proofErr w:type="spellStart"/>
      <w:r>
        <w:t>rivaroxaban</w:t>
      </w:r>
      <w:proofErr w:type="spellEnd"/>
      <w:r>
        <w:t xml:space="preserve"> for prevention of VTE in hip and knee replacements is relatively low and stable. </w:t>
      </w:r>
      <w:r w:rsidR="00DA5569">
        <w:t xml:space="preserve"> </w:t>
      </w:r>
      <w:r>
        <w:t xml:space="preserve">Use of </w:t>
      </w:r>
      <w:proofErr w:type="spellStart"/>
      <w:r>
        <w:t>rivaroxaban</w:t>
      </w:r>
      <w:proofErr w:type="spellEnd"/>
      <w:r>
        <w:t xml:space="preserve"> did begin to increase in December of 2012, due to the listing of acute symptomatic DVT and recurrent VTE, and then increased further from August 2013 when it was listed for pulmonary embolism. </w:t>
      </w:r>
      <w:r w:rsidR="004B559D">
        <w:t xml:space="preserve"> </w:t>
      </w:r>
      <w:r>
        <w:t xml:space="preserve">Use of </w:t>
      </w:r>
      <w:proofErr w:type="spellStart"/>
      <w:r>
        <w:t>riva</w:t>
      </w:r>
      <w:r w:rsidR="00CA174A">
        <w:t>roxaban</w:t>
      </w:r>
      <w:proofErr w:type="spellEnd"/>
      <w:r w:rsidR="00CA174A">
        <w:t xml:space="preserve"> for treatment of DVT,</w:t>
      </w:r>
      <w:r>
        <w:t xml:space="preserve"> PE and prevention of VTE, is</w:t>
      </w:r>
      <w:r w:rsidR="00D91213">
        <w:t xml:space="preserve"> steadily increasing, as can be seen in Figure 2.</w:t>
      </w:r>
    </w:p>
    <w:p w14:paraId="09829E6E" w14:textId="730495E2" w:rsidR="00621717" w:rsidRDefault="00621717" w:rsidP="00025D72">
      <w:r>
        <w:t xml:space="preserve">Table 5 shows the number of prescriptions for </w:t>
      </w:r>
      <w:proofErr w:type="spellStart"/>
      <w:r>
        <w:t>rivaroxaban</w:t>
      </w:r>
      <w:proofErr w:type="spellEnd"/>
      <w:r>
        <w:t xml:space="preserve"> for indications other than AF for the twelve months to March 2014.</w:t>
      </w:r>
    </w:p>
    <w:p w14:paraId="28CD8DD1" w14:textId="77777777" w:rsidR="008E3C3F" w:rsidRDefault="008E3C3F" w:rsidP="008E3C3F">
      <w:pPr>
        <w:pStyle w:val="Tabletitle"/>
      </w:pPr>
      <w:r>
        <w:t xml:space="preserve">Table </w:t>
      </w:r>
      <w:fldSimple w:instr=" SEQ Table \* ARABIC ">
        <w:r w:rsidR="00F25CCC">
          <w:rPr>
            <w:noProof/>
          </w:rPr>
          <w:t>5</w:t>
        </w:r>
      </w:fldSimple>
      <w:r>
        <w:t xml:space="preserve">: Number of prescriptions and percentage of total for </w:t>
      </w:r>
      <w:proofErr w:type="spellStart"/>
      <w:r>
        <w:t>rivaroxaban</w:t>
      </w:r>
      <w:proofErr w:type="spellEnd"/>
      <w:r>
        <w:t xml:space="preserve"> for the most recent 12 months of available data (April 2013 to March 2014), excluding AF</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1843"/>
        <w:gridCol w:w="1417"/>
        <w:gridCol w:w="1418"/>
        <w:gridCol w:w="1134"/>
        <w:gridCol w:w="850"/>
        <w:gridCol w:w="985"/>
      </w:tblGrid>
      <w:tr w:rsidR="008E3C3F" w:rsidRPr="00322356" w14:paraId="04B466A5" w14:textId="77777777" w:rsidTr="00F33DD4">
        <w:trPr>
          <w:trHeight w:val="300"/>
        </w:trPr>
        <w:tc>
          <w:tcPr>
            <w:tcW w:w="1433" w:type="dxa"/>
            <w:shd w:val="clear" w:color="auto" w:fill="BFBFBF" w:themeFill="background1" w:themeFillShade="BF"/>
            <w:noWrap/>
            <w:vAlign w:val="bottom"/>
            <w:hideMark/>
          </w:tcPr>
          <w:p w14:paraId="70C65600" w14:textId="77777777" w:rsidR="008E3C3F" w:rsidRPr="00322356" w:rsidRDefault="008E3C3F" w:rsidP="00F33DD4">
            <w:pPr>
              <w:pStyle w:val="Tableheading"/>
              <w:rPr>
                <w:sz w:val="20"/>
                <w:szCs w:val="20"/>
              </w:rPr>
            </w:pPr>
            <w:r w:rsidRPr="00322356">
              <w:rPr>
                <w:sz w:val="20"/>
                <w:szCs w:val="20"/>
              </w:rPr>
              <w:t>Acute symptomatic deep vein thrombosis</w:t>
            </w:r>
          </w:p>
        </w:tc>
        <w:tc>
          <w:tcPr>
            <w:tcW w:w="1843" w:type="dxa"/>
            <w:shd w:val="clear" w:color="auto" w:fill="BFBFBF" w:themeFill="background1" w:themeFillShade="BF"/>
            <w:noWrap/>
            <w:vAlign w:val="bottom"/>
            <w:hideMark/>
          </w:tcPr>
          <w:p w14:paraId="03DE3E5B" w14:textId="77777777" w:rsidR="008E3C3F" w:rsidRPr="00322356" w:rsidRDefault="008E3C3F" w:rsidP="00F33DD4">
            <w:pPr>
              <w:pStyle w:val="Tableheading"/>
              <w:rPr>
                <w:sz w:val="20"/>
                <w:szCs w:val="20"/>
              </w:rPr>
            </w:pPr>
            <w:r w:rsidRPr="00322356">
              <w:rPr>
                <w:sz w:val="20"/>
                <w:szCs w:val="20"/>
              </w:rPr>
              <w:t>Prevention of recurrent venous thromboembolism</w:t>
            </w:r>
          </w:p>
        </w:tc>
        <w:tc>
          <w:tcPr>
            <w:tcW w:w="1417" w:type="dxa"/>
            <w:shd w:val="clear" w:color="auto" w:fill="BFBFBF" w:themeFill="background1" w:themeFillShade="BF"/>
            <w:noWrap/>
            <w:vAlign w:val="bottom"/>
            <w:hideMark/>
          </w:tcPr>
          <w:p w14:paraId="000AE262" w14:textId="77777777" w:rsidR="008E3C3F" w:rsidRPr="00322356" w:rsidRDefault="008E3C3F" w:rsidP="00F33DD4">
            <w:pPr>
              <w:pStyle w:val="Tableheading"/>
              <w:rPr>
                <w:sz w:val="20"/>
                <w:szCs w:val="20"/>
              </w:rPr>
            </w:pPr>
            <w:r w:rsidRPr="00322356">
              <w:rPr>
                <w:sz w:val="20"/>
                <w:szCs w:val="20"/>
              </w:rPr>
              <w:t>Prevention of VTE in hip replacements</w:t>
            </w:r>
          </w:p>
        </w:tc>
        <w:tc>
          <w:tcPr>
            <w:tcW w:w="1418" w:type="dxa"/>
            <w:shd w:val="clear" w:color="auto" w:fill="BFBFBF" w:themeFill="background1" w:themeFillShade="BF"/>
            <w:noWrap/>
            <w:vAlign w:val="bottom"/>
            <w:hideMark/>
          </w:tcPr>
          <w:p w14:paraId="3C9B7B5B" w14:textId="77777777" w:rsidR="008E3C3F" w:rsidRPr="00322356" w:rsidRDefault="008E3C3F" w:rsidP="00F33DD4">
            <w:pPr>
              <w:pStyle w:val="Tableheading"/>
              <w:rPr>
                <w:sz w:val="20"/>
                <w:szCs w:val="20"/>
              </w:rPr>
            </w:pPr>
            <w:r w:rsidRPr="00322356">
              <w:rPr>
                <w:sz w:val="20"/>
                <w:szCs w:val="20"/>
              </w:rPr>
              <w:t>Prevention of VTE in knee replacements</w:t>
            </w:r>
          </w:p>
        </w:tc>
        <w:tc>
          <w:tcPr>
            <w:tcW w:w="1134" w:type="dxa"/>
            <w:shd w:val="clear" w:color="auto" w:fill="BFBFBF" w:themeFill="background1" w:themeFillShade="BF"/>
            <w:noWrap/>
            <w:vAlign w:val="bottom"/>
            <w:hideMark/>
          </w:tcPr>
          <w:p w14:paraId="33D81CEA" w14:textId="77777777" w:rsidR="008E3C3F" w:rsidRPr="00322356" w:rsidRDefault="008E3C3F" w:rsidP="00F33DD4">
            <w:pPr>
              <w:pStyle w:val="Tableheading"/>
              <w:rPr>
                <w:sz w:val="20"/>
                <w:szCs w:val="20"/>
              </w:rPr>
            </w:pPr>
            <w:r w:rsidRPr="00322356">
              <w:rPr>
                <w:sz w:val="20"/>
                <w:szCs w:val="20"/>
              </w:rPr>
              <w:t>Pulmonary embolism</w:t>
            </w:r>
          </w:p>
        </w:tc>
        <w:tc>
          <w:tcPr>
            <w:tcW w:w="850" w:type="dxa"/>
            <w:shd w:val="clear" w:color="auto" w:fill="BFBFBF" w:themeFill="background1" w:themeFillShade="BF"/>
            <w:noWrap/>
            <w:vAlign w:val="bottom"/>
            <w:hideMark/>
          </w:tcPr>
          <w:p w14:paraId="04DA0FBC" w14:textId="77777777" w:rsidR="008E3C3F" w:rsidRPr="00322356" w:rsidRDefault="008E3C3F" w:rsidP="00F33DD4">
            <w:pPr>
              <w:pStyle w:val="Tableheading"/>
              <w:rPr>
                <w:sz w:val="20"/>
                <w:szCs w:val="20"/>
              </w:rPr>
            </w:pPr>
            <w:r w:rsidRPr="00322356">
              <w:rPr>
                <w:sz w:val="20"/>
                <w:szCs w:val="20"/>
              </w:rPr>
              <w:t>Zero or blank value</w:t>
            </w:r>
          </w:p>
        </w:tc>
        <w:tc>
          <w:tcPr>
            <w:tcW w:w="985" w:type="dxa"/>
            <w:shd w:val="clear" w:color="auto" w:fill="BFBFBF" w:themeFill="background1" w:themeFillShade="BF"/>
            <w:noWrap/>
            <w:vAlign w:val="bottom"/>
            <w:hideMark/>
          </w:tcPr>
          <w:p w14:paraId="3C9A40CA" w14:textId="77777777" w:rsidR="008E3C3F" w:rsidRPr="00322356" w:rsidRDefault="008E3C3F" w:rsidP="00F33DD4">
            <w:pPr>
              <w:pStyle w:val="Tableheading"/>
              <w:rPr>
                <w:sz w:val="20"/>
                <w:szCs w:val="20"/>
              </w:rPr>
            </w:pPr>
            <w:r w:rsidRPr="00322356">
              <w:rPr>
                <w:sz w:val="20"/>
                <w:szCs w:val="20"/>
              </w:rPr>
              <w:t>Total</w:t>
            </w:r>
          </w:p>
        </w:tc>
      </w:tr>
      <w:tr w:rsidR="008E3C3F" w:rsidRPr="00322356" w14:paraId="083174A1" w14:textId="77777777" w:rsidTr="00F33DD4">
        <w:trPr>
          <w:trHeight w:val="300"/>
        </w:trPr>
        <w:tc>
          <w:tcPr>
            <w:tcW w:w="1433" w:type="dxa"/>
            <w:shd w:val="clear" w:color="auto" w:fill="auto"/>
            <w:noWrap/>
            <w:vAlign w:val="center"/>
            <w:hideMark/>
          </w:tcPr>
          <w:p w14:paraId="17D27294" w14:textId="77777777" w:rsidR="008E3C3F" w:rsidRPr="00322356" w:rsidRDefault="008E3C3F" w:rsidP="00F33DD4">
            <w:pPr>
              <w:spacing w:after="0"/>
              <w:jc w:val="right"/>
              <w:rPr>
                <w:rFonts w:ascii="Calibri" w:eastAsia="Times New Roman" w:hAnsi="Calibri" w:cs="Times New Roman"/>
                <w:sz w:val="20"/>
                <w:szCs w:val="20"/>
              </w:rPr>
            </w:pPr>
            <w:r w:rsidRPr="00322356">
              <w:rPr>
                <w:rFonts w:ascii="Calibri" w:eastAsia="Times New Roman" w:hAnsi="Calibri" w:cs="Times New Roman"/>
                <w:sz w:val="20"/>
                <w:szCs w:val="20"/>
              </w:rPr>
              <w:t xml:space="preserve">         42,977 </w:t>
            </w:r>
          </w:p>
        </w:tc>
        <w:tc>
          <w:tcPr>
            <w:tcW w:w="1843" w:type="dxa"/>
            <w:shd w:val="clear" w:color="auto" w:fill="auto"/>
            <w:noWrap/>
            <w:vAlign w:val="center"/>
            <w:hideMark/>
          </w:tcPr>
          <w:p w14:paraId="7F8258CD" w14:textId="77777777" w:rsidR="008E3C3F" w:rsidRPr="00322356" w:rsidRDefault="008E3C3F" w:rsidP="00F33DD4">
            <w:pPr>
              <w:spacing w:after="0"/>
              <w:jc w:val="right"/>
              <w:rPr>
                <w:rFonts w:ascii="Calibri" w:eastAsia="Times New Roman" w:hAnsi="Calibri" w:cs="Times New Roman"/>
                <w:sz w:val="20"/>
                <w:szCs w:val="20"/>
              </w:rPr>
            </w:pPr>
            <w:r w:rsidRPr="00322356">
              <w:rPr>
                <w:rFonts w:ascii="Calibri" w:eastAsia="Times New Roman" w:hAnsi="Calibri" w:cs="Times New Roman"/>
                <w:sz w:val="20"/>
                <w:szCs w:val="20"/>
              </w:rPr>
              <w:t xml:space="preserve">         38,063 </w:t>
            </w:r>
          </w:p>
        </w:tc>
        <w:tc>
          <w:tcPr>
            <w:tcW w:w="1417" w:type="dxa"/>
            <w:shd w:val="clear" w:color="auto" w:fill="auto"/>
            <w:noWrap/>
            <w:vAlign w:val="center"/>
            <w:hideMark/>
          </w:tcPr>
          <w:p w14:paraId="4695A3CA" w14:textId="77777777" w:rsidR="008E3C3F" w:rsidRPr="00322356" w:rsidRDefault="008E3C3F" w:rsidP="00F33DD4">
            <w:pPr>
              <w:spacing w:after="0"/>
              <w:jc w:val="right"/>
              <w:rPr>
                <w:rFonts w:ascii="Calibri" w:eastAsia="Times New Roman" w:hAnsi="Calibri" w:cs="Times New Roman"/>
                <w:sz w:val="20"/>
                <w:szCs w:val="20"/>
              </w:rPr>
            </w:pPr>
            <w:r w:rsidRPr="00322356">
              <w:rPr>
                <w:rFonts w:ascii="Calibri" w:eastAsia="Times New Roman" w:hAnsi="Calibri" w:cs="Times New Roman"/>
                <w:sz w:val="20"/>
                <w:szCs w:val="20"/>
              </w:rPr>
              <w:t xml:space="preserve">         2,036 </w:t>
            </w:r>
          </w:p>
        </w:tc>
        <w:tc>
          <w:tcPr>
            <w:tcW w:w="1418" w:type="dxa"/>
            <w:shd w:val="clear" w:color="auto" w:fill="auto"/>
            <w:noWrap/>
            <w:vAlign w:val="center"/>
            <w:hideMark/>
          </w:tcPr>
          <w:p w14:paraId="75B944D6" w14:textId="77777777" w:rsidR="008E3C3F" w:rsidRPr="00322356" w:rsidRDefault="008E3C3F" w:rsidP="00F33DD4">
            <w:pPr>
              <w:spacing w:after="0"/>
              <w:jc w:val="right"/>
              <w:rPr>
                <w:rFonts w:ascii="Calibri" w:eastAsia="Times New Roman" w:hAnsi="Calibri" w:cs="Times New Roman"/>
                <w:sz w:val="20"/>
                <w:szCs w:val="20"/>
              </w:rPr>
            </w:pPr>
            <w:r w:rsidRPr="00322356">
              <w:rPr>
                <w:rFonts w:ascii="Calibri" w:eastAsia="Times New Roman" w:hAnsi="Calibri" w:cs="Times New Roman"/>
                <w:sz w:val="20"/>
                <w:szCs w:val="20"/>
              </w:rPr>
              <w:t xml:space="preserve">         1,743 </w:t>
            </w:r>
          </w:p>
        </w:tc>
        <w:tc>
          <w:tcPr>
            <w:tcW w:w="1134" w:type="dxa"/>
            <w:shd w:val="clear" w:color="auto" w:fill="auto"/>
            <w:noWrap/>
            <w:vAlign w:val="center"/>
            <w:hideMark/>
          </w:tcPr>
          <w:p w14:paraId="5F92B862" w14:textId="77777777" w:rsidR="008E3C3F" w:rsidRPr="00322356" w:rsidRDefault="008E3C3F" w:rsidP="00F33DD4">
            <w:pPr>
              <w:spacing w:after="0"/>
              <w:jc w:val="right"/>
              <w:rPr>
                <w:rFonts w:ascii="Calibri" w:eastAsia="Times New Roman" w:hAnsi="Calibri" w:cs="Times New Roman"/>
                <w:sz w:val="20"/>
                <w:szCs w:val="20"/>
              </w:rPr>
            </w:pPr>
            <w:r w:rsidRPr="00322356">
              <w:rPr>
                <w:rFonts w:ascii="Calibri" w:eastAsia="Times New Roman" w:hAnsi="Calibri" w:cs="Times New Roman"/>
                <w:sz w:val="20"/>
                <w:szCs w:val="20"/>
              </w:rPr>
              <w:t xml:space="preserve">       12,878 </w:t>
            </w:r>
          </w:p>
        </w:tc>
        <w:tc>
          <w:tcPr>
            <w:tcW w:w="850" w:type="dxa"/>
            <w:shd w:val="clear" w:color="auto" w:fill="auto"/>
            <w:noWrap/>
            <w:vAlign w:val="center"/>
            <w:hideMark/>
          </w:tcPr>
          <w:p w14:paraId="1AB85DFF" w14:textId="77777777" w:rsidR="008E3C3F" w:rsidRPr="00322356" w:rsidRDefault="008E3C3F" w:rsidP="00F33DD4">
            <w:pPr>
              <w:spacing w:after="0"/>
              <w:jc w:val="right"/>
              <w:rPr>
                <w:rFonts w:ascii="Calibri" w:eastAsia="Times New Roman" w:hAnsi="Calibri" w:cs="Times New Roman"/>
                <w:sz w:val="20"/>
                <w:szCs w:val="20"/>
              </w:rPr>
            </w:pPr>
            <w:r w:rsidRPr="00322356">
              <w:rPr>
                <w:rFonts w:ascii="Calibri" w:eastAsia="Times New Roman" w:hAnsi="Calibri" w:cs="Times New Roman"/>
                <w:sz w:val="20"/>
                <w:szCs w:val="20"/>
              </w:rPr>
              <w:t xml:space="preserve">17,482 </w:t>
            </w:r>
          </w:p>
        </w:tc>
        <w:tc>
          <w:tcPr>
            <w:tcW w:w="985" w:type="dxa"/>
            <w:shd w:val="clear" w:color="auto" w:fill="auto"/>
            <w:noWrap/>
            <w:vAlign w:val="center"/>
            <w:hideMark/>
          </w:tcPr>
          <w:p w14:paraId="2DFAC3AC" w14:textId="77777777" w:rsidR="008E3C3F" w:rsidRPr="00322356" w:rsidRDefault="008E3C3F" w:rsidP="00F33DD4">
            <w:pPr>
              <w:spacing w:after="0"/>
              <w:jc w:val="right"/>
              <w:rPr>
                <w:rFonts w:ascii="Calibri" w:eastAsia="Times New Roman" w:hAnsi="Calibri" w:cs="Times New Roman"/>
                <w:sz w:val="20"/>
                <w:szCs w:val="20"/>
              </w:rPr>
            </w:pPr>
            <w:r w:rsidRPr="00322356">
              <w:rPr>
                <w:rFonts w:ascii="Calibri" w:eastAsia="Times New Roman" w:hAnsi="Calibri" w:cs="Times New Roman"/>
                <w:sz w:val="20"/>
                <w:szCs w:val="20"/>
              </w:rPr>
              <w:t xml:space="preserve">115,179 </w:t>
            </w:r>
          </w:p>
        </w:tc>
      </w:tr>
      <w:tr w:rsidR="008E3C3F" w:rsidRPr="00322356" w14:paraId="3FF2F175" w14:textId="77777777" w:rsidTr="00F33DD4">
        <w:trPr>
          <w:trHeight w:val="300"/>
        </w:trPr>
        <w:tc>
          <w:tcPr>
            <w:tcW w:w="1433" w:type="dxa"/>
            <w:shd w:val="clear" w:color="auto" w:fill="auto"/>
            <w:noWrap/>
            <w:vAlign w:val="center"/>
            <w:hideMark/>
          </w:tcPr>
          <w:p w14:paraId="6C54017A" w14:textId="77777777" w:rsidR="008E3C3F" w:rsidRPr="00322356" w:rsidRDefault="008E3C3F" w:rsidP="00F33DD4">
            <w:pPr>
              <w:spacing w:after="0"/>
              <w:jc w:val="right"/>
              <w:rPr>
                <w:rFonts w:ascii="Calibri" w:eastAsia="Times New Roman" w:hAnsi="Calibri" w:cs="Times New Roman"/>
                <w:sz w:val="20"/>
                <w:szCs w:val="20"/>
              </w:rPr>
            </w:pPr>
            <w:r w:rsidRPr="00322356">
              <w:rPr>
                <w:rFonts w:ascii="Calibri" w:eastAsia="Times New Roman" w:hAnsi="Calibri" w:cs="Times New Roman"/>
                <w:sz w:val="20"/>
                <w:szCs w:val="20"/>
              </w:rPr>
              <w:t>37%</w:t>
            </w:r>
          </w:p>
        </w:tc>
        <w:tc>
          <w:tcPr>
            <w:tcW w:w="1843" w:type="dxa"/>
            <w:shd w:val="clear" w:color="auto" w:fill="auto"/>
            <w:noWrap/>
            <w:vAlign w:val="center"/>
            <w:hideMark/>
          </w:tcPr>
          <w:p w14:paraId="6DC99FFA" w14:textId="77777777" w:rsidR="008E3C3F" w:rsidRPr="00322356" w:rsidRDefault="008E3C3F" w:rsidP="00F33DD4">
            <w:pPr>
              <w:spacing w:after="0"/>
              <w:jc w:val="right"/>
              <w:rPr>
                <w:rFonts w:ascii="Calibri" w:eastAsia="Times New Roman" w:hAnsi="Calibri" w:cs="Times New Roman"/>
                <w:sz w:val="20"/>
                <w:szCs w:val="20"/>
              </w:rPr>
            </w:pPr>
            <w:r w:rsidRPr="00322356">
              <w:rPr>
                <w:rFonts w:ascii="Calibri" w:eastAsia="Times New Roman" w:hAnsi="Calibri" w:cs="Times New Roman"/>
                <w:sz w:val="20"/>
                <w:szCs w:val="20"/>
              </w:rPr>
              <w:t>33%</w:t>
            </w:r>
          </w:p>
        </w:tc>
        <w:tc>
          <w:tcPr>
            <w:tcW w:w="1417" w:type="dxa"/>
            <w:shd w:val="clear" w:color="auto" w:fill="auto"/>
            <w:noWrap/>
            <w:vAlign w:val="center"/>
            <w:hideMark/>
          </w:tcPr>
          <w:p w14:paraId="6B0B20FF" w14:textId="77777777" w:rsidR="008E3C3F" w:rsidRPr="00322356" w:rsidRDefault="008E3C3F" w:rsidP="00F33DD4">
            <w:pPr>
              <w:spacing w:after="0"/>
              <w:jc w:val="right"/>
              <w:rPr>
                <w:rFonts w:ascii="Calibri" w:eastAsia="Times New Roman" w:hAnsi="Calibri" w:cs="Times New Roman"/>
                <w:sz w:val="20"/>
                <w:szCs w:val="20"/>
              </w:rPr>
            </w:pPr>
            <w:r w:rsidRPr="00322356">
              <w:rPr>
                <w:rFonts w:ascii="Calibri" w:eastAsia="Times New Roman" w:hAnsi="Calibri" w:cs="Times New Roman"/>
                <w:sz w:val="20"/>
                <w:szCs w:val="20"/>
              </w:rPr>
              <w:t>2%</w:t>
            </w:r>
          </w:p>
        </w:tc>
        <w:tc>
          <w:tcPr>
            <w:tcW w:w="1418" w:type="dxa"/>
            <w:shd w:val="clear" w:color="auto" w:fill="auto"/>
            <w:noWrap/>
            <w:vAlign w:val="center"/>
            <w:hideMark/>
          </w:tcPr>
          <w:p w14:paraId="24FDB520" w14:textId="77777777" w:rsidR="008E3C3F" w:rsidRPr="00322356" w:rsidRDefault="008E3C3F" w:rsidP="00F33DD4">
            <w:pPr>
              <w:spacing w:after="0"/>
              <w:jc w:val="right"/>
              <w:rPr>
                <w:rFonts w:ascii="Calibri" w:eastAsia="Times New Roman" w:hAnsi="Calibri" w:cs="Times New Roman"/>
                <w:sz w:val="20"/>
                <w:szCs w:val="20"/>
              </w:rPr>
            </w:pPr>
            <w:r w:rsidRPr="00322356">
              <w:rPr>
                <w:rFonts w:ascii="Calibri" w:eastAsia="Times New Roman" w:hAnsi="Calibri" w:cs="Times New Roman"/>
                <w:sz w:val="20"/>
                <w:szCs w:val="20"/>
              </w:rPr>
              <w:t>2%</w:t>
            </w:r>
          </w:p>
        </w:tc>
        <w:tc>
          <w:tcPr>
            <w:tcW w:w="1134" w:type="dxa"/>
            <w:shd w:val="clear" w:color="auto" w:fill="auto"/>
            <w:noWrap/>
            <w:vAlign w:val="center"/>
            <w:hideMark/>
          </w:tcPr>
          <w:p w14:paraId="341A420D" w14:textId="77777777" w:rsidR="008E3C3F" w:rsidRPr="00322356" w:rsidRDefault="008E3C3F" w:rsidP="00F33DD4">
            <w:pPr>
              <w:spacing w:after="0"/>
              <w:jc w:val="right"/>
              <w:rPr>
                <w:rFonts w:ascii="Calibri" w:eastAsia="Times New Roman" w:hAnsi="Calibri" w:cs="Times New Roman"/>
                <w:sz w:val="20"/>
                <w:szCs w:val="20"/>
              </w:rPr>
            </w:pPr>
            <w:r w:rsidRPr="00322356">
              <w:rPr>
                <w:rFonts w:ascii="Calibri" w:eastAsia="Times New Roman" w:hAnsi="Calibri" w:cs="Times New Roman"/>
                <w:sz w:val="20"/>
                <w:szCs w:val="20"/>
              </w:rPr>
              <w:t>11%</w:t>
            </w:r>
          </w:p>
        </w:tc>
        <w:tc>
          <w:tcPr>
            <w:tcW w:w="850" w:type="dxa"/>
            <w:shd w:val="clear" w:color="auto" w:fill="auto"/>
            <w:noWrap/>
            <w:vAlign w:val="center"/>
            <w:hideMark/>
          </w:tcPr>
          <w:p w14:paraId="6E64B3C1" w14:textId="77777777" w:rsidR="008E3C3F" w:rsidRPr="00322356" w:rsidRDefault="008E3C3F" w:rsidP="00F33DD4">
            <w:pPr>
              <w:spacing w:after="0"/>
              <w:jc w:val="right"/>
              <w:rPr>
                <w:rFonts w:ascii="Calibri" w:eastAsia="Times New Roman" w:hAnsi="Calibri" w:cs="Times New Roman"/>
                <w:sz w:val="20"/>
                <w:szCs w:val="20"/>
              </w:rPr>
            </w:pPr>
            <w:r w:rsidRPr="00322356">
              <w:rPr>
                <w:rFonts w:ascii="Calibri" w:eastAsia="Times New Roman" w:hAnsi="Calibri" w:cs="Times New Roman"/>
                <w:sz w:val="20"/>
                <w:szCs w:val="20"/>
              </w:rPr>
              <w:t>15%</w:t>
            </w:r>
          </w:p>
        </w:tc>
        <w:tc>
          <w:tcPr>
            <w:tcW w:w="985" w:type="dxa"/>
            <w:shd w:val="clear" w:color="auto" w:fill="auto"/>
            <w:noWrap/>
            <w:vAlign w:val="center"/>
            <w:hideMark/>
          </w:tcPr>
          <w:p w14:paraId="2850D472" w14:textId="77777777" w:rsidR="008E3C3F" w:rsidRPr="00322356" w:rsidRDefault="008E3C3F" w:rsidP="00F33DD4">
            <w:pPr>
              <w:spacing w:after="0"/>
              <w:jc w:val="right"/>
              <w:rPr>
                <w:rFonts w:ascii="Calibri" w:eastAsia="Times New Roman" w:hAnsi="Calibri" w:cs="Times New Roman"/>
                <w:sz w:val="20"/>
                <w:szCs w:val="20"/>
              </w:rPr>
            </w:pPr>
            <w:r w:rsidRPr="00322356">
              <w:rPr>
                <w:rFonts w:ascii="Calibri" w:eastAsia="Times New Roman" w:hAnsi="Calibri" w:cs="Times New Roman"/>
                <w:sz w:val="20"/>
                <w:szCs w:val="20"/>
              </w:rPr>
              <w:t>100%</w:t>
            </w:r>
          </w:p>
        </w:tc>
      </w:tr>
    </w:tbl>
    <w:p w14:paraId="003E809B" w14:textId="7BE49BAD" w:rsidR="00FB744A" w:rsidRDefault="00630D3C" w:rsidP="00630D3C">
      <w:pPr>
        <w:pStyle w:val="Figurecaption"/>
      </w:pPr>
      <w:proofErr w:type="spellStart"/>
      <w:r>
        <w:t>Rivaroxaban</w:t>
      </w:r>
      <w:proofErr w:type="spellEnd"/>
      <w:r>
        <w:t xml:space="preserve"> was listed for pulmonary embolism from 1 August 2013.</w:t>
      </w:r>
    </w:p>
    <w:p w14:paraId="0C3548F1" w14:textId="77777777" w:rsidR="00630D3C" w:rsidRDefault="00630D3C" w:rsidP="00025D72"/>
    <w:p w14:paraId="665D211C" w14:textId="41F25A1D" w:rsidR="001D6CF6" w:rsidRDefault="001D6CF6" w:rsidP="00025D72">
      <w:r>
        <w:t xml:space="preserve">Table 6 </w:t>
      </w:r>
      <w:r w:rsidRPr="001D6CF6">
        <w:t xml:space="preserve">lists the patient numbers for </w:t>
      </w:r>
      <w:proofErr w:type="spellStart"/>
      <w:r w:rsidRPr="001D6CF6">
        <w:t>rivaroxaban</w:t>
      </w:r>
      <w:proofErr w:type="spellEnd"/>
      <w:r w:rsidRPr="001D6CF6">
        <w:t xml:space="preserve"> from 2012. </w:t>
      </w:r>
      <w:r w:rsidR="008E2BD4">
        <w:t xml:space="preserve"> </w:t>
      </w:r>
      <w:proofErr w:type="spellStart"/>
      <w:r w:rsidRPr="001D6CF6">
        <w:t>Rivaroxaban</w:t>
      </w:r>
      <w:proofErr w:type="spellEnd"/>
      <w:r w:rsidRPr="001D6CF6">
        <w:t xml:space="preserve"> was listed for acute symptomatic DVT a</w:t>
      </w:r>
      <w:r w:rsidR="00F861B8">
        <w:t>nd prevention of recurrent VTE o</w:t>
      </w:r>
      <w:r w:rsidRPr="001D6CF6">
        <w:t xml:space="preserve">n </w:t>
      </w:r>
      <w:r w:rsidR="00F861B8">
        <w:t xml:space="preserve">1 </w:t>
      </w:r>
      <w:r w:rsidRPr="001D6CF6">
        <w:t>December 2012.</w:t>
      </w:r>
      <w:r w:rsidR="00F861B8">
        <w:t xml:space="preserve"> </w:t>
      </w:r>
      <w:r w:rsidRPr="001D6CF6">
        <w:t xml:space="preserve"> Only PBS item codes 2160Q and 2268J are included (i.e. item codes for prevention of VTE in hip and knee replacements are excluded). </w:t>
      </w:r>
      <w:r w:rsidR="00F861B8">
        <w:t xml:space="preserve"> </w:t>
      </w:r>
      <w:r w:rsidRPr="001D6CF6">
        <w:t>However, PBS item code 2268J includes a listing for prevention of stroke or systemic embolism in patients with AF.</w:t>
      </w:r>
      <w:r w:rsidR="00F861B8">
        <w:t xml:space="preserve"> </w:t>
      </w:r>
      <w:r w:rsidRPr="001D6CF6">
        <w:t xml:space="preserve"> This is not inclusive of all AF patients, just those supplied item 2268J.</w:t>
      </w:r>
    </w:p>
    <w:p w14:paraId="009DD1FE" w14:textId="77777777" w:rsidR="006F423A" w:rsidRPr="002372F5" w:rsidRDefault="006F423A" w:rsidP="006F423A">
      <w:pPr>
        <w:pStyle w:val="Tableheading"/>
        <w:jc w:val="left"/>
        <w:rPr>
          <w:rFonts w:eastAsiaTheme="majorEastAsia" w:cstheme="majorBidi"/>
          <w:bCs/>
          <w:iCs/>
        </w:rPr>
      </w:pPr>
      <w:r>
        <w:t xml:space="preserve">Table </w:t>
      </w:r>
      <w:fldSimple w:instr=" SEQ Table \* ARABIC ">
        <w:r w:rsidR="00F25CCC">
          <w:rPr>
            <w:noProof/>
          </w:rPr>
          <w:t>6</w:t>
        </w:r>
      </w:fldSimple>
      <w:r>
        <w:t xml:space="preserve">: Patient numbers for </w:t>
      </w:r>
      <w:proofErr w:type="spellStart"/>
      <w:r>
        <w:t>rivaroxaban</w:t>
      </w:r>
      <w:proofErr w:type="spellEnd"/>
      <w:r>
        <w:t xml:space="preserve"> by year and indication (using streamlined code)</w:t>
      </w:r>
    </w:p>
    <w:tbl>
      <w:tblPr>
        <w:tblW w:w="9015" w:type="dxa"/>
        <w:tblInd w:w="93" w:type="dxa"/>
        <w:tblLook w:val="04A0" w:firstRow="1" w:lastRow="0" w:firstColumn="1" w:lastColumn="0" w:noHBand="0" w:noVBand="1"/>
      </w:tblPr>
      <w:tblGrid>
        <w:gridCol w:w="1734"/>
        <w:gridCol w:w="1161"/>
        <w:gridCol w:w="1080"/>
        <w:gridCol w:w="1260"/>
        <w:gridCol w:w="1260"/>
        <w:gridCol w:w="1260"/>
        <w:gridCol w:w="1260"/>
      </w:tblGrid>
      <w:tr w:rsidR="006F423A" w:rsidRPr="005E64CF" w14:paraId="695140EB" w14:textId="77777777" w:rsidTr="00F33DD4">
        <w:trPr>
          <w:trHeight w:val="300"/>
        </w:trPr>
        <w:tc>
          <w:tcPr>
            <w:tcW w:w="17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18DA4D6" w14:textId="77777777" w:rsidR="006F423A" w:rsidRPr="005E64CF" w:rsidRDefault="006F423A" w:rsidP="00F33DD4">
            <w:pPr>
              <w:keepNext/>
              <w:spacing w:after="0"/>
              <w:rPr>
                <w:rFonts w:ascii="Calibri" w:eastAsia="Times New Roman" w:hAnsi="Calibri" w:cs="Times New Roman"/>
                <w:sz w:val="20"/>
                <w:szCs w:val="20"/>
              </w:rPr>
            </w:pPr>
            <w:r w:rsidRPr="005E64CF">
              <w:rPr>
                <w:rFonts w:ascii="Calibri" w:eastAsia="Times New Roman" w:hAnsi="Calibri" w:cs="Times New Roman"/>
                <w:sz w:val="20"/>
                <w:szCs w:val="20"/>
              </w:rPr>
              <w:lastRenderedPageBreak/>
              <w:t> </w:t>
            </w:r>
          </w:p>
        </w:tc>
        <w:tc>
          <w:tcPr>
            <w:tcW w:w="224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71F97BFC" w14:textId="77777777" w:rsidR="006F423A" w:rsidRPr="005E64CF" w:rsidRDefault="006F423A" w:rsidP="00F33DD4">
            <w:pPr>
              <w:keepNext/>
              <w:spacing w:after="0"/>
              <w:jc w:val="center"/>
              <w:rPr>
                <w:rFonts w:ascii="Calibri" w:eastAsia="Times New Roman" w:hAnsi="Calibri" w:cs="Times New Roman"/>
                <w:sz w:val="20"/>
                <w:szCs w:val="20"/>
              </w:rPr>
            </w:pPr>
            <w:r w:rsidRPr="005E64CF">
              <w:rPr>
                <w:rFonts w:ascii="Calibri" w:eastAsia="Times New Roman" w:hAnsi="Calibri" w:cs="Times New Roman"/>
                <w:sz w:val="20"/>
                <w:szCs w:val="20"/>
              </w:rPr>
              <w:t>2012</w:t>
            </w:r>
          </w:p>
        </w:tc>
        <w:tc>
          <w:tcPr>
            <w:tcW w:w="252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0B165A7A" w14:textId="77777777" w:rsidR="006F423A" w:rsidRPr="005E64CF" w:rsidRDefault="006F423A" w:rsidP="00F33DD4">
            <w:pPr>
              <w:keepNext/>
              <w:spacing w:after="0"/>
              <w:jc w:val="center"/>
              <w:rPr>
                <w:rFonts w:ascii="Calibri" w:eastAsia="Times New Roman" w:hAnsi="Calibri" w:cs="Times New Roman"/>
                <w:sz w:val="20"/>
                <w:szCs w:val="20"/>
              </w:rPr>
            </w:pPr>
            <w:r w:rsidRPr="005E64CF">
              <w:rPr>
                <w:rFonts w:ascii="Calibri" w:eastAsia="Times New Roman" w:hAnsi="Calibri" w:cs="Times New Roman"/>
                <w:sz w:val="20"/>
                <w:szCs w:val="20"/>
              </w:rPr>
              <w:t>2013</w:t>
            </w:r>
          </w:p>
        </w:tc>
        <w:tc>
          <w:tcPr>
            <w:tcW w:w="252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7399AB65" w14:textId="77777777" w:rsidR="006F423A" w:rsidRPr="005E64CF" w:rsidRDefault="006F423A" w:rsidP="00F33DD4">
            <w:pPr>
              <w:keepNext/>
              <w:spacing w:after="0"/>
              <w:jc w:val="center"/>
              <w:rPr>
                <w:rFonts w:ascii="Calibri" w:eastAsia="Times New Roman" w:hAnsi="Calibri" w:cs="Times New Roman"/>
                <w:sz w:val="20"/>
                <w:szCs w:val="20"/>
              </w:rPr>
            </w:pPr>
            <w:r w:rsidRPr="005E64CF">
              <w:rPr>
                <w:rFonts w:ascii="Calibri" w:eastAsia="Times New Roman" w:hAnsi="Calibri" w:cs="Times New Roman"/>
                <w:sz w:val="20"/>
                <w:szCs w:val="20"/>
              </w:rPr>
              <w:t>2014</w:t>
            </w:r>
          </w:p>
        </w:tc>
      </w:tr>
      <w:tr w:rsidR="006F423A" w:rsidRPr="005E64CF" w14:paraId="20A3C226" w14:textId="77777777" w:rsidTr="00F33DD4">
        <w:trPr>
          <w:trHeight w:val="300"/>
        </w:trPr>
        <w:tc>
          <w:tcPr>
            <w:tcW w:w="1734"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6D34618B" w14:textId="77777777" w:rsidR="006F423A" w:rsidRPr="005E64CF" w:rsidRDefault="006F423A" w:rsidP="00F33DD4">
            <w:pPr>
              <w:keepNext/>
              <w:spacing w:after="0"/>
              <w:rPr>
                <w:rFonts w:ascii="Calibri" w:eastAsia="Times New Roman" w:hAnsi="Calibri" w:cs="Times New Roman"/>
                <w:sz w:val="20"/>
                <w:szCs w:val="20"/>
              </w:rPr>
            </w:pPr>
            <w:r w:rsidRPr="005E64CF">
              <w:rPr>
                <w:rFonts w:ascii="Calibri" w:eastAsia="Times New Roman" w:hAnsi="Calibri" w:cs="Times New Roman"/>
                <w:sz w:val="20"/>
                <w:szCs w:val="20"/>
              </w:rPr>
              <w:t> </w:t>
            </w:r>
          </w:p>
        </w:tc>
        <w:tc>
          <w:tcPr>
            <w:tcW w:w="1161" w:type="dxa"/>
            <w:tcBorders>
              <w:top w:val="nil"/>
              <w:left w:val="nil"/>
              <w:bottom w:val="single" w:sz="4" w:space="0" w:color="auto"/>
              <w:right w:val="single" w:sz="4" w:space="0" w:color="auto"/>
            </w:tcBorders>
            <w:shd w:val="clear" w:color="auto" w:fill="BFBFBF" w:themeFill="background1" w:themeFillShade="BF"/>
            <w:noWrap/>
            <w:vAlign w:val="bottom"/>
            <w:hideMark/>
          </w:tcPr>
          <w:p w14:paraId="0D8EFA19" w14:textId="77777777" w:rsidR="006F423A" w:rsidRPr="005E64CF" w:rsidRDefault="006F423A" w:rsidP="00F33DD4">
            <w:pPr>
              <w:keepNext/>
              <w:spacing w:after="0"/>
              <w:rPr>
                <w:rFonts w:ascii="Calibri" w:eastAsia="Times New Roman" w:hAnsi="Calibri" w:cs="Times New Roman"/>
                <w:sz w:val="20"/>
                <w:szCs w:val="20"/>
              </w:rPr>
            </w:pPr>
            <w:r w:rsidRPr="005E64CF">
              <w:rPr>
                <w:rFonts w:ascii="Calibri" w:eastAsia="Times New Roman" w:hAnsi="Calibri" w:cs="Times New Roman"/>
                <w:sz w:val="20"/>
                <w:szCs w:val="20"/>
              </w:rPr>
              <w:t xml:space="preserve">All patients by indication </w:t>
            </w:r>
          </w:p>
        </w:tc>
        <w:tc>
          <w:tcPr>
            <w:tcW w:w="1080" w:type="dxa"/>
            <w:tcBorders>
              <w:top w:val="nil"/>
              <w:left w:val="nil"/>
              <w:bottom w:val="single" w:sz="4" w:space="0" w:color="auto"/>
              <w:right w:val="single" w:sz="4" w:space="0" w:color="auto"/>
            </w:tcBorders>
            <w:shd w:val="clear" w:color="auto" w:fill="BFBFBF" w:themeFill="background1" w:themeFillShade="BF"/>
            <w:noWrap/>
            <w:vAlign w:val="bottom"/>
            <w:hideMark/>
          </w:tcPr>
          <w:p w14:paraId="411D5A70" w14:textId="77777777" w:rsidR="006F423A" w:rsidRPr="005E64CF" w:rsidRDefault="006F423A" w:rsidP="00F33DD4">
            <w:pPr>
              <w:keepNext/>
              <w:spacing w:after="0"/>
              <w:rPr>
                <w:rFonts w:ascii="Calibri" w:eastAsia="Times New Roman" w:hAnsi="Calibri" w:cs="Times New Roman"/>
                <w:sz w:val="20"/>
                <w:szCs w:val="20"/>
              </w:rPr>
            </w:pPr>
            <w:r w:rsidRPr="005E64CF">
              <w:rPr>
                <w:rFonts w:ascii="Calibri" w:eastAsia="Times New Roman" w:hAnsi="Calibri" w:cs="Times New Roman"/>
                <w:sz w:val="20"/>
                <w:szCs w:val="20"/>
              </w:rPr>
              <w:t xml:space="preserve">Initiating patients by indication </w:t>
            </w:r>
          </w:p>
        </w:tc>
        <w:tc>
          <w:tcPr>
            <w:tcW w:w="1260" w:type="dxa"/>
            <w:tcBorders>
              <w:top w:val="nil"/>
              <w:left w:val="nil"/>
              <w:bottom w:val="single" w:sz="4" w:space="0" w:color="auto"/>
              <w:right w:val="single" w:sz="4" w:space="0" w:color="auto"/>
            </w:tcBorders>
            <w:shd w:val="clear" w:color="auto" w:fill="BFBFBF" w:themeFill="background1" w:themeFillShade="BF"/>
            <w:noWrap/>
            <w:vAlign w:val="bottom"/>
            <w:hideMark/>
          </w:tcPr>
          <w:p w14:paraId="1E234DDC" w14:textId="77777777" w:rsidR="006F423A" w:rsidRPr="005E64CF" w:rsidRDefault="006F423A" w:rsidP="00F33DD4">
            <w:pPr>
              <w:keepNext/>
              <w:spacing w:after="0"/>
              <w:rPr>
                <w:rFonts w:ascii="Calibri" w:eastAsia="Times New Roman" w:hAnsi="Calibri" w:cs="Times New Roman"/>
                <w:sz w:val="20"/>
                <w:szCs w:val="20"/>
              </w:rPr>
            </w:pPr>
            <w:r w:rsidRPr="005E64CF">
              <w:rPr>
                <w:rFonts w:ascii="Calibri" w:eastAsia="Times New Roman" w:hAnsi="Calibri" w:cs="Times New Roman"/>
                <w:sz w:val="20"/>
                <w:szCs w:val="20"/>
              </w:rPr>
              <w:t xml:space="preserve">All patients by indication </w:t>
            </w:r>
          </w:p>
        </w:tc>
        <w:tc>
          <w:tcPr>
            <w:tcW w:w="1260" w:type="dxa"/>
            <w:tcBorders>
              <w:top w:val="nil"/>
              <w:left w:val="nil"/>
              <w:bottom w:val="single" w:sz="4" w:space="0" w:color="auto"/>
              <w:right w:val="single" w:sz="4" w:space="0" w:color="auto"/>
            </w:tcBorders>
            <w:shd w:val="clear" w:color="auto" w:fill="BFBFBF" w:themeFill="background1" w:themeFillShade="BF"/>
            <w:noWrap/>
            <w:vAlign w:val="bottom"/>
            <w:hideMark/>
          </w:tcPr>
          <w:p w14:paraId="4B6EBC39" w14:textId="77777777" w:rsidR="006F423A" w:rsidRPr="005E64CF" w:rsidRDefault="006F423A" w:rsidP="00F33DD4">
            <w:pPr>
              <w:keepNext/>
              <w:spacing w:after="0"/>
              <w:rPr>
                <w:rFonts w:ascii="Calibri" w:eastAsia="Times New Roman" w:hAnsi="Calibri" w:cs="Times New Roman"/>
                <w:sz w:val="20"/>
                <w:szCs w:val="20"/>
              </w:rPr>
            </w:pPr>
            <w:r w:rsidRPr="005E64CF">
              <w:rPr>
                <w:rFonts w:ascii="Calibri" w:eastAsia="Times New Roman" w:hAnsi="Calibri" w:cs="Times New Roman"/>
                <w:sz w:val="20"/>
                <w:szCs w:val="20"/>
              </w:rPr>
              <w:t xml:space="preserve">Initiating patients by indication </w:t>
            </w:r>
          </w:p>
        </w:tc>
        <w:tc>
          <w:tcPr>
            <w:tcW w:w="1260" w:type="dxa"/>
            <w:tcBorders>
              <w:top w:val="nil"/>
              <w:left w:val="nil"/>
              <w:bottom w:val="single" w:sz="4" w:space="0" w:color="auto"/>
              <w:right w:val="single" w:sz="4" w:space="0" w:color="auto"/>
            </w:tcBorders>
            <w:shd w:val="clear" w:color="auto" w:fill="BFBFBF" w:themeFill="background1" w:themeFillShade="BF"/>
            <w:noWrap/>
            <w:vAlign w:val="bottom"/>
            <w:hideMark/>
          </w:tcPr>
          <w:p w14:paraId="7237C599" w14:textId="77777777" w:rsidR="006F423A" w:rsidRPr="005E64CF" w:rsidRDefault="006F423A" w:rsidP="00F33DD4">
            <w:pPr>
              <w:keepNext/>
              <w:spacing w:after="0"/>
              <w:rPr>
                <w:rFonts w:ascii="Calibri" w:eastAsia="Times New Roman" w:hAnsi="Calibri" w:cs="Times New Roman"/>
                <w:sz w:val="20"/>
                <w:szCs w:val="20"/>
              </w:rPr>
            </w:pPr>
            <w:r w:rsidRPr="005E64CF">
              <w:rPr>
                <w:rFonts w:ascii="Calibri" w:eastAsia="Times New Roman" w:hAnsi="Calibri" w:cs="Times New Roman"/>
                <w:sz w:val="20"/>
                <w:szCs w:val="20"/>
              </w:rPr>
              <w:t xml:space="preserve">All patients by indication </w:t>
            </w:r>
          </w:p>
        </w:tc>
        <w:tc>
          <w:tcPr>
            <w:tcW w:w="1260" w:type="dxa"/>
            <w:tcBorders>
              <w:top w:val="nil"/>
              <w:left w:val="nil"/>
              <w:bottom w:val="single" w:sz="4" w:space="0" w:color="auto"/>
              <w:right w:val="single" w:sz="4" w:space="0" w:color="auto"/>
            </w:tcBorders>
            <w:shd w:val="clear" w:color="auto" w:fill="BFBFBF" w:themeFill="background1" w:themeFillShade="BF"/>
            <w:noWrap/>
            <w:vAlign w:val="bottom"/>
            <w:hideMark/>
          </w:tcPr>
          <w:p w14:paraId="60A47830" w14:textId="77777777" w:rsidR="006F423A" w:rsidRPr="005E64CF" w:rsidRDefault="006F423A" w:rsidP="00F33DD4">
            <w:pPr>
              <w:keepNext/>
              <w:spacing w:after="0"/>
              <w:rPr>
                <w:rFonts w:ascii="Calibri" w:eastAsia="Times New Roman" w:hAnsi="Calibri" w:cs="Times New Roman"/>
                <w:sz w:val="20"/>
                <w:szCs w:val="20"/>
              </w:rPr>
            </w:pPr>
            <w:r w:rsidRPr="005E64CF">
              <w:rPr>
                <w:rFonts w:ascii="Calibri" w:eastAsia="Times New Roman" w:hAnsi="Calibri" w:cs="Times New Roman"/>
                <w:sz w:val="20"/>
                <w:szCs w:val="20"/>
              </w:rPr>
              <w:t xml:space="preserve">Initiating patients by indication </w:t>
            </w:r>
          </w:p>
        </w:tc>
      </w:tr>
      <w:tr w:rsidR="006F423A" w:rsidRPr="005E64CF" w14:paraId="18E930C9" w14:textId="77777777" w:rsidTr="00F33DD4">
        <w:trPr>
          <w:trHeight w:val="525"/>
        </w:trPr>
        <w:tc>
          <w:tcPr>
            <w:tcW w:w="1734" w:type="dxa"/>
            <w:tcBorders>
              <w:top w:val="nil"/>
              <w:left w:val="single" w:sz="4" w:space="0" w:color="auto"/>
              <w:bottom w:val="single" w:sz="4" w:space="0" w:color="auto"/>
              <w:right w:val="single" w:sz="4" w:space="0" w:color="auto"/>
            </w:tcBorders>
            <w:shd w:val="clear" w:color="auto" w:fill="auto"/>
            <w:vAlign w:val="bottom"/>
            <w:hideMark/>
          </w:tcPr>
          <w:p w14:paraId="455BF72F" w14:textId="77777777" w:rsidR="006F423A" w:rsidRPr="005E64CF" w:rsidRDefault="006F423A" w:rsidP="00F33DD4">
            <w:pPr>
              <w:keepNext/>
              <w:spacing w:after="0"/>
              <w:rPr>
                <w:rFonts w:ascii="Calibri" w:eastAsia="Times New Roman" w:hAnsi="Calibri" w:cs="Times New Roman"/>
                <w:sz w:val="20"/>
                <w:szCs w:val="20"/>
              </w:rPr>
            </w:pPr>
            <w:r w:rsidRPr="005E64CF">
              <w:rPr>
                <w:rFonts w:ascii="Calibri" w:eastAsia="Times New Roman" w:hAnsi="Calibri" w:cs="Times New Roman"/>
                <w:sz w:val="20"/>
                <w:szCs w:val="20"/>
              </w:rPr>
              <w:t xml:space="preserve">Acute symptomatic deep vein thrombosis </w:t>
            </w:r>
          </w:p>
        </w:tc>
        <w:tc>
          <w:tcPr>
            <w:tcW w:w="1161" w:type="dxa"/>
            <w:tcBorders>
              <w:top w:val="nil"/>
              <w:left w:val="nil"/>
              <w:bottom w:val="single" w:sz="4" w:space="0" w:color="auto"/>
              <w:right w:val="single" w:sz="4" w:space="0" w:color="auto"/>
            </w:tcBorders>
            <w:shd w:val="clear" w:color="auto" w:fill="auto"/>
            <w:noWrap/>
            <w:vAlign w:val="center"/>
            <w:hideMark/>
          </w:tcPr>
          <w:p w14:paraId="74269592"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294</w:t>
            </w:r>
          </w:p>
        </w:tc>
        <w:tc>
          <w:tcPr>
            <w:tcW w:w="1080" w:type="dxa"/>
            <w:tcBorders>
              <w:top w:val="nil"/>
              <w:left w:val="nil"/>
              <w:bottom w:val="single" w:sz="4" w:space="0" w:color="auto"/>
              <w:right w:val="single" w:sz="4" w:space="0" w:color="auto"/>
            </w:tcBorders>
            <w:shd w:val="clear" w:color="auto" w:fill="auto"/>
            <w:noWrap/>
            <w:vAlign w:val="center"/>
            <w:hideMark/>
          </w:tcPr>
          <w:p w14:paraId="0744F788"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294</w:t>
            </w:r>
          </w:p>
        </w:tc>
        <w:tc>
          <w:tcPr>
            <w:tcW w:w="1260" w:type="dxa"/>
            <w:tcBorders>
              <w:top w:val="nil"/>
              <w:left w:val="nil"/>
              <w:bottom w:val="single" w:sz="4" w:space="0" w:color="auto"/>
              <w:right w:val="single" w:sz="4" w:space="0" w:color="auto"/>
            </w:tcBorders>
            <w:shd w:val="clear" w:color="auto" w:fill="auto"/>
            <w:noWrap/>
            <w:vAlign w:val="center"/>
            <w:hideMark/>
          </w:tcPr>
          <w:p w14:paraId="7BD8C8B0"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8,175</w:t>
            </w:r>
          </w:p>
        </w:tc>
        <w:tc>
          <w:tcPr>
            <w:tcW w:w="1260" w:type="dxa"/>
            <w:tcBorders>
              <w:top w:val="nil"/>
              <w:left w:val="nil"/>
              <w:bottom w:val="single" w:sz="4" w:space="0" w:color="auto"/>
              <w:right w:val="single" w:sz="4" w:space="0" w:color="auto"/>
            </w:tcBorders>
            <w:shd w:val="clear" w:color="auto" w:fill="auto"/>
            <w:noWrap/>
            <w:vAlign w:val="center"/>
            <w:hideMark/>
          </w:tcPr>
          <w:p w14:paraId="4697EF30"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7,946</w:t>
            </w:r>
          </w:p>
        </w:tc>
        <w:tc>
          <w:tcPr>
            <w:tcW w:w="1260" w:type="dxa"/>
            <w:tcBorders>
              <w:top w:val="nil"/>
              <w:left w:val="nil"/>
              <w:bottom w:val="single" w:sz="4" w:space="0" w:color="auto"/>
              <w:right w:val="single" w:sz="4" w:space="0" w:color="auto"/>
            </w:tcBorders>
            <w:shd w:val="clear" w:color="auto" w:fill="auto"/>
            <w:noWrap/>
            <w:vAlign w:val="center"/>
            <w:hideMark/>
          </w:tcPr>
          <w:p w14:paraId="4DBFE9D1"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6,600</w:t>
            </w:r>
          </w:p>
        </w:tc>
        <w:tc>
          <w:tcPr>
            <w:tcW w:w="1260" w:type="dxa"/>
            <w:tcBorders>
              <w:top w:val="nil"/>
              <w:left w:val="nil"/>
              <w:bottom w:val="single" w:sz="4" w:space="0" w:color="auto"/>
              <w:right w:val="single" w:sz="4" w:space="0" w:color="auto"/>
            </w:tcBorders>
            <w:shd w:val="clear" w:color="auto" w:fill="auto"/>
            <w:noWrap/>
            <w:vAlign w:val="center"/>
            <w:hideMark/>
          </w:tcPr>
          <w:p w14:paraId="5679C78C"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2,849</w:t>
            </w:r>
          </w:p>
        </w:tc>
      </w:tr>
      <w:tr w:rsidR="006F423A" w:rsidRPr="005E64CF" w14:paraId="305E65E8" w14:textId="77777777" w:rsidTr="00F33DD4">
        <w:trPr>
          <w:trHeight w:val="780"/>
        </w:trPr>
        <w:tc>
          <w:tcPr>
            <w:tcW w:w="1734" w:type="dxa"/>
            <w:tcBorders>
              <w:top w:val="nil"/>
              <w:left w:val="single" w:sz="4" w:space="0" w:color="auto"/>
              <w:bottom w:val="single" w:sz="4" w:space="0" w:color="auto"/>
              <w:right w:val="single" w:sz="4" w:space="0" w:color="auto"/>
            </w:tcBorders>
            <w:shd w:val="clear" w:color="auto" w:fill="auto"/>
            <w:vAlign w:val="bottom"/>
            <w:hideMark/>
          </w:tcPr>
          <w:p w14:paraId="45014A37" w14:textId="77777777" w:rsidR="006F423A" w:rsidRPr="005E64CF" w:rsidRDefault="006F423A" w:rsidP="00F33DD4">
            <w:pPr>
              <w:keepNext/>
              <w:spacing w:after="0"/>
              <w:rPr>
                <w:rFonts w:ascii="Calibri" w:eastAsia="Times New Roman" w:hAnsi="Calibri" w:cs="Times New Roman"/>
                <w:sz w:val="20"/>
                <w:szCs w:val="20"/>
              </w:rPr>
            </w:pPr>
            <w:r w:rsidRPr="005E64CF">
              <w:rPr>
                <w:rFonts w:ascii="Calibri" w:eastAsia="Times New Roman" w:hAnsi="Calibri" w:cs="Times New Roman"/>
                <w:sz w:val="20"/>
                <w:szCs w:val="20"/>
              </w:rPr>
              <w:t xml:space="preserve">Prevention of recurrent venous thromboembolism </w:t>
            </w:r>
          </w:p>
        </w:tc>
        <w:tc>
          <w:tcPr>
            <w:tcW w:w="1161" w:type="dxa"/>
            <w:tcBorders>
              <w:top w:val="nil"/>
              <w:left w:val="nil"/>
              <w:bottom w:val="single" w:sz="4" w:space="0" w:color="auto"/>
              <w:right w:val="single" w:sz="4" w:space="0" w:color="auto"/>
            </w:tcBorders>
            <w:shd w:val="clear" w:color="auto" w:fill="auto"/>
            <w:noWrap/>
            <w:vAlign w:val="center"/>
            <w:hideMark/>
          </w:tcPr>
          <w:p w14:paraId="5D88E67D"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197</w:t>
            </w:r>
          </w:p>
        </w:tc>
        <w:tc>
          <w:tcPr>
            <w:tcW w:w="1080" w:type="dxa"/>
            <w:tcBorders>
              <w:top w:val="nil"/>
              <w:left w:val="nil"/>
              <w:bottom w:val="single" w:sz="4" w:space="0" w:color="auto"/>
              <w:right w:val="single" w:sz="4" w:space="0" w:color="auto"/>
            </w:tcBorders>
            <w:shd w:val="clear" w:color="auto" w:fill="auto"/>
            <w:noWrap/>
            <w:vAlign w:val="center"/>
            <w:hideMark/>
          </w:tcPr>
          <w:p w14:paraId="67FF2053"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197</w:t>
            </w:r>
          </w:p>
        </w:tc>
        <w:tc>
          <w:tcPr>
            <w:tcW w:w="1260" w:type="dxa"/>
            <w:tcBorders>
              <w:top w:val="nil"/>
              <w:left w:val="nil"/>
              <w:bottom w:val="single" w:sz="4" w:space="0" w:color="auto"/>
              <w:right w:val="single" w:sz="4" w:space="0" w:color="auto"/>
            </w:tcBorders>
            <w:shd w:val="clear" w:color="auto" w:fill="auto"/>
            <w:noWrap/>
            <w:vAlign w:val="center"/>
            <w:hideMark/>
          </w:tcPr>
          <w:p w14:paraId="418804F7"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4,805</w:t>
            </w:r>
          </w:p>
        </w:tc>
        <w:tc>
          <w:tcPr>
            <w:tcW w:w="1260" w:type="dxa"/>
            <w:tcBorders>
              <w:top w:val="nil"/>
              <w:left w:val="nil"/>
              <w:bottom w:val="single" w:sz="4" w:space="0" w:color="auto"/>
              <w:right w:val="single" w:sz="4" w:space="0" w:color="auto"/>
            </w:tcBorders>
            <w:shd w:val="clear" w:color="auto" w:fill="auto"/>
            <w:noWrap/>
            <w:vAlign w:val="center"/>
            <w:hideMark/>
          </w:tcPr>
          <w:p w14:paraId="1A335864"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4,596</w:t>
            </w:r>
          </w:p>
        </w:tc>
        <w:tc>
          <w:tcPr>
            <w:tcW w:w="1260" w:type="dxa"/>
            <w:tcBorders>
              <w:top w:val="nil"/>
              <w:left w:val="nil"/>
              <w:bottom w:val="single" w:sz="4" w:space="0" w:color="auto"/>
              <w:right w:val="single" w:sz="4" w:space="0" w:color="auto"/>
            </w:tcBorders>
            <w:shd w:val="clear" w:color="auto" w:fill="auto"/>
            <w:noWrap/>
            <w:vAlign w:val="center"/>
            <w:hideMark/>
          </w:tcPr>
          <w:p w14:paraId="3ED2B3F1"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4,880</w:t>
            </w:r>
          </w:p>
        </w:tc>
        <w:tc>
          <w:tcPr>
            <w:tcW w:w="1260" w:type="dxa"/>
            <w:tcBorders>
              <w:top w:val="nil"/>
              <w:left w:val="nil"/>
              <w:bottom w:val="single" w:sz="4" w:space="0" w:color="auto"/>
              <w:right w:val="single" w:sz="4" w:space="0" w:color="auto"/>
            </w:tcBorders>
            <w:shd w:val="clear" w:color="auto" w:fill="auto"/>
            <w:noWrap/>
            <w:vAlign w:val="center"/>
            <w:hideMark/>
          </w:tcPr>
          <w:p w14:paraId="344E068F"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901</w:t>
            </w:r>
          </w:p>
        </w:tc>
      </w:tr>
      <w:tr w:rsidR="006F423A" w:rsidRPr="005E64CF" w14:paraId="4920FB53" w14:textId="77777777" w:rsidTr="00F33DD4">
        <w:trPr>
          <w:trHeight w:val="300"/>
        </w:trPr>
        <w:tc>
          <w:tcPr>
            <w:tcW w:w="1734" w:type="dxa"/>
            <w:tcBorders>
              <w:top w:val="nil"/>
              <w:left w:val="single" w:sz="4" w:space="0" w:color="auto"/>
              <w:bottom w:val="single" w:sz="4" w:space="0" w:color="auto"/>
              <w:right w:val="single" w:sz="4" w:space="0" w:color="auto"/>
            </w:tcBorders>
            <w:shd w:val="clear" w:color="auto" w:fill="auto"/>
            <w:vAlign w:val="bottom"/>
            <w:hideMark/>
          </w:tcPr>
          <w:p w14:paraId="30783379" w14:textId="77777777" w:rsidR="006F423A" w:rsidRPr="005E64CF" w:rsidRDefault="006F423A" w:rsidP="00F33DD4">
            <w:pPr>
              <w:keepNext/>
              <w:spacing w:after="0"/>
              <w:rPr>
                <w:rFonts w:ascii="Calibri" w:eastAsia="Times New Roman" w:hAnsi="Calibri" w:cs="Times New Roman"/>
                <w:sz w:val="20"/>
                <w:szCs w:val="20"/>
              </w:rPr>
            </w:pPr>
            <w:r w:rsidRPr="005E64CF">
              <w:rPr>
                <w:rFonts w:ascii="Calibri" w:eastAsia="Times New Roman" w:hAnsi="Calibri" w:cs="Times New Roman"/>
                <w:sz w:val="20"/>
                <w:szCs w:val="20"/>
              </w:rPr>
              <w:t xml:space="preserve">Pulmonary embolism </w:t>
            </w:r>
          </w:p>
        </w:tc>
        <w:tc>
          <w:tcPr>
            <w:tcW w:w="1161" w:type="dxa"/>
            <w:tcBorders>
              <w:top w:val="nil"/>
              <w:left w:val="nil"/>
              <w:bottom w:val="single" w:sz="4" w:space="0" w:color="auto"/>
              <w:right w:val="single" w:sz="4" w:space="0" w:color="auto"/>
            </w:tcBorders>
            <w:shd w:val="clear" w:color="auto" w:fill="auto"/>
            <w:noWrap/>
            <w:vAlign w:val="center"/>
            <w:hideMark/>
          </w:tcPr>
          <w:p w14:paraId="0E5B79A8" w14:textId="77777777" w:rsidR="006F423A" w:rsidRPr="009F5EB6" w:rsidRDefault="006F423A" w:rsidP="00F33DD4">
            <w:pPr>
              <w:keepNext/>
              <w:spacing w:after="0"/>
              <w:jc w:val="right"/>
              <w:rPr>
                <w:rFonts w:ascii="Calibri" w:eastAsia="Times New Roman" w:hAnsi="Calibri" w:cs="Times New Roman"/>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14:paraId="6656ED8F" w14:textId="77777777" w:rsidR="006F423A" w:rsidRPr="009F5EB6" w:rsidRDefault="006F423A" w:rsidP="00F33DD4">
            <w:pPr>
              <w:keepNext/>
              <w:spacing w:after="0"/>
              <w:jc w:val="right"/>
              <w:rPr>
                <w:rFonts w:ascii="Calibri" w:eastAsia="Times New Roman" w:hAnsi="Calibri" w:cs="Times New Roman"/>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2FE46463"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2,120</w:t>
            </w:r>
          </w:p>
        </w:tc>
        <w:tc>
          <w:tcPr>
            <w:tcW w:w="1260" w:type="dxa"/>
            <w:tcBorders>
              <w:top w:val="nil"/>
              <w:left w:val="nil"/>
              <w:bottom w:val="single" w:sz="4" w:space="0" w:color="auto"/>
              <w:right w:val="single" w:sz="4" w:space="0" w:color="auto"/>
            </w:tcBorders>
            <w:shd w:val="clear" w:color="auto" w:fill="auto"/>
            <w:noWrap/>
            <w:vAlign w:val="center"/>
            <w:hideMark/>
          </w:tcPr>
          <w:p w14:paraId="67EBF0D8"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2,120</w:t>
            </w:r>
          </w:p>
        </w:tc>
        <w:tc>
          <w:tcPr>
            <w:tcW w:w="1260" w:type="dxa"/>
            <w:tcBorders>
              <w:top w:val="nil"/>
              <w:left w:val="nil"/>
              <w:bottom w:val="single" w:sz="4" w:space="0" w:color="auto"/>
              <w:right w:val="single" w:sz="4" w:space="0" w:color="auto"/>
            </w:tcBorders>
            <w:shd w:val="clear" w:color="auto" w:fill="auto"/>
            <w:noWrap/>
            <w:vAlign w:val="center"/>
            <w:hideMark/>
          </w:tcPr>
          <w:p w14:paraId="6183883A"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2,710</w:t>
            </w:r>
          </w:p>
        </w:tc>
        <w:tc>
          <w:tcPr>
            <w:tcW w:w="1260" w:type="dxa"/>
            <w:tcBorders>
              <w:top w:val="nil"/>
              <w:left w:val="nil"/>
              <w:bottom w:val="single" w:sz="4" w:space="0" w:color="auto"/>
              <w:right w:val="single" w:sz="4" w:space="0" w:color="auto"/>
            </w:tcBorders>
            <w:shd w:val="clear" w:color="auto" w:fill="auto"/>
            <w:noWrap/>
            <w:vAlign w:val="center"/>
            <w:hideMark/>
          </w:tcPr>
          <w:p w14:paraId="0E0DF948"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1,229</w:t>
            </w:r>
          </w:p>
        </w:tc>
      </w:tr>
      <w:tr w:rsidR="006F423A" w:rsidRPr="005E64CF" w14:paraId="3AE62CDB" w14:textId="77777777" w:rsidTr="00F33DD4">
        <w:trPr>
          <w:trHeight w:val="300"/>
        </w:trPr>
        <w:tc>
          <w:tcPr>
            <w:tcW w:w="1734" w:type="dxa"/>
            <w:tcBorders>
              <w:top w:val="nil"/>
              <w:left w:val="single" w:sz="4" w:space="0" w:color="auto"/>
              <w:bottom w:val="single" w:sz="4" w:space="0" w:color="auto"/>
              <w:right w:val="single" w:sz="4" w:space="0" w:color="auto"/>
            </w:tcBorders>
            <w:shd w:val="clear" w:color="auto" w:fill="auto"/>
            <w:vAlign w:val="bottom"/>
            <w:hideMark/>
          </w:tcPr>
          <w:p w14:paraId="11567386" w14:textId="77777777" w:rsidR="006F423A" w:rsidRPr="005E64CF" w:rsidRDefault="006F423A" w:rsidP="00F33DD4">
            <w:pPr>
              <w:keepNext/>
              <w:spacing w:after="0"/>
              <w:rPr>
                <w:rFonts w:ascii="Calibri" w:eastAsia="Times New Roman" w:hAnsi="Calibri" w:cs="Times New Roman"/>
                <w:sz w:val="20"/>
                <w:szCs w:val="20"/>
              </w:rPr>
            </w:pPr>
            <w:r w:rsidRPr="005E64CF">
              <w:rPr>
                <w:rFonts w:ascii="Calibri" w:eastAsia="Times New Roman" w:hAnsi="Calibri" w:cs="Times New Roman"/>
                <w:sz w:val="20"/>
                <w:szCs w:val="20"/>
              </w:rPr>
              <w:t xml:space="preserve">AF </w:t>
            </w:r>
          </w:p>
        </w:tc>
        <w:tc>
          <w:tcPr>
            <w:tcW w:w="1161" w:type="dxa"/>
            <w:tcBorders>
              <w:top w:val="nil"/>
              <w:left w:val="nil"/>
              <w:bottom w:val="single" w:sz="4" w:space="0" w:color="auto"/>
              <w:right w:val="single" w:sz="4" w:space="0" w:color="auto"/>
            </w:tcBorders>
            <w:shd w:val="clear" w:color="auto" w:fill="auto"/>
            <w:noWrap/>
            <w:vAlign w:val="center"/>
            <w:hideMark/>
          </w:tcPr>
          <w:p w14:paraId="3C9AA363" w14:textId="77777777" w:rsidR="006F423A" w:rsidRPr="009F5EB6" w:rsidRDefault="006F423A" w:rsidP="00F33DD4">
            <w:pPr>
              <w:keepNext/>
              <w:spacing w:after="0"/>
              <w:jc w:val="right"/>
              <w:rPr>
                <w:rFonts w:ascii="Calibri" w:eastAsia="Times New Roman" w:hAnsi="Calibri" w:cs="Times New Roman"/>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14:paraId="137AE04A" w14:textId="77777777" w:rsidR="006F423A" w:rsidRPr="009F5EB6" w:rsidRDefault="006F423A" w:rsidP="00F33DD4">
            <w:pPr>
              <w:keepNext/>
              <w:spacing w:after="0"/>
              <w:jc w:val="right"/>
              <w:rPr>
                <w:rFonts w:ascii="Calibri" w:eastAsia="Times New Roman" w:hAnsi="Calibri" w:cs="Times New Roman"/>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6BFB29C2"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20,384</w:t>
            </w:r>
          </w:p>
        </w:tc>
        <w:tc>
          <w:tcPr>
            <w:tcW w:w="1260" w:type="dxa"/>
            <w:tcBorders>
              <w:top w:val="nil"/>
              <w:left w:val="nil"/>
              <w:bottom w:val="single" w:sz="4" w:space="0" w:color="auto"/>
              <w:right w:val="single" w:sz="4" w:space="0" w:color="auto"/>
            </w:tcBorders>
            <w:shd w:val="clear" w:color="auto" w:fill="auto"/>
            <w:noWrap/>
            <w:vAlign w:val="center"/>
            <w:hideMark/>
          </w:tcPr>
          <w:p w14:paraId="1D7DDE21"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20,383</w:t>
            </w:r>
          </w:p>
        </w:tc>
        <w:tc>
          <w:tcPr>
            <w:tcW w:w="1260" w:type="dxa"/>
            <w:tcBorders>
              <w:top w:val="nil"/>
              <w:left w:val="nil"/>
              <w:bottom w:val="single" w:sz="4" w:space="0" w:color="auto"/>
              <w:right w:val="single" w:sz="4" w:space="0" w:color="auto"/>
            </w:tcBorders>
            <w:shd w:val="clear" w:color="auto" w:fill="auto"/>
            <w:noWrap/>
            <w:vAlign w:val="center"/>
            <w:hideMark/>
          </w:tcPr>
          <w:p w14:paraId="00BF6BFD"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24,142</w:t>
            </w:r>
          </w:p>
        </w:tc>
        <w:tc>
          <w:tcPr>
            <w:tcW w:w="1260" w:type="dxa"/>
            <w:tcBorders>
              <w:top w:val="nil"/>
              <w:left w:val="nil"/>
              <w:bottom w:val="single" w:sz="4" w:space="0" w:color="auto"/>
              <w:right w:val="single" w:sz="4" w:space="0" w:color="auto"/>
            </w:tcBorders>
            <w:shd w:val="clear" w:color="auto" w:fill="auto"/>
            <w:noWrap/>
            <w:vAlign w:val="center"/>
            <w:hideMark/>
          </w:tcPr>
          <w:p w14:paraId="4A9E6DC6"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6,972</w:t>
            </w:r>
          </w:p>
        </w:tc>
      </w:tr>
      <w:tr w:rsidR="006F423A" w:rsidRPr="005E64CF" w14:paraId="70CE718B" w14:textId="77777777" w:rsidTr="00F33DD4">
        <w:trPr>
          <w:trHeight w:val="300"/>
        </w:trPr>
        <w:tc>
          <w:tcPr>
            <w:tcW w:w="1734" w:type="dxa"/>
            <w:tcBorders>
              <w:top w:val="nil"/>
              <w:left w:val="single" w:sz="4" w:space="0" w:color="auto"/>
              <w:bottom w:val="single" w:sz="4" w:space="0" w:color="auto"/>
              <w:right w:val="single" w:sz="4" w:space="0" w:color="auto"/>
            </w:tcBorders>
            <w:shd w:val="clear" w:color="auto" w:fill="auto"/>
            <w:vAlign w:val="bottom"/>
            <w:hideMark/>
          </w:tcPr>
          <w:p w14:paraId="2B53B064" w14:textId="77777777" w:rsidR="006F423A" w:rsidRPr="005E64CF" w:rsidRDefault="006F423A" w:rsidP="00F33DD4">
            <w:pPr>
              <w:keepNext/>
              <w:spacing w:after="0"/>
              <w:rPr>
                <w:rFonts w:ascii="Calibri" w:eastAsia="Times New Roman" w:hAnsi="Calibri" w:cs="Times New Roman"/>
                <w:sz w:val="20"/>
                <w:szCs w:val="20"/>
              </w:rPr>
            </w:pPr>
            <w:r w:rsidRPr="005E64CF">
              <w:rPr>
                <w:rFonts w:ascii="Calibri" w:eastAsia="Times New Roman" w:hAnsi="Calibri" w:cs="Times New Roman"/>
                <w:sz w:val="20"/>
                <w:szCs w:val="20"/>
              </w:rPr>
              <w:t xml:space="preserve">Blank or zero value </w:t>
            </w:r>
          </w:p>
        </w:tc>
        <w:tc>
          <w:tcPr>
            <w:tcW w:w="1161" w:type="dxa"/>
            <w:tcBorders>
              <w:top w:val="nil"/>
              <w:left w:val="nil"/>
              <w:bottom w:val="single" w:sz="4" w:space="0" w:color="auto"/>
              <w:right w:val="single" w:sz="4" w:space="0" w:color="auto"/>
            </w:tcBorders>
            <w:shd w:val="clear" w:color="auto" w:fill="auto"/>
            <w:noWrap/>
            <w:vAlign w:val="center"/>
            <w:hideMark/>
          </w:tcPr>
          <w:p w14:paraId="44A2B635"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123</w:t>
            </w:r>
          </w:p>
        </w:tc>
        <w:tc>
          <w:tcPr>
            <w:tcW w:w="1080" w:type="dxa"/>
            <w:tcBorders>
              <w:top w:val="nil"/>
              <w:left w:val="nil"/>
              <w:bottom w:val="single" w:sz="4" w:space="0" w:color="auto"/>
              <w:right w:val="single" w:sz="4" w:space="0" w:color="auto"/>
            </w:tcBorders>
            <w:shd w:val="clear" w:color="auto" w:fill="auto"/>
            <w:noWrap/>
            <w:vAlign w:val="center"/>
            <w:hideMark/>
          </w:tcPr>
          <w:p w14:paraId="3134ECD7"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123</w:t>
            </w:r>
          </w:p>
        </w:tc>
        <w:tc>
          <w:tcPr>
            <w:tcW w:w="1260" w:type="dxa"/>
            <w:tcBorders>
              <w:top w:val="nil"/>
              <w:left w:val="nil"/>
              <w:bottom w:val="single" w:sz="4" w:space="0" w:color="auto"/>
              <w:right w:val="single" w:sz="4" w:space="0" w:color="auto"/>
            </w:tcBorders>
            <w:shd w:val="clear" w:color="auto" w:fill="auto"/>
            <w:noWrap/>
            <w:vAlign w:val="center"/>
            <w:hideMark/>
          </w:tcPr>
          <w:p w14:paraId="566EC8EC"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1,256</w:t>
            </w:r>
          </w:p>
        </w:tc>
        <w:tc>
          <w:tcPr>
            <w:tcW w:w="1260" w:type="dxa"/>
            <w:tcBorders>
              <w:top w:val="nil"/>
              <w:left w:val="nil"/>
              <w:bottom w:val="single" w:sz="4" w:space="0" w:color="auto"/>
              <w:right w:val="single" w:sz="4" w:space="0" w:color="auto"/>
            </w:tcBorders>
            <w:shd w:val="clear" w:color="auto" w:fill="auto"/>
            <w:noWrap/>
            <w:vAlign w:val="center"/>
            <w:hideMark/>
          </w:tcPr>
          <w:p w14:paraId="731EF73F"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1,167</w:t>
            </w:r>
          </w:p>
        </w:tc>
        <w:tc>
          <w:tcPr>
            <w:tcW w:w="1260" w:type="dxa"/>
            <w:tcBorders>
              <w:top w:val="nil"/>
              <w:left w:val="nil"/>
              <w:bottom w:val="single" w:sz="4" w:space="0" w:color="auto"/>
              <w:right w:val="single" w:sz="4" w:space="0" w:color="auto"/>
            </w:tcBorders>
            <w:shd w:val="clear" w:color="auto" w:fill="auto"/>
            <w:noWrap/>
            <w:vAlign w:val="center"/>
            <w:hideMark/>
          </w:tcPr>
          <w:p w14:paraId="06003336"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647</w:t>
            </w:r>
          </w:p>
        </w:tc>
        <w:tc>
          <w:tcPr>
            <w:tcW w:w="1260" w:type="dxa"/>
            <w:tcBorders>
              <w:top w:val="nil"/>
              <w:left w:val="nil"/>
              <w:bottom w:val="single" w:sz="4" w:space="0" w:color="auto"/>
              <w:right w:val="single" w:sz="4" w:space="0" w:color="auto"/>
            </w:tcBorders>
            <w:shd w:val="clear" w:color="auto" w:fill="auto"/>
            <w:noWrap/>
            <w:vAlign w:val="center"/>
            <w:hideMark/>
          </w:tcPr>
          <w:p w14:paraId="50B953BE" w14:textId="77777777" w:rsidR="006F423A" w:rsidRPr="009F5EB6" w:rsidRDefault="006F423A" w:rsidP="00F33DD4">
            <w:pPr>
              <w:keepNext/>
              <w:spacing w:after="0"/>
              <w:jc w:val="right"/>
              <w:rPr>
                <w:rFonts w:ascii="Calibri" w:eastAsia="Times New Roman" w:hAnsi="Calibri" w:cs="Times New Roman"/>
                <w:sz w:val="20"/>
                <w:szCs w:val="20"/>
              </w:rPr>
            </w:pPr>
            <w:r w:rsidRPr="009F5EB6">
              <w:rPr>
                <w:rFonts w:ascii="Calibri" w:hAnsi="Calibri"/>
                <w:color w:val="000000"/>
                <w:sz w:val="20"/>
                <w:szCs w:val="20"/>
              </w:rPr>
              <w:t>222</w:t>
            </w:r>
          </w:p>
        </w:tc>
      </w:tr>
    </w:tbl>
    <w:p w14:paraId="3AE6D350" w14:textId="119DABCE" w:rsidR="006F423A" w:rsidRDefault="006F423A" w:rsidP="00967E2B">
      <w:pPr>
        <w:pStyle w:val="Figurecaption"/>
      </w:pPr>
      <w:r w:rsidRPr="00EB6403">
        <w:t xml:space="preserve">The included PBS item codes are 2160Q and 2268J. </w:t>
      </w:r>
      <w:r>
        <w:t>Initiating patients are defined by no prior prescription for these item codes since listing on 1 December 2012.</w:t>
      </w:r>
      <w:r w:rsidR="00967E2B">
        <w:t xml:space="preserve"> </w:t>
      </w:r>
      <w:r w:rsidRPr="0049600A">
        <w:t xml:space="preserve">Note that </w:t>
      </w:r>
      <w:r>
        <w:t>if a patient</w:t>
      </w:r>
      <w:r w:rsidRPr="0049600A">
        <w:t xml:space="preserve"> receive</w:t>
      </w:r>
      <w:r>
        <w:t>s</w:t>
      </w:r>
      <w:r w:rsidRPr="0049600A">
        <w:t xml:space="preserve"> </w:t>
      </w:r>
      <w:proofErr w:type="spellStart"/>
      <w:r w:rsidRPr="0049600A">
        <w:t>rivaroxaban</w:t>
      </w:r>
      <w:proofErr w:type="spellEnd"/>
      <w:r w:rsidRPr="0049600A">
        <w:t xml:space="preserve"> under more than one streamlined code in a given year</w:t>
      </w:r>
      <w:r>
        <w:t>,</w:t>
      </w:r>
      <w:r w:rsidRPr="0049600A">
        <w:t xml:space="preserve"> </w:t>
      </w:r>
      <w:r>
        <w:t>that patient is</w:t>
      </w:r>
      <w:r w:rsidRPr="0049600A">
        <w:t xml:space="preserve"> </w:t>
      </w:r>
      <w:r>
        <w:t xml:space="preserve">only </w:t>
      </w:r>
      <w:r w:rsidRPr="0049600A">
        <w:t xml:space="preserve">counted </w:t>
      </w:r>
      <w:r>
        <w:t xml:space="preserve">once, </w:t>
      </w:r>
      <w:r w:rsidRPr="0049600A">
        <w:t xml:space="preserve">for </w:t>
      </w:r>
      <w:r>
        <w:t>the</w:t>
      </w:r>
      <w:r w:rsidRPr="0049600A">
        <w:t xml:space="preserve"> </w:t>
      </w:r>
      <w:r>
        <w:t>streamlined code of their first prescription in that year</w:t>
      </w:r>
      <w:r w:rsidRPr="0049600A">
        <w:t>.</w:t>
      </w:r>
    </w:p>
    <w:p w14:paraId="0BE9E452" w14:textId="26E8D2FD" w:rsidR="00643A70" w:rsidRPr="0049600A" w:rsidRDefault="00643A70" w:rsidP="00967E2B">
      <w:pPr>
        <w:pStyle w:val="Figurecaption"/>
      </w:pPr>
      <w:proofErr w:type="spellStart"/>
      <w:r>
        <w:t>Rivaroxaban</w:t>
      </w:r>
      <w:proofErr w:type="spellEnd"/>
      <w:r>
        <w:t xml:space="preserve"> was listed for pulmonary embolism from 1 August 2013.</w:t>
      </w:r>
    </w:p>
    <w:p w14:paraId="4F8723A6" w14:textId="3B792516" w:rsidR="00736041" w:rsidRDefault="001B5D37" w:rsidP="0085256D">
      <w:pPr>
        <w:pStyle w:val="Heading4"/>
      </w:pPr>
      <w:r w:rsidRPr="005E22C2">
        <w:t xml:space="preserve">Analysis </w:t>
      </w:r>
      <w:r w:rsidR="00481108" w:rsidRPr="005E22C2">
        <w:t xml:space="preserve">of </w:t>
      </w:r>
      <w:r w:rsidR="0063631C">
        <w:t>e</w:t>
      </w:r>
      <w:r w:rsidR="00736041" w:rsidRPr="005E22C2">
        <w:t>xpenditure</w:t>
      </w:r>
    </w:p>
    <w:p w14:paraId="1EB4623D" w14:textId="694E3A1A" w:rsidR="00C2281F" w:rsidRDefault="00C2281F" w:rsidP="00C2281F">
      <w:bookmarkStart w:id="3" w:name="_Ref396827368"/>
      <w:r>
        <w:t xml:space="preserve">The expenditure on </w:t>
      </w:r>
      <w:proofErr w:type="spellStart"/>
      <w:r>
        <w:t>rivaroxaban</w:t>
      </w:r>
      <w:proofErr w:type="spellEnd"/>
      <w:r>
        <w:t xml:space="preserve"> in the first two years of listing for acute symptomatic DVT, prevention of recurrent VTE and PE are shown in Tables 7 and 8.</w:t>
      </w:r>
      <w:r w:rsidR="00D37123">
        <w:t xml:space="preserve">  A Special Pricing Arrangement applies to </w:t>
      </w:r>
      <w:proofErr w:type="spellStart"/>
      <w:r w:rsidR="00D37123">
        <w:t>rivaroxaban</w:t>
      </w:r>
      <w:proofErr w:type="spellEnd"/>
      <w:r w:rsidR="00D37123">
        <w:t xml:space="preserve"> and hence the expenditure shown in the tables below, which is based on the published price of </w:t>
      </w:r>
      <w:proofErr w:type="spellStart"/>
      <w:r w:rsidR="00D37123">
        <w:t>rivaroxaban</w:t>
      </w:r>
      <w:proofErr w:type="spellEnd"/>
      <w:r w:rsidR="00D37123">
        <w:t xml:space="preserve">, is indicative of trends only.  </w:t>
      </w:r>
    </w:p>
    <w:p w14:paraId="68478B71" w14:textId="77777777" w:rsidR="00663264" w:rsidRPr="003E31E9" w:rsidRDefault="00663264" w:rsidP="00663264">
      <w:pPr>
        <w:pStyle w:val="Tabletitle"/>
      </w:pPr>
      <w:r>
        <w:t xml:space="preserve">Table </w:t>
      </w:r>
      <w:fldSimple w:instr=" SEQ Table \* ARABIC ">
        <w:r w:rsidR="00F25CCC">
          <w:rPr>
            <w:noProof/>
          </w:rPr>
          <w:t>7</w:t>
        </w:r>
      </w:fldSimple>
      <w:bookmarkEnd w:id="3"/>
      <w:r>
        <w:t xml:space="preserve">: Expenditure for </w:t>
      </w:r>
      <w:proofErr w:type="spellStart"/>
      <w:r>
        <w:t>rivaroxaban</w:t>
      </w:r>
      <w:proofErr w:type="spellEnd"/>
      <w:r>
        <w:t xml:space="preserve"> for acute symptomatic DVT and p</w:t>
      </w:r>
      <w:r w:rsidRPr="00F46239">
        <w:t>revention of recurrent venous thromboembolism</w:t>
      </w:r>
      <w:r>
        <w:t xml:space="preserve"> </w:t>
      </w:r>
    </w:p>
    <w:tbl>
      <w:tblPr>
        <w:tblW w:w="7360" w:type="dxa"/>
        <w:tblInd w:w="93" w:type="dxa"/>
        <w:tblLook w:val="04A0" w:firstRow="1" w:lastRow="0" w:firstColumn="1" w:lastColumn="0" w:noHBand="0" w:noVBand="1"/>
      </w:tblPr>
      <w:tblGrid>
        <w:gridCol w:w="1840"/>
        <w:gridCol w:w="1840"/>
        <w:gridCol w:w="1923"/>
        <w:gridCol w:w="1840"/>
      </w:tblGrid>
      <w:tr w:rsidR="00663264" w:rsidRPr="00F46239" w14:paraId="19A9436E" w14:textId="77777777" w:rsidTr="00F33DD4">
        <w:trPr>
          <w:trHeight w:val="1200"/>
        </w:trPr>
        <w:tc>
          <w:tcPr>
            <w:tcW w:w="1840" w:type="dxa"/>
            <w:tcBorders>
              <w:top w:val="single" w:sz="4" w:space="0" w:color="auto"/>
              <w:left w:val="single" w:sz="4" w:space="0" w:color="auto"/>
              <w:bottom w:val="single" w:sz="4" w:space="0" w:color="auto"/>
              <w:right w:val="single" w:sz="4" w:space="0" w:color="auto"/>
            </w:tcBorders>
            <w:shd w:val="clear" w:color="DCE6F1" w:fill="BFBFBF"/>
            <w:vAlign w:val="bottom"/>
            <w:hideMark/>
          </w:tcPr>
          <w:p w14:paraId="1BBD6471" w14:textId="77777777" w:rsidR="00663264" w:rsidRPr="00F46239" w:rsidRDefault="00663264" w:rsidP="00F33DD4">
            <w:pPr>
              <w:keepNext/>
              <w:spacing w:after="0"/>
              <w:rPr>
                <w:rFonts w:ascii="Calibri" w:eastAsia="Times New Roman" w:hAnsi="Calibri" w:cs="Times New Roman"/>
                <w:b/>
                <w:bCs/>
                <w:color w:val="000000"/>
                <w:sz w:val="22"/>
                <w:szCs w:val="22"/>
              </w:rPr>
            </w:pPr>
            <w:r w:rsidRPr="00F46239">
              <w:rPr>
                <w:rFonts w:ascii="Calibri" w:eastAsia="Times New Roman" w:hAnsi="Calibri" w:cs="Times New Roman"/>
                <w:b/>
                <w:bCs/>
                <w:color w:val="000000"/>
                <w:sz w:val="22"/>
                <w:szCs w:val="22"/>
              </w:rPr>
              <w:t> </w:t>
            </w:r>
          </w:p>
        </w:tc>
        <w:tc>
          <w:tcPr>
            <w:tcW w:w="1840" w:type="dxa"/>
            <w:tcBorders>
              <w:top w:val="single" w:sz="4" w:space="0" w:color="auto"/>
              <w:left w:val="nil"/>
              <w:bottom w:val="single" w:sz="4" w:space="0" w:color="auto"/>
              <w:right w:val="single" w:sz="4" w:space="0" w:color="auto"/>
            </w:tcBorders>
            <w:shd w:val="clear" w:color="DCE6F1" w:fill="BFBFBF"/>
            <w:vAlign w:val="bottom"/>
            <w:hideMark/>
          </w:tcPr>
          <w:p w14:paraId="4BC2F63A" w14:textId="77777777" w:rsidR="00663264" w:rsidRPr="00F46239" w:rsidRDefault="00663264" w:rsidP="00F33DD4">
            <w:pPr>
              <w:keepNext/>
              <w:spacing w:after="0"/>
              <w:rPr>
                <w:rFonts w:ascii="Calibri" w:eastAsia="Times New Roman" w:hAnsi="Calibri" w:cs="Times New Roman"/>
                <w:b/>
                <w:bCs/>
                <w:color w:val="000000"/>
                <w:sz w:val="22"/>
                <w:szCs w:val="22"/>
              </w:rPr>
            </w:pPr>
            <w:r w:rsidRPr="00F46239">
              <w:rPr>
                <w:rFonts w:ascii="Calibri" w:eastAsia="Times New Roman" w:hAnsi="Calibri" w:cs="Times New Roman"/>
                <w:b/>
                <w:bCs/>
                <w:color w:val="000000"/>
                <w:sz w:val="22"/>
                <w:szCs w:val="22"/>
              </w:rPr>
              <w:t>Acute symptomatic deep vein thrombosis</w:t>
            </w:r>
          </w:p>
        </w:tc>
        <w:tc>
          <w:tcPr>
            <w:tcW w:w="1840" w:type="dxa"/>
            <w:tcBorders>
              <w:top w:val="single" w:sz="4" w:space="0" w:color="auto"/>
              <w:left w:val="nil"/>
              <w:bottom w:val="single" w:sz="4" w:space="0" w:color="auto"/>
              <w:right w:val="single" w:sz="4" w:space="0" w:color="auto"/>
            </w:tcBorders>
            <w:shd w:val="clear" w:color="DCE6F1" w:fill="BFBFBF"/>
            <w:vAlign w:val="bottom"/>
            <w:hideMark/>
          </w:tcPr>
          <w:p w14:paraId="116CEB3C" w14:textId="77777777" w:rsidR="00663264" w:rsidRPr="00F46239" w:rsidRDefault="00663264" w:rsidP="00F33DD4">
            <w:pPr>
              <w:keepNext/>
              <w:spacing w:after="0"/>
              <w:rPr>
                <w:rFonts w:ascii="Calibri" w:eastAsia="Times New Roman" w:hAnsi="Calibri" w:cs="Times New Roman"/>
                <w:b/>
                <w:bCs/>
                <w:color w:val="000000"/>
                <w:sz w:val="22"/>
                <w:szCs w:val="22"/>
              </w:rPr>
            </w:pPr>
            <w:r w:rsidRPr="00F46239">
              <w:rPr>
                <w:rFonts w:ascii="Calibri" w:eastAsia="Times New Roman" w:hAnsi="Calibri" w:cs="Times New Roman"/>
                <w:b/>
                <w:bCs/>
                <w:color w:val="000000"/>
                <w:sz w:val="22"/>
                <w:szCs w:val="22"/>
              </w:rPr>
              <w:t>Prevention of recurrent venous thromboembolism</w:t>
            </w:r>
          </w:p>
        </w:tc>
        <w:tc>
          <w:tcPr>
            <w:tcW w:w="1840" w:type="dxa"/>
            <w:tcBorders>
              <w:top w:val="single" w:sz="4" w:space="0" w:color="auto"/>
              <w:left w:val="nil"/>
              <w:bottom w:val="single" w:sz="4" w:space="0" w:color="auto"/>
              <w:right w:val="single" w:sz="4" w:space="0" w:color="auto"/>
            </w:tcBorders>
            <w:shd w:val="clear" w:color="DCE6F1" w:fill="BFBFBF"/>
            <w:vAlign w:val="bottom"/>
            <w:hideMark/>
          </w:tcPr>
          <w:p w14:paraId="1A89204F" w14:textId="77777777" w:rsidR="00663264" w:rsidRPr="00F46239" w:rsidRDefault="00663264" w:rsidP="00F33DD4">
            <w:pPr>
              <w:keepNext/>
              <w:spacing w:after="0"/>
              <w:rPr>
                <w:rFonts w:ascii="Calibri" w:eastAsia="Times New Roman" w:hAnsi="Calibri" w:cs="Times New Roman"/>
                <w:b/>
                <w:bCs/>
                <w:color w:val="000000"/>
                <w:sz w:val="22"/>
                <w:szCs w:val="22"/>
              </w:rPr>
            </w:pPr>
            <w:r w:rsidRPr="00F46239">
              <w:rPr>
                <w:rFonts w:ascii="Calibri" w:eastAsia="Times New Roman" w:hAnsi="Calibri" w:cs="Times New Roman"/>
                <w:b/>
                <w:bCs/>
                <w:color w:val="000000"/>
                <w:sz w:val="22"/>
                <w:szCs w:val="22"/>
              </w:rPr>
              <w:t>Total DVT</w:t>
            </w:r>
          </w:p>
        </w:tc>
      </w:tr>
      <w:tr w:rsidR="00663264" w:rsidRPr="00F46239" w14:paraId="40252023" w14:textId="77777777" w:rsidTr="00F33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D8C8671" w14:textId="77777777" w:rsidR="00663264" w:rsidRPr="00F46239" w:rsidRDefault="00663264" w:rsidP="00F33DD4">
            <w:pPr>
              <w:keepNext/>
              <w:spacing w:after="0"/>
              <w:rPr>
                <w:rFonts w:ascii="Calibri" w:eastAsia="Times New Roman" w:hAnsi="Calibri" w:cs="Times New Roman"/>
                <w:sz w:val="22"/>
                <w:szCs w:val="22"/>
              </w:rPr>
            </w:pPr>
            <w:r w:rsidRPr="00F46239">
              <w:rPr>
                <w:rFonts w:ascii="Calibri" w:eastAsia="Times New Roman" w:hAnsi="Calibri" w:cs="Times New Roman"/>
                <w:sz w:val="22"/>
                <w:szCs w:val="22"/>
              </w:rPr>
              <w:t>Year 1</w:t>
            </w:r>
          </w:p>
        </w:tc>
        <w:tc>
          <w:tcPr>
            <w:tcW w:w="1840" w:type="dxa"/>
            <w:tcBorders>
              <w:top w:val="nil"/>
              <w:left w:val="nil"/>
              <w:bottom w:val="single" w:sz="4" w:space="0" w:color="auto"/>
              <w:right w:val="single" w:sz="4" w:space="0" w:color="auto"/>
            </w:tcBorders>
            <w:shd w:val="clear" w:color="auto" w:fill="auto"/>
            <w:noWrap/>
            <w:vAlign w:val="bottom"/>
            <w:hideMark/>
          </w:tcPr>
          <w:p w14:paraId="630E485C" w14:textId="77777777" w:rsidR="00663264" w:rsidRPr="00F46239" w:rsidRDefault="00663264" w:rsidP="00F33DD4">
            <w:pPr>
              <w:keepNext/>
              <w:spacing w:after="0"/>
              <w:jc w:val="right"/>
              <w:rPr>
                <w:rFonts w:ascii="Calibri" w:eastAsia="Times New Roman" w:hAnsi="Calibri" w:cs="Times New Roman"/>
                <w:sz w:val="22"/>
                <w:szCs w:val="22"/>
              </w:rPr>
            </w:pPr>
            <w:r w:rsidRPr="00F46239">
              <w:rPr>
                <w:rFonts w:ascii="Calibri" w:eastAsia="Times New Roman" w:hAnsi="Calibri" w:cs="Times New Roman"/>
                <w:sz w:val="22"/>
                <w:szCs w:val="22"/>
              </w:rPr>
              <w:t xml:space="preserve">$2.1 M </w:t>
            </w:r>
          </w:p>
        </w:tc>
        <w:tc>
          <w:tcPr>
            <w:tcW w:w="1840" w:type="dxa"/>
            <w:tcBorders>
              <w:top w:val="nil"/>
              <w:left w:val="nil"/>
              <w:bottom w:val="single" w:sz="4" w:space="0" w:color="auto"/>
              <w:right w:val="single" w:sz="4" w:space="0" w:color="auto"/>
            </w:tcBorders>
            <w:shd w:val="clear" w:color="auto" w:fill="auto"/>
            <w:noWrap/>
            <w:vAlign w:val="bottom"/>
            <w:hideMark/>
          </w:tcPr>
          <w:p w14:paraId="35FACAD0" w14:textId="77777777" w:rsidR="00663264" w:rsidRPr="00F46239" w:rsidRDefault="00663264" w:rsidP="00F33DD4">
            <w:pPr>
              <w:keepNext/>
              <w:spacing w:after="0"/>
              <w:jc w:val="right"/>
              <w:rPr>
                <w:rFonts w:ascii="Calibri" w:eastAsia="Times New Roman" w:hAnsi="Calibri" w:cs="Times New Roman"/>
                <w:sz w:val="22"/>
                <w:szCs w:val="22"/>
              </w:rPr>
            </w:pPr>
            <w:r w:rsidRPr="00F46239">
              <w:rPr>
                <w:rFonts w:ascii="Calibri" w:eastAsia="Times New Roman" w:hAnsi="Calibri" w:cs="Times New Roman"/>
                <w:sz w:val="22"/>
                <w:szCs w:val="22"/>
              </w:rPr>
              <w:t xml:space="preserve">$1.8 M </w:t>
            </w:r>
          </w:p>
        </w:tc>
        <w:tc>
          <w:tcPr>
            <w:tcW w:w="1840" w:type="dxa"/>
            <w:tcBorders>
              <w:top w:val="nil"/>
              <w:left w:val="nil"/>
              <w:bottom w:val="single" w:sz="4" w:space="0" w:color="auto"/>
              <w:right w:val="single" w:sz="4" w:space="0" w:color="auto"/>
            </w:tcBorders>
            <w:shd w:val="clear" w:color="auto" w:fill="auto"/>
            <w:noWrap/>
            <w:vAlign w:val="bottom"/>
            <w:hideMark/>
          </w:tcPr>
          <w:p w14:paraId="71435BC9" w14:textId="77777777" w:rsidR="00663264" w:rsidRPr="00F46239" w:rsidRDefault="00663264" w:rsidP="00F33DD4">
            <w:pPr>
              <w:keepNext/>
              <w:spacing w:after="0"/>
              <w:jc w:val="right"/>
              <w:rPr>
                <w:rFonts w:ascii="Calibri" w:eastAsia="Times New Roman" w:hAnsi="Calibri" w:cs="Times New Roman"/>
                <w:sz w:val="22"/>
                <w:szCs w:val="22"/>
              </w:rPr>
            </w:pPr>
            <w:r w:rsidRPr="00F46239">
              <w:rPr>
                <w:rFonts w:ascii="Calibri" w:eastAsia="Times New Roman" w:hAnsi="Calibri" w:cs="Times New Roman"/>
                <w:sz w:val="22"/>
                <w:szCs w:val="22"/>
              </w:rPr>
              <w:t xml:space="preserve">$3.9 M </w:t>
            </w:r>
          </w:p>
        </w:tc>
      </w:tr>
      <w:tr w:rsidR="00663264" w:rsidRPr="00F46239" w14:paraId="4CFF50BB" w14:textId="77777777" w:rsidTr="00F33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6B4EAAC4" w14:textId="77777777" w:rsidR="00663264" w:rsidRPr="00F46239" w:rsidRDefault="00663264" w:rsidP="00F33DD4">
            <w:pPr>
              <w:keepNext/>
              <w:spacing w:after="0"/>
              <w:rPr>
                <w:rFonts w:ascii="Calibri" w:eastAsia="Times New Roman" w:hAnsi="Calibri" w:cs="Times New Roman"/>
                <w:sz w:val="22"/>
                <w:szCs w:val="22"/>
              </w:rPr>
            </w:pPr>
            <w:r w:rsidRPr="00F46239">
              <w:rPr>
                <w:rFonts w:ascii="Calibri" w:eastAsia="Times New Roman" w:hAnsi="Calibri" w:cs="Times New Roman"/>
                <w:sz w:val="22"/>
                <w:szCs w:val="22"/>
              </w:rPr>
              <w:t>Year 2 (partial)</w:t>
            </w:r>
            <w:r>
              <w:rPr>
                <w:rFonts w:ascii="Calibri" w:eastAsia="Times New Roman" w:hAnsi="Calibri" w:cs="Times New Roman"/>
                <w:sz w:val="22"/>
                <w:szCs w:val="22"/>
              </w:rPr>
              <w:t>*</w:t>
            </w:r>
          </w:p>
        </w:tc>
        <w:tc>
          <w:tcPr>
            <w:tcW w:w="1840" w:type="dxa"/>
            <w:tcBorders>
              <w:top w:val="nil"/>
              <w:left w:val="nil"/>
              <w:bottom w:val="single" w:sz="4" w:space="0" w:color="auto"/>
              <w:right w:val="single" w:sz="4" w:space="0" w:color="auto"/>
            </w:tcBorders>
            <w:shd w:val="clear" w:color="auto" w:fill="auto"/>
            <w:noWrap/>
            <w:vAlign w:val="bottom"/>
            <w:hideMark/>
          </w:tcPr>
          <w:p w14:paraId="43FA090E" w14:textId="77777777" w:rsidR="00663264" w:rsidRPr="00F46239" w:rsidRDefault="00663264" w:rsidP="00F33DD4">
            <w:pPr>
              <w:keepNext/>
              <w:spacing w:after="0"/>
              <w:jc w:val="right"/>
              <w:rPr>
                <w:rFonts w:ascii="Calibri" w:eastAsia="Times New Roman" w:hAnsi="Calibri" w:cs="Times New Roman"/>
                <w:sz w:val="22"/>
                <w:szCs w:val="22"/>
              </w:rPr>
            </w:pPr>
            <w:r w:rsidRPr="00F46239">
              <w:rPr>
                <w:rFonts w:ascii="Calibri" w:eastAsia="Times New Roman" w:hAnsi="Calibri" w:cs="Times New Roman"/>
                <w:sz w:val="22"/>
                <w:szCs w:val="22"/>
              </w:rPr>
              <w:t xml:space="preserve">$1.7 M </w:t>
            </w:r>
          </w:p>
        </w:tc>
        <w:tc>
          <w:tcPr>
            <w:tcW w:w="1840" w:type="dxa"/>
            <w:tcBorders>
              <w:top w:val="nil"/>
              <w:left w:val="nil"/>
              <w:bottom w:val="single" w:sz="4" w:space="0" w:color="auto"/>
              <w:right w:val="single" w:sz="4" w:space="0" w:color="auto"/>
            </w:tcBorders>
            <w:shd w:val="clear" w:color="auto" w:fill="auto"/>
            <w:noWrap/>
            <w:vAlign w:val="bottom"/>
            <w:hideMark/>
          </w:tcPr>
          <w:p w14:paraId="6A3A2E7B" w14:textId="77777777" w:rsidR="00663264" w:rsidRPr="00F46239" w:rsidRDefault="00663264" w:rsidP="00F33DD4">
            <w:pPr>
              <w:keepNext/>
              <w:spacing w:after="0"/>
              <w:jc w:val="right"/>
              <w:rPr>
                <w:rFonts w:ascii="Calibri" w:eastAsia="Times New Roman" w:hAnsi="Calibri" w:cs="Times New Roman"/>
                <w:sz w:val="22"/>
                <w:szCs w:val="22"/>
              </w:rPr>
            </w:pPr>
            <w:r w:rsidRPr="00F46239">
              <w:rPr>
                <w:rFonts w:ascii="Calibri" w:eastAsia="Times New Roman" w:hAnsi="Calibri" w:cs="Times New Roman"/>
                <w:sz w:val="22"/>
                <w:szCs w:val="22"/>
              </w:rPr>
              <w:t xml:space="preserve">$1.4 M </w:t>
            </w:r>
          </w:p>
        </w:tc>
        <w:tc>
          <w:tcPr>
            <w:tcW w:w="1840" w:type="dxa"/>
            <w:tcBorders>
              <w:top w:val="nil"/>
              <w:left w:val="nil"/>
              <w:bottom w:val="single" w:sz="4" w:space="0" w:color="auto"/>
              <w:right w:val="single" w:sz="4" w:space="0" w:color="auto"/>
            </w:tcBorders>
            <w:shd w:val="clear" w:color="auto" w:fill="auto"/>
            <w:noWrap/>
            <w:vAlign w:val="bottom"/>
            <w:hideMark/>
          </w:tcPr>
          <w:p w14:paraId="55162110" w14:textId="77777777" w:rsidR="00663264" w:rsidRPr="00F46239" w:rsidRDefault="00663264" w:rsidP="00F33DD4">
            <w:pPr>
              <w:keepNext/>
              <w:spacing w:after="0"/>
              <w:jc w:val="right"/>
              <w:rPr>
                <w:rFonts w:ascii="Calibri" w:eastAsia="Times New Roman" w:hAnsi="Calibri" w:cs="Times New Roman"/>
                <w:sz w:val="22"/>
                <w:szCs w:val="22"/>
              </w:rPr>
            </w:pPr>
            <w:r w:rsidRPr="00F46239">
              <w:rPr>
                <w:rFonts w:ascii="Calibri" w:eastAsia="Times New Roman" w:hAnsi="Calibri" w:cs="Times New Roman"/>
                <w:sz w:val="22"/>
                <w:szCs w:val="22"/>
              </w:rPr>
              <w:t xml:space="preserve">$3.1 M </w:t>
            </w:r>
          </w:p>
        </w:tc>
      </w:tr>
    </w:tbl>
    <w:p w14:paraId="79C901AD" w14:textId="77777777" w:rsidR="00663264" w:rsidRDefault="00663264" w:rsidP="00240FAD">
      <w:pPr>
        <w:pStyle w:val="Figurecaption"/>
      </w:pPr>
      <w:r w:rsidRPr="003E31E9">
        <w:t>*Year 2 of DVT includes December 201</w:t>
      </w:r>
      <w:r>
        <w:t>3</w:t>
      </w:r>
      <w:r w:rsidRPr="003E31E9">
        <w:t xml:space="preserve"> to March 201</w:t>
      </w:r>
      <w:r>
        <w:t>4</w:t>
      </w:r>
    </w:p>
    <w:p w14:paraId="6FABCC0C" w14:textId="77777777" w:rsidR="006F5D2E" w:rsidRDefault="006F5D2E" w:rsidP="00240FAD">
      <w:pPr>
        <w:pStyle w:val="Figurecaption"/>
      </w:pPr>
      <w:r>
        <w:t xml:space="preserve">The expenditure is based on the published price for </w:t>
      </w:r>
      <w:proofErr w:type="spellStart"/>
      <w:r>
        <w:t>rivaroxaban</w:t>
      </w:r>
      <w:proofErr w:type="spellEnd"/>
      <w:r>
        <w:t>, not the actual price, as a Special Pricing Arrangement Applies.</w:t>
      </w:r>
    </w:p>
    <w:p w14:paraId="2F5251B2" w14:textId="77777777" w:rsidR="00663264" w:rsidRPr="003E31E9" w:rsidRDefault="00663264" w:rsidP="00663264">
      <w:pPr>
        <w:pStyle w:val="Tabletitle"/>
      </w:pPr>
      <w:bookmarkStart w:id="4" w:name="_Ref396827370"/>
      <w:r>
        <w:t xml:space="preserve">Table </w:t>
      </w:r>
      <w:fldSimple w:instr=" SEQ Table \* ARABIC ">
        <w:r w:rsidR="00F25CCC">
          <w:rPr>
            <w:noProof/>
          </w:rPr>
          <w:t>8</w:t>
        </w:r>
      </w:fldSimple>
      <w:bookmarkEnd w:id="4"/>
      <w:r>
        <w:t>:</w:t>
      </w:r>
      <w:r w:rsidRPr="003E31E9">
        <w:t xml:space="preserve"> </w:t>
      </w:r>
      <w:r>
        <w:t xml:space="preserve">Expenditure for </w:t>
      </w:r>
      <w:proofErr w:type="spellStart"/>
      <w:r>
        <w:t>rivaroxaban</w:t>
      </w:r>
      <w:proofErr w:type="spellEnd"/>
      <w:r>
        <w:t xml:space="preserve"> for pulmonary embolism</w:t>
      </w:r>
    </w:p>
    <w:tbl>
      <w:tblPr>
        <w:tblW w:w="3843" w:type="dxa"/>
        <w:tblInd w:w="93" w:type="dxa"/>
        <w:tblLook w:val="04A0" w:firstRow="1" w:lastRow="0" w:firstColumn="1" w:lastColumn="0" w:noHBand="0" w:noVBand="1"/>
      </w:tblPr>
      <w:tblGrid>
        <w:gridCol w:w="1840"/>
        <w:gridCol w:w="2003"/>
      </w:tblGrid>
      <w:tr w:rsidR="00663264" w:rsidRPr="004E6439" w14:paraId="7008346D" w14:textId="77777777" w:rsidTr="00F33DD4">
        <w:trPr>
          <w:trHeight w:val="600"/>
        </w:trPr>
        <w:tc>
          <w:tcPr>
            <w:tcW w:w="18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414D948" w14:textId="77777777" w:rsidR="00663264" w:rsidRPr="004E6439" w:rsidRDefault="00663264" w:rsidP="00F33DD4">
            <w:pPr>
              <w:keepNext/>
              <w:spacing w:after="0"/>
              <w:rPr>
                <w:rFonts w:ascii="Calibri" w:eastAsia="Times New Roman" w:hAnsi="Calibri" w:cs="Times New Roman"/>
                <w:sz w:val="22"/>
                <w:szCs w:val="22"/>
              </w:rPr>
            </w:pPr>
            <w:r w:rsidRPr="004E6439">
              <w:rPr>
                <w:rFonts w:ascii="Calibri" w:eastAsia="Times New Roman" w:hAnsi="Calibri" w:cs="Times New Roman"/>
                <w:sz w:val="22"/>
                <w:szCs w:val="22"/>
              </w:rPr>
              <w:t> </w:t>
            </w:r>
          </w:p>
        </w:tc>
        <w:tc>
          <w:tcPr>
            <w:tcW w:w="2003" w:type="dxa"/>
            <w:tcBorders>
              <w:top w:val="single" w:sz="4" w:space="0" w:color="auto"/>
              <w:left w:val="nil"/>
              <w:bottom w:val="single" w:sz="4" w:space="0" w:color="auto"/>
              <w:right w:val="single" w:sz="4" w:space="0" w:color="auto"/>
            </w:tcBorders>
            <w:shd w:val="clear" w:color="DCE6F1" w:fill="BFBFBF"/>
            <w:vAlign w:val="bottom"/>
            <w:hideMark/>
          </w:tcPr>
          <w:p w14:paraId="2EE05ACD" w14:textId="77777777" w:rsidR="00663264" w:rsidRPr="004E6439" w:rsidRDefault="00663264" w:rsidP="00F33DD4">
            <w:pPr>
              <w:keepNext/>
              <w:spacing w:after="0"/>
              <w:rPr>
                <w:rFonts w:ascii="Calibri" w:eastAsia="Times New Roman" w:hAnsi="Calibri" w:cs="Times New Roman"/>
                <w:b/>
                <w:bCs/>
                <w:color w:val="000000"/>
                <w:sz w:val="22"/>
                <w:szCs w:val="22"/>
              </w:rPr>
            </w:pPr>
            <w:r w:rsidRPr="004E6439">
              <w:rPr>
                <w:rFonts w:ascii="Calibri" w:eastAsia="Times New Roman" w:hAnsi="Calibri" w:cs="Times New Roman"/>
                <w:b/>
                <w:bCs/>
                <w:color w:val="000000"/>
                <w:sz w:val="22"/>
                <w:szCs w:val="22"/>
              </w:rPr>
              <w:t>Pulmonary embolism</w:t>
            </w:r>
          </w:p>
        </w:tc>
      </w:tr>
      <w:tr w:rsidR="00663264" w:rsidRPr="004E6439" w14:paraId="4E72A62D" w14:textId="77777777" w:rsidTr="00F33DD4">
        <w:trPr>
          <w:trHeight w:val="300"/>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05D01E28" w14:textId="77777777" w:rsidR="00663264" w:rsidRPr="004E6439" w:rsidRDefault="00663264" w:rsidP="00F33DD4">
            <w:pPr>
              <w:keepNext/>
              <w:spacing w:after="0"/>
              <w:rPr>
                <w:rFonts w:ascii="Calibri" w:eastAsia="Times New Roman" w:hAnsi="Calibri" w:cs="Times New Roman"/>
                <w:sz w:val="22"/>
                <w:szCs w:val="22"/>
              </w:rPr>
            </w:pPr>
            <w:r w:rsidRPr="004E6439">
              <w:rPr>
                <w:rFonts w:ascii="Calibri" w:eastAsia="Times New Roman" w:hAnsi="Calibri" w:cs="Times New Roman"/>
                <w:sz w:val="22"/>
                <w:szCs w:val="22"/>
              </w:rPr>
              <w:t>Year 1 (partial)</w:t>
            </w:r>
            <w:r>
              <w:rPr>
                <w:rFonts w:ascii="Calibri" w:eastAsia="Times New Roman" w:hAnsi="Calibri" w:cs="Times New Roman"/>
                <w:sz w:val="22"/>
                <w:szCs w:val="22"/>
              </w:rPr>
              <w:t>*</w:t>
            </w:r>
          </w:p>
        </w:tc>
        <w:tc>
          <w:tcPr>
            <w:tcW w:w="2003" w:type="dxa"/>
            <w:tcBorders>
              <w:top w:val="nil"/>
              <w:left w:val="nil"/>
              <w:bottom w:val="single" w:sz="4" w:space="0" w:color="auto"/>
              <w:right w:val="single" w:sz="4" w:space="0" w:color="auto"/>
            </w:tcBorders>
            <w:shd w:val="clear" w:color="auto" w:fill="auto"/>
            <w:noWrap/>
            <w:vAlign w:val="bottom"/>
            <w:hideMark/>
          </w:tcPr>
          <w:p w14:paraId="1C218EDE" w14:textId="77777777" w:rsidR="00663264" w:rsidRPr="004E6439" w:rsidRDefault="00663264" w:rsidP="00F33DD4">
            <w:pPr>
              <w:keepNext/>
              <w:spacing w:after="0"/>
              <w:jc w:val="right"/>
              <w:rPr>
                <w:rFonts w:ascii="Calibri" w:eastAsia="Times New Roman" w:hAnsi="Calibri" w:cs="Times New Roman"/>
                <w:sz w:val="22"/>
                <w:szCs w:val="22"/>
              </w:rPr>
            </w:pPr>
            <w:r w:rsidRPr="004E6439">
              <w:rPr>
                <w:rFonts w:ascii="Calibri" w:eastAsia="Times New Roman" w:hAnsi="Calibri" w:cs="Times New Roman"/>
                <w:sz w:val="22"/>
                <w:szCs w:val="22"/>
              </w:rPr>
              <w:t xml:space="preserve">$1.1 M </w:t>
            </w:r>
          </w:p>
        </w:tc>
      </w:tr>
    </w:tbl>
    <w:p w14:paraId="1F5DE9C9" w14:textId="77777777" w:rsidR="00663264" w:rsidRDefault="00663264" w:rsidP="00240FAD">
      <w:pPr>
        <w:pStyle w:val="Figurecaption"/>
      </w:pPr>
      <w:r w:rsidRPr="003E31E9">
        <w:t>*Y</w:t>
      </w:r>
      <w:r>
        <w:t>ear 1 of PE includes August 2013</w:t>
      </w:r>
      <w:r w:rsidRPr="003E31E9">
        <w:t xml:space="preserve"> to March 201</w:t>
      </w:r>
      <w:r>
        <w:t>4</w:t>
      </w:r>
    </w:p>
    <w:p w14:paraId="4EC6F2C8" w14:textId="77777777" w:rsidR="00255926" w:rsidRDefault="00255926" w:rsidP="00255926">
      <w:pPr>
        <w:pStyle w:val="Figurecaption"/>
      </w:pPr>
      <w:r>
        <w:t xml:space="preserve">The expenditure is based on the published price for </w:t>
      </w:r>
      <w:proofErr w:type="spellStart"/>
      <w:r>
        <w:t>rivaroxaban</w:t>
      </w:r>
      <w:proofErr w:type="spellEnd"/>
      <w:r>
        <w:t>, not the actual price, as a Special Pricing Arrangement Applies.</w:t>
      </w:r>
    </w:p>
    <w:p w14:paraId="6324C6E0" w14:textId="77777777" w:rsidR="008C14A0" w:rsidRPr="003E31E9" w:rsidRDefault="008C14A0" w:rsidP="008C14A0"/>
    <w:p w14:paraId="34F207AF" w14:textId="5416FFB8" w:rsidR="009C0068" w:rsidRPr="009C0068" w:rsidRDefault="00663264" w:rsidP="00663264">
      <w:r>
        <w:t>The</w:t>
      </w:r>
      <w:r w:rsidRPr="00C6717D">
        <w:t xml:space="preserve"> value</w:t>
      </w:r>
      <w:r>
        <w:t xml:space="preserve">s in Tables </w:t>
      </w:r>
      <w:r w:rsidR="00C50268">
        <w:t>7</w:t>
      </w:r>
      <w:r>
        <w:t xml:space="preserve"> and </w:t>
      </w:r>
      <w:r w:rsidR="00C50268">
        <w:t>8</w:t>
      </w:r>
      <w:r>
        <w:t xml:space="preserve"> </w:t>
      </w:r>
      <w:r w:rsidRPr="00C6717D">
        <w:t>are based on date of supply</w:t>
      </w:r>
      <w:r>
        <w:t>.</w:t>
      </w:r>
      <w:r w:rsidR="007D7982">
        <w:t xml:space="preserve"> </w:t>
      </w:r>
      <w:r>
        <w:t xml:space="preserve"> T</w:t>
      </w:r>
      <w:r w:rsidRPr="00C6717D">
        <w:t xml:space="preserve">here may be small differences between </w:t>
      </w:r>
      <w:r>
        <w:t xml:space="preserve">these values and </w:t>
      </w:r>
      <w:r w:rsidRPr="00C6717D">
        <w:t>publicly available Medicare Australia date of processing data.</w:t>
      </w:r>
    </w:p>
    <w:p w14:paraId="5F22B4D8" w14:textId="319090EA" w:rsidR="00736041" w:rsidRDefault="00D151EB" w:rsidP="00E55D60">
      <w:pPr>
        <w:pStyle w:val="Heading4"/>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1B283429" w14:textId="1733C28B" w:rsidR="00B922BE" w:rsidRDefault="00C31026" w:rsidP="00B922BE">
      <w:r w:rsidRPr="00C31026">
        <w:t xml:space="preserve">The comparison of predicted and actual use of </w:t>
      </w:r>
      <w:proofErr w:type="spellStart"/>
      <w:r w:rsidRPr="00C31026">
        <w:t>rivaroxaban</w:t>
      </w:r>
      <w:proofErr w:type="spellEnd"/>
      <w:r w:rsidRPr="00C31026">
        <w:t xml:space="preserve"> for DVT includes item codes 2160Q and 2268J. </w:t>
      </w:r>
      <w:r>
        <w:t xml:space="preserve"> </w:t>
      </w:r>
      <w:r w:rsidRPr="00C31026">
        <w:t>Prescriptions supplied under the streamlined code for AF, PE or with blank or zero values have been excluded.</w:t>
      </w:r>
    </w:p>
    <w:p w14:paraId="4A9CC4D0" w14:textId="0D97F9E4" w:rsidR="004A3D45" w:rsidRDefault="004A3D45" w:rsidP="00B922BE">
      <w:r>
        <w:t xml:space="preserve">A comparison of the predicted and actual </w:t>
      </w:r>
      <w:r w:rsidR="009D2345">
        <w:t>number of patients, number of prescriptions</w:t>
      </w:r>
      <w:r>
        <w:t xml:space="preserve"> and cost of </w:t>
      </w:r>
      <w:proofErr w:type="spellStart"/>
      <w:r>
        <w:t>rivaroxaban</w:t>
      </w:r>
      <w:proofErr w:type="spellEnd"/>
      <w:r>
        <w:t xml:space="preserve"> in the first two years of listing</w:t>
      </w:r>
      <w:r w:rsidR="009D2345">
        <w:t xml:space="preserve"> for the treatment of DVT and </w:t>
      </w:r>
      <w:r w:rsidR="005C5455">
        <w:t>the prevention of recurrent VTE is presented in Table 9.</w:t>
      </w:r>
    </w:p>
    <w:p w14:paraId="15CBDE16" w14:textId="77777777" w:rsidR="008C7228" w:rsidRDefault="008C7228" w:rsidP="008C7228">
      <w:pPr>
        <w:pStyle w:val="Tabletitle"/>
      </w:pPr>
      <w:bookmarkStart w:id="5" w:name="_Ref396924560"/>
      <w:r>
        <w:t xml:space="preserve">Table </w:t>
      </w:r>
      <w:fldSimple w:instr=" SEQ Table \* ARABIC ">
        <w:r w:rsidR="00F25CCC">
          <w:rPr>
            <w:noProof/>
          </w:rPr>
          <w:t>9</w:t>
        </w:r>
      </w:fldSimple>
      <w:bookmarkEnd w:id="5"/>
      <w:r>
        <w:t>:</w:t>
      </w:r>
      <w:r w:rsidRPr="001E04D2">
        <w:t xml:space="preserve"> </w:t>
      </w:r>
      <w:r>
        <w:t xml:space="preserve">Comparison of predicted and actual prescriptions and cost to the Commonwealth for </w:t>
      </w:r>
      <w:proofErr w:type="spellStart"/>
      <w:r>
        <w:t>rivaroxaban</w:t>
      </w:r>
      <w:proofErr w:type="spellEnd"/>
      <w:r>
        <w:t xml:space="preserve"> for DVT in the first two years of listing</w:t>
      </w:r>
    </w:p>
    <w:tbl>
      <w:tblPr>
        <w:tblW w:w="8987" w:type="dxa"/>
        <w:tblLayout w:type="fixed"/>
        <w:tblCellMar>
          <w:left w:w="0" w:type="dxa"/>
          <w:right w:w="0" w:type="dxa"/>
        </w:tblCellMar>
        <w:tblLook w:val="04A0" w:firstRow="1" w:lastRow="0" w:firstColumn="1" w:lastColumn="0" w:noHBand="0" w:noVBand="1"/>
      </w:tblPr>
      <w:tblGrid>
        <w:gridCol w:w="629"/>
        <w:gridCol w:w="946"/>
        <w:gridCol w:w="926"/>
        <w:gridCol w:w="916"/>
        <w:gridCol w:w="937"/>
        <w:gridCol w:w="927"/>
        <w:gridCol w:w="971"/>
        <w:gridCol w:w="882"/>
        <w:gridCol w:w="926"/>
        <w:gridCol w:w="927"/>
      </w:tblGrid>
      <w:tr w:rsidR="008C7228" w:rsidRPr="002372F5" w14:paraId="69335C67" w14:textId="77777777" w:rsidTr="00F33DD4">
        <w:trPr>
          <w:trHeight w:val="300"/>
        </w:trPr>
        <w:tc>
          <w:tcPr>
            <w:tcW w:w="629" w:type="dxa"/>
            <w:tcBorders>
              <w:top w:val="single" w:sz="4" w:space="0" w:color="auto"/>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vAlign w:val="bottom"/>
            <w:hideMark/>
          </w:tcPr>
          <w:p w14:paraId="4913A59E" w14:textId="77777777" w:rsidR="008C7228" w:rsidRPr="002372F5" w:rsidRDefault="008C7228" w:rsidP="00F33DD4">
            <w:pPr>
              <w:rPr>
                <w:rFonts w:ascii="Calibri" w:hAnsi="Calibri"/>
                <w:sz w:val="22"/>
                <w:szCs w:val="22"/>
              </w:rPr>
            </w:pPr>
            <w:r w:rsidRPr="002372F5">
              <w:rPr>
                <w:rFonts w:ascii="Calibri" w:hAnsi="Calibri"/>
                <w:sz w:val="22"/>
                <w:szCs w:val="22"/>
              </w:rPr>
              <w:t> </w:t>
            </w:r>
          </w:p>
        </w:tc>
        <w:tc>
          <w:tcPr>
            <w:tcW w:w="2788" w:type="dxa"/>
            <w:gridSpan w:val="3"/>
            <w:tcBorders>
              <w:top w:val="single" w:sz="4" w:space="0" w:color="auto"/>
              <w:left w:val="nil"/>
              <w:bottom w:val="single" w:sz="4" w:space="0" w:color="auto"/>
              <w:right w:val="single" w:sz="4" w:space="0" w:color="000000"/>
            </w:tcBorders>
            <w:shd w:val="clear" w:color="000000" w:fill="BFBFBF"/>
            <w:noWrap/>
            <w:tcMar>
              <w:top w:w="15" w:type="dxa"/>
              <w:left w:w="15" w:type="dxa"/>
              <w:bottom w:w="0" w:type="dxa"/>
              <w:right w:w="15" w:type="dxa"/>
            </w:tcMar>
            <w:vAlign w:val="center"/>
            <w:hideMark/>
          </w:tcPr>
          <w:p w14:paraId="11C57E03" w14:textId="77777777" w:rsidR="008C7228" w:rsidRPr="002372F5" w:rsidRDefault="008C7228" w:rsidP="00F33DD4">
            <w:pPr>
              <w:jc w:val="center"/>
              <w:rPr>
                <w:rFonts w:ascii="Calibri" w:hAnsi="Calibri"/>
                <w:b/>
                <w:bCs/>
                <w:sz w:val="20"/>
                <w:szCs w:val="20"/>
              </w:rPr>
            </w:pPr>
            <w:r w:rsidRPr="002372F5">
              <w:rPr>
                <w:rFonts w:ascii="Calibri" w:hAnsi="Calibri"/>
                <w:b/>
                <w:bCs/>
                <w:sz w:val="20"/>
                <w:szCs w:val="20"/>
              </w:rPr>
              <w:t>Patients</w:t>
            </w:r>
          </w:p>
        </w:tc>
        <w:tc>
          <w:tcPr>
            <w:tcW w:w="2835" w:type="dxa"/>
            <w:gridSpan w:val="3"/>
            <w:tcBorders>
              <w:top w:val="single" w:sz="4" w:space="0" w:color="auto"/>
              <w:left w:val="nil"/>
              <w:bottom w:val="single" w:sz="4" w:space="0" w:color="auto"/>
              <w:right w:val="single" w:sz="4" w:space="0" w:color="000000"/>
            </w:tcBorders>
            <w:shd w:val="clear" w:color="000000" w:fill="BFBFBF"/>
            <w:noWrap/>
            <w:tcMar>
              <w:top w:w="15" w:type="dxa"/>
              <w:left w:w="15" w:type="dxa"/>
              <w:bottom w:w="0" w:type="dxa"/>
              <w:right w:w="15" w:type="dxa"/>
            </w:tcMar>
            <w:vAlign w:val="center"/>
            <w:hideMark/>
          </w:tcPr>
          <w:p w14:paraId="607FE3DF" w14:textId="77777777" w:rsidR="008C7228" w:rsidRPr="002372F5" w:rsidRDefault="008C7228" w:rsidP="00F33DD4">
            <w:pPr>
              <w:jc w:val="center"/>
              <w:rPr>
                <w:rFonts w:ascii="Calibri" w:hAnsi="Calibri"/>
                <w:b/>
                <w:bCs/>
                <w:sz w:val="20"/>
                <w:szCs w:val="20"/>
              </w:rPr>
            </w:pPr>
            <w:r w:rsidRPr="002372F5">
              <w:rPr>
                <w:rFonts w:ascii="Calibri" w:hAnsi="Calibri"/>
                <w:b/>
                <w:bCs/>
                <w:sz w:val="20"/>
                <w:szCs w:val="20"/>
              </w:rPr>
              <w:t>Prescriptions</w:t>
            </w:r>
          </w:p>
        </w:tc>
        <w:tc>
          <w:tcPr>
            <w:tcW w:w="2735" w:type="dxa"/>
            <w:gridSpan w:val="3"/>
            <w:tcBorders>
              <w:top w:val="single" w:sz="4" w:space="0" w:color="auto"/>
              <w:left w:val="nil"/>
              <w:bottom w:val="single" w:sz="4" w:space="0" w:color="auto"/>
              <w:right w:val="single" w:sz="4" w:space="0" w:color="000000"/>
            </w:tcBorders>
            <w:shd w:val="clear" w:color="000000" w:fill="BFBFBF"/>
            <w:noWrap/>
            <w:tcMar>
              <w:top w:w="15" w:type="dxa"/>
              <w:left w:w="15" w:type="dxa"/>
              <w:bottom w:w="0" w:type="dxa"/>
              <w:right w:w="15" w:type="dxa"/>
            </w:tcMar>
            <w:vAlign w:val="center"/>
            <w:hideMark/>
          </w:tcPr>
          <w:p w14:paraId="2555D75A" w14:textId="77777777" w:rsidR="008C7228" w:rsidRPr="002372F5" w:rsidRDefault="008C7228" w:rsidP="00F33DD4">
            <w:pPr>
              <w:jc w:val="center"/>
              <w:rPr>
                <w:rFonts w:ascii="Calibri" w:hAnsi="Calibri"/>
                <w:b/>
                <w:bCs/>
                <w:sz w:val="20"/>
                <w:szCs w:val="20"/>
              </w:rPr>
            </w:pPr>
            <w:r w:rsidRPr="002372F5">
              <w:rPr>
                <w:rFonts w:ascii="Calibri" w:hAnsi="Calibri"/>
                <w:b/>
                <w:bCs/>
                <w:sz w:val="20"/>
                <w:szCs w:val="20"/>
              </w:rPr>
              <w:t>Benefit</w:t>
            </w:r>
          </w:p>
        </w:tc>
      </w:tr>
      <w:tr w:rsidR="008C7228" w:rsidRPr="002372F5" w14:paraId="21CBB4FC" w14:textId="77777777" w:rsidTr="00F33DD4">
        <w:trPr>
          <w:trHeight w:val="1530"/>
        </w:trPr>
        <w:tc>
          <w:tcPr>
            <w:tcW w:w="629" w:type="dxa"/>
            <w:tcBorders>
              <w:top w:val="nil"/>
              <w:left w:val="single" w:sz="4" w:space="0" w:color="auto"/>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726CCAE9" w14:textId="77777777" w:rsidR="008C7228" w:rsidRPr="002372F5" w:rsidRDefault="008C7228" w:rsidP="00F33DD4">
            <w:pPr>
              <w:rPr>
                <w:rFonts w:ascii="Calibri" w:hAnsi="Calibri"/>
                <w:sz w:val="22"/>
                <w:szCs w:val="22"/>
              </w:rPr>
            </w:pPr>
            <w:r w:rsidRPr="002372F5">
              <w:rPr>
                <w:rFonts w:ascii="Calibri" w:hAnsi="Calibri"/>
                <w:sz w:val="22"/>
                <w:szCs w:val="22"/>
              </w:rPr>
              <w:t> </w:t>
            </w:r>
          </w:p>
        </w:tc>
        <w:tc>
          <w:tcPr>
            <w:tcW w:w="946"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52B13146" w14:textId="77777777" w:rsidR="008C7228" w:rsidRPr="002372F5" w:rsidRDefault="008C7228" w:rsidP="00F33DD4">
            <w:pPr>
              <w:jc w:val="center"/>
              <w:rPr>
                <w:rFonts w:ascii="Calibri" w:hAnsi="Calibri"/>
                <w:b/>
                <w:bCs/>
                <w:sz w:val="20"/>
                <w:szCs w:val="20"/>
              </w:rPr>
            </w:pPr>
            <w:r w:rsidRPr="002372F5">
              <w:rPr>
                <w:rFonts w:ascii="Calibri" w:hAnsi="Calibri"/>
                <w:b/>
                <w:bCs/>
                <w:sz w:val="20"/>
                <w:szCs w:val="20"/>
              </w:rPr>
              <w:t>Predicted</w:t>
            </w:r>
          </w:p>
        </w:tc>
        <w:tc>
          <w:tcPr>
            <w:tcW w:w="926"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72BC222B" w14:textId="77777777" w:rsidR="008C7228" w:rsidRPr="002372F5" w:rsidRDefault="008C7228" w:rsidP="00F33DD4">
            <w:pPr>
              <w:jc w:val="center"/>
              <w:rPr>
                <w:rFonts w:ascii="Calibri" w:hAnsi="Calibri"/>
                <w:b/>
                <w:bCs/>
                <w:sz w:val="20"/>
                <w:szCs w:val="20"/>
              </w:rPr>
            </w:pPr>
            <w:r w:rsidRPr="002372F5">
              <w:rPr>
                <w:rFonts w:ascii="Calibri" w:hAnsi="Calibri"/>
                <w:b/>
                <w:bCs/>
                <w:sz w:val="20"/>
                <w:szCs w:val="20"/>
              </w:rPr>
              <w:t>Actual</w:t>
            </w:r>
          </w:p>
        </w:tc>
        <w:tc>
          <w:tcPr>
            <w:tcW w:w="916"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3677C05C" w14:textId="77777777" w:rsidR="008C7228" w:rsidRPr="002372F5" w:rsidRDefault="008C7228" w:rsidP="00F33DD4">
            <w:pPr>
              <w:jc w:val="center"/>
              <w:rPr>
                <w:rFonts w:ascii="Calibri" w:hAnsi="Calibri"/>
                <w:b/>
                <w:bCs/>
                <w:sz w:val="20"/>
                <w:szCs w:val="20"/>
              </w:rPr>
            </w:pPr>
            <w:r w:rsidRPr="002372F5">
              <w:rPr>
                <w:rFonts w:ascii="Calibri" w:hAnsi="Calibri"/>
                <w:b/>
                <w:bCs/>
                <w:sz w:val="20"/>
                <w:szCs w:val="20"/>
              </w:rPr>
              <w:t>Number of  times higher the actual is than the predicted</w:t>
            </w:r>
          </w:p>
        </w:tc>
        <w:tc>
          <w:tcPr>
            <w:tcW w:w="937"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2B1B631D" w14:textId="77777777" w:rsidR="008C7228" w:rsidRPr="002372F5" w:rsidRDefault="008C7228" w:rsidP="00F33DD4">
            <w:pPr>
              <w:jc w:val="center"/>
              <w:rPr>
                <w:rFonts w:ascii="Calibri" w:hAnsi="Calibri"/>
                <w:b/>
                <w:bCs/>
                <w:sz w:val="20"/>
                <w:szCs w:val="20"/>
              </w:rPr>
            </w:pPr>
            <w:r w:rsidRPr="002372F5">
              <w:rPr>
                <w:rFonts w:ascii="Calibri" w:hAnsi="Calibri"/>
                <w:b/>
                <w:bCs/>
                <w:sz w:val="20"/>
                <w:szCs w:val="20"/>
              </w:rPr>
              <w:t>Predicted</w:t>
            </w:r>
          </w:p>
        </w:tc>
        <w:tc>
          <w:tcPr>
            <w:tcW w:w="927"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54B61345" w14:textId="77777777" w:rsidR="008C7228" w:rsidRPr="002372F5" w:rsidRDefault="008C7228" w:rsidP="00F33DD4">
            <w:pPr>
              <w:jc w:val="center"/>
              <w:rPr>
                <w:rFonts w:ascii="Calibri" w:hAnsi="Calibri"/>
                <w:b/>
                <w:bCs/>
                <w:sz w:val="20"/>
                <w:szCs w:val="20"/>
              </w:rPr>
            </w:pPr>
            <w:r w:rsidRPr="002372F5">
              <w:rPr>
                <w:rFonts w:ascii="Calibri" w:hAnsi="Calibri"/>
                <w:b/>
                <w:bCs/>
                <w:sz w:val="20"/>
                <w:szCs w:val="20"/>
              </w:rPr>
              <w:t>Actual</w:t>
            </w:r>
          </w:p>
        </w:tc>
        <w:tc>
          <w:tcPr>
            <w:tcW w:w="971"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680E1FB2" w14:textId="77777777" w:rsidR="008C7228" w:rsidRPr="002372F5" w:rsidRDefault="008C7228" w:rsidP="00F33DD4">
            <w:pPr>
              <w:jc w:val="center"/>
              <w:rPr>
                <w:rFonts w:ascii="Calibri" w:hAnsi="Calibri"/>
                <w:b/>
                <w:bCs/>
                <w:sz w:val="20"/>
                <w:szCs w:val="20"/>
              </w:rPr>
            </w:pPr>
            <w:r w:rsidRPr="002372F5">
              <w:rPr>
                <w:rFonts w:ascii="Calibri" w:hAnsi="Calibri"/>
                <w:b/>
                <w:bCs/>
                <w:sz w:val="20"/>
                <w:szCs w:val="20"/>
              </w:rPr>
              <w:t>Number of  times higher the actual is than the predicted</w:t>
            </w:r>
          </w:p>
        </w:tc>
        <w:tc>
          <w:tcPr>
            <w:tcW w:w="882"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00E2E382" w14:textId="77777777" w:rsidR="008C7228" w:rsidRPr="002372F5" w:rsidRDefault="008C7228" w:rsidP="00F33DD4">
            <w:pPr>
              <w:jc w:val="center"/>
              <w:rPr>
                <w:rFonts w:ascii="Calibri" w:hAnsi="Calibri"/>
                <w:b/>
                <w:bCs/>
                <w:sz w:val="20"/>
                <w:szCs w:val="20"/>
              </w:rPr>
            </w:pPr>
            <w:r w:rsidRPr="002372F5">
              <w:rPr>
                <w:rFonts w:ascii="Calibri" w:hAnsi="Calibri"/>
                <w:b/>
                <w:bCs/>
                <w:sz w:val="20"/>
                <w:szCs w:val="20"/>
              </w:rPr>
              <w:t>Predicted (millions)</w:t>
            </w:r>
          </w:p>
        </w:tc>
        <w:tc>
          <w:tcPr>
            <w:tcW w:w="926"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center"/>
            <w:hideMark/>
          </w:tcPr>
          <w:p w14:paraId="1B3E9EA9" w14:textId="77777777" w:rsidR="008C7228" w:rsidRPr="002372F5" w:rsidRDefault="008C7228" w:rsidP="00F33DD4">
            <w:pPr>
              <w:jc w:val="center"/>
              <w:rPr>
                <w:rFonts w:ascii="Calibri" w:hAnsi="Calibri"/>
                <w:b/>
                <w:bCs/>
                <w:sz w:val="20"/>
                <w:szCs w:val="20"/>
              </w:rPr>
            </w:pPr>
            <w:r w:rsidRPr="002372F5">
              <w:rPr>
                <w:rFonts w:ascii="Calibri" w:hAnsi="Calibri"/>
                <w:b/>
                <w:bCs/>
                <w:sz w:val="20"/>
                <w:szCs w:val="20"/>
              </w:rPr>
              <w:t>Actual (millions)</w:t>
            </w:r>
          </w:p>
        </w:tc>
        <w:tc>
          <w:tcPr>
            <w:tcW w:w="927"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4C598838" w14:textId="77777777" w:rsidR="008C7228" w:rsidRPr="002372F5" w:rsidRDefault="008C7228" w:rsidP="00F33DD4">
            <w:pPr>
              <w:jc w:val="center"/>
              <w:rPr>
                <w:rFonts w:ascii="Calibri" w:hAnsi="Calibri"/>
                <w:b/>
                <w:bCs/>
                <w:sz w:val="20"/>
                <w:szCs w:val="20"/>
              </w:rPr>
            </w:pPr>
            <w:r w:rsidRPr="002372F5">
              <w:rPr>
                <w:rFonts w:ascii="Calibri" w:hAnsi="Calibri"/>
                <w:b/>
                <w:bCs/>
                <w:sz w:val="20"/>
                <w:szCs w:val="20"/>
              </w:rPr>
              <w:t>Number of  times higher the actual is than the predicted</w:t>
            </w:r>
          </w:p>
        </w:tc>
      </w:tr>
      <w:tr w:rsidR="008C7228" w:rsidRPr="002372F5" w14:paraId="0AB4852E" w14:textId="77777777" w:rsidTr="00F33DD4">
        <w:trPr>
          <w:trHeight w:val="300"/>
        </w:trPr>
        <w:tc>
          <w:tcPr>
            <w:tcW w:w="6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AE13E" w14:textId="77777777" w:rsidR="008C7228" w:rsidRPr="002372F5" w:rsidRDefault="008C7228" w:rsidP="00F33DD4">
            <w:pPr>
              <w:jc w:val="center"/>
              <w:rPr>
                <w:rFonts w:ascii="Calibri" w:hAnsi="Calibri"/>
                <w:sz w:val="20"/>
                <w:szCs w:val="20"/>
              </w:rPr>
            </w:pPr>
            <w:r w:rsidRPr="002372F5">
              <w:rPr>
                <w:rFonts w:ascii="Calibri" w:hAnsi="Calibri"/>
                <w:sz w:val="20"/>
                <w:szCs w:val="20"/>
              </w:rPr>
              <w:t>Year 1</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FDC1E" w14:textId="77777777" w:rsidR="008C7228" w:rsidRPr="002372F5" w:rsidRDefault="008C7228" w:rsidP="00F33DD4">
            <w:pPr>
              <w:jc w:val="center"/>
              <w:rPr>
                <w:sz w:val="20"/>
                <w:szCs w:val="20"/>
              </w:rPr>
            </w:pPr>
            <w:r w:rsidRPr="002372F5">
              <w:rPr>
                <w:sz w:val="20"/>
                <w:szCs w:val="20"/>
              </w:rPr>
              <w:t>1,804</w:t>
            </w:r>
          </w:p>
        </w:tc>
        <w:tc>
          <w:tcPr>
            <w:tcW w:w="9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C4782" w14:textId="77777777" w:rsidR="008C7228" w:rsidRPr="002372F5" w:rsidRDefault="008C7228" w:rsidP="00F33DD4">
            <w:pPr>
              <w:jc w:val="center"/>
              <w:rPr>
                <w:sz w:val="20"/>
                <w:szCs w:val="20"/>
              </w:rPr>
            </w:pPr>
            <w:r w:rsidRPr="002372F5">
              <w:rPr>
                <w:sz w:val="20"/>
                <w:szCs w:val="20"/>
              </w:rPr>
              <w:t xml:space="preserve">12,646 </w:t>
            </w:r>
          </w:p>
        </w:tc>
        <w:tc>
          <w:tcPr>
            <w:tcW w:w="9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0338C" w14:textId="77777777" w:rsidR="008C7228" w:rsidRPr="002372F5" w:rsidRDefault="008C7228" w:rsidP="00F33DD4">
            <w:pPr>
              <w:jc w:val="center"/>
              <w:rPr>
                <w:sz w:val="20"/>
                <w:szCs w:val="20"/>
              </w:rPr>
            </w:pPr>
            <w:r w:rsidRPr="002372F5">
              <w:rPr>
                <w:sz w:val="20"/>
                <w:szCs w:val="20"/>
              </w:rPr>
              <w:t>7.01</w:t>
            </w:r>
          </w:p>
        </w:tc>
        <w:tc>
          <w:tcPr>
            <w:tcW w:w="9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65C38" w14:textId="77777777" w:rsidR="008C7228" w:rsidRPr="002372F5" w:rsidRDefault="008C7228" w:rsidP="00F33DD4">
            <w:pPr>
              <w:jc w:val="center"/>
              <w:rPr>
                <w:rFonts w:ascii="Calibri" w:hAnsi="Calibri"/>
                <w:sz w:val="20"/>
                <w:szCs w:val="20"/>
              </w:rPr>
            </w:pPr>
            <w:r w:rsidRPr="002372F5">
              <w:rPr>
                <w:sz w:val="20"/>
                <w:szCs w:val="20"/>
              </w:rPr>
              <w:t>11,822</w:t>
            </w:r>
          </w:p>
        </w:tc>
        <w:tc>
          <w:tcPr>
            <w:tcW w:w="9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CD2CB" w14:textId="77777777" w:rsidR="008C7228" w:rsidRPr="002372F5" w:rsidRDefault="008C7228" w:rsidP="00F33DD4">
            <w:pPr>
              <w:jc w:val="center"/>
              <w:rPr>
                <w:rFonts w:ascii="Calibri" w:hAnsi="Calibri"/>
                <w:sz w:val="20"/>
                <w:szCs w:val="20"/>
              </w:rPr>
            </w:pPr>
            <w:r w:rsidRPr="002372F5">
              <w:rPr>
                <w:sz w:val="20"/>
                <w:szCs w:val="20"/>
              </w:rPr>
              <w:t>48,063</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F98B9" w14:textId="77777777" w:rsidR="008C7228" w:rsidRPr="002372F5" w:rsidRDefault="008C7228" w:rsidP="00F33DD4">
            <w:pPr>
              <w:jc w:val="center"/>
              <w:rPr>
                <w:rFonts w:ascii="Calibri" w:hAnsi="Calibri"/>
                <w:sz w:val="20"/>
                <w:szCs w:val="20"/>
              </w:rPr>
            </w:pPr>
            <w:r w:rsidRPr="002372F5">
              <w:rPr>
                <w:sz w:val="20"/>
                <w:szCs w:val="20"/>
              </w:rPr>
              <w:t>4.07</w:t>
            </w:r>
          </w:p>
        </w:tc>
        <w:tc>
          <w:tcPr>
            <w:tcW w:w="8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2EF63" w14:textId="77777777" w:rsidR="008C7228" w:rsidRPr="002372F5" w:rsidRDefault="008C7228" w:rsidP="00F33DD4">
            <w:pPr>
              <w:jc w:val="center"/>
              <w:rPr>
                <w:rFonts w:ascii="Calibri" w:hAnsi="Calibri"/>
                <w:sz w:val="20"/>
                <w:szCs w:val="20"/>
              </w:rPr>
            </w:pPr>
            <w:r w:rsidRPr="002372F5">
              <w:rPr>
                <w:sz w:val="20"/>
                <w:szCs w:val="20"/>
              </w:rPr>
              <w:t>$0.5</w:t>
            </w:r>
          </w:p>
        </w:tc>
        <w:tc>
          <w:tcPr>
            <w:tcW w:w="9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67E4F" w14:textId="77777777" w:rsidR="008C7228" w:rsidRPr="002372F5" w:rsidRDefault="008C7228" w:rsidP="00F33DD4">
            <w:pPr>
              <w:jc w:val="center"/>
              <w:rPr>
                <w:rFonts w:ascii="Calibri" w:hAnsi="Calibri"/>
                <w:sz w:val="20"/>
                <w:szCs w:val="20"/>
              </w:rPr>
            </w:pPr>
            <w:r w:rsidRPr="002372F5">
              <w:rPr>
                <w:sz w:val="20"/>
                <w:szCs w:val="20"/>
              </w:rPr>
              <w:t>$3.9</w:t>
            </w:r>
          </w:p>
        </w:tc>
        <w:tc>
          <w:tcPr>
            <w:tcW w:w="9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287244" w14:textId="77777777" w:rsidR="008C7228" w:rsidRPr="002372F5" w:rsidRDefault="008C7228" w:rsidP="00F33DD4">
            <w:pPr>
              <w:jc w:val="center"/>
              <w:rPr>
                <w:rFonts w:ascii="Calibri" w:hAnsi="Calibri"/>
                <w:sz w:val="20"/>
                <w:szCs w:val="20"/>
              </w:rPr>
            </w:pPr>
            <w:r w:rsidRPr="002372F5">
              <w:rPr>
                <w:sz w:val="20"/>
                <w:szCs w:val="20"/>
              </w:rPr>
              <w:t>8.42</w:t>
            </w:r>
          </w:p>
        </w:tc>
      </w:tr>
      <w:tr w:rsidR="008C7228" w:rsidRPr="002372F5" w14:paraId="16CC1108" w14:textId="77777777" w:rsidTr="00F33DD4">
        <w:trPr>
          <w:trHeight w:val="300"/>
        </w:trPr>
        <w:tc>
          <w:tcPr>
            <w:tcW w:w="6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5ED75" w14:textId="77777777" w:rsidR="008C7228" w:rsidRPr="002372F5" w:rsidRDefault="008C7228" w:rsidP="00F33DD4">
            <w:pPr>
              <w:jc w:val="center"/>
              <w:rPr>
                <w:rFonts w:ascii="Calibri" w:hAnsi="Calibri"/>
                <w:sz w:val="20"/>
                <w:szCs w:val="20"/>
              </w:rPr>
            </w:pPr>
            <w:r w:rsidRPr="002372F5">
              <w:rPr>
                <w:rFonts w:ascii="Calibri" w:hAnsi="Calibri"/>
                <w:sz w:val="20"/>
                <w:szCs w:val="20"/>
              </w:rPr>
              <w:t>Year 2</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5380BD" w14:textId="77777777" w:rsidR="008C7228" w:rsidRPr="002372F5" w:rsidRDefault="008C7228" w:rsidP="00F33DD4">
            <w:pPr>
              <w:jc w:val="center"/>
              <w:rPr>
                <w:sz w:val="20"/>
                <w:szCs w:val="20"/>
              </w:rPr>
            </w:pPr>
            <w:r w:rsidRPr="002372F5">
              <w:rPr>
                <w:sz w:val="20"/>
                <w:szCs w:val="20"/>
              </w:rPr>
              <w:t>3,862</w:t>
            </w:r>
          </w:p>
        </w:tc>
        <w:tc>
          <w:tcPr>
            <w:tcW w:w="9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7EA754" w14:textId="77777777" w:rsidR="008C7228" w:rsidRPr="002372F5" w:rsidRDefault="008C7228" w:rsidP="00F33DD4">
            <w:pPr>
              <w:jc w:val="center"/>
              <w:rPr>
                <w:sz w:val="20"/>
                <w:szCs w:val="20"/>
              </w:rPr>
            </w:pPr>
            <w:r w:rsidRPr="002372F5">
              <w:rPr>
                <w:sz w:val="20"/>
                <w:szCs w:val="20"/>
              </w:rPr>
              <w:t xml:space="preserve">6,252 </w:t>
            </w:r>
          </w:p>
        </w:tc>
        <w:tc>
          <w:tcPr>
            <w:tcW w:w="91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62519" w14:textId="77777777" w:rsidR="008C7228" w:rsidRPr="002372F5" w:rsidRDefault="008C7228" w:rsidP="00F33DD4">
            <w:pPr>
              <w:jc w:val="center"/>
              <w:rPr>
                <w:sz w:val="20"/>
                <w:szCs w:val="20"/>
              </w:rPr>
            </w:pPr>
            <w:r w:rsidRPr="002372F5">
              <w:rPr>
                <w:sz w:val="20"/>
                <w:szCs w:val="20"/>
              </w:rPr>
              <w:t>1.62</w:t>
            </w:r>
          </w:p>
        </w:tc>
        <w:tc>
          <w:tcPr>
            <w:tcW w:w="9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9F2FF" w14:textId="77777777" w:rsidR="008C7228" w:rsidRPr="002372F5" w:rsidRDefault="008C7228" w:rsidP="00F33DD4">
            <w:pPr>
              <w:jc w:val="center"/>
              <w:rPr>
                <w:rFonts w:ascii="Calibri" w:hAnsi="Calibri"/>
                <w:sz w:val="20"/>
                <w:szCs w:val="20"/>
              </w:rPr>
            </w:pPr>
            <w:r w:rsidRPr="002372F5">
              <w:rPr>
                <w:sz w:val="20"/>
                <w:szCs w:val="20"/>
              </w:rPr>
              <w:t>29,850</w:t>
            </w:r>
          </w:p>
        </w:tc>
        <w:tc>
          <w:tcPr>
            <w:tcW w:w="9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BDBFA" w14:textId="77777777" w:rsidR="008C7228" w:rsidRPr="002372F5" w:rsidRDefault="008C7228" w:rsidP="00F33DD4">
            <w:pPr>
              <w:jc w:val="center"/>
              <w:rPr>
                <w:rFonts w:ascii="Calibri" w:hAnsi="Calibri"/>
                <w:sz w:val="20"/>
                <w:szCs w:val="20"/>
              </w:rPr>
            </w:pPr>
            <w:r w:rsidRPr="002372F5">
              <w:rPr>
                <w:sz w:val="20"/>
                <w:szCs w:val="20"/>
              </w:rPr>
              <w:t>38,513</w:t>
            </w:r>
          </w:p>
        </w:tc>
        <w:tc>
          <w:tcPr>
            <w:tcW w:w="97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1300A0" w14:textId="77777777" w:rsidR="008C7228" w:rsidRPr="002372F5" w:rsidRDefault="008C7228" w:rsidP="00F33DD4">
            <w:pPr>
              <w:jc w:val="center"/>
              <w:rPr>
                <w:rFonts w:ascii="Calibri" w:hAnsi="Calibri"/>
                <w:sz w:val="20"/>
                <w:szCs w:val="20"/>
              </w:rPr>
            </w:pPr>
            <w:r w:rsidRPr="002372F5">
              <w:rPr>
                <w:sz w:val="20"/>
                <w:szCs w:val="20"/>
              </w:rPr>
              <w:t>1.29</w:t>
            </w:r>
          </w:p>
        </w:tc>
        <w:tc>
          <w:tcPr>
            <w:tcW w:w="88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BEF29" w14:textId="77777777" w:rsidR="008C7228" w:rsidRPr="002372F5" w:rsidRDefault="008C7228" w:rsidP="00F33DD4">
            <w:pPr>
              <w:jc w:val="center"/>
              <w:rPr>
                <w:rFonts w:ascii="Calibri" w:hAnsi="Calibri"/>
                <w:sz w:val="20"/>
                <w:szCs w:val="20"/>
              </w:rPr>
            </w:pPr>
            <w:r w:rsidRPr="002372F5">
              <w:rPr>
                <w:sz w:val="20"/>
                <w:szCs w:val="20"/>
              </w:rPr>
              <w:t>$1.2</w:t>
            </w:r>
          </w:p>
        </w:tc>
        <w:tc>
          <w:tcPr>
            <w:tcW w:w="9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2ED76" w14:textId="77777777" w:rsidR="008C7228" w:rsidRPr="002372F5" w:rsidRDefault="008C7228" w:rsidP="00F33DD4">
            <w:pPr>
              <w:jc w:val="center"/>
              <w:rPr>
                <w:rFonts w:ascii="Calibri" w:hAnsi="Calibri"/>
                <w:sz w:val="20"/>
                <w:szCs w:val="20"/>
              </w:rPr>
            </w:pPr>
            <w:r w:rsidRPr="002372F5">
              <w:rPr>
                <w:sz w:val="20"/>
                <w:szCs w:val="20"/>
              </w:rPr>
              <w:t>$3.1</w:t>
            </w:r>
          </w:p>
        </w:tc>
        <w:tc>
          <w:tcPr>
            <w:tcW w:w="9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C7B1E" w14:textId="77777777" w:rsidR="008C7228" w:rsidRPr="002372F5" w:rsidRDefault="008C7228" w:rsidP="00F33DD4">
            <w:pPr>
              <w:jc w:val="center"/>
              <w:rPr>
                <w:rFonts w:ascii="Calibri" w:hAnsi="Calibri"/>
                <w:sz w:val="20"/>
                <w:szCs w:val="20"/>
              </w:rPr>
            </w:pPr>
            <w:r w:rsidRPr="002372F5">
              <w:rPr>
                <w:sz w:val="20"/>
                <w:szCs w:val="20"/>
              </w:rPr>
              <w:t>2.59</w:t>
            </w:r>
          </w:p>
        </w:tc>
      </w:tr>
    </w:tbl>
    <w:p w14:paraId="2DB61F4C" w14:textId="77777777" w:rsidR="008C7228" w:rsidRPr="002372F5" w:rsidRDefault="008C7228" w:rsidP="008C7228">
      <w:pPr>
        <w:pStyle w:val="Notes"/>
      </w:pPr>
      <w:r w:rsidRPr="00663E10">
        <w:rPr>
          <w:rStyle w:val="FigurecaptionChar"/>
        </w:rPr>
        <w:t xml:space="preserve"> *Year 1 is from 1 December 2012 to 30 November 2013, Year 2 is from 1 December 2013 to 30 April 2014 (5 months of data)</w:t>
      </w:r>
      <w:r w:rsidRPr="002372F5">
        <w:br/>
        <w:t xml:space="preserve">Note that the counts of patients, prescriptions and benefit for </w:t>
      </w:r>
      <w:proofErr w:type="spellStart"/>
      <w:r w:rsidRPr="002372F5">
        <w:t>rivaroxaban</w:t>
      </w:r>
      <w:proofErr w:type="spellEnd"/>
      <w:r w:rsidRPr="002372F5">
        <w:t xml:space="preserve"> includes acute symptomatic DVT and prevention of recurrent venous thromboembolism.</w:t>
      </w:r>
    </w:p>
    <w:p w14:paraId="3EDB73B6" w14:textId="1AF8A1B6" w:rsidR="008C7228" w:rsidRDefault="008C7228" w:rsidP="008C7228">
      <w:pPr>
        <w:pStyle w:val="Tabletitle"/>
        <w:rPr>
          <w:b w:val="0"/>
        </w:rPr>
      </w:pPr>
      <w:r w:rsidRPr="002372F5">
        <w:rPr>
          <w:b w:val="0"/>
        </w:rPr>
        <w:t xml:space="preserve">The predicted values in </w:t>
      </w:r>
      <w:r w:rsidRPr="002372F5">
        <w:rPr>
          <w:b w:val="0"/>
        </w:rPr>
        <w:fldChar w:fldCharType="begin"/>
      </w:r>
      <w:r w:rsidRPr="002372F5">
        <w:rPr>
          <w:b w:val="0"/>
        </w:rPr>
        <w:instrText xml:space="preserve"> REF _Ref396924560 \h  \* MERGEFORMAT </w:instrText>
      </w:r>
      <w:r w:rsidRPr="002372F5">
        <w:rPr>
          <w:b w:val="0"/>
        </w:rPr>
      </w:r>
      <w:r w:rsidRPr="002372F5">
        <w:rPr>
          <w:b w:val="0"/>
        </w:rPr>
        <w:fldChar w:fldCharType="separate"/>
      </w:r>
      <w:r w:rsidR="00F25CCC" w:rsidRPr="00F25CCC">
        <w:rPr>
          <w:b w:val="0"/>
        </w:rPr>
        <w:t xml:space="preserve">Table </w:t>
      </w:r>
      <w:r w:rsidR="00F25CCC" w:rsidRPr="00F25CCC">
        <w:rPr>
          <w:b w:val="0"/>
          <w:noProof/>
        </w:rPr>
        <w:t>9</w:t>
      </w:r>
      <w:r w:rsidRPr="002372F5">
        <w:rPr>
          <w:b w:val="0"/>
        </w:rPr>
        <w:fldChar w:fldCharType="end"/>
      </w:r>
      <w:r w:rsidRPr="002372F5">
        <w:rPr>
          <w:b w:val="0"/>
        </w:rPr>
        <w:t xml:space="preserve"> above are from the</w:t>
      </w:r>
      <w:r w:rsidRPr="002372F5">
        <w:t xml:space="preserve"> </w:t>
      </w:r>
      <w:r w:rsidRPr="002372F5">
        <w:rPr>
          <w:b w:val="0"/>
        </w:rPr>
        <w:t>estimates of utilisation agreed between the Sponsors and the Department prior to listing.</w:t>
      </w:r>
      <w:r w:rsidR="00BA4F4D">
        <w:rPr>
          <w:b w:val="0"/>
        </w:rPr>
        <w:t xml:space="preserve"> </w:t>
      </w:r>
      <w:r w:rsidRPr="00881682">
        <w:rPr>
          <w:b w:val="0"/>
          <w:color w:val="7030A0"/>
        </w:rPr>
        <w:t xml:space="preserve"> </w:t>
      </w:r>
      <w:r>
        <w:rPr>
          <w:b w:val="0"/>
        </w:rPr>
        <w:t xml:space="preserve">For each patient, the streamlined code associated with their first prescription during each 12 month period since listing was used to determine the indication. </w:t>
      </w:r>
      <w:r w:rsidR="00BA4F4D">
        <w:rPr>
          <w:b w:val="0"/>
        </w:rPr>
        <w:t xml:space="preserve"> </w:t>
      </w:r>
      <w:r>
        <w:rPr>
          <w:b w:val="0"/>
        </w:rPr>
        <w:t xml:space="preserve">If a patient was supplied prescriptions during the time period for two streamlined codes, this analysis counted the patient </w:t>
      </w:r>
      <w:proofErr w:type="gramStart"/>
      <w:r>
        <w:rPr>
          <w:b w:val="0"/>
        </w:rPr>
        <w:t>once,</w:t>
      </w:r>
      <w:proofErr w:type="gramEnd"/>
      <w:r>
        <w:rPr>
          <w:b w:val="0"/>
        </w:rPr>
        <w:t xml:space="preserve"> against the first streamlined code they were prescribed. </w:t>
      </w:r>
      <w:r w:rsidR="00BA4F4D">
        <w:rPr>
          <w:b w:val="0"/>
        </w:rPr>
        <w:t xml:space="preserve"> </w:t>
      </w:r>
      <w:r>
        <w:rPr>
          <w:b w:val="0"/>
        </w:rPr>
        <w:t>Prescriptions supplied with a streamlined code for AF</w:t>
      </w:r>
      <w:r w:rsidRPr="009F5EB6">
        <w:rPr>
          <w:b w:val="0"/>
        </w:rPr>
        <w:t xml:space="preserve">, PE or with blank or zero values were </w:t>
      </w:r>
      <w:r>
        <w:rPr>
          <w:b w:val="0"/>
        </w:rPr>
        <w:t>excluded</w:t>
      </w:r>
      <w:r w:rsidRPr="009F5EB6">
        <w:rPr>
          <w:b w:val="0"/>
        </w:rPr>
        <w:t xml:space="preserve"> from the data </w:t>
      </w:r>
      <w:r>
        <w:rPr>
          <w:b w:val="0"/>
        </w:rPr>
        <w:t xml:space="preserve">set </w:t>
      </w:r>
      <w:r w:rsidRPr="009F5EB6">
        <w:rPr>
          <w:b w:val="0"/>
        </w:rPr>
        <w:t>prior to counting the patien</w:t>
      </w:r>
      <w:r>
        <w:rPr>
          <w:b w:val="0"/>
        </w:rPr>
        <w:t>ts.</w:t>
      </w:r>
      <w:r w:rsidR="00622B94">
        <w:rPr>
          <w:b w:val="0"/>
        </w:rPr>
        <w:t xml:space="preserve"> </w:t>
      </w:r>
      <w:r>
        <w:rPr>
          <w:b w:val="0"/>
        </w:rPr>
        <w:t xml:space="preserve"> Prescriptions for VTE prophylaxis in hip and knee replacements are not included as these indications have separate item codes.</w:t>
      </w:r>
    </w:p>
    <w:p w14:paraId="653D3E44" w14:textId="77777777" w:rsidR="00AE5875" w:rsidRDefault="008C7228" w:rsidP="008C7228">
      <w:pPr>
        <w:pStyle w:val="Tabletitle"/>
        <w:keepNext w:val="0"/>
        <w:rPr>
          <w:b w:val="0"/>
        </w:rPr>
      </w:pPr>
      <w:r>
        <w:rPr>
          <w:b w:val="0"/>
        </w:rPr>
        <w:t xml:space="preserve">In the first year of listing (December 2012 to </w:t>
      </w:r>
      <w:r w:rsidRPr="00B958F7">
        <w:rPr>
          <w:b w:val="0"/>
        </w:rPr>
        <w:t>November 2013</w:t>
      </w:r>
      <w:r w:rsidR="00622B94">
        <w:rPr>
          <w:b w:val="0"/>
        </w:rPr>
        <w:t xml:space="preserve">) </w:t>
      </w:r>
      <w:r w:rsidR="005D7DDC" w:rsidRPr="005D7DDC">
        <w:rPr>
          <w:b w:val="0"/>
        </w:rPr>
        <w:t xml:space="preserve">the number of patients supplied with </w:t>
      </w:r>
      <w:proofErr w:type="spellStart"/>
      <w:r w:rsidR="005D7DDC" w:rsidRPr="005D7DDC">
        <w:rPr>
          <w:b w:val="0"/>
        </w:rPr>
        <w:t>rivaroxaban</w:t>
      </w:r>
      <w:proofErr w:type="spellEnd"/>
      <w:r w:rsidR="005D7DDC" w:rsidRPr="005D7DDC">
        <w:rPr>
          <w:b w:val="0"/>
        </w:rPr>
        <w:t xml:space="preserve"> fo</w:t>
      </w:r>
      <w:r w:rsidR="002D7BD4">
        <w:rPr>
          <w:b w:val="0"/>
        </w:rPr>
        <w:t>r DVT</w:t>
      </w:r>
      <w:r w:rsidR="00AE5875">
        <w:rPr>
          <w:b w:val="0"/>
        </w:rPr>
        <w:t xml:space="preserve"> or </w:t>
      </w:r>
      <w:r w:rsidR="002D7BD4">
        <w:rPr>
          <w:b w:val="0"/>
        </w:rPr>
        <w:t>prevention of recurrent VTE</w:t>
      </w:r>
      <w:r w:rsidR="005D7DDC" w:rsidRPr="005D7DDC">
        <w:rPr>
          <w:b w:val="0"/>
        </w:rPr>
        <w:t xml:space="preserve"> was 7.01 times higher than predicted, the number of prescriptions 4.07 times higher than predicted, and the benefits paid 8.42 times higher than predicted.</w:t>
      </w:r>
    </w:p>
    <w:p w14:paraId="32B07685" w14:textId="48B4B832" w:rsidR="005D6078" w:rsidRDefault="00AE5875" w:rsidP="008C7228">
      <w:pPr>
        <w:pStyle w:val="Tabletitle"/>
        <w:keepNext w:val="0"/>
        <w:rPr>
          <w:b w:val="0"/>
        </w:rPr>
      </w:pPr>
      <w:r>
        <w:rPr>
          <w:b w:val="0"/>
        </w:rPr>
        <w:lastRenderedPageBreak/>
        <w:t xml:space="preserve">In the first year of listing </w:t>
      </w:r>
      <w:r w:rsidR="00622B94">
        <w:rPr>
          <w:b w:val="0"/>
        </w:rPr>
        <w:t xml:space="preserve">the actual </w:t>
      </w:r>
      <w:r w:rsidR="008C7228">
        <w:rPr>
          <w:b w:val="0"/>
        </w:rPr>
        <w:t xml:space="preserve">number </w:t>
      </w:r>
      <w:r w:rsidR="00622B94">
        <w:rPr>
          <w:b w:val="0"/>
        </w:rPr>
        <w:t xml:space="preserve">of patients </w:t>
      </w:r>
      <w:r w:rsidR="008C7228">
        <w:rPr>
          <w:b w:val="0"/>
        </w:rPr>
        <w:t>of 12,646 included</w:t>
      </w:r>
      <w:r w:rsidR="005D6078">
        <w:rPr>
          <w:b w:val="0"/>
        </w:rPr>
        <w:t>;</w:t>
      </w:r>
    </w:p>
    <w:p w14:paraId="53E157C6" w14:textId="77777777" w:rsidR="005D6078" w:rsidRDefault="008C7228" w:rsidP="005D6078">
      <w:pPr>
        <w:pStyle w:val="Tabletitle"/>
        <w:keepNext w:val="0"/>
        <w:numPr>
          <w:ilvl w:val="0"/>
          <w:numId w:val="11"/>
        </w:numPr>
        <w:spacing w:before="0"/>
        <w:rPr>
          <w:b w:val="0"/>
        </w:rPr>
      </w:pPr>
      <w:r>
        <w:rPr>
          <w:b w:val="0"/>
        </w:rPr>
        <w:t>3,983 for acute symptomatic deep vein thrombosis (initial treatment)</w:t>
      </w:r>
      <w:r w:rsidR="005D6078">
        <w:rPr>
          <w:b w:val="0"/>
        </w:rPr>
        <w:t>;</w:t>
      </w:r>
    </w:p>
    <w:p w14:paraId="396B29E7" w14:textId="77777777" w:rsidR="005D6078" w:rsidRDefault="008C7228" w:rsidP="005D6078">
      <w:pPr>
        <w:pStyle w:val="Tabletitle"/>
        <w:keepNext w:val="0"/>
        <w:numPr>
          <w:ilvl w:val="0"/>
          <w:numId w:val="11"/>
        </w:numPr>
        <w:spacing w:before="0"/>
        <w:rPr>
          <w:b w:val="0"/>
        </w:rPr>
      </w:pPr>
      <w:r>
        <w:rPr>
          <w:b w:val="0"/>
        </w:rPr>
        <w:t>3,947 for acute symptomatic deep vein th</w:t>
      </w:r>
      <w:r w:rsidR="005D6078">
        <w:rPr>
          <w:b w:val="0"/>
        </w:rPr>
        <w:t>rombosis (continuing treatment);</w:t>
      </w:r>
      <w:r w:rsidRPr="005D6078">
        <w:rPr>
          <w:b w:val="0"/>
        </w:rPr>
        <w:t xml:space="preserve"> and</w:t>
      </w:r>
    </w:p>
    <w:p w14:paraId="03F2E370" w14:textId="4DE24E06" w:rsidR="008C7228" w:rsidRPr="005D6078" w:rsidRDefault="008C7228" w:rsidP="005D6078">
      <w:pPr>
        <w:pStyle w:val="Tabletitle"/>
        <w:keepNext w:val="0"/>
        <w:numPr>
          <w:ilvl w:val="0"/>
          <w:numId w:val="11"/>
        </w:numPr>
        <w:spacing w:before="0"/>
        <w:rPr>
          <w:b w:val="0"/>
        </w:rPr>
      </w:pPr>
      <w:r w:rsidRPr="005D6078">
        <w:rPr>
          <w:b w:val="0"/>
        </w:rPr>
        <w:t>4,716 for prevention of recurrent venous thromboembolism.</w:t>
      </w:r>
    </w:p>
    <w:p w14:paraId="180BFCC2" w14:textId="20F39839" w:rsidR="008C7228" w:rsidRPr="00F907BE" w:rsidRDefault="008C7228" w:rsidP="008C7228">
      <w:pPr>
        <w:pStyle w:val="Tabletitle"/>
        <w:keepNext w:val="0"/>
        <w:rPr>
          <w:b w:val="0"/>
        </w:rPr>
      </w:pPr>
      <w:r>
        <w:rPr>
          <w:b w:val="0"/>
        </w:rPr>
        <w:t xml:space="preserve">The number of patients who received their first prescription of </w:t>
      </w:r>
      <w:proofErr w:type="spellStart"/>
      <w:r>
        <w:rPr>
          <w:b w:val="0"/>
        </w:rPr>
        <w:t>rivaroxaban</w:t>
      </w:r>
      <w:proofErr w:type="spellEnd"/>
      <w:r>
        <w:rPr>
          <w:b w:val="0"/>
        </w:rPr>
        <w:t xml:space="preserve"> in the first year of listing for prevention of recurrent venous thromboembolism was higher than the number who received their first prescription for initial treatment of acute symptomatic DVT</w:t>
      </w:r>
      <w:r w:rsidR="005D6078">
        <w:rPr>
          <w:b w:val="0"/>
        </w:rPr>
        <w:t xml:space="preserve">.  </w:t>
      </w:r>
      <w:r w:rsidRPr="00F907BE">
        <w:rPr>
          <w:b w:val="0"/>
        </w:rPr>
        <w:t xml:space="preserve">The group receiving </w:t>
      </w:r>
      <w:proofErr w:type="spellStart"/>
      <w:r w:rsidRPr="00F907BE">
        <w:rPr>
          <w:b w:val="0"/>
        </w:rPr>
        <w:t>rivaroxaban</w:t>
      </w:r>
      <w:proofErr w:type="spellEnd"/>
      <w:r w:rsidRPr="00F907BE">
        <w:rPr>
          <w:b w:val="0"/>
        </w:rPr>
        <w:t xml:space="preserve"> for prevention of recurrent venous thromboembolism likely includes patients who have a history of VTE (including DVT or PE), who may have switched from other anticoagulant therapies, such as warfarin and enoxaparin.</w:t>
      </w:r>
    </w:p>
    <w:p w14:paraId="1EEC5361" w14:textId="0FB6F6AC" w:rsidR="008C7228" w:rsidRPr="00C40BD6" w:rsidRDefault="008C7228" w:rsidP="008C7228">
      <w:pPr>
        <w:pStyle w:val="Tabletitle"/>
        <w:keepNext w:val="0"/>
        <w:rPr>
          <w:b w:val="0"/>
        </w:rPr>
      </w:pPr>
      <w:r>
        <w:rPr>
          <w:b w:val="0"/>
        </w:rPr>
        <w:t xml:space="preserve">The number of patients who received their first prescription of </w:t>
      </w:r>
      <w:proofErr w:type="spellStart"/>
      <w:r>
        <w:rPr>
          <w:b w:val="0"/>
        </w:rPr>
        <w:t>rivaroxaban</w:t>
      </w:r>
      <w:proofErr w:type="spellEnd"/>
      <w:r>
        <w:rPr>
          <w:b w:val="0"/>
        </w:rPr>
        <w:t xml:space="preserve"> in the first year of listing for continuing treatment of acute symptomatic deep vein thrombosis was almost as high as the number who received their first prescription for initial treatment. </w:t>
      </w:r>
      <w:r w:rsidR="006A2CFC">
        <w:rPr>
          <w:b w:val="0"/>
        </w:rPr>
        <w:t xml:space="preserve"> </w:t>
      </w:r>
      <w:r>
        <w:rPr>
          <w:b w:val="0"/>
        </w:rPr>
        <w:t xml:space="preserve">The Australian Medicines Handbook recommends </w:t>
      </w:r>
      <w:proofErr w:type="spellStart"/>
      <w:r>
        <w:rPr>
          <w:b w:val="0"/>
        </w:rPr>
        <w:t>rivaroxaban</w:t>
      </w:r>
      <w:proofErr w:type="spellEnd"/>
      <w:r>
        <w:rPr>
          <w:b w:val="0"/>
        </w:rPr>
        <w:t xml:space="preserve"> for treatment of DVT as 15 mg twice daily for three weeks, then 20 mg once daily.</w:t>
      </w:r>
      <w:r>
        <w:rPr>
          <w:rStyle w:val="FootnoteReference"/>
          <w:b w:val="0"/>
        </w:rPr>
        <w:footnoteReference w:id="5"/>
      </w:r>
      <w:r w:rsidR="00C40BD6">
        <w:rPr>
          <w:b w:val="0"/>
        </w:rPr>
        <w:t xml:space="preserve">  </w:t>
      </w:r>
      <w:r w:rsidRPr="00C40BD6">
        <w:rPr>
          <w:b w:val="0"/>
        </w:rPr>
        <w:t xml:space="preserve">It is possible treatment of these patients was initiated in hospital, and the first PBS </w:t>
      </w:r>
      <w:proofErr w:type="spellStart"/>
      <w:r w:rsidRPr="00C40BD6">
        <w:rPr>
          <w:b w:val="0"/>
        </w:rPr>
        <w:t>rivaroxaban</w:t>
      </w:r>
      <w:proofErr w:type="spellEnd"/>
      <w:r w:rsidRPr="00C40BD6">
        <w:rPr>
          <w:b w:val="0"/>
        </w:rPr>
        <w:t xml:space="preserve"> prescription they were supplied was for continuing treatment after discharge</w:t>
      </w:r>
      <w:r w:rsidR="00C40BD6">
        <w:rPr>
          <w:b w:val="0"/>
        </w:rPr>
        <w:t>.</w:t>
      </w:r>
    </w:p>
    <w:p w14:paraId="6B476CDA" w14:textId="5E70172B" w:rsidR="008C7228" w:rsidRPr="002372F5" w:rsidRDefault="008C7228" w:rsidP="008C7228">
      <w:pPr>
        <w:pStyle w:val="Tabletitle"/>
        <w:keepNext w:val="0"/>
        <w:rPr>
          <w:b w:val="0"/>
        </w:rPr>
      </w:pPr>
      <w:r w:rsidRPr="002372F5">
        <w:rPr>
          <w:b w:val="0"/>
        </w:rPr>
        <w:t xml:space="preserve">Overall the number of patients, prescriptions and cost were underestimated by the submission, as predicted in the March 2012 DUSC Advice. </w:t>
      </w:r>
      <w:r w:rsidR="00E42A7B">
        <w:rPr>
          <w:b w:val="0"/>
        </w:rPr>
        <w:t xml:space="preserve">  </w:t>
      </w:r>
      <w:r w:rsidRPr="002372F5">
        <w:rPr>
          <w:b w:val="0"/>
        </w:rPr>
        <w:t>Possible reasons that the use was underestimated are:</w:t>
      </w:r>
    </w:p>
    <w:p w14:paraId="2E27E560" w14:textId="18FDB61A" w:rsidR="008C7228" w:rsidRDefault="008C7228" w:rsidP="009D187E">
      <w:pPr>
        <w:pStyle w:val="ListParagraph"/>
        <w:numPr>
          <w:ilvl w:val="0"/>
          <w:numId w:val="13"/>
        </w:numPr>
        <w:rPr>
          <w:rFonts w:eastAsiaTheme="majorEastAsia" w:cstheme="majorBidi"/>
          <w:bCs/>
        </w:rPr>
      </w:pPr>
      <w:r w:rsidRPr="00747DF1">
        <w:t xml:space="preserve">The incidence was underestimated. </w:t>
      </w:r>
      <w:r w:rsidR="00F33E78" w:rsidRPr="00747DF1">
        <w:t xml:space="preserve"> The </w:t>
      </w:r>
      <w:r w:rsidRPr="00747DF1">
        <w:t xml:space="preserve">DUSC commented </w:t>
      </w:r>
      <w:r w:rsidR="00F33E78" w:rsidRPr="00747DF1">
        <w:t xml:space="preserve">(in the advice to the March 2012 PBAC meeting) </w:t>
      </w:r>
      <w:r w:rsidRPr="00747DF1">
        <w:t>that the estimated incidence rate (0.0504</w:t>
      </w:r>
      <w:r w:rsidR="00F33E78" w:rsidRPr="00747DF1">
        <w:t xml:space="preserve"> </w:t>
      </w:r>
      <w:r w:rsidRPr="00747DF1">
        <w:t>%) wa</w:t>
      </w:r>
      <w:r w:rsidR="00691B72" w:rsidRPr="00747DF1">
        <w:t xml:space="preserve">s an underestimate.  </w:t>
      </w:r>
      <w:r w:rsidR="00691B72" w:rsidRPr="009D187E">
        <w:rPr>
          <w:rFonts w:eastAsiaTheme="majorEastAsia" w:cstheme="majorBidi"/>
          <w:bCs/>
        </w:rPr>
        <w:t xml:space="preserve">The DVT incidence rates used in the submission were based on a meta-analysis by </w:t>
      </w:r>
      <w:proofErr w:type="spellStart"/>
      <w:r w:rsidR="00691B72" w:rsidRPr="009D187E">
        <w:rPr>
          <w:rFonts w:eastAsiaTheme="majorEastAsia" w:cstheme="majorBidi"/>
          <w:bCs/>
        </w:rPr>
        <w:t>Fowkes</w:t>
      </w:r>
      <w:proofErr w:type="spellEnd"/>
      <w:r w:rsidR="00691B72" w:rsidRPr="009D187E">
        <w:rPr>
          <w:rFonts w:eastAsiaTheme="majorEastAsia" w:cstheme="majorBidi"/>
          <w:bCs/>
        </w:rPr>
        <w:t xml:space="preserve"> et al (2003), which did not include patients with recurrent DVT and did include many older studies that may not have reflected the aging population. </w:t>
      </w:r>
      <w:r w:rsidR="001D37DA" w:rsidRPr="009D187E">
        <w:rPr>
          <w:rFonts w:eastAsiaTheme="majorEastAsia" w:cstheme="majorBidi"/>
          <w:bCs/>
        </w:rPr>
        <w:t xml:space="preserve"> </w:t>
      </w:r>
      <w:r w:rsidR="00691B72" w:rsidRPr="009D187E">
        <w:rPr>
          <w:rFonts w:eastAsiaTheme="majorEastAsia" w:cstheme="majorBidi"/>
          <w:bCs/>
        </w:rPr>
        <w:t>A comparison of hospital admissions of people with DVT (extracted using case-mix data by AR-DRG, F63A and F63B) and the 53</w:t>
      </w:r>
      <w:r w:rsidR="00861D69" w:rsidRPr="009D187E">
        <w:rPr>
          <w:rFonts w:eastAsiaTheme="majorEastAsia" w:cstheme="majorBidi"/>
          <w:bCs/>
        </w:rPr>
        <w:t xml:space="preserve"> </w:t>
      </w:r>
      <w:r w:rsidR="00691B72" w:rsidRPr="009D187E">
        <w:rPr>
          <w:rFonts w:eastAsiaTheme="majorEastAsia" w:cstheme="majorBidi"/>
          <w:bCs/>
        </w:rPr>
        <w:t>% rate of admission to hospital in EINSTEIN implied that DVT incidence was 50</w:t>
      </w:r>
      <w:r w:rsidR="00861D69" w:rsidRPr="009D187E">
        <w:rPr>
          <w:rFonts w:eastAsiaTheme="majorEastAsia" w:cstheme="majorBidi"/>
          <w:bCs/>
        </w:rPr>
        <w:t xml:space="preserve"> </w:t>
      </w:r>
      <w:r w:rsidR="00691B72" w:rsidRPr="009D187E">
        <w:rPr>
          <w:rFonts w:eastAsiaTheme="majorEastAsia" w:cstheme="majorBidi"/>
          <w:bCs/>
        </w:rPr>
        <w:t>% higher than assumed in the submission.</w:t>
      </w:r>
    </w:p>
    <w:p w14:paraId="75A8C989" w14:textId="77777777" w:rsidR="009D187E" w:rsidRPr="009D187E" w:rsidRDefault="009D187E" w:rsidP="009D187E">
      <w:pPr>
        <w:pStyle w:val="ListParagraph"/>
        <w:rPr>
          <w:rFonts w:eastAsiaTheme="majorEastAsia" w:cstheme="majorBidi"/>
          <w:bCs/>
        </w:rPr>
      </w:pPr>
    </w:p>
    <w:p w14:paraId="674893B7" w14:textId="5E44AE9C" w:rsidR="009D187E" w:rsidRPr="00747DF1" w:rsidRDefault="008C7228" w:rsidP="009D187E">
      <w:pPr>
        <w:pStyle w:val="ListParagraph"/>
        <w:numPr>
          <w:ilvl w:val="0"/>
          <w:numId w:val="13"/>
        </w:numPr>
      </w:pPr>
      <w:r w:rsidRPr="00747DF1">
        <w:t xml:space="preserve">The market uptake, including patients switching from other treatments, was higher than estimated by the submission. </w:t>
      </w:r>
      <w:r w:rsidR="000667A0" w:rsidRPr="00747DF1">
        <w:t xml:space="preserve"> The </w:t>
      </w:r>
      <w:r w:rsidRPr="00747DF1">
        <w:t xml:space="preserve">DUSC </w:t>
      </w:r>
      <w:r w:rsidR="000667A0" w:rsidRPr="00747DF1">
        <w:t xml:space="preserve">(March 2012 advice) </w:t>
      </w:r>
      <w:r w:rsidRPr="00747DF1">
        <w:t xml:space="preserve">stated the market uptake assumptions used in the submission are a likely underestimate given the perceived advantages of </w:t>
      </w:r>
      <w:proofErr w:type="spellStart"/>
      <w:r w:rsidRPr="00747DF1">
        <w:t>rivaroxaban</w:t>
      </w:r>
      <w:proofErr w:type="spellEnd"/>
      <w:r w:rsidRPr="00747DF1">
        <w:t xml:space="preserve"> compared to warfarin (does not require regular INR testing) and being a first in class oral therapy.</w:t>
      </w:r>
    </w:p>
    <w:p w14:paraId="0BEB9202" w14:textId="77777777" w:rsidR="009D187E" w:rsidRPr="009D187E" w:rsidRDefault="009D187E" w:rsidP="009D187E">
      <w:pPr>
        <w:pStyle w:val="ListParagraph"/>
        <w:rPr>
          <w:rFonts w:eastAsiaTheme="majorEastAsia" w:cstheme="majorBidi"/>
          <w:bCs/>
        </w:rPr>
      </w:pPr>
    </w:p>
    <w:p w14:paraId="0AAC5EEA" w14:textId="47EE7985" w:rsidR="008C7228" w:rsidRPr="009D187E" w:rsidRDefault="008C7228" w:rsidP="009D187E">
      <w:pPr>
        <w:pStyle w:val="ListParagraph"/>
        <w:numPr>
          <w:ilvl w:val="0"/>
          <w:numId w:val="13"/>
        </w:numPr>
        <w:rPr>
          <w:rFonts w:eastAsiaTheme="majorEastAsia" w:cstheme="majorBidi"/>
          <w:bCs/>
        </w:rPr>
      </w:pPr>
      <w:r w:rsidRPr="00747DF1">
        <w:t xml:space="preserve">The duration of use is higher than expected. </w:t>
      </w:r>
      <w:r w:rsidR="00EF78D5" w:rsidRPr="00747DF1">
        <w:t xml:space="preserve"> The </w:t>
      </w:r>
      <w:r w:rsidRPr="00747DF1">
        <w:t xml:space="preserve">DUSC </w:t>
      </w:r>
      <w:r w:rsidR="00EF78D5" w:rsidRPr="00747DF1">
        <w:t xml:space="preserve">(March 2012 advice) </w:t>
      </w:r>
      <w:r w:rsidRPr="00747DF1">
        <w:t xml:space="preserve">stated the estimate of the number of </w:t>
      </w:r>
      <w:proofErr w:type="spellStart"/>
      <w:r w:rsidRPr="00747DF1">
        <w:t>rivaroxaban</w:t>
      </w:r>
      <w:proofErr w:type="spellEnd"/>
      <w:r w:rsidRPr="00747DF1">
        <w:t xml:space="preserve"> packs supplied is dependent upon duration of use; and the estimated prescriptions include</w:t>
      </w:r>
      <w:r w:rsidR="00CB04D0" w:rsidRPr="00747DF1">
        <w:t>d</w:t>
      </w:r>
      <w:r w:rsidRPr="00747DF1">
        <w:t xml:space="preserve"> only 12 months of </w:t>
      </w:r>
      <w:proofErr w:type="spellStart"/>
      <w:r w:rsidRPr="00747DF1">
        <w:t>rivaroxaban</w:t>
      </w:r>
      <w:proofErr w:type="spellEnd"/>
      <w:r w:rsidRPr="00747DF1">
        <w:t xml:space="preserve"> therapy despite the requested restriction including a potential of two </w:t>
      </w:r>
      <w:r w:rsidRPr="00747DF1">
        <w:lastRenderedPageBreak/>
        <w:t>years of therapy.</w:t>
      </w:r>
      <w:r w:rsidR="00E42814" w:rsidRPr="00747DF1">
        <w:t xml:space="preserve"> </w:t>
      </w:r>
      <w:r w:rsidRPr="00747DF1">
        <w:t xml:space="preserve"> The final PBS listing did not specify a maximum duration of therapy. </w:t>
      </w:r>
      <w:r w:rsidR="00E42814" w:rsidRPr="00747DF1">
        <w:t xml:space="preserve"> </w:t>
      </w:r>
      <w:r w:rsidRPr="00747DF1">
        <w:t xml:space="preserve">There were not sufficient data available to complete </w:t>
      </w:r>
      <w:proofErr w:type="gramStart"/>
      <w:r w:rsidRPr="00747DF1">
        <w:t>a duration</w:t>
      </w:r>
      <w:proofErr w:type="gramEnd"/>
      <w:r w:rsidRPr="00747DF1">
        <w:t xml:space="preserve"> of treatment analysis</w:t>
      </w:r>
      <w:r w:rsidR="008473AE">
        <w:t xml:space="preserve"> for the current report</w:t>
      </w:r>
      <w:r w:rsidRPr="00747DF1">
        <w:t>.</w:t>
      </w:r>
      <w:r w:rsidR="00747DF1" w:rsidRPr="00747DF1">
        <w:t xml:space="preserve">  </w:t>
      </w:r>
      <w:r w:rsidR="009B05A2">
        <w:t xml:space="preserve">The </w:t>
      </w:r>
      <w:r w:rsidR="00747DF1" w:rsidRPr="009D187E">
        <w:rPr>
          <w:rFonts w:eastAsiaTheme="majorEastAsia" w:cstheme="majorBidi"/>
          <w:bCs/>
        </w:rPr>
        <w:t xml:space="preserve">DUSC noted that a meaningful analysis of duration of treatment will not be possible until there is at least two years of date </w:t>
      </w:r>
      <w:r w:rsidR="00BA6466" w:rsidRPr="009D187E">
        <w:rPr>
          <w:rFonts w:eastAsiaTheme="majorEastAsia" w:cstheme="majorBidi"/>
          <w:bCs/>
        </w:rPr>
        <w:t>of supply data available for the</w:t>
      </w:r>
      <w:r w:rsidR="00747DF1" w:rsidRPr="009D187E">
        <w:rPr>
          <w:rFonts w:eastAsiaTheme="majorEastAsia" w:cstheme="majorBidi"/>
          <w:bCs/>
        </w:rPr>
        <w:t>s</w:t>
      </w:r>
      <w:r w:rsidR="00BA6466" w:rsidRPr="009D187E">
        <w:rPr>
          <w:rFonts w:eastAsiaTheme="majorEastAsia" w:cstheme="majorBidi"/>
          <w:bCs/>
        </w:rPr>
        <w:t>e</w:t>
      </w:r>
      <w:r w:rsidR="00747DF1" w:rsidRPr="009D187E">
        <w:rPr>
          <w:rFonts w:eastAsiaTheme="majorEastAsia" w:cstheme="majorBidi"/>
          <w:bCs/>
        </w:rPr>
        <w:t xml:space="preserve"> indication</w:t>
      </w:r>
      <w:r w:rsidR="00BA6466" w:rsidRPr="009D187E">
        <w:rPr>
          <w:rFonts w:eastAsiaTheme="majorEastAsia" w:cstheme="majorBidi"/>
          <w:bCs/>
        </w:rPr>
        <w:t>s</w:t>
      </w:r>
      <w:r w:rsidR="00747DF1" w:rsidRPr="009D187E">
        <w:rPr>
          <w:rFonts w:eastAsiaTheme="majorEastAsia" w:cstheme="majorBidi"/>
          <w:bCs/>
        </w:rPr>
        <w:t>.</w:t>
      </w:r>
    </w:p>
    <w:p w14:paraId="674D0973" w14:textId="77777777" w:rsidR="009D187E" w:rsidRDefault="009D187E" w:rsidP="009D187E">
      <w:pPr>
        <w:pStyle w:val="ListParagraph"/>
      </w:pPr>
    </w:p>
    <w:p w14:paraId="3555DFBA" w14:textId="13C57931" w:rsidR="00591512" w:rsidRDefault="008C7228" w:rsidP="009D187E">
      <w:pPr>
        <w:pStyle w:val="ListParagraph"/>
        <w:numPr>
          <w:ilvl w:val="0"/>
          <w:numId w:val="13"/>
        </w:numPr>
      </w:pPr>
      <w:r w:rsidRPr="00747DF1">
        <w:t xml:space="preserve">Some use of </w:t>
      </w:r>
      <w:proofErr w:type="spellStart"/>
      <w:r w:rsidRPr="00747DF1">
        <w:t>rivaroxaban</w:t>
      </w:r>
      <w:proofErr w:type="spellEnd"/>
      <w:r w:rsidRPr="00747DF1">
        <w:t xml:space="preserve"> may be outside of the PBS restriction, for example, in post-surgical prophylaxis other than total hip and knee replacements. </w:t>
      </w:r>
      <w:r w:rsidR="009C0D37">
        <w:t xml:space="preserve"> The </w:t>
      </w:r>
      <w:r w:rsidRPr="00747DF1">
        <w:t xml:space="preserve">DUSC </w:t>
      </w:r>
      <w:r w:rsidR="00582F4F">
        <w:t xml:space="preserve">(March 2012 advice) </w:t>
      </w:r>
      <w:r w:rsidRPr="00747DF1">
        <w:t>considered there was potential for use outside the requested listing for prophylaxis in other indications where an oral dose form may be preferred by patients.</w:t>
      </w:r>
    </w:p>
    <w:p w14:paraId="6285FA14" w14:textId="77777777" w:rsidR="0087738B" w:rsidRDefault="0087738B" w:rsidP="0087738B">
      <w:pPr>
        <w:pStyle w:val="ListParagraph"/>
      </w:pPr>
    </w:p>
    <w:p w14:paraId="382B9A93" w14:textId="1082BBAD" w:rsidR="00FF7301" w:rsidRDefault="003B7DFC" w:rsidP="009D187E">
      <w:pPr>
        <w:pStyle w:val="ListParagraph"/>
        <w:numPr>
          <w:ilvl w:val="0"/>
          <w:numId w:val="13"/>
        </w:numPr>
      </w:pPr>
      <w:r w:rsidRPr="003B7DFC">
        <w:t>Incorrect selection of streamlined codes by the prescriber or incorrect entry by the pharmacist.</w:t>
      </w:r>
      <w:r w:rsidR="00992CEB">
        <w:t xml:space="preserve"> </w:t>
      </w:r>
      <w:r w:rsidRPr="003B7DFC">
        <w:t xml:space="preserve"> Item 2268J includes multiple streamlined authority indications, including DVT and AF.</w:t>
      </w:r>
      <w:r w:rsidR="00C56750">
        <w:t xml:space="preserve">  </w:t>
      </w:r>
      <w:r w:rsidRPr="003B7DFC">
        <w:t>Given that the AF market is much larger than the DVT market even a small amount of miscoding of AF as DVT could account for the much high</w:t>
      </w:r>
      <w:r w:rsidR="00C56750">
        <w:t xml:space="preserve">er apparent use of </w:t>
      </w:r>
      <w:proofErr w:type="spellStart"/>
      <w:r w:rsidR="00C56750">
        <w:t>rivaroxaban</w:t>
      </w:r>
      <w:proofErr w:type="spellEnd"/>
      <w:r w:rsidR="00C56750">
        <w:t>.</w:t>
      </w:r>
    </w:p>
    <w:p w14:paraId="73650988" w14:textId="01110AEC" w:rsidR="00180B7C" w:rsidRPr="00324A99" w:rsidRDefault="00180B7C" w:rsidP="00747DF1">
      <w:r>
        <w:t xml:space="preserve">The </w:t>
      </w:r>
      <w:r w:rsidRPr="00180B7C">
        <w:t>DUSC considered the utilisation for treatment of PE and DVT, and prevention of recurrent VTE, may include some use in AF if miscoded using the streamlined code.</w:t>
      </w:r>
    </w:p>
    <w:p w14:paraId="3A74B465" w14:textId="5C201DBF" w:rsidR="007346C7" w:rsidRDefault="00957837" w:rsidP="00FD13CD">
      <w:pPr>
        <w:pStyle w:val="Heading3"/>
      </w:pPr>
      <w:r>
        <w:t>DUSC actions</w:t>
      </w:r>
    </w:p>
    <w:p w14:paraId="022A4A39" w14:textId="662B8272" w:rsidR="00580553" w:rsidRPr="00580553" w:rsidRDefault="00991843" w:rsidP="00580553">
      <w:r w:rsidRPr="00991843">
        <w:t>The DUSC requested an analysis of duration of treatment, noting that the earliest this analysis could be presented to give meaningful results is the February 2016 DUSC meeting.</w:t>
      </w:r>
    </w:p>
    <w:p w14:paraId="75A03124" w14:textId="77777777" w:rsidR="001B50CA" w:rsidRPr="0092516A" w:rsidRDefault="001B50CA" w:rsidP="00FD13CD">
      <w:pPr>
        <w:pStyle w:val="Heading3"/>
      </w:pPr>
      <w:r w:rsidRPr="0092516A">
        <w:t>Context for analysis</w:t>
      </w:r>
    </w:p>
    <w:p w14:paraId="1D8A2B2A" w14:textId="77777777" w:rsidR="001B50CA" w:rsidRPr="00241E48" w:rsidRDefault="001B50CA" w:rsidP="001B50CA">
      <w:pPr>
        <w:spacing w:after="240"/>
        <w:rPr>
          <w:rFonts w:eastAsiaTheme="majorEastAsia" w:cstheme="majorBidi"/>
          <w:bCs/>
        </w:rPr>
      </w:pPr>
      <w:r w:rsidRPr="00241E48">
        <w:rPr>
          <w:rFonts w:eastAsiaTheme="majorEastAsia" w:cstheme="majorBidi"/>
          <w:bCs/>
        </w:rPr>
        <w:t>The DUSC is a Sub Committee of the Pharmaceutical Benefits Advisory Committee (PBAC). The DUSC assesses estimates on projected usage an</w:t>
      </w:r>
      <w:r>
        <w:rPr>
          <w:rFonts w:eastAsiaTheme="majorEastAsia" w:cstheme="majorBidi"/>
          <w:bCs/>
        </w:rPr>
        <w:t>d financial cost of medicines.</w:t>
      </w:r>
    </w:p>
    <w:p w14:paraId="58A6B21D" w14:textId="77777777" w:rsidR="001B50CA" w:rsidRPr="00241E48" w:rsidRDefault="001B50CA" w:rsidP="001B50CA">
      <w:pPr>
        <w:spacing w:after="240"/>
        <w:rPr>
          <w:rFonts w:eastAsiaTheme="majorEastAsia" w:cstheme="majorBidi"/>
          <w:bCs/>
        </w:rPr>
      </w:pPr>
      <w:r w:rsidRPr="00241E48">
        <w:rPr>
          <w:rFonts w:eastAsiaTheme="majorEastAsia" w:cstheme="majorBidi"/>
          <w:bCs/>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E0BE3CC" w14:textId="77777777" w:rsidR="001B50CA" w:rsidRDefault="001B50CA" w:rsidP="001B50CA">
      <w:pPr>
        <w:spacing w:after="240"/>
        <w:rPr>
          <w:rFonts w:eastAsiaTheme="majorEastAsia" w:cstheme="majorBidi"/>
          <w:bCs/>
        </w:rPr>
      </w:pPr>
      <w:r w:rsidRPr="00241E48">
        <w:rPr>
          <w:rFonts w:eastAsiaTheme="majorEastAsia" w:cstheme="majorBidi"/>
          <w:bCs/>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32A85FF2" w14:textId="77777777" w:rsidR="00C75822" w:rsidRDefault="00C75822" w:rsidP="00C75822">
      <w:pPr>
        <w:spacing w:after="0"/>
        <w:rPr>
          <w:rFonts w:eastAsiaTheme="majorEastAsia" w:cstheme="majorBidi"/>
          <w:bCs/>
        </w:rPr>
      </w:pPr>
      <w:r>
        <w:rPr>
          <w:rFonts w:eastAsiaTheme="majorEastAsia" w:cstheme="majorBidi"/>
          <w:bCs/>
        </w:rPr>
        <w:t xml:space="preserve">The </w:t>
      </w:r>
      <w:r w:rsidRPr="00CB5441">
        <w:rPr>
          <w:rFonts w:eastAsiaTheme="majorEastAsia" w:cstheme="majorBidi"/>
          <w:bCs/>
        </w:rPr>
        <w:t xml:space="preserve">utilisation </w:t>
      </w:r>
      <w:r>
        <w:rPr>
          <w:rFonts w:eastAsiaTheme="majorEastAsia" w:cstheme="majorBidi"/>
          <w:bCs/>
        </w:rPr>
        <w:t>analysis report was</w:t>
      </w:r>
      <w:r w:rsidRPr="00CB5441">
        <w:rPr>
          <w:rFonts w:eastAsiaTheme="majorEastAsia" w:cstheme="majorBidi"/>
          <w:bCs/>
        </w:rPr>
        <w:t xml:space="preserve"> provided to the pharmaceutical sponsors of each d</w:t>
      </w:r>
      <w:r>
        <w:rPr>
          <w:rFonts w:eastAsiaTheme="majorEastAsia" w:cstheme="majorBidi"/>
          <w:bCs/>
        </w:rPr>
        <w:t xml:space="preserve">rug and comments on the report </w:t>
      </w:r>
      <w:r w:rsidRPr="00CB5441">
        <w:rPr>
          <w:rFonts w:eastAsiaTheme="majorEastAsia" w:cstheme="majorBidi"/>
          <w:bCs/>
        </w:rPr>
        <w:t>were provided to DUSC</w:t>
      </w:r>
      <w:r>
        <w:rPr>
          <w:rFonts w:eastAsiaTheme="majorEastAsia" w:cstheme="majorBidi"/>
          <w:bCs/>
        </w:rPr>
        <w:t xml:space="preserve"> prior to its consideration of the analysis.</w:t>
      </w:r>
    </w:p>
    <w:p w14:paraId="44EFDCE9" w14:textId="77777777" w:rsidR="003529E0" w:rsidRDefault="003529E0" w:rsidP="00FD13CD">
      <w:pPr>
        <w:pStyle w:val="Heading3"/>
      </w:pPr>
      <w:r>
        <w:lastRenderedPageBreak/>
        <w:t>Sponsor</w:t>
      </w:r>
      <w:r w:rsidRPr="0092516A">
        <w:t>s</w:t>
      </w:r>
      <w:r>
        <w:t>’</w:t>
      </w:r>
      <w:r w:rsidRPr="0092516A">
        <w:t xml:space="preserve"> comments</w:t>
      </w:r>
    </w:p>
    <w:p w14:paraId="29CF30B0" w14:textId="7761945E" w:rsidR="0057103D" w:rsidRDefault="00C978D2" w:rsidP="0057103D">
      <w:r>
        <w:t xml:space="preserve">Bayer Australia Ltd:  </w:t>
      </w:r>
      <w:r w:rsidR="0057103D" w:rsidRPr="0057103D">
        <w:t xml:space="preserve">Bayer will work with the Department in order to update the previous estimates regarding the predicted versus actual patient numbers associated with </w:t>
      </w:r>
      <w:proofErr w:type="spellStart"/>
      <w:r w:rsidR="0057103D" w:rsidRPr="0057103D">
        <w:t>rivaroxaban</w:t>
      </w:r>
      <w:proofErr w:type="spellEnd"/>
      <w:r w:rsidR="0057103D" w:rsidRPr="0057103D">
        <w:t xml:space="preserve"> utilisation i</w:t>
      </w:r>
      <w:r w:rsidR="00CC7A62">
        <w:t xml:space="preserve">n Australian clinical practise.  </w:t>
      </w:r>
      <w:r w:rsidR="0057103D" w:rsidRPr="0057103D">
        <w:t>Bayer will bring forward the matter to the PBAC for consideration and hopes this comprehensive data analysis brought forward by the DUSC is considered in the appropriate context.</w:t>
      </w:r>
    </w:p>
    <w:p w14:paraId="024E4C0E" w14:textId="698B6BC3" w:rsidR="00050211" w:rsidRDefault="00050211" w:rsidP="0057103D">
      <w:proofErr w:type="spellStart"/>
      <w:r w:rsidRPr="00050211">
        <w:t>Boehringer</w:t>
      </w:r>
      <w:proofErr w:type="spellEnd"/>
      <w:r w:rsidRPr="00050211">
        <w:t xml:space="preserve"> </w:t>
      </w:r>
      <w:proofErr w:type="spellStart"/>
      <w:r w:rsidRPr="00050211">
        <w:t>Ingelheim</w:t>
      </w:r>
      <w:proofErr w:type="spellEnd"/>
      <w:r w:rsidRPr="00050211">
        <w:t xml:space="preserve"> Pty Ltd</w:t>
      </w:r>
      <w:r>
        <w:t xml:space="preserve">:  </w:t>
      </w:r>
      <w:r w:rsidR="004F12CD">
        <w:t>The sponsor has no comment.</w:t>
      </w:r>
    </w:p>
    <w:p w14:paraId="01466AE1" w14:textId="659181D9" w:rsidR="00C7051C" w:rsidRPr="0057103D" w:rsidRDefault="00C7051C" w:rsidP="0057103D">
      <w:r w:rsidRPr="00C7051C">
        <w:t>Bristol-</w:t>
      </w:r>
      <w:r>
        <w:t xml:space="preserve">Myers Squibb Australia Pty Ltd:  </w:t>
      </w:r>
      <w:r w:rsidR="002668BA">
        <w:t>The sponsor has no comment.</w:t>
      </w:r>
    </w:p>
    <w:p w14:paraId="25D65B04" w14:textId="1B97A568" w:rsidR="00FE645A" w:rsidRDefault="00A4020E" w:rsidP="001B4788">
      <w:pPr>
        <w:pStyle w:val="Heading3"/>
      </w:pPr>
      <w:r w:rsidRPr="00A4020E">
        <w:t>Disclaimer</w:t>
      </w:r>
    </w:p>
    <w:p w14:paraId="477D7D94" w14:textId="739898AB" w:rsidR="000B268E" w:rsidRPr="000B268E" w:rsidRDefault="000B268E" w:rsidP="00125FC2">
      <w:r w:rsidRPr="000B268E">
        <w:t>The information provided in this report does not constitute medical advice and is not intended to take the place of profe</w:t>
      </w:r>
      <w:r w:rsidR="00F11CFC">
        <w:t xml:space="preserve">ssional medical advice or care.  </w:t>
      </w:r>
      <w:r w:rsidRPr="000B268E">
        <w:t>It is not intended to define what constitutes reasonable, appropriate or best care for any individual for any given health issue.</w:t>
      </w:r>
      <w:r w:rsidR="00E628EA">
        <w:t xml:space="preserve">  </w:t>
      </w:r>
      <w:r w:rsidRPr="000B268E">
        <w:t>The information should not be used as a substitute for the judgement and skill of a medical practitioner.</w:t>
      </w:r>
    </w:p>
    <w:p w14:paraId="34477926" w14:textId="601956EB" w:rsidR="000B268E" w:rsidRPr="000B268E" w:rsidRDefault="000B268E" w:rsidP="00125FC2">
      <w:r w:rsidRPr="000B268E">
        <w:t>The Department of Health (</w:t>
      </w:r>
      <w:proofErr w:type="spellStart"/>
      <w:r w:rsidRPr="000B268E">
        <w:t>DoH</w:t>
      </w:r>
      <w:proofErr w:type="spellEnd"/>
      <w:r w:rsidRPr="000B268E">
        <w:t>) has made all reasonable efforts to ensure that information provided in this report is accurate. The information provided in this report was up-to-date when it was considered by the Drug Utilisation Sub-committee of the Pharmaceutic</w:t>
      </w:r>
      <w:r w:rsidR="00F11CFC">
        <w:t xml:space="preserve">al Benefits Advisory Committee.  </w:t>
      </w:r>
      <w:r w:rsidRPr="000B268E">
        <w:t>The context for that information may have changed since publication.</w:t>
      </w:r>
    </w:p>
    <w:p w14:paraId="34FF6D3D" w14:textId="77777777" w:rsidR="000B268E" w:rsidRPr="000B268E" w:rsidRDefault="000B268E" w:rsidP="00125FC2">
      <w:r w:rsidRPr="000B268E">
        <w:t xml:space="preserve">To the extent provided by law, </w:t>
      </w:r>
      <w:proofErr w:type="spellStart"/>
      <w:r w:rsidRPr="000B268E">
        <w:t>DoH</w:t>
      </w:r>
      <w:proofErr w:type="spellEnd"/>
      <w:r w:rsidRPr="000B268E">
        <w:t xml:space="preserve"> makes no warranties or representations as to accuracy or completeness of information contained in this report. </w:t>
      </w:r>
    </w:p>
    <w:p w14:paraId="1F8EAE28" w14:textId="460E8D1C" w:rsidR="005C4023" w:rsidRPr="000B268E" w:rsidRDefault="000B268E" w:rsidP="00125FC2">
      <w:r w:rsidRPr="000B268E">
        <w:t xml:space="preserve">To the fullest extent permitted by law, neither the </w:t>
      </w:r>
      <w:proofErr w:type="spellStart"/>
      <w:r w:rsidRPr="000B268E">
        <w:t>DoH</w:t>
      </w:r>
      <w:proofErr w:type="spellEnd"/>
      <w:r w:rsidRPr="000B268E">
        <w:t xml:space="preserve"> nor any </w:t>
      </w:r>
      <w:proofErr w:type="spellStart"/>
      <w:r w:rsidRPr="000B268E">
        <w:t>DoH</w:t>
      </w:r>
      <w:proofErr w:type="spellEnd"/>
      <w:r w:rsidRPr="000B268E">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sectPr w:rsidR="005C4023" w:rsidRPr="000B268E" w:rsidSect="00945324">
      <w:headerReference w:type="even" r:id="rId20"/>
      <w:headerReference w:type="default" r:id="rId21"/>
      <w:footerReference w:type="even" r:id="rId22"/>
      <w:footerReference w:type="default" r:id="rId23"/>
      <w:headerReference w:type="first" r:id="rId24"/>
      <w:footerReference w:type="first" r:id="rId25"/>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0576E3" w:rsidRDefault="000576E3" w:rsidP="00A35800">
      <w:r>
        <w:separator/>
      </w:r>
    </w:p>
  </w:endnote>
  <w:endnote w:type="continuationSeparator" w:id="0">
    <w:p w14:paraId="45A4A8C8" w14:textId="77777777" w:rsidR="000576E3" w:rsidRDefault="000576E3"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0576E3" w:rsidRDefault="000576E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0576E3" w:rsidRDefault="000576E3"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19521"/>
      <w:docPartObj>
        <w:docPartGallery w:val="Page Numbers (Bottom of Page)"/>
        <w:docPartUnique/>
      </w:docPartObj>
    </w:sdtPr>
    <w:sdtEndPr/>
    <w:sdtContent>
      <w:sdt>
        <w:sdtPr>
          <w:id w:val="860082579"/>
          <w:docPartObj>
            <w:docPartGallery w:val="Page Numbers (Top of Page)"/>
            <w:docPartUnique/>
          </w:docPartObj>
        </w:sdtPr>
        <w:sdtEndPr/>
        <w:sdtContent>
          <w:p w14:paraId="2C33146D" w14:textId="164F23F2" w:rsidR="000576E3" w:rsidRPr="00CB6ABE" w:rsidRDefault="000576E3" w:rsidP="00CB6ABE">
            <w:pPr>
              <w:pStyle w:val="Footer"/>
              <w:jc w:val="center"/>
              <w:rPr>
                <w:i/>
                <w:sz w:val="20"/>
                <w:szCs w:val="20"/>
              </w:rPr>
            </w:pPr>
            <w:r>
              <w:rPr>
                <w:i/>
                <w:sz w:val="20"/>
                <w:szCs w:val="20"/>
              </w:rPr>
              <w:t>Public Release Document, October 2014 DUSC Meeting</w:t>
            </w:r>
          </w:p>
          <w:p w14:paraId="16541DE1" w14:textId="3EA36B32" w:rsidR="000576E3" w:rsidRDefault="000576E3" w:rsidP="00CB6ABE">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F25CCC">
              <w:rPr>
                <w:bCs/>
                <w:i/>
                <w:noProof/>
                <w:sz w:val="20"/>
                <w:szCs w:val="20"/>
              </w:rPr>
              <w:t>1</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F25CCC">
              <w:rPr>
                <w:bCs/>
                <w:i/>
                <w:noProof/>
                <w:sz w:val="20"/>
                <w:szCs w:val="20"/>
              </w:rPr>
              <w:t>23</w:t>
            </w:r>
            <w:r w:rsidRPr="00CB6ABE">
              <w:rPr>
                <w:bCs/>
                <w:i/>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28AF8" w14:textId="1896DD8B" w:rsidR="000576E3" w:rsidRDefault="000576E3">
    <w:pPr>
      <w:pStyle w:val="Footer"/>
    </w:pPr>
    <w:r>
      <w:t>Last updated 3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0576E3" w:rsidRDefault="000576E3" w:rsidP="00A35800">
      <w:r>
        <w:separator/>
      </w:r>
    </w:p>
  </w:footnote>
  <w:footnote w:type="continuationSeparator" w:id="0">
    <w:p w14:paraId="7E2CA1E4" w14:textId="77777777" w:rsidR="000576E3" w:rsidRDefault="000576E3" w:rsidP="00A35800">
      <w:r>
        <w:continuationSeparator/>
      </w:r>
    </w:p>
  </w:footnote>
  <w:footnote w:id="1">
    <w:p w14:paraId="6925D585" w14:textId="08BC7B54" w:rsidR="000576E3" w:rsidRDefault="000576E3">
      <w:pPr>
        <w:pStyle w:val="FootnoteText"/>
      </w:pPr>
      <w:r>
        <w:rPr>
          <w:rStyle w:val="FootnoteReference"/>
        </w:rPr>
        <w:footnoteRef/>
      </w:r>
      <w:r>
        <w:t xml:space="preserve"> </w:t>
      </w:r>
      <w:proofErr w:type="spellStart"/>
      <w:proofErr w:type="gramStart"/>
      <w:r>
        <w:t>Xarelto</w:t>
      </w:r>
      <w:proofErr w:type="spellEnd"/>
      <w:r>
        <w:t xml:space="preserve"> (</w:t>
      </w:r>
      <w:proofErr w:type="spellStart"/>
      <w:r>
        <w:t>rivaroxaban</w:t>
      </w:r>
      <w:proofErr w:type="spellEnd"/>
      <w:r>
        <w:t>).</w:t>
      </w:r>
      <w:proofErr w:type="gramEnd"/>
      <w:r>
        <w:t xml:space="preserve"> </w:t>
      </w:r>
      <w:proofErr w:type="gramStart"/>
      <w:r>
        <w:t>Australian Approved Product Information.</w:t>
      </w:r>
      <w:proofErr w:type="gramEnd"/>
      <w:r>
        <w:t xml:space="preserve"> Sydney: Bayer Australia Ltd. Approved 24 November 2008, most recent amendment 15 January 2015. </w:t>
      </w:r>
      <w:proofErr w:type="gramStart"/>
      <w:r>
        <w:t>Available from &lt;</w:t>
      </w:r>
      <w:hyperlink r:id="rId1" w:history="1">
        <w:r w:rsidRPr="00BC1859">
          <w:rPr>
            <w:rStyle w:val="Hyperlink"/>
          </w:rPr>
          <w:t>www.ebs.tga.gov.au</w:t>
        </w:r>
      </w:hyperlink>
      <w:r>
        <w:t>&gt;.</w:t>
      </w:r>
      <w:proofErr w:type="gramEnd"/>
    </w:p>
  </w:footnote>
  <w:footnote w:id="2">
    <w:p w14:paraId="1D769502" w14:textId="5C82B51E" w:rsidR="000576E3" w:rsidRDefault="000576E3">
      <w:pPr>
        <w:pStyle w:val="FootnoteText"/>
      </w:pPr>
      <w:r>
        <w:rPr>
          <w:rStyle w:val="FootnoteReference"/>
        </w:rPr>
        <w:footnoteRef/>
      </w:r>
      <w:r>
        <w:t xml:space="preserve"> </w:t>
      </w:r>
      <w:proofErr w:type="spellStart"/>
      <w:proofErr w:type="gramStart"/>
      <w:r>
        <w:t>Eliquis</w:t>
      </w:r>
      <w:proofErr w:type="spellEnd"/>
      <w:r>
        <w:t xml:space="preserve"> (</w:t>
      </w:r>
      <w:proofErr w:type="spellStart"/>
      <w:r>
        <w:t>apixaban</w:t>
      </w:r>
      <w:proofErr w:type="spellEnd"/>
      <w:r>
        <w:t>).</w:t>
      </w:r>
      <w:proofErr w:type="gramEnd"/>
      <w:r>
        <w:t xml:space="preserve"> </w:t>
      </w:r>
      <w:proofErr w:type="gramStart"/>
      <w:r>
        <w:t>Australian Approved Product Information.</w:t>
      </w:r>
      <w:proofErr w:type="gramEnd"/>
      <w:r>
        <w:t xml:space="preserve"> Sydney: Pfizer Australia Pty Ltd. Approved 21 July 2011, most recent amendment 16 June 2014. </w:t>
      </w:r>
      <w:proofErr w:type="gramStart"/>
      <w:r>
        <w:t>Available from &lt;www.ebs.tga.gov.au&gt;.</w:t>
      </w:r>
      <w:proofErr w:type="gramEnd"/>
      <w:r>
        <w:t xml:space="preserve"> </w:t>
      </w:r>
    </w:p>
  </w:footnote>
  <w:footnote w:id="3">
    <w:p w14:paraId="38232E7F" w14:textId="41EA3D4D" w:rsidR="000576E3" w:rsidRDefault="000576E3">
      <w:pPr>
        <w:pStyle w:val="FootnoteText"/>
      </w:pPr>
      <w:r>
        <w:rPr>
          <w:rStyle w:val="FootnoteReference"/>
        </w:rPr>
        <w:footnoteRef/>
      </w:r>
      <w:r>
        <w:t xml:space="preserve"> </w:t>
      </w:r>
      <w:proofErr w:type="spellStart"/>
      <w:proofErr w:type="gramStart"/>
      <w:r>
        <w:t>Pradaxa</w:t>
      </w:r>
      <w:proofErr w:type="spellEnd"/>
      <w:r>
        <w:t xml:space="preserve"> (</w:t>
      </w:r>
      <w:proofErr w:type="spellStart"/>
      <w:r>
        <w:t>dabigatran</w:t>
      </w:r>
      <w:proofErr w:type="spellEnd"/>
      <w:r>
        <w:t>).</w:t>
      </w:r>
      <w:proofErr w:type="gramEnd"/>
      <w:r>
        <w:t xml:space="preserve"> </w:t>
      </w:r>
      <w:proofErr w:type="gramStart"/>
      <w:r>
        <w:t>Australian Approved Product Information.</w:t>
      </w:r>
      <w:proofErr w:type="gramEnd"/>
      <w:r>
        <w:t xml:space="preserve"> Sydney: </w:t>
      </w:r>
      <w:proofErr w:type="spellStart"/>
      <w:r>
        <w:t>Boehringer</w:t>
      </w:r>
      <w:proofErr w:type="spellEnd"/>
      <w:r>
        <w:t xml:space="preserve"> </w:t>
      </w:r>
      <w:proofErr w:type="spellStart"/>
      <w:r>
        <w:t>Ingelheim</w:t>
      </w:r>
      <w:proofErr w:type="spellEnd"/>
      <w:r>
        <w:t xml:space="preserve"> Pty Limited. Approved 24 November 2008, most recent amendment 20 June 2014. </w:t>
      </w:r>
      <w:proofErr w:type="gramStart"/>
      <w:r>
        <w:t>Available from &lt;www.ebs.tga.gov.au&gt;.</w:t>
      </w:r>
      <w:proofErr w:type="gramEnd"/>
    </w:p>
  </w:footnote>
  <w:footnote w:id="4">
    <w:p w14:paraId="0CEE666D" w14:textId="592B78BC" w:rsidR="000576E3" w:rsidRDefault="000576E3">
      <w:pPr>
        <w:pStyle w:val="FootnoteText"/>
      </w:pPr>
      <w:r>
        <w:rPr>
          <w:rStyle w:val="FootnoteReference"/>
        </w:rPr>
        <w:footnoteRef/>
      </w:r>
      <w:r>
        <w:t xml:space="preserve"> </w:t>
      </w:r>
      <w:proofErr w:type="gramStart"/>
      <w:r w:rsidRPr="00E26169">
        <w:t>National Health and Medical Research Council.</w:t>
      </w:r>
      <w:proofErr w:type="gramEnd"/>
      <w:r w:rsidRPr="00E26169">
        <w:t xml:space="preserve"> Clinical practice guideline for the prevention of venous thromboembolism (deep vein thrombosis and pulmonary embolism) in patients admitted to Australian hospitals. Melbourne: National Health and Medical Research Council; 2009. </w:t>
      </w:r>
      <w:proofErr w:type="gramStart"/>
      <w:r>
        <w:t>Available from &lt;</w:t>
      </w:r>
      <w:hyperlink r:id="rId2" w:history="1">
        <w:r w:rsidRPr="00BC1859">
          <w:rPr>
            <w:rStyle w:val="Hyperlink"/>
          </w:rPr>
          <w:t>http://www.nhmrc.gov.au/_files_nhmrc/publications/attachments/guideline_prevention_venous_thromboembolism.pdf</w:t>
        </w:r>
      </w:hyperlink>
      <w:r>
        <w:t>&gt;.</w:t>
      </w:r>
      <w:proofErr w:type="gramEnd"/>
    </w:p>
  </w:footnote>
  <w:footnote w:id="5">
    <w:p w14:paraId="59CB8C02" w14:textId="09F2B31A" w:rsidR="008C7228" w:rsidRDefault="008C7228" w:rsidP="008C7228">
      <w:pPr>
        <w:pStyle w:val="FootnoteText"/>
      </w:pPr>
      <w:r>
        <w:rPr>
          <w:rStyle w:val="FootnoteReference"/>
        </w:rPr>
        <w:footnoteRef/>
      </w:r>
      <w:r>
        <w:t xml:space="preserve"> </w:t>
      </w:r>
      <w:proofErr w:type="gramStart"/>
      <w:r w:rsidRPr="006D6C6C">
        <w:t>Australian Medicines Handbook.</w:t>
      </w:r>
      <w:proofErr w:type="gramEnd"/>
      <w:r w:rsidRPr="006D6C6C">
        <w:t xml:space="preserve"> Adelaide: Australian Medicines Handbook Pty Ltd</w:t>
      </w:r>
      <w:r w:rsidR="004E7BC6">
        <w:t>,</w:t>
      </w:r>
      <w:r w:rsidRPr="006D6C6C">
        <w:t xml:space="preserve"> 201</w:t>
      </w:r>
      <w:r>
        <w:t>3</w:t>
      </w:r>
      <w:r w:rsidR="00E502D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F5267" w14:textId="77777777" w:rsidR="00A41FF4" w:rsidRDefault="00A41F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F4D0F" w14:textId="77777777" w:rsidR="00A41FF4" w:rsidRDefault="00A41F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392B0" w14:textId="77777777" w:rsidR="00A41FF4" w:rsidRDefault="00A41F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DD5"/>
    <w:multiLevelType w:val="hybridMultilevel"/>
    <w:tmpl w:val="89865024"/>
    <w:lvl w:ilvl="0" w:tplc="3326AEBA">
      <w:start w:val="1"/>
      <w:numFmt w:val="bullet"/>
      <w:lvlText w:val="−"/>
      <w:lvlJc w:val="left"/>
      <w:pPr>
        <w:ind w:left="1080" w:hanging="360"/>
      </w:pPr>
      <w:rPr>
        <w:rFonts w:ascii="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EE22A0D"/>
    <w:multiLevelType w:val="hybridMultilevel"/>
    <w:tmpl w:val="04FA2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420E5B"/>
    <w:multiLevelType w:val="hybridMultilevel"/>
    <w:tmpl w:val="B24A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EAF5928"/>
    <w:multiLevelType w:val="hybridMultilevel"/>
    <w:tmpl w:val="5D888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EAA600B"/>
    <w:multiLevelType w:val="hybridMultilevel"/>
    <w:tmpl w:val="B9E04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2D043D"/>
    <w:multiLevelType w:val="hybridMultilevel"/>
    <w:tmpl w:val="E934205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6">
    <w:nsid w:val="52AB26CB"/>
    <w:multiLevelType w:val="hybridMultilevel"/>
    <w:tmpl w:val="DB282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3814AE8"/>
    <w:multiLevelType w:val="hybridMultilevel"/>
    <w:tmpl w:val="BE705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4E36222"/>
    <w:multiLevelType w:val="hybridMultilevel"/>
    <w:tmpl w:val="ED581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B92426E"/>
    <w:multiLevelType w:val="hybridMultilevel"/>
    <w:tmpl w:val="673E2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2D55D75"/>
    <w:multiLevelType w:val="hybridMultilevel"/>
    <w:tmpl w:val="5D90E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D36436B"/>
    <w:multiLevelType w:val="hybridMultilevel"/>
    <w:tmpl w:val="644894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1"/>
  </w:num>
  <w:num w:numId="2">
    <w:abstractNumId w:val="5"/>
  </w:num>
  <w:num w:numId="3">
    <w:abstractNumId w:val="7"/>
  </w:num>
  <w:num w:numId="4">
    <w:abstractNumId w:val="0"/>
  </w:num>
  <w:num w:numId="5">
    <w:abstractNumId w:val="3"/>
  </w:num>
  <w:num w:numId="6">
    <w:abstractNumId w:val="4"/>
  </w:num>
  <w:num w:numId="7">
    <w:abstractNumId w:val="2"/>
  </w:num>
  <w:num w:numId="8">
    <w:abstractNumId w:val="10"/>
  </w:num>
  <w:num w:numId="9">
    <w:abstractNumId w:val="1"/>
  </w:num>
  <w:num w:numId="10">
    <w:abstractNumId w:val="12"/>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11BC8"/>
    <w:rsid w:val="0001288E"/>
    <w:rsid w:val="00016C86"/>
    <w:rsid w:val="00022617"/>
    <w:rsid w:val="00025D72"/>
    <w:rsid w:val="000328AA"/>
    <w:rsid w:val="000378AD"/>
    <w:rsid w:val="00042812"/>
    <w:rsid w:val="00043F7B"/>
    <w:rsid w:val="00046D7D"/>
    <w:rsid w:val="00050211"/>
    <w:rsid w:val="0005082E"/>
    <w:rsid w:val="00053C61"/>
    <w:rsid w:val="0005619F"/>
    <w:rsid w:val="000576E3"/>
    <w:rsid w:val="000643F3"/>
    <w:rsid w:val="0006501F"/>
    <w:rsid w:val="000667A0"/>
    <w:rsid w:val="00067FE9"/>
    <w:rsid w:val="0009207E"/>
    <w:rsid w:val="000933D3"/>
    <w:rsid w:val="00094DCF"/>
    <w:rsid w:val="00095D51"/>
    <w:rsid w:val="000A3E1B"/>
    <w:rsid w:val="000A658D"/>
    <w:rsid w:val="000A7A56"/>
    <w:rsid w:val="000B01A7"/>
    <w:rsid w:val="000B268E"/>
    <w:rsid w:val="000B796C"/>
    <w:rsid w:val="000C2E20"/>
    <w:rsid w:val="000C6E5D"/>
    <w:rsid w:val="000C7D8B"/>
    <w:rsid w:val="000D0D19"/>
    <w:rsid w:val="000D1AE6"/>
    <w:rsid w:val="000D65B3"/>
    <w:rsid w:val="000E295D"/>
    <w:rsid w:val="000E485D"/>
    <w:rsid w:val="000F22BC"/>
    <w:rsid w:val="000F2F51"/>
    <w:rsid w:val="000F760B"/>
    <w:rsid w:val="00105288"/>
    <w:rsid w:val="00106F3A"/>
    <w:rsid w:val="00112FB2"/>
    <w:rsid w:val="00113D74"/>
    <w:rsid w:val="00117C5C"/>
    <w:rsid w:val="00120D00"/>
    <w:rsid w:val="0012291C"/>
    <w:rsid w:val="00125FC2"/>
    <w:rsid w:val="00130892"/>
    <w:rsid w:val="001327FB"/>
    <w:rsid w:val="001354DE"/>
    <w:rsid w:val="00141414"/>
    <w:rsid w:val="001420B3"/>
    <w:rsid w:val="0014260F"/>
    <w:rsid w:val="00151BD0"/>
    <w:rsid w:val="001537F5"/>
    <w:rsid w:val="0015691C"/>
    <w:rsid w:val="0016151D"/>
    <w:rsid w:val="00162736"/>
    <w:rsid w:val="00166E30"/>
    <w:rsid w:val="001714FD"/>
    <w:rsid w:val="00174183"/>
    <w:rsid w:val="00174436"/>
    <w:rsid w:val="001759EC"/>
    <w:rsid w:val="001771B1"/>
    <w:rsid w:val="0017721D"/>
    <w:rsid w:val="00180B7C"/>
    <w:rsid w:val="00183396"/>
    <w:rsid w:val="00185B3A"/>
    <w:rsid w:val="001961EC"/>
    <w:rsid w:val="001B4788"/>
    <w:rsid w:val="001B50CA"/>
    <w:rsid w:val="001B5D37"/>
    <w:rsid w:val="001B5F23"/>
    <w:rsid w:val="001C2785"/>
    <w:rsid w:val="001C4016"/>
    <w:rsid w:val="001D20BC"/>
    <w:rsid w:val="001D2DCB"/>
    <w:rsid w:val="001D37DA"/>
    <w:rsid w:val="001D390D"/>
    <w:rsid w:val="001D6CF6"/>
    <w:rsid w:val="001E0E7B"/>
    <w:rsid w:val="001E31A6"/>
    <w:rsid w:val="001F2C97"/>
    <w:rsid w:val="001F2F3E"/>
    <w:rsid w:val="002034F7"/>
    <w:rsid w:val="0020380B"/>
    <w:rsid w:val="002104AA"/>
    <w:rsid w:val="00214013"/>
    <w:rsid w:val="00215774"/>
    <w:rsid w:val="00224F28"/>
    <w:rsid w:val="00231297"/>
    <w:rsid w:val="00234F8F"/>
    <w:rsid w:val="00240FAD"/>
    <w:rsid w:val="0024294B"/>
    <w:rsid w:val="00244624"/>
    <w:rsid w:val="002509D5"/>
    <w:rsid w:val="00252D19"/>
    <w:rsid w:val="00255926"/>
    <w:rsid w:val="00261EDD"/>
    <w:rsid w:val="002668BA"/>
    <w:rsid w:val="0027407A"/>
    <w:rsid w:val="00274129"/>
    <w:rsid w:val="00275D5A"/>
    <w:rsid w:val="0027756F"/>
    <w:rsid w:val="002801FD"/>
    <w:rsid w:val="0028594C"/>
    <w:rsid w:val="00296ABE"/>
    <w:rsid w:val="002A1D28"/>
    <w:rsid w:val="002A2853"/>
    <w:rsid w:val="002C4942"/>
    <w:rsid w:val="002C6E0C"/>
    <w:rsid w:val="002D1CE2"/>
    <w:rsid w:val="002D472A"/>
    <w:rsid w:val="002D7BD4"/>
    <w:rsid w:val="002E279B"/>
    <w:rsid w:val="002E3337"/>
    <w:rsid w:val="002E6D9A"/>
    <w:rsid w:val="002F1359"/>
    <w:rsid w:val="002F49A8"/>
    <w:rsid w:val="002F61CA"/>
    <w:rsid w:val="002F63ED"/>
    <w:rsid w:val="0030749C"/>
    <w:rsid w:val="00313B8D"/>
    <w:rsid w:val="00314FC4"/>
    <w:rsid w:val="00324A99"/>
    <w:rsid w:val="0032683F"/>
    <w:rsid w:val="003370D0"/>
    <w:rsid w:val="00337F4B"/>
    <w:rsid w:val="00340524"/>
    <w:rsid w:val="0034082A"/>
    <w:rsid w:val="00340F95"/>
    <w:rsid w:val="00343204"/>
    <w:rsid w:val="003459AA"/>
    <w:rsid w:val="00345E44"/>
    <w:rsid w:val="003474B7"/>
    <w:rsid w:val="00347CBC"/>
    <w:rsid w:val="00351951"/>
    <w:rsid w:val="003529E0"/>
    <w:rsid w:val="003531ED"/>
    <w:rsid w:val="00367BB9"/>
    <w:rsid w:val="0038097B"/>
    <w:rsid w:val="003811C7"/>
    <w:rsid w:val="0039017F"/>
    <w:rsid w:val="003B7DFC"/>
    <w:rsid w:val="003C4965"/>
    <w:rsid w:val="003C649E"/>
    <w:rsid w:val="003D6756"/>
    <w:rsid w:val="003E5D51"/>
    <w:rsid w:val="003F2C10"/>
    <w:rsid w:val="00402D54"/>
    <w:rsid w:val="004077F8"/>
    <w:rsid w:val="00407B44"/>
    <w:rsid w:val="00426B43"/>
    <w:rsid w:val="00462FF4"/>
    <w:rsid w:val="00464869"/>
    <w:rsid w:val="00472C65"/>
    <w:rsid w:val="00481108"/>
    <w:rsid w:val="00482863"/>
    <w:rsid w:val="004845AD"/>
    <w:rsid w:val="0049042B"/>
    <w:rsid w:val="004A3820"/>
    <w:rsid w:val="004A3D45"/>
    <w:rsid w:val="004A458E"/>
    <w:rsid w:val="004B1F1C"/>
    <w:rsid w:val="004B23E7"/>
    <w:rsid w:val="004B306F"/>
    <w:rsid w:val="004B552B"/>
    <w:rsid w:val="004B559D"/>
    <w:rsid w:val="004C10C5"/>
    <w:rsid w:val="004C3186"/>
    <w:rsid w:val="004C5042"/>
    <w:rsid w:val="004C65CC"/>
    <w:rsid w:val="004C6C8D"/>
    <w:rsid w:val="004D0F64"/>
    <w:rsid w:val="004D14BD"/>
    <w:rsid w:val="004E2E04"/>
    <w:rsid w:val="004E4717"/>
    <w:rsid w:val="004E5CB3"/>
    <w:rsid w:val="004E7BC6"/>
    <w:rsid w:val="004F12CD"/>
    <w:rsid w:val="004F1E15"/>
    <w:rsid w:val="00503998"/>
    <w:rsid w:val="0050623B"/>
    <w:rsid w:val="00512C79"/>
    <w:rsid w:val="00514A14"/>
    <w:rsid w:val="00514EB9"/>
    <w:rsid w:val="00524531"/>
    <w:rsid w:val="0053345B"/>
    <w:rsid w:val="005339F6"/>
    <w:rsid w:val="00546604"/>
    <w:rsid w:val="00561CB4"/>
    <w:rsid w:val="00564BB1"/>
    <w:rsid w:val="00566E10"/>
    <w:rsid w:val="0056710D"/>
    <w:rsid w:val="0057103D"/>
    <w:rsid w:val="00574D37"/>
    <w:rsid w:val="00580553"/>
    <w:rsid w:val="00582F4F"/>
    <w:rsid w:val="00585DF4"/>
    <w:rsid w:val="00591512"/>
    <w:rsid w:val="00593B6B"/>
    <w:rsid w:val="00595DB4"/>
    <w:rsid w:val="005A763E"/>
    <w:rsid w:val="005B445A"/>
    <w:rsid w:val="005B50FD"/>
    <w:rsid w:val="005C25A2"/>
    <w:rsid w:val="005C2AE7"/>
    <w:rsid w:val="005C4023"/>
    <w:rsid w:val="005C4A25"/>
    <w:rsid w:val="005C5455"/>
    <w:rsid w:val="005C55C6"/>
    <w:rsid w:val="005C597F"/>
    <w:rsid w:val="005C67FE"/>
    <w:rsid w:val="005C74E4"/>
    <w:rsid w:val="005D436A"/>
    <w:rsid w:val="005D6078"/>
    <w:rsid w:val="005D70B3"/>
    <w:rsid w:val="005D7DDC"/>
    <w:rsid w:val="005E147D"/>
    <w:rsid w:val="005E22C2"/>
    <w:rsid w:val="005F200D"/>
    <w:rsid w:val="005F39F0"/>
    <w:rsid w:val="005F482B"/>
    <w:rsid w:val="00606906"/>
    <w:rsid w:val="00613025"/>
    <w:rsid w:val="00621717"/>
    <w:rsid w:val="00622B94"/>
    <w:rsid w:val="006271C2"/>
    <w:rsid w:val="0063021F"/>
    <w:rsid w:val="00630CA0"/>
    <w:rsid w:val="00630D3C"/>
    <w:rsid w:val="006345C1"/>
    <w:rsid w:val="00635817"/>
    <w:rsid w:val="0063631C"/>
    <w:rsid w:val="00643A70"/>
    <w:rsid w:val="00647C45"/>
    <w:rsid w:val="00652961"/>
    <w:rsid w:val="006537D9"/>
    <w:rsid w:val="00663264"/>
    <w:rsid w:val="00663E10"/>
    <w:rsid w:val="00665DEF"/>
    <w:rsid w:val="00675BB1"/>
    <w:rsid w:val="00690667"/>
    <w:rsid w:val="00691B72"/>
    <w:rsid w:val="00693FFA"/>
    <w:rsid w:val="00694524"/>
    <w:rsid w:val="006A2CFC"/>
    <w:rsid w:val="006A44F5"/>
    <w:rsid w:val="006B4537"/>
    <w:rsid w:val="006B709B"/>
    <w:rsid w:val="006B7DBD"/>
    <w:rsid w:val="006C38B5"/>
    <w:rsid w:val="006C4468"/>
    <w:rsid w:val="006C4620"/>
    <w:rsid w:val="006D34BF"/>
    <w:rsid w:val="006E0181"/>
    <w:rsid w:val="006F423A"/>
    <w:rsid w:val="006F5D2E"/>
    <w:rsid w:val="006F6869"/>
    <w:rsid w:val="00705309"/>
    <w:rsid w:val="00705DAD"/>
    <w:rsid w:val="00720D33"/>
    <w:rsid w:val="007247B9"/>
    <w:rsid w:val="00727D85"/>
    <w:rsid w:val="007346C7"/>
    <w:rsid w:val="00736041"/>
    <w:rsid w:val="007375C0"/>
    <w:rsid w:val="007408C7"/>
    <w:rsid w:val="00740A09"/>
    <w:rsid w:val="00747DF1"/>
    <w:rsid w:val="0075110A"/>
    <w:rsid w:val="00752C7F"/>
    <w:rsid w:val="00770406"/>
    <w:rsid w:val="00776598"/>
    <w:rsid w:val="0078522E"/>
    <w:rsid w:val="0078604D"/>
    <w:rsid w:val="00792581"/>
    <w:rsid w:val="00796B2F"/>
    <w:rsid w:val="00796E84"/>
    <w:rsid w:val="007A56D5"/>
    <w:rsid w:val="007B1840"/>
    <w:rsid w:val="007B2DB1"/>
    <w:rsid w:val="007B3C3F"/>
    <w:rsid w:val="007C5C55"/>
    <w:rsid w:val="007C7A52"/>
    <w:rsid w:val="007D2AB5"/>
    <w:rsid w:val="007D2B3D"/>
    <w:rsid w:val="007D7982"/>
    <w:rsid w:val="007E5CE8"/>
    <w:rsid w:val="00800C2D"/>
    <w:rsid w:val="00801E30"/>
    <w:rsid w:val="00811FB8"/>
    <w:rsid w:val="00812843"/>
    <w:rsid w:val="008142B4"/>
    <w:rsid w:val="00832324"/>
    <w:rsid w:val="00833B5D"/>
    <w:rsid w:val="008473AE"/>
    <w:rsid w:val="0084784F"/>
    <w:rsid w:val="00851577"/>
    <w:rsid w:val="0085256D"/>
    <w:rsid w:val="00852A4C"/>
    <w:rsid w:val="00856BB4"/>
    <w:rsid w:val="00861D69"/>
    <w:rsid w:val="0087738B"/>
    <w:rsid w:val="00887EFB"/>
    <w:rsid w:val="00896025"/>
    <w:rsid w:val="00896403"/>
    <w:rsid w:val="00897097"/>
    <w:rsid w:val="008A3BCC"/>
    <w:rsid w:val="008B0486"/>
    <w:rsid w:val="008B1A60"/>
    <w:rsid w:val="008B3A5D"/>
    <w:rsid w:val="008C14A0"/>
    <w:rsid w:val="008C2170"/>
    <w:rsid w:val="008C7228"/>
    <w:rsid w:val="008D15C8"/>
    <w:rsid w:val="008E2BD4"/>
    <w:rsid w:val="008E3C3F"/>
    <w:rsid w:val="008F4CC4"/>
    <w:rsid w:val="008F5180"/>
    <w:rsid w:val="008F685E"/>
    <w:rsid w:val="00902FD0"/>
    <w:rsid w:val="009053D3"/>
    <w:rsid w:val="00905736"/>
    <w:rsid w:val="00905AB4"/>
    <w:rsid w:val="00910C9E"/>
    <w:rsid w:val="00922CDB"/>
    <w:rsid w:val="00926927"/>
    <w:rsid w:val="0093111F"/>
    <w:rsid w:val="00931501"/>
    <w:rsid w:val="00935689"/>
    <w:rsid w:val="009379BA"/>
    <w:rsid w:val="0094366B"/>
    <w:rsid w:val="00945324"/>
    <w:rsid w:val="00957837"/>
    <w:rsid w:val="00961034"/>
    <w:rsid w:val="0096189A"/>
    <w:rsid w:val="009651CF"/>
    <w:rsid w:val="009663B6"/>
    <w:rsid w:val="00967E2B"/>
    <w:rsid w:val="00980286"/>
    <w:rsid w:val="00980972"/>
    <w:rsid w:val="00983AEB"/>
    <w:rsid w:val="00991843"/>
    <w:rsid w:val="00992CEB"/>
    <w:rsid w:val="009A351C"/>
    <w:rsid w:val="009A3978"/>
    <w:rsid w:val="009A4083"/>
    <w:rsid w:val="009A4CD6"/>
    <w:rsid w:val="009A52BD"/>
    <w:rsid w:val="009A5D0B"/>
    <w:rsid w:val="009B05A2"/>
    <w:rsid w:val="009B28E4"/>
    <w:rsid w:val="009C0068"/>
    <w:rsid w:val="009C0886"/>
    <w:rsid w:val="009C0AF1"/>
    <w:rsid w:val="009C0D37"/>
    <w:rsid w:val="009C35F2"/>
    <w:rsid w:val="009C7C43"/>
    <w:rsid w:val="009D187E"/>
    <w:rsid w:val="009D2345"/>
    <w:rsid w:val="009D2BB9"/>
    <w:rsid w:val="009D2E39"/>
    <w:rsid w:val="009D41C8"/>
    <w:rsid w:val="009D6EE7"/>
    <w:rsid w:val="009E2173"/>
    <w:rsid w:val="009E21A7"/>
    <w:rsid w:val="009E3ED0"/>
    <w:rsid w:val="00A0720D"/>
    <w:rsid w:val="00A103ED"/>
    <w:rsid w:val="00A108F9"/>
    <w:rsid w:val="00A13B85"/>
    <w:rsid w:val="00A13C60"/>
    <w:rsid w:val="00A233A6"/>
    <w:rsid w:val="00A240E2"/>
    <w:rsid w:val="00A261EA"/>
    <w:rsid w:val="00A3427C"/>
    <w:rsid w:val="00A35800"/>
    <w:rsid w:val="00A36FA8"/>
    <w:rsid w:val="00A3777D"/>
    <w:rsid w:val="00A4020E"/>
    <w:rsid w:val="00A41FF4"/>
    <w:rsid w:val="00A47C71"/>
    <w:rsid w:val="00A55579"/>
    <w:rsid w:val="00A56D8A"/>
    <w:rsid w:val="00A70075"/>
    <w:rsid w:val="00A7563F"/>
    <w:rsid w:val="00A84CAD"/>
    <w:rsid w:val="00A90B3B"/>
    <w:rsid w:val="00AA458A"/>
    <w:rsid w:val="00AA4657"/>
    <w:rsid w:val="00AB3733"/>
    <w:rsid w:val="00AC1E65"/>
    <w:rsid w:val="00AD6C42"/>
    <w:rsid w:val="00AE4EAB"/>
    <w:rsid w:val="00AE5875"/>
    <w:rsid w:val="00AF19A2"/>
    <w:rsid w:val="00AF6BB9"/>
    <w:rsid w:val="00AF6DE8"/>
    <w:rsid w:val="00AF796B"/>
    <w:rsid w:val="00B02AB9"/>
    <w:rsid w:val="00B05310"/>
    <w:rsid w:val="00B062CA"/>
    <w:rsid w:val="00B20B7F"/>
    <w:rsid w:val="00B22AE8"/>
    <w:rsid w:val="00B23828"/>
    <w:rsid w:val="00B3100A"/>
    <w:rsid w:val="00B33F78"/>
    <w:rsid w:val="00B37DF2"/>
    <w:rsid w:val="00B56905"/>
    <w:rsid w:val="00B63AF4"/>
    <w:rsid w:val="00B9120F"/>
    <w:rsid w:val="00B922BE"/>
    <w:rsid w:val="00B924A4"/>
    <w:rsid w:val="00B95FB9"/>
    <w:rsid w:val="00B97BB5"/>
    <w:rsid w:val="00BA4F4D"/>
    <w:rsid w:val="00BA6466"/>
    <w:rsid w:val="00BB0393"/>
    <w:rsid w:val="00BB0890"/>
    <w:rsid w:val="00BB0D1A"/>
    <w:rsid w:val="00BB1D3B"/>
    <w:rsid w:val="00BC240B"/>
    <w:rsid w:val="00BC35ED"/>
    <w:rsid w:val="00BC4FD9"/>
    <w:rsid w:val="00BC55C3"/>
    <w:rsid w:val="00BD037D"/>
    <w:rsid w:val="00BD4831"/>
    <w:rsid w:val="00BE5D65"/>
    <w:rsid w:val="00BF238E"/>
    <w:rsid w:val="00BF4D9B"/>
    <w:rsid w:val="00BF6D5C"/>
    <w:rsid w:val="00C0076F"/>
    <w:rsid w:val="00C0246B"/>
    <w:rsid w:val="00C0412D"/>
    <w:rsid w:val="00C10BC8"/>
    <w:rsid w:val="00C2281F"/>
    <w:rsid w:val="00C26824"/>
    <w:rsid w:val="00C31026"/>
    <w:rsid w:val="00C40BCC"/>
    <w:rsid w:val="00C40BD6"/>
    <w:rsid w:val="00C41246"/>
    <w:rsid w:val="00C45E5F"/>
    <w:rsid w:val="00C47189"/>
    <w:rsid w:val="00C50268"/>
    <w:rsid w:val="00C553C8"/>
    <w:rsid w:val="00C561CE"/>
    <w:rsid w:val="00C56750"/>
    <w:rsid w:val="00C60DA4"/>
    <w:rsid w:val="00C640CD"/>
    <w:rsid w:val="00C64A4F"/>
    <w:rsid w:val="00C64E30"/>
    <w:rsid w:val="00C672F4"/>
    <w:rsid w:val="00C67479"/>
    <w:rsid w:val="00C675DB"/>
    <w:rsid w:val="00C7051C"/>
    <w:rsid w:val="00C714D0"/>
    <w:rsid w:val="00C75822"/>
    <w:rsid w:val="00C81F99"/>
    <w:rsid w:val="00C90434"/>
    <w:rsid w:val="00C92434"/>
    <w:rsid w:val="00C96B3C"/>
    <w:rsid w:val="00C978D2"/>
    <w:rsid w:val="00C97AFA"/>
    <w:rsid w:val="00CA174A"/>
    <w:rsid w:val="00CB04D0"/>
    <w:rsid w:val="00CB16A9"/>
    <w:rsid w:val="00CB4FDE"/>
    <w:rsid w:val="00CB6ABE"/>
    <w:rsid w:val="00CC7A62"/>
    <w:rsid w:val="00CD6783"/>
    <w:rsid w:val="00CD78F8"/>
    <w:rsid w:val="00CE001C"/>
    <w:rsid w:val="00CE2CDF"/>
    <w:rsid w:val="00CE417B"/>
    <w:rsid w:val="00CE5793"/>
    <w:rsid w:val="00CF6FB3"/>
    <w:rsid w:val="00D04D4E"/>
    <w:rsid w:val="00D06B3A"/>
    <w:rsid w:val="00D06C88"/>
    <w:rsid w:val="00D13C41"/>
    <w:rsid w:val="00D151EB"/>
    <w:rsid w:val="00D15316"/>
    <w:rsid w:val="00D2240B"/>
    <w:rsid w:val="00D24D2A"/>
    <w:rsid w:val="00D30378"/>
    <w:rsid w:val="00D33EAC"/>
    <w:rsid w:val="00D344EC"/>
    <w:rsid w:val="00D37123"/>
    <w:rsid w:val="00D419DF"/>
    <w:rsid w:val="00D47C99"/>
    <w:rsid w:val="00D54907"/>
    <w:rsid w:val="00D56BB9"/>
    <w:rsid w:val="00D6068B"/>
    <w:rsid w:val="00D611B0"/>
    <w:rsid w:val="00D6439E"/>
    <w:rsid w:val="00D650CE"/>
    <w:rsid w:val="00D72DF1"/>
    <w:rsid w:val="00D7779F"/>
    <w:rsid w:val="00D84CB6"/>
    <w:rsid w:val="00D8758B"/>
    <w:rsid w:val="00D91213"/>
    <w:rsid w:val="00D936D2"/>
    <w:rsid w:val="00D94720"/>
    <w:rsid w:val="00D963BE"/>
    <w:rsid w:val="00D97E2A"/>
    <w:rsid w:val="00DA02FC"/>
    <w:rsid w:val="00DA5569"/>
    <w:rsid w:val="00DA7D09"/>
    <w:rsid w:val="00DC0CE3"/>
    <w:rsid w:val="00DC49E9"/>
    <w:rsid w:val="00DC75EA"/>
    <w:rsid w:val="00DC7BE7"/>
    <w:rsid w:val="00DD389C"/>
    <w:rsid w:val="00DD70ED"/>
    <w:rsid w:val="00DE090C"/>
    <w:rsid w:val="00DE0B96"/>
    <w:rsid w:val="00DE1213"/>
    <w:rsid w:val="00DE260E"/>
    <w:rsid w:val="00DF0B13"/>
    <w:rsid w:val="00DF4A94"/>
    <w:rsid w:val="00DF5ED8"/>
    <w:rsid w:val="00E009F0"/>
    <w:rsid w:val="00E05C1A"/>
    <w:rsid w:val="00E066C3"/>
    <w:rsid w:val="00E06753"/>
    <w:rsid w:val="00E0733E"/>
    <w:rsid w:val="00E11A6D"/>
    <w:rsid w:val="00E1353A"/>
    <w:rsid w:val="00E13C27"/>
    <w:rsid w:val="00E14D65"/>
    <w:rsid w:val="00E153FC"/>
    <w:rsid w:val="00E1564B"/>
    <w:rsid w:val="00E208A0"/>
    <w:rsid w:val="00E2213B"/>
    <w:rsid w:val="00E23A3F"/>
    <w:rsid w:val="00E24FAB"/>
    <w:rsid w:val="00E26169"/>
    <w:rsid w:val="00E3207A"/>
    <w:rsid w:val="00E327DC"/>
    <w:rsid w:val="00E375D1"/>
    <w:rsid w:val="00E376AA"/>
    <w:rsid w:val="00E41C8B"/>
    <w:rsid w:val="00E4205B"/>
    <w:rsid w:val="00E42814"/>
    <w:rsid w:val="00E42A7B"/>
    <w:rsid w:val="00E502DF"/>
    <w:rsid w:val="00E55D60"/>
    <w:rsid w:val="00E61211"/>
    <w:rsid w:val="00E628EA"/>
    <w:rsid w:val="00E66A37"/>
    <w:rsid w:val="00E66E78"/>
    <w:rsid w:val="00E677DD"/>
    <w:rsid w:val="00E75645"/>
    <w:rsid w:val="00E82CC1"/>
    <w:rsid w:val="00E85C2B"/>
    <w:rsid w:val="00E91679"/>
    <w:rsid w:val="00EA2785"/>
    <w:rsid w:val="00EA4A61"/>
    <w:rsid w:val="00EA6EED"/>
    <w:rsid w:val="00EB47F2"/>
    <w:rsid w:val="00EB6C07"/>
    <w:rsid w:val="00EC028D"/>
    <w:rsid w:val="00EC579F"/>
    <w:rsid w:val="00EC713E"/>
    <w:rsid w:val="00ED633B"/>
    <w:rsid w:val="00EE0544"/>
    <w:rsid w:val="00EE3F3E"/>
    <w:rsid w:val="00EE478C"/>
    <w:rsid w:val="00EF28FB"/>
    <w:rsid w:val="00EF78D5"/>
    <w:rsid w:val="00F06746"/>
    <w:rsid w:val="00F11CFC"/>
    <w:rsid w:val="00F11DA1"/>
    <w:rsid w:val="00F1349D"/>
    <w:rsid w:val="00F22787"/>
    <w:rsid w:val="00F22863"/>
    <w:rsid w:val="00F23552"/>
    <w:rsid w:val="00F25CCC"/>
    <w:rsid w:val="00F2799B"/>
    <w:rsid w:val="00F33E78"/>
    <w:rsid w:val="00F43923"/>
    <w:rsid w:val="00F528B4"/>
    <w:rsid w:val="00F54EB6"/>
    <w:rsid w:val="00F61326"/>
    <w:rsid w:val="00F63961"/>
    <w:rsid w:val="00F65CC3"/>
    <w:rsid w:val="00F6787C"/>
    <w:rsid w:val="00F861B8"/>
    <w:rsid w:val="00F907BE"/>
    <w:rsid w:val="00F91365"/>
    <w:rsid w:val="00F95034"/>
    <w:rsid w:val="00F963F9"/>
    <w:rsid w:val="00FB5D87"/>
    <w:rsid w:val="00FB744A"/>
    <w:rsid w:val="00FC08DA"/>
    <w:rsid w:val="00FC443E"/>
    <w:rsid w:val="00FC4A73"/>
    <w:rsid w:val="00FD13CD"/>
    <w:rsid w:val="00FD3057"/>
    <w:rsid w:val="00FE480B"/>
    <w:rsid w:val="00FE645A"/>
    <w:rsid w:val="00FF73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4F1E15"/>
    <w:pPr>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uiPriority w:val="34"/>
    <w:qFormat/>
    <w:rsid w:val="00D04D4E"/>
    <w:pPr>
      <w:ind w:left="720"/>
      <w:contextualSpacing/>
    </w:pPr>
  </w:style>
  <w:style w:type="character" w:styleId="FollowedHyperlink">
    <w:name w:val="FollowedHyperlink"/>
    <w:basedOn w:val="DefaultParagraphFont"/>
    <w:uiPriority w:val="99"/>
    <w:semiHidden/>
    <w:unhideWhenUsed/>
    <w:rsid w:val="003C64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4F1E15"/>
    <w:pPr>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uiPriority w:val="34"/>
    <w:qFormat/>
    <w:rsid w:val="00D04D4E"/>
    <w:pPr>
      <w:ind w:left="720"/>
      <w:contextualSpacing/>
    </w:pPr>
  </w:style>
  <w:style w:type="character" w:styleId="FollowedHyperlink">
    <w:name w:val="FollowedHyperlink"/>
    <w:basedOn w:val="DefaultParagraphFont"/>
    <w:uiPriority w:val="99"/>
    <w:semiHidden/>
    <w:unhideWhenUsed/>
    <w:rsid w:val="003C64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info/industry/listing/elements/pbac-meetings/psd/2012-03/rivaroxaban" TargetMode="Externa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pbs.gov.au/info/industry/listing/elements/pbac-meetings/psd/2009-03/pbac-psd-rivaroxaban-march09" TargetMode="External"/><Relationship Id="rId17" Type="http://schemas.openxmlformats.org/officeDocument/2006/relationships/hyperlink" Target="http://www.pbs.gov.au/info/industry/listing/elements/pbac-meetings/psd/2011-07/pbac-psd-apixaban-july11"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bs.gov.au/info/industry/listing/elements/pbac-meetings/psd/2009-11/pbac-psd-Dabigatran-nov0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entral.health\DFSGroupData\Sites\CO1\CO\PBD\PEB\EVAL\DUSC\DUSC%20policy\PvA%20transparency%20project\DUSC%20utilisation%20analysis%20reports%20public%20release%20documents\NOACs%20non-AF%202014%20Oct\pbs.gov.a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pbs.gov.au/info/industry/listing/elements/pbac-meetings/psd/2009-03/pbac-psd-dabigatran-march09" TargetMode="External"/><Relationship Id="rId23" Type="http://schemas.openxmlformats.org/officeDocument/2006/relationships/footer" Target="footer2.xml"/><Relationship Id="rId10" Type="http://schemas.openxmlformats.org/officeDocument/2006/relationships/hyperlink" Target="http://www.tga.gov.au/consumers/information-medicines-cmi.htm" TargetMode="Externa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http://tga.gov.au/hp/information-medicines-pi.htm" TargetMode="External"/><Relationship Id="rId14" Type="http://schemas.openxmlformats.org/officeDocument/2006/relationships/hyperlink" Target="http://www.pbs.gov.au/info/industry/listing/elements/pbac-meetings/psd/2013-03/rivaroxaban-pe"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hmrc.gov.au/_files_nhmrc/publications/attachments/guideline_prevention_venous_thromboembolism.pdf" TargetMode="External"/><Relationship Id="rId1" Type="http://schemas.openxmlformats.org/officeDocument/2006/relationships/hyperlink" Target="http://www.ebs.tga.gov.au"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[D823_SCRIPT_FREQ_BY_YMSUPP.xlsx]Sheet3!PivotTable2</c:name>
    <c:fmtId val="-1"/>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s>
    <c:plotArea>
      <c:layout>
        <c:manualLayout>
          <c:layoutTarget val="inner"/>
          <c:xMode val="edge"/>
          <c:yMode val="edge"/>
          <c:x val="0.10130817492850795"/>
          <c:y val="3.7983303746285904E-2"/>
          <c:w val="0.87413277827392466"/>
          <c:h val="0.70339438259676224"/>
        </c:manualLayout>
      </c:layout>
      <c:lineChart>
        <c:grouping val="standard"/>
        <c:varyColors val="0"/>
        <c:ser>
          <c:idx val="0"/>
          <c:order val="0"/>
          <c:tx>
            <c:strRef>
              <c:f>Sheet3!$B$3:$B$4</c:f>
              <c:strCache>
                <c:ptCount val="1"/>
                <c:pt idx="0">
                  <c:v>Apixaban</c:v>
                </c:pt>
              </c:strCache>
            </c:strRef>
          </c:tx>
          <c:cat>
            <c:strRef>
              <c:f>Sheet3!$A$5:$A$25</c:f>
              <c:strCache>
                <c:ptCount val="20"/>
                <c:pt idx="0">
                  <c:v>201208</c:v>
                </c:pt>
                <c:pt idx="1">
                  <c:v>201209</c:v>
                </c:pt>
                <c:pt idx="2">
                  <c:v>201210</c:v>
                </c:pt>
                <c:pt idx="3">
                  <c:v>201211</c:v>
                </c:pt>
                <c:pt idx="4">
                  <c:v>201212</c:v>
                </c:pt>
                <c:pt idx="5">
                  <c:v>201301</c:v>
                </c:pt>
                <c:pt idx="6">
                  <c:v>201302</c:v>
                </c:pt>
                <c:pt idx="7">
                  <c:v>201303</c:v>
                </c:pt>
                <c:pt idx="8">
                  <c:v>201304</c:v>
                </c:pt>
                <c:pt idx="9">
                  <c:v>201305</c:v>
                </c:pt>
                <c:pt idx="10">
                  <c:v>201306</c:v>
                </c:pt>
                <c:pt idx="11">
                  <c:v>201307</c:v>
                </c:pt>
                <c:pt idx="12">
                  <c:v>201308</c:v>
                </c:pt>
                <c:pt idx="13">
                  <c:v>201309</c:v>
                </c:pt>
                <c:pt idx="14">
                  <c:v>201310</c:v>
                </c:pt>
                <c:pt idx="15">
                  <c:v>201311</c:v>
                </c:pt>
                <c:pt idx="16">
                  <c:v>201312</c:v>
                </c:pt>
                <c:pt idx="17">
                  <c:v>201401</c:v>
                </c:pt>
                <c:pt idx="18">
                  <c:v>201402</c:v>
                </c:pt>
                <c:pt idx="19">
                  <c:v>201403</c:v>
                </c:pt>
              </c:strCache>
            </c:strRef>
          </c:cat>
          <c:val>
            <c:numRef>
              <c:f>Sheet3!$B$5:$B$25</c:f>
              <c:numCache>
                <c:formatCode>0," K"</c:formatCode>
                <c:ptCount val="20"/>
                <c:pt idx="0">
                  <c:v>89</c:v>
                </c:pt>
                <c:pt idx="1">
                  <c:v>57</c:v>
                </c:pt>
                <c:pt idx="2">
                  <c:v>57</c:v>
                </c:pt>
                <c:pt idx="3">
                  <c:v>96</c:v>
                </c:pt>
                <c:pt idx="4">
                  <c:v>62</c:v>
                </c:pt>
                <c:pt idx="5">
                  <c:v>94</c:v>
                </c:pt>
                <c:pt idx="6">
                  <c:v>104</c:v>
                </c:pt>
                <c:pt idx="7">
                  <c:v>84</c:v>
                </c:pt>
                <c:pt idx="8">
                  <c:v>94</c:v>
                </c:pt>
                <c:pt idx="9">
                  <c:v>88</c:v>
                </c:pt>
                <c:pt idx="10">
                  <c:v>107</c:v>
                </c:pt>
                <c:pt idx="11">
                  <c:v>80</c:v>
                </c:pt>
                <c:pt idx="12">
                  <c:v>69</c:v>
                </c:pt>
                <c:pt idx="13">
                  <c:v>85</c:v>
                </c:pt>
                <c:pt idx="14">
                  <c:v>170</c:v>
                </c:pt>
                <c:pt idx="15">
                  <c:v>134</c:v>
                </c:pt>
                <c:pt idx="16">
                  <c:v>148</c:v>
                </c:pt>
                <c:pt idx="17">
                  <c:v>154</c:v>
                </c:pt>
                <c:pt idx="18">
                  <c:v>234</c:v>
                </c:pt>
                <c:pt idx="19">
                  <c:v>224</c:v>
                </c:pt>
              </c:numCache>
            </c:numRef>
          </c:val>
          <c:smooth val="0"/>
        </c:ser>
        <c:ser>
          <c:idx val="1"/>
          <c:order val="1"/>
          <c:tx>
            <c:strRef>
              <c:f>Sheet3!$C$3:$C$4</c:f>
              <c:strCache>
                <c:ptCount val="1"/>
                <c:pt idx="0">
                  <c:v>Dabigatran etexilate</c:v>
                </c:pt>
              </c:strCache>
            </c:strRef>
          </c:tx>
          <c:cat>
            <c:strRef>
              <c:f>Sheet3!$A$5:$A$25</c:f>
              <c:strCache>
                <c:ptCount val="20"/>
                <c:pt idx="0">
                  <c:v>201208</c:v>
                </c:pt>
                <c:pt idx="1">
                  <c:v>201209</c:v>
                </c:pt>
                <c:pt idx="2">
                  <c:v>201210</c:v>
                </c:pt>
                <c:pt idx="3">
                  <c:v>201211</c:v>
                </c:pt>
                <c:pt idx="4">
                  <c:v>201212</c:v>
                </c:pt>
                <c:pt idx="5">
                  <c:v>201301</c:v>
                </c:pt>
                <c:pt idx="6">
                  <c:v>201302</c:v>
                </c:pt>
                <c:pt idx="7">
                  <c:v>201303</c:v>
                </c:pt>
                <c:pt idx="8">
                  <c:v>201304</c:v>
                </c:pt>
                <c:pt idx="9">
                  <c:v>201305</c:v>
                </c:pt>
                <c:pt idx="10">
                  <c:v>201306</c:v>
                </c:pt>
                <c:pt idx="11">
                  <c:v>201307</c:v>
                </c:pt>
                <c:pt idx="12">
                  <c:v>201308</c:v>
                </c:pt>
                <c:pt idx="13">
                  <c:v>201309</c:v>
                </c:pt>
                <c:pt idx="14">
                  <c:v>201310</c:v>
                </c:pt>
                <c:pt idx="15">
                  <c:v>201311</c:v>
                </c:pt>
                <c:pt idx="16">
                  <c:v>201312</c:v>
                </c:pt>
                <c:pt idx="17">
                  <c:v>201401</c:v>
                </c:pt>
                <c:pt idx="18">
                  <c:v>201402</c:v>
                </c:pt>
                <c:pt idx="19">
                  <c:v>201403</c:v>
                </c:pt>
              </c:strCache>
            </c:strRef>
          </c:cat>
          <c:val>
            <c:numRef>
              <c:f>Sheet3!$C$5:$C$25</c:f>
              <c:numCache>
                <c:formatCode>0," K"</c:formatCode>
                <c:ptCount val="20"/>
                <c:pt idx="0">
                  <c:v>53</c:v>
                </c:pt>
                <c:pt idx="1">
                  <c:v>56</c:v>
                </c:pt>
                <c:pt idx="2">
                  <c:v>50</c:v>
                </c:pt>
                <c:pt idx="3">
                  <c:v>56</c:v>
                </c:pt>
                <c:pt idx="4">
                  <c:v>46</c:v>
                </c:pt>
                <c:pt idx="5">
                  <c:v>46</c:v>
                </c:pt>
                <c:pt idx="6">
                  <c:v>51</c:v>
                </c:pt>
                <c:pt idx="7">
                  <c:v>53</c:v>
                </c:pt>
                <c:pt idx="8">
                  <c:v>43</c:v>
                </c:pt>
                <c:pt idx="9">
                  <c:v>71</c:v>
                </c:pt>
                <c:pt idx="10">
                  <c:v>53</c:v>
                </c:pt>
                <c:pt idx="11">
                  <c:v>63</c:v>
                </c:pt>
                <c:pt idx="12">
                  <c:v>75</c:v>
                </c:pt>
                <c:pt idx="13">
                  <c:v>87</c:v>
                </c:pt>
                <c:pt idx="14">
                  <c:v>189</c:v>
                </c:pt>
                <c:pt idx="15">
                  <c:v>284</c:v>
                </c:pt>
                <c:pt idx="16">
                  <c:v>413</c:v>
                </c:pt>
                <c:pt idx="17">
                  <c:v>307</c:v>
                </c:pt>
                <c:pt idx="18">
                  <c:v>350</c:v>
                </c:pt>
                <c:pt idx="19">
                  <c:v>344</c:v>
                </c:pt>
              </c:numCache>
            </c:numRef>
          </c:val>
          <c:smooth val="0"/>
        </c:ser>
        <c:ser>
          <c:idx val="2"/>
          <c:order val="2"/>
          <c:tx>
            <c:strRef>
              <c:f>Sheet3!$D$3:$D$4</c:f>
              <c:strCache>
                <c:ptCount val="1"/>
                <c:pt idx="0">
                  <c:v>Rivaroxaban</c:v>
                </c:pt>
              </c:strCache>
            </c:strRef>
          </c:tx>
          <c:cat>
            <c:strRef>
              <c:f>Sheet3!$A$5:$A$25</c:f>
              <c:strCache>
                <c:ptCount val="20"/>
                <c:pt idx="0">
                  <c:v>201208</c:v>
                </c:pt>
                <c:pt idx="1">
                  <c:v>201209</c:v>
                </c:pt>
                <c:pt idx="2">
                  <c:v>201210</c:v>
                </c:pt>
                <c:pt idx="3">
                  <c:v>201211</c:v>
                </c:pt>
                <c:pt idx="4">
                  <c:v>201212</c:v>
                </c:pt>
                <c:pt idx="5">
                  <c:v>201301</c:v>
                </c:pt>
                <c:pt idx="6">
                  <c:v>201302</c:v>
                </c:pt>
                <c:pt idx="7">
                  <c:v>201303</c:v>
                </c:pt>
                <c:pt idx="8">
                  <c:v>201304</c:v>
                </c:pt>
                <c:pt idx="9">
                  <c:v>201305</c:v>
                </c:pt>
                <c:pt idx="10">
                  <c:v>201306</c:v>
                </c:pt>
                <c:pt idx="11">
                  <c:v>201307</c:v>
                </c:pt>
                <c:pt idx="12">
                  <c:v>201308</c:v>
                </c:pt>
                <c:pt idx="13">
                  <c:v>201309</c:v>
                </c:pt>
                <c:pt idx="14">
                  <c:v>201310</c:v>
                </c:pt>
                <c:pt idx="15">
                  <c:v>201311</c:v>
                </c:pt>
                <c:pt idx="16">
                  <c:v>201312</c:v>
                </c:pt>
                <c:pt idx="17">
                  <c:v>201401</c:v>
                </c:pt>
                <c:pt idx="18">
                  <c:v>201402</c:v>
                </c:pt>
                <c:pt idx="19">
                  <c:v>201403</c:v>
                </c:pt>
              </c:strCache>
            </c:strRef>
          </c:cat>
          <c:val>
            <c:numRef>
              <c:f>Sheet3!$D$5:$D$25</c:f>
              <c:numCache>
                <c:formatCode>0," K"</c:formatCode>
                <c:ptCount val="20"/>
                <c:pt idx="0">
                  <c:v>1345</c:v>
                </c:pt>
                <c:pt idx="1">
                  <c:v>1174</c:v>
                </c:pt>
                <c:pt idx="2">
                  <c:v>1262</c:v>
                </c:pt>
                <c:pt idx="3">
                  <c:v>1477</c:v>
                </c:pt>
                <c:pt idx="4">
                  <c:v>1929</c:v>
                </c:pt>
                <c:pt idx="5">
                  <c:v>2204</c:v>
                </c:pt>
                <c:pt idx="6">
                  <c:v>3088</c:v>
                </c:pt>
                <c:pt idx="7">
                  <c:v>3589</c:v>
                </c:pt>
                <c:pt idx="8">
                  <c:v>3870</c:v>
                </c:pt>
                <c:pt idx="9">
                  <c:v>4836</c:v>
                </c:pt>
                <c:pt idx="10">
                  <c:v>4671</c:v>
                </c:pt>
                <c:pt idx="11">
                  <c:v>5424</c:v>
                </c:pt>
                <c:pt idx="12">
                  <c:v>8457</c:v>
                </c:pt>
                <c:pt idx="13">
                  <c:v>9562</c:v>
                </c:pt>
                <c:pt idx="14">
                  <c:v>11278</c:v>
                </c:pt>
                <c:pt idx="15">
                  <c:v>12161</c:v>
                </c:pt>
                <c:pt idx="16">
                  <c:v>13647</c:v>
                </c:pt>
                <c:pt idx="17">
                  <c:v>12438</c:v>
                </c:pt>
                <c:pt idx="18">
                  <c:v>13341</c:v>
                </c:pt>
                <c:pt idx="19">
                  <c:v>15494</c:v>
                </c:pt>
              </c:numCache>
            </c:numRef>
          </c:val>
          <c:smooth val="0"/>
        </c:ser>
        <c:dLbls>
          <c:showLegendKey val="0"/>
          <c:showVal val="0"/>
          <c:showCatName val="0"/>
          <c:showSerName val="0"/>
          <c:showPercent val="0"/>
          <c:showBubbleSize val="0"/>
        </c:dLbls>
        <c:marker val="1"/>
        <c:smooth val="0"/>
        <c:axId val="35898112"/>
        <c:axId val="35900032"/>
      </c:lineChart>
      <c:catAx>
        <c:axId val="35898112"/>
        <c:scaling>
          <c:orientation val="minMax"/>
        </c:scaling>
        <c:delete val="0"/>
        <c:axPos val="b"/>
        <c:title>
          <c:tx>
            <c:rich>
              <a:bodyPr/>
              <a:lstStyle/>
              <a:p>
                <a:pPr>
                  <a:defRPr/>
                </a:pPr>
                <a:r>
                  <a:rPr lang="en-AU"/>
                  <a:t>Month of supply</a:t>
                </a:r>
              </a:p>
            </c:rich>
          </c:tx>
          <c:layout/>
          <c:overlay val="0"/>
        </c:title>
        <c:majorTickMark val="out"/>
        <c:minorTickMark val="none"/>
        <c:tickLblPos val="nextTo"/>
        <c:crossAx val="35900032"/>
        <c:crosses val="autoZero"/>
        <c:auto val="1"/>
        <c:lblAlgn val="ctr"/>
        <c:lblOffset val="100"/>
        <c:noMultiLvlLbl val="0"/>
      </c:catAx>
      <c:valAx>
        <c:axId val="35900032"/>
        <c:scaling>
          <c:orientation val="minMax"/>
        </c:scaling>
        <c:delete val="0"/>
        <c:axPos val="l"/>
        <c:majorGridlines/>
        <c:title>
          <c:tx>
            <c:rich>
              <a:bodyPr rot="-5400000" vert="horz"/>
              <a:lstStyle/>
              <a:p>
                <a:pPr>
                  <a:defRPr/>
                </a:pPr>
                <a:r>
                  <a:rPr lang="en-AU"/>
                  <a:t>Prescriptions (thousands)</a:t>
                </a:r>
              </a:p>
            </c:rich>
          </c:tx>
          <c:layout/>
          <c:overlay val="0"/>
        </c:title>
        <c:numFmt formatCode="0," sourceLinked="0"/>
        <c:majorTickMark val="out"/>
        <c:minorTickMark val="none"/>
        <c:tickLblPos val="nextTo"/>
        <c:crossAx val="35898112"/>
        <c:crosses val="autoZero"/>
        <c:crossBetween val="between"/>
      </c:valAx>
    </c:plotArea>
    <c:legend>
      <c:legendPos val="b"/>
      <c:layout/>
      <c:overlay val="0"/>
    </c:legend>
    <c:plotVisOnly val="1"/>
    <c:dispBlanksAs val="gap"/>
    <c:showDLblsOverMax val="0"/>
  </c:chart>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[D823_SCRIPT_FREQ_BY_YMSUPP.xlsx]Sheet4!PivotTable3</c:name>
    <c:fmtId val="-1"/>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s>
    <c:plotArea>
      <c:layout>
        <c:manualLayout>
          <c:layoutTarget val="inner"/>
          <c:xMode val="edge"/>
          <c:yMode val="edge"/>
          <c:x val="9.5768844009085349E-2"/>
          <c:y val="6.6740489017820134E-2"/>
          <c:w val="0.89125195268913193"/>
          <c:h val="0.53808912833264266"/>
        </c:manualLayout>
      </c:layout>
      <c:lineChart>
        <c:grouping val="standard"/>
        <c:varyColors val="0"/>
        <c:ser>
          <c:idx val="0"/>
          <c:order val="0"/>
          <c:tx>
            <c:strRef>
              <c:f>Sheet4!$B$4:$B$5</c:f>
              <c:strCache>
                <c:ptCount val="1"/>
                <c:pt idx="0">
                  <c:v>Acute symptomatic deep vein thrombosis</c:v>
                </c:pt>
              </c:strCache>
            </c:strRef>
          </c:tx>
          <c:cat>
            <c:strRef>
              <c:f>Sheet4!$A$6:$A$26</c:f>
              <c:strCache>
                <c:ptCount val="20"/>
                <c:pt idx="0">
                  <c:v>201208</c:v>
                </c:pt>
                <c:pt idx="1">
                  <c:v>201209</c:v>
                </c:pt>
                <c:pt idx="2">
                  <c:v>201210</c:v>
                </c:pt>
                <c:pt idx="3">
                  <c:v>201211</c:v>
                </c:pt>
                <c:pt idx="4">
                  <c:v>201212</c:v>
                </c:pt>
                <c:pt idx="5">
                  <c:v>201301</c:v>
                </c:pt>
                <c:pt idx="6">
                  <c:v>201302</c:v>
                </c:pt>
                <c:pt idx="7">
                  <c:v>201303</c:v>
                </c:pt>
                <c:pt idx="8">
                  <c:v>201304</c:v>
                </c:pt>
                <c:pt idx="9">
                  <c:v>201305</c:v>
                </c:pt>
                <c:pt idx="10">
                  <c:v>201306</c:v>
                </c:pt>
                <c:pt idx="11">
                  <c:v>201307</c:v>
                </c:pt>
                <c:pt idx="12">
                  <c:v>201308</c:v>
                </c:pt>
                <c:pt idx="13">
                  <c:v>201309</c:v>
                </c:pt>
                <c:pt idx="14">
                  <c:v>201310</c:v>
                </c:pt>
                <c:pt idx="15">
                  <c:v>201311</c:v>
                </c:pt>
                <c:pt idx="16">
                  <c:v>201312</c:v>
                </c:pt>
                <c:pt idx="17">
                  <c:v>201401</c:v>
                </c:pt>
                <c:pt idx="18">
                  <c:v>201402</c:v>
                </c:pt>
                <c:pt idx="19">
                  <c:v>201403</c:v>
                </c:pt>
              </c:strCache>
            </c:strRef>
          </c:cat>
          <c:val>
            <c:numRef>
              <c:f>Sheet4!$B$6:$B$26</c:f>
              <c:numCache>
                <c:formatCode>General</c:formatCode>
                <c:ptCount val="20"/>
                <c:pt idx="4" formatCode="0,&quot; K&quot;">
                  <c:v>403</c:v>
                </c:pt>
                <c:pt idx="5" formatCode="0,&quot; K&quot;">
                  <c:v>659</c:v>
                </c:pt>
                <c:pt idx="6" formatCode="0,&quot; K&quot;">
                  <c:v>856</c:v>
                </c:pt>
                <c:pt idx="7" formatCode="0,&quot; K&quot;">
                  <c:v>1153</c:v>
                </c:pt>
                <c:pt idx="8" formatCode="0,&quot; K&quot;">
                  <c:v>1338</c:v>
                </c:pt>
                <c:pt idx="9" formatCode="0,&quot; K&quot;">
                  <c:v>1720</c:v>
                </c:pt>
                <c:pt idx="10" formatCode="0,&quot; K&quot;">
                  <c:v>1793</c:v>
                </c:pt>
                <c:pt idx="11" formatCode="0,&quot; K&quot;">
                  <c:v>2094</c:v>
                </c:pt>
                <c:pt idx="12" formatCode="0,&quot; K&quot;">
                  <c:v>3138</c:v>
                </c:pt>
                <c:pt idx="13" formatCode="0,&quot; K&quot;">
                  <c:v>3628</c:v>
                </c:pt>
                <c:pt idx="14" formatCode="0,&quot; K&quot;">
                  <c:v>4224</c:v>
                </c:pt>
                <c:pt idx="15" formatCode="0,&quot; K&quot;">
                  <c:v>4530</c:v>
                </c:pt>
                <c:pt idx="16" formatCode="0,&quot; K&quot;">
                  <c:v>5167</c:v>
                </c:pt>
                <c:pt idx="17" formatCode="0,&quot; K&quot;">
                  <c:v>4772</c:v>
                </c:pt>
                <c:pt idx="18" formatCode="0,&quot; K&quot;">
                  <c:v>4896</c:v>
                </c:pt>
                <c:pt idx="19" formatCode="0,&quot; K&quot;">
                  <c:v>5677</c:v>
                </c:pt>
              </c:numCache>
            </c:numRef>
          </c:val>
          <c:smooth val="0"/>
        </c:ser>
        <c:ser>
          <c:idx val="1"/>
          <c:order val="1"/>
          <c:tx>
            <c:strRef>
              <c:f>Sheet4!$C$4:$C$5</c:f>
              <c:strCache>
                <c:ptCount val="1"/>
                <c:pt idx="0">
                  <c:v>Prevention of VTE in hip replacements</c:v>
                </c:pt>
              </c:strCache>
            </c:strRef>
          </c:tx>
          <c:cat>
            <c:strRef>
              <c:f>Sheet4!$A$6:$A$26</c:f>
              <c:strCache>
                <c:ptCount val="20"/>
                <c:pt idx="0">
                  <c:v>201208</c:v>
                </c:pt>
                <c:pt idx="1">
                  <c:v>201209</c:v>
                </c:pt>
                <c:pt idx="2">
                  <c:v>201210</c:v>
                </c:pt>
                <c:pt idx="3">
                  <c:v>201211</c:v>
                </c:pt>
                <c:pt idx="4">
                  <c:v>201212</c:v>
                </c:pt>
                <c:pt idx="5">
                  <c:v>201301</c:v>
                </c:pt>
                <c:pt idx="6">
                  <c:v>201302</c:v>
                </c:pt>
                <c:pt idx="7">
                  <c:v>201303</c:v>
                </c:pt>
                <c:pt idx="8">
                  <c:v>201304</c:v>
                </c:pt>
                <c:pt idx="9">
                  <c:v>201305</c:v>
                </c:pt>
                <c:pt idx="10">
                  <c:v>201306</c:v>
                </c:pt>
                <c:pt idx="11">
                  <c:v>201307</c:v>
                </c:pt>
                <c:pt idx="12">
                  <c:v>201308</c:v>
                </c:pt>
                <c:pt idx="13">
                  <c:v>201309</c:v>
                </c:pt>
                <c:pt idx="14">
                  <c:v>201310</c:v>
                </c:pt>
                <c:pt idx="15">
                  <c:v>201311</c:v>
                </c:pt>
                <c:pt idx="16">
                  <c:v>201312</c:v>
                </c:pt>
                <c:pt idx="17">
                  <c:v>201401</c:v>
                </c:pt>
                <c:pt idx="18">
                  <c:v>201402</c:v>
                </c:pt>
                <c:pt idx="19">
                  <c:v>201403</c:v>
                </c:pt>
              </c:strCache>
            </c:strRef>
          </c:cat>
          <c:val>
            <c:numRef>
              <c:f>Sheet4!$C$6:$C$26</c:f>
              <c:numCache>
                <c:formatCode>General</c:formatCode>
                <c:ptCount val="20"/>
                <c:pt idx="10" formatCode="0,&quot; K&quot;">
                  <c:v>1</c:v>
                </c:pt>
                <c:pt idx="11" formatCode="0,&quot; K&quot;">
                  <c:v>2</c:v>
                </c:pt>
                <c:pt idx="12" formatCode="0,&quot; K&quot;">
                  <c:v>2</c:v>
                </c:pt>
                <c:pt idx="13" formatCode="0,&quot; K&quot;">
                  <c:v>1</c:v>
                </c:pt>
                <c:pt idx="14" formatCode="0,&quot; K&quot;">
                  <c:v>4</c:v>
                </c:pt>
                <c:pt idx="15" formatCode="0,&quot; K&quot;">
                  <c:v>4</c:v>
                </c:pt>
                <c:pt idx="16" formatCode="0,&quot; K&quot;">
                  <c:v>10</c:v>
                </c:pt>
                <c:pt idx="17" formatCode="0,&quot; K&quot;">
                  <c:v>348</c:v>
                </c:pt>
                <c:pt idx="18" formatCode="0,&quot; K&quot;">
                  <c:v>715</c:v>
                </c:pt>
                <c:pt idx="19" formatCode="0,&quot; K&quot;">
                  <c:v>949</c:v>
                </c:pt>
              </c:numCache>
            </c:numRef>
          </c:val>
          <c:smooth val="0"/>
        </c:ser>
        <c:ser>
          <c:idx val="2"/>
          <c:order val="2"/>
          <c:tx>
            <c:strRef>
              <c:f>Sheet4!$D$4:$D$5</c:f>
              <c:strCache>
                <c:ptCount val="1"/>
                <c:pt idx="0">
                  <c:v>Prevention of VTE in knee replacements</c:v>
                </c:pt>
              </c:strCache>
            </c:strRef>
          </c:tx>
          <c:cat>
            <c:strRef>
              <c:f>Sheet4!$A$6:$A$26</c:f>
              <c:strCache>
                <c:ptCount val="20"/>
                <c:pt idx="0">
                  <c:v>201208</c:v>
                </c:pt>
                <c:pt idx="1">
                  <c:v>201209</c:v>
                </c:pt>
                <c:pt idx="2">
                  <c:v>201210</c:v>
                </c:pt>
                <c:pt idx="3">
                  <c:v>201211</c:v>
                </c:pt>
                <c:pt idx="4">
                  <c:v>201212</c:v>
                </c:pt>
                <c:pt idx="5">
                  <c:v>201301</c:v>
                </c:pt>
                <c:pt idx="6">
                  <c:v>201302</c:v>
                </c:pt>
                <c:pt idx="7">
                  <c:v>201303</c:v>
                </c:pt>
                <c:pt idx="8">
                  <c:v>201304</c:v>
                </c:pt>
                <c:pt idx="9">
                  <c:v>201305</c:v>
                </c:pt>
                <c:pt idx="10">
                  <c:v>201306</c:v>
                </c:pt>
                <c:pt idx="11">
                  <c:v>201307</c:v>
                </c:pt>
                <c:pt idx="12">
                  <c:v>201308</c:v>
                </c:pt>
                <c:pt idx="13">
                  <c:v>201309</c:v>
                </c:pt>
                <c:pt idx="14">
                  <c:v>201310</c:v>
                </c:pt>
                <c:pt idx="15">
                  <c:v>201311</c:v>
                </c:pt>
                <c:pt idx="16">
                  <c:v>201312</c:v>
                </c:pt>
                <c:pt idx="17">
                  <c:v>201401</c:v>
                </c:pt>
                <c:pt idx="18">
                  <c:v>201402</c:v>
                </c:pt>
                <c:pt idx="19">
                  <c:v>201403</c:v>
                </c:pt>
              </c:strCache>
            </c:strRef>
          </c:cat>
          <c:val>
            <c:numRef>
              <c:f>Sheet4!$D$6:$D$26</c:f>
              <c:numCache>
                <c:formatCode>General</c:formatCode>
                <c:ptCount val="20"/>
                <c:pt idx="13" formatCode="0,&quot; K&quot;">
                  <c:v>1</c:v>
                </c:pt>
                <c:pt idx="14" formatCode="0,&quot; K&quot;">
                  <c:v>1</c:v>
                </c:pt>
                <c:pt idx="15" formatCode="0,&quot; K&quot;">
                  <c:v>2</c:v>
                </c:pt>
                <c:pt idx="16" formatCode="0,&quot; K&quot;">
                  <c:v>2</c:v>
                </c:pt>
                <c:pt idx="17" formatCode="0,&quot; K&quot;">
                  <c:v>357</c:v>
                </c:pt>
                <c:pt idx="18" formatCode="0,&quot; K&quot;">
                  <c:v>619</c:v>
                </c:pt>
                <c:pt idx="19" formatCode="0,&quot; K&quot;">
                  <c:v>761</c:v>
                </c:pt>
              </c:numCache>
            </c:numRef>
          </c:val>
          <c:smooth val="0"/>
        </c:ser>
        <c:ser>
          <c:idx val="3"/>
          <c:order val="3"/>
          <c:tx>
            <c:strRef>
              <c:f>Sheet4!$E$4:$E$5</c:f>
              <c:strCache>
                <c:ptCount val="1"/>
                <c:pt idx="0">
                  <c:v>Pulmonary embolism</c:v>
                </c:pt>
              </c:strCache>
            </c:strRef>
          </c:tx>
          <c:cat>
            <c:strRef>
              <c:f>Sheet4!$A$6:$A$26</c:f>
              <c:strCache>
                <c:ptCount val="20"/>
                <c:pt idx="0">
                  <c:v>201208</c:v>
                </c:pt>
                <c:pt idx="1">
                  <c:v>201209</c:v>
                </c:pt>
                <c:pt idx="2">
                  <c:v>201210</c:v>
                </c:pt>
                <c:pt idx="3">
                  <c:v>201211</c:v>
                </c:pt>
                <c:pt idx="4">
                  <c:v>201212</c:v>
                </c:pt>
                <c:pt idx="5">
                  <c:v>201301</c:v>
                </c:pt>
                <c:pt idx="6">
                  <c:v>201302</c:v>
                </c:pt>
                <c:pt idx="7">
                  <c:v>201303</c:v>
                </c:pt>
                <c:pt idx="8">
                  <c:v>201304</c:v>
                </c:pt>
                <c:pt idx="9">
                  <c:v>201305</c:v>
                </c:pt>
                <c:pt idx="10">
                  <c:v>201306</c:v>
                </c:pt>
                <c:pt idx="11">
                  <c:v>201307</c:v>
                </c:pt>
                <c:pt idx="12">
                  <c:v>201308</c:v>
                </c:pt>
                <c:pt idx="13">
                  <c:v>201309</c:v>
                </c:pt>
                <c:pt idx="14">
                  <c:v>201310</c:v>
                </c:pt>
                <c:pt idx="15">
                  <c:v>201311</c:v>
                </c:pt>
                <c:pt idx="16">
                  <c:v>201312</c:v>
                </c:pt>
                <c:pt idx="17">
                  <c:v>201401</c:v>
                </c:pt>
                <c:pt idx="18">
                  <c:v>201402</c:v>
                </c:pt>
                <c:pt idx="19">
                  <c:v>201403</c:v>
                </c:pt>
              </c:strCache>
            </c:strRef>
          </c:cat>
          <c:val>
            <c:numRef>
              <c:f>Sheet4!$E$6:$E$26</c:f>
              <c:numCache>
                <c:formatCode>General</c:formatCode>
                <c:ptCount val="20"/>
                <c:pt idx="12" formatCode="0,&quot; K&quot;">
                  <c:v>506</c:v>
                </c:pt>
                <c:pt idx="13" formatCode="0,&quot; K&quot;">
                  <c:v>946</c:v>
                </c:pt>
                <c:pt idx="14" formatCode="0,&quot; K&quot;">
                  <c:v>1286</c:v>
                </c:pt>
                <c:pt idx="15" formatCode="0,&quot; K&quot;">
                  <c:v>1559</c:v>
                </c:pt>
                <c:pt idx="16" formatCode="0,&quot; K&quot;">
                  <c:v>1929</c:v>
                </c:pt>
                <c:pt idx="17" formatCode="0,&quot; K&quot;">
                  <c:v>1943</c:v>
                </c:pt>
                <c:pt idx="18" formatCode="0,&quot; K&quot;">
                  <c:v>2144</c:v>
                </c:pt>
                <c:pt idx="19" formatCode="0,&quot; K&quot;">
                  <c:v>2565</c:v>
                </c:pt>
              </c:numCache>
            </c:numRef>
          </c:val>
          <c:smooth val="0"/>
        </c:ser>
        <c:ser>
          <c:idx val="4"/>
          <c:order val="4"/>
          <c:tx>
            <c:strRef>
              <c:f>Sheet4!$F$4:$F$5</c:f>
              <c:strCache>
                <c:ptCount val="1"/>
                <c:pt idx="0">
                  <c:v>Zero or blank value</c:v>
                </c:pt>
              </c:strCache>
            </c:strRef>
          </c:tx>
          <c:cat>
            <c:strRef>
              <c:f>Sheet4!$A$6:$A$26</c:f>
              <c:strCache>
                <c:ptCount val="20"/>
                <c:pt idx="0">
                  <c:v>201208</c:v>
                </c:pt>
                <c:pt idx="1">
                  <c:v>201209</c:v>
                </c:pt>
                <c:pt idx="2">
                  <c:v>201210</c:v>
                </c:pt>
                <c:pt idx="3">
                  <c:v>201211</c:v>
                </c:pt>
                <c:pt idx="4">
                  <c:v>201212</c:v>
                </c:pt>
                <c:pt idx="5">
                  <c:v>201301</c:v>
                </c:pt>
                <c:pt idx="6">
                  <c:v>201302</c:v>
                </c:pt>
                <c:pt idx="7">
                  <c:v>201303</c:v>
                </c:pt>
                <c:pt idx="8">
                  <c:v>201304</c:v>
                </c:pt>
                <c:pt idx="9">
                  <c:v>201305</c:v>
                </c:pt>
                <c:pt idx="10">
                  <c:v>201306</c:v>
                </c:pt>
                <c:pt idx="11">
                  <c:v>201307</c:v>
                </c:pt>
                <c:pt idx="12">
                  <c:v>201308</c:v>
                </c:pt>
                <c:pt idx="13">
                  <c:v>201309</c:v>
                </c:pt>
                <c:pt idx="14">
                  <c:v>201310</c:v>
                </c:pt>
                <c:pt idx="15">
                  <c:v>201311</c:v>
                </c:pt>
                <c:pt idx="16">
                  <c:v>201312</c:v>
                </c:pt>
                <c:pt idx="17">
                  <c:v>201401</c:v>
                </c:pt>
                <c:pt idx="18">
                  <c:v>201402</c:v>
                </c:pt>
                <c:pt idx="19">
                  <c:v>201403</c:v>
                </c:pt>
              </c:strCache>
            </c:strRef>
          </c:cat>
          <c:val>
            <c:numRef>
              <c:f>Sheet4!$F$6:$F$26</c:f>
              <c:numCache>
                <c:formatCode>0," K"</c:formatCode>
                <c:ptCount val="20"/>
                <c:pt idx="0">
                  <c:v>1345</c:v>
                </c:pt>
                <c:pt idx="1">
                  <c:v>1174</c:v>
                </c:pt>
                <c:pt idx="2">
                  <c:v>1262</c:v>
                </c:pt>
                <c:pt idx="3">
                  <c:v>1477</c:v>
                </c:pt>
                <c:pt idx="4">
                  <c:v>1288</c:v>
                </c:pt>
                <c:pt idx="5">
                  <c:v>1012</c:v>
                </c:pt>
                <c:pt idx="6">
                  <c:v>1504</c:v>
                </c:pt>
                <c:pt idx="7">
                  <c:v>1470</c:v>
                </c:pt>
                <c:pt idx="8">
                  <c:v>1330</c:v>
                </c:pt>
                <c:pt idx="9">
                  <c:v>1570</c:v>
                </c:pt>
                <c:pt idx="10">
                  <c:v>1319</c:v>
                </c:pt>
                <c:pt idx="11">
                  <c:v>1397</c:v>
                </c:pt>
                <c:pt idx="12">
                  <c:v>1928</c:v>
                </c:pt>
                <c:pt idx="13">
                  <c:v>1824</c:v>
                </c:pt>
                <c:pt idx="14">
                  <c:v>1968</c:v>
                </c:pt>
                <c:pt idx="15">
                  <c:v>2081</c:v>
                </c:pt>
                <c:pt idx="16">
                  <c:v>1874</c:v>
                </c:pt>
                <c:pt idx="17">
                  <c:v>880</c:v>
                </c:pt>
                <c:pt idx="18">
                  <c:v>689</c:v>
                </c:pt>
                <c:pt idx="19">
                  <c:v>622</c:v>
                </c:pt>
              </c:numCache>
            </c:numRef>
          </c:val>
          <c:smooth val="0"/>
        </c:ser>
        <c:ser>
          <c:idx val="5"/>
          <c:order val="5"/>
          <c:tx>
            <c:strRef>
              <c:f>Sheet4!$G$4:$G$5</c:f>
              <c:strCache>
                <c:ptCount val="1"/>
                <c:pt idx="0">
                  <c:v>Prevention of recurrent venous thromboembolism</c:v>
                </c:pt>
              </c:strCache>
            </c:strRef>
          </c:tx>
          <c:cat>
            <c:strRef>
              <c:f>Sheet4!$A$6:$A$26</c:f>
              <c:strCache>
                <c:ptCount val="20"/>
                <c:pt idx="0">
                  <c:v>201208</c:v>
                </c:pt>
                <c:pt idx="1">
                  <c:v>201209</c:v>
                </c:pt>
                <c:pt idx="2">
                  <c:v>201210</c:v>
                </c:pt>
                <c:pt idx="3">
                  <c:v>201211</c:v>
                </c:pt>
                <c:pt idx="4">
                  <c:v>201212</c:v>
                </c:pt>
                <c:pt idx="5">
                  <c:v>201301</c:v>
                </c:pt>
                <c:pt idx="6">
                  <c:v>201302</c:v>
                </c:pt>
                <c:pt idx="7">
                  <c:v>201303</c:v>
                </c:pt>
                <c:pt idx="8">
                  <c:v>201304</c:v>
                </c:pt>
                <c:pt idx="9">
                  <c:v>201305</c:v>
                </c:pt>
                <c:pt idx="10">
                  <c:v>201306</c:v>
                </c:pt>
                <c:pt idx="11">
                  <c:v>201307</c:v>
                </c:pt>
                <c:pt idx="12">
                  <c:v>201308</c:v>
                </c:pt>
                <c:pt idx="13">
                  <c:v>201309</c:v>
                </c:pt>
                <c:pt idx="14">
                  <c:v>201310</c:v>
                </c:pt>
                <c:pt idx="15">
                  <c:v>201311</c:v>
                </c:pt>
                <c:pt idx="16">
                  <c:v>201312</c:v>
                </c:pt>
                <c:pt idx="17">
                  <c:v>201401</c:v>
                </c:pt>
                <c:pt idx="18">
                  <c:v>201402</c:v>
                </c:pt>
                <c:pt idx="19">
                  <c:v>201403</c:v>
                </c:pt>
              </c:strCache>
            </c:strRef>
          </c:cat>
          <c:val>
            <c:numRef>
              <c:f>Sheet4!$G$6:$G$26</c:f>
              <c:numCache>
                <c:formatCode>General</c:formatCode>
                <c:ptCount val="20"/>
                <c:pt idx="4" formatCode="0,&quot; K&quot;">
                  <c:v>238</c:v>
                </c:pt>
                <c:pt idx="5" formatCode="0,&quot; K&quot;">
                  <c:v>533</c:v>
                </c:pt>
                <c:pt idx="6" formatCode="0,&quot; K&quot;">
                  <c:v>728</c:v>
                </c:pt>
                <c:pt idx="7" formatCode="0,&quot; K&quot;">
                  <c:v>966</c:v>
                </c:pt>
                <c:pt idx="8" formatCode="0,&quot; K&quot;">
                  <c:v>1202</c:v>
                </c:pt>
                <c:pt idx="9" formatCode="0,&quot; K&quot;">
                  <c:v>1546</c:v>
                </c:pt>
                <c:pt idx="10" formatCode="0,&quot; K&quot;">
                  <c:v>1558</c:v>
                </c:pt>
                <c:pt idx="11" formatCode="0,&quot; K&quot;">
                  <c:v>1931</c:v>
                </c:pt>
                <c:pt idx="12" formatCode="0,&quot; K&quot;">
                  <c:v>2883</c:v>
                </c:pt>
                <c:pt idx="13" formatCode="0,&quot; K&quot;">
                  <c:v>3162</c:v>
                </c:pt>
                <c:pt idx="14" formatCode="0,&quot; K&quot;">
                  <c:v>3795</c:v>
                </c:pt>
                <c:pt idx="15" formatCode="0,&quot; K&quot;">
                  <c:v>3985</c:v>
                </c:pt>
                <c:pt idx="16" formatCode="0,&quot; K&quot;">
                  <c:v>4665</c:v>
                </c:pt>
                <c:pt idx="17" formatCode="0,&quot; K&quot;">
                  <c:v>4138</c:v>
                </c:pt>
                <c:pt idx="18" formatCode="0,&quot; K&quot;">
                  <c:v>4278</c:v>
                </c:pt>
                <c:pt idx="19" formatCode="0,&quot; K&quot;">
                  <c:v>4920</c:v>
                </c:pt>
              </c:numCache>
            </c:numRef>
          </c:val>
          <c:smooth val="0"/>
        </c:ser>
        <c:ser>
          <c:idx val="6"/>
          <c:order val="6"/>
          <c:tx>
            <c:strRef>
              <c:f>Sheet4!$H$4:$H$5</c:f>
              <c:strCache>
                <c:ptCount val="1"/>
                <c:pt idx="0">
                  <c:v>Total excluding AF</c:v>
                </c:pt>
              </c:strCache>
            </c:strRef>
          </c:tx>
          <c:cat>
            <c:strRef>
              <c:f>Sheet4!$A$6:$A$26</c:f>
              <c:strCache>
                <c:ptCount val="20"/>
                <c:pt idx="0">
                  <c:v>201208</c:v>
                </c:pt>
                <c:pt idx="1">
                  <c:v>201209</c:v>
                </c:pt>
                <c:pt idx="2">
                  <c:v>201210</c:v>
                </c:pt>
                <c:pt idx="3">
                  <c:v>201211</c:v>
                </c:pt>
                <c:pt idx="4">
                  <c:v>201212</c:v>
                </c:pt>
                <c:pt idx="5">
                  <c:v>201301</c:v>
                </c:pt>
                <c:pt idx="6">
                  <c:v>201302</c:v>
                </c:pt>
                <c:pt idx="7">
                  <c:v>201303</c:v>
                </c:pt>
                <c:pt idx="8">
                  <c:v>201304</c:v>
                </c:pt>
                <c:pt idx="9">
                  <c:v>201305</c:v>
                </c:pt>
                <c:pt idx="10">
                  <c:v>201306</c:v>
                </c:pt>
                <c:pt idx="11">
                  <c:v>201307</c:v>
                </c:pt>
                <c:pt idx="12">
                  <c:v>201308</c:v>
                </c:pt>
                <c:pt idx="13">
                  <c:v>201309</c:v>
                </c:pt>
                <c:pt idx="14">
                  <c:v>201310</c:v>
                </c:pt>
                <c:pt idx="15">
                  <c:v>201311</c:v>
                </c:pt>
                <c:pt idx="16">
                  <c:v>201312</c:v>
                </c:pt>
                <c:pt idx="17">
                  <c:v>201401</c:v>
                </c:pt>
                <c:pt idx="18">
                  <c:v>201402</c:v>
                </c:pt>
                <c:pt idx="19">
                  <c:v>201403</c:v>
                </c:pt>
              </c:strCache>
            </c:strRef>
          </c:cat>
          <c:val>
            <c:numRef>
              <c:f>Sheet4!$H$6:$H$26</c:f>
              <c:numCache>
                <c:formatCode>0," K"</c:formatCode>
                <c:ptCount val="20"/>
                <c:pt idx="0">
                  <c:v>1345</c:v>
                </c:pt>
                <c:pt idx="1">
                  <c:v>1174</c:v>
                </c:pt>
                <c:pt idx="2">
                  <c:v>1262</c:v>
                </c:pt>
                <c:pt idx="3">
                  <c:v>1477</c:v>
                </c:pt>
                <c:pt idx="4">
                  <c:v>1929</c:v>
                </c:pt>
                <c:pt idx="5">
                  <c:v>2204</c:v>
                </c:pt>
                <c:pt idx="6">
                  <c:v>3088</c:v>
                </c:pt>
                <c:pt idx="7">
                  <c:v>3589</c:v>
                </c:pt>
                <c:pt idx="8">
                  <c:v>3870</c:v>
                </c:pt>
                <c:pt idx="9">
                  <c:v>4836</c:v>
                </c:pt>
                <c:pt idx="10">
                  <c:v>4671</c:v>
                </c:pt>
                <c:pt idx="11">
                  <c:v>5424</c:v>
                </c:pt>
                <c:pt idx="12">
                  <c:v>8457</c:v>
                </c:pt>
                <c:pt idx="13">
                  <c:v>9562</c:v>
                </c:pt>
                <c:pt idx="14">
                  <c:v>11278</c:v>
                </c:pt>
                <c:pt idx="15">
                  <c:v>12161</c:v>
                </c:pt>
                <c:pt idx="16">
                  <c:v>13647</c:v>
                </c:pt>
                <c:pt idx="17">
                  <c:v>12438</c:v>
                </c:pt>
                <c:pt idx="18">
                  <c:v>13341</c:v>
                </c:pt>
                <c:pt idx="19">
                  <c:v>15494</c:v>
                </c:pt>
              </c:numCache>
            </c:numRef>
          </c:val>
          <c:smooth val="0"/>
        </c:ser>
        <c:dLbls>
          <c:showLegendKey val="0"/>
          <c:showVal val="0"/>
          <c:showCatName val="0"/>
          <c:showSerName val="0"/>
          <c:showPercent val="0"/>
          <c:showBubbleSize val="0"/>
        </c:dLbls>
        <c:marker val="1"/>
        <c:smooth val="0"/>
        <c:axId val="160549504"/>
        <c:axId val="160559872"/>
      </c:lineChart>
      <c:catAx>
        <c:axId val="160549504"/>
        <c:scaling>
          <c:orientation val="minMax"/>
        </c:scaling>
        <c:delete val="0"/>
        <c:axPos val="b"/>
        <c:title>
          <c:tx>
            <c:rich>
              <a:bodyPr/>
              <a:lstStyle/>
              <a:p>
                <a:pPr>
                  <a:defRPr/>
                </a:pPr>
                <a:r>
                  <a:rPr lang="en-AU"/>
                  <a:t>Month of supply</a:t>
                </a:r>
              </a:p>
            </c:rich>
          </c:tx>
          <c:layout>
            <c:manualLayout>
              <c:xMode val="edge"/>
              <c:yMode val="edge"/>
              <c:x val="0.47476075434752091"/>
              <c:y val="0.7114180411659069"/>
            </c:manualLayout>
          </c:layout>
          <c:overlay val="0"/>
        </c:title>
        <c:majorTickMark val="out"/>
        <c:minorTickMark val="none"/>
        <c:tickLblPos val="nextTo"/>
        <c:crossAx val="160559872"/>
        <c:crosses val="autoZero"/>
        <c:auto val="1"/>
        <c:lblAlgn val="ctr"/>
        <c:lblOffset val="100"/>
        <c:noMultiLvlLbl val="0"/>
      </c:catAx>
      <c:valAx>
        <c:axId val="160559872"/>
        <c:scaling>
          <c:orientation val="minMax"/>
        </c:scaling>
        <c:delete val="0"/>
        <c:axPos val="l"/>
        <c:majorGridlines/>
        <c:title>
          <c:tx>
            <c:rich>
              <a:bodyPr rot="-5400000" vert="horz"/>
              <a:lstStyle/>
              <a:p>
                <a:pPr>
                  <a:defRPr/>
                </a:pPr>
                <a:r>
                  <a:rPr lang="en-AU"/>
                  <a:t>Prescriptions (thousands)</a:t>
                </a:r>
              </a:p>
            </c:rich>
          </c:tx>
          <c:layout/>
          <c:overlay val="0"/>
        </c:title>
        <c:numFmt formatCode="0," sourceLinked="0"/>
        <c:majorTickMark val="out"/>
        <c:minorTickMark val="none"/>
        <c:tickLblPos val="nextTo"/>
        <c:crossAx val="160549504"/>
        <c:crosses val="autoZero"/>
        <c:crossBetween val="between"/>
      </c:valAx>
    </c:plotArea>
    <c:legend>
      <c:legendPos val="b"/>
      <c:layout>
        <c:manualLayout>
          <c:xMode val="edge"/>
          <c:yMode val="edge"/>
          <c:x val="0.12804390936276519"/>
          <c:y val="0.76227036883547461"/>
          <c:w val="0.62738773592369712"/>
          <c:h val="0.23772963116452547"/>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rawings/drawing1.xml><?xml version="1.0" encoding="utf-8"?>
<c:userShapes xmlns:c="http://schemas.openxmlformats.org/drawingml/2006/chart">
  <cdr:relSizeAnchor xmlns:cdr="http://schemas.openxmlformats.org/drawingml/2006/chartDrawing">
    <cdr:from>
      <cdr:x>0.29791</cdr:x>
      <cdr:y>0.18033</cdr:y>
    </cdr:from>
    <cdr:to>
      <cdr:x>0.3</cdr:x>
      <cdr:y>0.74015</cdr:y>
    </cdr:to>
    <cdr:cxnSp macro="">
      <cdr:nvCxnSpPr>
        <cdr:cNvPr id="3" name="Straight Connector 2"/>
        <cdr:cNvCxnSpPr/>
      </cdr:nvCxnSpPr>
      <cdr:spPr>
        <a:xfrm xmlns:a="http://schemas.openxmlformats.org/drawingml/2006/main">
          <a:off x="1694416" y="706625"/>
          <a:ext cx="11888" cy="219370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0.64516</cdr:x>
      <cdr:y>0.18486</cdr:y>
    </cdr:from>
    <cdr:to>
      <cdr:x>0.64574</cdr:x>
      <cdr:y>0.7439</cdr:y>
    </cdr:to>
    <cdr:cxnSp macro="">
      <cdr:nvCxnSpPr>
        <cdr:cNvPr id="7" name="Straight Connector 6"/>
        <cdr:cNvCxnSpPr/>
      </cdr:nvCxnSpPr>
      <cdr:spPr>
        <a:xfrm xmlns:a="http://schemas.openxmlformats.org/drawingml/2006/main">
          <a:off x="3669475" y="724394"/>
          <a:ext cx="3307" cy="219063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0.16703</cdr:x>
      <cdr:y>0.11887</cdr:y>
    </cdr:from>
    <cdr:to>
      <cdr:x>0.43846</cdr:x>
      <cdr:y>0.20204</cdr:y>
    </cdr:to>
    <cdr:sp macro="" textlink="">
      <cdr:nvSpPr>
        <cdr:cNvPr id="10" name="Text Box 9"/>
        <cdr:cNvSpPr txBox="1"/>
      </cdr:nvSpPr>
      <cdr:spPr>
        <a:xfrm xmlns:a="http://schemas.openxmlformats.org/drawingml/2006/main">
          <a:off x="950022" y="465796"/>
          <a:ext cx="1543811" cy="3259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DVT/recurrent VTE</a:t>
          </a:r>
        </a:p>
      </cdr:txBody>
    </cdr:sp>
  </cdr:relSizeAnchor>
  <cdr:relSizeAnchor xmlns:cdr="http://schemas.openxmlformats.org/drawingml/2006/chartDrawing">
    <cdr:from>
      <cdr:x>0.50376</cdr:x>
      <cdr:y>0.14484</cdr:y>
    </cdr:from>
    <cdr:to>
      <cdr:x>0.77519</cdr:x>
      <cdr:y>0.22802</cdr:y>
    </cdr:to>
    <cdr:sp macro="" textlink="">
      <cdr:nvSpPr>
        <cdr:cNvPr id="11" name="Text Box 1"/>
        <cdr:cNvSpPr txBox="1"/>
      </cdr:nvSpPr>
      <cdr:spPr>
        <a:xfrm xmlns:a="http://schemas.openxmlformats.org/drawingml/2006/main">
          <a:off x="2865252" y="537689"/>
          <a:ext cx="1543792" cy="308759"/>
        </a:xfrm>
        <a:prstGeom xmlns:a="http://schemas.openxmlformats.org/drawingml/2006/main" prst="rect">
          <a:avLst/>
        </a:prstGeom>
      </cdr:spPr>
    </cdr:sp>
  </cdr:relSizeAnchor>
  <cdr:relSizeAnchor xmlns:cdr="http://schemas.openxmlformats.org/drawingml/2006/chartDrawing">
    <cdr:from>
      <cdr:x>0.14673</cdr:x>
      <cdr:y>0.14484</cdr:y>
    </cdr:from>
    <cdr:to>
      <cdr:x>0.41816</cdr:x>
      <cdr:y>0.22802</cdr:y>
    </cdr:to>
    <cdr:sp macro="" textlink="">
      <cdr:nvSpPr>
        <cdr:cNvPr id="12" name="Text Box 1"/>
        <cdr:cNvSpPr txBox="1"/>
      </cdr:nvSpPr>
      <cdr:spPr>
        <a:xfrm xmlns:a="http://schemas.openxmlformats.org/drawingml/2006/main">
          <a:off x="834571" y="537688"/>
          <a:ext cx="1543792" cy="308759"/>
        </a:xfrm>
        <a:prstGeom xmlns:a="http://schemas.openxmlformats.org/drawingml/2006/main" prst="rect">
          <a:avLst/>
        </a:prstGeom>
      </cdr:spPr>
    </cdr:sp>
  </cdr:relSizeAnchor>
  <cdr:relSizeAnchor xmlns:cdr="http://schemas.openxmlformats.org/drawingml/2006/chartDrawing">
    <cdr:from>
      <cdr:x>0.50794</cdr:x>
      <cdr:y>0.12296</cdr:y>
    </cdr:from>
    <cdr:to>
      <cdr:x>0.77937</cdr:x>
      <cdr:y>0.20613</cdr:y>
    </cdr:to>
    <cdr:sp macro="" textlink="">
      <cdr:nvSpPr>
        <cdr:cNvPr id="13" name="Text Box 1"/>
        <cdr:cNvSpPr txBox="1"/>
      </cdr:nvSpPr>
      <cdr:spPr>
        <a:xfrm xmlns:a="http://schemas.openxmlformats.org/drawingml/2006/main">
          <a:off x="2888994" y="481822"/>
          <a:ext cx="1543811" cy="32590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AU"/>
            <a:t>PE</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9B97B-4908-494D-9768-6655EC91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7392</Words>
  <Characters>42141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2015-03-03T02:52:00Z</dcterms:created>
  <dcterms:modified xsi:type="dcterms:W3CDTF">2015-03-04T04:20:00Z</dcterms:modified>
</cp:coreProperties>
</file>